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78" w:type="dxa"/>
        <w:tblLayout w:type="fixed"/>
        <w:tblLook w:val="0000" w:firstRow="0" w:lastRow="0" w:firstColumn="0" w:lastColumn="0" w:noHBand="0" w:noVBand="0"/>
      </w:tblPr>
      <w:tblGrid>
        <w:gridCol w:w="2448"/>
        <w:gridCol w:w="5130"/>
        <w:gridCol w:w="2700"/>
      </w:tblGrid>
      <w:tr w:rsidR="00EE1DCC" w:rsidRPr="00595D86" w14:paraId="085ACAE0" w14:textId="77777777" w:rsidTr="00E66CD3">
        <w:tc>
          <w:tcPr>
            <w:tcW w:w="2448" w:type="dxa"/>
          </w:tcPr>
          <w:p w14:paraId="2D5CC344" w14:textId="77777777" w:rsidR="00EE1DCC" w:rsidRPr="00595D86" w:rsidRDefault="00EE1DCC" w:rsidP="00E66CD3">
            <w:pPr>
              <w:pStyle w:val="Heading3"/>
              <w:rPr>
                <w:rFonts w:ascii="Times" w:hAnsi="Times" w:cs="Times"/>
              </w:rPr>
            </w:pPr>
          </w:p>
        </w:tc>
        <w:tc>
          <w:tcPr>
            <w:tcW w:w="5130" w:type="dxa"/>
          </w:tcPr>
          <w:p w14:paraId="5ABBCDFC" w14:textId="77777777" w:rsidR="00EE1DCC" w:rsidRPr="00595D86" w:rsidRDefault="00EE1DCC" w:rsidP="00E66CD3">
            <w:pPr>
              <w:jc w:val="center"/>
              <w:rPr>
                <w:rFonts w:ascii="Times" w:hAnsi="Times" w:cs="Times"/>
                <w:b/>
                <w:sz w:val="26"/>
                <w:szCs w:val="26"/>
              </w:rPr>
            </w:pPr>
            <w:r w:rsidRPr="00595D86">
              <w:rPr>
                <w:rFonts w:ascii="Times" w:hAnsi="Times" w:cs="Times"/>
                <w:b/>
                <w:sz w:val="26"/>
                <w:szCs w:val="26"/>
              </w:rPr>
              <w:t>PENNSYLVANIA</w:t>
            </w:r>
          </w:p>
          <w:p w14:paraId="71DA24EB" w14:textId="77777777" w:rsidR="00EE1DCC" w:rsidRPr="00595D86" w:rsidRDefault="00EE1DCC" w:rsidP="00E66CD3">
            <w:pPr>
              <w:jc w:val="center"/>
              <w:rPr>
                <w:rFonts w:ascii="Times" w:hAnsi="Times" w:cs="Times"/>
                <w:b/>
                <w:sz w:val="26"/>
                <w:szCs w:val="26"/>
              </w:rPr>
            </w:pPr>
            <w:r w:rsidRPr="00595D86">
              <w:rPr>
                <w:rFonts w:ascii="Times" w:hAnsi="Times" w:cs="Times"/>
                <w:b/>
                <w:sz w:val="26"/>
                <w:szCs w:val="26"/>
              </w:rPr>
              <w:t>PUBLIC UTILITY COMMISSION</w:t>
            </w:r>
          </w:p>
          <w:p w14:paraId="58C74C8C" w14:textId="77777777" w:rsidR="00EE1DCC" w:rsidRPr="00595D86" w:rsidRDefault="00EE1DCC" w:rsidP="00E66CD3">
            <w:pPr>
              <w:pStyle w:val="StyleCentered"/>
              <w:rPr>
                <w:rFonts w:ascii="Times" w:hAnsi="Times" w:cs="Times"/>
                <w:b/>
                <w:sz w:val="26"/>
                <w:szCs w:val="26"/>
              </w:rPr>
            </w:pPr>
            <w:r w:rsidRPr="00595D86">
              <w:rPr>
                <w:rFonts w:ascii="Times" w:hAnsi="Times" w:cs="Times"/>
                <w:b/>
                <w:sz w:val="26"/>
                <w:szCs w:val="26"/>
              </w:rPr>
              <w:t>Harrisburg, PA  17105-3265</w:t>
            </w:r>
          </w:p>
        </w:tc>
        <w:tc>
          <w:tcPr>
            <w:tcW w:w="2700" w:type="dxa"/>
          </w:tcPr>
          <w:p w14:paraId="70D07664" w14:textId="77777777" w:rsidR="00EE1DCC" w:rsidRPr="00595D86" w:rsidRDefault="00EE1DCC" w:rsidP="00E66CD3">
            <w:pPr>
              <w:rPr>
                <w:rFonts w:ascii="Times" w:hAnsi="Times" w:cs="Times"/>
                <w:sz w:val="26"/>
                <w:szCs w:val="26"/>
              </w:rPr>
            </w:pPr>
          </w:p>
        </w:tc>
      </w:tr>
    </w:tbl>
    <w:p w14:paraId="1E25A042" w14:textId="77777777" w:rsidR="00EE1DCC" w:rsidRPr="00595D86" w:rsidRDefault="00EE1DCC" w:rsidP="00EE1DCC">
      <w:pPr>
        <w:rPr>
          <w:rFonts w:ascii="Times" w:hAnsi="Times" w:cs="Times"/>
          <w:sz w:val="26"/>
          <w:szCs w:val="26"/>
        </w:rPr>
      </w:pPr>
    </w:p>
    <w:tbl>
      <w:tblPr>
        <w:tblW w:w="0" w:type="auto"/>
        <w:tblLayout w:type="fixed"/>
        <w:tblLook w:val="0000" w:firstRow="0" w:lastRow="0" w:firstColumn="0" w:lastColumn="0" w:noHBand="0" w:noVBand="0"/>
      </w:tblPr>
      <w:tblGrid>
        <w:gridCol w:w="5148"/>
        <w:gridCol w:w="5148"/>
      </w:tblGrid>
      <w:tr w:rsidR="00EE1DCC" w:rsidRPr="00595D86" w14:paraId="72B63C03" w14:textId="77777777" w:rsidTr="00E66CD3">
        <w:tc>
          <w:tcPr>
            <w:tcW w:w="5148" w:type="dxa"/>
          </w:tcPr>
          <w:p w14:paraId="2481D640" w14:textId="77777777" w:rsidR="00EE1DCC" w:rsidRPr="00595D86" w:rsidRDefault="00EE1DCC" w:rsidP="00E66CD3">
            <w:pPr>
              <w:rPr>
                <w:rFonts w:ascii="Times" w:hAnsi="Times" w:cs="Times"/>
                <w:sz w:val="26"/>
                <w:szCs w:val="26"/>
              </w:rPr>
            </w:pPr>
          </w:p>
        </w:tc>
        <w:tc>
          <w:tcPr>
            <w:tcW w:w="5148" w:type="dxa"/>
          </w:tcPr>
          <w:p w14:paraId="240519A9" w14:textId="5F3639E6" w:rsidR="00EE1DCC" w:rsidRPr="00595D86" w:rsidRDefault="00EE1DCC" w:rsidP="00745182">
            <w:pPr>
              <w:ind w:firstLine="612"/>
              <w:rPr>
                <w:rFonts w:ascii="Times" w:hAnsi="Times" w:cs="Times"/>
                <w:sz w:val="26"/>
                <w:szCs w:val="26"/>
              </w:rPr>
            </w:pPr>
            <w:r w:rsidRPr="00595D86">
              <w:rPr>
                <w:rFonts w:ascii="Times" w:hAnsi="Times" w:cs="Times"/>
                <w:sz w:val="26"/>
                <w:szCs w:val="26"/>
              </w:rPr>
              <w:t xml:space="preserve">Public Meeting held </w:t>
            </w:r>
            <w:r w:rsidR="00500FD9">
              <w:rPr>
                <w:rFonts w:ascii="Times" w:hAnsi="Times" w:cs="Times"/>
                <w:sz w:val="26"/>
                <w:szCs w:val="26"/>
              </w:rPr>
              <w:t>August</w:t>
            </w:r>
            <w:r w:rsidR="00FF7E1B">
              <w:rPr>
                <w:rFonts w:ascii="Times" w:hAnsi="Times" w:cs="Times"/>
                <w:sz w:val="26"/>
                <w:szCs w:val="26"/>
              </w:rPr>
              <w:t xml:space="preserve"> 2</w:t>
            </w:r>
            <w:r w:rsidR="00504166">
              <w:rPr>
                <w:rFonts w:ascii="Times" w:hAnsi="Times" w:cs="Times"/>
                <w:sz w:val="26"/>
                <w:szCs w:val="26"/>
              </w:rPr>
              <w:t>6</w:t>
            </w:r>
            <w:r w:rsidR="004966B7">
              <w:rPr>
                <w:rFonts w:ascii="Times" w:hAnsi="Times" w:cs="Times"/>
                <w:sz w:val="26"/>
                <w:szCs w:val="26"/>
              </w:rPr>
              <w:t>, 20</w:t>
            </w:r>
            <w:r w:rsidR="00FF7E1B">
              <w:rPr>
                <w:rFonts w:ascii="Times" w:hAnsi="Times" w:cs="Times"/>
                <w:sz w:val="26"/>
                <w:szCs w:val="26"/>
              </w:rPr>
              <w:t>21</w:t>
            </w:r>
          </w:p>
        </w:tc>
      </w:tr>
      <w:tr w:rsidR="00EE1DCC" w:rsidRPr="00595D86" w14:paraId="4D3445D0" w14:textId="77777777" w:rsidTr="00E66CD3">
        <w:tc>
          <w:tcPr>
            <w:tcW w:w="5148" w:type="dxa"/>
          </w:tcPr>
          <w:p w14:paraId="54293434" w14:textId="77777777" w:rsidR="00EE1DCC" w:rsidRPr="00595D86" w:rsidRDefault="00EE1DCC" w:rsidP="00E66CD3">
            <w:pPr>
              <w:rPr>
                <w:rFonts w:ascii="Times" w:hAnsi="Times" w:cs="Times"/>
                <w:sz w:val="26"/>
                <w:szCs w:val="26"/>
              </w:rPr>
            </w:pPr>
            <w:r w:rsidRPr="00595D86">
              <w:rPr>
                <w:rFonts w:ascii="Times" w:hAnsi="Times" w:cs="Times"/>
                <w:sz w:val="26"/>
                <w:szCs w:val="26"/>
              </w:rPr>
              <w:t>Commissioners Present:</w:t>
            </w:r>
          </w:p>
        </w:tc>
        <w:tc>
          <w:tcPr>
            <w:tcW w:w="5148" w:type="dxa"/>
          </w:tcPr>
          <w:p w14:paraId="4BC48522" w14:textId="77777777" w:rsidR="00EE1DCC" w:rsidRPr="00595D86" w:rsidRDefault="00EE1DCC" w:rsidP="00E66CD3">
            <w:pPr>
              <w:rPr>
                <w:rFonts w:ascii="Times" w:hAnsi="Times" w:cs="Times"/>
                <w:sz w:val="26"/>
                <w:szCs w:val="26"/>
              </w:rPr>
            </w:pPr>
          </w:p>
        </w:tc>
      </w:tr>
    </w:tbl>
    <w:p w14:paraId="69671BF2" w14:textId="77777777" w:rsidR="00EE1DCC" w:rsidRPr="00595D86" w:rsidRDefault="00EE1DCC" w:rsidP="00EE1DCC">
      <w:pPr>
        <w:rPr>
          <w:rFonts w:ascii="Times" w:hAnsi="Times" w:cs="Times"/>
          <w:sz w:val="26"/>
          <w:szCs w:val="26"/>
        </w:rPr>
      </w:pPr>
    </w:p>
    <w:tbl>
      <w:tblPr>
        <w:tblW w:w="10296" w:type="dxa"/>
        <w:tblLayout w:type="fixed"/>
        <w:tblLook w:val="0000" w:firstRow="0" w:lastRow="0" w:firstColumn="0" w:lastColumn="0" w:noHBand="0" w:noVBand="0"/>
      </w:tblPr>
      <w:tblGrid>
        <w:gridCol w:w="6048"/>
        <w:gridCol w:w="3222"/>
        <w:gridCol w:w="108"/>
        <w:gridCol w:w="918"/>
      </w:tblGrid>
      <w:tr w:rsidR="00EE1DCC" w:rsidRPr="00595D86" w14:paraId="2DA5529E" w14:textId="77777777" w:rsidTr="00E66CD3">
        <w:tc>
          <w:tcPr>
            <w:tcW w:w="9378" w:type="dxa"/>
            <w:gridSpan w:val="3"/>
          </w:tcPr>
          <w:p w14:paraId="33A7F585" w14:textId="2D808713" w:rsidR="00EE1DCC" w:rsidRPr="00595D86" w:rsidRDefault="004966B7" w:rsidP="00014690">
            <w:pPr>
              <w:overflowPunct/>
              <w:textAlignment w:val="auto"/>
              <w:rPr>
                <w:rFonts w:ascii="Times" w:hAnsi="Times" w:cs="Times"/>
                <w:sz w:val="26"/>
                <w:szCs w:val="26"/>
              </w:rPr>
            </w:pPr>
            <w:r>
              <w:rPr>
                <w:rFonts w:ascii="Times" w:hAnsi="Times" w:cs="Times"/>
                <w:sz w:val="26"/>
                <w:szCs w:val="26"/>
              </w:rPr>
              <w:t>Gladys Brown</w:t>
            </w:r>
            <w:r w:rsidR="00627E7C">
              <w:rPr>
                <w:rFonts w:ascii="Times" w:hAnsi="Times" w:cs="Times"/>
                <w:sz w:val="26"/>
                <w:szCs w:val="26"/>
              </w:rPr>
              <w:t xml:space="preserve"> </w:t>
            </w:r>
            <w:proofErr w:type="spellStart"/>
            <w:r w:rsidR="00627E7C">
              <w:rPr>
                <w:rFonts w:ascii="Times" w:hAnsi="Times" w:cs="Times"/>
                <w:sz w:val="26"/>
                <w:szCs w:val="26"/>
              </w:rPr>
              <w:t>Dutrieu</w:t>
            </w:r>
            <w:r w:rsidR="00563F54">
              <w:rPr>
                <w:rFonts w:ascii="Times" w:hAnsi="Times" w:cs="Times"/>
                <w:sz w:val="26"/>
                <w:szCs w:val="26"/>
              </w:rPr>
              <w:t>i</w:t>
            </w:r>
            <w:r w:rsidR="00627E7C">
              <w:rPr>
                <w:rFonts w:ascii="Times" w:hAnsi="Times" w:cs="Times"/>
                <w:sz w:val="26"/>
                <w:szCs w:val="26"/>
              </w:rPr>
              <w:t>lle</w:t>
            </w:r>
            <w:proofErr w:type="spellEnd"/>
            <w:r w:rsidR="00EE1DCC" w:rsidRPr="00595D86">
              <w:rPr>
                <w:rFonts w:ascii="Times" w:hAnsi="Times" w:cs="Times"/>
                <w:sz w:val="26"/>
                <w:szCs w:val="26"/>
              </w:rPr>
              <w:t>, Chairman</w:t>
            </w:r>
          </w:p>
        </w:tc>
        <w:tc>
          <w:tcPr>
            <w:tcW w:w="918" w:type="dxa"/>
          </w:tcPr>
          <w:p w14:paraId="4D82CAA7" w14:textId="77777777" w:rsidR="00EE1DCC" w:rsidRPr="00595D86" w:rsidRDefault="00EE1DCC" w:rsidP="00E66CD3">
            <w:pPr>
              <w:rPr>
                <w:rFonts w:ascii="Times" w:hAnsi="Times" w:cs="Times"/>
                <w:sz w:val="26"/>
                <w:szCs w:val="26"/>
              </w:rPr>
            </w:pPr>
          </w:p>
        </w:tc>
      </w:tr>
      <w:tr w:rsidR="00EE1DCC" w:rsidRPr="00595D86" w14:paraId="049A73BD" w14:textId="77777777" w:rsidTr="00E66CD3">
        <w:tc>
          <w:tcPr>
            <w:tcW w:w="9378" w:type="dxa"/>
            <w:gridSpan w:val="3"/>
          </w:tcPr>
          <w:p w14:paraId="3A5F4B18" w14:textId="12A679DA" w:rsidR="00EE1DCC" w:rsidRPr="00595D86" w:rsidRDefault="004966B7" w:rsidP="00014690">
            <w:pPr>
              <w:overflowPunct/>
              <w:textAlignment w:val="auto"/>
              <w:rPr>
                <w:rFonts w:ascii="Times" w:hAnsi="Times" w:cs="Times"/>
                <w:sz w:val="26"/>
                <w:szCs w:val="26"/>
              </w:rPr>
            </w:pPr>
            <w:r>
              <w:rPr>
                <w:rFonts w:ascii="Times" w:hAnsi="Times" w:cs="Times"/>
                <w:sz w:val="26"/>
                <w:szCs w:val="26"/>
              </w:rPr>
              <w:t>David W. Sweet,</w:t>
            </w:r>
            <w:r w:rsidR="00EE1DCC" w:rsidRPr="00595D86">
              <w:rPr>
                <w:rFonts w:ascii="Times" w:hAnsi="Times" w:cs="Times"/>
                <w:sz w:val="26"/>
                <w:szCs w:val="26"/>
              </w:rPr>
              <w:t xml:space="preserve"> Vice Chairman</w:t>
            </w:r>
          </w:p>
        </w:tc>
        <w:tc>
          <w:tcPr>
            <w:tcW w:w="918" w:type="dxa"/>
          </w:tcPr>
          <w:p w14:paraId="74D0AD6F" w14:textId="77777777" w:rsidR="00EE1DCC" w:rsidRPr="00595D86" w:rsidRDefault="00EE1DCC" w:rsidP="00E66CD3">
            <w:pPr>
              <w:rPr>
                <w:rFonts w:ascii="Times" w:hAnsi="Times" w:cs="Times"/>
                <w:sz w:val="26"/>
                <w:szCs w:val="26"/>
              </w:rPr>
            </w:pPr>
          </w:p>
        </w:tc>
      </w:tr>
      <w:tr w:rsidR="00FF0365" w:rsidRPr="00595D86" w14:paraId="593DF20A" w14:textId="77777777" w:rsidTr="00E66CD3">
        <w:tc>
          <w:tcPr>
            <w:tcW w:w="9378" w:type="dxa"/>
            <w:gridSpan w:val="3"/>
          </w:tcPr>
          <w:p w14:paraId="3456C93E" w14:textId="620F5123" w:rsidR="00FF0365" w:rsidRPr="00595D86" w:rsidRDefault="00FF0365" w:rsidP="00014690">
            <w:pPr>
              <w:overflowPunct/>
              <w:textAlignment w:val="auto"/>
              <w:rPr>
                <w:rFonts w:ascii="Times" w:hAnsi="Times" w:cs="Times"/>
                <w:sz w:val="26"/>
                <w:szCs w:val="26"/>
              </w:rPr>
            </w:pPr>
            <w:r w:rsidRPr="00595D86">
              <w:rPr>
                <w:rFonts w:ascii="Times" w:hAnsi="Times" w:cs="Times"/>
                <w:sz w:val="26"/>
                <w:szCs w:val="26"/>
              </w:rPr>
              <w:t>John F. Coleman, Jr.</w:t>
            </w:r>
          </w:p>
        </w:tc>
        <w:tc>
          <w:tcPr>
            <w:tcW w:w="918" w:type="dxa"/>
          </w:tcPr>
          <w:p w14:paraId="0073101E" w14:textId="77777777" w:rsidR="00FF0365" w:rsidRPr="00595D86" w:rsidRDefault="00FF0365" w:rsidP="00E66CD3">
            <w:pPr>
              <w:rPr>
                <w:rFonts w:ascii="Times" w:hAnsi="Times" w:cs="Times"/>
                <w:sz w:val="26"/>
                <w:szCs w:val="26"/>
              </w:rPr>
            </w:pPr>
          </w:p>
        </w:tc>
      </w:tr>
      <w:tr w:rsidR="00FF0365" w:rsidRPr="00595D86" w14:paraId="2E19C77D" w14:textId="77777777" w:rsidTr="00E66CD3">
        <w:tc>
          <w:tcPr>
            <w:tcW w:w="9378" w:type="dxa"/>
            <w:gridSpan w:val="3"/>
          </w:tcPr>
          <w:p w14:paraId="387B4ABE" w14:textId="5F7F6312" w:rsidR="00FF0365" w:rsidRPr="00595D86" w:rsidRDefault="00FF0365" w:rsidP="00014690">
            <w:pPr>
              <w:overflowPunct/>
              <w:textAlignment w:val="auto"/>
              <w:rPr>
                <w:rFonts w:ascii="Times" w:hAnsi="Times" w:cs="Times"/>
                <w:sz w:val="26"/>
                <w:szCs w:val="26"/>
              </w:rPr>
            </w:pPr>
            <w:r>
              <w:rPr>
                <w:rFonts w:ascii="Times" w:hAnsi="Times" w:cs="Times"/>
                <w:sz w:val="26"/>
                <w:szCs w:val="26"/>
              </w:rPr>
              <w:t xml:space="preserve">Ralph V. </w:t>
            </w:r>
            <w:proofErr w:type="spellStart"/>
            <w:r>
              <w:rPr>
                <w:rFonts w:ascii="Times" w:hAnsi="Times" w:cs="Times"/>
                <w:sz w:val="26"/>
                <w:szCs w:val="26"/>
              </w:rPr>
              <w:t>Yanora</w:t>
            </w:r>
            <w:proofErr w:type="spellEnd"/>
          </w:p>
        </w:tc>
        <w:tc>
          <w:tcPr>
            <w:tcW w:w="918" w:type="dxa"/>
          </w:tcPr>
          <w:p w14:paraId="6CEF298C" w14:textId="77777777" w:rsidR="00FF0365" w:rsidRPr="00595D86" w:rsidRDefault="00FF0365" w:rsidP="00E66CD3">
            <w:pPr>
              <w:rPr>
                <w:rFonts w:ascii="Times" w:hAnsi="Times" w:cs="Times"/>
                <w:sz w:val="26"/>
                <w:szCs w:val="26"/>
              </w:rPr>
            </w:pPr>
          </w:p>
        </w:tc>
      </w:tr>
      <w:tr w:rsidR="00FF0365" w:rsidRPr="00595D86" w14:paraId="156AC34D" w14:textId="77777777" w:rsidTr="00C131A6">
        <w:trPr>
          <w:gridAfter w:val="2"/>
          <w:wAfter w:w="1026" w:type="dxa"/>
        </w:trPr>
        <w:tc>
          <w:tcPr>
            <w:tcW w:w="6048" w:type="dxa"/>
          </w:tcPr>
          <w:p w14:paraId="2E06C1FB" w14:textId="3508943D" w:rsidR="00FF0365" w:rsidRPr="00595D86" w:rsidRDefault="00FF0365" w:rsidP="00E66CD3">
            <w:pPr>
              <w:ind w:left="720"/>
              <w:rPr>
                <w:rFonts w:ascii="Times" w:hAnsi="Times" w:cs="Times"/>
                <w:sz w:val="26"/>
                <w:szCs w:val="26"/>
              </w:rPr>
            </w:pPr>
          </w:p>
        </w:tc>
        <w:tc>
          <w:tcPr>
            <w:tcW w:w="3222" w:type="dxa"/>
          </w:tcPr>
          <w:p w14:paraId="544C7D2B" w14:textId="77777777" w:rsidR="00FF0365" w:rsidRPr="00595D86" w:rsidRDefault="00FF0365" w:rsidP="00E66CD3">
            <w:pPr>
              <w:rPr>
                <w:rFonts w:ascii="Times" w:hAnsi="Times" w:cs="Times"/>
                <w:sz w:val="26"/>
                <w:szCs w:val="26"/>
              </w:rPr>
            </w:pPr>
          </w:p>
        </w:tc>
      </w:tr>
      <w:tr w:rsidR="00FF0365" w:rsidRPr="00595D86" w14:paraId="7086FA0D" w14:textId="77777777" w:rsidTr="00C131A6">
        <w:trPr>
          <w:gridAfter w:val="2"/>
          <w:wAfter w:w="1026" w:type="dxa"/>
        </w:trPr>
        <w:tc>
          <w:tcPr>
            <w:tcW w:w="6048" w:type="dxa"/>
          </w:tcPr>
          <w:p w14:paraId="3BD30AEF" w14:textId="77777777" w:rsidR="00FF0365" w:rsidRPr="00595D86" w:rsidRDefault="00FF0365" w:rsidP="00E66CD3">
            <w:pPr>
              <w:rPr>
                <w:rFonts w:ascii="Times" w:hAnsi="Times" w:cs="Times"/>
                <w:sz w:val="26"/>
                <w:szCs w:val="26"/>
              </w:rPr>
            </w:pPr>
          </w:p>
        </w:tc>
        <w:tc>
          <w:tcPr>
            <w:tcW w:w="3222" w:type="dxa"/>
          </w:tcPr>
          <w:p w14:paraId="2A5741E0" w14:textId="3593F323" w:rsidR="00FF0365" w:rsidRPr="00595D86" w:rsidRDefault="00FA58A4" w:rsidP="00FA58A4">
            <w:pPr>
              <w:overflowPunct/>
              <w:autoSpaceDE/>
              <w:autoSpaceDN/>
              <w:adjustRightInd/>
              <w:spacing w:after="120"/>
              <w:ind w:left="259"/>
              <w:textAlignment w:val="auto"/>
              <w:rPr>
                <w:rFonts w:ascii="Times" w:hAnsi="Times" w:cs="Times"/>
                <w:sz w:val="26"/>
                <w:szCs w:val="26"/>
              </w:rPr>
            </w:pPr>
            <w:r w:rsidRPr="00FA58A4">
              <w:rPr>
                <w:sz w:val="26"/>
                <w:szCs w:val="24"/>
              </w:rPr>
              <w:t>Docket Numbers:</w:t>
            </w:r>
          </w:p>
        </w:tc>
      </w:tr>
      <w:tr w:rsidR="00FF0365" w:rsidRPr="00595D86" w14:paraId="713C0638" w14:textId="77777777" w:rsidTr="00C131A6">
        <w:trPr>
          <w:gridAfter w:val="2"/>
          <w:wAfter w:w="1026" w:type="dxa"/>
        </w:trPr>
        <w:tc>
          <w:tcPr>
            <w:tcW w:w="6048" w:type="dxa"/>
          </w:tcPr>
          <w:p w14:paraId="1A7C2EA6" w14:textId="086AF0EA" w:rsidR="00FF0365" w:rsidRDefault="00FF0365" w:rsidP="00C131A6">
            <w:pPr>
              <w:rPr>
                <w:rFonts w:ascii="Times" w:hAnsi="Times" w:cs="Times"/>
                <w:sz w:val="26"/>
                <w:szCs w:val="26"/>
              </w:rPr>
            </w:pPr>
            <w:r w:rsidRPr="00595D86">
              <w:rPr>
                <w:rFonts w:ascii="Times" w:hAnsi="Times" w:cs="Times"/>
                <w:sz w:val="26"/>
                <w:szCs w:val="26"/>
              </w:rPr>
              <w:t xml:space="preserve">Petition of </w:t>
            </w:r>
            <w:r>
              <w:rPr>
                <w:rFonts w:ascii="Times" w:hAnsi="Times" w:cs="Times"/>
                <w:sz w:val="26"/>
                <w:szCs w:val="26"/>
              </w:rPr>
              <w:t xml:space="preserve">National Fuel Gas Distribution Corporation </w:t>
            </w:r>
            <w:proofErr w:type="gramStart"/>
            <w:r>
              <w:rPr>
                <w:rFonts w:ascii="Times" w:hAnsi="Times" w:cs="Times"/>
                <w:sz w:val="26"/>
                <w:szCs w:val="26"/>
              </w:rPr>
              <w:t>To</w:t>
            </w:r>
            <w:proofErr w:type="gramEnd"/>
            <w:r>
              <w:rPr>
                <w:rFonts w:ascii="Times" w:hAnsi="Times" w:cs="Times"/>
                <w:sz w:val="26"/>
                <w:szCs w:val="26"/>
              </w:rPr>
              <w:t xml:space="preserve"> Establish a Mechanism to Distribute the Tax Savings Associated with the TCJA for the Period Between October 1, 2017, and June 30, 2018</w:t>
            </w:r>
          </w:p>
          <w:p w14:paraId="0533B019" w14:textId="77777777" w:rsidR="00FF0365" w:rsidRPr="00595D86" w:rsidRDefault="00FF0365" w:rsidP="00E66CD3">
            <w:pPr>
              <w:rPr>
                <w:rFonts w:ascii="Times" w:hAnsi="Times" w:cs="Times"/>
                <w:sz w:val="26"/>
                <w:szCs w:val="26"/>
              </w:rPr>
            </w:pPr>
          </w:p>
        </w:tc>
        <w:tc>
          <w:tcPr>
            <w:tcW w:w="3222" w:type="dxa"/>
          </w:tcPr>
          <w:p w14:paraId="2AF76DCC" w14:textId="39A5B9F3" w:rsidR="00FF0365" w:rsidRPr="00FA58A4" w:rsidRDefault="00FA58A4" w:rsidP="00FA58A4">
            <w:pPr>
              <w:rPr>
                <w:sz w:val="26"/>
                <w:szCs w:val="24"/>
              </w:rPr>
            </w:pPr>
            <w:bookmarkStart w:id="0" w:name="_Hlk522868630"/>
            <w:r>
              <w:rPr>
                <w:sz w:val="26"/>
                <w:szCs w:val="24"/>
              </w:rPr>
              <w:t xml:space="preserve">      </w:t>
            </w:r>
            <w:r w:rsidR="001548FB">
              <w:rPr>
                <w:sz w:val="26"/>
                <w:szCs w:val="24"/>
              </w:rPr>
              <w:t>P</w:t>
            </w:r>
            <w:r w:rsidRPr="00FA58A4">
              <w:rPr>
                <w:sz w:val="26"/>
                <w:szCs w:val="24"/>
              </w:rPr>
              <w:t>-2021-3025</w:t>
            </w:r>
            <w:r w:rsidR="001548FB">
              <w:rPr>
                <w:sz w:val="26"/>
                <w:szCs w:val="24"/>
              </w:rPr>
              <w:t>909</w:t>
            </w:r>
            <w:bookmarkEnd w:id="0"/>
          </w:p>
        </w:tc>
      </w:tr>
      <w:tr w:rsidR="00FF0365" w:rsidRPr="00595D86" w14:paraId="37C5DE2B" w14:textId="77777777" w:rsidTr="00C131A6">
        <w:trPr>
          <w:gridAfter w:val="2"/>
          <w:wAfter w:w="1026" w:type="dxa"/>
        </w:trPr>
        <w:tc>
          <w:tcPr>
            <w:tcW w:w="6048" w:type="dxa"/>
          </w:tcPr>
          <w:p w14:paraId="7C584F31" w14:textId="77777777" w:rsidR="00FF0365" w:rsidRPr="00595D86" w:rsidRDefault="00FF0365" w:rsidP="00C131A6">
            <w:pPr>
              <w:rPr>
                <w:rFonts w:ascii="Times" w:hAnsi="Times" w:cs="Times"/>
                <w:sz w:val="26"/>
                <w:szCs w:val="26"/>
              </w:rPr>
            </w:pPr>
          </w:p>
        </w:tc>
        <w:tc>
          <w:tcPr>
            <w:tcW w:w="3222" w:type="dxa"/>
          </w:tcPr>
          <w:p w14:paraId="62E2F45F" w14:textId="77777777" w:rsidR="00FF0365" w:rsidRPr="00595D86" w:rsidRDefault="00FF0365" w:rsidP="00E66CD3">
            <w:pPr>
              <w:rPr>
                <w:rFonts w:ascii="Times" w:hAnsi="Times" w:cs="Times"/>
                <w:sz w:val="26"/>
                <w:szCs w:val="26"/>
              </w:rPr>
            </w:pPr>
          </w:p>
        </w:tc>
      </w:tr>
    </w:tbl>
    <w:p w14:paraId="525450F0" w14:textId="77777777" w:rsidR="00EE1DCC" w:rsidRPr="00595D86" w:rsidRDefault="00EE1DCC" w:rsidP="00EE1DCC">
      <w:pPr>
        <w:spacing w:line="360" w:lineRule="auto"/>
        <w:rPr>
          <w:rFonts w:ascii="Times" w:hAnsi="Times" w:cs="Times"/>
          <w:sz w:val="26"/>
          <w:szCs w:val="26"/>
        </w:rPr>
      </w:pPr>
    </w:p>
    <w:p w14:paraId="07B1EBF8" w14:textId="77777777" w:rsidR="00EE1DCC" w:rsidRPr="00595D86" w:rsidRDefault="00EE1DCC" w:rsidP="00EE1DCC">
      <w:pPr>
        <w:spacing w:line="360" w:lineRule="auto"/>
        <w:jc w:val="center"/>
        <w:rPr>
          <w:rFonts w:ascii="Times" w:hAnsi="Times" w:cs="Times"/>
          <w:b/>
          <w:sz w:val="26"/>
          <w:szCs w:val="26"/>
        </w:rPr>
      </w:pPr>
      <w:r w:rsidRPr="00595D86">
        <w:rPr>
          <w:rFonts w:ascii="Times" w:hAnsi="Times" w:cs="Times"/>
          <w:b/>
          <w:sz w:val="26"/>
          <w:szCs w:val="26"/>
        </w:rPr>
        <w:t>OPINION AND ORDER</w:t>
      </w:r>
    </w:p>
    <w:p w14:paraId="4FB64855" w14:textId="77777777" w:rsidR="00EE1DCC" w:rsidRPr="00595D86" w:rsidRDefault="00EE1DCC" w:rsidP="00EE1DCC">
      <w:pPr>
        <w:spacing w:line="360" w:lineRule="auto"/>
        <w:jc w:val="center"/>
        <w:rPr>
          <w:rFonts w:ascii="Times" w:hAnsi="Times" w:cs="Times"/>
          <w:b/>
          <w:sz w:val="26"/>
          <w:szCs w:val="26"/>
        </w:rPr>
      </w:pPr>
    </w:p>
    <w:p w14:paraId="1F01CA69" w14:textId="77777777" w:rsidR="00EE1DCC" w:rsidRPr="00595D86" w:rsidRDefault="00EE1DCC" w:rsidP="00595D86">
      <w:pPr>
        <w:pStyle w:val="p3"/>
        <w:spacing w:line="480" w:lineRule="auto"/>
        <w:rPr>
          <w:rFonts w:ascii="Times" w:hAnsi="Times" w:cs="Times"/>
          <w:b/>
          <w:sz w:val="26"/>
          <w:szCs w:val="26"/>
        </w:rPr>
      </w:pPr>
      <w:r w:rsidRPr="00595D86">
        <w:rPr>
          <w:rFonts w:ascii="Times" w:hAnsi="Times" w:cs="Times"/>
          <w:b/>
          <w:sz w:val="26"/>
          <w:szCs w:val="26"/>
        </w:rPr>
        <w:t>BY THE COMMISSION:</w:t>
      </w:r>
    </w:p>
    <w:p w14:paraId="22BED658" w14:textId="76479101" w:rsidR="00EE1DCC" w:rsidRPr="00595D86" w:rsidRDefault="00EE1DCC" w:rsidP="00127B38">
      <w:pPr>
        <w:pStyle w:val="p3"/>
        <w:tabs>
          <w:tab w:val="clear" w:pos="204"/>
        </w:tabs>
        <w:spacing w:line="360" w:lineRule="auto"/>
        <w:ind w:firstLine="720"/>
        <w:rPr>
          <w:rFonts w:ascii="Times" w:hAnsi="Times" w:cs="Times"/>
          <w:sz w:val="26"/>
          <w:szCs w:val="26"/>
        </w:rPr>
      </w:pPr>
      <w:r w:rsidRPr="00595D86">
        <w:rPr>
          <w:rFonts w:ascii="Times" w:hAnsi="Times" w:cs="Times"/>
          <w:sz w:val="26"/>
          <w:szCs w:val="26"/>
        </w:rPr>
        <w:t xml:space="preserve">On </w:t>
      </w:r>
      <w:r w:rsidR="00FF7E1B">
        <w:rPr>
          <w:rFonts w:ascii="Times" w:hAnsi="Times" w:cs="Times"/>
          <w:sz w:val="26"/>
          <w:szCs w:val="26"/>
        </w:rPr>
        <w:t>May 17</w:t>
      </w:r>
      <w:r w:rsidR="007C2CEC">
        <w:rPr>
          <w:rFonts w:ascii="Times" w:hAnsi="Times" w:cs="Times"/>
          <w:sz w:val="26"/>
          <w:szCs w:val="26"/>
        </w:rPr>
        <w:t>, 20</w:t>
      </w:r>
      <w:r w:rsidR="00FF7E1B">
        <w:rPr>
          <w:rFonts w:ascii="Times" w:hAnsi="Times" w:cs="Times"/>
          <w:sz w:val="26"/>
          <w:szCs w:val="26"/>
        </w:rPr>
        <w:t>21</w:t>
      </w:r>
      <w:r w:rsidRPr="00595D86">
        <w:rPr>
          <w:rFonts w:ascii="Times" w:hAnsi="Times" w:cs="Times"/>
          <w:sz w:val="26"/>
          <w:szCs w:val="26"/>
        </w:rPr>
        <w:t xml:space="preserve">, </w:t>
      </w:r>
      <w:r w:rsidR="00FF7E1B">
        <w:rPr>
          <w:rFonts w:ascii="Times" w:hAnsi="Times" w:cs="Times"/>
          <w:sz w:val="26"/>
          <w:szCs w:val="26"/>
        </w:rPr>
        <w:t>National Fuel Gas</w:t>
      </w:r>
      <w:r w:rsidR="009C4074">
        <w:rPr>
          <w:rFonts w:ascii="Times" w:hAnsi="Times" w:cs="Times"/>
          <w:sz w:val="26"/>
          <w:szCs w:val="26"/>
        </w:rPr>
        <w:t xml:space="preserve"> Distribution</w:t>
      </w:r>
      <w:r w:rsidR="00C131A6">
        <w:rPr>
          <w:rFonts w:ascii="Times" w:hAnsi="Times" w:cs="Times"/>
          <w:sz w:val="26"/>
          <w:szCs w:val="26"/>
        </w:rPr>
        <w:t xml:space="preserve"> Corporation</w:t>
      </w:r>
      <w:r w:rsidRPr="00595D86">
        <w:rPr>
          <w:rFonts w:ascii="Times" w:hAnsi="Times" w:cs="Times"/>
          <w:sz w:val="26"/>
          <w:szCs w:val="26"/>
        </w:rPr>
        <w:t xml:space="preserve"> (</w:t>
      </w:r>
      <w:r w:rsidR="009D1C35">
        <w:rPr>
          <w:rFonts w:ascii="Times" w:hAnsi="Times" w:cs="Times"/>
          <w:sz w:val="26"/>
          <w:szCs w:val="26"/>
        </w:rPr>
        <w:t>“NFGDC”</w:t>
      </w:r>
      <w:r w:rsidR="00AD3A57" w:rsidRPr="00595D86">
        <w:rPr>
          <w:rFonts w:ascii="Times" w:hAnsi="Times" w:cs="Times"/>
          <w:sz w:val="26"/>
          <w:szCs w:val="26"/>
        </w:rPr>
        <w:t xml:space="preserve"> </w:t>
      </w:r>
      <w:r w:rsidR="00880544" w:rsidRPr="00595D86">
        <w:rPr>
          <w:rFonts w:ascii="Times" w:hAnsi="Times" w:cs="Times"/>
          <w:sz w:val="26"/>
          <w:szCs w:val="26"/>
        </w:rPr>
        <w:t xml:space="preserve">or </w:t>
      </w:r>
      <w:r w:rsidR="009D1C35">
        <w:rPr>
          <w:rFonts w:ascii="Times" w:hAnsi="Times" w:cs="Times"/>
          <w:sz w:val="26"/>
          <w:szCs w:val="26"/>
        </w:rPr>
        <w:t>“</w:t>
      </w:r>
      <w:r w:rsidR="00880544" w:rsidRPr="00595D86">
        <w:rPr>
          <w:rFonts w:ascii="Times" w:hAnsi="Times" w:cs="Times"/>
          <w:sz w:val="26"/>
          <w:szCs w:val="26"/>
        </w:rPr>
        <w:t>Company</w:t>
      </w:r>
      <w:r w:rsidR="009D1C35">
        <w:rPr>
          <w:rFonts w:ascii="Times" w:hAnsi="Times" w:cs="Times"/>
          <w:sz w:val="26"/>
          <w:szCs w:val="26"/>
        </w:rPr>
        <w:t>”</w:t>
      </w:r>
      <w:r w:rsidRPr="00595D86">
        <w:rPr>
          <w:rFonts w:ascii="Times" w:hAnsi="Times" w:cs="Times"/>
          <w:sz w:val="26"/>
          <w:szCs w:val="26"/>
        </w:rPr>
        <w:t xml:space="preserve">) filed a </w:t>
      </w:r>
      <w:r w:rsidR="004966B7">
        <w:rPr>
          <w:rFonts w:ascii="Times" w:hAnsi="Times" w:cs="Times"/>
          <w:sz w:val="26"/>
          <w:szCs w:val="26"/>
        </w:rPr>
        <w:t>p</w:t>
      </w:r>
      <w:r w:rsidRPr="00595D86">
        <w:rPr>
          <w:rFonts w:ascii="Times" w:hAnsi="Times" w:cs="Times"/>
          <w:sz w:val="26"/>
          <w:szCs w:val="26"/>
        </w:rPr>
        <w:t>etition</w:t>
      </w:r>
      <w:r w:rsidR="00306E8D">
        <w:rPr>
          <w:rFonts w:ascii="Times" w:hAnsi="Times" w:cs="Times"/>
          <w:sz w:val="26"/>
          <w:szCs w:val="26"/>
        </w:rPr>
        <w:t xml:space="preserve"> pursuant to 52 Pa. Code §5.41, and the Commission’s directive in the Order entered on May 17, 2018 at Docket No. R-2018-3000</w:t>
      </w:r>
      <w:r w:rsidR="00B06131">
        <w:rPr>
          <w:rFonts w:ascii="Times" w:hAnsi="Times" w:cs="Times"/>
          <w:sz w:val="26"/>
          <w:szCs w:val="26"/>
        </w:rPr>
        <w:t>527</w:t>
      </w:r>
      <w:r w:rsidR="00097FF9">
        <w:rPr>
          <w:rFonts w:ascii="Times" w:hAnsi="Times" w:cs="Times"/>
          <w:sz w:val="26"/>
          <w:szCs w:val="26"/>
        </w:rPr>
        <w:t xml:space="preserve"> (</w:t>
      </w:r>
      <w:r w:rsidR="00693B91">
        <w:rPr>
          <w:rFonts w:ascii="Times" w:hAnsi="Times" w:cs="Times"/>
          <w:sz w:val="26"/>
          <w:szCs w:val="26"/>
        </w:rPr>
        <w:t>National Fuel Gas Distribution</w:t>
      </w:r>
      <w:r w:rsidR="003A3D73">
        <w:rPr>
          <w:rFonts w:ascii="Times" w:hAnsi="Times" w:cs="Times"/>
          <w:sz w:val="26"/>
          <w:szCs w:val="26"/>
        </w:rPr>
        <w:t xml:space="preserve"> Compliance</w:t>
      </w:r>
      <w:r w:rsidR="00097FF9">
        <w:rPr>
          <w:rFonts w:ascii="Times" w:hAnsi="Times" w:cs="Times"/>
          <w:sz w:val="26"/>
          <w:szCs w:val="26"/>
        </w:rPr>
        <w:t xml:space="preserve"> Order)</w:t>
      </w:r>
      <w:r w:rsidRPr="00595D86">
        <w:rPr>
          <w:rFonts w:ascii="Times" w:hAnsi="Times" w:cs="Times"/>
          <w:sz w:val="26"/>
          <w:szCs w:val="26"/>
        </w:rPr>
        <w:t xml:space="preserve"> </w:t>
      </w:r>
      <w:bookmarkStart w:id="1" w:name="_Hlk23151221"/>
      <w:r w:rsidRPr="00595D86">
        <w:rPr>
          <w:rFonts w:ascii="Times" w:hAnsi="Times" w:cs="Times"/>
          <w:sz w:val="26"/>
          <w:szCs w:val="26"/>
        </w:rPr>
        <w:t xml:space="preserve">for </w:t>
      </w:r>
      <w:r w:rsidR="004966B7">
        <w:rPr>
          <w:rFonts w:ascii="Times" w:hAnsi="Times" w:cs="Times"/>
          <w:sz w:val="26"/>
          <w:szCs w:val="26"/>
        </w:rPr>
        <w:t xml:space="preserve">authority to </w:t>
      </w:r>
      <w:r w:rsidR="0055133F">
        <w:rPr>
          <w:rFonts w:ascii="Times" w:hAnsi="Times" w:cs="Times"/>
          <w:sz w:val="26"/>
          <w:szCs w:val="26"/>
        </w:rPr>
        <w:t>distribute the tax savings associated with the Ta</w:t>
      </w:r>
      <w:r w:rsidR="00306E8D">
        <w:rPr>
          <w:rFonts w:ascii="Times" w:hAnsi="Times" w:cs="Times"/>
          <w:sz w:val="26"/>
          <w:szCs w:val="26"/>
        </w:rPr>
        <w:t>x</w:t>
      </w:r>
      <w:r w:rsidR="0055133F">
        <w:rPr>
          <w:rFonts w:ascii="Times" w:hAnsi="Times" w:cs="Times"/>
          <w:sz w:val="26"/>
          <w:szCs w:val="26"/>
        </w:rPr>
        <w:t xml:space="preserve"> Cuts and Jobs Act of 2017 (TCJA) for the period of </w:t>
      </w:r>
      <w:r w:rsidR="00693B91">
        <w:rPr>
          <w:rFonts w:ascii="Times" w:hAnsi="Times" w:cs="Times"/>
          <w:sz w:val="26"/>
          <w:szCs w:val="26"/>
        </w:rPr>
        <w:t>October</w:t>
      </w:r>
      <w:r w:rsidR="001A51CD">
        <w:rPr>
          <w:rFonts w:ascii="Times" w:hAnsi="Times" w:cs="Times"/>
          <w:sz w:val="26"/>
          <w:szCs w:val="26"/>
        </w:rPr>
        <w:t xml:space="preserve"> 1</w:t>
      </w:r>
      <w:r w:rsidR="0055133F">
        <w:rPr>
          <w:rFonts w:ascii="Times" w:hAnsi="Times" w:cs="Times"/>
          <w:sz w:val="26"/>
          <w:szCs w:val="26"/>
        </w:rPr>
        <w:t>, 201</w:t>
      </w:r>
      <w:r w:rsidR="001A51CD">
        <w:rPr>
          <w:rFonts w:ascii="Times" w:hAnsi="Times" w:cs="Times"/>
          <w:sz w:val="26"/>
          <w:szCs w:val="26"/>
        </w:rPr>
        <w:t>7</w:t>
      </w:r>
      <w:r w:rsidR="0055133F">
        <w:rPr>
          <w:rFonts w:ascii="Times" w:hAnsi="Times" w:cs="Times"/>
          <w:sz w:val="26"/>
          <w:szCs w:val="26"/>
        </w:rPr>
        <w:t xml:space="preserve"> through June 30, 201</w:t>
      </w:r>
      <w:r w:rsidR="00604407">
        <w:rPr>
          <w:rFonts w:ascii="Times" w:hAnsi="Times" w:cs="Times"/>
          <w:sz w:val="26"/>
          <w:szCs w:val="26"/>
        </w:rPr>
        <w:t>8 (Stub Period)</w:t>
      </w:r>
      <w:bookmarkEnd w:id="1"/>
      <w:r w:rsidR="004966B7">
        <w:rPr>
          <w:rFonts w:ascii="Times" w:hAnsi="Times" w:cs="Times"/>
          <w:sz w:val="26"/>
          <w:szCs w:val="26"/>
        </w:rPr>
        <w:t>.</w:t>
      </w:r>
      <w:r w:rsidR="00E71CDE">
        <w:rPr>
          <w:rStyle w:val="FootnoteReference"/>
          <w:rFonts w:ascii="Times" w:hAnsi="Times" w:cs="Times"/>
          <w:sz w:val="26"/>
          <w:szCs w:val="26"/>
        </w:rPr>
        <w:footnoteReference w:id="2"/>
      </w:r>
      <w:r w:rsidRPr="00595D86">
        <w:rPr>
          <w:rFonts w:ascii="Times" w:hAnsi="Times" w:cs="Times"/>
          <w:sz w:val="26"/>
          <w:szCs w:val="26"/>
        </w:rPr>
        <w:t xml:space="preserve"> </w:t>
      </w:r>
      <w:r w:rsidR="00A900F3">
        <w:rPr>
          <w:rFonts w:ascii="Times" w:hAnsi="Times" w:cs="Times"/>
          <w:sz w:val="26"/>
          <w:szCs w:val="26"/>
        </w:rPr>
        <w:t xml:space="preserve"> No party has filed an Answer or Protest to this Petition.</w:t>
      </w:r>
      <w:r w:rsidRPr="00595D86">
        <w:rPr>
          <w:rFonts w:ascii="Times" w:hAnsi="Times" w:cs="Times"/>
          <w:sz w:val="26"/>
          <w:szCs w:val="26"/>
        </w:rPr>
        <w:t xml:space="preserve"> </w:t>
      </w:r>
    </w:p>
    <w:p w14:paraId="2180487B" w14:textId="4BD3CCF3" w:rsidR="005A1BE5" w:rsidRDefault="005A1BE5" w:rsidP="00127B38">
      <w:pPr>
        <w:pStyle w:val="p3"/>
        <w:tabs>
          <w:tab w:val="clear" w:pos="204"/>
        </w:tabs>
        <w:spacing w:line="360" w:lineRule="auto"/>
        <w:ind w:firstLine="720"/>
        <w:rPr>
          <w:rFonts w:ascii="Times" w:hAnsi="Times" w:cs="Times"/>
          <w:sz w:val="26"/>
          <w:szCs w:val="26"/>
        </w:rPr>
      </w:pPr>
    </w:p>
    <w:p w14:paraId="6816CA93" w14:textId="09935D64" w:rsidR="00702DC6" w:rsidRDefault="00702DC6" w:rsidP="00127B38">
      <w:pPr>
        <w:pStyle w:val="p3"/>
        <w:spacing w:line="360" w:lineRule="auto"/>
        <w:ind w:firstLine="720"/>
        <w:rPr>
          <w:rFonts w:ascii="Times" w:hAnsi="Times" w:cs="Times"/>
          <w:sz w:val="26"/>
          <w:szCs w:val="26"/>
        </w:rPr>
      </w:pPr>
      <w:r w:rsidRPr="00702DC6">
        <w:rPr>
          <w:rFonts w:ascii="Times" w:hAnsi="Times" w:cs="Times"/>
          <w:sz w:val="26"/>
          <w:szCs w:val="26"/>
        </w:rPr>
        <w:t xml:space="preserve">Consistent with the Commission’s prior order, </w:t>
      </w:r>
      <w:r w:rsidR="000753D5">
        <w:rPr>
          <w:rFonts w:ascii="Times" w:hAnsi="Times" w:cs="Times"/>
          <w:sz w:val="26"/>
          <w:szCs w:val="26"/>
        </w:rPr>
        <w:t>NFGDC</w:t>
      </w:r>
      <w:r w:rsidRPr="00702DC6">
        <w:rPr>
          <w:rFonts w:ascii="Times" w:hAnsi="Times" w:cs="Times"/>
          <w:sz w:val="26"/>
          <w:szCs w:val="26"/>
        </w:rPr>
        <w:t xml:space="preserve"> is required to file a </w:t>
      </w:r>
      <w:r w:rsidRPr="00702DC6">
        <w:rPr>
          <w:rFonts w:ascii="Times" w:hAnsi="Times" w:cs="Times"/>
          <w:sz w:val="26"/>
          <w:szCs w:val="26"/>
        </w:rPr>
        <w:lastRenderedPageBreak/>
        <w:t>petition</w:t>
      </w:r>
      <w:r>
        <w:rPr>
          <w:rFonts w:ascii="Times" w:hAnsi="Times" w:cs="Times"/>
          <w:sz w:val="26"/>
          <w:szCs w:val="26"/>
        </w:rPr>
        <w:t xml:space="preserve"> </w:t>
      </w:r>
      <w:r w:rsidRPr="00702DC6">
        <w:rPr>
          <w:rFonts w:ascii="Times" w:hAnsi="Times" w:cs="Times"/>
          <w:sz w:val="26"/>
          <w:szCs w:val="26"/>
        </w:rPr>
        <w:t xml:space="preserve">to refund to customers the tax savings associated with the TCJA for the </w:t>
      </w:r>
      <w:r w:rsidR="00604407">
        <w:rPr>
          <w:rFonts w:ascii="Times" w:hAnsi="Times" w:cs="Times"/>
          <w:sz w:val="26"/>
          <w:szCs w:val="26"/>
        </w:rPr>
        <w:t>Stub Period</w:t>
      </w:r>
      <w:r w:rsidRPr="00702DC6">
        <w:rPr>
          <w:rFonts w:ascii="Times" w:hAnsi="Times" w:cs="Times"/>
          <w:sz w:val="26"/>
          <w:szCs w:val="26"/>
        </w:rPr>
        <w:t xml:space="preserve"> on or before May 1</w:t>
      </w:r>
      <w:r w:rsidR="000753D5">
        <w:rPr>
          <w:rFonts w:ascii="Times" w:hAnsi="Times" w:cs="Times"/>
          <w:sz w:val="26"/>
          <w:szCs w:val="26"/>
        </w:rPr>
        <w:t>7</w:t>
      </w:r>
      <w:r w:rsidRPr="00702DC6">
        <w:rPr>
          <w:rFonts w:ascii="Times" w:hAnsi="Times" w:cs="Times"/>
          <w:sz w:val="26"/>
          <w:szCs w:val="26"/>
        </w:rPr>
        <w:t>, 2021.</w:t>
      </w:r>
      <w:r w:rsidR="006B7B75">
        <w:rPr>
          <w:rFonts w:ascii="Times" w:hAnsi="Times" w:cs="Times"/>
          <w:sz w:val="26"/>
          <w:szCs w:val="26"/>
        </w:rPr>
        <w:t xml:space="preserve"> </w:t>
      </w:r>
      <w:r w:rsidRPr="00702DC6">
        <w:rPr>
          <w:rFonts w:ascii="Times" w:hAnsi="Times" w:cs="Times"/>
          <w:sz w:val="26"/>
          <w:szCs w:val="26"/>
        </w:rPr>
        <w:t xml:space="preserve"> </w:t>
      </w:r>
      <w:r w:rsidR="000753D5">
        <w:rPr>
          <w:rFonts w:ascii="Times" w:hAnsi="Times" w:cs="Times"/>
          <w:sz w:val="26"/>
          <w:szCs w:val="26"/>
        </w:rPr>
        <w:t>NFGDC</w:t>
      </w:r>
      <w:r w:rsidRPr="00702DC6">
        <w:rPr>
          <w:rFonts w:ascii="Times" w:hAnsi="Times" w:cs="Times"/>
          <w:sz w:val="26"/>
          <w:szCs w:val="26"/>
        </w:rPr>
        <w:t xml:space="preserve"> proposes to begin to distribute the savings associated with the period</w:t>
      </w:r>
      <w:r>
        <w:rPr>
          <w:rFonts w:ascii="Times" w:hAnsi="Times" w:cs="Times"/>
          <w:sz w:val="26"/>
          <w:szCs w:val="26"/>
        </w:rPr>
        <w:t xml:space="preserve"> o</w:t>
      </w:r>
      <w:r w:rsidRPr="00702DC6">
        <w:rPr>
          <w:rFonts w:ascii="Times" w:hAnsi="Times" w:cs="Times"/>
          <w:sz w:val="26"/>
          <w:szCs w:val="26"/>
        </w:rPr>
        <w:t xml:space="preserve">n </w:t>
      </w:r>
      <w:r w:rsidR="005F5C2D">
        <w:rPr>
          <w:rFonts w:ascii="Times" w:hAnsi="Times" w:cs="Times"/>
          <w:sz w:val="26"/>
          <w:szCs w:val="26"/>
        </w:rPr>
        <w:t>October</w:t>
      </w:r>
      <w:r w:rsidRPr="00702DC6">
        <w:rPr>
          <w:rFonts w:ascii="Times" w:hAnsi="Times" w:cs="Times"/>
          <w:sz w:val="26"/>
          <w:szCs w:val="26"/>
        </w:rPr>
        <w:t xml:space="preserve"> 1, 202</w:t>
      </w:r>
      <w:r w:rsidR="005F5C2D">
        <w:rPr>
          <w:rFonts w:ascii="Times" w:hAnsi="Times" w:cs="Times"/>
          <w:sz w:val="26"/>
          <w:szCs w:val="26"/>
        </w:rPr>
        <w:t>1</w:t>
      </w:r>
      <w:r w:rsidRPr="00702DC6">
        <w:rPr>
          <w:rFonts w:ascii="Times" w:hAnsi="Times" w:cs="Times"/>
          <w:sz w:val="26"/>
          <w:szCs w:val="26"/>
        </w:rPr>
        <w:t>.</w:t>
      </w:r>
      <w:r w:rsidR="00572CB1">
        <w:rPr>
          <w:rFonts w:ascii="Times" w:hAnsi="Times" w:cs="Times"/>
          <w:sz w:val="26"/>
          <w:szCs w:val="26"/>
        </w:rPr>
        <w:t xml:space="preserve">  The Company</w:t>
      </w:r>
      <w:r w:rsidRPr="00702DC6">
        <w:rPr>
          <w:rFonts w:ascii="Times" w:hAnsi="Times" w:cs="Times"/>
          <w:sz w:val="26"/>
          <w:szCs w:val="26"/>
        </w:rPr>
        <w:t xml:space="preserve"> has proposed</w:t>
      </w:r>
      <w:r>
        <w:rPr>
          <w:rFonts w:ascii="Times" w:hAnsi="Times" w:cs="Times"/>
          <w:sz w:val="26"/>
          <w:szCs w:val="26"/>
        </w:rPr>
        <w:t xml:space="preserve"> </w:t>
      </w:r>
      <w:r w:rsidRPr="00702DC6">
        <w:rPr>
          <w:rFonts w:ascii="Times" w:hAnsi="Times" w:cs="Times"/>
          <w:sz w:val="26"/>
          <w:szCs w:val="26"/>
        </w:rPr>
        <w:t xml:space="preserve">to revise the existing TCJA </w:t>
      </w:r>
      <w:r w:rsidR="008F33FE">
        <w:rPr>
          <w:rFonts w:ascii="Times" w:hAnsi="Times" w:cs="Times"/>
          <w:sz w:val="26"/>
          <w:szCs w:val="26"/>
        </w:rPr>
        <w:t>Temporary</w:t>
      </w:r>
      <w:r w:rsidR="00266ED1">
        <w:rPr>
          <w:rFonts w:ascii="Times" w:hAnsi="Times" w:cs="Times"/>
          <w:sz w:val="26"/>
          <w:szCs w:val="26"/>
        </w:rPr>
        <w:t xml:space="preserve"> S</w:t>
      </w:r>
      <w:r w:rsidRPr="00702DC6">
        <w:rPr>
          <w:rFonts w:ascii="Times" w:hAnsi="Times" w:cs="Times"/>
          <w:sz w:val="26"/>
          <w:szCs w:val="26"/>
        </w:rPr>
        <w:t>urcharge mechanism to provide for the distribution of these savings</w:t>
      </w:r>
      <w:r>
        <w:rPr>
          <w:rFonts w:ascii="Times" w:hAnsi="Times" w:cs="Times"/>
          <w:sz w:val="26"/>
          <w:szCs w:val="26"/>
        </w:rPr>
        <w:t xml:space="preserve"> </w:t>
      </w:r>
      <w:r w:rsidRPr="00702DC6">
        <w:rPr>
          <w:rFonts w:ascii="Times" w:hAnsi="Times" w:cs="Times"/>
          <w:sz w:val="26"/>
          <w:szCs w:val="26"/>
        </w:rPr>
        <w:t xml:space="preserve">from </w:t>
      </w:r>
      <w:r w:rsidR="00572CB1">
        <w:rPr>
          <w:rFonts w:ascii="Times" w:hAnsi="Times" w:cs="Times"/>
          <w:sz w:val="26"/>
          <w:szCs w:val="26"/>
        </w:rPr>
        <w:t xml:space="preserve">October </w:t>
      </w:r>
      <w:r w:rsidRPr="00702DC6">
        <w:rPr>
          <w:rFonts w:ascii="Times" w:hAnsi="Times" w:cs="Times"/>
          <w:sz w:val="26"/>
          <w:szCs w:val="26"/>
        </w:rPr>
        <w:t>1, 202</w:t>
      </w:r>
      <w:r w:rsidR="009B0080">
        <w:rPr>
          <w:rFonts w:ascii="Times" w:hAnsi="Times" w:cs="Times"/>
          <w:sz w:val="26"/>
          <w:szCs w:val="26"/>
        </w:rPr>
        <w:t>1</w:t>
      </w:r>
      <w:r w:rsidRPr="00702DC6">
        <w:rPr>
          <w:rFonts w:ascii="Times" w:hAnsi="Times" w:cs="Times"/>
          <w:sz w:val="26"/>
          <w:szCs w:val="26"/>
        </w:rPr>
        <w:t xml:space="preserve">, through </w:t>
      </w:r>
      <w:r w:rsidR="00572CB1">
        <w:rPr>
          <w:rFonts w:ascii="Times" w:hAnsi="Times" w:cs="Times"/>
          <w:sz w:val="26"/>
          <w:szCs w:val="26"/>
        </w:rPr>
        <w:t>September 30</w:t>
      </w:r>
      <w:r w:rsidRPr="00702DC6">
        <w:rPr>
          <w:rFonts w:ascii="Times" w:hAnsi="Times" w:cs="Times"/>
          <w:sz w:val="26"/>
          <w:szCs w:val="26"/>
        </w:rPr>
        <w:t>, 202</w:t>
      </w:r>
      <w:r w:rsidR="00572CB1">
        <w:rPr>
          <w:rFonts w:ascii="Times" w:hAnsi="Times" w:cs="Times"/>
          <w:sz w:val="26"/>
          <w:szCs w:val="26"/>
        </w:rPr>
        <w:t>2</w:t>
      </w:r>
      <w:r w:rsidRPr="00702DC6">
        <w:rPr>
          <w:rFonts w:ascii="Times" w:hAnsi="Times" w:cs="Times"/>
          <w:sz w:val="26"/>
          <w:szCs w:val="26"/>
        </w:rPr>
        <w:t>.</w:t>
      </w:r>
      <w:r w:rsidR="00DA1817">
        <w:rPr>
          <w:rFonts w:ascii="Times" w:hAnsi="Times" w:cs="Times"/>
          <w:sz w:val="26"/>
          <w:szCs w:val="26"/>
        </w:rPr>
        <w:tab/>
      </w:r>
    </w:p>
    <w:p w14:paraId="024CFD10" w14:textId="77777777" w:rsidR="00A900F3" w:rsidRDefault="00A900F3" w:rsidP="00702DC6">
      <w:pPr>
        <w:pStyle w:val="p3"/>
        <w:spacing w:line="360" w:lineRule="auto"/>
        <w:rPr>
          <w:rFonts w:ascii="Times" w:hAnsi="Times" w:cs="Times"/>
          <w:sz w:val="26"/>
          <w:szCs w:val="26"/>
        </w:rPr>
      </w:pPr>
    </w:p>
    <w:p w14:paraId="3EBA3633" w14:textId="77777777" w:rsidR="00A900F3" w:rsidRDefault="00A900F3" w:rsidP="00A900F3">
      <w:pPr>
        <w:pStyle w:val="p3"/>
        <w:tabs>
          <w:tab w:val="clear" w:pos="204"/>
        </w:tabs>
        <w:spacing w:line="360" w:lineRule="auto"/>
        <w:rPr>
          <w:rFonts w:ascii="Times" w:hAnsi="Times" w:cs="Times"/>
          <w:b/>
          <w:sz w:val="26"/>
          <w:szCs w:val="26"/>
        </w:rPr>
      </w:pPr>
      <w:r w:rsidRPr="00595D86">
        <w:rPr>
          <w:rFonts w:ascii="Times" w:hAnsi="Times" w:cs="Times"/>
          <w:b/>
          <w:sz w:val="26"/>
          <w:szCs w:val="26"/>
        </w:rPr>
        <w:t>The Petition</w:t>
      </w:r>
    </w:p>
    <w:p w14:paraId="441A42D8" w14:textId="3E8328B8" w:rsidR="00604407" w:rsidRDefault="00604407" w:rsidP="00702DC6">
      <w:pPr>
        <w:pStyle w:val="p3"/>
        <w:spacing w:line="360" w:lineRule="auto"/>
        <w:rPr>
          <w:rFonts w:ascii="Times" w:hAnsi="Times" w:cs="Times"/>
          <w:sz w:val="26"/>
          <w:szCs w:val="26"/>
        </w:rPr>
      </w:pPr>
    </w:p>
    <w:p w14:paraId="40EF824A" w14:textId="0729C3C3" w:rsidR="00604407" w:rsidRDefault="00604407" w:rsidP="00604407">
      <w:pPr>
        <w:pStyle w:val="p3"/>
        <w:widowControl/>
        <w:tabs>
          <w:tab w:val="clear" w:pos="204"/>
          <w:tab w:val="left" w:pos="720"/>
        </w:tabs>
        <w:spacing w:line="360" w:lineRule="auto"/>
        <w:ind w:firstLine="720"/>
        <w:rPr>
          <w:sz w:val="26"/>
          <w:szCs w:val="26"/>
        </w:rPr>
      </w:pPr>
      <w:r>
        <w:rPr>
          <w:rFonts w:ascii="Times" w:hAnsi="Times" w:cs="Times"/>
          <w:sz w:val="26"/>
          <w:szCs w:val="26"/>
        </w:rPr>
        <w:t>The</w:t>
      </w:r>
      <w:r w:rsidR="001D6AD7">
        <w:rPr>
          <w:rFonts w:ascii="Times" w:hAnsi="Times" w:cs="Times"/>
          <w:sz w:val="26"/>
          <w:szCs w:val="26"/>
        </w:rPr>
        <w:t xml:space="preserve"> </w:t>
      </w:r>
      <w:r w:rsidR="00BA1D11">
        <w:rPr>
          <w:rFonts w:ascii="Times" w:hAnsi="Times" w:cs="Times"/>
          <w:sz w:val="26"/>
          <w:szCs w:val="26"/>
        </w:rPr>
        <w:t>National Fuel Gas Distribution</w:t>
      </w:r>
      <w:r w:rsidR="001D6AD7">
        <w:rPr>
          <w:rFonts w:ascii="Times" w:hAnsi="Times" w:cs="Times"/>
          <w:sz w:val="26"/>
          <w:szCs w:val="26"/>
        </w:rPr>
        <w:t xml:space="preserve"> </w:t>
      </w:r>
      <w:r w:rsidR="003A3D73">
        <w:rPr>
          <w:rFonts w:ascii="Times" w:hAnsi="Times" w:cs="Times"/>
          <w:sz w:val="26"/>
          <w:szCs w:val="26"/>
        </w:rPr>
        <w:t>Compliance</w:t>
      </w:r>
      <w:r>
        <w:rPr>
          <w:rFonts w:ascii="Times" w:hAnsi="Times" w:cs="Times"/>
          <w:sz w:val="26"/>
          <w:szCs w:val="26"/>
        </w:rPr>
        <w:t xml:space="preserve"> Order required </w:t>
      </w:r>
      <w:r w:rsidR="001D6AD7">
        <w:rPr>
          <w:rFonts w:ascii="Times" w:hAnsi="Times" w:cs="Times"/>
          <w:sz w:val="26"/>
          <w:szCs w:val="26"/>
        </w:rPr>
        <w:t>NFGDC</w:t>
      </w:r>
      <w:r>
        <w:rPr>
          <w:rFonts w:ascii="Times" w:hAnsi="Times" w:cs="Times"/>
          <w:sz w:val="26"/>
          <w:szCs w:val="26"/>
        </w:rPr>
        <w:t xml:space="preserve"> to establish a deferred regulatory liability account to record the tax savings associated with the Stub Period.  The </w:t>
      </w:r>
      <w:r w:rsidRPr="00604407">
        <w:rPr>
          <w:rFonts w:ascii="Times" w:hAnsi="Times" w:cs="Times"/>
          <w:sz w:val="26"/>
          <w:szCs w:val="26"/>
        </w:rPr>
        <w:t xml:space="preserve">account </w:t>
      </w:r>
      <w:r w:rsidR="00EA0DCE">
        <w:rPr>
          <w:rFonts w:ascii="Times" w:hAnsi="Times" w:cs="Times"/>
          <w:sz w:val="26"/>
          <w:szCs w:val="26"/>
        </w:rPr>
        <w:t xml:space="preserve">was to </w:t>
      </w:r>
      <w:r w:rsidRPr="00604407">
        <w:rPr>
          <w:rFonts w:ascii="Times" w:hAnsi="Times" w:cs="Times"/>
          <w:sz w:val="26"/>
          <w:szCs w:val="26"/>
        </w:rPr>
        <w:t xml:space="preserve">accrue interest at the residential mortgage lending rate </w:t>
      </w:r>
      <w:r>
        <w:rPr>
          <w:rFonts w:ascii="Times" w:hAnsi="Times" w:cs="Times"/>
          <w:sz w:val="26"/>
          <w:szCs w:val="26"/>
        </w:rPr>
        <w:t xml:space="preserve">as </w:t>
      </w:r>
      <w:r w:rsidRPr="00604407">
        <w:rPr>
          <w:rFonts w:ascii="Times" w:hAnsi="Times" w:cs="Times"/>
          <w:sz w:val="26"/>
          <w:szCs w:val="26"/>
        </w:rPr>
        <w:t>specified by the Secretary of Banking in accordance with the Loan Interest and Protection Law (41. P.S. §§ 101, et seq.).</w:t>
      </w:r>
      <w:r>
        <w:rPr>
          <w:rFonts w:ascii="Times" w:hAnsi="Times" w:cs="Times"/>
          <w:sz w:val="26"/>
          <w:szCs w:val="26"/>
        </w:rPr>
        <w:t xml:space="preserve">  The Commission further determined that the </w:t>
      </w:r>
      <w:r>
        <w:rPr>
          <w:sz w:val="26"/>
          <w:szCs w:val="26"/>
        </w:rPr>
        <w:t>rate treatment of this account was to be addressed</w:t>
      </w:r>
      <w:r w:rsidR="003B45CD" w:rsidRPr="003B45CD">
        <w:rPr>
          <w:sz w:val="26"/>
          <w:szCs w:val="26"/>
        </w:rPr>
        <w:t xml:space="preserve"> </w:t>
      </w:r>
      <w:r w:rsidR="003B45CD">
        <w:rPr>
          <w:sz w:val="26"/>
          <w:szCs w:val="26"/>
        </w:rPr>
        <w:t xml:space="preserve">in a Section 1308(d) general base rate case.  </w:t>
      </w:r>
      <w:r w:rsidR="00EA17BE">
        <w:rPr>
          <w:sz w:val="26"/>
          <w:szCs w:val="26"/>
        </w:rPr>
        <w:t>If</w:t>
      </w:r>
      <w:r w:rsidR="003B45CD">
        <w:rPr>
          <w:sz w:val="26"/>
          <w:szCs w:val="26"/>
        </w:rPr>
        <w:t xml:space="preserve"> a general base rate case was not filed </w:t>
      </w:r>
      <w:r>
        <w:rPr>
          <w:sz w:val="26"/>
          <w:szCs w:val="26"/>
        </w:rPr>
        <w:t xml:space="preserve">within three (3) years of the </w:t>
      </w:r>
      <w:r w:rsidR="00EA17BE">
        <w:rPr>
          <w:sz w:val="26"/>
          <w:szCs w:val="26"/>
        </w:rPr>
        <w:t xml:space="preserve">adoption date of the </w:t>
      </w:r>
      <w:r w:rsidR="00442467">
        <w:rPr>
          <w:rFonts w:ascii="Times" w:hAnsi="Times" w:cs="Times"/>
          <w:sz w:val="26"/>
          <w:szCs w:val="26"/>
        </w:rPr>
        <w:t>National Fuel Gas Distribution</w:t>
      </w:r>
      <w:r w:rsidR="003A3D73">
        <w:rPr>
          <w:sz w:val="26"/>
          <w:szCs w:val="26"/>
        </w:rPr>
        <w:t xml:space="preserve"> Compliance</w:t>
      </w:r>
      <w:r>
        <w:rPr>
          <w:sz w:val="26"/>
          <w:szCs w:val="26"/>
        </w:rPr>
        <w:t xml:space="preserve"> Order</w:t>
      </w:r>
      <w:r w:rsidR="00EA17BE">
        <w:rPr>
          <w:sz w:val="26"/>
          <w:szCs w:val="26"/>
        </w:rPr>
        <w:t xml:space="preserve">, </w:t>
      </w:r>
      <w:r w:rsidR="00442467">
        <w:rPr>
          <w:sz w:val="26"/>
          <w:szCs w:val="26"/>
        </w:rPr>
        <w:t>NFGDC</w:t>
      </w:r>
      <w:r w:rsidR="00F26542">
        <w:rPr>
          <w:sz w:val="26"/>
          <w:szCs w:val="26"/>
        </w:rPr>
        <w:t xml:space="preserve"> </w:t>
      </w:r>
      <w:r w:rsidR="00EA17BE">
        <w:rPr>
          <w:sz w:val="26"/>
          <w:szCs w:val="26"/>
        </w:rPr>
        <w:t>shall</w:t>
      </w:r>
      <w:r>
        <w:rPr>
          <w:sz w:val="26"/>
          <w:szCs w:val="26"/>
        </w:rPr>
        <w:t xml:space="preserve"> file a petition to propose how to distribute the funds in the regulatory liability account.</w:t>
      </w:r>
    </w:p>
    <w:p w14:paraId="128A9BCC" w14:textId="77777777" w:rsidR="00F26542" w:rsidRDefault="00F26542" w:rsidP="00702DC6">
      <w:pPr>
        <w:pStyle w:val="p3"/>
        <w:tabs>
          <w:tab w:val="clear" w:pos="204"/>
        </w:tabs>
        <w:spacing w:line="360" w:lineRule="auto"/>
        <w:ind w:firstLine="720"/>
        <w:rPr>
          <w:rFonts w:ascii="Times" w:hAnsi="Times" w:cs="Times"/>
          <w:sz w:val="26"/>
          <w:szCs w:val="26"/>
        </w:rPr>
      </w:pPr>
    </w:p>
    <w:p w14:paraId="6776CBF7" w14:textId="7733B856" w:rsidR="00EA0DCE" w:rsidRDefault="00AD0809" w:rsidP="00EA0DCE">
      <w:pPr>
        <w:pStyle w:val="p3"/>
        <w:tabs>
          <w:tab w:val="clear" w:pos="204"/>
        </w:tabs>
        <w:spacing w:line="360" w:lineRule="auto"/>
        <w:ind w:firstLine="720"/>
        <w:rPr>
          <w:rFonts w:ascii="Times" w:hAnsi="Times" w:cs="Times"/>
          <w:sz w:val="26"/>
          <w:szCs w:val="26"/>
        </w:rPr>
      </w:pPr>
      <w:r>
        <w:rPr>
          <w:rFonts w:ascii="Times" w:hAnsi="Times" w:cs="Times"/>
          <w:sz w:val="26"/>
          <w:szCs w:val="26"/>
        </w:rPr>
        <w:t>Currently</w:t>
      </w:r>
      <w:r w:rsidR="00204828">
        <w:rPr>
          <w:rFonts w:ascii="Times" w:hAnsi="Times" w:cs="Times"/>
          <w:sz w:val="26"/>
          <w:szCs w:val="26"/>
        </w:rPr>
        <w:t>, the Company has a negative TCJA surcharge of -2.20%</w:t>
      </w:r>
      <w:r w:rsidR="007E1EE4">
        <w:rPr>
          <w:rFonts w:ascii="Times" w:hAnsi="Times" w:cs="Times"/>
          <w:sz w:val="26"/>
          <w:szCs w:val="26"/>
        </w:rPr>
        <w:t xml:space="preserve">, which applies as a credit for intrastate service on all customer bills.  </w:t>
      </w:r>
      <w:r w:rsidR="003719E1">
        <w:rPr>
          <w:rFonts w:ascii="Times" w:hAnsi="Times" w:cs="Times"/>
          <w:sz w:val="26"/>
          <w:szCs w:val="26"/>
        </w:rPr>
        <w:t>NFGDC</w:t>
      </w:r>
      <w:r w:rsidR="00EA0DCE">
        <w:rPr>
          <w:rFonts w:ascii="Times" w:hAnsi="Times" w:cs="Times"/>
          <w:sz w:val="26"/>
          <w:szCs w:val="26"/>
        </w:rPr>
        <w:t xml:space="preserve"> states that it recorded actual tax savings for the Stub Period of </w:t>
      </w:r>
      <w:bookmarkStart w:id="2" w:name="_Hlk79662472"/>
      <w:r w:rsidR="00EA0DCE">
        <w:rPr>
          <w:rFonts w:ascii="Times" w:hAnsi="Times" w:cs="Times"/>
          <w:sz w:val="26"/>
          <w:szCs w:val="26"/>
        </w:rPr>
        <w:t>$</w:t>
      </w:r>
      <w:bookmarkStart w:id="3" w:name="_Hlk77762853"/>
      <w:r w:rsidR="001C0C55">
        <w:rPr>
          <w:rFonts w:ascii="Times" w:hAnsi="Times" w:cs="Times"/>
          <w:sz w:val="26"/>
          <w:szCs w:val="26"/>
        </w:rPr>
        <w:t>3,</w:t>
      </w:r>
      <w:r w:rsidR="00F2344A">
        <w:rPr>
          <w:rFonts w:ascii="Times" w:hAnsi="Times" w:cs="Times"/>
          <w:sz w:val="26"/>
          <w:szCs w:val="26"/>
        </w:rPr>
        <w:t>129</w:t>
      </w:r>
      <w:r w:rsidR="008118D6">
        <w:rPr>
          <w:rFonts w:ascii="Times" w:hAnsi="Times" w:cs="Times"/>
          <w:sz w:val="26"/>
          <w:szCs w:val="26"/>
        </w:rPr>
        <w:t>,</w:t>
      </w:r>
      <w:r w:rsidR="00F2344A">
        <w:rPr>
          <w:rFonts w:ascii="Times" w:hAnsi="Times" w:cs="Times"/>
          <w:sz w:val="26"/>
          <w:szCs w:val="26"/>
        </w:rPr>
        <w:t>413.36</w:t>
      </w:r>
      <w:r w:rsidR="00EA0DCE">
        <w:rPr>
          <w:rFonts w:ascii="Times" w:hAnsi="Times" w:cs="Times"/>
          <w:sz w:val="26"/>
          <w:szCs w:val="26"/>
        </w:rPr>
        <w:t xml:space="preserve"> </w:t>
      </w:r>
      <w:bookmarkEnd w:id="2"/>
      <w:bookmarkEnd w:id="3"/>
      <w:r w:rsidR="00EA0DCE">
        <w:rPr>
          <w:rFonts w:ascii="Times" w:hAnsi="Times" w:cs="Times"/>
          <w:sz w:val="26"/>
          <w:szCs w:val="26"/>
        </w:rPr>
        <w:t>plus accrued interest of $</w:t>
      </w:r>
      <w:r w:rsidR="00F2344A">
        <w:rPr>
          <w:rFonts w:ascii="Times" w:hAnsi="Times" w:cs="Times"/>
          <w:sz w:val="26"/>
          <w:szCs w:val="26"/>
        </w:rPr>
        <w:t>433,897.46</w:t>
      </w:r>
      <w:r w:rsidR="00065C00">
        <w:rPr>
          <w:rFonts w:ascii="Times" w:hAnsi="Times" w:cs="Times"/>
          <w:sz w:val="26"/>
          <w:szCs w:val="26"/>
        </w:rPr>
        <w:t xml:space="preserve"> </w:t>
      </w:r>
      <w:r w:rsidR="00EA0DCE">
        <w:rPr>
          <w:rFonts w:ascii="Times" w:hAnsi="Times" w:cs="Times"/>
          <w:sz w:val="26"/>
          <w:szCs w:val="26"/>
        </w:rPr>
        <w:t>for a total of $</w:t>
      </w:r>
      <w:r w:rsidR="008118D6">
        <w:rPr>
          <w:rFonts w:ascii="Times" w:hAnsi="Times" w:cs="Times"/>
          <w:sz w:val="26"/>
          <w:szCs w:val="26"/>
        </w:rPr>
        <w:t>3,563,310.82</w:t>
      </w:r>
      <w:r w:rsidR="00EA0DCE">
        <w:rPr>
          <w:rFonts w:ascii="Times" w:hAnsi="Times" w:cs="Times"/>
          <w:sz w:val="26"/>
          <w:szCs w:val="26"/>
        </w:rPr>
        <w:t>.</w:t>
      </w:r>
      <w:r w:rsidR="00E8478E">
        <w:rPr>
          <w:rFonts w:ascii="Times" w:hAnsi="Times" w:cs="Times"/>
          <w:sz w:val="26"/>
          <w:szCs w:val="26"/>
        </w:rPr>
        <w:t xml:space="preserve">  The Company proposes </w:t>
      </w:r>
      <w:r w:rsidR="00734042">
        <w:rPr>
          <w:rFonts w:ascii="Times" w:hAnsi="Times" w:cs="Times"/>
          <w:sz w:val="26"/>
          <w:szCs w:val="26"/>
        </w:rPr>
        <w:t xml:space="preserve">to refund </w:t>
      </w:r>
      <w:r w:rsidR="00993F83">
        <w:rPr>
          <w:rFonts w:ascii="Times" w:hAnsi="Times" w:cs="Times"/>
          <w:sz w:val="26"/>
          <w:szCs w:val="26"/>
        </w:rPr>
        <w:t>these</w:t>
      </w:r>
      <w:r w:rsidR="00734042">
        <w:rPr>
          <w:rFonts w:ascii="Times" w:hAnsi="Times" w:cs="Times"/>
          <w:sz w:val="26"/>
          <w:szCs w:val="26"/>
        </w:rPr>
        <w:t xml:space="preserve"> tax saving for the Stub Period through the current TCJA mechanism</w:t>
      </w:r>
      <w:r w:rsidR="00314B10">
        <w:rPr>
          <w:rFonts w:ascii="Times" w:hAnsi="Times" w:cs="Times"/>
          <w:sz w:val="26"/>
          <w:szCs w:val="26"/>
        </w:rPr>
        <w:t>.</w:t>
      </w:r>
      <w:r w:rsidR="00EA0DCE">
        <w:rPr>
          <w:rFonts w:ascii="Times" w:hAnsi="Times" w:cs="Times"/>
          <w:sz w:val="26"/>
          <w:szCs w:val="26"/>
        </w:rPr>
        <w:t xml:space="preserve">  </w:t>
      </w:r>
    </w:p>
    <w:p w14:paraId="17A652F6" w14:textId="65E716A5" w:rsidR="00F26542" w:rsidRDefault="00F26542" w:rsidP="00631ED3">
      <w:pPr>
        <w:pStyle w:val="p3"/>
        <w:tabs>
          <w:tab w:val="clear" w:pos="204"/>
        </w:tabs>
        <w:spacing w:line="360" w:lineRule="auto"/>
        <w:rPr>
          <w:rFonts w:ascii="Times" w:hAnsi="Times" w:cs="Times"/>
          <w:sz w:val="26"/>
          <w:szCs w:val="26"/>
        </w:rPr>
      </w:pPr>
    </w:p>
    <w:p w14:paraId="01D5B7DD" w14:textId="77777777" w:rsidR="00A900F3" w:rsidRDefault="00A900F3" w:rsidP="00A900F3">
      <w:pPr>
        <w:pStyle w:val="p3"/>
        <w:tabs>
          <w:tab w:val="clear" w:pos="204"/>
        </w:tabs>
        <w:spacing w:line="360" w:lineRule="auto"/>
        <w:rPr>
          <w:rFonts w:ascii="Times" w:hAnsi="Times" w:cs="Times"/>
          <w:b/>
          <w:sz w:val="26"/>
          <w:szCs w:val="26"/>
        </w:rPr>
      </w:pPr>
      <w:r w:rsidRPr="00595D86">
        <w:rPr>
          <w:rFonts w:ascii="Times" w:hAnsi="Times" w:cs="Times"/>
          <w:b/>
          <w:sz w:val="26"/>
          <w:szCs w:val="26"/>
        </w:rPr>
        <w:t>Discussion</w:t>
      </w:r>
    </w:p>
    <w:p w14:paraId="6A5562C9" w14:textId="77777777" w:rsidR="003A3D73" w:rsidRDefault="003A3D73" w:rsidP="00D31B44">
      <w:pPr>
        <w:pStyle w:val="p3"/>
        <w:tabs>
          <w:tab w:val="clear" w:pos="204"/>
        </w:tabs>
        <w:spacing w:line="360" w:lineRule="auto"/>
        <w:rPr>
          <w:rFonts w:ascii="Times" w:hAnsi="Times" w:cs="Times"/>
          <w:sz w:val="26"/>
          <w:szCs w:val="26"/>
        </w:rPr>
      </w:pPr>
    </w:p>
    <w:p w14:paraId="0A1D01D4" w14:textId="7FC5B64F" w:rsidR="00C058DD" w:rsidRDefault="003A3D73" w:rsidP="003A3D73">
      <w:pPr>
        <w:pStyle w:val="p3"/>
        <w:tabs>
          <w:tab w:val="clear" w:pos="204"/>
        </w:tabs>
        <w:spacing w:line="360" w:lineRule="auto"/>
        <w:ind w:firstLine="720"/>
        <w:rPr>
          <w:rFonts w:ascii="Times" w:hAnsi="Times" w:cs="Times"/>
          <w:sz w:val="26"/>
          <w:szCs w:val="26"/>
        </w:rPr>
      </w:pPr>
      <w:r>
        <w:rPr>
          <w:rFonts w:ascii="Times" w:hAnsi="Times" w:cs="Times"/>
          <w:sz w:val="26"/>
          <w:szCs w:val="26"/>
        </w:rPr>
        <w:t xml:space="preserve">The </w:t>
      </w:r>
      <w:r w:rsidR="008764C3">
        <w:rPr>
          <w:rFonts w:ascii="Times" w:hAnsi="Times" w:cs="Times"/>
          <w:sz w:val="26"/>
          <w:szCs w:val="26"/>
        </w:rPr>
        <w:t>National Fuel Gas Distribution</w:t>
      </w:r>
      <w:r>
        <w:rPr>
          <w:rFonts w:ascii="Times" w:hAnsi="Times" w:cs="Times"/>
          <w:sz w:val="26"/>
          <w:szCs w:val="26"/>
        </w:rPr>
        <w:t xml:space="preserve"> Compliance Order required </w:t>
      </w:r>
      <w:r w:rsidR="008764C3">
        <w:rPr>
          <w:rFonts w:ascii="Times" w:hAnsi="Times" w:cs="Times"/>
          <w:sz w:val="26"/>
          <w:szCs w:val="26"/>
        </w:rPr>
        <w:t>NFGDC</w:t>
      </w:r>
      <w:r>
        <w:rPr>
          <w:rFonts w:ascii="Times" w:hAnsi="Times" w:cs="Times"/>
          <w:sz w:val="26"/>
          <w:szCs w:val="26"/>
        </w:rPr>
        <w:t xml:space="preserve"> to petition the Commission to distribute the TCJA savings if the rate treatment for this account was not addressed in a 1308(d) general base rate case within three years of the </w:t>
      </w:r>
      <w:r>
        <w:rPr>
          <w:rFonts w:ascii="Times" w:hAnsi="Times" w:cs="Times"/>
          <w:sz w:val="26"/>
          <w:szCs w:val="26"/>
        </w:rPr>
        <w:lastRenderedPageBreak/>
        <w:t xml:space="preserve">Order entered date.  </w:t>
      </w:r>
      <w:r w:rsidR="00160129">
        <w:rPr>
          <w:rFonts w:ascii="Times" w:hAnsi="Times" w:cs="Times"/>
          <w:sz w:val="26"/>
          <w:szCs w:val="26"/>
        </w:rPr>
        <w:t>As NFGDC</w:t>
      </w:r>
      <w:r w:rsidR="00314865">
        <w:rPr>
          <w:rFonts w:ascii="Times" w:hAnsi="Times" w:cs="Times"/>
          <w:sz w:val="26"/>
          <w:szCs w:val="26"/>
        </w:rPr>
        <w:t xml:space="preserve"> has not filed and </w:t>
      </w:r>
      <w:r w:rsidR="00A97E3A">
        <w:rPr>
          <w:rFonts w:ascii="Times" w:hAnsi="Times" w:cs="Times"/>
          <w:sz w:val="26"/>
          <w:szCs w:val="26"/>
        </w:rPr>
        <w:t>did no</w:t>
      </w:r>
      <w:r w:rsidR="000E532F">
        <w:rPr>
          <w:rFonts w:ascii="Times" w:hAnsi="Times" w:cs="Times"/>
          <w:sz w:val="26"/>
          <w:szCs w:val="26"/>
        </w:rPr>
        <w:t>t</w:t>
      </w:r>
      <w:r w:rsidR="00A97E3A">
        <w:rPr>
          <w:rFonts w:ascii="Times" w:hAnsi="Times" w:cs="Times"/>
          <w:sz w:val="26"/>
          <w:szCs w:val="26"/>
        </w:rPr>
        <w:t xml:space="preserve"> intend to file a </w:t>
      </w:r>
      <w:r w:rsidR="000E532F">
        <w:rPr>
          <w:rFonts w:ascii="Times" w:hAnsi="Times" w:cs="Times"/>
          <w:sz w:val="26"/>
          <w:szCs w:val="26"/>
        </w:rPr>
        <w:t xml:space="preserve">1308(d) </w:t>
      </w:r>
      <w:r w:rsidR="00A97E3A">
        <w:rPr>
          <w:rFonts w:ascii="Times" w:hAnsi="Times" w:cs="Times"/>
          <w:sz w:val="26"/>
          <w:szCs w:val="26"/>
        </w:rPr>
        <w:t>general base rate case</w:t>
      </w:r>
      <w:r w:rsidR="009C0F4A">
        <w:rPr>
          <w:rFonts w:ascii="Times" w:hAnsi="Times" w:cs="Times"/>
          <w:sz w:val="26"/>
          <w:szCs w:val="26"/>
        </w:rPr>
        <w:t xml:space="preserve"> on or before May 17, 2021</w:t>
      </w:r>
      <w:r w:rsidR="006320A5">
        <w:rPr>
          <w:rFonts w:ascii="Times" w:hAnsi="Times" w:cs="Times"/>
          <w:sz w:val="26"/>
          <w:szCs w:val="26"/>
        </w:rPr>
        <w:t xml:space="preserve">, </w:t>
      </w:r>
      <w:r w:rsidR="008F41E3">
        <w:rPr>
          <w:rFonts w:ascii="Times" w:hAnsi="Times" w:cs="Times"/>
          <w:sz w:val="26"/>
          <w:szCs w:val="26"/>
        </w:rPr>
        <w:t>the Company</w:t>
      </w:r>
      <w:r w:rsidR="006320A5">
        <w:rPr>
          <w:rFonts w:ascii="Times" w:hAnsi="Times" w:cs="Times"/>
          <w:sz w:val="26"/>
          <w:szCs w:val="26"/>
        </w:rPr>
        <w:t xml:space="preserve"> was required to file this petition.</w:t>
      </w:r>
    </w:p>
    <w:p w14:paraId="02573586" w14:textId="77777777" w:rsidR="002141B0" w:rsidRDefault="002141B0" w:rsidP="003A3D73">
      <w:pPr>
        <w:pStyle w:val="p3"/>
        <w:tabs>
          <w:tab w:val="clear" w:pos="204"/>
        </w:tabs>
        <w:spacing w:line="360" w:lineRule="auto"/>
        <w:ind w:firstLine="720"/>
        <w:rPr>
          <w:rFonts w:ascii="Times" w:hAnsi="Times" w:cs="Times"/>
          <w:sz w:val="26"/>
          <w:szCs w:val="26"/>
        </w:rPr>
      </w:pPr>
    </w:p>
    <w:p w14:paraId="19C07753" w14:textId="134BB89A" w:rsidR="009E00C8" w:rsidRDefault="009E00C8" w:rsidP="003A3D73">
      <w:pPr>
        <w:spacing w:line="360" w:lineRule="auto"/>
        <w:ind w:firstLine="720"/>
        <w:rPr>
          <w:rFonts w:ascii="Times" w:hAnsi="Times" w:cs="Times"/>
          <w:sz w:val="26"/>
          <w:szCs w:val="26"/>
        </w:rPr>
      </w:pPr>
      <w:r w:rsidRPr="009E00C8">
        <w:rPr>
          <w:rFonts w:ascii="Times" w:hAnsi="Times" w:cs="Times"/>
          <w:sz w:val="26"/>
          <w:szCs w:val="26"/>
        </w:rPr>
        <w:t xml:space="preserve">Pursuant to its existing tariff, the Company makes its annual TCJA filing on or before September 1 of each year to become effective on October 1. </w:t>
      </w:r>
      <w:r w:rsidR="00CF3AD4">
        <w:rPr>
          <w:rFonts w:ascii="Times" w:hAnsi="Times" w:cs="Times"/>
          <w:sz w:val="26"/>
          <w:szCs w:val="26"/>
        </w:rPr>
        <w:t xml:space="preserve"> </w:t>
      </w:r>
      <w:r w:rsidR="00361C4D">
        <w:rPr>
          <w:rFonts w:ascii="Times" w:hAnsi="Times" w:cs="Times"/>
          <w:sz w:val="26"/>
          <w:szCs w:val="26"/>
        </w:rPr>
        <w:t xml:space="preserve">NFGDC </w:t>
      </w:r>
      <w:r w:rsidRPr="009E00C8">
        <w:rPr>
          <w:rFonts w:ascii="Times" w:hAnsi="Times" w:cs="Times"/>
          <w:sz w:val="26"/>
          <w:szCs w:val="26"/>
        </w:rPr>
        <w:t xml:space="preserve">seeks Commission approval of this filing before September 1, </w:t>
      </w:r>
      <w:proofErr w:type="gramStart"/>
      <w:r w:rsidRPr="009E00C8">
        <w:rPr>
          <w:rFonts w:ascii="Times" w:hAnsi="Times" w:cs="Times"/>
          <w:sz w:val="26"/>
          <w:szCs w:val="26"/>
        </w:rPr>
        <w:t>2021</w:t>
      </w:r>
      <w:proofErr w:type="gramEnd"/>
      <w:r w:rsidRPr="009E00C8">
        <w:rPr>
          <w:rFonts w:ascii="Times" w:hAnsi="Times" w:cs="Times"/>
          <w:sz w:val="26"/>
          <w:szCs w:val="26"/>
        </w:rPr>
        <w:t xml:space="preserve"> so that the Company can include the refund for the 2018 Stub Period in the September 1, 2021 filing to become effective October 1, 2021.</w:t>
      </w:r>
    </w:p>
    <w:p w14:paraId="46F85D97" w14:textId="77777777" w:rsidR="009E00C8" w:rsidRDefault="009E00C8" w:rsidP="003A3D73">
      <w:pPr>
        <w:spacing w:line="360" w:lineRule="auto"/>
        <w:ind w:firstLine="720"/>
        <w:rPr>
          <w:rFonts w:ascii="Times" w:hAnsi="Times" w:cs="Times"/>
          <w:sz w:val="26"/>
          <w:szCs w:val="26"/>
        </w:rPr>
      </w:pPr>
    </w:p>
    <w:p w14:paraId="1D7BDC05" w14:textId="62C5B0D0" w:rsidR="00361C4D" w:rsidRDefault="00361C4D" w:rsidP="003A3D73">
      <w:pPr>
        <w:spacing w:line="360" w:lineRule="auto"/>
        <w:ind w:firstLine="720"/>
        <w:rPr>
          <w:rFonts w:ascii="Times" w:hAnsi="Times" w:cs="Times"/>
          <w:sz w:val="26"/>
          <w:szCs w:val="26"/>
        </w:rPr>
      </w:pPr>
      <w:r>
        <w:rPr>
          <w:rFonts w:ascii="Times" w:hAnsi="Times" w:cs="Times"/>
          <w:sz w:val="26"/>
          <w:szCs w:val="26"/>
        </w:rPr>
        <w:t>NFGDC</w:t>
      </w:r>
      <w:r w:rsidR="009E3F61" w:rsidRPr="009E3F61">
        <w:rPr>
          <w:rFonts w:ascii="Times" w:hAnsi="Times" w:cs="Times"/>
          <w:sz w:val="26"/>
          <w:szCs w:val="26"/>
        </w:rPr>
        <w:t xml:space="preserve"> proposes to implement this approach because it will allow </w:t>
      </w:r>
      <w:r>
        <w:rPr>
          <w:rFonts w:ascii="Times" w:hAnsi="Times" w:cs="Times"/>
          <w:sz w:val="26"/>
          <w:szCs w:val="26"/>
        </w:rPr>
        <w:t>the Company</w:t>
      </w:r>
      <w:r w:rsidR="009E3F61" w:rsidRPr="009E3F61">
        <w:rPr>
          <w:rFonts w:ascii="Times" w:hAnsi="Times" w:cs="Times"/>
          <w:sz w:val="26"/>
          <w:szCs w:val="26"/>
        </w:rPr>
        <w:t xml:space="preserve"> to distribute the tax savings for the 2018 period, in accordance with the National Fuel Gas Distribution Compliance Order, using an existing surcharge mechanism within its tariff. </w:t>
      </w:r>
      <w:r>
        <w:rPr>
          <w:rFonts w:ascii="Times" w:hAnsi="Times" w:cs="Times"/>
          <w:sz w:val="26"/>
          <w:szCs w:val="26"/>
        </w:rPr>
        <w:t>NFGDC</w:t>
      </w:r>
      <w:r w:rsidR="009E3F61" w:rsidRPr="009E3F61">
        <w:rPr>
          <w:rFonts w:ascii="Times" w:hAnsi="Times" w:cs="Times"/>
          <w:sz w:val="26"/>
          <w:szCs w:val="26"/>
        </w:rPr>
        <w:t xml:space="preserve"> further submits that this approach is consistent with or </w:t>
      </w:r>
      <w:proofErr w:type="gramStart"/>
      <w:r w:rsidR="009E3F61" w:rsidRPr="009E3F61">
        <w:rPr>
          <w:rFonts w:ascii="Times" w:hAnsi="Times" w:cs="Times"/>
          <w:sz w:val="26"/>
          <w:szCs w:val="26"/>
        </w:rPr>
        <w:t>similar to</w:t>
      </w:r>
      <w:proofErr w:type="gramEnd"/>
      <w:r w:rsidR="009E3F61" w:rsidRPr="009E3F61">
        <w:rPr>
          <w:rFonts w:ascii="Times" w:hAnsi="Times" w:cs="Times"/>
          <w:sz w:val="26"/>
          <w:szCs w:val="26"/>
        </w:rPr>
        <w:t xml:space="preserve"> the approaches used by other utilities to refunds tax savings including accrued interest for the 2018 Stub Period, where such utilities did not file a base rate proceeding on or before May 17, 2021. </w:t>
      </w:r>
      <w:r w:rsidR="009E3F61" w:rsidRPr="00F01B00">
        <w:rPr>
          <w:rFonts w:ascii="Times" w:hAnsi="Times" w:cs="Times"/>
          <w:i/>
          <w:iCs/>
          <w:sz w:val="26"/>
          <w:szCs w:val="26"/>
        </w:rPr>
        <w:t xml:space="preserve">See, e.g., Petition of PPL Electric Utilities Corporation </w:t>
      </w:r>
      <w:r w:rsidR="00153524">
        <w:rPr>
          <w:rFonts w:ascii="Times" w:hAnsi="Times" w:cs="Times"/>
          <w:i/>
          <w:iCs/>
          <w:sz w:val="26"/>
          <w:szCs w:val="26"/>
        </w:rPr>
        <w:t>t</w:t>
      </w:r>
      <w:r w:rsidR="009E3F61" w:rsidRPr="00F01B00">
        <w:rPr>
          <w:rFonts w:ascii="Times" w:hAnsi="Times" w:cs="Times"/>
          <w:i/>
          <w:iCs/>
          <w:sz w:val="26"/>
          <w:szCs w:val="26"/>
        </w:rPr>
        <w:t>o Establish a Mechanism to Distribute the Tax Savings Associated with the TCJA for the Period Between January 1, 2018, and June 30, 2018</w:t>
      </w:r>
      <w:r w:rsidR="009E3F61" w:rsidRPr="009E3F61">
        <w:rPr>
          <w:rFonts w:ascii="Times" w:hAnsi="Times" w:cs="Times"/>
          <w:sz w:val="26"/>
          <w:szCs w:val="26"/>
        </w:rPr>
        <w:t>, Docket No. P-2019-3013366 (Order entered Nov. 14, 201</w:t>
      </w:r>
      <w:r w:rsidR="00912D6C">
        <w:rPr>
          <w:rFonts w:ascii="Times" w:hAnsi="Times" w:cs="Times"/>
          <w:sz w:val="26"/>
          <w:szCs w:val="26"/>
        </w:rPr>
        <w:t>9</w:t>
      </w:r>
      <w:r w:rsidR="009E3F61" w:rsidRPr="009E3F61">
        <w:rPr>
          <w:rFonts w:ascii="Times" w:hAnsi="Times" w:cs="Times"/>
          <w:sz w:val="26"/>
          <w:szCs w:val="26"/>
        </w:rPr>
        <w:t xml:space="preserve">) (approving a proposal to distribute the tax savings associated with the 2018 Period utilizing the utility’s existing TCJA temporary surcharge mechanism). </w:t>
      </w:r>
    </w:p>
    <w:p w14:paraId="6EEA04A5" w14:textId="7B4A7C6A" w:rsidR="00743E8F" w:rsidRPr="00A900F3" w:rsidRDefault="00743E8F" w:rsidP="009E7AE7">
      <w:pPr>
        <w:pStyle w:val="p3"/>
        <w:tabs>
          <w:tab w:val="clear" w:pos="204"/>
        </w:tabs>
        <w:spacing w:line="360" w:lineRule="auto"/>
        <w:rPr>
          <w:rFonts w:ascii="Times" w:hAnsi="Times" w:cs="Times"/>
          <w:sz w:val="26"/>
          <w:szCs w:val="26"/>
        </w:rPr>
      </w:pPr>
    </w:p>
    <w:p w14:paraId="518EBFB2" w14:textId="015426F4" w:rsidR="00695A0A" w:rsidRPr="00AD3701" w:rsidRDefault="00D4428E" w:rsidP="005131E5">
      <w:pPr>
        <w:pStyle w:val="p3"/>
        <w:tabs>
          <w:tab w:val="clear" w:pos="204"/>
        </w:tabs>
        <w:spacing w:line="360" w:lineRule="auto"/>
        <w:ind w:firstLine="720"/>
        <w:rPr>
          <w:rFonts w:ascii="Times" w:hAnsi="Times" w:cs="Times"/>
          <w:sz w:val="26"/>
          <w:szCs w:val="26"/>
        </w:rPr>
      </w:pPr>
      <w:r>
        <w:rPr>
          <w:rFonts w:ascii="Times" w:hAnsi="Times" w:cs="Times"/>
          <w:sz w:val="26"/>
          <w:szCs w:val="26"/>
        </w:rPr>
        <w:t>NFGDC</w:t>
      </w:r>
      <w:r w:rsidR="00C2042C">
        <w:rPr>
          <w:rFonts w:ascii="Times" w:hAnsi="Times" w:cs="Times"/>
          <w:sz w:val="26"/>
          <w:szCs w:val="26"/>
        </w:rPr>
        <w:t xml:space="preserve"> has calculated</w:t>
      </w:r>
      <w:r w:rsidR="003E0E04">
        <w:rPr>
          <w:rFonts w:ascii="Times" w:hAnsi="Times" w:cs="Times"/>
          <w:sz w:val="26"/>
          <w:szCs w:val="26"/>
        </w:rPr>
        <w:t xml:space="preserve"> the interest by taking </w:t>
      </w:r>
      <w:r w:rsidR="00E75CC8">
        <w:rPr>
          <w:rFonts w:ascii="Times" w:hAnsi="Times" w:cs="Times"/>
          <w:sz w:val="26"/>
          <w:szCs w:val="26"/>
        </w:rPr>
        <w:t>the calculated stub period tax savings and calculating interest</w:t>
      </w:r>
      <w:r w:rsidR="007A17E5">
        <w:rPr>
          <w:rFonts w:ascii="Times" w:hAnsi="Times" w:cs="Times"/>
          <w:sz w:val="26"/>
          <w:szCs w:val="26"/>
        </w:rPr>
        <w:t xml:space="preserve"> beginning July 2018</w:t>
      </w:r>
      <w:r w:rsidR="00217107">
        <w:rPr>
          <w:rFonts w:ascii="Times" w:hAnsi="Times" w:cs="Times"/>
          <w:sz w:val="26"/>
          <w:szCs w:val="26"/>
        </w:rPr>
        <w:t xml:space="preserve"> and applying</w:t>
      </w:r>
      <w:r w:rsidR="00011B5D">
        <w:rPr>
          <w:rFonts w:ascii="Times" w:hAnsi="Times" w:cs="Times"/>
          <w:sz w:val="26"/>
          <w:szCs w:val="26"/>
        </w:rPr>
        <w:t xml:space="preserve"> the monthly</w:t>
      </w:r>
      <w:r w:rsidR="00E35EED">
        <w:rPr>
          <w:rFonts w:ascii="Times" w:hAnsi="Times" w:cs="Times"/>
          <w:sz w:val="26"/>
          <w:szCs w:val="26"/>
        </w:rPr>
        <w:t xml:space="preserve"> interest rate</w:t>
      </w:r>
      <w:r w:rsidR="008A5523">
        <w:rPr>
          <w:rFonts w:ascii="Times" w:hAnsi="Times" w:cs="Times"/>
          <w:sz w:val="26"/>
          <w:szCs w:val="26"/>
        </w:rPr>
        <w:t xml:space="preserve"> to the total amount to be refunded.</w:t>
      </w:r>
      <w:r w:rsidR="006656AF">
        <w:rPr>
          <w:rFonts w:ascii="Times" w:hAnsi="Times" w:cs="Times"/>
          <w:sz w:val="26"/>
          <w:szCs w:val="26"/>
        </w:rPr>
        <w:t xml:space="preserve">  However, this is not</w:t>
      </w:r>
      <w:r w:rsidR="00EB2A6A">
        <w:rPr>
          <w:rFonts w:ascii="Times" w:hAnsi="Times" w:cs="Times"/>
          <w:sz w:val="26"/>
          <w:szCs w:val="26"/>
        </w:rPr>
        <w:t xml:space="preserve"> </w:t>
      </w:r>
      <w:r w:rsidR="003E023C" w:rsidRPr="003E023C">
        <w:rPr>
          <w:rFonts w:ascii="Times" w:hAnsi="Times" w:cs="Times"/>
          <w:sz w:val="26"/>
          <w:szCs w:val="26"/>
        </w:rPr>
        <w:t>the standard methodology for adjustment clause reconciliations</w:t>
      </w:r>
      <w:r w:rsidR="00846669">
        <w:rPr>
          <w:rFonts w:ascii="Times" w:hAnsi="Times" w:cs="Times"/>
          <w:sz w:val="26"/>
          <w:szCs w:val="26"/>
        </w:rPr>
        <w:t xml:space="preserve"> which w</w:t>
      </w:r>
      <w:r w:rsidR="00AD3701">
        <w:rPr>
          <w:rFonts w:ascii="Times" w:hAnsi="Times" w:cs="Times"/>
          <w:sz w:val="26"/>
          <w:szCs w:val="26"/>
        </w:rPr>
        <w:t xml:space="preserve">as used in both the </w:t>
      </w:r>
      <w:r w:rsidR="00AD3701" w:rsidRPr="00AD3701">
        <w:rPr>
          <w:rFonts w:ascii="Times" w:hAnsi="Times" w:cs="Times"/>
          <w:i/>
          <w:iCs/>
          <w:sz w:val="26"/>
          <w:szCs w:val="26"/>
        </w:rPr>
        <w:t>PPL Petition</w:t>
      </w:r>
      <w:r w:rsidR="00AD3701">
        <w:rPr>
          <w:rFonts w:ascii="Times" w:hAnsi="Times" w:cs="Times"/>
          <w:i/>
          <w:iCs/>
          <w:sz w:val="26"/>
          <w:szCs w:val="26"/>
        </w:rPr>
        <w:t xml:space="preserve"> </w:t>
      </w:r>
      <w:r w:rsidR="00AD3701">
        <w:rPr>
          <w:rFonts w:ascii="Times" w:hAnsi="Times" w:cs="Times"/>
          <w:sz w:val="26"/>
          <w:szCs w:val="26"/>
        </w:rPr>
        <w:t xml:space="preserve">and the </w:t>
      </w:r>
      <w:r w:rsidR="00EE70D0">
        <w:rPr>
          <w:rFonts w:ascii="Times" w:hAnsi="Times" w:cs="Times"/>
          <w:sz w:val="26"/>
          <w:szCs w:val="26"/>
        </w:rPr>
        <w:t>NFGDC</w:t>
      </w:r>
      <w:r w:rsidR="00264CC1">
        <w:rPr>
          <w:rFonts w:ascii="Times" w:hAnsi="Times" w:cs="Times"/>
          <w:sz w:val="26"/>
          <w:szCs w:val="26"/>
        </w:rPr>
        <w:t xml:space="preserve">’s 1307(e) </w:t>
      </w:r>
      <w:r w:rsidR="00AD3701">
        <w:rPr>
          <w:rFonts w:ascii="Times" w:hAnsi="Times" w:cs="Times"/>
          <w:sz w:val="26"/>
          <w:szCs w:val="26"/>
        </w:rPr>
        <w:t>TCJA</w:t>
      </w:r>
      <w:r w:rsidR="00264CC1">
        <w:rPr>
          <w:rFonts w:ascii="Times" w:hAnsi="Times" w:cs="Times"/>
          <w:sz w:val="26"/>
          <w:szCs w:val="26"/>
        </w:rPr>
        <w:t xml:space="preserve"> Reconciliation filings</w:t>
      </w:r>
      <w:r w:rsidR="00846669">
        <w:rPr>
          <w:rFonts w:ascii="Times" w:hAnsi="Times" w:cs="Times"/>
          <w:sz w:val="26"/>
          <w:szCs w:val="26"/>
        </w:rPr>
        <w:t xml:space="preserve">.  </w:t>
      </w:r>
      <w:r w:rsidR="00D37321">
        <w:rPr>
          <w:rFonts w:ascii="Times" w:hAnsi="Times" w:cs="Times"/>
          <w:sz w:val="26"/>
          <w:szCs w:val="26"/>
        </w:rPr>
        <w:t>On August 1</w:t>
      </w:r>
      <w:r w:rsidR="001D569F">
        <w:rPr>
          <w:rFonts w:ascii="Times" w:hAnsi="Times" w:cs="Times"/>
          <w:sz w:val="26"/>
          <w:szCs w:val="26"/>
        </w:rPr>
        <w:t>7</w:t>
      </w:r>
      <w:r w:rsidR="00D37321">
        <w:rPr>
          <w:rFonts w:ascii="Times" w:hAnsi="Times" w:cs="Times"/>
          <w:sz w:val="26"/>
          <w:szCs w:val="26"/>
        </w:rPr>
        <w:t>, 2021</w:t>
      </w:r>
      <w:r w:rsidR="00A72227">
        <w:rPr>
          <w:rFonts w:ascii="Times" w:hAnsi="Times" w:cs="Times"/>
          <w:sz w:val="26"/>
          <w:szCs w:val="26"/>
        </w:rPr>
        <w:t xml:space="preserve">, </w:t>
      </w:r>
      <w:r w:rsidR="007E4E56">
        <w:rPr>
          <w:rFonts w:ascii="Times" w:hAnsi="Times" w:cs="Times"/>
          <w:sz w:val="26"/>
          <w:szCs w:val="26"/>
        </w:rPr>
        <w:t xml:space="preserve">NFGDC </w:t>
      </w:r>
      <w:r w:rsidR="001D569F">
        <w:rPr>
          <w:rFonts w:ascii="Times" w:hAnsi="Times" w:cs="Times"/>
          <w:sz w:val="26"/>
          <w:szCs w:val="26"/>
        </w:rPr>
        <w:t xml:space="preserve">proposed </w:t>
      </w:r>
      <w:r w:rsidR="00B02B6E">
        <w:rPr>
          <w:rFonts w:ascii="Times" w:hAnsi="Times" w:cs="Times"/>
          <w:sz w:val="26"/>
          <w:szCs w:val="26"/>
        </w:rPr>
        <w:t>a new</w:t>
      </w:r>
      <w:r w:rsidR="007633E9">
        <w:rPr>
          <w:rFonts w:ascii="Times" w:hAnsi="Times" w:cs="Times"/>
          <w:sz w:val="26"/>
          <w:szCs w:val="26"/>
        </w:rPr>
        <w:t xml:space="preserve"> interest calculation</w:t>
      </w:r>
      <w:r w:rsidR="009B0317">
        <w:rPr>
          <w:rFonts w:ascii="Times" w:hAnsi="Times" w:cs="Times"/>
          <w:sz w:val="26"/>
          <w:szCs w:val="26"/>
        </w:rPr>
        <w:t xml:space="preserve"> which</w:t>
      </w:r>
      <w:r w:rsidR="007633E9">
        <w:rPr>
          <w:rFonts w:ascii="Times" w:hAnsi="Times" w:cs="Times"/>
          <w:sz w:val="26"/>
          <w:szCs w:val="26"/>
        </w:rPr>
        <w:t xml:space="preserve"> </w:t>
      </w:r>
      <w:r w:rsidR="001D569F">
        <w:rPr>
          <w:rFonts w:ascii="Times" w:hAnsi="Times" w:cs="Times"/>
          <w:sz w:val="26"/>
          <w:szCs w:val="26"/>
        </w:rPr>
        <w:t>was consistent with the Company’s other TCJA reconciliation filings.</w:t>
      </w:r>
      <w:r w:rsidR="00B53BA6">
        <w:rPr>
          <w:rFonts w:ascii="Times" w:hAnsi="Times" w:cs="Times"/>
          <w:sz w:val="26"/>
          <w:szCs w:val="26"/>
        </w:rPr>
        <w:t xml:space="preserve"> </w:t>
      </w:r>
      <w:r w:rsidR="00E207D9">
        <w:rPr>
          <w:rFonts w:ascii="Times" w:hAnsi="Times" w:cs="Times"/>
          <w:sz w:val="26"/>
          <w:szCs w:val="26"/>
        </w:rPr>
        <w:t xml:space="preserve">The </w:t>
      </w:r>
      <w:r w:rsidR="001D569F">
        <w:rPr>
          <w:rFonts w:ascii="Times" w:hAnsi="Times" w:cs="Times"/>
          <w:sz w:val="26"/>
          <w:szCs w:val="26"/>
        </w:rPr>
        <w:t xml:space="preserve">effect of this proposal </w:t>
      </w:r>
      <w:r w:rsidR="002908A7">
        <w:rPr>
          <w:rFonts w:ascii="Times" w:hAnsi="Times" w:cs="Times"/>
          <w:sz w:val="26"/>
          <w:szCs w:val="26"/>
        </w:rPr>
        <w:t xml:space="preserve">is that </w:t>
      </w:r>
      <w:r w:rsidR="001D569F">
        <w:rPr>
          <w:rFonts w:ascii="Times" w:hAnsi="Times" w:cs="Times"/>
          <w:sz w:val="26"/>
          <w:szCs w:val="26"/>
        </w:rPr>
        <w:t>the interest to be included</w:t>
      </w:r>
      <w:r w:rsidR="002908A7">
        <w:rPr>
          <w:rFonts w:ascii="Times" w:hAnsi="Times" w:cs="Times"/>
          <w:sz w:val="26"/>
          <w:szCs w:val="26"/>
        </w:rPr>
        <w:t xml:space="preserve"> in the Stub Period TCJA refund increases from $433,897.46 to $676,915.82 and the total refund </w:t>
      </w:r>
      <w:r w:rsidR="002908A7">
        <w:rPr>
          <w:rFonts w:ascii="Times" w:hAnsi="Times" w:cs="Times"/>
          <w:sz w:val="26"/>
          <w:szCs w:val="26"/>
        </w:rPr>
        <w:lastRenderedPageBreak/>
        <w:t xml:space="preserve">increases from $3,563,310.82 </w:t>
      </w:r>
      <w:r w:rsidR="00FB24AC">
        <w:rPr>
          <w:rFonts w:ascii="Times" w:hAnsi="Times" w:cs="Times"/>
          <w:sz w:val="26"/>
          <w:szCs w:val="26"/>
        </w:rPr>
        <w:t>to</w:t>
      </w:r>
      <w:r w:rsidR="00AA46F6">
        <w:rPr>
          <w:rFonts w:ascii="Times" w:hAnsi="Times" w:cs="Times"/>
          <w:sz w:val="26"/>
          <w:szCs w:val="26"/>
        </w:rPr>
        <w:t xml:space="preserve"> $3,</w:t>
      </w:r>
      <w:r w:rsidR="00E25651">
        <w:rPr>
          <w:rFonts w:ascii="Times" w:hAnsi="Times" w:cs="Times"/>
          <w:sz w:val="26"/>
          <w:szCs w:val="26"/>
        </w:rPr>
        <w:t>8</w:t>
      </w:r>
      <w:r w:rsidR="00E64C38">
        <w:rPr>
          <w:rFonts w:ascii="Times" w:hAnsi="Times" w:cs="Times"/>
          <w:sz w:val="26"/>
          <w:szCs w:val="26"/>
        </w:rPr>
        <w:t>0</w:t>
      </w:r>
      <w:r w:rsidR="00E25651">
        <w:rPr>
          <w:rFonts w:ascii="Times" w:hAnsi="Times" w:cs="Times"/>
          <w:sz w:val="26"/>
          <w:szCs w:val="26"/>
        </w:rPr>
        <w:t>6</w:t>
      </w:r>
      <w:r w:rsidR="00AA46F6">
        <w:rPr>
          <w:rFonts w:ascii="Times" w:hAnsi="Times" w:cs="Times"/>
          <w:sz w:val="26"/>
          <w:szCs w:val="26"/>
        </w:rPr>
        <w:t>,</w:t>
      </w:r>
      <w:r w:rsidR="00E25651">
        <w:rPr>
          <w:rFonts w:ascii="Times" w:hAnsi="Times" w:cs="Times"/>
          <w:sz w:val="26"/>
          <w:szCs w:val="26"/>
        </w:rPr>
        <w:t>329</w:t>
      </w:r>
      <w:r w:rsidR="003C1180">
        <w:rPr>
          <w:rFonts w:ascii="Times" w:hAnsi="Times" w:cs="Times"/>
          <w:sz w:val="26"/>
          <w:szCs w:val="26"/>
        </w:rPr>
        <w:t>.1</w:t>
      </w:r>
      <w:r w:rsidR="00314B10">
        <w:rPr>
          <w:rFonts w:ascii="Times" w:hAnsi="Times" w:cs="Times"/>
          <w:sz w:val="26"/>
          <w:szCs w:val="26"/>
        </w:rPr>
        <w:t>8.</w:t>
      </w:r>
    </w:p>
    <w:p w14:paraId="6E565827" w14:textId="77777777" w:rsidR="00666E85" w:rsidRPr="00595D86" w:rsidRDefault="00666E85" w:rsidP="00EE1DCC">
      <w:pPr>
        <w:pStyle w:val="p3"/>
        <w:tabs>
          <w:tab w:val="clear" w:pos="204"/>
        </w:tabs>
        <w:spacing w:line="360" w:lineRule="auto"/>
        <w:rPr>
          <w:rFonts w:ascii="Times" w:hAnsi="Times" w:cs="Times"/>
          <w:sz w:val="26"/>
          <w:szCs w:val="26"/>
        </w:rPr>
      </w:pPr>
    </w:p>
    <w:p w14:paraId="268DB7F8" w14:textId="4A8FC75B" w:rsidR="00EE1DCC" w:rsidRPr="00595D86" w:rsidRDefault="00D249BC" w:rsidP="009D004C">
      <w:pPr>
        <w:pStyle w:val="p3"/>
        <w:tabs>
          <w:tab w:val="clear" w:pos="204"/>
        </w:tabs>
        <w:spacing w:line="360" w:lineRule="auto"/>
        <w:ind w:firstLine="720"/>
        <w:rPr>
          <w:rFonts w:ascii="Times" w:hAnsi="Times" w:cs="Times"/>
          <w:sz w:val="26"/>
          <w:szCs w:val="26"/>
        </w:rPr>
      </w:pPr>
      <w:r w:rsidRPr="00595D86">
        <w:rPr>
          <w:rFonts w:ascii="Times" w:hAnsi="Times" w:cs="Times"/>
          <w:sz w:val="26"/>
          <w:szCs w:val="26"/>
        </w:rPr>
        <w:t>We find that</w:t>
      </w:r>
      <w:r w:rsidR="00C97D4E">
        <w:rPr>
          <w:rFonts w:ascii="Times" w:hAnsi="Times" w:cs="Times"/>
          <w:sz w:val="26"/>
          <w:szCs w:val="26"/>
        </w:rPr>
        <w:t xml:space="preserve"> NFGDC</w:t>
      </w:r>
      <w:r w:rsidR="002002BB">
        <w:rPr>
          <w:rFonts w:ascii="Times" w:hAnsi="Times" w:cs="Times"/>
          <w:sz w:val="26"/>
          <w:szCs w:val="26"/>
        </w:rPr>
        <w:t>’s</w:t>
      </w:r>
      <w:r w:rsidR="001D569F">
        <w:rPr>
          <w:rFonts w:ascii="Times" w:hAnsi="Times" w:cs="Times"/>
          <w:sz w:val="26"/>
          <w:szCs w:val="26"/>
        </w:rPr>
        <w:t xml:space="preserve"> updated</w:t>
      </w:r>
      <w:r w:rsidR="002002BB">
        <w:rPr>
          <w:rFonts w:ascii="Times" w:hAnsi="Times" w:cs="Times"/>
          <w:sz w:val="26"/>
          <w:szCs w:val="26"/>
        </w:rPr>
        <w:t xml:space="preserve"> proposal</w:t>
      </w:r>
      <w:r w:rsidR="00E56D42">
        <w:rPr>
          <w:rFonts w:ascii="Times" w:hAnsi="Times" w:cs="Times"/>
          <w:sz w:val="26"/>
          <w:szCs w:val="26"/>
        </w:rPr>
        <w:t xml:space="preserve"> </w:t>
      </w:r>
      <w:r w:rsidR="002002BB">
        <w:rPr>
          <w:rFonts w:ascii="Times" w:hAnsi="Times" w:cs="Times"/>
          <w:sz w:val="26"/>
          <w:szCs w:val="26"/>
        </w:rPr>
        <w:t>to utilize the existing TCJA</w:t>
      </w:r>
      <w:r w:rsidR="0018679E">
        <w:rPr>
          <w:rFonts w:ascii="Times" w:hAnsi="Times" w:cs="Times"/>
          <w:sz w:val="26"/>
          <w:szCs w:val="26"/>
        </w:rPr>
        <w:t xml:space="preserve"> Surcharge Mechanism </w:t>
      </w:r>
      <w:r w:rsidR="006147EE">
        <w:rPr>
          <w:rFonts w:ascii="Times" w:hAnsi="Times" w:cs="Times"/>
          <w:sz w:val="26"/>
          <w:szCs w:val="26"/>
        </w:rPr>
        <w:t xml:space="preserve">to distribute Stub Period tax savings </w:t>
      </w:r>
      <w:r w:rsidR="0018679E">
        <w:rPr>
          <w:rFonts w:ascii="Times" w:hAnsi="Times" w:cs="Times"/>
          <w:sz w:val="26"/>
          <w:szCs w:val="26"/>
        </w:rPr>
        <w:t xml:space="preserve">is appropriate.  </w:t>
      </w:r>
      <w:r w:rsidR="00215FD2">
        <w:rPr>
          <w:rFonts w:ascii="Times" w:hAnsi="Times" w:cs="Times"/>
          <w:sz w:val="26"/>
          <w:szCs w:val="26"/>
        </w:rPr>
        <w:t xml:space="preserve">We agree that the proposed methodology </w:t>
      </w:r>
      <w:r w:rsidR="00D42F33">
        <w:rPr>
          <w:rFonts w:ascii="Times" w:hAnsi="Times" w:cs="Times"/>
          <w:sz w:val="26"/>
          <w:szCs w:val="26"/>
        </w:rPr>
        <w:t>will be</w:t>
      </w:r>
      <w:r w:rsidR="00215FD2">
        <w:rPr>
          <w:rFonts w:ascii="Times" w:hAnsi="Times" w:cs="Times"/>
          <w:sz w:val="26"/>
          <w:szCs w:val="26"/>
        </w:rPr>
        <w:t xml:space="preserve"> </w:t>
      </w:r>
      <w:r w:rsidR="009E7F0F">
        <w:rPr>
          <w:rFonts w:ascii="Times" w:hAnsi="Times" w:cs="Times"/>
          <w:sz w:val="26"/>
          <w:szCs w:val="26"/>
        </w:rPr>
        <w:t xml:space="preserve">consistent with the </w:t>
      </w:r>
      <w:r w:rsidR="00A15EBF" w:rsidRPr="00A15EBF">
        <w:rPr>
          <w:rFonts w:ascii="Times" w:hAnsi="Times" w:cs="Times"/>
          <w:i/>
          <w:iCs/>
          <w:sz w:val="26"/>
          <w:szCs w:val="26"/>
        </w:rPr>
        <w:t>PPL Petition</w:t>
      </w:r>
      <w:r w:rsidR="00A15EBF">
        <w:rPr>
          <w:rFonts w:ascii="Times" w:hAnsi="Times" w:cs="Times"/>
          <w:sz w:val="26"/>
          <w:szCs w:val="26"/>
        </w:rPr>
        <w:t xml:space="preserve"> a</w:t>
      </w:r>
      <w:r w:rsidR="000168A7">
        <w:rPr>
          <w:rFonts w:ascii="Times" w:hAnsi="Times" w:cs="Times"/>
          <w:sz w:val="26"/>
          <w:szCs w:val="26"/>
        </w:rPr>
        <w:t>nd</w:t>
      </w:r>
      <w:r w:rsidR="00C45A09">
        <w:rPr>
          <w:rFonts w:ascii="Times" w:hAnsi="Times" w:cs="Times"/>
          <w:sz w:val="26"/>
          <w:szCs w:val="26"/>
        </w:rPr>
        <w:t xml:space="preserve"> </w:t>
      </w:r>
      <w:r w:rsidR="00717D83">
        <w:rPr>
          <w:rFonts w:ascii="Times" w:hAnsi="Times" w:cs="Times"/>
          <w:sz w:val="26"/>
          <w:szCs w:val="26"/>
        </w:rPr>
        <w:t>a distribution of the Stub Period tax savings was required per the</w:t>
      </w:r>
      <w:r w:rsidR="008E2369">
        <w:rPr>
          <w:rFonts w:ascii="Times" w:hAnsi="Times" w:cs="Times"/>
          <w:sz w:val="26"/>
          <w:szCs w:val="26"/>
        </w:rPr>
        <w:t xml:space="preserve"> National Fuel Gas </w:t>
      </w:r>
      <w:r w:rsidR="00C52B09">
        <w:rPr>
          <w:rFonts w:ascii="Times" w:hAnsi="Times" w:cs="Times"/>
          <w:sz w:val="26"/>
          <w:szCs w:val="26"/>
        </w:rPr>
        <w:t xml:space="preserve">Distribution </w:t>
      </w:r>
      <w:r w:rsidR="008E2369">
        <w:rPr>
          <w:rFonts w:ascii="Times" w:hAnsi="Times" w:cs="Times"/>
          <w:sz w:val="26"/>
          <w:szCs w:val="26"/>
        </w:rPr>
        <w:t>Compliance Order</w:t>
      </w:r>
      <w:r w:rsidR="00A15EBF">
        <w:rPr>
          <w:rFonts w:ascii="Times" w:hAnsi="Times" w:cs="Times"/>
          <w:sz w:val="26"/>
          <w:szCs w:val="26"/>
        </w:rPr>
        <w:t xml:space="preserve">.  </w:t>
      </w:r>
      <w:r w:rsidR="00B63FFE">
        <w:rPr>
          <w:rFonts w:ascii="Times" w:hAnsi="Times" w:cs="Times"/>
          <w:sz w:val="26"/>
          <w:szCs w:val="26"/>
        </w:rPr>
        <w:t xml:space="preserve">Accordingly, </w:t>
      </w:r>
      <w:r w:rsidR="008E2369">
        <w:rPr>
          <w:rFonts w:ascii="Times" w:hAnsi="Times" w:cs="Times"/>
          <w:sz w:val="26"/>
          <w:szCs w:val="26"/>
        </w:rPr>
        <w:t>NFGDC</w:t>
      </w:r>
      <w:r w:rsidR="00B63FFE">
        <w:rPr>
          <w:rFonts w:ascii="Times" w:hAnsi="Times" w:cs="Times"/>
          <w:sz w:val="26"/>
          <w:szCs w:val="26"/>
        </w:rPr>
        <w:t xml:space="preserve">’s </w:t>
      </w:r>
      <w:r w:rsidR="00B63FFE" w:rsidRPr="00B63FFE">
        <w:rPr>
          <w:rFonts w:ascii="Times" w:hAnsi="Times" w:cs="Times"/>
          <w:bCs/>
          <w:sz w:val="26"/>
          <w:szCs w:val="26"/>
        </w:rPr>
        <w:t>Petition</w:t>
      </w:r>
      <w:r w:rsidR="00CF3AD4">
        <w:rPr>
          <w:rFonts w:ascii="Times" w:hAnsi="Times" w:cs="Times"/>
          <w:bCs/>
          <w:sz w:val="26"/>
          <w:szCs w:val="26"/>
        </w:rPr>
        <w:t xml:space="preserve"> </w:t>
      </w:r>
      <w:r w:rsidR="00B63FFE" w:rsidRPr="00B63FFE">
        <w:rPr>
          <w:rFonts w:ascii="Times" w:hAnsi="Times" w:cs="Times"/>
          <w:bCs/>
          <w:sz w:val="26"/>
          <w:szCs w:val="26"/>
        </w:rPr>
        <w:t>for authority to distribute the tax savings associated with the Tax Cuts and Jobs Act of 2017</w:t>
      </w:r>
      <w:r w:rsidR="00A87C61">
        <w:rPr>
          <w:rFonts w:ascii="Times" w:hAnsi="Times" w:cs="Times"/>
          <w:bCs/>
          <w:sz w:val="26"/>
          <w:szCs w:val="26"/>
        </w:rPr>
        <w:t xml:space="preserve"> </w:t>
      </w:r>
      <w:r w:rsidR="00B63FFE" w:rsidRPr="00B63FFE">
        <w:rPr>
          <w:rFonts w:ascii="Times" w:hAnsi="Times" w:cs="Times"/>
          <w:bCs/>
          <w:sz w:val="26"/>
          <w:szCs w:val="26"/>
        </w:rPr>
        <w:t xml:space="preserve">for the period of </w:t>
      </w:r>
      <w:r w:rsidR="008E2369">
        <w:rPr>
          <w:rFonts w:ascii="Times" w:hAnsi="Times" w:cs="Times"/>
          <w:bCs/>
          <w:sz w:val="26"/>
          <w:szCs w:val="26"/>
        </w:rPr>
        <w:t>October</w:t>
      </w:r>
      <w:r w:rsidR="00B63FFE" w:rsidRPr="00B63FFE">
        <w:rPr>
          <w:rFonts w:ascii="Times" w:hAnsi="Times" w:cs="Times"/>
          <w:bCs/>
          <w:sz w:val="26"/>
          <w:szCs w:val="26"/>
        </w:rPr>
        <w:t xml:space="preserve"> 1, </w:t>
      </w:r>
      <w:proofErr w:type="gramStart"/>
      <w:r w:rsidR="00B63FFE" w:rsidRPr="00B63FFE">
        <w:rPr>
          <w:rFonts w:ascii="Times" w:hAnsi="Times" w:cs="Times"/>
          <w:bCs/>
          <w:sz w:val="26"/>
          <w:szCs w:val="26"/>
        </w:rPr>
        <w:t>201</w:t>
      </w:r>
      <w:r w:rsidR="008E2369">
        <w:rPr>
          <w:rFonts w:ascii="Times" w:hAnsi="Times" w:cs="Times"/>
          <w:bCs/>
          <w:sz w:val="26"/>
          <w:szCs w:val="26"/>
        </w:rPr>
        <w:t>7</w:t>
      </w:r>
      <w:proofErr w:type="gramEnd"/>
      <w:r w:rsidR="00B63FFE" w:rsidRPr="00B63FFE">
        <w:rPr>
          <w:rFonts w:ascii="Times" w:hAnsi="Times" w:cs="Times"/>
          <w:bCs/>
          <w:sz w:val="26"/>
          <w:szCs w:val="26"/>
        </w:rPr>
        <w:t xml:space="preserve"> through June 30, 2018 is hereby approved</w:t>
      </w:r>
      <w:r w:rsidR="00EA3B80">
        <w:rPr>
          <w:rFonts w:ascii="Times" w:hAnsi="Times" w:cs="Times"/>
          <w:bCs/>
          <w:sz w:val="26"/>
          <w:szCs w:val="26"/>
        </w:rPr>
        <w:t xml:space="preserve">; </w:t>
      </w:r>
      <w:r w:rsidR="00EE1DCC" w:rsidRPr="00595D86">
        <w:rPr>
          <w:rFonts w:ascii="Times" w:hAnsi="Times" w:cs="Times"/>
          <w:b/>
          <w:sz w:val="26"/>
          <w:szCs w:val="26"/>
        </w:rPr>
        <w:t>THEREFORE,</w:t>
      </w:r>
    </w:p>
    <w:p w14:paraId="25D77D10" w14:textId="77777777" w:rsidR="00EE1DCC" w:rsidRPr="00595D86" w:rsidRDefault="00EE1DCC" w:rsidP="00EE1DCC">
      <w:pPr>
        <w:tabs>
          <w:tab w:val="left" w:pos="742"/>
        </w:tabs>
        <w:spacing w:line="360" w:lineRule="auto"/>
        <w:rPr>
          <w:rFonts w:ascii="Times" w:hAnsi="Times" w:cs="Times"/>
          <w:sz w:val="26"/>
          <w:szCs w:val="26"/>
        </w:rPr>
      </w:pPr>
    </w:p>
    <w:p w14:paraId="56E58BBA" w14:textId="176A5B53" w:rsidR="00EE1DCC" w:rsidRPr="00595D86" w:rsidRDefault="00EE1DCC" w:rsidP="00085C40">
      <w:pPr>
        <w:spacing w:line="360" w:lineRule="auto"/>
        <w:ind w:firstLine="720"/>
        <w:rPr>
          <w:rFonts w:ascii="Times" w:hAnsi="Times" w:cs="Times"/>
          <w:b/>
          <w:bCs/>
          <w:sz w:val="26"/>
          <w:szCs w:val="26"/>
        </w:rPr>
      </w:pPr>
      <w:r w:rsidRPr="00595D86">
        <w:rPr>
          <w:rFonts w:ascii="Times" w:hAnsi="Times" w:cs="Times"/>
          <w:b/>
          <w:bCs/>
          <w:sz w:val="26"/>
          <w:szCs w:val="26"/>
        </w:rPr>
        <w:t>IT IS ORDERED:</w:t>
      </w:r>
    </w:p>
    <w:p w14:paraId="3F2E5243" w14:textId="77777777" w:rsidR="00D249BC" w:rsidRPr="00595D86" w:rsidRDefault="00D249BC" w:rsidP="00EE1DCC">
      <w:pPr>
        <w:spacing w:line="360" w:lineRule="auto"/>
        <w:rPr>
          <w:rFonts w:ascii="Times" w:hAnsi="Times" w:cs="Times"/>
          <w:b/>
          <w:bCs/>
          <w:sz w:val="26"/>
          <w:szCs w:val="26"/>
        </w:rPr>
      </w:pPr>
    </w:p>
    <w:p w14:paraId="3615EA08" w14:textId="75E3983B" w:rsidR="00B63FFE" w:rsidRDefault="00D249BC" w:rsidP="00B63FFE">
      <w:pPr>
        <w:pStyle w:val="ListParagraph"/>
        <w:numPr>
          <w:ilvl w:val="0"/>
          <w:numId w:val="5"/>
        </w:numPr>
        <w:spacing w:line="360" w:lineRule="auto"/>
        <w:ind w:left="0" w:firstLine="720"/>
        <w:rPr>
          <w:rFonts w:ascii="Times" w:hAnsi="Times" w:cs="Times"/>
          <w:bCs/>
          <w:sz w:val="26"/>
          <w:szCs w:val="26"/>
        </w:rPr>
      </w:pPr>
      <w:r w:rsidRPr="00B63FFE">
        <w:rPr>
          <w:rFonts w:ascii="Times" w:hAnsi="Times" w:cs="Times"/>
          <w:bCs/>
          <w:sz w:val="26"/>
          <w:szCs w:val="26"/>
        </w:rPr>
        <w:t xml:space="preserve">That </w:t>
      </w:r>
      <w:r w:rsidR="008E2369">
        <w:rPr>
          <w:rFonts w:ascii="Times" w:hAnsi="Times" w:cs="Times"/>
          <w:bCs/>
          <w:sz w:val="26"/>
          <w:szCs w:val="26"/>
        </w:rPr>
        <w:t>NFGDC</w:t>
      </w:r>
      <w:r w:rsidRPr="00B63FFE">
        <w:rPr>
          <w:rFonts w:ascii="Times" w:hAnsi="Times" w:cs="Times"/>
          <w:bCs/>
          <w:sz w:val="26"/>
          <w:szCs w:val="26"/>
        </w:rPr>
        <w:t xml:space="preserve">’s </w:t>
      </w:r>
      <w:bookmarkStart w:id="4" w:name="_Hlk23151358"/>
      <w:r w:rsidRPr="00B63FFE">
        <w:rPr>
          <w:rFonts w:ascii="Times" w:hAnsi="Times" w:cs="Times"/>
          <w:bCs/>
          <w:sz w:val="26"/>
          <w:szCs w:val="26"/>
        </w:rPr>
        <w:t xml:space="preserve">Petition </w:t>
      </w:r>
      <w:r w:rsidR="00B63FFE" w:rsidRPr="00B63FFE">
        <w:rPr>
          <w:rFonts w:ascii="Times" w:hAnsi="Times" w:cs="Times"/>
          <w:bCs/>
          <w:sz w:val="26"/>
          <w:szCs w:val="26"/>
        </w:rPr>
        <w:t xml:space="preserve">for authority to distribute the tax savings associated with the Tax Cuts and Jobs Act of 2017 for the period of </w:t>
      </w:r>
      <w:r w:rsidR="008E2369">
        <w:rPr>
          <w:rFonts w:ascii="Times" w:hAnsi="Times" w:cs="Times"/>
          <w:bCs/>
          <w:sz w:val="26"/>
          <w:szCs w:val="26"/>
        </w:rPr>
        <w:t>October</w:t>
      </w:r>
      <w:r w:rsidR="00B63FFE" w:rsidRPr="00B63FFE">
        <w:rPr>
          <w:rFonts w:ascii="Times" w:hAnsi="Times" w:cs="Times"/>
          <w:bCs/>
          <w:sz w:val="26"/>
          <w:szCs w:val="26"/>
        </w:rPr>
        <w:t xml:space="preserve"> 1, </w:t>
      </w:r>
      <w:proofErr w:type="gramStart"/>
      <w:r w:rsidR="00B63FFE" w:rsidRPr="00B63FFE">
        <w:rPr>
          <w:rFonts w:ascii="Times" w:hAnsi="Times" w:cs="Times"/>
          <w:bCs/>
          <w:sz w:val="26"/>
          <w:szCs w:val="26"/>
        </w:rPr>
        <w:t>201</w:t>
      </w:r>
      <w:r w:rsidR="008E2369">
        <w:rPr>
          <w:rFonts w:ascii="Times" w:hAnsi="Times" w:cs="Times"/>
          <w:bCs/>
          <w:sz w:val="26"/>
          <w:szCs w:val="26"/>
        </w:rPr>
        <w:t>7</w:t>
      </w:r>
      <w:proofErr w:type="gramEnd"/>
      <w:r w:rsidR="00B63FFE" w:rsidRPr="00B63FFE">
        <w:rPr>
          <w:rFonts w:ascii="Times" w:hAnsi="Times" w:cs="Times"/>
          <w:bCs/>
          <w:sz w:val="26"/>
          <w:szCs w:val="26"/>
        </w:rPr>
        <w:t xml:space="preserve"> through June 30, 2018</w:t>
      </w:r>
      <w:r w:rsidR="00DD4356">
        <w:rPr>
          <w:rFonts w:ascii="Times" w:hAnsi="Times" w:cs="Times"/>
          <w:bCs/>
          <w:sz w:val="26"/>
          <w:szCs w:val="26"/>
        </w:rPr>
        <w:t xml:space="preserve"> utilizing the TCJA Temporary Surcharge mechanism beginning on </w:t>
      </w:r>
      <w:r w:rsidR="00054452">
        <w:rPr>
          <w:rFonts w:ascii="Times" w:hAnsi="Times" w:cs="Times"/>
          <w:bCs/>
          <w:sz w:val="26"/>
          <w:szCs w:val="26"/>
        </w:rPr>
        <w:t>October</w:t>
      </w:r>
      <w:r w:rsidR="00DD4356">
        <w:rPr>
          <w:rFonts w:ascii="Times" w:hAnsi="Times" w:cs="Times"/>
          <w:bCs/>
          <w:sz w:val="26"/>
          <w:szCs w:val="26"/>
        </w:rPr>
        <w:t xml:space="preserve"> 1, 202</w:t>
      </w:r>
      <w:r w:rsidR="00054452">
        <w:rPr>
          <w:rFonts w:ascii="Times" w:hAnsi="Times" w:cs="Times"/>
          <w:bCs/>
          <w:sz w:val="26"/>
          <w:szCs w:val="26"/>
        </w:rPr>
        <w:t>1</w:t>
      </w:r>
      <w:r w:rsidR="00B63FFE" w:rsidRPr="00B63FFE">
        <w:rPr>
          <w:rFonts w:ascii="Times" w:hAnsi="Times" w:cs="Times"/>
          <w:bCs/>
          <w:sz w:val="26"/>
          <w:szCs w:val="26"/>
        </w:rPr>
        <w:t xml:space="preserve"> </w:t>
      </w:r>
      <w:r w:rsidR="00B63FFE">
        <w:rPr>
          <w:rFonts w:ascii="Times" w:hAnsi="Times" w:cs="Times"/>
          <w:bCs/>
          <w:sz w:val="26"/>
          <w:szCs w:val="26"/>
        </w:rPr>
        <w:t>is hereby approved</w:t>
      </w:r>
      <w:bookmarkEnd w:id="4"/>
      <w:r w:rsidR="00B63FFE">
        <w:rPr>
          <w:rFonts w:ascii="Times" w:hAnsi="Times" w:cs="Times"/>
          <w:bCs/>
          <w:sz w:val="26"/>
          <w:szCs w:val="26"/>
        </w:rPr>
        <w:t>.</w:t>
      </w:r>
    </w:p>
    <w:p w14:paraId="6093441D" w14:textId="77777777" w:rsidR="00063D4F" w:rsidRPr="005A69DA" w:rsidRDefault="00063D4F" w:rsidP="00063D4F">
      <w:pPr>
        <w:pStyle w:val="ListParagraph"/>
        <w:spacing w:line="360" w:lineRule="auto"/>
        <w:rPr>
          <w:rFonts w:ascii="Times" w:hAnsi="Times" w:cs="Times"/>
          <w:bCs/>
          <w:sz w:val="26"/>
          <w:szCs w:val="26"/>
        </w:rPr>
      </w:pPr>
    </w:p>
    <w:p w14:paraId="6225D032" w14:textId="6A3BB85A" w:rsidR="0011057A" w:rsidRDefault="00A66AF1" w:rsidP="00C06F19">
      <w:pPr>
        <w:pStyle w:val="ListParagraph"/>
        <w:numPr>
          <w:ilvl w:val="0"/>
          <w:numId w:val="5"/>
        </w:numPr>
        <w:spacing w:line="360" w:lineRule="auto"/>
        <w:ind w:left="0" w:firstLine="720"/>
        <w:rPr>
          <w:rFonts w:ascii="Times" w:hAnsi="Times" w:cs="Times"/>
          <w:bCs/>
          <w:sz w:val="26"/>
          <w:szCs w:val="26"/>
        </w:rPr>
      </w:pPr>
      <w:r w:rsidRPr="005A69DA">
        <w:rPr>
          <w:rFonts w:ascii="Times" w:hAnsi="Times" w:cs="Times"/>
          <w:bCs/>
          <w:sz w:val="26"/>
          <w:szCs w:val="26"/>
        </w:rPr>
        <w:t>That a copy of this order b</w:t>
      </w:r>
      <w:r w:rsidR="00B95F2B" w:rsidRPr="005A69DA">
        <w:rPr>
          <w:rFonts w:ascii="Times" w:hAnsi="Times" w:cs="Times"/>
          <w:bCs/>
          <w:sz w:val="26"/>
          <w:szCs w:val="26"/>
        </w:rPr>
        <w:t>e</w:t>
      </w:r>
      <w:r w:rsidRPr="005A69DA">
        <w:rPr>
          <w:rFonts w:ascii="Times" w:hAnsi="Times" w:cs="Times"/>
          <w:bCs/>
          <w:sz w:val="26"/>
          <w:szCs w:val="26"/>
        </w:rPr>
        <w:t xml:space="preserve"> served upon </w:t>
      </w:r>
      <w:r w:rsidR="00054452" w:rsidRPr="005A69DA">
        <w:rPr>
          <w:rFonts w:ascii="Times" w:hAnsi="Times" w:cs="Times"/>
          <w:bCs/>
          <w:sz w:val="26"/>
          <w:szCs w:val="26"/>
        </w:rPr>
        <w:t>NFGDC</w:t>
      </w:r>
      <w:r w:rsidRPr="005A69DA">
        <w:rPr>
          <w:rFonts w:ascii="Times" w:hAnsi="Times" w:cs="Times"/>
          <w:bCs/>
          <w:sz w:val="26"/>
          <w:szCs w:val="26"/>
        </w:rPr>
        <w:t xml:space="preserve">, the Commission’s Bureau of Investigation and Enforcement, the Office of Consumer </w:t>
      </w:r>
      <w:proofErr w:type="gramStart"/>
      <w:r w:rsidRPr="005A69DA">
        <w:rPr>
          <w:rFonts w:ascii="Times" w:hAnsi="Times" w:cs="Times"/>
          <w:bCs/>
          <w:sz w:val="26"/>
          <w:szCs w:val="26"/>
        </w:rPr>
        <w:t>Advocate</w:t>
      </w:r>
      <w:proofErr w:type="gramEnd"/>
      <w:r w:rsidRPr="005A69DA">
        <w:rPr>
          <w:rFonts w:ascii="Times" w:hAnsi="Times" w:cs="Times"/>
          <w:bCs/>
          <w:sz w:val="26"/>
          <w:szCs w:val="26"/>
        </w:rPr>
        <w:t xml:space="preserve"> and the Office of Small Business Advocate.</w:t>
      </w:r>
    </w:p>
    <w:p w14:paraId="101C43BE" w14:textId="77777777" w:rsidR="005A69DA" w:rsidRPr="005A69DA" w:rsidRDefault="005A69DA" w:rsidP="005A69DA">
      <w:pPr>
        <w:pStyle w:val="ListParagraph"/>
        <w:spacing w:line="360" w:lineRule="auto"/>
        <w:rPr>
          <w:rFonts w:ascii="Times" w:hAnsi="Times" w:cs="Times"/>
          <w:bCs/>
          <w:sz w:val="26"/>
          <w:szCs w:val="26"/>
        </w:rPr>
      </w:pPr>
    </w:p>
    <w:p w14:paraId="73C831A7" w14:textId="24B27971" w:rsidR="0011057A" w:rsidRDefault="004A47FD" w:rsidP="00E76C5F">
      <w:pPr>
        <w:pStyle w:val="ListParagraph"/>
        <w:numPr>
          <w:ilvl w:val="0"/>
          <w:numId w:val="5"/>
        </w:numPr>
        <w:spacing w:line="360" w:lineRule="auto"/>
        <w:ind w:left="0" w:firstLine="720"/>
        <w:rPr>
          <w:rFonts w:ascii="Times" w:hAnsi="Times" w:cs="Times"/>
          <w:bCs/>
          <w:sz w:val="26"/>
          <w:szCs w:val="26"/>
        </w:rPr>
      </w:pPr>
      <w:r w:rsidRPr="004A47FD">
        <w:rPr>
          <w:rFonts w:ascii="Times" w:hAnsi="Times" w:cs="Times"/>
          <w:bCs/>
          <w:sz w:val="26"/>
          <w:szCs w:val="26"/>
        </w:rPr>
        <w:t>That NFG</w:t>
      </w:r>
      <w:r>
        <w:rPr>
          <w:rFonts w:ascii="Times" w:hAnsi="Times" w:cs="Times"/>
          <w:bCs/>
          <w:sz w:val="26"/>
          <w:szCs w:val="26"/>
        </w:rPr>
        <w:t>DC</w:t>
      </w:r>
      <w:r w:rsidRPr="004A47FD">
        <w:rPr>
          <w:rFonts w:ascii="Times" w:hAnsi="Times" w:cs="Times"/>
          <w:bCs/>
          <w:sz w:val="26"/>
          <w:szCs w:val="26"/>
        </w:rPr>
        <w:t xml:space="preserve"> shall include the necessary tariff updates to implement the distribution of savings with the Company’s annual TCJA tariff to be filed on or before September 1, 2021, to become effective October 1, 2021, consistent with this Order</w:t>
      </w:r>
      <w:r w:rsidR="00C228BD">
        <w:rPr>
          <w:rFonts w:ascii="Times" w:hAnsi="Times" w:cs="Times"/>
          <w:bCs/>
          <w:sz w:val="26"/>
          <w:szCs w:val="26"/>
        </w:rPr>
        <w:t>.</w:t>
      </w:r>
    </w:p>
    <w:p w14:paraId="2A0D5892" w14:textId="77777777" w:rsidR="0082485B" w:rsidRPr="0082485B" w:rsidRDefault="0082485B" w:rsidP="0082485B">
      <w:pPr>
        <w:pStyle w:val="ListParagraph"/>
        <w:rPr>
          <w:rFonts w:ascii="Times" w:hAnsi="Times" w:cs="Times"/>
          <w:bCs/>
          <w:sz w:val="26"/>
          <w:szCs w:val="26"/>
        </w:rPr>
      </w:pPr>
    </w:p>
    <w:p w14:paraId="1B265EBE" w14:textId="582D0334" w:rsidR="0082485B" w:rsidRDefault="00530F76" w:rsidP="00E76C5F">
      <w:pPr>
        <w:pStyle w:val="ListParagraph"/>
        <w:numPr>
          <w:ilvl w:val="0"/>
          <w:numId w:val="5"/>
        </w:numPr>
        <w:spacing w:line="360" w:lineRule="auto"/>
        <w:ind w:left="0" w:firstLine="720"/>
        <w:rPr>
          <w:rFonts w:ascii="Times" w:hAnsi="Times" w:cs="Times"/>
          <w:bCs/>
          <w:sz w:val="26"/>
          <w:szCs w:val="26"/>
        </w:rPr>
      </w:pPr>
      <w:r>
        <w:rPr>
          <w:rFonts w:ascii="Times" w:hAnsi="Times" w:cs="Times"/>
          <w:bCs/>
          <w:sz w:val="26"/>
          <w:szCs w:val="26"/>
        </w:rPr>
        <w:t xml:space="preserve">That approval of this Petition </w:t>
      </w:r>
      <w:r w:rsidR="001A260E">
        <w:rPr>
          <w:rFonts w:ascii="Times" w:hAnsi="Times" w:cs="Times"/>
          <w:bCs/>
          <w:sz w:val="26"/>
          <w:szCs w:val="26"/>
        </w:rPr>
        <w:t>neither</w:t>
      </w:r>
      <w:r w:rsidR="001C03E7">
        <w:rPr>
          <w:rFonts w:ascii="Times" w:hAnsi="Times" w:cs="Times"/>
          <w:bCs/>
          <w:sz w:val="26"/>
          <w:szCs w:val="26"/>
        </w:rPr>
        <w:t xml:space="preserve"> con</w:t>
      </w:r>
      <w:r w:rsidR="00D86F9D">
        <w:rPr>
          <w:rFonts w:ascii="Times" w:hAnsi="Times" w:cs="Times"/>
          <w:bCs/>
          <w:sz w:val="26"/>
          <w:szCs w:val="26"/>
        </w:rPr>
        <w:t>firm</w:t>
      </w:r>
      <w:r w:rsidR="00F72CBB">
        <w:rPr>
          <w:rFonts w:ascii="Times" w:hAnsi="Times" w:cs="Times"/>
          <w:bCs/>
          <w:sz w:val="26"/>
          <w:szCs w:val="26"/>
        </w:rPr>
        <w:t>s</w:t>
      </w:r>
      <w:r w:rsidR="00D86F9D">
        <w:rPr>
          <w:rFonts w:ascii="Times" w:hAnsi="Times" w:cs="Times"/>
          <w:bCs/>
          <w:sz w:val="26"/>
          <w:szCs w:val="26"/>
        </w:rPr>
        <w:t xml:space="preserve"> the accuracy of the figures</w:t>
      </w:r>
      <w:r w:rsidR="001A260E">
        <w:rPr>
          <w:rFonts w:ascii="Times" w:hAnsi="Times" w:cs="Times"/>
          <w:bCs/>
          <w:sz w:val="26"/>
          <w:szCs w:val="26"/>
        </w:rPr>
        <w:t xml:space="preserve"> nor the appr</w:t>
      </w:r>
      <w:r w:rsidR="0053369B">
        <w:rPr>
          <w:rFonts w:ascii="Times" w:hAnsi="Times" w:cs="Times"/>
          <w:bCs/>
          <w:sz w:val="26"/>
          <w:szCs w:val="26"/>
        </w:rPr>
        <w:t>opr</w:t>
      </w:r>
      <w:r w:rsidR="001A260E">
        <w:rPr>
          <w:rFonts w:ascii="Times" w:hAnsi="Times" w:cs="Times"/>
          <w:bCs/>
          <w:sz w:val="26"/>
          <w:szCs w:val="26"/>
        </w:rPr>
        <w:t>iateness of the calculation</w:t>
      </w:r>
      <w:r w:rsidR="00FC4F42">
        <w:rPr>
          <w:rFonts w:ascii="Times" w:hAnsi="Times" w:cs="Times"/>
          <w:bCs/>
          <w:sz w:val="26"/>
          <w:szCs w:val="26"/>
        </w:rPr>
        <w:t>.</w:t>
      </w:r>
    </w:p>
    <w:p w14:paraId="47E35F95" w14:textId="0E005455" w:rsidR="00054452" w:rsidRDefault="00054452" w:rsidP="00054452">
      <w:pPr>
        <w:spacing w:line="360" w:lineRule="auto"/>
        <w:rPr>
          <w:rFonts w:ascii="Times" w:hAnsi="Times" w:cs="Times"/>
          <w:bCs/>
          <w:sz w:val="26"/>
          <w:szCs w:val="26"/>
        </w:rPr>
      </w:pPr>
    </w:p>
    <w:p w14:paraId="3DAFFCAC" w14:textId="77777777" w:rsidR="00B53BA6" w:rsidRPr="00054452" w:rsidRDefault="00B53BA6" w:rsidP="00054452">
      <w:pPr>
        <w:spacing w:line="360" w:lineRule="auto"/>
        <w:rPr>
          <w:rFonts w:ascii="Times" w:hAnsi="Times" w:cs="Times"/>
          <w:bCs/>
          <w:sz w:val="26"/>
          <w:szCs w:val="26"/>
        </w:rPr>
      </w:pPr>
    </w:p>
    <w:p w14:paraId="02746B37" w14:textId="77777777" w:rsidR="00A66AF1" w:rsidRPr="00595D86" w:rsidRDefault="00A66AF1" w:rsidP="00A66AF1">
      <w:pPr>
        <w:pStyle w:val="ListParagraph"/>
        <w:numPr>
          <w:ilvl w:val="0"/>
          <w:numId w:val="5"/>
        </w:numPr>
        <w:spacing w:line="360" w:lineRule="auto"/>
        <w:rPr>
          <w:rFonts w:ascii="Times" w:hAnsi="Times" w:cs="Times"/>
          <w:bCs/>
          <w:sz w:val="26"/>
          <w:szCs w:val="26"/>
        </w:rPr>
      </w:pPr>
      <w:r w:rsidRPr="00595D86">
        <w:rPr>
          <w:rFonts w:ascii="Times" w:hAnsi="Times" w:cs="Times"/>
          <w:bCs/>
          <w:sz w:val="26"/>
          <w:szCs w:val="26"/>
        </w:rPr>
        <w:lastRenderedPageBreak/>
        <w:t xml:space="preserve">That this proceeding be marked closed. </w:t>
      </w:r>
    </w:p>
    <w:p w14:paraId="4741C704" w14:textId="7BA5D877" w:rsidR="00EE1DCC" w:rsidRPr="00595D86" w:rsidRDefault="00EE1DCC" w:rsidP="00EE1DCC">
      <w:pPr>
        <w:tabs>
          <w:tab w:val="left" w:pos="4320"/>
        </w:tabs>
        <w:rPr>
          <w:rFonts w:ascii="Times" w:hAnsi="Times" w:cs="Times"/>
          <w:sz w:val="26"/>
          <w:szCs w:val="26"/>
        </w:rPr>
      </w:pPr>
      <w:r w:rsidRPr="00595D86">
        <w:rPr>
          <w:rFonts w:ascii="Times" w:hAnsi="Times" w:cs="Times"/>
          <w:sz w:val="26"/>
          <w:szCs w:val="26"/>
        </w:rPr>
        <w:tab/>
      </w:r>
      <w:r w:rsidRPr="00595D86">
        <w:rPr>
          <w:rFonts w:ascii="Times" w:hAnsi="Times" w:cs="Times"/>
          <w:sz w:val="26"/>
          <w:szCs w:val="26"/>
        </w:rPr>
        <w:tab/>
      </w:r>
      <w:r w:rsidRPr="00595D86">
        <w:rPr>
          <w:rFonts w:ascii="Times" w:hAnsi="Times" w:cs="Times"/>
          <w:sz w:val="26"/>
          <w:szCs w:val="26"/>
        </w:rPr>
        <w:tab/>
      </w:r>
    </w:p>
    <w:p w14:paraId="417CBA79" w14:textId="00F5CBA0" w:rsidR="00EE1DCC" w:rsidRPr="00595D86" w:rsidRDefault="00EE1DCC" w:rsidP="00EE1DCC">
      <w:pPr>
        <w:tabs>
          <w:tab w:val="left" w:pos="742"/>
        </w:tabs>
        <w:rPr>
          <w:rFonts w:ascii="Times" w:hAnsi="Times" w:cs="Times"/>
          <w:sz w:val="26"/>
          <w:szCs w:val="26"/>
        </w:rPr>
      </w:pPr>
    </w:p>
    <w:p w14:paraId="690A9284" w14:textId="70916C4C" w:rsidR="00EE1DCC" w:rsidRPr="00595D86" w:rsidRDefault="00835642" w:rsidP="00EE1DCC">
      <w:pPr>
        <w:pStyle w:val="p17"/>
        <w:ind w:left="5057"/>
        <w:rPr>
          <w:rFonts w:ascii="Times" w:hAnsi="Times" w:cs="Times"/>
          <w:b/>
          <w:bCs/>
          <w:sz w:val="26"/>
          <w:szCs w:val="26"/>
        </w:rPr>
      </w:pPr>
      <w:r>
        <w:rPr>
          <w:noProof/>
        </w:rPr>
        <w:drawing>
          <wp:anchor distT="0" distB="0" distL="114300" distR="114300" simplePos="0" relativeHeight="251659264" behindDoc="1" locked="0" layoutInCell="1" allowOverlap="1" wp14:anchorId="013465D0" wp14:editId="5E7EA8DA">
            <wp:simplePos x="0" y="0"/>
            <wp:positionH relativeFrom="column">
              <wp:posOffset>3200400</wp:posOffset>
            </wp:positionH>
            <wp:positionV relativeFrom="paragraph">
              <wp:posOffset>48260</wp:posOffset>
            </wp:positionV>
            <wp:extent cx="2200275" cy="838200"/>
            <wp:effectExtent l="1905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EE1DCC" w:rsidRPr="00595D86">
        <w:rPr>
          <w:rFonts w:ascii="Times" w:hAnsi="Times" w:cs="Times"/>
          <w:b/>
          <w:bCs/>
          <w:sz w:val="26"/>
          <w:szCs w:val="26"/>
        </w:rPr>
        <w:t>BY THE COMMISSION</w:t>
      </w:r>
    </w:p>
    <w:p w14:paraId="55A3B4A2" w14:textId="77777777" w:rsidR="00EE1DCC" w:rsidRPr="00595D86" w:rsidRDefault="00EE1DCC" w:rsidP="00EE1DCC">
      <w:pPr>
        <w:tabs>
          <w:tab w:val="left" w:pos="5057"/>
        </w:tabs>
        <w:rPr>
          <w:rFonts w:ascii="Times" w:hAnsi="Times" w:cs="Times"/>
          <w:bCs/>
          <w:sz w:val="26"/>
          <w:szCs w:val="26"/>
        </w:rPr>
      </w:pPr>
    </w:p>
    <w:p w14:paraId="04558D29" w14:textId="77777777" w:rsidR="00EE1DCC" w:rsidRPr="00595D86" w:rsidRDefault="00EE1DCC" w:rsidP="00EE1DCC">
      <w:pPr>
        <w:tabs>
          <w:tab w:val="left" w:pos="5057"/>
        </w:tabs>
        <w:rPr>
          <w:rFonts w:ascii="Times" w:hAnsi="Times" w:cs="Times"/>
          <w:b/>
          <w:bCs/>
          <w:sz w:val="26"/>
          <w:szCs w:val="26"/>
        </w:rPr>
      </w:pPr>
    </w:p>
    <w:p w14:paraId="61151D5B" w14:textId="77777777" w:rsidR="00EE1DCC" w:rsidRPr="00595D86" w:rsidRDefault="00EE1DCC" w:rsidP="00EE1DCC">
      <w:pPr>
        <w:tabs>
          <w:tab w:val="left" w:pos="5057"/>
        </w:tabs>
        <w:rPr>
          <w:rFonts w:ascii="Times" w:hAnsi="Times" w:cs="Times"/>
          <w:b/>
          <w:bCs/>
          <w:sz w:val="26"/>
          <w:szCs w:val="26"/>
        </w:rPr>
      </w:pPr>
    </w:p>
    <w:p w14:paraId="0214267F" w14:textId="77777777" w:rsidR="00EE1DCC" w:rsidRPr="00595D86" w:rsidRDefault="00EE1DCC" w:rsidP="00EE1DCC">
      <w:pPr>
        <w:pStyle w:val="p18"/>
        <w:ind w:left="5062"/>
        <w:rPr>
          <w:rFonts w:ascii="Times" w:hAnsi="Times" w:cs="Times"/>
          <w:sz w:val="26"/>
          <w:szCs w:val="26"/>
        </w:rPr>
      </w:pPr>
      <w:r w:rsidRPr="00595D86">
        <w:rPr>
          <w:rFonts w:ascii="Times" w:hAnsi="Times" w:cs="Times"/>
          <w:sz w:val="26"/>
          <w:szCs w:val="26"/>
        </w:rPr>
        <w:t>Rosemary Chiavetta</w:t>
      </w:r>
    </w:p>
    <w:p w14:paraId="5A1581F8" w14:textId="77777777" w:rsidR="00EE1DCC" w:rsidRPr="00595D86" w:rsidRDefault="00EE1DCC" w:rsidP="00EE1DCC">
      <w:pPr>
        <w:pStyle w:val="p18"/>
        <w:ind w:left="5062"/>
        <w:rPr>
          <w:rFonts w:ascii="Times" w:hAnsi="Times" w:cs="Times"/>
          <w:sz w:val="26"/>
          <w:szCs w:val="26"/>
        </w:rPr>
      </w:pPr>
      <w:r w:rsidRPr="00595D86">
        <w:rPr>
          <w:rFonts w:ascii="Times" w:hAnsi="Times" w:cs="Times"/>
          <w:sz w:val="26"/>
          <w:szCs w:val="26"/>
        </w:rPr>
        <w:t>Secretary</w:t>
      </w:r>
    </w:p>
    <w:p w14:paraId="0627EAE8" w14:textId="77777777" w:rsidR="00EE1DCC" w:rsidRPr="00595D86" w:rsidRDefault="00EE1DCC" w:rsidP="00EE1DCC">
      <w:pPr>
        <w:tabs>
          <w:tab w:val="left" w:pos="5062"/>
        </w:tabs>
        <w:rPr>
          <w:rFonts w:ascii="Times" w:hAnsi="Times" w:cs="Times"/>
          <w:sz w:val="26"/>
          <w:szCs w:val="26"/>
        </w:rPr>
      </w:pPr>
    </w:p>
    <w:p w14:paraId="446B684C" w14:textId="77777777" w:rsidR="00EE1DCC" w:rsidRPr="00595D86" w:rsidRDefault="00EE1DCC" w:rsidP="00EE1DCC">
      <w:pPr>
        <w:pStyle w:val="p14"/>
        <w:rPr>
          <w:rFonts w:ascii="Times" w:hAnsi="Times" w:cs="Times"/>
          <w:sz w:val="26"/>
          <w:szCs w:val="26"/>
        </w:rPr>
      </w:pPr>
      <w:r w:rsidRPr="00595D86">
        <w:rPr>
          <w:rFonts w:ascii="Times" w:hAnsi="Times" w:cs="Times"/>
          <w:sz w:val="26"/>
          <w:szCs w:val="26"/>
        </w:rPr>
        <w:t>(SEAL)</w:t>
      </w:r>
    </w:p>
    <w:p w14:paraId="678D1747" w14:textId="77777777" w:rsidR="00EE1DCC" w:rsidRPr="00595D86" w:rsidRDefault="00EE1DCC" w:rsidP="00EE1DCC">
      <w:pPr>
        <w:tabs>
          <w:tab w:val="left" w:pos="204"/>
        </w:tabs>
        <w:rPr>
          <w:rFonts w:ascii="Times" w:hAnsi="Times" w:cs="Times"/>
          <w:sz w:val="26"/>
          <w:szCs w:val="26"/>
        </w:rPr>
      </w:pPr>
    </w:p>
    <w:p w14:paraId="2AC2FFAC" w14:textId="53B1EE93" w:rsidR="00EE1DCC" w:rsidRPr="00595D86" w:rsidRDefault="00EE1DCC" w:rsidP="00EE1DCC">
      <w:pPr>
        <w:pStyle w:val="p14"/>
        <w:rPr>
          <w:rFonts w:ascii="Times" w:hAnsi="Times" w:cs="Times"/>
          <w:sz w:val="26"/>
          <w:szCs w:val="26"/>
        </w:rPr>
      </w:pPr>
      <w:r w:rsidRPr="00595D86">
        <w:rPr>
          <w:rFonts w:ascii="Times" w:hAnsi="Times" w:cs="Times"/>
          <w:sz w:val="26"/>
          <w:szCs w:val="26"/>
        </w:rPr>
        <w:t xml:space="preserve">ORDER ADOPTED:  </w:t>
      </w:r>
      <w:r w:rsidR="00054452">
        <w:rPr>
          <w:rFonts w:ascii="Times" w:hAnsi="Times" w:cs="Times"/>
          <w:sz w:val="26"/>
          <w:szCs w:val="26"/>
        </w:rPr>
        <w:t>August 2</w:t>
      </w:r>
      <w:r w:rsidR="00504166">
        <w:rPr>
          <w:rFonts w:ascii="Times" w:hAnsi="Times" w:cs="Times"/>
          <w:sz w:val="26"/>
          <w:szCs w:val="26"/>
        </w:rPr>
        <w:t>6</w:t>
      </w:r>
      <w:r w:rsidR="00B63FFE">
        <w:rPr>
          <w:rFonts w:ascii="Times" w:hAnsi="Times" w:cs="Times"/>
          <w:sz w:val="26"/>
          <w:szCs w:val="26"/>
        </w:rPr>
        <w:t>, 20</w:t>
      </w:r>
      <w:r w:rsidR="00054452">
        <w:rPr>
          <w:rFonts w:ascii="Times" w:hAnsi="Times" w:cs="Times"/>
          <w:sz w:val="26"/>
          <w:szCs w:val="26"/>
        </w:rPr>
        <w:t>21</w:t>
      </w:r>
    </w:p>
    <w:p w14:paraId="15D72D26" w14:textId="77777777" w:rsidR="00EE1DCC" w:rsidRPr="00595D86" w:rsidRDefault="00EE1DCC" w:rsidP="00EE1DCC">
      <w:pPr>
        <w:pStyle w:val="p14"/>
        <w:rPr>
          <w:rFonts w:ascii="Times" w:hAnsi="Times" w:cs="Times"/>
          <w:sz w:val="26"/>
          <w:szCs w:val="26"/>
        </w:rPr>
      </w:pPr>
    </w:p>
    <w:p w14:paraId="7AEBBF1A" w14:textId="352C10FC" w:rsidR="00EE1DCC" w:rsidRPr="00595D86" w:rsidRDefault="00EE1DCC" w:rsidP="00EE1DCC">
      <w:pPr>
        <w:pStyle w:val="p14"/>
        <w:rPr>
          <w:rFonts w:ascii="Times" w:hAnsi="Times" w:cs="Times"/>
          <w:sz w:val="26"/>
          <w:szCs w:val="26"/>
        </w:rPr>
      </w:pPr>
      <w:r w:rsidRPr="00595D86">
        <w:rPr>
          <w:rFonts w:ascii="Times" w:hAnsi="Times" w:cs="Times"/>
          <w:sz w:val="26"/>
          <w:szCs w:val="26"/>
        </w:rPr>
        <w:t xml:space="preserve">ORDER ENTERED:  </w:t>
      </w:r>
      <w:r w:rsidR="00835642">
        <w:rPr>
          <w:rFonts w:ascii="Times" w:hAnsi="Times" w:cs="Times"/>
          <w:sz w:val="26"/>
          <w:szCs w:val="26"/>
        </w:rPr>
        <w:t>August 26, 2021</w:t>
      </w:r>
    </w:p>
    <w:p w14:paraId="410F4068" w14:textId="77777777" w:rsidR="006902D6" w:rsidRPr="00595D86" w:rsidRDefault="006902D6">
      <w:pPr>
        <w:rPr>
          <w:rFonts w:ascii="Times" w:hAnsi="Times" w:cs="Times"/>
          <w:sz w:val="26"/>
          <w:szCs w:val="26"/>
        </w:rPr>
      </w:pPr>
    </w:p>
    <w:p w14:paraId="1AA2A1F5" w14:textId="27A1C604" w:rsidR="00732189" w:rsidRPr="00A72227" w:rsidRDefault="00732189" w:rsidP="00A72227">
      <w:pPr>
        <w:rPr>
          <w:rFonts w:ascii="Times" w:hAnsi="Times" w:cs="Times"/>
          <w:b/>
          <w:bCs/>
          <w:sz w:val="26"/>
          <w:szCs w:val="26"/>
        </w:rPr>
      </w:pPr>
    </w:p>
    <w:sectPr w:rsidR="00732189" w:rsidRPr="00A72227" w:rsidSect="00D83182">
      <w:footerReference w:type="even" r:id="rId10"/>
      <w:footerReference w:type="default" r:id="rId11"/>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DE7783" w14:textId="77777777" w:rsidR="00DC0AF5" w:rsidRDefault="00DC0AF5" w:rsidP="00880544">
      <w:r>
        <w:separator/>
      </w:r>
    </w:p>
  </w:endnote>
  <w:endnote w:type="continuationSeparator" w:id="0">
    <w:p w14:paraId="08E759E2" w14:textId="77777777" w:rsidR="00DC0AF5" w:rsidRDefault="00DC0AF5" w:rsidP="00880544">
      <w:r>
        <w:continuationSeparator/>
      </w:r>
    </w:p>
  </w:endnote>
  <w:endnote w:type="continuationNotice" w:id="1">
    <w:p w14:paraId="1380A960" w14:textId="77777777" w:rsidR="00DC0AF5" w:rsidRDefault="00DC0A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8028F" w14:textId="77777777" w:rsidR="006A01F9" w:rsidRDefault="00F114D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526FBA5" w14:textId="77777777" w:rsidR="006A01F9" w:rsidRDefault="008356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F2B70" w14:textId="77777777" w:rsidR="006A01F9" w:rsidRDefault="00F114D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E0FBD">
      <w:rPr>
        <w:rStyle w:val="PageNumber"/>
        <w:noProof/>
      </w:rPr>
      <w:t>5</w:t>
    </w:r>
    <w:r>
      <w:rPr>
        <w:rStyle w:val="PageNumber"/>
      </w:rPr>
      <w:fldChar w:fldCharType="end"/>
    </w:r>
  </w:p>
  <w:p w14:paraId="0C6263EC" w14:textId="77777777" w:rsidR="006A01F9" w:rsidRDefault="00835642" w:rsidP="00FA58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4023B4" w14:textId="77777777" w:rsidR="00DC0AF5" w:rsidRDefault="00DC0AF5" w:rsidP="00880544">
      <w:r>
        <w:separator/>
      </w:r>
    </w:p>
  </w:footnote>
  <w:footnote w:type="continuationSeparator" w:id="0">
    <w:p w14:paraId="5AF6E735" w14:textId="77777777" w:rsidR="00DC0AF5" w:rsidRDefault="00DC0AF5" w:rsidP="00880544">
      <w:r>
        <w:continuationSeparator/>
      </w:r>
    </w:p>
  </w:footnote>
  <w:footnote w:type="continuationNotice" w:id="1">
    <w:p w14:paraId="188D8135" w14:textId="77777777" w:rsidR="00DC0AF5" w:rsidRDefault="00DC0AF5"/>
  </w:footnote>
  <w:footnote w:id="2">
    <w:p w14:paraId="281FBAD0" w14:textId="465E44EA" w:rsidR="00E71CDE" w:rsidRPr="00014690" w:rsidRDefault="00E71CDE">
      <w:pPr>
        <w:pStyle w:val="FootnoteText"/>
        <w:rPr>
          <w:sz w:val="22"/>
          <w:szCs w:val="22"/>
        </w:rPr>
      </w:pPr>
      <w:r w:rsidRPr="00014690">
        <w:rPr>
          <w:rStyle w:val="FootnoteReference"/>
          <w:sz w:val="22"/>
          <w:szCs w:val="22"/>
        </w:rPr>
        <w:footnoteRef/>
      </w:r>
      <w:r w:rsidRPr="00014690">
        <w:rPr>
          <w:sz w:val="22"/>
          <w:szCs w:val="22"/>
        </w:rPr>
        <w:t xml:space="preserve"> </w:t>
      </w:r>
      <w:r w:rsidR="0051356F" w:rsidRPr="00014690">
        <w:rPr>
          <w:sz w:val="22"/>
          <w:szCs w:val="22"/>
        </w:rPr>
        <w:t xml:space="preserve">NFGDC utilized </w:t>
      </w:r>
      <w:r w:rsidR="00ED0A9D" w:rsidRPr="00014690">
        <w:rPr>
          <w:sz w:val="22"/>
          <w:szCs w:val="22"/>
        </w:rPr>
        <w:t>its</w:t>
      </w:r>
      <w:r w:rsidR="0051356F" w:rsidRPr="00014690">
        <w:rPr>
          <w:sz w:val="22"/>
          <w:szCs w:val="22"/>
        </w:rPr>
        <w:t xml:space="preserve"> fiscal year</w:t>
      </w:r>
      <w:r w:rsidR="00A4000F" w:rsidRPr="00014690">
        <w:rPr>
          <w:sz w:val="22"/>
          <w:szCs w:val="22"/>
        </w:rPr>
        <w:t>, which runs from October</w:t>
      </w:r>
      <w:r w:rsidR="0060048C" w:rsidRPr="00014690">
        <w:rPr>
          <w:sz w:val="22"/>
          <w:szCs w:val="22"/>
        </w:rPr>
        <w:t xml:space="preserve"> 1 to September 30, for </w:t>
      </w:r>
      <w:r w:rsidR="00A94C0D" w:rsidRPr="00014690">
        <w:rPr>
          <w:sz w:val="22"/>
          <w:szCs w:val="22"/>
        </w:rPr>
        <w:t>purposes</w:t>
      </w:r>
      <w:r w:rsidR="0060048C" w:rsidRPr="00014690">
        <w:rPr>
          <w:sz w:val="22"/>
          <w:szCs w:val="22"/>
        </w:rPr>
        <w:t xml:space="preserve"> of </w:t>
      </w:r>
      <w:r w:rsidR="00A94C0D" w:rsidRPr="00014690">
        <w:rPr>
          <w:sz w:val="22"/>
          <w:szCs w:val="22"/>
        </w:rPr>
        <w:t>calculating the</w:t>
      </w:r>
      <w:r w:rsidR="004650A9" w:rsidRPr="00014690">
        <w:rPr>
          <w:sz w:val="22"/>
          <w:szCs w:val="22"/>
        </w:rPr>
        <w:t xml:space="preserve"> effects of the TCJA.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3A5C98"/>
    <w:multiLevelType w:val="hybridMultilevel"/>
    <w:tmpl w:val="9D6A6C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542398"/>
    <w:multiLevelType w:val="hybridMultilevel"/>
    <w:tmpl w:val="3ACC2862"/>
    <w:lvl w:ilvl="0" w:tplc="28C8F7F6">
      <w:start w:val="1"/>
      <w:numFmt w:val="decimal"/>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FCD0834"/>
    <w:multiLevelType w:val="hybridMultilevel"/>
    <w:tmpl w:val="5642B7DE"/>
    <w:lvl w:ilvl="0" w:tplc="8F16D1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CFA0AEB"/>
    <w:multiLevelType w:val="hybridMultilevel"/>
    <w:tmpl w:val="FD68309A"/>
    <w:lvl w:ilvl="0" w:tplc="8D36BB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02555D0"/>
    <w:multiLevelType w:val="hybridMultilevel"/>
    <w:tmpl w:val="94DC67D4"/>
    <w:lvl w:ilvl="0" w:tplc="F21222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0EE"/>
    <w:rsid w:val="00000E44"/>
    <w:rsid w:val="000027D2"/>
    <w:rsid w:val="00003053"/>
    <w:rsid w:val="00004CAC"/>
    <w:rsid w:val="00011B5D"/>
    <w:rsid w:val="00014690"/>
    <w:rsid w:val="000168A7"/>
    <w:rsid w:val="0002331B"/>
    <w:rsid w:val="000264DB"/>
    <w:rsid w:val="00033791"/>
    <w:rsid w:val="000341A8"/>
    <w:rsid w:val="00047562"/>
    <w:rsid w:val="000479B1"/>
    <w:rsid w:val="00054452"/>
    <w:rsid w:val="0005470A"/>
    <w:rsid w:val="00063D4F"/>
    <w:rsid w:val="00065C00"/>
    <w:rsid w:val="00073983"/>
    <w:rsid w:val="000753D5"/>
    <w:rsid w:val="00085C40"/>
    <w:rsid w:val="00087642"/>
    <w:rsid w:val="00097FF9"/>
    <w:rsid w:val="000A5078"/>
    <w:rsid w:val="000B400C"/>
    <w:rsid w:val="000C391F"/>
    <w:rsid w:val="000E102E"/>
    <w:rsid w:val="000E532F"/>
    <w:rsid w:val="000F04D0"/>
    <w:rsid w:val="000F2BF2"/>
    <w:rsid w:val="0011057A"/>
    <w:rsid w:val="001136A7"/>
    <w:rsid w:val="00123A70"/>
    <w:rsid w:val="00127B38"/>
    <w:rsid w:val="001375D6"/>
    <w:rsid w:val="001407FA"/>
    <w:rsid w:val="00153524"/>
    <w:rsid w:val="001548FB"/>
    <w:rsid w:val="00160129"/>
    <w:rsid w:val="00165D5C"/>
    <w:rsid w:val="0018679E"/>
    <w:rsid w:val="00194114"/>
    <w:rsid w:val="001A260E"/>
    <w:rsid w:val="001A51CD"/>
    <w:rsid w:val="001B57B5"/>
    <w:rsid w:val="001C03E7"/>
    <w:rsid w:val="001C0C55"/>
    <w:rsid w:val="001C5283"/>
    <w:rsid w:val="001D569F"/>
    <w:rsid w:val="001D6AD7"/>
    <w:rsid w:val="001E2534"/>
    <w:rsid w:val="001E608A"/>
    <w:rsid w:val="001F2D20"/>
    <w:rsid w:val="002002BB"/>
    <w:rsid w:val="002002D4"/>
    <w:rsid w:val="00204828"/>
    <w:rsid w:val="002141B0"/>
    <w:rsid w:val="00215FD2"/>
    <w:rsid w:val="00216284"/>
    <w:rsid w:val="00217107"/>
    <w:rsid w:val="00264CC1"/>
    <w:rsid w:val="00266ED1"/>
    <w:rsid w:val="002678CB"/>
    <w:rsid w:val="00271C13"/>
    <w:rsid w:val="002728F3"/>
    <w:rsid w:val="002753FE"/>
    <w:rsid w:val="002831EB"/>
    <w:rsid w:val="00283626"/>
    <w:rsid w:val="00284D3F"/>
    <w:rsid w:val="00285FAA"/>
    <w:rsid w:val="002908A7"/>
    <w:rsid w:val="0029606F"/>
    <w:rsid w:val="00297A61"/>
    <w:rsid w:val="002B1998"/>
    <w:rsid w:val="002D3A1E"/>
    <w:rsid w:val="002F7084"/>
    <w:rsid w:val="00306E8D"/>
    <w:rsid w:val="00314865"/>
    <w:rsid w:val="00314B10"/>
    <w:rsid w:val="0032076F"/>
    <w:rsid w:val="00323B16"/>
    <w:rsid w:val="00324FBF"/>
    <w:rsid w:val="00325448"/>
    <w:rsid w:val="00330D7B"/>
    <w:rsid w:val="00361C4D"/>
    <w:rsid w:val="003627A9"/>
    <w:rsid w:val="003719E1"/>
    <w:rsid w:val="0038076C"/>
    <w:rsid w:val="00385E2B"/>
    <w:rsid w:val="00393094"/>
    <w:rsid w:val="003A2216"/>
    <w:rsid w:val="003A3D73"/>
    <w:rsid w:val="003B020B"/>
    <w:rsid w:val="003B45CD"/>
    <w:rsid w:val="003B7309"/>
    <w:rsid w:val="003C1180"/>
    <w:rsid w:val="003C4233"/>
    <w:rsid w:val="003C6175"/>
    <w:rsid w:val="003D0105"/>
    <w:rsid w:val="003D4F7E"/>
    <w:rsid w:val="003E023C"/>
    <w:rsid w:val="003E0E04"/>
    <w:rsid w:val="003E64BF"/>
    <w:rsid w:val="00401F31"/>
    <w:rsid w:val="00403238"/>
    <w:rsid w:val="004068CA"/>
    <w:rsid w:val="00412717"/>
    <w:rsid w:val="00442467"/>
    <w:rsid w:val="00446D6D"/>
    <w:rsid w:val="0045014C"/>
    <w:rsid w:val="004650A9"/>
    <w:rsid w:val="00483E67"/>
    <w:rsid w:val="004966B7"/>
    <w:rsid w:val="004A47FD"/>
    <w:rsid w:val="004B168B"/>
    <w:rsid w:val="004B3CD7"/>
    <w:rsid w:val="004B5423"/>
    <w:rsid w:val="004E22A8"/>
    <w:rsid w:val="00500FD9"/>
    <w:rsid w:val="00503999"/>
    <w:rsid w:val="00504166"/>
    <w:rsid w:val="005131E5"/>
    <w:rsid w:val="0051356F"/>
    <w:rsid w:val="00523EAA"/>
    <w:rsid w:val="00530F76"/>
    <w:rsid w:val="0053369B"/>
    <w:rsid w:val="00535939"/>
    <w:rsid w:val="00546283"/>
    <w:rsid w:val="0055133F"/>
    <w:rsid w:val="00560E80"/>
    <w:rsid w:val="00563F54"/>
    <w:rsid w:val="005669D9"/>
    <w:rsid w:val="00572CB1"/>
    <w:rsid w:val="005852E3"/>
    <w:rsid w:val="00595D86"/>
    <w:rsid w:val="00597F6B"/>
    <w:rsid w:val="005A1BE5"/>
    <w:rsid w:val="005A69DA"/>
    <w:rsid w:val="005A7920"/>
    <w:rsid w:val="005B2D8F"/>
    <w:rsid w:val="005B6137"/>
    <w:rsid w:val="005E01F5"/>
    <w:rsid w:val="005E0FBD"/>
    <w:rsid w:val="005E3A80"/>
    <w:rsid w:val="005F2266"/>
    <w:rsid w:val="005F5C2D"/>
    <w:rsid w:val="0060048C"/>
    <w:rsid w:val="00604407"/>
    <w:rsid w:val="006147EE"/>
    <w:rsid w:val="00622230"/>
    <w:rsid w:val="00627E7C"/>
    <w:rsid w:val="00631ED3"/>
    <w:rsid w:val="006320A5"/>
    <w:rsid w:val="0063792E"/>
    <w:rsid w:val="00645868"/>
    <w:rsid w:val="00651284"/>
    <w:rsid w:val="006656AF"/>
    <w:rsid w:val="00666E85"/>
    <w:rsid w:val="006672D7"/>
    <w:rsid w:val="00687A0B"/>
    <w:rsid w:val="006902D6"/>
    <w:rsid w:val="00693B91"/>
    <w:rsid w:val="00695A0A"/>
    <w:rsid w:val="006A28F8"/>
    <w:rsid w:val="006B13C3"/>
    <w:rsid w:val="006B7B75"/>
    <w:rsid w:val="006D4185"/>
    <w:rsid w:val="006E1FFC"/>
    <w:rsid w:val="006F3068"/>
    <w:rsid w:val="00702DC6"/>
    <w:rsid w:val="00704D6A"/>
    <w:rsid w:val="00710C3E"/>
    <w:rsid w:val="007110ED"/>
    <w:rsid w:val="00717D83"/>
    <w:rsid w:val="0072525C"/>
    <w:rsid w:val="00732189"/>
    <w:rsid w:val="00734042"/>
    <w:rsid w:val="00743E8F"/>
    <w:rsid w:val="00745182"/>
    <w:rsid w:val="00756AD4"/>
    <w:rsid w:val="00756FBA"/>
    <w:rsid w:val="007633E9"/>
    <w:rsid w:val="00764F05"/>
    <w:rsid w:val="00773891"/>
    <w:rsid w:val="00777B6E"/>
    <w:rsid w:val="007806BF"/>
    <w:rsid w:val="00782ACE"/>
    <w:rsid w:val="007A17E5"/>
    <w:rsid w:val="007A3760"/>
    <w:rsid w:val="007A7D7D"/>
    <w:rsid w:val="007B5EC8"/>
    <w:rsid w:val="007C2CEC"/>
    <w:rsid w:val="007C70A5"/>
    <w:rsid w:val="007D3FC1"/>
    <w:rsid w:val="007E1369"/>
    <w:rsid w:val="007E1EE4"/>
    <w:rsid w:val="007E4E56"/>
    <w:rsid w:val="007F38FA"/>
    <w:rsid w:val="008118D6"/>
    <w:rsid w:val="00822E12"/>
    <w:rsid w:val="0082485B"/>
    <w:rsid w:val="00835642"/>
    <w:rsid w:val="00846669"/>
    <w:rsid w:val="00875FE9"/>
    <w:rsid w:val="008764C3"/>
    <w:rsid w:val="00880544"/>
    <w:rsid w:val="008903BA"/>
    <w:rsid w:val="008A5523"/>
    <w:rsid w:val="008A5BB0"/>
    <w:rsid w:val="008C4CDE"/>
    <w:rsid w:val="008C63A8"/>
    <w:rsid w:val="008D50E3"/>
    <w:rsid w:val="008E2369"/>
    <w:rsid w:val="008E304E"/>
    <w:rsid w:val="008F1A51"/>
    <w:rsid w:val="008F33FE"/>
    <w:rsid w:val="008F41E3"/>
    <w:rsid w:val="00900EF7"/>
    <w:rsid w:val="00907F1A"/>
    <w:rsid w:val="00912D6C"/>
    <w:rsid w:val="009142DC"/>
    <w:rsid w:val="0091458A"/>
    <w:rsid w:val="009342AE"/>
    <w:rsid w:val="00955ABC"/>
    <w:rsid w:val="00956EA3"/>
    <w:rsid w:val="009647FA"/>
    <w:rsid w:val="00964834"/>
    <w:rsid w:val="00970CF1"/>
    <w:rsid w:val="00974CA8"/>
    <w:rsid w:val="00993F83"/>
    <w:rsid w:val="009A28AA"/>
    <w:rsid w:val="009A6032"/>
    <w:rsid w:val="009B0080"/>
    <w:rsid w:val="009B0317"/>
    <w:rsid w:val="009B6669"/>
    <w:rsid w:val="009C0F4A"/>
    <w:rsid w:val="009C4074"/>
    <w:rsid w:val="009D004C"/>
    <w:rsid w:val="009D1C35"/>
    <w:rsid w:val="009E00C8"/>
    <w:rsid w:val="009E3F61"/>
    <w:rsid w:val="009E3FA6"/>
    <w:rsid w:val="009E7AE7"/>
    <w:rsid w:val="009E7F0F"/>
    <w:rsid w:val="00A055BD"/>
    <w:rsid w:val="00A100A6"/>
    <w:rsid w:val="00A15EBF"/>
    <w:rsid w:val="00A313B2"/>
    <w:rsid w:val="00A4000F"/>
    <w:rsid w:val="00A66AF1"/>
    <w:rsid w:val="00A7207F"/>
    <w:rsid w:val="00A72227"/>
    <w:rsid w:val="00A74CE8"/>
    <w:rsid w:val="00A756E9"/>
    <w:rsid w:val="00A87C61"/>
    <w:rsid w:val="00A900F3"/>
    <w:rsid w:val="00A94C0D"/>
    <w:rsid w:val="00A976C4"/>
    <w:rsid w:val="00A97E3A"/>
    <w:rsid w:val="00AA145B"/>
    <w:rsid w:val="00AA46F6"/>
    <w:rsid w:val="00AB4869"/>
    <w:rsid w:val="00AB6DCE"/>
    <w:rsid w:val="00AC16FC"/>
    <w:rsid w:val="00AC6D20"/>
    <w:rsid w:val="00AD0809"/>
    <w:rsid w:val="00AD3701"/>
    <w:rsid w:val="00AD3A57"/>
    <w:rsid w:val="00AD63B9"/>
    <w:rsid w:val="00AE76C7"/>
    <w:rsid w:val="00AF6316"/>
    <w:rsid w:val="00AF71DD"/>
    <w:rsid w:val="00B02B6E"/>
    <w:rsid w:val="00B06131"/>
    <w:rsid w:val="00B345C2"/>
    <w:rsid w:val="00B35D6E"/>
    <w:rsid w:val="00B53BA6"/>
    <w:rsid w:val="00B546E4"/>
    <w:rsid w:val="00B63FFE"/>
    <w:rsid w:val="00B74260"/>
    <w:rsid w:val="00B81F37"/>
    <w:rsid w:val="00B83AF9"/>
    <w:rsid w:val="00B95F2B"/>
    <w:rsid w:val="00BA1D11"/>
    <w:rsid w:val="00BA7969"/>
    <w:rsid w:val="00BE14FF"/>
    <w:rsid w:val="00BE5612"/>
    <w:rsid w:val="00BF7087"/>
    <w:rsid w:val="00C058DD"/>
    <w:rsid w:val="00C1020F"/>
    <w:rsid w:val="00C131A6"/>
    <w:rsid w:val="00C149F1"/>
    <w:rsid w:val="00C2042C"/>
    <w:rsid w:val="00C228BD"/>
    <w:rsid w:val="00C35583"/>
    <w:rsid w:val="00C3604B"/>
    <w:rsid w:val="00C4242D"/>
    <w:rsid w:val="00C45A09"/>
    <w:rsid w:val="00C52B09"/>
    <w:rsid w:val="00C54A95"/>
    <w:rsid w:val="00C55971"/>
    <w:rsid w:val="00C565FA"/>
    <w:rsid w:val="00C61199"/>
    <w:rsid w:val="00C74A11"/>
    <w:rsid w:val="00C873FB"/>
    <w:rsid w:val="00C91E48"/>
    <w:rsid w:val="00C91FA6"/>
    <w:rsid w:val="00C97D4E"/>
    <w:rsid w:val="00CA30EE"/>
    <w:rsid w:val="00CA4087"/>
    <w:rsid w:val="00CB2CD3"/>
    <w:rsid w:val="00CD1FCA"/>
    <w:rsid w:val="00CF3AD4"/>
    <w:rsid w:val="00CF3B25"/>
    <w:rsid w:val="00CF476B"/>
    <w:rsid w:val="00CF5EC0"/>
    <w:rsid w:val="00D073FD"/>
    <w:rsid w:val="00D100EC"/>
    <w:rsid w:val="00D133A5"/>
    <w:rsid w:val="00D17EC1"/>
    <w:rsid w:val="00D249BC"/>
    <w:rsid w:val="00D31B44"/>
    <w:rsid w:val="00D37321"/>
    <w:rsid w:val="00D42F33"/>
    <w:rsid w:val="00D43CBA"/>
    <w:rsid w:val="00D4428E"/>
    <w:rsid w:val="00D507A0"/>
    <w:rsid w:val="00D64634"/>
    <w:rsid w:val="00D722D8"/>
    <w:rsid w:val="00D86F9D"/>
    <w:rsid w:val="00D95799"/>
    <w:rsid w:val="00DA1817"/>
    <w:rsid w:val="00DA26E5"/>
    <w:rsid w:val="00DA6810"/>
    <w:rsid w:val="00DB6E52"/>
    <w:rsid w:val="00DC0AF5"/>
    <w:rsid w:val="00DC3423"/>
    <w:rsid w:val="00DC7C39"/>
    <w:rsid w:val="00DD4356"/>
    <w:rsid w:val="00DE0E69"/>
    <w:rsid w:val="00DF4C7C"/>
    <w:rsid w:val="00E03194"/>
    <w:rsid w:val="00E206FB"/>
    <w:rsid w:val="00E207D9"/>
    <w:rsid w:val="00E20B83"/>
    <w:rsid w:val="00E25651"/>
    <w:rsid w:val="00E35EED"/>
    <w:rsid w:val="00E43FE4"/>
    <w:rsid w:val="00E47DD1"/>
    <w:rsid w:val="00E56D42"/>
    <w:rsid w:val="00E6460B"/>
    <w:rsid w:val="00E64C38"/>
    <w:rsid w:val="00E65746"/>
    <w:rsid w:val="00E6728D"/>
    <w:rsid w:val="00E71CDE"/>
    <w:rsid w:val="00E75CC8"/>
    <w:rsid w:val="00E76C5F"/>
    <w:rsid w:val="00E8478E"/>
    <w:rsid w:val="00E96D62"/>
    <w:rsid w:val="00EA0DCE"/>
    <w:rsid w:val="00EA17BE"/>
    <w:rsid w:val="00EA3B80"/>
    <w:rsid w:val="00EA3D19"/>
    <w:rsid w:val="00EB2331"/>
    <w:rsid w:val="00EB2A6A"/>
    <w:rsid w:val="00EB7A8C"/>
    <w:rsid w:val="00EC41CD"/>
    <w:rsid w:val="00EC7D7B"/>
    <w:rsid w:val="00ED0A9D"/>
    <w:rsid w:val="00ED4652"/>
    <w:rsid w:val="00EE1DCC"/>
    <w:rsid w:val="00EE5036"/>
    <w:rsid w:val="00EE70D0"/>
    <w:rsid w:val="00EF7E4A"/>
    <w:rsid w:val="00F00A02"/>
    <w:rsid w:val="00F01758"/>
    <w:rsid w:val="00F01B00"/>
    <w:rsid w:val="00F03437"/>
    <w:rsid w:val="00F105A1"/>
    <w:rsid w:val="00F114DE"/>
    <w:rsid w:val="00F2344A"/>
    <w:rsid w:val="00F26542"/>
    <w:rsid w:val="00F40798"/>
    <w:rsid w:val="00F50287"/>
    <w:rsid w:val="00F50DC1"/>
    <w:rsid w:val="00F62F57"/>
    <w:rsid w:val="00F63570"/>
    <w:rsid w:val="00F72CBB"/>
    <w:rsid w:val="00F74C9D"/>
    <w:rsid w:val="00F879F2"/>
    <w:rsid w:val="00FA577A"/>
    <w:rsid w:val="00FA58A4"/>
    <w:rsid w:val="00FB24AC"/>
    <w:rsid w:val="00FC4F42"/>
    <w:rsid w:val="00FF0365"/>
    <w:rsid w:val="00FF7E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A977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1DCC"/>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paragraph" w:styleId="Heading3">
    <w:name w:val="heading 3"/>
    <w:basedOn w:val="Normal"/>
    <w:next w:val="Normal"/>
    <w:link w:val="Heading3Char"/>
    <w:qFormat/>
    <w:rsid w:val="00EE1DCC"/>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EE1DCC"/>
    <w:rPr>
      <w:rFonts w:ascii="Arial" w:eastAsia="Times New Roman" w:hAnsi="Arial" w:cs="Arial"/>
      <w:b/>
      <w:bCs/>
      <w:sz w:val="26"/>
      <w:szCs w:val="26"/>
    </w:rPr>
  </w:style>
  <w:style w:type="paragraph" w:styleId="Footer">
    <w:name w:val="footer"/>
    <w:basedOn w:val="Normal"/>
    <w:link w:val="FooterChar"/>
    <w:rsid w:val="00EE1DCC"/>
    <w:pPr>
      <w:tabs>
        <w:tab w:val="center" w:pos="4320"/>
        <w:tab w:val="right" w:pos="8640"/>
      </w:tabs>
    </w:pPr>
  </w:style>
  <w:style w:type="character" w:customStyle="1" w:styleId="FooterChar">
    <w:name w:val="Footer Char"/>
    <w:basedOn w:val="DefaultParagraphFont"/>
    <w:link w:val="Footer"/>
    <w:rsid w:val="00EE1DCC"/>
    <w:rPr>
      <w:rFonts w:ascii="Times New Roman" w:eastAsia="Times New Roman" w:hAnsi="Times New Roman" w:cs="Times New Roman"/>
      <w:sz w:val="24"/>
      <w:szCs w:val="20"/>
    </w:rPr>
  </w:style>
  <w:style w:type="character" w:styleId="PageNumber">
    <w:name w:val="page number"/>
    <w:basedOn w:val="DefaultParagraphFont"/>
    <w:rsid w:val="00EE1DCC"/>
  </w:style>
  <w:style w:type="paragraph" w:customStyle="1" w:styleId="p3">
    <w:name w:val="p3"/>
    <w:basedOn w:val="Normal"/>
    <w:rsid w:val="00EE1DCC"/>
    <w:pPr>
      <w:widowControl w:val="0"/>
      <w:tabs>
        <w:tab w:val="left" w:pos="204"/>
      </w:tabs>
      <w:overflowPunct/>
      <w:textAlignment w:val="auto"/>
    </w:pPr>
    <w:rPr>
      <w:szCs w:val="24"/>
    </w:rPr>
  </w:style>
  <w:style w:type="paragraph" w:customStyle="1" w:styleId="p14">
    <w:name w:val="p14"/>
    <w:basedOn w:val="Normal"/>
    <w:rsid w:val="00EE1DCC"/>
    <w:pPr>
      <w:widowControl w:val="0"/>
      <w:tabs>
        <w:tab w:val="left" w:pos="204"/>
      </w:tabs>
      <w:overflowPunct/>
      <w:textAlignment w:val="auto"/>
    </w:pPr>
    <w:rPr>
      <w:szCs w:val="24"/>
    </w:rPr>
  </w:style>
  <w:style w:type="paragraph" w:customStyle="1" w:styleId="p17">
    <w:name w:val="p17"/>
    <w:basedOn w:val="Normal"/>
    <w:rsid w:val="00EE1DCC"/>
    <w:pPr>
      <w:widowControl w:val="0"/>
      <w:tabs>
        <w:tab w:val="left" w:pos="5057"/>
      </w:tabs>
      <w:overflowPunct/>
      <w:ind w:left="3617"/>
      <w:textAlignment w:val="auto"/>
    </w:pPr>
    <w:rPr>
      <w:szCs w:val="24"/>
    </w:rPr>
  </w:style>
  <w:style w:type="paragraph" w:customStyle="1" w:styleId="p18">
    <w:name w:val="p18"/>
    <w:basedOn w:val="Normal"/>
    <w:rsid w:val="00EE1DCC"/>
    <w:pPr>
      <w:widowControl w:val="0"/>
      <w:tabs>
        <w:tab w:val="left" w:pos="5062"/>
      </w:tabs>
      <w:overflowPunct/>
      <w:ind w:left="3622"/>
      <w:textAlignment w:val="auto"/>
    </w:pPr>
    <w:rPr>
      <w:szCs w:val="24"/>
    </w:rPr>
  </w:style>
  <w:style w:type="paragraph" w:customStyle="1" w:styleId="StyleCentered">
    <w:name w:val="Style Centered"/>
    <w:basedOn w:val="Normal"/>
    <w:rsid w:val="00EE1DCC"/>
    <w:pPr>
      <w:jc w:val="center"/>
    </w:pPr>
  </w:style>
  <w:style w:type="paragraph" w:styleId="FootnoteText">
    <w:name w:val="footnote text"/>
    <w:basedOn w:val="Normal"/>
    <w:link w:val="FootnoteTextChar"/>
    <w:uiPriority w:val="99"/>
    <w:semiHidden/>
    <w:unhideWhenUsed/>
    <w:rsid w:val="00880544"/>
    <w:rPr>
      <w:sz w:val="20"/>
    </w:rPr>
  </w:style>
  <w:style w:type="character" w:customStyle="1" w:styleId="FootnoteTextChar">
    <w:name w:val="Footnote Text Char"/>
    <w:basedOn w:val="DefaultParagraphFont"/>
    <w:link w:val="FootnoteText"/>
    <w:uiPriority w:val="99"/>
    <w:semiHidden/>
    <w:rsid w:val="00880544"/>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880544"/>
    <w:rPr>
      <w:vertAlign w:val="superscript"/>
    </w:rPr>
  </w:style>
  <w:style w:type="paragraph" w:styleId="ListParagraph">
    <w:name w:val="List Paragraph"/>
    <w:basedOn w:val="Normal"/>
    <w:uiPriority w:val="34"/>
    <w:qFormat/>
    <w:rsid w:val="00D249BC"/>
    <w:pPr>
      <w:ind w:left="720"/>
      <w:contextualSpacing/>
    </w:pPr>
  </w:style>
  <w:style w:type="paragraph" w:styleId="BalloonText">
    <w:name w:val="Balloon Text"/>
    <w:basedOn w:val="Normal"/>
    <w:link w:val="BalloonTextChar"/>
    <w:uiPriority w:val="99"/>
    <w:semiHidden/>
    <w:unhideWhenUsed/>
    <w:rsid w:val="00595D86"/>
    <w:rPr>
      <w:rFonts w:ascii="Tahoma" w:hAnsi="Tahoma" w:cs="Tahoma"/>
      <w:sz w:val="16"/>
      <w:szCs w:val="16"/>
    </w:rPr>
  </w:style>
  <w:style w:type="character" w:customStyle="1" w:styleId="BalloonTextChar">
    <w:name w:val="Balloon Text Char"/>
    <w:basedOn w:val="DefaultParagraphFont"/>
    <w:link w:val="BalloonText"/>
    <w:uiPriority w:val="99"/>
    <w:semiHidden/>
    <w:rsid w:val="00595D86"/>
    <w:rPr>
      <w:rFonts w:ascii="Tahoma" w:eastAsia="Times New Roman" w:hAnsi="Tahoma" w:cs="Tahoma"/>
      <w:sz w:val="16"/>
      <w:szCs w:val="16"/>
    </w:rPr>
  </w:style>
  <w:style w:type="paragraph" w:styleId="Header">
    <w:name w:val="header"/>
    <w:basedOn w:val="Normal"/>
    <w:link w:val="HeaderChar"/>
    <w:uiPriority w:val="99"/>
    <w:unhideWhenUsed/>
    <w:rsid w:val="007E1369"/>
    <w:pPr>
      <w:tabs>
        <w:tab w:val="center" w:pos="4680"/>
        <w:tab w:val="right" w:pos="9360"/>
      </w:tabs>
    </w:pPr>
  </w:style>
  <w:style w:type="character" w:customStyle="1" w:styleId="HeaderChar">
    <w:name w:val="Header Char"/>
    <w:basedOn w:val="DefaultParagraphFont"/>
    <w:link w:val="Header"/>
    <w:uiPriority w:val="99"/>
    <w:rsid w:val="007E1369"/>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7E1369"/>
    <w:rPr>
      <w:sz w:val="16"/>
      <w:szCs w:val="16"/>
    </w:rPr>
  </w:style>
  <w:style w:type="paragraph" w:styleId="CommentText">
    <w:name w:val="annotation text"/>
    <w:basedOn w:val="Normal"/>
    <w:link w:val="CommentTextChar"/>
    <w:uiPriority w:val="99"/>
    <w:semiHidden/>
    <w:unhideWhenUsed/>
    <w:rsid w:val="007E1369"/>
    <w:rPr>
      <w:sz w:val="20"/>
    </w:rPr>
  </w:style>
  <w:style w:type="character" w:customStyle="1" w:styleId="CommentTextChar">
    <w:name w:val="Comment Text Char"/>
    <w:basedOn w:val="DefaultParagraphFont"/>
    <w:link w:val="CommentText"/>
    <w:uiPriority w:val="99"/>
    <w:semiHidden/>
    <w:rsid w:val="007E136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E1369"/>
    <w:rPr>
      <w:b/>
      <w:bCs/>
    </w:rPr>
  </w:style>
  <w:style w:type="character" w:customStyle="1" w:styleId="CommentSubjectChar">
    <w:name w:val="Comment Subject Char"/>
    <w:basedOn w:val="CommentTextChar"/>
    <w:link w:val="CommentSubject"/>
    <w:uiPriority w:val="99"/>
    <w:semiHidden/>
    <w:rsid w:val="007E1369"/>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D722D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874554">
      <w:bodyDiv w:val="1"/>
      <w:marLeft w:val="0"/>
      <w:marRight w:val="0"/>
      <w:marTop w:val="0"/>
      <w:marBottom w:val="0"/>
      <w:divBdr>
        <w:top w:val="none" w:sz="0" w:space="0" w:color="auto"/>
        <w:left w:val="none" w:sz="0" w:space="0" w:color="auto"/>
        <w:bottom w:val="none" w:sz="0" w:space="0" w:color="auto"/>
        <w:right w:val="none" w:sz="0" w:space="0" w:color="auto"/>
      </w:divBdr>
    </w:div>
    <w:div w:id="553351761">
      <w:bodyDiv w:val="1"/>
      <w:marLeft w:val="0"/>
      <w:marRight w:val="0"/>
      <w:marTop w:val="0"/>
      <w:marBottom w:val="0"/>
      <w:divBdr>
        <w:top w:val="none" w:sz="0" w:space="0" w:color="auto"/>
        <w:left w:val="none" w:sz="0" w:space="0" w:color="auto"/>
        <w:bottom w:val="none" w:sz="0" w:space="0" w:color="auto"/>
        <w:right w:val="none" w:sz="0" w:space="0" w:color="auto"/>
      </w:divBdr>
    </w:div>
    <w:div w:id="1574386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A3DF01-481B-4534-9675-941AFA3724EE}">
  <ds:schemaRefs>
    <ds:schemaRef ds:uri="http://schemas.openxmlformats.org/officeDocument/2006/bibliography"/>
  </ds:schemaRefs>
</ds:datastoreItem>
</file>

<file path=customXml/itemProps2.xml><?xml version="1.0" encoding="utf-8"?>
<ds:datastoreItem xmlns:ds="http://schemas.openxmlformats.org/officeDocument/2006/customXml" ds:itemID="{87A0FDB2-559C-4661-98DF-2B7126D88C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1001</Words>
  <Characters>5709</Characters>
  <Application>Microsoft Office Word</Application>
  <DocSecurity>4</DocSecurity>
  <Lines>47</Lines>
  <Paragraphs>13</Paragraphs>
  <ScaleCrop>false</ScaleCrop>
  <Company/>
  <LinksUpToDate>false</LinksUpToDate>
  <CharactersWithSpaces>6697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2021-08-26T16:19:00Z</dcterms:created>
  <dcterms:modified xsi:type="dcterms:W3CDTF">2021-08-26T16:19:00Z</dcterms:modified>
</cp:coreProperties>
</file>