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D11D19" w14:paraId="25E52004" w14:textId="77777777">
        <w:tblPrEx>
          <w:tblCellMar>
            <w:top w:w="0" w:type="dxa"/>
            <w:bottom w:w="0" w:type="dxa"/>
          </w:tblCellMar>
        </w:tblPrEx>
        <w:tc>
          <w:tcPr>
            <w:tcW w:w="2448" w:type="dxa"/>
          </w:tcPr>
          <w:p w14:paraId="16AECCCE" w14:textId="77777777" w:rsidR="00D850D4" w:rsidRPr="00C0451E" w:rsidRDefault="00D850D4" w:rsidP="00092C0A">
            <w:pPr>
              <w:pStyle w:val="Heading3"/>
              <w:rPr>
                <w:rFonts w:ascii="Times New Roman" w:hAnsi="Times New Roman" w:cs="Times New Roman"/>
              </w:rPr>
            </w:pPr>
          </w:p>
        </w:tc>
        <w:tc>
          <w:tcPr>
            <w:tcW w:w="5130" w:type="dxa"/>
          </w:tcPr>
          <w:p w14:paraId="4AF3BC53" w14:textId="77777777" w:rsidR="00D850D4" w:rsidRPr="00D11D19" w:rsidRDefault="00D850D4">
            <w:pPr>
              <w:jc w:val="center"/>
              <w:rPr>
                <w:b/>
                <w:sz w:val="26"/>
                <w:szCs w:val="26"/>
              </w:rPr>
            </w:pPr>
            <w:r w:rsidRPr="00D11D19">
              <w:rPr>
                <w:b/>
                <w:sz w:val="26"/>
                <w:szCs w:val="26"/>
              </w:rPr>
              <w:t>PENNSYLVANIA</w:t>
            </w:r>
          </w:p>
          <w:p w14:paraId="038C8C8E" w14:textId="77777777" w:rsidR="00D850D4" w:rsidRPr="00D11D19" w:rsidRDefault="00D850D4">
            <w:pPr>
              <w:jc w:val="center"/>
              <w:rPr>
                <w:b/>
                <w:sz w:val="26"/>
                <w:szCs w:val="26"/>
              </w:rPr>
            </w:pPr>
            <w:r w:rsidRPr="00D11D19">
              <w:rPr>
                <w:b/>
                <w:sz w:val="26"/>
                <w:szCs w:val="26"/>
              </w:rPr>
              <w:t>PUBLIC UTILITY COMMISSION</w:t>
            </w:r>
          </w:p>
          <w:p w14:paraId="41F8D33E" w14:textId="77777777" w:rsidR="00D850D4" w:rsidRPr="00D11D19" w:rsidRDefault="00D850D4" w:rsidP="00092C0A">
            <w:pPr>
              <w:pStyle w:val="StyleCentered"/>
              <w:rPr>
                <w:b/>
                <w:sz w:val="26"/>
                <w:szCs w:val="26"/>
              </w:rPr>
            </w:pPr>
            <w:r w:rsidRPr="00D11D19">
              <w:rPr>
                <w:b/>
                <w:sz w:val="26"/>
                <w:szCs w:val="26"/>
              </w:rPr>
              <w:t>Harrisburg</w:t>
            </w:r>
            <w:r w:rsidR="006048E2" w:rsidRPr="00D11D19">
              <w:rPr>
                <w:b/>
                <w:sz w:val="26"/>
                <w:szCs w:val="26"/>
              </w:rPr>
              <w:t>, PA</w:t>
            </w:r>
            <w:r w:rsidRPr="00D11D19">
              <w:rPr>
                <w:b/>
                <w:sz w:val="26"/>
                <w:szCs w:val="26"/>
              </w:rPr>
              <w:t xml:space="preserve">  17105-3265</w:t>
            </w:r>
          </w:p>
        </w:tc>
        <w:tc>
          <w:tcPr>
            <w:tcW w:w="2700" w:type="dxa"/>
          </w:tcPr>
          <w:p w14:paraId="01CCB916" w14:textId="77777777" w:rsidR="00D850D4" w:rsidRPr="00D11D19" w:rsidRDefault="00D850D4">
            <w:pPr>
              <w:rPr>
                <w:sz w:val="26"/>
                <w:szCs w:val="26"/>
              </w:rPr>
            </w:pPr>
          </w:p>
        </w:tc>
      </w:tr>
    </w:tbl>
    <w:p w14:paraId="6209F492" w14:textId="77777777" w:rsidR="00D850D4" w:rsidRPr="00D11D19"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D11D19" w14:paraId="007BBD5E" w14:textId="77777777">
        <w:tblPrEx>
          <w:tblCellMar>
            <w:top w:w="0" w:type="dxa"/>
            <w:bottom w:w="0" w:type="dxa"/>
          </w:tblCellMar>
        </w:tblPrEx>
        <w:tc>
          <w:tcPr>
            <w:tcW w:w="5148" w:type="dxa"/>
          </w:tcPr>
          <w:p w14:paraId="32F881F2" w14:textId="77777777" w:rsidR="00D850D4" w:rsidRPr="00D11D19" w:rsidRDefault="00D850D4">
            <w:pPr>
              <w:rPr>
                <w:sz w:val="26"/>
                <w:szCs w:val="26"/>
              </w:rPr>
            </w:pPr>
          </w:p>
        </w:tc>
        <w:tc>
          <w:tcPr>
            <w:tcW w:w="5148" w:type="dxa"/>
          </w:tcPr>
          <w:p w14:paraId="029DF2E4" w14:textId="77777777" w:rsidR="00D850D4" w:rsidRPr="00D11D19" w:rsidRDefault="00D850D4">
            <w:pPr>
              <w:ind w:firstLine="612"/>
              <w:rPr>
                <w:sz w:val="26"/>
                <w:szCs w:val="26"/>
              </w:rPr>
            </w:pPr>
            <w:r w:rsidRPr="00D11D19">
              <w:rPr>
                <w:sz w:val="26"/>
                <w:szCs w:val="26"/>
              </w:rPr>
              <w:t xml:space="preserve">Public Meeting held </w:t>
            </w:r>
            <w:r w:rsidR="007305A5" w:rsidRPr="00D11D19">
              <w:rPr>
                <w:sz w:val="26"/>
                <w:szCs w:val="26"/>
              </w:rPr>
              <w:t>August 26, 2021</w:t>
            </w:r>
          </w:p>
        </w:tc>
      </w:tr>
      <w:tr w:rsidR="00D850D4" w:rsidRPr="00D11D19" w14:paraId="41D23432" w14:textId="77777777">
        <w:tblPrEx>
          <w:tblCellMar>
            <w:top w:w="0" w:type="dxa"/>
            <w:bottom w:w="0" w:type="dxa"/>
          </w:tblCellMar>
        </w:tblPrEx>
        <w:tc>
          <w:tcPr>
            <w:tcW w:w="5148" w:type="dxa"/>
          </w:tcPr>
          <w:p w14:paraId="261C7CE5" w14:textId="77777777" w:rsidR="00D11D19" w:rsidRDefault="00D11D19">
            <w:pPr>
              <w:rPr>
                <w:sz w:val="26"/>
                <w:szCs w:val="26"/>
              </w:rPr>
            </w:pPr>
          </w:p>
          <w:p w14:paraId="2DF01B14" w14:textId="77777777" w:rsidR="00D850D4" w:rsidRPr="00D11D19" w:rsidRDefault="00D850D4">
            <w:pPr>
              <w:rPr>
                <w:sz w:val="26"/>
                <w:szCs w:val="26"/>
              </w:rPr>
            </w:pPr>
            <w:r w:rsidRPr="00D11D19">
              <w:rPr>
                <w:sz w:val="26"/>
                <w:szCs w:val="26"/>
              </w:rPr>
              <w:t>Commissioners Present:</w:t>
            </w:r>
          </w:p>
        </w:tc>
        <w:tc>
          <w:tcPr>
            <w:tcW w:w="5148" w:type="dxa"/>
          </w:tcPr>
          <w:p w14:paraId="6F4B964E" w14:textId="77777777" w:rsidR="00D850D4" w:rsidRPr="00D11D19" w:rsidRDefault="00D850D4">
            <w:pPr>
              <w:rPr>
                <w:sz w:val="26"/>
                <w:szCs w:val="26"/>
              </w:rPr>
            </w:pPr>
          </w:p>
        </w:tc>
      </w:tr>
    </w:tbl>
    <w:p w14:paraId="38293C27" w14:textId="77777777" w:rsidR="00D850D4" w:rsidRPr="00D11D19" w:rsidRDefault="00D850D4">
      <w:pPr>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D11D19" w14:paraId="05CD3A72" w14:textId="77777777" w:rsidTr="00075AC0">
        <w:tblPrEx>
          <w:tblCellMar>
            <w:top w:w="0" w:type="dxa"/>
            <w:bottom w:w="0" w:type="dxa"/>
          </w:tblCellMar>
        </w:tblPrEx>
        <w:tc>
          <w:tcPr>
            <w:tcW w:w="10296" w:type="dxa"/>
            <w:gridSpan w:val="3"/>
          </w:tcPr>
          <w:p w14:paraId="20F583C7" w14:textId="77777777" w:rsidR="00E72D6C" w:rsidRPr="00D11D19" w:rsidRDefault="00E72D6C" w:rsidP="00E72D6C">
            <w:pPr>
              <w:tabs>
                <w:tab w:val="left" w:pos="720"/>
              </w:tabs>
              <w:rPr>
                <w:sz w:val="26"/>
                <w:szCs w:val="26"/>
              </w:rPr>
            </w:pPr>
            <w:r w:rsidRPr="00D11D19">
              <w:rPr>
                <w:sz w:val="26"/>
                <w:szCs w:val="26"/>
              </w:rPr>
              <w:tab/>
              <w:t>Gladys Brown</w:t>
            </w:r>
            <w:r w:rsidR="007D2A0F" w:rsidRPr="00D11D19">
              <w:rPr>
                <w:sz w:val="26"/>
                <w:szCs w:val="26"/>
              </w:rPr>
              <w:t xml:space="preserve"> Dutrieuille</w:t>
            </w:r>
            <w:r w:rsidRPr="00D11D19">
              <w:rPr>
                <w:sz w:val="26"/>
                <w:szCs w:val="26"/>
              </w:rPr>
              <w:t>, Chairman</w:t>
            </w:r>
          </w:p>
        </w:tc>
      </w:tr>
      <w:tr w:rsidR="00E72D6C" w:rsidRPr="00D11D19" w14:paraId="37046141" w14:textId="77777777" w:rsidTr="00075AC0">
        <w:tblPrEx>
          <w:tblCellMar>
            <w:top w:w="0" w:type="dxa"/>
            <w:bottom w:w="0" w:type="dxa"/>
          </w:tblCellMar>
        </w:tblPrEx>
        <w:tc>
          <w:tcPr>
            <w:tcW w:w="10296" w:type="dxa"/>
            <w:gridSpan w:val="3"/>
          </w:tcPr>
          <w:p w14:paraId="2D47D007" w14:textId="77777777" w:rsidR="00E72D6C" w:rsidRPr="00D11D19" w:rsidRDefault="00E72D6C" w:rsidP="00E72D6C">
            <w:pPr>
              <w:tabs>
                <w:tab w:val="left" w:pos="720"/>
              </w:tabs>
              <w:rPr>
                <w:sz w:val="26"/>
                <w:szCs w:val="26"/>
              </w:rPr>
            </w:pPr>
            <w:r w:rsidRPr="00D11D19">
              <w:rPr>
                <w:sz w:val="26"/>
                <w:szCs w:val="26"/>
              </w:rPr>
              <w:tab/>
            </w:r>
            <w:r w:rsidR="00A13935" w:rsidRPr="00D11D19">
              <w:rPr>
                <w:sz w:val="26"/>
                <w:szCs w:val="26"/>
              </w:rPr>
              <w:t>David W. Sweet</w:t>
            </w:r>
            <w:r w:rsidRPr="00D11D19">
              <w:rPr>
                <w:sz w:val="26"/>
                <w:szCs w:val="26"/>
              </w:rPr>
              <w:t>, Vice Chairman</w:t>
            </w:r>
          </w:p>
        </w:tc>
      </w:tr>
      <w:tr w:rsidR="00E72D6C" w:rsidRPr="00D11D19" w14:paraId="174934A8" w14:textId="77777777" w:rsidTr="00075AC0">
        <w:tblPrEx>
          <w:tblCellMar>
            <w:top w:w="0" w:type="dxa"/>
            <w:bottom w:w="0" w:type="dxa"/>
          </w:tblCellMar>
        </w:tblPrEx>
        <w:trPr>
          <w:gridAfter w:val="1"/>
          <w:wAfter w:w="18" w:type="dxa"/>
        </w:trPr>
        <w:tc>
          <w:tcPr>
            <w:tcW w:w="10278" w:type="dxa"/>
            <w:gridSpan w:val="2"/>
          </w:tcPr>
          <w:p w14:paraId="3E13C3BE" w14:textId="77777777" w:rsidR="00E72D6C" w:rsidRPr="00D11D19" w:rsidRDefault="00E72D6C" w:rsidP="00E72D6C">
            <w:pPr>
              <w:tabs>
                <w:tab w:val="left" w:pos="720"/>
              </w:tabs>
              <w:rPr>
                <w:sz w:val="26"/>
                <w:szCs w:val="26"/>
              </w:rPr>
            </w:pPr>
            <w:r w:rsidRPr="00D11D19">
              <w:rPr>
                <w:sz w:val="26"/>
                <w:szCs w:val="26"/>
              </w:rPr>
              <w:tab/>
            </w:r>
            <w:r w:rsidR="005C2527" w:rsidRPr="00D11D19">
              <w:rPr>
                <w:sz w:val="26"/>
                <w:szCs w:val="26"/>
              </w:rPr>
              <w:t>John F. Coleman, Jr.</w:t>
            </w:r>
          </w:p>
        </w:tc>
      </w:tr>
      <w:tr w:rsidR="00E72D6C" w:rsidRPr="00D11D19" w14:paraId="36AD24A6" w14:textId="77777777" w:rsidTr="00075AC0">
        <w:tblPrEx>
          <w:tblCellMar>
            <w:top w:w="0" w:type="dxa"/>
            <w:bottom w:w="0" w:type="dxa"/>
          </w:tblCellMar>
        </w:tblPrEx>
        <w:trPr>
          <w:gridAfter w:val="1"/>
          <w:wAfter w:w="18" w:type="dxa"/>
        </w:trPr>
        <w:tc>
          <w:tcPr>
            <w:tcW w:w="10278" w:type="dxa"/>
            <w:gridSpan w:val="2"/>
          </w:tcPr>
          <w:p w14:paraId="6E75C255" w14:textId="77777777" w:rsidR="00E72D6C" w:rsidRPr="00D11D19" w:rsidRDefault="00E72D6C" w:rsidP="00E72D6C">
            <w:pPr>
              <w:tabs>
                <w:tab w:val="left" w:pos="720"/>
              </w:tabs>
              <w:rPr>
                <w:sz w:val="26"/>
                <w:szCs w:val="26"/>
              </w:rPr>
            </w:pPr>
            <w:r w:rsidRPr="00D11D19">
              <w:rPr>
                <w:sz w:val="26"/>
                <w:szCs w:val="26"/>
              </w:rPr>
              <w:tab/>
            </w:r>
            <w:r w:rsidR="005C2527" w:rsidRPr="00D11D19">
              <w:rPr>
                <w:sz w:val="26"/>
                <w:szCs w:val="26"/>
              </w:rPr>
              <w:t>Ralph V. Yanora</w:t>
            </w:r>
          </w:p>
        </w:tc>
      </w:tr>
      <w:tr w:rsidR="00D5619D" w:rsidRPr="00D11D19" w14:paraId="5FD80F05" w14:textId="77777777" w:rsidTr="00E72D6C">
        <w:tblPrEx>
          <w:tblCellMar>
            <w:top w:w="0" w:type="dxa"/>
            <w:bottom w:w="0" w:type="dxa"/>
          </w:tblCellMar>
        </w:tblPrEx>
        <w:trPr>
          <w:gridAfter w:val="1"/>
          <w:wAfter w:w="18" w:type="dxa"/>
        </w:trPr>
        <w:tc>
          <w:tcPr>
            <w:tcW w:w="5958" w:type="dxa"/>
          </w:tcPr>
          <w:p w14:paraId="2B63D231" w14:textId="77777777" w:rsidR="00D5619D" w:rsidRPr="00D11D19" w:rsidRDefault="00D5619D" w:rsidP="00350758">
            <w:pPr>
              <w:ind w:right="342"/>
              <w:rPr>
                <w:sz w:val="26"/>
                <w:szCs w:val="26"/>
              </w:rPr>
            </w:pPr>
            <w:r w:rsidRPr="00D11D19">
              <w:rPr>
                <w:sz w:val="26"/>
                <w:szCs w:val="26"/>
              </w:rPr>
              <w:tab/>
            </w:r>
          </w:p>
        </w:tc>
        <w:tc>
          <w:tcPr>
            <w:tcW w:w="4320" w:type="dxa"/>
          </w:tcPr>
          <w:p w14:paraId="2F836C22" w14:textId="77777777" w:rsidR="00D5619D" w:rsidRPr="00D11D19" w:rsidRDefault="00D5619D" w:rsidP="00350758">
            <w:pPr>
              <w:jc w:val="center"/>
              <w:rPr>
                <w:sz w:val="26"/>
                <w:szCs w:val="26"/>
              </w:rPr>
            </w:pPr>
          </w:p>
        </w:tc>
      </w:tr>
      <w:tr w:rsidR="00350758" w:rsidRPr="00D11D19" w14:paraId="1BDD1649" w14:textId="77777777" w:rsidTr="00E72D6C">
        <w:tblPrEx>
          <w:tblCellMar>
            <w:top w:w="0" w:type="dxa"/>
            <w:bottom w:w="0" w:type="dxa"/>
          </w:tblCellMar>
        </w:tblPrEx>
        <w:trPr>
          <w:gridAfter w:val="1"/>
          <w:wAfter w:w="18" w:type="dxa"/>
        </w:trPr>
        <w:tc>
          <w:tcPr>
            <w:tcW w:w="5958" w:type="dxa"/>
          </w:tcPr>
          <w:p w14:paraId="7EC51545" w14:textId="77777777" w:rsidR="00350758" w:rsidRPr="00D11D19" w:rsidRDefault="00677814" w:rsidP="00350758">
            <w:pPr>
              <w:ind w:right="342"/>
              <w:rPr>
                <w:sz w:val="26"/>
                <w:szCs w:val="26"/>
              </w:rPr>
            </w:pPr>
            <w:r w:rsidRPr="00D11D19">
              <w:rPr>
                <w:sz w:val="26"/>
                <w:szCs w:val="26"/>
              </w:rPr>
              <w:t>Petition of Consolidated Communications of Pennsylvania, LLC to Amend its Chapter 30 Alternative Regulation Plan</w:t>
            </w:r>
          </w:p>
        </w:tc>
        <w:tc>
          <w:tcPr>
            <w:tcW w:w="4320" w:type="dxa"/>
          </w:tcPr>
          <w:p w14:paraId="69CDEBD4" w14:textId="77777777" w:rsidR="00350758" w:rsidRPr="00D11D19" w:rsidRDefault="00677814" w:rsidP="00677814">
            <w:pPr>
              <w:jc w:val="right"/>
              <w:rPr>
                <w:sz w:val="26"/>
                <w:szCs w:val="26"/>
              </w:rPr>
            </w:pPr>
            <w:r w:rsidRPr="00D11D19">
              <w:rPr>
                <w:sz w:val="26"/>
                <w:szCs w:val="26"/>
              </w:rPr>
              <w:t>Docket No. P-2021-3027005</w:t>
            </w:r>
          </w:p>
        </w:tc>
      </w:tr>
      <w:tr w:rsidR="00350758" w:rsidRPr="00D11D19" w14:paraId="33C113DB" w14:textId="77777777" w:rsidTr="00E72D6C">
        <w:tblPrEx>
          <w:tblCellMar>
            <w:top w:w="0" w:type="dxa"/>
            <w:bottom w:w="0" w:type="dxa"/>
          </w:tblCellMar>
        </w:tblPrEx>
        <w:trPr>
          <w:gridAfter w:val="1"/>
          <w:wAfter w:w="18" w:type="dxa"/>
        </w:trPr>
        <w:tc>
          <w:tcPr>
            <w:tcW w:w="5958" w:type="dxa"/>
          </w:tcPr>
          <w:p w14:paraId="0BACA213" w14:textId="77777777" w:rsidR="00677814" w:rsidRPr="00D11D19" w:rsidRDefault="00677814" w:rsidP="000B0A41">
            <w:pPr>
              <w:ind w:right="342"/>
              <w:rPr>
                <w:sz w:val="26"/>
                <w:szCs w:val="26"/>
              </w:rPr>
            </w:pPr>
          </w:p>
          <w:p w14:paraId="78D2652D" w14:textId="77777777" w:rsidR="000B0A41" w:rsidRPr="00D11D19" w:rsidRDefault="000B0A41" w:rsidP="000B0A41">
            <w:pPr>
              <w:ind w:right="342"/>
              <w:rPr>
                <w:sz w:val="26"/>
                <w:szCs w:val="26"/>
              </w:rPr>
            </w:pPr>
            <w:r w:rsidRPr="00D11D19">
              <w:rPr>
                <w:sz w:val="26"/>
                <w:szCs w:val="26"/>
              </w:rPr>
              <w:t>Joint Application of Consolidated Communications Holdings, Inc., Consolidated</w:t>
            </w:r>
          </w:p>
          <w:p w14:paraId="3A806AFB" w14:textId="77777777" w:rsidR="000B0A41" w:rsidRPr="00D11D19" w:rsidRDefault="000B0A41" w:rsidP="000B0A41">
            <w:pPr>
              <w:ind w:right="342"/>
              <w:rPr>
                <w:sz w:val="26"/>
                <w:szCs w:val="26"/>
              </w:rPr>
            </w:pPr>
            <w:r w:rsidRPr="00D11D19">
              <w:rPr>
                <w:sz w:val="26"/>
                <w:szCs w:val="26"/>
              </w:rPr>
              <w:t>Communications of Pennsylvania, LLC, Consolidated Communications Enterprise</w:t>
            </w:r>
          </w:p>
          <w:p w14:paraId="6B94EDEE" w14:textId="77777777" w:rsidR="000B0A41" w:rsidRPr="00D11D19" w:rsidRDefault="000B0A41" w:rsidP="000B0A41">
            <w:pPr>
              <w:ind w:right="342"/>
              <w:rPr>
                <w:sz w:val="26"/>
                <w:szCs w:val="26"/>
              </w:rPr>
            </w:pPr>
            <w:r w:rsidRPr="00D11D19">
              <w:rPr>
                <w:sz w:val="26"/>
                <w:szCs w:val="26"/>
              </w:rPr>
              <w:t>Services, Inc., Bentleyville Communications Corporation, Marianna &amp; Scenery Hill</w:t>
            </w:r>
          </w:p>
          <w:p w14:paraId="4B78BFFE" w14:textId="77777777" w:rsidR="000B0A41" w:rsidRPr="00D11D19" w:rsidRDefault="000B0A41" w:rsidP="000B0A41">
            <w:pPr>
              <w:ind w:right="342"/>
              <w:rPr>
                <w:sz w:val="26"/>
                <w:szCs w:val="26"/>
              </w:rPr>
            </w:pPr>
            <w:r w:rsidRPr="00D11D19">
              <w:rPr>
                <w:sz w:val="26"/>
                <w:szCs w:val="26"/>
              </w:rPr>
              <w:t>Telephone Company, BE Mobile Communications, Incorporated, Marianna Tel, Inc., and</w:t>
            </w:r>
          </w:p>
          <w:p w14:paraId="726A48EA" w14:textId="77777777" w:rsidR="000B0A41" w:rsidRPr="00D11D19" w:rsidRDefault="000B0A41" w:rsidP="000B0A41">
            <w:pPr>
              <w:ind w:right="342"/>
              <w:rPr>
                <w:sz w:val="26"/>
                <w:szCs w:val="26"/>
              </w:rPr>
            </w:pPr>
            <w:r w:rsidRPr="00D11D19">
              <w:rPr>
                <w:sz w:val="26"/>
                <w:szCs w:val="26"/>
              </w:rPr>
              <w:t>FairPoint Business Services LLC for Approval of an Intra-Company Consolidation and</w:t>
            </w:r>
          </w:p>
          <w:p w14:paraId="727C2A72" w14:textId="77777777" w:rsidR="000B0A41" w:rsidRPr="00D11D19" w:rsidRDefault="000B0A41" w:rsidP="000B0A41">
            <w:pPr>
              <w:ind w:right="342"/>
              <w:rPr>
                <w:sz w:val="26"/>
                <w:szCs w:val="26"/>
              </w:rPr>
            </w:pPr>
            <w:r w:rsidRPr="00D11D19">
              <w:rPr>
                <w:sz w:val="26"/>
                <w:szCs w:val="26"/>
              </w:rPr>
              <w:t>Abandonment of Certain Related Services</w:t>
            </w:r>
          </w:p>
          <w:p w14:paraId="207557EB" w14:textId="77777777" w:rsidR="000B0A41" w:rsidRPr="00D11D19" w:rsidRDefault="000B0A41" w:rsidP="000B0A41">
            <w:pPr>
              <w:ind w:right="342"/>
              <w:rPr>
                <w:sz w:val="26"/>
                <w:szCs w:val="26"/>
              </w:rPr>
            </w:pPr>
          </w:p>
          <w:p w14:paraId="50BA99A1" w14:textId="77777777" w:rsidR="000B0A41" w:rsidRPr="00D11D19" w:rsidRDefault="000B0A41" w:rsidP="000B0A41">
            <w:pPr>
              <w:ind w:right="342"/>
              <w:rPr>
                <w:sz w:val="26"/>
                <w:szCs w:val="26"/>
              </w:rPr>
            </w:pPr>
            <w:r w:rsidRPr="00D11D19">
              <w:rPr>
                <w:sz w:val="26"/>
                <w:szCs w:val="26"/>
              </w:rPr>
              <w:t>Petition Of North Pittsburgh Telephone Company For Approval of An Alternative Form of Regulation and Network Modernization Plan</w:t>
            </w:r>
          </w:p>
          <w:p w14:paraId="21A4855D" w14:textId="77777777" w:rsidR="000B0A41" w:rsidRPr="00D11D19" w:rsidRDefault="000B0A41" w:rsidP="000B0A41">
            <w:pPr>
              <w:ind w:right="342"/>
              <w:rPr>
                <w:sz w:val="26"/>
                <w:szCs w:val="26"/>
              </w:rPr>
            </w:pPr>
          </w:p>
          <w:p w14:paraId="3F9D0C63" w14:textId="77777777" w:rsidR="000B0A41" w:rsidRPr="00D11D19" w:rsidRDefault="000B0A41" w:rsidP="000B0A41">
            <w:pPr>
              <w:ind w:right="342"/>
              <w:rPr>
                <w:sz w:val="26"/>
                <w:szCs w:val="26"/>
              </w:rPr>
            </w:pPr>
            <w:r w:rsidRPr="00D11D19">
              <w:rPr>
                <w:sz w:val="26"/>
                <w:szCs w:val="26"/>
              </w:rPr>
              <w:t>Petition Of The Bentleyville Telephone Company For Approval of A Streamlined Form</w:t>
            </w:r>
            <w:r w:rsidR="0057233C" w:rsidRPr="00D11D19">
              <w:rPr>
                <w:sz w:val="26"/>
                <w:szCs w:val="26"/>
              </w:rPr>
              <w:t xml:space="preserve"> </w:t>
            </w:r>
            <w:r w:rsidRPr="00D11D19">
              <w:rPr>
                <w:sz w:val="26"/>
                <w:szCs w:val="26"/>
              </w:rPr>
              <w:t xml:space="preserve">of Regulation and Network Modernization Plan </w:t>
            </w:r>
          </w:p>
          <w:p w14:paraId="06F1165F" w14:textId="77777777" w:rsidR="000B0A41" w:rsidRPr="00D11D19" w:rsidRDefault="000B0A41" w:rsidP="000B0A41">
            <w:pPr>
              <w:ind w:right="342"/>
              <w:rPr>
                <w:sz w:val="26"/>
                <w:szCs w:val="26"/>
              </w:rPr>
            </w:pPr>
          </w:p>
          <w:p w14:paraId="69F3FD45" w14:textId="77777777" w:rsidR="00350758" w:rsidRPr="00D11D19" w:rsidRDefault="000B0A41" w:rsidP="0057233C">
            <w:pPr>
              <w:ind w:right="342"/>
              <w:rPr>
                <w:sz w:val="26"/>
                <w:szCs w:val="26"/>
              </w:rPr>
            </w:pPr>
            <w:r w:rsidRPr="00D11D19">
              <w:rPr>
                <w:sz w:val="26"/>
                <w:szCs w:val="26"/>
              </w:rPr>
              <w:t>Petition for Alternative Regulation and Network Modernization Plan of Marianna and</w:t>
            </w:r>
            <w:r w:rsidR="0057233C" w:rsidRPr="00D11D19">
              <w:rPr>
                <w:sz w:val="26"/>
                <w:szCs w:val="26"/>
              </w:rPr>
              <w:t xml:space="preserve"> </w:t>
            </w:r>
            <w:r w:rsidRPr="00D11D19">
              <w:rPr>
                <w:sz w:val="26"/>
                <w:szCs w:val="26"/>
              </w:rPr>
              <w:t>Scenery Hill Telephone Company</w:t>
            </w:r>
          </w:p>
        </w:tc>
        <w:tc>
          <w:tcPr>
            <w:tcW w:w="4320" w:type="dxa"/>
          </w:tcPr>
          <w:p w14:paraId="50483A33" w14:textId="77777777" w:rsidR="00677814" w:rsidRPr="00D11D19" w:rsidRDefault="00677814" w:rsidP="000B0A41">
            <w:pPr>
              <w:jc w:val="right"/>
              <w:rPr>
                <w:sz w:val="26"/>
                <w:szCs w:val="26"/>
              </w:rPr>
            </w:pPr>
          </w:p>
          <w:p w14:paraId="7DED9336" w14:textId="77777777" w:rsidR="00677814" w:rsidRPr="00D11D19" w:rsidRDefault="00677814" w:rsidP="000B0A41">
            <w:pPr>
              <w:jc w:val="right"/>
              <w:rPr>
                <w:sz w:val="26"/>
                <w:szCs w:val="26"/>
              </w:rPr>
            </w:pPr>
          </w:p>
          <w:p w14:paraId="1E3572E9" w14:textId="77777777" w:rsidR="000B0A41" w:rsidRPr="00D11D19" w:rsidRDefault="000B0A41" w:rsidP="000B0A41">
            <w:pPr>
              <w:jc w:val="right"/>
              <w:rPr>
                <w:sz w:val="26"/>
                <w:szCs w:val="26"/>
              </w:rPr>
            </w:pPr>
            <w:r w:rsidRPr="00D11D19">
              <w:rPr>
                <w:sz w:val="26"/>
                <w:szCs w:val="26"/>
              </w:rPr>
              <w:t>Docket Nos. A-2018-3006524</w:t>
            </w:r>
          </w:p>
          <w:p w14:paraId="03860487" w14:textId="77777777" w:rsidR="000B0A41" w:rsidRPr="00D11D19" w:rsidRDefault="000B0A41" w:rsidP="000B0A41">
            <w:pPr>
              <w:jc w:val="right"/>
              <w:rPr>
                <w:sz w:val="26"/>
                <w:szCs w:val="26"/>
              </w:rPr>
            </w:pPr>
            <w:r w:rsidRPr="00D11D19">
              <w:rPr>
                <w:sz w:val="26"/>
                <w:szCs w:val="26"/>
              </w:rPr>
              <w:t xml:space="preserve">                 A-2018-3006525</w:t>
            </w:r>
          </w:p>
          <w:p w14:paraId="47686524" w14:textId="77777777" w:rsidR="000B0A41" w:rsidRPr="00D11D19" w:rsidRDefault="000B0A41" w:rsidP="000B0A41">
            <w:pPr>
              <w:jc w:val="right"/>
              <w:rPr>
                <w:sz w:val="26"/>
                <w:szCs w:val="26"/>
              </w:rPr>
            </w:pPr>
            <w:r w:rsidRPr="00D11D19">
              <w:rPr>
                <w:sz w:val="26"/>
                <w:szCs w:val="26"/>
              </w:rPr>
              <w:t>A-2018-3006526</w:t>
            </w:r>
          </w:p>
          <w:p w14:paraId="0AFCF577" w14:textId="77777777" w:rsidR="000B0A41" w:rsidRPr="00D11D19" w:rsidRDefault="000B0A41" w:rsidP="000B0A41">
            <w:pPr>
              <w:jc w:val="right"/>
              <w:rPr>
                <w:sz w:val="26"/>
                <w:szCs w:val="26"/>
              </w:rPr>
            </w:pPr>
            <w:r w:rsidRPr="00D11D19">
              <w:rPr>
                <w:sz w:val="26"/>
                <w:szCs w:val="26"/>
              </w:rPr>
              <w:t>A-2018-3006527</w:t>
            </w:r>
          </w:p>
          <w:p w14:paraId="2561927A" w14:textId="77777777" w:rsidR="000B0A41" w:rsidRPr="00D11D19" w:rsidRDefault="000B0A41" w:rsidP="000B0A41">
            <w:pPr>
              <w:jc w:val="right"/>
              <w:rPr>
                <w:sz w:val="26"/>
                <w:szCs w:val="26"/>
              </w:rPr>
            </w:pPr>
            <w:r w:rsidRPr="00D11D19">
              <w:rPr>
                <w:sz w:val="26"/>
                <w:szCs w:val="26"/>
              </w:rPr>
              <w:t>A-2018-3006528</w:t>
            </w:r>
          </w:p>
          <w:p w14:paraId="2B3D074C" w14:textId="77777777" w:rsidR="000B0A41" w:rsidRPr="00D11D19" w:rsidRDefault="000B0A41" w:rsidP="000B0A41">
            <w:pPr>
              <w:jc w:val="right"/>
              <w:rPr>
                <w:sz w:val="26"/>
                <w:szCs w:val="26"/>
              </w:rPr>
            </w:pPr>
            <w:r w:rsidRPr="00D11D19">
              <w:rPr>
                <w:sz w:val="26"/>
                <w:szCs w:val="26"/>
              </w:rPr>
              <w:t>A-2018-3006529</w:t>
            </w:r>
          </w:p>
          <w:p w14:paraId="5F4DB231" w14:textId="77777777" w:rsidR="00350758" w:rsidRPr="00D11D19" w:rsidRDefault="000B0A41" w:rsidP="000B0A41">
            <w:pPr>
              <w:jc w:val="right"/>
              <w:rPr>
                <w:sz w:val="26"/>
                <w:szCs w:val="26"/>
              </w:rPr>
            </w:pPr>
            <w:r w:rsidRPr="00D11D19">
              <w:rPr>
                <w:sz w:val="26"/>
                <w:szCs w:val="26"/>
              </w:rPr>
              <w:t>A-2018-3006530</w:t>
            </w:r>
          </w:p>
          <w:p w14:paraId="42B9FBDC" w14:textId="77777777" w:rsidR="000B0A41" w:rsidRPr="00D11D19" w:rsidRDefault="000B0A41" w:rsidP="000B0A41">
            <w:pPr>
              <w:jc w:val="right"/>
              <w:rPr>
                <w:sz w:val="26"/>
                <w:szCs w:val="26"/>
              </w:rPr>
            </w:pPr>
          </w:p>
          <w:p w14:paraId="73FFFCA3" w14:textId="77777777" w:rsidR="000B0A41" w:rsidRPr="00D11D19" w:rsidRDefault="000B0A41" w:rsidP="000B0A41">
            <w:pPr>
              <w:jc w:val="right"/>
              <w:rPr>
                <w:sz w:val="26"/>
                <w:szCs w:val="26"/>
              </w:rPr>
            </w:pPr>
          </w:p>
          <w:p w14:paraId="3E8BF1A0" w14:textId="77777777" w:rsidR="000B0A41" w:rsidRPr="00D11D19" w:rsidRDefault="000B0A41" w:rsidP="000B0A41">
            <w:pPr>
              <w:jc w:val="right"/>
              <w:rPr>
                <w:sz w:val="26"/>
                <w:szCs w:val="26"/>
              </w:rPr>
            </w:pPr>
          </w:p>
          <w:p w14:paraId="19C15D12" w14:textId="77777777" w:rsidR="000B0A41" w:rsidRPr="00D11D19" w:rsidRDefault="000B0A41" w:rsidP="000B0A41">
            <w:pPr>
              <w:jc w:val="right"/>
              <w:rPr>
                <w:sz w:val="26"/>
                <w:szCs w:val="26"/>
              </w:rPr>
            </w:pPr>
          </w:p>
          <w:p w14:paraId="2A1C3C21" w14:textId="77777777" w:rsidR="000B0A41" w:rsidRPr="00D11D19" w:rsidRDefault="000B0A41" w:rsidP="000B0A41">
            <w:pPr>
              <w:jc w:val="right"/>
              <w:rPr>
                <w:sz w:val="26"/>
                <w:szCs w:val="26"/>
              </w:rPr>
            </w:pPr>
          </w:p>
          <w:p w14:paraId="183B877F" w14:textId="77777777" w:rsidR="000B0A41" w:rsidRPr="00D11D19" w:rsidRDefault="000B0A41" w:rsidP="000B0A41">
            <w:pPr>
              <w:jc w:val="right"/>
              <w:rPr>
                <w:sz w:val="26"/>
                <w:szCs w:val="26"/>
              </w:rPr>
            </w:pPr>
            <w:r w:rsidRPr="00D11D19">
              <w:rPr>
                <w:sz w:val="26"/>
                <w:szCs w:val="26"/>
              </w:rPr>
              <w:t>Docket No. P-00981437</w:t>
            </w:r>
            <w:r w:rsidR="007D587C" w:rsidRPr="00D11D19">
              <w:rPr>
                <w:sz w:val="26"/>
                <w:szCs w:val="26"/>
              </w:rPr>
              <w:t>F1000</w:t>
            </w:r>
          </w:p>
          <w:p w14:paraId="3EC9CDE2" w14:textId="77777777" w:rsidR="000B0A41" w:rsidRPr="00D11D19" w:rsidRDefault="000B0A41" w:rsidP="000B0A41">
            <w:pPr>
              <w:jc w:val="right"/>
              <w:rPr>
                <w:sz w:val="26"/>
                <w:szCs w:val="26"/>
              </w:rPr>
            </w:pPr>
          </w:p>
          <w:p w14:paraId="5EEC1A29" w14:textId="77777777" w:rsidR="000B0A41" w:rsidRPr="00D11D19" w:rsidRDefault="000B0A41" w:rsidP="000B0A41">
            <w:pPr>
              <w:jc w:val="right"/>
              <w:rPr>
                <w:sz w:val="26"/>
                <w:szCs w:val="26"/>
              </w:rPr>
            </w:pPr>
          </w:p>
          <w:p w14:paraId="22B4868A" w14:textId="77777777" w:rsidR="000B0A41" w:rsidRPr="00D11D19" w:rsidRDefault="000B0A41" w:rsidP="000B0A41">
            <w:pPr>
              <w:jc w:val="right"/>
              <w:rPr>
                <w:sz w:val="26"/>
                <w:szCs w:val="26"/>
              </w:rPr>
            </w:pPr>
          </w:p>
          <w:p w14:paraId="029A2857" w14:textId="77777777" w:rsidR="000B0A41" w:rsidRPr="00D11D19" w:rsidRDefault="000B0A41" w:rsidP="000B0A41">
            <w:pPr>
              <w:jc w:val="right"/>
              <w:rPr>
                <w:sz w:val="26"/>
                <w:szCs w:val="26"/>
              </w:rPr>
            </w:pPr>
            <w:r w:rsidRPr="00D11D19">
              <w:rPr>
                <w:sz w:val="26"/>
                <w:szCs w:val="26"/>
              </w:rPr>
              <w:t>Docket No. P-00981427</w:t>
            </w:r>
            <w:r w:rsidR="007D587C" w:rsidRPr="00D11D19">
              <w:rPr>
                <w:sz w:val="26"/>
                <w:szCs w:val="26"/>
              </w:rPr>
              <w:t>F1000</w:t>
            </w:r>
          </w:p>
          <w:p w14:paraId="6F0A3AAA" w14:textId="77777777" w:rsidR="000B0A41" w:rsidRPr="00D11D19" w:rsidRDefault="000B0A41" w:rsidP="000B0A41">
            <w:pPr>
              <w:jc w:val="right"/>
              <w:rPr>
                <w:sz w:val="26"/>
                <w:szCs w:val="26"/>
              </w:rPr>
            </w:pPr>
          </w:p>
          <w:p w14:paraId="76797A47" w14:textId="77777777" w:rsidR="000B0A41" w:rsidRPr="00D11D19" w:rsidRDefault="000B0A41" w:rsidP="000B0A41">
            <w:pPr>
              <w:jc w:val="right"/>
              <w:rPr>
                <w:sz w:val="26"/>
                <w:szCs w:val="26"/>
              </w:rPr>
            </w:pPr>
          </w:p>
          <w:p w14:paraId="2D54E390" w14:textId="77777777" w:rsidR="000B0A41" w:rsidRPr="00D11D19" w:rsidRDefault="000B0A41" w:rsidP="000B0A41">
            <w:pPr>
              <w:jc w:val="right"/>
              <w:rPr>
                <w:sz w:val="26"/>
                <w:szCs w:val="26"/>
              </w:rPr>
            </w:pPr>
          </w:p>
          <w:p w14:paraId="2CAAE933" w14:textId="77777777" w:rsidR="000B0A41" w:rsidRPr="00D11D19" w:rsidRDefault="000B0A41" w:rsidP="000B0A41">
            <w:pPr>
              <w:jc w:val="right"/>
              <w:rPr>
                <w:sz w:val="26"/>
                <w:szCs w:val="26"/>
              </w:rPr>
            </w:pPr>
            <w:r w:rsidRPr="00D11D19">
              <w:rPr>
                <w:sz w:val="26"/>
                <w:szCs w:val="26"/>
              </w:rPr>
              <w:t>Docket No. P-00981434</w:t>
            </w:r>
            <w:r w:rsidR="007D587C" w:rsidRPr="00D11D19">
              <w:rPr>
                <w:sz w:val="26"/>
                <w:szCs w:val="26"/>
              </w:rPr>
              <w:t>F1000</w:t>
            </w:r>
          </w:p>
        </w:tc>
      </w:tr>
      <w:tr w:rsidR="000B0A41" w:rsidRPr="00D11D19" w14:paraId="20598277" w14:textId="77777777" w:rsidTr="00E72D6C">
        <w:tblPrEx>
          <w:tblCellMar>
            <w:top w:w="0" w:type="dxa"/>
            <w:bottom w:w="0" w:type="dxa"/>
          </w:tblCellMar>
        </w:tblPrEx>
        <w:trPr>
          <w:gridAfter w:val="1"/>
          <w:wAfter w:w="18" w:type="dxa"/>
        </w:trPr>
        <w:tc>
          <w:tcPr>
            <w:tcW w:w="5958" w:type="dxa"/>
          </w:tcPr>
          <w:p w14:paraId="11239998" w14:textId="77777777" w:rsidR="000B0A41" w:rsidRPr="00D11D19" w:rsidRDefault="000B0A41" w:rsidP="000B0A41">
            <w:pPr>
              <w:ind w:right="342"/>
              <w:rPr>
                <w:sz w:val="26"/>
                <w:szCs w:val="26"/>
              </w:rPr>
            </w:pPr>
          </w:p>
        </w:tc>
        <w:tc>
          <w:tcPr>
            <w:tcW w:w="4320" w:type="dxa"/>
          </w:tcPr>
          <w:p w14:paraId="1DC81850" w14:textId="77777777" w:rsidR="000B0A41" w:rsidRPr="00D11D19" w:rsidRDefault="000B0A41" w:rsidP="000B0A41">
            <w:pPr>
              <w:jc w:val="center"/>
              <w:rPr>
                <w:sz w:val="26"/>
                <w:szCs w:val="26"/>
              </w:rPr>
            </w:pPr>
          </w:p>
        </w:tc>
      </w:tr>
    </w:tbl>
    <w:p w14:paraId="24EEDB0F" w14:textId="77777777" w:rsidR="00D850D4" w:rsidRDefault="00D850D4">
      <w:pPr>
        <w:jc w:val="center"/>
        <w:rPr>
          <w:b/>
          <w:sz w:val="26"/>
          <w:szCs w:val="26"/>
        </w:rPr>
      </w:pPr>
    </w:p>
    <w:p w14:paraId="7A56A164" w14:textId="77777777" w:rsidR="00D11D19" w:rsidRPr="00D11D19" w:rsidRDefault="00D11D19">
      <w:pPr>
        <w:jc w:val="center"/>
        <w:rPr>
          <w:b/>
          <w:sz w:val="26"/>
          <w:szCs w:val="26"/>
        </w:rPr>
      </w:pPr>
    </w:p>
    <w:p w14:paraId="687A7C73" w14:textId="77777777" w:rsidR="0037498A" w:rsidRPr="00D11D19" w:rsidRDefault="0037498A">
      <w:pPr>
        <w:jc w:val="center"/>
        <w:rPr>
          <w:b/>
          <w:sz w:val="26"/>
          <w:szCs w:val="26"/>
        </w:rPr>
      </w:pPr>
      <w:r w:rsidRPr="00D11D19">
        <w:rPr>
          <w:b/>
          <w:sz w:val="26"/>
          <w:szCs w:val="26"/>
        </w:rPr>
        <w:lastRenderedPageBreak/>
        <w:t>ORDER</w:t>
      </w:r>
    </w:p>
    <w:p w14:paraId="3E05432F" w14:textId="77777777" w:rsidR="00D850D4" w:rsidRPr="00D11D19" w:rsidRDefault="00D850D4">
      <w:pPr>
        <w:spacing w:line="360" w:lineRule="auto"/>
        <w:rPr>
          <w:sz w:val="26"/>
          <w:szCs w:val="26"/>
        </w:rPr>
      </w:pPr>
    </w:p>
    <w:p w14:paraId="6AEF4221" w14:textId="77777777" w:rsidR="00E809BE" w:rsidRPr="00D11D19" w:rsidRDefault="00AA5A51" w:rsidP="002D57DD">
      <w:pPr>
        <w:spacing w:line="360" w:lineRule="auto"/>
        <w:ind w:firstLine="720"/>
        <w:rPr>
          <w:color w:val="000000"/>
          <w:sz w:val="26"/>
          <w:szCs w:val="26"/>
        </w:rPr>
      </w:pPr>
      <w:r w:rsidRPr="00D11D19">
        <w:rPr>
          <w:sz w:val="26"/>
          <w:szCs w:val="26"/>
        </w:rPr>
        <w:t xml:space="preserve">Before </w:t>
      </w:r>
      <w:r w:rsidR="00E809BE" w:rsidRPr="00D11D19">
        <w:rPr>
          <w:sz w:val="26"/>
          <w:szCs w:val="26"/>
        </w:rPr>
        <w:t xml:space="preserve">the Commission </w:t>
      </w:r>
      <w:r w:rsidRPr="00D11D19">
        <w:rPr>
          <w:sz w:val="26"/>
          <w:szCs w:val="26"/>
        </w:rPr>
        <w:t xml:space="preserve">for </w:t>
      </w:r>
      <w:r w:rsidR="00E809BE" w:rsidRPr="00D11D19">
        <w:rPr>
          <w:sz w:val="26"/>
          <w:szCs w:val="26"/>
        </w:rPr>
        <w:t xml:space="preserve">its </w:t>
      </w:r>
      <w:r w:rsidRPr="00D11D19">
        <w:rPr>
          <w:sz w:val="26"/>
          <w:szCs w:val="26"/>
        </w:rPr>
        <w:t xml:space="preserve">review is a request </w:t>
      </w:r>
      <w:r w:rsidR="005431BE" w:rsidRPr="00D11D19">
        <w:rPr>
          <w:sz w:val="26"/>
          <w:szCs w:val="26"/>
        </w:rPr>
        <w:t xml:space="preserve">filed </w:t>
      </w:r>
      <w:r w:rsidRPr="00D11D19">
        <w:rPr>
          <w:sz w:val="26"/>
          <w:szCs w:val="26"/>
        </w:rPr>
        <w:t xml:space="preserve">by Consolidated Communications of Pennsylvania, LLC (“CCPA” or the “Company”) </w:t>
      </w:r>
      <w:r w:rsidR="005431BE" w:rsidRPr="00D11D19">
        <w:rPr>
          <w:sz w:val="26"/>
          <w:szCs w:val="26"/>
        </w:rPr>
        <w:t>on May 25, 2021, (“</w:t>
      </w:r>
      <w:r w:rsidR="00677814" w:rsidRPr="00D11D19">
        <w:rPr>
          <w:sz w:val="26"/>
          <w:szCs w:val="26"/>
        </w:rPr>
        <w:t>May 25 Letter-Petition</w:t>
      </w:r>
      <w:r w:rsidR="005431BE" w:rsidRPr="00D11D19">
        <w:rPr>
          <w:sz w:val="26"/>
          <w:szCs w:val="26"/>
        </w:rPr>
        <w:t xml:space="preserve">”) </w:t>
      </w:r>
      <w:r w:rsidRPr="00D11D19">
        <w:rPr>
          <w:sz w:val="26"/>
          <w:szCs w:val="26"/>
        </w:rPr>
        <w:t xml:space="preserve">to approve </w:t>
      </w:r>
      <w:r w:rsidR="005431BE" w:rsidRPr="00D11D19">
        <w:rPr>
          <w:sz w:val="26"/>
          <w:szCs w:val="26"/>
        </w:rPr>
        <w:t>changes to its existing a</w:t>
      </w:r>
      <w:r w:rsidRPr="00D11D19">
        <w:rPr>
          <w:sz w:val="26"/>
          <w:szCs w:val="26"/>
        </w:rPr>
        <w:t xml:space="preserve">lternative </w:t>
      </w:r>
      <w:r w:rsidR="005431BE" w:rsidRPr="00D11D19">
        <w:rPr>
          <w:sz w:val="26"/>
          <w:szCs w:val="26"/>
        </w:rPr>
        <w:t>form of r</w:t>
      </w:r>
      <w:r w:rsidRPr="00D11D19">
        <w:rPr>
          <w:sz w:val="26"/>
          <w:szCs w:val="26"/>
        </w:rPr>
        <w:t xml:space="preserve">egulation </w:t>
      </w:r>
      <w:r w:rsidR="005431BE" w:rsidRPr="00D11D19">
        <w:rPr>
          <w:sz w:val="26"/>
          <w:szCs w:val="26"/>
        </w:rPr>
        <w:t xml:space="preserve">set forth in its </w:t>
      </w:r>
      <w:r w:rsidR="007350B9" w:rsidRPr="00D11D19">
        <w:rPr>
          <w:sz w:val="26"/>
          <w:szCs w:val="26"/>
        </w:rPr>
        <w:t xml:space="preserve">filed </w:t>
      </w:r>
      <w:r w:rsidR="005431BE" w:rsidRPr="00D11D19">
        <w:rPr>
          <w:sz w:val="26"/>
          <w:szCs w:val="26"/>
        </w:rPr>
        <w:t xml:space="preserve">Amended Chapter 30 Plan </w:t>
      </w:r>
      <w:r w:rsidRPr="00D11D19">
        <w:rPr>
          <w:sz w:val="26"/>
          <w:szCs w:val="26"/>
        </w:rPr>
        <w:t>(</w:t>
      </w:r>
      <w:r w:rsidR="00DA4840" w:rsidRPr="00D11D19">
        <w:rPr>
          <w:sz w:val="26"/>
          <w:szCs w:val="26"/>
        </w:rPr>
        <w:t xml:space="preserve">Second </w:t>
      </w:r>
      <w:r w:rsidR="00F84442" w:rsidRPr="00D11D19">
        <w:rPr>
          <w:sz w:val="26"/>
          <w:szCs w:val="26"/>
        </w:rPr>
        <w:t xml:space="preserve">Amended </w:t>
      </w:r>
      <w:r w:rsidRPr="00D11D19">
        <w:rPr>
          <w:sz w:val="26"/>
          <w:szCs w:val="26"/>
        </w:rPr>
        <w:t>Chapter 30 Plan)</w:t>
      </w:r>
      <w:r w:rsidR="006A04B0" w:rsidRPr="00D11D19">
        <w:rPr>
          <w:sz w:val="26"/>
          <w:szCs w:val="26"/>
        </w:rPr>
        <w:t>.</w:t>
      </w:r>
      <w:r w:rsidR="00F84442" w:rsidRPr="00D11D19">
        <w:rPr>
          <w:rStyle w:val="FootnoteReference"/>
          <w:sz w:val="26"/>
          <w:szCs w:val="26"/>
        </w:rPr>
        <w:footnoteReference w:id="1"/>
      </w:r>
      <w:r w:rsidR="006A04B0" w:rsidRPr="00D11D19">
        <w:rPr>
          <w:sz w:val="26"/>
          <w:szCs w:val="26"/>
        </w:rPr>
        <w:t xml:space="preserve">  </w:t>
      </w:r>
      <w:r w:rsidR="007350B9" w:rsidRPr="00D11D19">
        <w:rPr>
          <w:sz w:val="26"/>
          <w:szCs w:val="26"/>
        </w:rPr>
        <w:t xml:space="preserve">This filing was made by CCPA </w:t>
      </w:r>
      <w:r w:rsidR="00E809BE" w:rsidRPr="00D11D19">
        <w:rPr>
          <w:sz w:val="26"/>
          <w:szCs w:val="26"/>
        </w:rPr>
        <w:t xml:space="preserve">as a consequence of </w:t>
      </w:r>
      <w:r w:rsidR="007350B9" w:rsidRPr="00D11D19">
        <w:rPr>
          <w:sz w:val="26"/>
          <w:szCs w:val="26"/>
        </w:rPr>
        <w:t xml:space="preserve">the </w:t>
      </w:r>
      <w:r w:rsidR="0043377F" w:rsidRPr="00D11D19">
        <w:rPr>
          <w:color w:val="000000"/>
          <w:sz w:val="26"/>
          <w:szCs w:val="26"/>
        </w:rPr>
        <w:t xml:space="preserve">merger and </w:t>
      </w:r>
      <w:r w:rsidR="00E809BE" w:rsidRPr="00D11D19">
        <w:rPr>
          <w:color w:val="000000"/>
          <w:sz w:val="26"/>
          <w:szCs w:val="26"/>
        </w:rPr>
        <w:t xml:space="preserve">intra-company consolidation between </w:t>
      </w:r>
      <w:r w:rsidR="007350B9" w:rsidRPr="00D11D19">
        <w:rPr>
          <w:color w:val="000000"/>
          <w:sz w:val="26"/>
          <w:szCs w:val="26"/>
        </w:rPr>
        <w:t xml:space="preserve">it and two other </w:t>
      </w:r>
      <w:r w:rsidR="00E809BE" w:rsidRPr="00D11D19">
        <w:rPr>
          <w:color w:val="000000"/>
          <w:sz w:val="26"/>
          <w:szCs w:val="26"/>
        </w:rPr>
        <w:t xml:space="preserve">rural incumbent local exchange carriers (ILECs), Bentleyville </w:t>
      </w:r>
      <w:r w:rsidR="00D11D19">
        <w:rPr>
          <w:color w:val="000000"/>
          <w:sz w:val="26"/>
          <w:szCs w:val="26"/>
        </w:rPr>
        <w:t>Telephone Company</w:t>
      </w:r>
      <w:r w:rsidR="00E809BE" w:rsidRPr="00D11D19">
        <w:rPr>
          <w:color w:val="000000"/>
          <w:sz w:val="26"/>
          <w:szCs w:val="26"/>
        </w:rPr>
        <w:t xml:space="preserve"> (</w:t>
      </w:r>
      <w:r w:rsidR="00D11D19">
        <w:rPr>
          <w:color w:val="000000"/>
          <w:sz w:val="26"/>
          <w:szCs w:val="26"/>
        </w:rPr>
        <w:t>BTC</w:t>
      </w:r>
      <w:r w:rsidR="00E809BE" w:rsidRPr="00D11D19">
        <w:rPr>
          <w:color w:val="000000"/>
          <w:sz w:val="26"/>
          <w:szCs w:val="26"/>
        </w:rPr>
        <w:t>) and Marianna &amp; Scenery Hill Telephone Company (M&amp;SH).</w:t>
      </w:r>
    </w:p>
    <w:p w14:paraId="77C8E6F1" w14:textId="77777777" w:rsidR="00E809BE" w:rsidRPr="00D11D19" w:rsidRDefault="00E809BE" w:rsidP="00AA5A51">
      <w:pPr>
        <w:spacing w:line="360" w:lineRule="auto"/>
        <w:rPr>
          <w:sz w:val="26"/>
          <w:szCs w:val="26"/>
        </w:rPr>
      </w:pPr>
    </w:p>
    <w:p w14:paraId="7150AE99" w14:textId="77777777" w:rsidR="0096663E" w:rsidRPr="00D11D19" w:rsidRDefault="0096663E" w:rsidP="00E93163">
      <w:pPr>
        <w:spacing w:line="360" w:lineRule="auto"/>
        <w:jc w:val="center"/>
        <w:rPr>
          <w:b/>
          <w:bCs/>
          <w:sz w:val="26"/>
          <w:szCs w:val="26"/>
        </w:rPr>
      </w:pPr>
      <w:r w:rsidRPr="00D11D19">
        <w:rPr>
          <w:b/>
          <w:bCs/>
          <w:sz w:val="26"/>
          <w:szCs w:val="26"/>
        </w:rPr>
        <w:t>Background</w:t>
      </w:r>
    </w:p>
    <w:p w14:paraId="3F4717F2" w14:textId="77777777" w:rsidR="00920CD4" w:rsidRPr="00D11D19" w:rsidRDefault="00920CD4" w:rsidP="00920CD4">
      <w:pPr>
        <w:spacing w:line="360" w:lineRule="auto"/>
        <w:ind w:firstLine="720"/>
        <w:rPr>
          <w:color w:val="000000"/>
          <w:sz w:val="26"/>
          <w:szCs w:val="26"/>
        </w:rPr>
      </w:pPr>
      <w:r w:rsidRPr="00D11D19">
        <w:rPr>
          <w:color w:val="000000"/>
          <w:sz w:val="26"/>
          <w:szCs w:val="26"/>
        </w:rPr>
        <w:t>CCPA, utility code 312550, f/k/a North Pittsburgh Telephone Company (“NPTC”), is a Delaware limited liability company with its principal offices located at 121 South 17</w:t>
      </w:r>
      <w:r w:rsidRPr="00D11D19">
        <w:rPr>
          <w:color w:val="000000"/>
          <w:sz w:val="26"/>
          <w:szCs w:val="26"/>
          <w:vertAlign w:val="superscript"/>
        </w:rPr>
        <w:t>th</w:t>
      </w:r>
      <w:r w:rsidRPr="00D11D19">
        <w:rPr>
          <w:color w:val="000000"/>
          <w:sz w:val="26"/>
          <w:szCs w:val="26"/>
        </w:rPr>
        <w:t xml:space="preserve"> Street, Mattoon, Illinois 61938.  In Pennsylvania, CCPA is authorized to operate as an ILEC offering local, toll, broadband and switched and special access services within its franchised territory, which includes portions of Allegheny, Armstrong, Butler and Westmoreland Counties.</w:t>
      </w:r>
      <w:r w:rsidRPr="00D11D19">
        <w:rPr>
          <w:rStyle w:val="FootnoteReference"/>
          <w:color w:val="000000"/>
          <w:sz w:val="26"/>
          <w:szCs w:val="26"/>
        </w:rPr>
        <w:footnoteReference w:id="2"/>
      </w:r>
      <w:r w:rsidRPr="00D11D19">
        <w:rPr>
          <w:color w:val="000000"/>
          <w:sz w:val="26"/>
          <w:szCs w:val="26"/>
        </w:rPr>
        <w:t xml:space="preserve">    </w:t>
      </w:r>
    </w:p>
    <w:p w14:paraId="256E7C34" w14:textId="77777777" w:rsidR="00920CD4" w:rsidRPr="00D11D19" w:rsidRDefault="00920CD4" w:rsidP="00920CD4">
      <w:pPr>
        <w:spacing w:line="360" w:lineRule="auto"/>
        <w:ind w:firstLine="720"/>
        <w:rPr>
          <w:color w:val="000000"/>
          <w:sz w:val="26"/>
          <w:szCs w:val="26"/>
        </w:rPr>
      </w:pPr>
    </w:p>
    <w:p w14:paraId="1A9F8FD7" w14:textId="77777777" w:rsidR="00920CD4" w:rsidRPr="00D11D19" w:rsidRDefault="00D11D19" w:rsidP="00920CD4">
      <w:pPr>
        <w:spacing w:line="360" w:lineRule="auto"/>
        <w:ind w:firstLine="720"/>
        <w:rPr>
          <w:color w:val="000000"/>
          <w:sz w:val="26"/>
          <w:szCs w:val="26"/>
        </w:rPr>
      </w:pPr>
      <w:r>
        <w:rPr>
          <w:color w:val="000000"/>
          <w:sz w:val="26"/>
          <w:szCs w:val="26"/>
        </w:rPr>
        <w:t>BTC</w:t>
      </w:r>
      <w:r w:rsidR="00920CD4" w:rsidRPr="00D11D19">
        <w:rPr>
          <w:color w:val="000000"/>
          <w:sz w:val="26"/>
          <w:szCs w:val="26"/>
        </w:rPr>
        <w:t xml:space="preserve">, utility code 310250, is a Pennsylvania corporation with its principal offices located </w:t>
      </w:r>
      <w:bookmarkStart w:id="0" w:name="_Hlk534279725"/>
      <w:r w:rsidR="00920CD4" w:rsidRPr="00D11D19">
        <w:rPr>
          <w:color w:val="000000"/>
          <w:sz w:val="26"/>
          <w:szCs w:val="26"/>
        </w:rPr>
        <w:t>at 608 Main Street, Bentleyville, Pennsylvania 15314</w:t>
      </w:r>
      <w:bookmarkEnd w:id="0"/>
      <w:r w:rsidR="00920CD4" w:rsidRPr="00D11D19">
        <w:rPr>
          <w:color w:val="000000"/>
          <w:sz w:val="26"/>
          <w:szCs w:val="26"/>
        </w:rPr>
        <w:t xml:space="preserve">.  In Pennsylvania, </w:t>
      </w:r>
      <w:r>
        <w:rPr>
          <w:color w:val="000000"/>
          <w:sz w:val="26"/>
          <w:szCs w:val="26"/>
        </w:rPr>
        <w:t>BTC</w:t>
      </w:r>
      <w:r w:rsidR="00920CD4" w:rsidRPr="00D11D19">
        <w:rPr>
          <w:color w:val="000000"/>
          <w:sz w:val="26"/>
          <w:szCs w:val="26"/>
        </w:rPr>
        <w:t xml:space="preserve"> is authorized to operate as an ILEC in portions of Washington County and serves principally rural territory and a rural customer base.  </w:t>
      </w:r>
      <w:r>
        <w:rPr>
          <w:color w:val="000000"/>
          <w:sz w:val="26"/>
          <w:szCs w:val="26"/>
        </w:rPr>
        <w:t>BTC</w:t>
      </w:r>
      <w:r w:rsidR="00920CD4" w:rsidRPr="00D11D19">
        <w:rPr>
          <w:color w:val="000000"/>
          <w:sz w:val="26"/>
          <w:szCs w:val="26"/>
        </w:rPr>
        <w:t xml:space="preserve"> operates in Pennsylvania under </w:t>
      </w:r>
      <w:r w:rsidR="00920CD4" w:rsidRPr="00D11D19">
        <w:rPr>
          <w:color w:val="000000"/>
          <w:sz w:val="26"/>
          <w:szCs w:val="26"/>
        </w:rPr>
        <w:lastRenderedPageBreak/>
        <w:t xml:space="preserve">letters patent since its services predate the establishment of the Commission and its predecessor. </w:t>
      </w:r>
    </w:p>
    <w:p w14:paraId="765DE060" w14:textId="77777777" w:rsidR="00920CD4" w:rsidRPr="00D11D19" w:rsidRDefault="00920CD4" w:rsidP="00920CD4">
      <w:pPr>
        <w:spacing w:line="360" w:lineRule="auto"/>
        <w:ind w:firstLine="720"/>
        <w:rPr>
          <w:color w:val="000000"/>
          <w:sz w:val="26"/>
          <w:szCs w:val="26"/>
        </w:rPr>
      </w:pPr>
    </w:p>
    <w:p w14:paraId="0A75C8B3" w14:textId="77777777" w:rsidR="00920CD4" w:rsidRPr="00D11D19" w:rsidRDefault="00920CD4" w:rsidP="00920CD4">
      <w:pPr>
        <w:spacing w:line="360" w:lineRule="auto"/>
        <w:ind w:firstLine="720"/>
        <w:rPr>
          <w:color w:val="000000"/>
          <w:sz w:val="26"/>
          <w:szCs w:val="26"/>
        </w:rPr>
      </w:pPr>
      <w:r w:rsidRPr="00D11D19">
        <w:rPr>
          <w:color w:val="000000"/>
          <w:sz w:val="26"/>
          <w:szCs w:val="26"/>
        </w:rPr>
        <w:t>M&amp;SH, utility code 312000</w:t>
      </w:r>
      <w:bookmarkStart w:id="1" w:name="_Hlk534279978"/>
      <w:r w:rsidRPr="00D11D19">
        <w:rPr>
          <w:color w:val="000000"/>
          <w:sz w:val="26"/>
          <w:szCs w:val="26"/>
        </w:rPr>
        <w:t>, is a Pennsylvania corporation with its principal offices located at 608 Main Street, Bentleyville, Pennsylvania 15314</w:t>
      </w:r>
      <w:bookmarkEnd w:id="1"/>
      <w:r w:rsidRPr="00D11D19">
        <w:rPr>
          <w:color w:val="000000"/>
          <w:sz w:val="26"/>
          <w:szCs w:val="26"/>
        </w:rPr>
        <w:t xml:space="preserve">.  In Pennsylvania, M&amp;SH is authorized to operate as an ILEC in Washington County and serves principally rural territory and a rural customer base.  M&amp;SH operates in Pennsylvania under letters patent since its services predate the establishment of the Commission and its predecessor.  </w:t>
      </w:r>
    </w:p>
    <w:p w14:paraId="63A13E63" w14:textId="77777777" w:rsidR="00920CD4" w:rsidRPr="00D11D19" w:rsidRDefault="00920CD4" w:rsidP="002D57DD">
      <w:pPr>
        <w:spacing w:line="360" w:lineRule="auto"/>
        <w:rPr>
          <w:b/>
          <w:bCs/>
          <w:sz w:val="26"/>
          <w:szCs w:val="26"/>
        </w:rPr>
      </w:pPr>
    </w:p>
    <w:p w14:paraId="3BE3411E" w14:textId="77777777" w:rsidR="004645AD" w:rsidRPr="00D11D19" w:rsidRDefault="00E93163" w:rsidP="00DA4840">
      <w:pPr>
        <w:spacing w:line="360" w:lineRule="auto"/>
        <w:ind w:firstLine="720"/>
        <w:rPr>
          <w:sz w:val="26"/>
          <w:szCs w:val="26"/>
        </w:rPr>
      </w:pPr>
      <w:r w:rsidRPr="00D11D19">
        <w:rPr>
          <w:sz w:val="26"/>
          <w:szCs w:val="26"/>
        </w:rPr>
        <w:t xml:space="preserve">Act 67 of 1993 amended the Public Utility Code, 66 Pa.C.S. §§ 101 </w:t>
      </w:r>
      <w:r w:rsidRPr="00D11D19">
        <w:rPr>
          <w:i/>
          <w:iCs/>
          <w:sz w:val="26"/>
          <w:szCs w:val="26"/>
        </w:rPr>
        <w:t>et seq</w:t>
      </w:r>
      <w:r w:rsidRPr="00D11D19">
        <w:rPr>
          <w:sz w:val="26"/>
          <w:szCs w:val="26"/>
        </w:rPr>
        <w:t xml:space="preserve">., </w:t>
      </w:r>
      <w:r w:rsidR="00E27D04" w:rsidRPr="00D11D19">
        <w:rPr>
          <w:sz w:val="26"/>
          <w:szCs w:val="26"/>
        </w:rPr>
        <w:t xml:space="preserve">by </w:t>
      </w:r>
      <w:r w:rsidR="00723CB4" w:rsidRPr="00D11D19">
        <w:rPr>
          <w:sz w:val="26"/>
          <w:szCs w:val="26"/>
        </w:rPr>
        <w:t xml:space="preserve">adding </w:t>
      </w:r>
      <w:r w:rsidRPr="00D11D19">
        <w:rPr>
          <w:sz w:val="26"/>
          <w:szCs w:val="26"/>
        </w:rPr>
        <w:t>Chapter 30</w:t>
      </w:r>
      <w:r w:rsidR="00DA4840" w:rsidRPr="00D11D19">
        <w:rPr>
          <w:sz w:val="26"/>
          <w:szCs w:val="26"/>
        </w:rPr>
        <w:t xml:space="preserve"> to the Pennsylvania Public Utility Code (Code)</w:t>
      </w:r>
      <w:r w:rsidR="00E27D04" w:rsidRPr="00D11D19">
        <w:rPr>
          <w:sz w:val="26"/>
          <w:szCs w:val="26"/>
        </w:rPr>
        <w:t>, 66 Pa.C.S. §§ 3001-3010.</w:t>
      </w:r>
      <w:r w:rsidR="00723CB4" w:rsidRPr="00D11D19">
        <w:rPr>
          <w:sz w:val="26"/>
          <w:szCs w:val="26"/>
        </w:rPr>
        <w:t xml:space="preserve">  </w:t>
      </w:r>
      <w:r w:rsidR="00E27D04" w:rsidRPr="00D11D19">
        <w:rPr>
          <w:sz w:val="26"/>
          <w:szCs w:val="26"/>
        </w:rPr>
        <w:t xml:space="preserve">Chapter 30 </w:t>
      </w:r>
      <w:r w:rsidR="00DA4840" w:rsidRPr="00D11D19">
        <w:rPr>
          <w:sz w:val="26"/>
          <w:szCs w:val="26"/>
        </w:rPr>
        <w:t xml:space="preserve">of the Code </w:t>
      </w:r>
      <w:r w:rsidR="00E27D04" w:rsidRPr="00D11D19">
        <w:rPr>
          <w:sz w:val="26"/>
          <w:szCs w:val="26"/>
        </w:rPr>
        <w:t xml:space="preserve">was enacted </w:t>
      </w:r>
      <w:r w:rsidRPr="00D11D19">
        <w:rPr>
          <w:sz w:val="26"/>
          <w:szCs w:val="26"/>
        </w:rPr>
        <w:t>in recognition of the transition of</w:t>
      </w:r>
      <w:r w:rsidR="00E27D04" w:rsidRPr="00D11D19">
        <w:rPr>
          <w:sz w:val="26"/>
          <w:szCs w:val="26"/>
        </w:rPr>
        <w:t xml:space="preserve"> </w:t>
      </w:r>
      <w:r w:rsidRPr="00D11D19">
        <w:rPr>
          <w:sz w:val="26"/>
          <w:szCs w:val="26"/>
        </w:rPr>
        <w:t xml:space="preserve">the telecommunications industry and </w:t>
      </w:r>
      <w:r w:rsidR="00DA4840" w:rsidRPr="00D11D19">
        <w:rPr>
          <w:sz w:val="26"/>
          <w:szCs w:val="26"/>
        </w:rPr>
        <w:t xml:space="preserve">provided for alternative forms of regulation of in-state telecommunication services provided by ILECs or </w:t>
      </w:r>
      <w:r w:rsidR="00920CD4" w:rsidRPr="00D11D19">
        <w:rPr>
          <w:sz w:val="26"/>
          <w:szCs w:val="26"/>
        </w:rPr>
        <w:t xml:space="preserve">jurisdictional </w:t>
      </w:r>
      <w:r w:rsidR="00DA4840" w:rsidRPr="00D11D19">
        <w:rPr>
          <w:sz w:val="26"/>
          <w:szCs w:val="26"/>
        </w:rPr>
        <w:t>local telephone companies</w:t>
      </w:r>
      <w:r w:rsidR="00920CD4" w:rsidRPr="00D11D19">
        <w:rPr>
          <w:sz w:val="26"/>
          <w:szCs w:val="26"/>
        </w:rPr>
        <w:t xml:space="preserve"> (Chapter 30 ILECs</w:t>
      </w:r>
      <w:r w:rsidR="00566BCF" w:rsidRPr="00D11D19">
        <w:rPr>
          <w:sz w:val="26"/>
          <w:szCs w:val="26"/>
        </w:rPr>
        <w:t>)</w:t>
      </w:r>
      <w:r w:rsidR="00DA4840" w:rsidRPr="00D11D19">
        <w:rPr>
          <w:sz w:val="26"/>
          <w:szCs w:val="26"/>
        </w:rPr>
        <w:t>.</w:t>
      </w:r>
      <w:r w:rsidR="00694131" w:rsidRPr="00D11D19">
        <w:rPr>
          <w:sz w:val="26"/>
          <w:szCs w:val="26"/>
        </w:rPr>
        <w:t xml:space="preserve">  Specifically, Chapter 30 of the Code </w:t>
      </w:r>
      <w:r w:rsidR="00E27D04" w:rsidRPr="00D11D19">
        <w:rPr>
          <w:sz w:val="26"/>
          <w:szCs w:val="26"/>
        </w:rPr>
        <w:t xml:space="preserve">created a statutory mechanism that authorized </w:t>
      </w:r>
      <w:r w:rsidR="00566BCF" w:rsidRPr="00D11D19">
        <w:rPr>
          <w:sz w:val="26"/>
          <w:szCs w:val="26"/>
        </w:rPr>
        <w:t xml:space="preserve">only Chapter 30 ILECs </w:t>
      </w:r>
      <w:r w:rsidR="00E27D04" w:rsidRPr="00D11D19">
        <w:rPr>
          <w:sz w:val="26"/>
          <w:szCs w:val="26"/>
        </w:rPr>
        <w:t>to remove themselves from earning</w:t>
      </w:r>
      <w:r w:rsidR="00185F1B" w:rsidRPr="00D11D19">
        <w:rPr>
          <w:sz w:val="26"/>
          <w:szCs w:val="26"/>
        </w:rPr>
        <w:t>s</w:t>
      </w:r>
      <w:r w:rsidR="00185F1B" w:rsidRPr="00D11D19">
        <w:rPr>
          <w:sz w:val="26"/>
          <w:szCs w:val="26"/>
        </w:rPr>
        <w:noBreakHyphen/>
      </w:r>
      <w:r w:rsidR="00E27D04" w:rsidRPr="00D11D19">
        <w:rPr>
          <w:sz w:val="26"/>
          <w:szCs w:val="26"/>
        </w:rPr>
        <w:t xml:space="preserve"> based regulation to become regulated under reduced alternative forms of regulation</w:t>
      </w:r>
      <w:r w:rsidR="00694131" w:rsidRPr="00D11D19">
        <w:rPr>
          <w:sz w:val="26"/>
          <w:szCs w:val="26"/>
        </w:rPr>
        <w:t xml:space="preserve"> by filing “Chapter 30 Plans” that set forth their commitment to accelerate telecommunications infrastructure modernization in order to have fully deployed broadband capable telecommunication infrastructure by 2015.  </w:t>
      </w:r>
      <w:r w:rsidR="00566BCF" w:rsidRPr="00D11D19">
        <w:rPr>
          <w:sz w:val="26"/>
          <w:szCs w:val="26"/>
        </w:rPr>
        <w:t xml:space="preserve">The portion of the Chapter 30 Plan detailing this commitment is referred to as a Network Modernization Plan (NMP). </w:t>
      </w:r>
    </w:p>
    <w:p w14:paraId="1845FDFB" w14:textId="77777777" w:rsidR="004645AD" w:rsidRPr="00D11D19" w:rsidRDefault="004645AD" w:rsidP="00DA4840">
      <w:pPr>
        <w:spacing w:line="360" w:lineRule="auto"/>
        <w:ind w:firstLine="720"/>
        <w:rPr>
          <w:sz w:val="26"/>
          <w:szCs w:val="26"/>
        </w:rPr>
      </w:pPr>
    </w:p>
    <w:p w14:paraId="502D571B" w14:textId="77777777" w:rsidR="00DA4840" w:rsidRPr="00D11D19" w:rsidRDefault="00694131" w:rsidP="00677814">
      <w:pPr>
        <w:spacing w:line="360" w:lineRule="auto"/>
        <w:ind w:firstLine="720"/>
        <w:rPr>
          <w:sz w:val="26"/>
          <w:szCs w:val="26"/>
        </w:rPr>
      </w:pPr>
      <w:r w:rsidRPr="00D11D19">
        <w:rPr>
          <w:sz w:val="26"/>
          <w:szCs w:val="26"/>
        </w:rPr>
        <w:t>I</w:t>
      </w:r>
      <w:r w:rsidR="00E27D04" w:rsidRPr="00D11D19">
        <w:rPr>
          <w:sz w:val="26"/>
          <w:szCs w:val="26"/>
        </w:rPr>
        <w:t>n exchange for consenting to submit</w:t>
      </w:r>
      <w:r w:rsidRPr="00D11D19">
        <w:rPr>
          <w:sz w:val="26"/>
          <w:szCs w:val="26"/>
        </w:rPr>
        <w:t xml:space="preserve"> this </w:t>
      </w:r>
      <w:r w:rsidR="00E93163" w:rsidRPr="00D11D19">
        <w:rPr>
          <w:sz w:val="26"/>
          <w:szCs w:val="26"/>
        </w:rPr>
        <w:t>NM</w:t>
      </w:r>
      <w:r w:rsidRPr="00D11D19">
        <w:rPr>
          <w:sz w:val="26"/>
          <w:szCs w:val="26"/>
        </w:rPr>
        <w:t>P</w:t>
      </w:r>
      <w:r w:rsidR="00E93163" w:rsidRPr="00D11D19">
        <w:rPr>
          <w:sz w:val="26"/>
          <w:szCs w:val="26"/>
        </w:rPr>
        <w:t xml:space="preserve"> </w:t>
      </w:r>
      <w:r w:rsidR="00566BCF" w:rsidRPr="00D11D19">
        <w:rPr>
          <w:sz w:val="26"/>
          <w:szCs w:val="26"/>
        </w:rPr>
        <w:t xml:space="preserve">and adopting an </w:t>
      </w:r>
      <w:r w:rsidR="002B514E" w:rsidRPr="00D11D19">
        <w:rPr>
          <w:sz w:val="26"/>
          <w:szCs w:val="26"/>
        </w:rPr>
        <w:t>accelerated timeframe</w:t>
      </w:r>
      <w:r w:rsidR="00566BCF" w:rsidRPr="00D11D19">
        <w:rPr>
          <w:sz w:val="26"/>
          <w:szCs w:val="26"/>
        </w:rPr>
        <w:t xml:space="preserve"> for the deployment of their </w:t>
      </w:r>
      <w:r w:rsidR="00E27D04" w:rsidRPr="00D11D19">
        <w:rPr>
          <w:sz w:val="26"/>
          <w:szCs w:val="26"/>
        </w:rPr>
        <w:t xml:space="preserve">broadband </w:t>
      </w:r>
      <w:r w:rsidR="00E93163" w:rsidRPr="00D11D19">
        <w:rPr>
          <w:sz w:val="26"/>
          <w:szCs w:val="26"/>
        </w:rPr>
        <w:t xml:space="preserve">technology </w:t>
      </w:r>
      <w:r w:rsidRPr="00D11D19">
        <w:rPr>
          <w:sz w:val="26"/>
          <w:szCs w:val="26"/>
        </w:rPr>
        <w:t xml:space="preserve">by 2015, the ILECs could become regulated under </w:t>
      </w:r>
      <w:r w:rsidR="00DA4840" w:rsidRPr="00D11D19">
        <w:rPr>
          <w:sz w:val="26"/>
          <w:szCs w:val="26"/>
        </w:rPr>
        <w:t xml:space="preserve">alternative forms of regulation, </w:t>
      </w:r>
      <w:r w:rsidRPr="00D11D19">
        <w:rPr>
          <w:sz w:val="26"/>
          <w:szCs w:val="26"/>
        </w:rPr>
        <w:t xml:space="preserve">which essentially allowed them </w:t>
      </w:r>
      <w:r w:rsidR="00DA4840" w:rsidRPr="00D11D19">
        <w:rPr>
          <w:sz w:val="26"/>
          <w:szCs w:val="26"/>
        </w:rPr>
        <w:t>to be removed from earning</w:t>
      </w:r>
      <w:r w:rsidRPr="00D11D19">
        <w:rPr>
          <w:sz w:val="26"/>
          <w:szCs w:val="26"/>
        </w:rPr>
        <w:t>s-</w:t>
      </w:r>
      <w:r w:rsidR="00DA4840" w:rsidRPr="00D11D19">
        <w:rPr>
          <w:sz w:val="26"/>
          <w:szCs w:val="26"/>
        </w:rPr>
        <w:t>based regulation.</w:t>
      </w:r>
      <w:r w:rsidR="004645AD" w:rsidRPr="00D11D19">
        <w:rPr>
          <w:sz w:val="26"/>
          <w:szCs w:val="26"/>
        </w:rPr>
        <w:t xml:space="preserve">  </w:t>
      </w:r>
      <w:r w:rsidR="00920CD4" w:rsidRPr="00D11D19">
        <w:rPr>
          <w:sz w:val="26"/>
          <w:szCs w:val="26"/>
        </w:rPr>
        <w:t>Th</w:t>
      </w:r>
      <w:r w:rsidR="00566BCF" w:rsidRPr="00D11D19">
        <w:rPr>
          <w:sz w:val="26"/>
          <w:szCs w:val="26"/>
        </w:rPr>
        <w:t>e</w:t>
      </w:r>
      <w:r w:rsidR="00920CD4" w:rsidRPr="00D11D19">
        <w:rPr>
          <w:sz w:val="26"/>
          <w:szCs w:val="26"/>
        </w:rPr>
        <w:t xml:space="preserve"> portion of the Chapter 30 Plan</w:t>
      </w:r>
      <w:r w:rsidR="00566BCF" w:rsidRPr="00D11D19">
        <w:rPr>
          <w:sz w:val="26"/>
          <w:szCs w:val="26"/>
        </w:rPr>
        <w:t xml:space="preserve"> allowing for alternative regulation is referred to as </w:t>
      </w:r>
      <w:r w:rsidR="00920CD4" w:rsidRPr="00D11D19">
        <w:rPr>
          <w:sz w:val="26"/>
          <w:szCs w:val="26"/>
        </w:rPr>
        <w:t xml:space="preserve">the </w:t>
      </w:r>
      <w:r w:rsidR="004645AD" w:rsidRPr="00D11D19">
        <w:rPr>
          <w:sz w:val="26"/>
          <w:szCs w:val="26"/>
        </w:rPr>
        <w:t>Price Stability Plan (PSP)</w:t>
      </w:r>
      <w:r w:rsidR="00920CD4" w:rsidRPr="00D11D19">
        <w:rPr>
          <w:sz w:val="26"/>
          <w:szCs w:val="26"/>
        </w:rPr>
        <w:t xml:space="preserve"> </w:t>
      </w:r>
      <w:r w:rsidR="00566BCF" w:rsidRPr="00D11D19">
        <w:rPr>
          <w:sz w:val="26"/>
          <w:szCs w:val="26"/>
        </w:rPr>
        <w:t xml:space="preserve">and essentially allows for </w:t>
      </w:r>
      <w:r w:rsidR="00920CD4" w:rsidRPr="00D11D19">
        <w:rPr>
          <w:sz w:val="26"/>
          <w:szCs w:val="26"/>
        </w:rPr>
        <w:t xml:space="preserve">a complete substitution of rate base/rate of return regulation.  </w:t>
      </w:r>
      <w:r w:rsidR="00566BCF" w:rsidRPr="00D11D19">
        <w:rPr>
          <w:sz w:val="26"/>
          <w:szCs w:val="26"/>
        </w:rPr>
        <w:t xml:space="preserve">Each </w:t>
      </w:r>
      <w:r w:rsidR="00566BCF" w:rsidRPr="00D11D19">
        <w:rPr>
          <w:sz w:val="26"/>
          <w:szCs w:val="26"/>
        </w:rPr>
        <w:lastRenderedPageBreak/>
        <w:t xml:space="preserve">Chapter 30 ILEC that has chosen to file a Chapter 30 Plan is required to </w:t>
      </w:r>
      <w:r w:rsidR="00920CD4" w:rsidRPr="00D11D19">
        <w:rPr>
          <w:sz w:val="26"/>
          <w:szCs w:val="26"/>
        </w:rPr>
        <w:t xml:space="preserve">submit to the Commission </w:t>
      </w:r>
      <w:r w:rsidR="00566BCF" w:rsidRPr="00D11D19">
        <w:rPr>
          <w:sz w:val="26"/>
          <w:szCs w:val="26"/>
        </w:rPr>
        <w:t xml:space="preserve">an annual PSP.  This PSP has </w:t>
      </w:r>
      <w:r w:rsidR="004645AD" w:rsidRPr="00D11D19">
        <w:rPr>
          <w:sz w:val="26"/>
          <w:szCs w:val="26"/>
        </w:rPr>
        <w:t xml:space="preserve">the potential </w:t>
      </w:r>
      <w:r w:rsidR="00566BCF" w:rsidRPr="00D11D19">
        <w:rPr>
          <w:sz w:val="26"/>
          <w:szCs w:val="26"/>
        </w:rPr>
        <w:t xml:space="preserve">to reflect </w:t>
      </w:r>
      <w:r w:rsidR="004645AD" w:rsidRPr="00D11D19">
        <w:rPr>
          <w:sz w:val="26"/>
          <w:szCs w:val="26"/>
        </w:rPr>
        <w:t>substantial revenue and rate impacts on end-user consumers.</w:t>
      </w:r>
      <w:r w:rsidR="00920CD4" w:rsidRPr="00D11D19">
        <w:rPr>
          <w:sz w:val="26"/>
          <w:szCs w:val="26"/>
        </w:rPr>
        <w:t xml:space="preserve">  </w:t>
      </w:r>
      <w:r w:rsidR="004645AD" w:rsidRPr="00D11D19">
        <w:rPr>
          <w:sz w:val="26"/>
          <w:szCs w:val="26"/>
        </w:rPr>
        <w:t>Under the Company’s PSP, the Price Stability Index (PSI) calculates the allowable change (increase or decrease) in rates for noncompetitive services</w:t>
      </w:r>
      <w:r w:rsidR="00920CD4" w:rsidRPr="00D11D19">
        <w:rPr>
          <w:rStyle w:val="FootnoteReference"/>
          <w:sz w:val="26"/>
          <w:szCs w:val="26"/>
        </w:rPr>
        <w:footnoteReference w:id="3"/>
      </w:r>
      <w:r w:rsidR="004645AD" w:rsidRPr="00D11D19">
        <w:rPr>
          <w:sz w:val="26"/>
          <w:szCs w:val="26"/>
        </w:rPr>
        <w:t xml:space="preserve">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w:t>
      </w:r>
      <w:r w:rsidR="00566BCF" w:rsidRPr="00D11D19">
        <w:rPr>
          <w:sz w:val="26"/>
          <w:szCs w:val="26"/>
        </w:rPr>
        <w:t xml:space="preserve">  </w:t>
      </w:r>
      <w:r w:rsidR="00920CD4" w:rsidRPr="00D11D19">
        <w:rPr>
          <w:sz w:val="26"/>
          <w:szCs w:val="26"/>
        </w:rPr>
        <w:t>However, each Company’s Chapter 30 Plan acknowledge</w:t>
      </w:r>
      <w:r w:rsidR="002B514E" w:rsidRPr="00D11D19">
        <w:rPr>
          <w:sz w:val="26"/>
          <w:szCs w:val="26"/>
        </w:rPr>
        <w:t>s</w:t>
      </w:r>
      <w:r w:rsidR="00920CD4" w:rsidRPr="00D11D19">
        <w:rPr>
          <w:sz w:val="26"/>
          <w:szCs w:val="26"/>
        </w:rPr>
        <w:t xml:space="preserve"> that nothing in its respective Plan shall be construed to limit the requirement under 66 Pa.C.S. § 1301 that rates shall be just and reasonable</w:t>
      </w:r>
      <w:r w:rsidR="00677814" w:rsidRPr="00D11D19">
        <w:rPr>
          <w:sz w:val="26"/>
          <w:szCs w:val="26"/>
        </w:rPr>
        <w:t>.</w:t>
      </w:r>
    </w:p>
    <w:p w14:paraId="7673873D" w14:textId="77777777" w:rsidR="006A04B0" w:rsidRPr="00D11D19" w:rsidRDefault="006A04B0" w:rsidP="00677814">
      <w:pPr>
        <w:spacing w:line="360" w:lineRule="auto"/>
        <w:ind w:firstLine="720"/>
        <w:rPr>
          <w:sz w:val="26"/>
          <w:szCs w:val="26"/>
        </w:rPr>
      </w:pPr>
    </w:p>
    <w:p w14:paraId="49182698" w14:textId="77777777" w:rsidR="00E27D04" w:rsidRPr="00D11D19" w:rsidRDefault="00E27D04" w:rsidP="00E27D04">
      <w:pPr>
        <w:spacing w:line="360" w:lineRule="auto"/>
        <w:ind w:firstLine="720"/>
        <w:rPr>
          <w:sz w:val="26"/>
          <w:szCs w:val="26"/>
        </w:rPr>
      </w:pPr>
      <w:r w:rsidRPr="00D11D19">
        <w:rPr>
          <w:sz w:val="26"/>
          <w:szCs w:val="26"/>
        </w:rPr>
        <w:t xml:space="preserve">After the original Chapter 30 sunset, Act 183 of 2004 </w:t>
      </w:r>
      <w:r w:rsidR="009B2CAC" w:rsidRPr="00D11D19">
        <w:rPr>
          <w:sz w:val="26"/>
          <w:szCs w:val="26"/>
        </w:rPr>
        <w:t xml:space="preserve">was enacted and </w:t>
      </w:r>
      <w:r w:rsidRPr="00D11D19">
        <w:rPr>
          <w:sz w:val="26"/>
          <w:szCs w:val="26"/>
        </w:rPr>
        <w:t>reauthorized an amended version of Chapter 30</w:t>
      </w:r>
      <w:r w:rsidR="009B2CAC" w:rsidRPr="00D11D19">
        <w:rPr>
          <w:sz w:val="26"/>
          <w:szCs w:val="26"/>
        </w:rPr>
        <w:t xml:space="preserve"> of the Code </w:t>
      </w:r>
      <w:r w:rsidRPr="00D11D19">
        <w:rPr>
          <w:sz w:val="26"/>
          <w:szCs w:val="26"/>
        </w:rPr>
        <w:t>that reflect</w:t>
      </w:r>
      <w:r w:rsidR="009B2CAC" w:rsidRPr="00D11D19">
        <w:rPr>
          <w:sz w:val="26"/>
          <w:szCs w:val="26"/>
        </w:rPr>
        <w:t>ed</w:t>
      </w:r>
      <w:r w:rsidRPr="00D11D19">
        <w:rPr>
          <w:sz w:val="26"/>
          <w:szCs w:val="26"/>
        </w:rPr>
        <w:t xml:space="preserve"> the</w:t>
      </w:r>
    </w:p>
    <w:p w14:paraId="3E8D83BD" w14:textId="77777777" w:rsidR="00E27D04" w:rsidRPr="00D11D19" w:rsidRDefault="00E27D04" w:rsidP="002D57DD">
      <w:pPr>
        <w:spacing w:line="360" w:lineRule="auto"/>
        <w:rPr>
          <w:sz w:val="26"/>
          <w:szCs w:val="26"/>
        </w:rPr>
      </w:pPr>
      <w:r w:rsidRPr="00D11D19">
        <w:rPr>
          <w:sz w:val="26"/>
          <w:szCs w:val="26"/>
        </w:rPr>
        <w:t xml:space="preserve">telecommunications industry’s </w:t>
      </w:r>
      <w:r w:rsidR="009B2CAC" w:rsidRPr="00D11D19">
        <w:rPr>
          <w:sz w:val="26"/>
          <w:szCs w:val="26"/>
        </w:rPr>
        <w:t xml:space="preserve">ongoing </w:t>
      </w:r>
      <w:r w:rsidRPr="00D11D19">
        <w:rPr>
          <w:sz w:val="26"/>
          <w:szCs w:val="26"/>
        </w:rPr>
        <w:t xml:space="preserve">accelerated pace of </w:t>
      </w:r>
      <w:r w:rsidR="002B514E" w:rsidRPr="00D11D19">
        <w:rPr>
          <w:sz w:val="26"/>
          <w:szCs w:val="26"/>
        </w:rPr>
        <w:t>evolution</w:t>
      </w:r>
      <w:r w:rsidR="004645AD" w:rsidRPr="00D11D19">
        <w:rPr>
          <w:sz w:val="26"/>
          <w:szCs w:val="26"/>
        </w:rPr>
        <w:t xml:space="preserve">.  This new version of Chapter 30 of the Code provided </w:t>
      </w:r>
      <w:r w:rsidRPr="00D11D19">
        <w:rPr>
          <w:sz w:val="26"/>
          <w:szCs w:val="26"/>
        </w:rPr>
        <w:t>ILECs with the ability</w:t>
      </w:r>
      <w:r w:rsidR="009B2CAC" w:rsidRPr="00D11D19">
        <w:rPr>
          <w:sz w:val="26"/>
          <w:szCs w:val="26"/>
        </w:rPr>
        <w:t xml:space="preserve"> </w:t>
      </w:r>
      <w:r w:rsidRPr="00D11D19">
        <w:rPr>
          <w:sz w:val="26"/>
          <w:szCs w:val="26"/>
        </w:rPr>
        <w:t xml:space="preserve">to amend their </w:t>
      </w:r>
      <w:r w:rsidR="004645AD" w:rsidRPr="00D11D19">
        <w:rPr>
          <w:sz w:val="26"/>
          <w:szCs w:val="26"/>
        </w:rPr>
        <w:t xml:space="preserve">original Chapter 30 Plans so that they could modify their respective </w:t>
      </w:r>
      <w:r w:rsidRPr="00D11D19">
        <w:rPr>
          <w:sz w:val="26"/>
          <w:szCs w:val="26"/>
        </w:rPr>
        <w:t>NMPs to further accelerate broadband deployment</w:t>
      </w:r>
      <w:r w:rsidR="004645AD" w:rsidRPr="00D11D19">
        <w:rPr>
          <w:sz w:val="26"/>
          <w:szCs w:val="26"/>
        </w:rPr>
        <w:t>.  In</w:t>
      </w:r>
      <w:r w:rsidRPr="00D11D19">
        <w:rPr>
          <w:sz w:val="26"/>
          <w:szCs w:val="26"/>
        </w:rPr>
        <w:t xml:space="preserve"> exchange for</w:t>
      </w:r>
      <w:r w:rsidR="009B2CAC" w:rsidRPr="00D11D19">
        <w:rPr>
          <w:sz w:val="26"/>
          <w:szCs w:val="26"/>
        </w:rPr>
        <w:t xml:space="preserve"> </w:t>
      </w:r>
      <w:r w:rsidR="004645AD" w:rsidRPr="00D11D19">
        <w:rPr>
          <w:sz w:val="26"/>
          <w:szCs w:val="26"/>
        </w:rPr>
        <w:t xml:space="preserve">committing to accelerate the deployment end cycle in the original NMP, the ILECs were entitled to </w:t>
      </w:r>
      <w:r w:rsidRPr="00D11D19">
        <w:rPr>
          <w:sz w:val="26"/>
          <w:szCs w:val="26"/>
        </w:rPr>
        <w:t xml:space="preserve">additional economic incentives and less </w:t>
      </w:r>
      <w:r w:rsidR="009B2CAC" w:rsidRPr="00D11D19">
        <w:rPr>
          <w:sz w:val="26"/>
          <w:szCs w:val="26"/>
        </w:rPr>
        <w:t xml:space="preserve">Commission </w:t>
      </w:r>
      <w:r w:rsidRPr="00D11D19">
        <w:rPr>
          <w:sz w:val="26"/>
          <w:szCs w:val="26"/>
        </w:rPr>
        <w:t>regulation that included the following:</w:t>
      </w:r>
    </w:p>
    <w:p w14:paraId="5603C06D" w14:textId="77777777" w:rsidR="00E27D04" w:rsidRPr="00D11D19" w:rsidRDefault="00E27D04" w:rsidP="002D57DD">
      <w:pPr>
        <w:numPr>
          <w:ilvl w:val="0"/>
          <w:numId w:val="3"/>
        </w:numPr>
        <w:spacing w:line="360" w:lineRule="auto"/>
        <w:rPr>
          <w:sz w:val="26"/>
          <w:szCs w:val="26"/>
        </w:rPr>
      </w:pPr>
      <w:r w:rsidRPr="00D11D19">
        <w:rPr>
          <w:sz w:val="26"/>
          <w:szCs w:val="26"/>
        </w:rPr>
        <w:t>The elimination and/or reduction of inflation offset in annual rate adjustments for</w:t>
      </w:r>
      <w:r w:rsidR="009B2CAC" w:rsidRPr="00D11D19">
        <w:rPr>
          <w:sz w:val="26"/>
          <w:szCs w:val="26"/>
        </w:rPr>
        <w:t xml:space="preserve"> </w:t>
      </w:r>
      <w:r w:rsidRPr="00D11D19">
        <w:rPr>
          <w:sz w:val="26"/>
          <w:szCs w:val="26"/>
        </w:rPr>
        <w:t>noncompetitive services,</w:t>
      </w:r>
      <w:r w:rsidR="004645AD" w:rsidRPr="00D11D19">
        <w:rPr>
          <w:szCs w:val="24"/>
        </w:rPr>
        <w:t xml:space="preserve"> </w:t>
      </w:r>
    </w:p>
    <w:p w14:paraId="68F9FC79" w14:textId="77777777" w:rsidR="00E27D04" w:rsidRPr="00D11D19" w:rsidRDefault="00E27D04" w:rsidP="002D57DD">
      <w:pPr>
        <w:numPr>
          <w:ilvl w:val="0"/>
          <w:numId w:val="3"/>
        </w:numPr>
        <w:spacing w:line="360" w:lineRule="auto"/>
        <w:rPr>
          <w:sz w:val="26"/>
          <w:szCs w:val="26"/>
        </w:rPr>
      </w:pPr>
      <w:r w:rsidRPr="00D11D19">
        <w:rPr>
          <w:sz w:val="26"/>
          <w:szCs w:val="26"/>
        </w:rPr>
        <w:t>Limitations on PUC reporting requirements, and</w:t>
      </w:r>
    </w:p>
    <w:p w14:paraId="595796DB" w14:textId="77777777" w:rsidR="00E27D04" w:rsidRPr="00D11D19" w:rsidRDefault="00E27D04" w:rsidP="002D57DD">
      <w:pPr>
        <w:numPr>
          <w:ilvl w:val="0"/>
          <w:numId w:val="3"/>
        </w:numPr>
        <w:spacing w:line="360" w:lineRule="auto"/>
        <w:rPr>
          <w:sz w:val="26"/>
          <w:szCs w:val="26"/>
        </w:rPr>
      </w:pPr>
      <w:r w:rsidRPr="00D11D19">
        <w:rPr>
          <w:sz w:val="26"/>
          <w:szCs w:val="26"/>
        </w:rPr>
        <w:t>Streamlined procedures for competitive service declarations.</w:t>
      </w:r>
    </w:p>
    <w:p w14:paraId="104334CA" w14:textId="77777777" w:rsidR="009B2CAC" w:rsidRPr="00D11D19" w:rsidRDefault="009B2CAC" w:rsidP="009B2CAC">
      <w:pPr>
        <w:spacing w:line="360" w:lineRule="auto"/>
        <w:rPr>
          <w:sz w:val="26"/>
          <w:szCs w:val="26"/>
        </w:rPr>
      </w:pPr>
    </w:p>
    <w:p w14:paraId="7D4CEC11" w14:textId="77777777" w:rsidR="00E27D04" w:rsidRPr="00D11D19" w:rsidRDefault="00E27D04" w:rsidP="007305A5">
      <w:pPr>
        <w:spacing w:line="360" w:lineRule="auto"/>
        <w:ind w:firstLine="720"/>
        <w:rPr>
          <w:sz w:val="26"/>
          <w:szCs w:val="26"/>
        </w:rPr>
      </w:pPr>
      <w:r w:rsidRPr="00D11D19">
        <w:rPr>
          <w:sz w:val="26"/>
          <w:szCs w:val="26"/>
        </w:rPr>
        <w:t xml:space="preserve">Chapter 30, as amended, </w:t>
      </w:r>
      <w:r w:rsidR="009B2CAC" w:rsidRPr="00D11D19">
        <w:rPr>
          <w:sz w:val="26"/>
          <w:szCs w:val="26"/>
        </w:rPr>
        <w:t xml:space="preserve">also </w:t>
      </w:r>
      <w:r w:rsidRPr="00D11D19">
        <w:rPr>
          <w:sz w:val="26"/>
          <w:szCs w:val="26"/>
        </w:rPr>
        <w:t>provide</w:t>
      </w:r>
      <w:r w:rsidR="009B2CAC" w:rsidRPr="00D11D19">
        <w:rPr>
          <w:sz w:val="26"/>
          <w:szCs w:val="26"/>
        </w:rPr>
        <w:t>d</w:t>
      </w:r>
      <w:r w:rsidRPr="00D11D19">
        <w:rPr>
          <w:sz w:val="26"/>
          <w:szCs w:val="26"/>
        </w:rPr>
        <w:t xml:space="preserve"> the 37 Pennsylvania ILECs with three options to further accelerate a</w:t>
      </w:r>
      <w:r w:rsidR="009B2CAC" w:rsidRPr="00D11D19">
        <w:rPr>
          <w:sz w:val="26"/>
          <w:szCs w:val="26"/>
        </w:rPr>
        <w:t xml:space="preserve"> </w:t>
      </w:r>
      <w:r w:rsidRPr="00D11D19">
        <w:rPr>
          <w:sz w:val="26"/>
          <w:szCs w:val="26"/>
        </w:rPr>
        <w:t>100 percent broadband deployment as follows:</w:t>
      </w:r>
    </w:p>
    <w:p w14:paraId="0B093B58" w14:textId="77777777" w:rsidR="00E27D04" w:rsidRPr="00D11D19" w:rsidRDefault="00E27D04" w:rsidP="002D57DD">
      <w:pPr>
        <w:numPr>
          <w:ilvl w:val="0"/>
          <w:numId w:val="3"/>
        </w:numPr>
        <w:spacing w:line="360" w:lineRule="auto"/>
        <w:rPr>
          <w:sz w:val="26"/>
          <w:szCs w:val="26"/>
        </w:rPr>
      </w:pPr>
      <w:r w:rsidRPr="00D11D19">
        <w:rPr>
          <w:sz w:val="26"/>
          <w:szCs w:val="26"/>
        </w:rPr>
        <w:lastRenderedPageBreak/>
        <w:t>Option 1, which was selected by most Rural ILECs</w:t>
      </w:r>
      <w:r w:rsidR="002B514E" w:rsidRPr="00D11D19">
        <w:rPr>
          <w:sz w:val="26"/>
          <w:szCs w:val="26"/>
        </w:rPr>
        <w:t xml:space="preserve"> </w:t>
      </w:r>
      <w:r w:rsidRPr="00D11D19">
        <w:rPr>
          <w:sz w:val="26"/>
          <w:szCs w:val="26"/>
        </w:rPr>
        <w:t>(RLECs)</w:t>
      </w:r>
      <w:r w:rsidR="002B514E" w:rsidRPr="00D11D19">
        <w:rPr>
          <w:sz w:val="26"/>
          <w:szCs w:val="26"/>
        </w:rPr>
        <w:t>,</w:t>
      </w:r>
      <w:r w:rsidRPr="00D11D19">
        <w:rPr>
          <w:sz w:val="26"/>
          <w:szCs w:val="26"/>
        </w:rPr>
        <w:t xml:space="preserve"> allowed them to commit to</w:t>
      </w:r>
      <w:r w:rsidR="009B2CAC" w:rsidRPr="00D11D19">
        <w:rPr>
          <w:sz w:val="26"/>
          <w:szCs w:val="26"/>
        </w:rPr>
        <w:t xml:space="preserve"> </w:t>
      </w:r>
      <w:r w:rsidRPr="00D11D19">
        <w:rPr>
          <w:sz w:val="26"/>
          <w:szCs w:val="26"/>
        </w:rPr>
        <w:t>100 percent of broadband availability by December 31, 2008,</w:t>
      </w:r>
    </w:p>
    <w:p w14:paraId="7C36597C" w14:textId="77777777" w:rsidR="00E27D04" w:rsidRPr="00D11D19" w:rsidRDefault="00E27D04" w:rsidP="002D57DD">
      <w:pPr>
        <w:numPr>
          <w:ilvl w:val="0"/>
          <w:numId w:val="3"/>
        </w:numPr>
        <w:spacing w:line="360" w:lineRule="auto"/>
        <w:rPr>
          <w:sz w:val="26"/>
          <w:szCs w:val="26"/>
        </w:rPr>
      </w:pPr>
      <w:r w:rsidRPr="00D11D19">
        <w:rPr>
          <w:sz w:val="26"/>
          <w:szCs w:val="26"/>
        </w:rPr>
        <w:t>Option 2, which was selected by the CenturyLink and Windstream PA RLECs, allowed</w:t>
      </w:r>
      <w:r w:rsidR="009B2CAC" w:rsidRPr="00D11D19">
        <w:rPr>
          <w:sz w:val="26"/>
          <w:szCs w:val="26"/>
        </w:rPr>
        <w:t xml:space="preserve"> </w:t>
      </w:r>
      <w:r w:rsidRPr="00D11D19">
        <w:rPr>
          <w:sz w:val="26"/>
          <w:szCs w:val="26"/>
        </w:rPr>
        <w:t>them to commit to 80 percent of broadband availability by December 31, 2010</w:t>
      </w:r>
      <w:r w:rsidR="005C7A1F" w:rsidRPr="00D11D19">
        <w:rPr>
          <w:sz w:val="26"/>
          <w:szCs w:val="26"/>
        </w:rPr>
        <w:t>,</w:t>
      </w:r>
      <w:r w:rsidRPr="00D11D19">
        <w:rPr>
          <w:sz w:val="26"/>
          <w:szCs w:val="26"/>
        </w:rPr>
        <w:t xml:space="preserve"> and</w:t>
      </w:r>
      <w:r w:rsidR="009B2CAC" w:rsidRPr="00D11D19">
        <w:rPr>
          <w:sz w:val="26"/>
          <w:szCs w:val="26"/>
        </w:rPr>
        <w:t xml:space="preserve"> </w:t>
      </w:r>
      <w:r w:rsidRPr="00D11D19">
        <w:rPr>
          <w:sz w:val="26"/>
          <w:szCs w:val="26"/>
        </w:rPr>
        <w:t>100 percent by December 31, 2013, (or December 31, 2015) along with the requirement</w:t>
      </w:r>
      <w:r w:rsidR="009B2CAC" w:rsidRPr="00D11D19">
        <w:rPr>
          <w:sz w:val="26"/>
          <w:szCs w:val="26"/>
        </w:rPr>
        <w:t xml:space="preserve"> </w:t>
      </w:r>
      <w:r w:rsidR="00D02590" w:rsidRPr="00D11D19">
        <w:rPr>
          <w:sz w:val="26"/>
          <w:szCs w:val="26"/>
        </w:rPr>
        <w:t xml:space="preserve">that </w:t>
      </w:r>
      <w:r w:rsidRPr="00D11D19">
        <w:rPr>
          <w:sz w:val="26"/>
          <w:szCs w:val="26"/>
        </w:rPr>
        <w:t>they establish a BFRR program and Business Attraction and Retention (BAR) program, and</w:t>
      </w:r>
    </w:p>
    <w:p w14:paraId="4C13E4EE" w14:textId="77777777" w:rsidR="00E27D04" w:rsidRPr="00D11D19" w:rsidRDefault="00E27D04" w:rsidP="002D57DD">
      <w:pPr>
        <w:numPr>
          <w:ilvl w:val="0"/>
          <w:numId w:val="3"/>
        </w:numPr>
        <w:spacing w:line="360" w:lineRule="auto"/>
        <w:rPr>
          <w:sz w:val="26"/>
          <w:szCs w:val="26"/>
        </w:rPr>
      </w:pPr>
      <w:r w:rsidRPr="00D11D19">
        <w:rPr>
          <w:sz w:val="26"/>
          <w:szCs w:val="26"/>
        </w:rPr>
        <w:t>Option 3, which was selected by Verizon PA and Verizon North, the only two Nonrural</w:t>
      </w:r>
      <w:r w:rsidR="009B2CAC" w:rsidRPr="00D11D19">
        <w:rPr>
          <w:sz w:val="26"/>
          <w:szCs w:val="26"/>
        </w:rPr>
        <w:t xml:space="preserve"> </w:t>
      </w:r>
      <w:r w:rsidRPr="00D11D19">
        <w:rPr>
          <w:sz w:val="26"/>
          <w:szCs w:val="26"/>
        </w:rPr>
        <w:t>ILECs, allowed them to remain committed to 100 percent by December 31, 2015, (or</w:t>
      </w:r>
      <w:r w:rsidR="009B2CAC" w:rsidRPr="00D11D19">
        <w:rPr>
          <w:sz w:val="26"/>
          <w:szCs w:val="26"/>
        </w:rPr>
        <w:t xml:space="preserve"> </w:t>
      </w:r>
      <w:r w:rsidRPr="00D11D19">
        <w:rPr>
          <w:sz w:val="26"/>
          <w:szCs w:val="26"/>
        </w:rPr>
        <w:t>December 31, 2013) along with the requirement they establish a B</w:t>
      </w:r>
      <w:r w:rsidR="009B2CAC" w:rsidRPr="00D11D19">
        <w:rPr>
          <w:sz w:val="26"/>
          <w:szCs w:val="26"/>
        </w:rPr>
        <w:t xml:space="preserve">ona Fide Retail Request (BFRR) </w:t>
      </w:r>
      <w:r w:rsidRPr="00D11D19">
        <w:rPr>
          <w:sz w:val="26"/>
          <w:szCs w:val="26"/>
        </w:rPr>
        <w:t>program and B</w:t>
      </w:r>
      <w:r w:rsidR="009B2CAC" w:rsidRPr="00D11D19">
        <w:rPr>
          <w:sz w:val="26"/>
          <w:szCs w:val="26"/>
        </w:rPr>
        <w:t>usiness Attraction or Retention Program (B</w:t>
      </w:r>
      <w:r w:rsidRPr="00D11D19">
        <w:rPr>
          <w:sz w:val="26"/>
          <w:szCs w:val="26"/>
        </w:rPr>
        <w:t>AR</w:t>
      </w:r>
      <w:r w:rsidR="009B2CAC" w:rsidRPr="00D11D19">
        <w:rPr>
          <w:sz w:val="26"/>
          <w:szCs w:val="26"/>
        </w:rPr>
        <w:t>)</w:t>
      </w:r>
      <w:r w:rsidRPr="00D11D19">
        <w:rPr>
          <w:sz w:val="26"/>
          <w:szCs w:val="26"/>
        </w:rPr>
        <w:t>.</w:t>
      </w:r>
    </w:p>
    <w:p w14:paraId="3242541B" w14:textId="77777777" w:rsidR="00E27D04" w:rsidRPr="00D11D19" w:rsidRDefault="00E27D04" w:rsidP="00E809BE">
      <w:pPr>
        <w:spacing w:line="360" w:lineRule="auto"/>
        <w:ind w:firstLine="720"/>
        <w:rPr>
          <w:sz w:val="26"/>
          <w:szCs w:val="26"/>
        </w:rPr>
      </w:pPr>
    </w:p>
    <w:p w14:paraId="35A15AE3" w14:textId="77777777" w:rsidR="004645AD" w:rsidRPr="00D11D19" w:rsidRDefault="007305A5" w:rsidP="00920CD4">
      <w:pPr>
        <w:spacing w:line="360" w:lineRule="auto"/>
        <w:ind w:firstLine="720"/>
        <w:rPr>
          <w:sz w:val="26"/>
          <w:szCs w:val="26"/>
        </w:rPr>
      </w:pPr>
      <w:r w:rsidRPr="00D11D19">
        <w:rPr>
          <w:sz w:val="26"/>
          <w:szCs w:val="26"/>
        </w:rPr>
        <w:t xml:space="preserve">CCPA, </w:t>
      </w:r>
      <w:r w:rsidR="00D11D19">
        <w:rPr>
          <w:sz w:val="26"/>
          <w:szCs w:val="26"/>
        </w:rPr>
        <w:t>BTC</w:t>
      </w:r>
      <w:r w:rsidRPr="00D11D19">
        <w:rPr>
          <w:sz w:val="26"/>
          <w:szCs w:val="26"/>
        </w:rPr>
        <w:t xml:space="preserve"> and M&amp;SH</w:t>
      </w:r>
      <w:r w:rsidR="004645AD" w:rsidRPr="00D11D19">
        <w:rPr>
          <w:sz w:val="26"/>
          <w:szCs w:val="26"/>
        </w:rPr>
        <w:t>, respectively, all h</w:t>
      </w:r>
      <w:r w:rsidR="00694131" w:rsidRPr="00D11D19">
        <w:rPr>
          <w:sz w:val="26"/>
          <w:szCs w:val="26"/>
        </w:rPr>
        <w:t xml:space="preserve">ad </w:t>
      </w:r>
      <w:r w:rsidR="00DA4840" w:rsidRPr="00D11D19">
        <w:rPr>
          <w:sz w:val="26"/>
          <w:szCs w:val="26"/>
        </w:rPr>
        <w:t xml:space="preserve">filed </w:t>
      </w:r>
      <w:r w:rsidR="004645AD" w:rsidRPr="00D11D19">
        <w:rPr>
          <w:sz w:val="26"/>
          <w:szCs w:val="26"/>
        </w:rPr>
        <w:t xml:space="preserve">amendments to their original Chapter 30 Plans </w:t>
      </w:r>
      <w:r w:rsidR="00920CD4" w:rsidRPr="00D11D19">
        <w:rPr>
          <w:sz w:val="26"/>
          <w:szCs w:val="26"/>
        </w:rPr>
        <w:t>that committed them to accelerating their broadband deployment schedule set forth in their individual original NMPs.  The Commission approved these modified NMPs at various dockets.</w:t>
      </w:r>
      <w:r w:rsidR="00920CD4" w:rsidRPr="00D11D19">
        <w:rPr>
          <w:rStyle w:val="FootnoteReference"/>
          <w:sz w:val="26"/>
          <w:szCs w:val="26"/>
        </w:rPr>
        <w:footnoteReference w:id="4"/>
      </w:r>
      <w:r w:rsidR="00920CD4" w:rsidRPr="00D11D19">
        <w:rPr>
          <w:sz w:val="26"/>
          <w:szCs w:val="26"/>
        </w:rPr>
        <w:t xml:space="preserve">  The approval of these filings entitled each company to a </w:t>
      </w:r>
      <w:r w:rsidR="004645AD" w:rsidRPr="00D11D19">
        <w:rPr>
          <w:sz w:val="26"/>
          <w:szCs w:val="26"/>
        </w:rPr>
        <w:t xml:space="preserve">lower inflation offset value within their respective price cap formulas.  </w:t>
      </w:r>
      <w:r w:rsidR="00920CD4" w:rsidRPr="00D11D19">
        <w:rPr>
          <w:sz w:val="26"/>
          <w:szCs w:val="26"/>
        </w:rPr>
        <w:t>Consequently, i</w:t>
      </w:r>
      <w:r w:rsidR="004645AD" w:rsidRPr="00D11D19">
        <w:rPr>
          <w:sz w:val="26"/>
          <w:szCs w:val="26"/>
        </w:rPr>
        <w:t xml:space="preserve">nflation offsets previously ranging from 2% to 2.93% </w:t>
      </w:r>
      <w:r w:rsidR="00920CD4" w:rsidRPr="00D11D19">
        <w:rPr>
          <w:sz w:val="26"/>
          <w:szCs w:val="26"/>
        </w:rPr>
        <w:t xml:space="preserve">in their original Chapter 30 Plan </w:t>
      </w:r>
      <w:r w:rsidR="004645AD" w:rsidRPr="00D11D19">
        <w:rPr>
          <w:sz w:val="26"/>
          <w:szCs w:val="26"/>
        </w:rPr>
        <w:t xml:space="preserve">were reduced to either 0% or 0.5%, depending on each company’s Chapter 30 Plan.  In </w:t>
      </w:r>
      <w:r w:rsidR="00920CD4" w:rsidRPr="00D11D19">
        <w:rPr>
          <w:sz w:val="26"/>
          <w:szCs w:val="26"/>
        </w:rPr>
        <w:t xml:space="preserve">each </w:t>
      </w:r>
      <w:r w:rsidR="004645AD" w:rsidRPr="00D11D19">
        <w:rPr>
          <w:sz w:val="26"/>
          <w:szCs w:val="26"/>
        </w:rPr>
        <w:t>Company’s case, the inflation offset was reduced from 2% to 0%</w:t>
      </w:r>
      <w:r w:rsidR="00920CD4" w:rsidRPr="00D11D19">
        <w:rPr>
          <w:sz w:val="26"/>
          <w:szCs w:val="26"/>
        </w:rPr>
        <w:t>, respectively.</w:t>
      </w:r>
    </w:p>
    <w:p w14:paraId="0A289075" w14:textId="77777777" w:rsidR="004645AD" w:rsidRPr="00D11D19" w:rsidRDefault="004645AD" w:rsidP="00E809BE">
      <w:pPr>
        <w:spacing w:line="360" w:lineRule="auto"/>
        <w:ind w:firstLine="720"/>
        <w:rPr>
          <w:sz w:val="26"/>
          <w:szCs w:val="26"/>
        </w:rPr>
      </w:pPr>
    </w:p>
    <w:p w14:paraId="513A91C0" w14:textId="77777777" w:rsidR="0043377F" w:rsidRPr="00D11D19" w:rsidRDefault="00E809BE" w:rsidP="00E809BE">
      <w:pPr>
        <w:spacing w:line="360" w:lineRule="auto"/>
        <w:ind w:firstLine="720"/>
        <w:rPr>
          <w:color w:val="000000"/>
          <w:sz w:val="26"/>
          <w:szCs w:val="26"/>
        </w:rPr>
      </w:pPr>
      <w:r w:rsidRPr="00D11D19">
        <w:rPr>
          <w:color w:val="000000"/>
          <w:sz w:val="26"/>
          <w:szCs w:val="26"/>
        </w:rPr>
        <w:t xml:space="preserve">On December 5, 2018, CCPA, </w:t>
      </w:r>
      <w:r w:rsidR="00D11D19">
        <w:rPr>
          <w:color w:val="000000"/>
          <w:sz w:val="26"/>
          <w:szCs w:val="26"/>
        </w:rPr>
        <w:t>BTC</w:t>
      </w:r>
      <w:r w:rsidR="007305A5" w:rsidRPr="00D11D19">
        <w:rPr>
          <w:color w:val="000000"/>
          <w:sz w:val="26"/>
          <w:szCs w:val="26"/>
        </w:rPr>
        <w:t xml:space="preserve">, M&amp;SH, and </w:t>
      </w:r>
      <w:r w:rsidR="004645AD" w:rsidRPr="00D11D19">
        <w:rPr>
          <w:color w:val="000000"/>
          <w:sz w:val="26"/>
          <w:szCs w:val="26"/>
        </w:rPr>
        <w:t xml:space="preserve">various other </w:t>
      </w:r>
      <w:r w:rsidR="007305A5" w:rsidRPr="00D11D19">
        <w:rPr>
          <w:color w:val="000000"/>
          <w:sz w:val="26"/>
          <w:szCs w:val="26"/>
        </w:rPr>
        <w:t xml:space="preserve">affiliated </w:t>
      </w:r>
      <w:r w:rsidR="004645AD" w:rsidRPr="00D11D19">
        <w:rPr>
          <w:color w:val="000000"/>
          <w:sz w:val="26"/>
          <w:szCs w:val="26"/>
        </w:rPr>
        <w:t xml:space="preserve">telecommunication companies, </w:t>
      </w:r>
      <w:r w:rsidRPr="00D11D19">
        <w:rPr>
          <w:color w:val="000000"/>
          <w:sz w:val="26"/>
          <w:szCs w:val="26"/>
        </w:rPr>
        <w:t xml:space="preserve">Consolidated Communications Enterprise Services, Inc. (CCES), BE Mobile Communications, Incorporated, Marianna Tel, Inc. (MTI), and </w:t>
      </w:r>
      <w:r w:rsidRPr="00D11D19">
        <w:rPr>
          <w:color w:val="000000"/>
          <w:sz w:val="26"/>
          <w:szCs w:val="26"/>
        </w:rPr>
        <w:lastRenderedPageBreak/>
        <w:t xml:space="preserve">FairPoint Business Services LLC (FBS) </w:t>
      </w:r>
      <w:r w:rsidRPr="00D11D19">
        <w:rPr>
          <w:sz w:val="26"/>
          <w:szCs w:val="26"/>
        </w:rPr>
        <w:t xml:space="preserve">filed a joint </w:t>
      </w:r>
      <w:r w:rsidRPr="00D11D19">
        <w:rPr>
          <w:color w:val="000000"/>
          <w:sz w:val="26"/>
          <w:szCs w:val="26"/>
        </w:rPr>
        <w:t>application pursuant to Sections 1102(a) and 1103 of Chapter 11 of the Pennsylvania Public Utility Code, 66 Pa.C.S. §§ 1102(a) and 1103, the Commission’s Statement of Policy regarding Utility Stock Transfers at 52 Pa. Code § 69.901, and its Abbreviated Procedures for Review of Transfer of Control of Telecommunications Public Utilities at 52 Pa. Code §§ 63.321-63.325, seeking Commission approval of an intra-company consolidation and abandonment of certain related services (“the Transaction”).</w:t>
      </w:r>
      <w:r w:rsidR="0043377F" w:rsidRPr="00D11D19">
        <w:rPr>
          <w:rStyle w:val="FootnoteReference"/>
          <w:sz w:val="26"/>
          <w:szCs w:val="26"/>
        </w:rPr>
        <w:footnoteReference w:id="5"/>
      </w:r>
    </w:p>
    <w:p w14:paraId="4EF643E6" w14:textId="77777777" w:rsidR="0043377F" w:rsidRPr="00D11D19" w:rsidRDefault="0043377F" w:rsidP="00E809BE">
      <w:pPr>
        <w:spacing w:line="360" w:lineRule="auto"/>
        <w:ind w:firstLine="720"/>
        <w:rPr>
          <w:color w:val="000000"/>
          <w:sz w:val="26"/>
          <w:szCs w:val="26"/>
        </w:rPr>
      </w:pPr>
    </w:p>
    <w:p w14:paraId="58979D87" w14:textId="77777777" w:rsidR="00723CB4" w:rsidRPr="00D11D19" w:rsidRDefault="0043377F" w:rsidP="0043377F">
      <w:pPr>
        <w:spacing w:line="360" w:lineRule="auto"/>
        <w:ind w:firstLine="720"/>
        <w:rPr>
          <w:sz w:val="26"/>
          <w:szCs w:val="26"/>
        </w:rPr>
      </w:pPr>
      <w:r w:rsidRPr="00D11D19">
        <w:rPr>
          <w:sz w:val="26"/>
          <w:szCs w:val="26"/>
        </w:rPr>
        <w:t xml:space="preserve">Three of </w:t>
      </w:r>
      <w:r w:rsidR="009B2CAC" w:rsidRPr="00D11D19">
        <w:rPr>
          <w:sz w:val="26"/>
          <w:szCs w:val="26"/>
        </w:rPr>
        <w:t xml:space="preserve">the </w:t>
      </w:r>
      <w:r w:rsidRPr="00D11D19">
        <w:rPr>
          <w:sz w:val="26"/>
          <w:szCs w:val="26"/>
        </w:rPr>
        <w:t xml:space="preserve">companies involved in the above-mentioned Transaction </w:t>
      </w:r>
      <w:r w:rsidR="009B2CAC" w:rsidRPr="00D11D19">
        <w:rPr>
          <w:sz w:val="26"/>
          <w:szCs w:val="26"/>
        </w:rPr>
        <w:t>we</w:t>
      </w:r>
      <w:r w:rsidRPr="00D11D19">
        <w:rPr>
          <w:sz w:val="26"/>
          <w:szCs w:val="26"/>
        </w:rPr>
        <w:t xml:space="preserve">re </w:t>
      </w:r>
      <w:r w:rsidR="007350B9" w:rsidRPr="00D11D19">
        <w:rPr>
          <w:sz w:val="26"/>
          <w:szCs w:val="26"/>
        </w:rPr>
        <w:t>RLECs</w:t>
      </w:r>
      <w:r w:rsidR="00920CD4" w:rsidRPr="00D11D19">
        <w:rPr>
          <w:sz w:val="26"/>
          <w:szCs w:val="26"/>
        </w:rPr>
        <w:t xml:space="preserve">—CCPA, </w:t>
      </w:r>
      <w:r w:rsidR="00D11D19">
        <w:rPr>
          <w:sz w:val="26"/>
          <w:szCs w:val="26"/>
        </w:rPr>
        <w:t>BTC</w:t>
      </w:r>
      <w:r w:rsidR="00920CD4" w:rsidRPr="00D11D19">
        <w:rPr>
          <w:sz w:val="26"/>
          <w:szCs w:val="26"/>
        </w:rPr>
        <w:t xml:space="preserve"> and M&amp;</w:t>
      </w:r>
      <w:r w:rsidR="00D02590" w:rsidRPr="00D11D19">
        <w:rPr>
          <w:sz w:val="26"/>
          <w:szCs w:val="26"/>
        </w:rPr>
        <w:t>S</w:t>
      </w:r>
      <w:r w:rsidR="00920CD4" w:rsidRPr="00D11D19">
        <w:rPr>
          <w:sz w:val="26"/>
          <w:szCs w:val="26"/>
        </w:rPr>
        <w:t xml:space="preserve">H.  </w:t>
      </w:r>
      <w:r w:rsidR="00E809BE" w:rsidRPr="00D11D19">
        <w:rPr>
          <w:color w:val="000000"/>
          <w:sz w:val="26"/>
          <w:szCs w:val="26"/>
        </w:rPr>
        <w:t>Specifically, the Transaction</w:t>
      </w:r>
      <w:r w:rsidR="009B2CAC" w:rsidRPr="00D11D19">
        <w:rPr>
          <w:color w:val="000000"/>
          <w:sz w:val="26"/>
          <w:szCs w:val="26"/>
        </w:rPr>
        <w:t xml:space="preserve">, </w:t>
      </w:r>
      <w:r w:rsidR="00723CB4" w:rsidRPr="00D11D19">
        <w:rPr>
          <w:i/>
          <w:iCs/>
          <w:sz w:val="26"/>
          <w:szCs w:val="26"/>
        </w:rPr>
        <w:t>inter alia</w:t>
      </w:r>
      <w:r w:rsidR="00723CB4" w:rsidRPr="00D11D19">
        <w:rPr>
          <w:sz w:val="26"/>
          <w:szCs w:val="26"/>
        </w:rPr>
        <w:t xml:space="preserve">, </w:t>
      </w:r>
      <w:r w:rsidR="00E809BE" w:rsidRPr="00D11D19">
        <w:rPr>
          <w:color w:val="000000"/>
          <w:sz w:val="26"/>
          <w:szCs w:val="26"/>
        </w:rPr>
        <w:t xml:space="preserve">would result in </w:t>
      </w:r>
      <w:r w:rsidR="00723CB4" w:rsidRPr="00D11D19">
        <w:rPr>
          <w:sz w:val="26"/>
          <w:szCs w:val="26"/>
        </w:rPr>
        <w:t>the merger and consolidation of two Pennsylvania</w:t>
      </w:r>
      <w:r w:rsidR="005B38CF" w:rsidRPr="00D11D19">
        <w:rPr>
          <w:sz w:val="26"/>
          <w:szCs w:val="26"/>
        </w:rPr>
        <w:t xml:space="preserve"> </w:t>
      </w:r>
      <w:r w:rsidR="007350B9" w:rsidRPr="00D11D19">
        <w:rPr>
          <w:sz w:val="26"/>
          <w:szCs w:val="26"/>
        </w:rPr>
        <w:t xml:space="preserve">RLECs, </w:t>
      </w:r>
      <w:r w:rsidR="00D11D19">
        <w:rPr>
          <w:sz w:val="26"/>
          <w:szCs w:val="26"/>
        </w:rPr>
        <w:t>BTC</w:t>
      </w:r>
      <w:r w:rsidR="00723CB4" w:rsidRPr="00D11D19">
        <w:rPr>
          <w:sz w:val="26"/>
          <w:szCs w:val="26"/>
        </w:rPr>
        <w:t xml:space="preserve"> and M&amp;S</w:t>
      </w:r>
      <w:r w:rsidR="00920CD4" w:rsidRPr="00D11D19">
        <w:rPr>
          <w:sz w:val="26"/>
          <w:szCs w:val="26"/>
        </w:rPr>
        <w:t>H</w:t>
      </w:r>
      <w:r w:rsidR="00566BCF" w:rsidRPr="00D11D19">
        <w:rPr>
          <w:sz w:val="26"/>
          <w:szCs w:val="26"/>
        </w:rPr>
        <w:t>,</w:t>
      </w:r>
      <w:r w:rsidR="00723CB4" w:rsidRPr="00D11D19">
        <w:rPr>
          <w:sz w:val="26"/>
          <w:szCs w:val="26"/>
        </w:rPr>
        <w:t xml:space="preserve"> into</w:t>
      </w:r>
      <w:r w:rsidR="00920CD4" w:rsidRPr="00D11D19">
        <w:rPr>
          <w:sz w:val="26"/>
          <w:szCs w:val="26"/>
        </w:rPr>
        <w:t xml:space="preserve"> CCPA, </w:t>
      </w:r>
      <w:r w:rsidR="00723CB4" w:rsidRPr="00D11D19">
        <w:rPr>
          <w:sz w:val="26"/>
          <w:szCs w:val="26"/>
        </w:rPr>
        <w:t>a</w:t>
      </w:r>
      <w:r w:rsidR="00566BCF" w:rsidRPr="00D11D19">
        <w:rPr>
          <w:sz w:val="26"/>
          <w:szCs w:val="26"/>
        </w:rPr>
        <w:t>nother existing RLEC</w:t>
      </w:r>
      <w:r w:rsidR="00723CB4" w:rsidRPr="00D11D19">
        <w:rPr>
          <w:sz w:val="26"/>
          <w:szCs w:val="26"/>
        </w:rPr>
        <w:t xml:space="preserve">.  </w:t>
      </w:r>
      <w:r w:rsidRPr="00D11D19">
        <w:rPr>
          <w:color w:val="000000"/>
          <w:sz w:val="26"/>
          <w:szCs w:val="26"/>
        </w:rPr>
        <w:t xml:space="preserve">By a </w:t>
      </w:r>
      <w:r w:rsidR="00963F8F" w:rsidRPr="00D11D19">
        <w:rPr>
          <w:sz w:val="26"/>
          <w:szCs w:val="26"/>
        </w:rPr>
        <w:t>Secretarial Letter</w:t>
      </w:r>
      <w:r w:rsidRPr="00D11D19">
        <w:rPr>
          <w:sz w:val="26"/>
          <w:szCs w:val="26"/>
        </w:rPr>
        <w:t xml:space="preserve"> dated May 13, 2019</w:t>
      </w:r>
      <w:r w:rsidR="0057233C" w:rsidRPr="00D11D19">
        <w:rPr>
          <w:sz w:val="26"/>
          <w:szCs w:val="26"/>
        </w:rPr>
        <w:t xml:space="preserve">, the Commission </w:t>
      </w:r>
      <w:r w:rsidRPr="00D11D19">
        <w:rPr>
          <w:sz w:val="26"/>
          <w:szCs w:val="26"/>
        </w:rPr>
        <w:t>held that the Transaction</w:t>
      </w:r>
      <w:r w:rsidR="00566BCF" w:rsidRPr="00D11D19">
        <w:rPr>
          <w:sz w:val="26"/>
          <w:szCs w:val="26"/>
        </w:rPr>
        <w:t xml:space="preserve"> which would result </w:t>
      </w:r>
      <w:r w:rsidR="00723CB4" w:rsidRPr="00D11D19">
        <w:rPr>
          <w:sz w:val="26"/>
          <w:szCs w:val="26"/>
        </w:rPr>
        <w:t xml:space="preserve">in </w:t>
      </w:r>
      <w:r w:rsidRPr="00D11D19">
        <w:rPr>
          <w:sz w:val="26"/>
          <w:szCs w:val="26"/>
        </w:rPr>
        <w:t xml:space="preserve">the merger </w:t>
      </w:r>
      <w:r w:rsidR="00723CB4" w:rsidRPr="00D11D19">
        <w:rPr>
          <w:sz w:val="26"/>
          <w:szCs w:val="26"/>
        </w:rPr>
        <w:t xml:space="preserve">and consolidation </w:t>
      </w:r>
      <w:r w:rsidRPr="00D11D19">
        <w:rPr>
          <w:sz w:val="26"/>
          <w:szCs w:val="26"/>
        </w:rPr>
        <w:t xml:space="preserve">of </w:t>
      </w:r>
      <w:r w:rsidR="00D11D19">
        <w:rPr>
          <w:sz w:val="26"/>
          <w:szCs w:val="26"/>
        </w:rPr>
        <w:t>BTC</w:t>
      </w:r>
      <w:r w:rsidRPr="00D11D19">
        <w:rPr>
          <w:sz w:val="26"/>
          <w:szCs w:val="26"/>
        </w:rPr>
        <w:t xml:space="preserve"> and M&amp;SH into CCPA</w:t>
      </w:r>
      <w:r w:rsidR="00331A46" w:rsidRPr="00D11D19">
        <w:rPr>
          <w:sz w:val="26"/>
          <w:szCs w:val="26"/>
        </w:rPr>
        <w:t>,</w:t>
      </w:r>
      <w:r w:rsidRPr="00D11D19">
        <w:rPr>
          <w:sz w:val="26"/>
          <w:szCs w:val="26"/>
        </w:rPr>
        <w:t xml:space="preserve"> “is necessary for the service, accommodation, convenience, or safety of the public….”</w:t>
      </w:r>
      <w:r w:rsidR="00723CB4" w:rsidRPr="00D11D19">
        <w:rPr>
          <w:rStyle w:val="FootnoteReference"/>
          <w:sz w:val="26"/>
          <w:szCs w:val="26"/>
        </w:rPr>
        <w:footnoteReference w:id="6"/>
      </w:r>
      <w:r w:rsidR="00723CB4" w:rsidRPr="00D11D19">
        <w:rPr>
          <w:sz w:val="26"/>
          <w:szCs w:val="26"/>
        </w:rPr>
        <w:t xml:space="preserve">  Thus, the 2019 Secretarial Letter </w:t>
      </w:r>
      <w:r w:rsidR="001C3E4A" w:rsidRPr="00D11D19">
        <w:rPr>
          <w:sz w:val="26"/>
          <w:szCs w:val="26"/>
        </w:rPr>
        <w:t>approved</w:t>
      </w:r>
      <w:r w:rsidR="00723CB4" w:rsidRPr="00D11D19">
        <w:rPr>
          <w:sz w:val="26"/>
          <w:szCs w:val="26"/>
        </w:rPr>
        <w:t xml:space="preserve"> the merger and an intra-company consolidation and transfer of 100% of the assets and control of two RLECs, </w:t>
      </w:r>
      <w:r w:rsidR="00D11D19">
        <w:rPr>
          <w:sz w:val="26"/>
          <w:szCs w:val="26"/>
        </w:rPr>
        <w:t>BTC</w:t>
      </w:r>
      <w:r w:rsidR="00723CB4" w:rsidRPr="00D11D19">
        <w:rPr>
          <w:sz w:val="26"/>
          <w:szCs w:val="26"/>
        </w:rPr>
        <w:t xml:space="preserve"> and M&amp;SH, to CCPA.  </w:t>
      </w:r>
    </w:p>
    <w:p w14:paraId="4B832F1D" w14:textId="77777777" w:rsidR="00723CB4" w:rsidRPr="00D11D19" w:rsidRDefault="00723CB4" w:rsidP="0043377F">
      <w:pPr>
        <w:spacing w:line="360" w:lineRule="auto"/>
        <w:ind w:firstLine="720"/>
        <w:rPr>
          <w:sz w:val="26"/>
          <w:szCs w:val="26"/>
        </w:rPr>
      </w:pPr>
    </w:p>
    <w:p w14:paraId="02B35B08" w14:textId="77777777" w:rsidR="0057233C" w:rsidRPr="00D11D19" w:rsidRDefault="00AA5A51" w:rsidP="002D57DD">
      <w:pPr>
        <w:spacing w:line="360" w:lineRule="auto"/>
        <w:ind w:firstLine="720"/>
        <w:rPr>
          <w:sz w:val="26"/>
          <w:szCs w:val="26"/>
        </w:rPr>
      </w:pPr>
      <w:r w:rsidRPr="00D11D19">
        <w:rPr>
          <w:sz w:val="26"/>
          <w:szCs w:val="26"/>
        </w:rPr>
        <w:t xml:space="preserve">With respect to </w:t>
      </w:r>
      <w:r w:rsidR="00566BCF" w:rsidRPr="00D11D19">
        <w:rPr>
          <w:sz w:val="26"/>
          <w:szCs w:val="26"/>
        </w:rPr>
        <w:t xml:space="preserve">each </w:t>
      </w:r>
      <w:r w:rsidR="00D02590" w:rsidRPr="00D11D19">
        <w:rPr>
          <w:sz w:val="26"/>
          <w:szCs w:val="26"/>
        </w:rPr>
        <w:t>company’s</w:t>
      </w:r>
      <w:r w:rsidR="00566BCF" w:rsidRPr="00D11D19">
        <w:rPr>
          <w:sz w:val="26"/>
          <w:szCs w:val="26"/>
        </w:rPr>
        <w:t xml:space="preserve"> </w:t>
      </w:r>
      <w:r w:rsidR="00191567" w:rsidRPr="00D11D19">
        <w:rPr>
          <w:sz w:val="26"/>
          <w:szCs w:val="26"/>
        </w:rPr>
        <w:t xml:space="preserve">individual </w:t>
      </w:r>
      <w:r w:rsidR="006F0C50" w:rsidRPr="00D11D19">
        <w:rPr>
          <w:sz w:val="26"/>
          <w:szCs w:val="26"/>
        </w:rPr>
        <w:t xml:space="preserve">existing </w:t>
      </w:r>
      <w:r w:rsidRPr="00D11D19">
        <w:rPr>
          <w:sz w:val="26"/>
          <w:szCs w:val="26"/>
        </w:rPr>
        <w:t xml:space="preserve">Chapter 30 plans, the Commission </w:t>
      </w:r>
      <w:r w:rsidR="0057233C" w:rsidRPr="00D11D19">
        <w:rPr>
          <w:sz w:val="26"/>
          <w:szCs w:val="26"/>
        </w:rPr>
        <w:t>stated:</w:t>
      </w:r>
    </w:p>
    <w:p w14:paraId="35B8002C" w14:textId="77777777" w:rsidR="00E96680" w:rsidRPr="00D11D19" w:rsidRDefault="00DD5E5E" w:rsidP="0057233C">
      <w:pPr>
        <w:ind w:left="1440" w:right="1440"/>
        <w:rPr>
          <w:sz w:val="26"/>
          <w:szCs w:val="26"/>
        </w:rPr>
      </w:pPr>
      <w:r w:rsidRPr="00D11D19">
        <w:rPr>
          <w:sz w:val="26"/>
          <w:szCs w:val="26"/>
        </w:rPr>
        <w:t>[C]</w:t>
      </w:r>
      <w:r w:rsidR="0057233C" w:rsidRPr="00D11D19">
        <w:rPr>
          <w:sz w:val="26"/>
          <w:szCs w:val="26"/>
        </w:rPr>
        <w:t xml:space="preserve">onsistent with the terms of the respective Chapter 30 Plans of CCPA, </w:t>
      </w:r>
      <w:r w:rsidR="00D11D19">
        <w:rPr>
          <w:sz w:val="26"/>
          <w:szCs w:val="26"/>
        </w:rPr>
        <w:t>BTC</w:t>
      </w:r>
      <w:r w:rsidR="0057233C" w:rsidRPr="00D11D19">
        <w:rPr>
          <w:sz w:val="26"/>
          <w:szCs w:val="26"/>
        </w:rPr>
        <w:t xml:space="preserve"> and M&amp;SH and the statutory directives at 66 Pa. C.S. § 3014(e) addressing the filing of amended plans, these carriers should consider what amendments, if any, are necessary to continue alternative regulation by one surviving entity operating three separate plans and: (a) Provide appropriate written notice to the Commission; and, (b) within </w:t>
      </w:r>
      <w:r w:rsidR="0057233C" w:rsidRPr="00D11D19">
        <w:rPr>
          <w:sz w:val="26"/>
          <w:szCs w:val="26"/>
        </w:rPr>
        <w:lastRenderedPageBreak/>
        <w:t>60 days following such notification formally file the appropriate Chapter 30 Plan amendments that would address the SPI and “bank” mechanisms and balances of the affected entities.  Furthermore, we note that it is advisable that in the interim, i.e. before the potential and formal submission and adjudication of any such Chapter 30 Plan amendments, the separate Chapter 30 Plans and associated PSM (PSIs/SPIs and “banked” revenue increases), should operate on a status quo and stand-alone basis under their respective terms and conditions.</w:t>
      </w:r>
      <w:r w:rsidR="0057233C" w:rsidRPr="00D11D19">
        <w:rPr>
          <w:rStyle w:val="FootnoteReference"/>
          <w:sz w:val="26"/>
          <w:szCs w:val="26"/>
        </w:rPr>
        <w:footnoteReference w:id="7"/>
      </w:r>
      <w:r w:rsidR="0057233C" w:rsidRPr="00D11D19">
        <w:rPr>
          <w:sz w:val="26"/>
          <w:szCs w:val="26"/>
        </w:rPr>
        <w:t xml:space="preserve">  </w:t>
      </w:r>
    </w:p>
    <w:p w14:paraId="6EEB6FA6" w14:textId="77777777" w:rsidR="00191567" w:rsidRPr="00D11D19" w:rsidRDefault="00191567" w:rsidP="00191567">
      <w:pPr>
        <w:ind w:right="1440"/>
        <w:rPr>
          <w:sz w:val="26"/>
          <w:szCs w:val="26"/>
        </w:rPr>
      </w:pPr>
    </w:p>
    <w:p w14:paraId="59273814" w14:textId="77777777" w:rsidR="0057233C" w:rsidRPr="00D11D19" w:rsidRDefault="00191567">
      <w:pPr>
        <w:spacing w:line="360" w:lineRule="auto"/>
        <w:rPr>
          <w:sz w:val="26"/>
          <w:szCs w:val="26"/>
        </w:rPr>
      </w:pPr>
      <w:r w:rsidRPr="00D11D19">
        <w:rPr>
          <w:sz w:val="26"/>
          <w:szCs w:val="26"/>
        </w:rPr>
        <w:t>2019 Secretarial Letter at 8.</w:t>
      </w:r>
      <w:r w:rsidR="00566BCF" w:rsidRPr="00D11D19">
        <w:rPr>
          <w:sz w:val="26"/>
          <w:szCs w:val="26"/>
        </w:rPr>
        <w:t xml:space="preserve">  Accordingly, t</w:t>
      </w:r>
      <w:r w:rsidR="0057233C" w:rsidRPr="00D11D19">
        <w:rPr>
          <w:sz w:val="26"/>
          <w:szCs w:val="26"/>
        </w:rPr>
        <w:t>he Commission ordered</w:t>
      </w:r>
      <w:r w:rsidR="006F0C50" w:rsidRPr="00D11D19">
        <w:rPr>
          <w:sz w:val="26"/>
          <w:szCs w:val="26"/>
        </w:rPr>
        <w:t xml:space="preserve">, </w:t>
      </w:r>
      <w:r w:rsidR="006F0C50" w:rsidRPr="00D11D19">
        <w:rPr>
          <w:i/>
          <w:iCs/>
          <w:sz w:val="26"/>
          <w:szCs w:val="26"/>
        </w:rPr>
        <w:t>inter alia</w:t>
      </w:r>
      <w:r w:rsidR="006F0C50" w:rsidRPr="00D11D19">
        <w:rPr>
          <w:sz w:val="26"/>
          <w:szCs w:val="26"/>
        </w:rPr>
        <w:t>,</w:t>
      </w:r>
      <w:r w:rsidR="0057233C" w:rsidRPr="00D11D19">
        <w:rPr>
          <w:sz w:val="26"/>
          <w:szCs w:val="26"/>
        </w:rPr>
        <w:t xml:space="preserve"> that:</w:t>
      </w:r>
    </w:p>
    <w:p w14:paraId="509F2C02" w14:textId="77777777" w:rsidR="006F0C50" w:rsidRPr="00D11D19" w:rsidRDefault="0057233C" w:rsidP="0057233C">
      <w:pPr>
        <w:ind w:left="1440" w:right="1440"/>
        <w:rPr>
          <w:sz w:val="26"/>
          <w:szCs w:val="26"/>
        </w:rPr>
      </w:pPr>
      <w:r w:rsidRPr="00D11D19">
        <w:rPr>
          <w:sz w:val="26"/>
          <w:szCs w:val="26"/>
        </w:rPr>
        <w:t>1.</w:t>
      </w:r>
      <w:r w:rsidRPr="00D11D19">
        <w:rPr>
          <w:sz w:val="26"/>
          <w:szCs w:val="26"/>
        </w:rPr>
        <w:tab/>
        <w:t xml:space="preserve">The existing Chapter 30 Plans for CCPA, </w:t>
      </w:r>
      <w:r w:rsidR="00D11D19">
        <w:rPr>
          <w:sz w:val="26"/>
          <w:szCs w:val="26"/>
        </w:rPr>
        <w:t>BTC</w:t>
      </w:r>
      <w:r w:rsidRPr="00D11D19">
        <w:rPr>
          <w:sz w:val="26"/>
          <w:szCs w:val="26"/>
        </w:rPr>
        <w:t xml:space="preserve"> and M&amp;SH and their respective price stability mechanisms will continue to operate on a status quo and stand-alone basis under their respective terms and conditions.</w:t>
      </w:r>
    </w:p>
    <w:p w14:paraId="05683347" w14:textId="77777777" w:rsidR="0057233C" w:rsidRPr="00D11D19" w:rsidRDefault="0057233C" w:rsidP="0057233C">
      <w:pPr>
        <w:ind w:left="1440" w:right="1440"/>
        <w:rPr>
          <w:sz w:val="26"/>
          <w:szCs w:val="26"/>
        </w:rPr>
      </w:pPr>
      <w:r w:rsidRPr="00D11D19">
        <w:rPr>
          <w:sz w:val="26"/>
          <w:szCs w:val="26"/>
        </w:rPr>
        <w:t xml:space="preserve">  </w:t>
      </w:r>
    </w:p>
    <w:p w14:paraId="0983E983" w14:textId="77777777" w:rsidR="0057233C" w:rsidRPr="00D11D19" w:rsidRDefault="0057233C" w:rsidP="0057233C">
      <w:pPr>
        <w:ind w:left="1440" w:right="1440"/>
        <w:rPr>
          <w:sz w:val="26"/>
          <w:szCs w:val="26"/>
        </w:rPr>
      </w:pPr>
      <w:r w:rsidRPr="00D11D19">
        <w:rPr>
          <w:sz w:val="26"/>
          <w:szCs w:val="26"/>
        </w:rPr>
        <w:t>2.</w:t>
      </w:r>
      <w:r w:rsidRPr="00D11D19">
        <w:rPr>
          <w:sz w:val="26"/>
          <w:szCs w:val="26"/>
        </w:rPr>
        <w:tab/>
        <w:t xml:space="preserve">To the extent that the CCPA, </w:t>
      </w:r>
      <w:r w:rsidR="00D11D19">
        <w:rPr>
          <w:sz w:val="26"/>
          <w:szCs w:val="26"/>
        </w:rPr>
        <w:t>BTC</w:t>
      </w:r>
      <w:r w:rsidRPr="00D11D19">
        <w:rPr>
          <w:sz w:val="26"/>
          <w:szCs w:val="26"/>
        </w:rPr>
        <w:t xml:space="preserve"> and M&amp;SH Chapter 30 Plans need to be amended reflecting the company consolidation that is granted in this Secretarial Letter, these ILECs shall formally submit such amendments to the Commission in accordance with the statutory directives at 66 Pa. C.S. § 3014(e) and the attendant notice and service requirements.</w:t>
      </w:r>
      <w:r w:rsidRPr="00D11D19">
        <w:rPr>
          <w:rStyle w:val="FootnoteReference"/>
          <w:sz w:val="26"/>
          <w:szCs w:val="26"/>
        </w:rPr>
        <w:footnoteReference w:id="8"/>
      </w:r>
      <w:r w:rsidRPr="00D11D19">
        <w:rPr>
          <w:sz w:val="26"/>
          <w:szCs w:val="26"/>
        </w:rPr>
        <w:t xml:space="preserve"> </w:t>
      </w:r>
    </w:p>
    <w:p w14:paraId="24A1FB57" w14:textId="77777777" w:rsidR="0057233C" w:rsidRPr="00D11D19" w:rsidRDefault="0057233C" w:rsidP="0057233C">
      <w:pPr>
        <w:ind w:right="1440"/>
        <w:rPr>
          <w:sz w:val="26"/>
          <w:szCs w:val="26"/>
        </w:rPr>
      </w:pPr>
    </w:p>
    <w:p w14:paraId="75340DA5" w14:textId="77777777" w:rsidR="00191567" w:rsidRPr="00D11D19" w:rsidRDefault="00191567" w:rsidP="00810E72">
      <w:pPr>
        <w:spacing w:line="360" w:lineRule="auto"/>
        <w:rPr>
          <w:sz w:val="26"/>
          <w:szCs w:val="26"/>
        </w:rPr>
      </w:pPr>
      <w:r w:rsidRPr="00D11D19">
        <w:rPr>
          <w:sz w:val="26"/>
          <w:szCs w:val="26"/>
        </w:rPr>
        <w:t>2019 Secretarial Letter at 9.</w:t>
      </w:r>
    </w:p>
    <w:p w14:paraId="68FC795C" w14:textId="77777777" w:rsidR="00191567" w:rsidRPr="00D11D19" w:rsidRDefault="00191567" w:rsidP="00810E72">
      <w:pPr>
        <w:spacing w:line="360" w:lineRule="auto"/>
        <w:rPr>
          <w:sz w:val="26"/>
          <w:szCs w:val="26"/>
        </w:rPr>
      </w:pPr>
    </w:p>
    <w:p w14:paraId="38C8B988" w14:textId="77777777" w:rsidR="0057233C" w:rsidRPr="00D11D19" w:rsidRDefault="006F0C50" w:rsidP="002D57DD">
      <w:pPr>
        <w:spacing w:line="360" w:lineRule="auto"/>
        <w:ind w:firstLine="720"/>
        <w:rPr>
          <w:sz w:val="26"/>
          <w:szCs w:val="26"/>
        </w:rPr>
      </w:pPr>
      <w:r w:rsidRPr="00D11D19">
        <w:rPr>
          <w:sz w:val="26"/>
          <w:szCs w:val="26"/>
        </w:rPr>
        <w:t xml:space="preserve">On April 28, 2020, </w:t>
      </w:r>
      <w:r w:rsidR="00810E72" w:rsidRPr="00D11D19">
        <w:rPr>
          <w:sz w:val="26"/>
          <w:szCs w:val="26"/>
        </w:rPr>
        <w:t xml:space="preserve">CCPA and its affiliates filed a Notice of Consummation with the Commission in the above-referenced dockets, informing the Commission that the joint applicants had consummated the Commission-approved transactions, including the consolidation and merger of </w:t>
      </w:r>
      <w:r w:rsidR="00D11D19">
        <w:rPr>
          <w:sz w:val="26"/>
          <w:szCs w:val="26"/>
        </w:rPr>
        <w:t>BTC</w:t>
      </w:r>
      <w:r w:rsidR="00810E72" w:rsidRPr="00D11D19">
        <w:rPr>
          <w:sz w:val="26"/>
          <w:szCs w:val="26"/>
        </w:rPr>
        <w:t xml:space="preserve"> and M&amp;SH into CCPA.</w:t>
      </w:r>
      <w:r w:rsidR="00810E72" w:rsidRPr="00D11D19">
        <w:rPr>
          <w:rStyle w:val="FootnoteReference"/>
          <w:sz w:val="26"/>
          <w:szCs w:val="26"/>
        </w:rPr>
        <w:footnoteReference w:id="9"/>
      </w:r>
      <w:r w:rsidR="0057233C" w:rsidRPr="00D11D19">
        <w:rPr>
          <w:sz w:val="26"/>
          <w:szCs w:val="26"/>
        </w:rPr>
        <w:t xml:space="preserve"> </w:t>
      </w:r>
    </w:p>
    <w:p w14:paraId="07825A98" w14:textId="77777777" w:rsidR="00191567" w:rsidRPr="00D11D19" w:rsidRDefault="00F84442" w:rsidP="00810E72">
      <w:pPr>
        <w:spacing w:line="360" w:lineRule="auto"/>
        <w:rPr>
          <w:sz w:val="26"/>
          <w:szCs w:val="26"/>
        </w:rPr>
      </w:pPr>
      <w:r w:rsidRPr="00D11D19">
        <w:rPr>
          <w:sz w:val="26"/>
          <w:szCs w:val="26"/>
        </w:rPr>
        <w:tab/>
      </w:r>
    </w:p>
    <w:p w14:paraId="2EDA37EF" w14:textId="77777777" w:rsidR="00F84442" w:rsidRPr="00D11D19" w:rsidRDefault="00F84442" w:rsidP="002D57DD">
      <w:pPr>
        <w:spacing w:line="360" w:lineRule="auto"/>
        <w:ind w:firstLine="720"/>
        <w:rPr>
          <w:sz w:val="26"/>
          <w:szCs w:val="26"/>
        </w:rPr>
      </w:pPr>
      <w:r w:rsidRPr="00D11D19">
        <w:rPr>
          <w:sz w:val="26"/>
          <w:szCs w:val="26"/>
        </w:rPr>
        <w:lastRenderedPageBreak/>
        <w:t>On May 18, 2021, CCPA filed a letter advising the Commission that it intended, pursuant to the 2019 Secretarial Letter, to file a</w:t>
      </w:r>
      <w:r w:rsidR="00566BCF" w:rsidRPr="00D11D19">
        <w:rPr>
          <w:sz w:val="26"/>
          <w:szCs w:val="26"/>
        </w:rPr>
        <w:t xml:space="preserve"> Second A</w:t>
      </w:r>
      <w:r w:rsidRPr="00D11D19">
        <w:rPr>
          <w:sz w:val="26"/>
          <w:szCs w:val="26"/>
        </w:rPr>
        <w:t>mended Chapter 30 Plan within sixty (60) days of the date of its letter.</w:t>
      </w:r>
      <w:r w:rsidRPr="00D11D19">
        <w:rPr>
          <w:rStyle w:val="FootnoteReference"/>
          <w:sz w:val="26"/>
          <w:szCs w:val="26"/>
        </w:rPr>
        <w:footnoteReference w:id="10"/>
      </w:r>
    </w:p>
    <w:p w14:paraId="04A0A6F1" w14:textId="77777777" w:rsidR="00191567" w:rsidRPr="00D11D19" w:rsidRDefault="00191567" w:rsidP="00810E72">
      <w:pPr>
        <w:spacing w:line="360" w:lineRule="auto"/>
        <w:rPr>
          <w:sz w:val="26"/>
          <w:szCs w:val="26"/>
        </w:rPr>
      </w:pPr>
    </w:p>
    <w:p w14:paraId="22311A3C" w14:textId="77777777" w:rsidR="00F84442" w:rsidRPr="00D11D19" w:rsidRDefault="00F84442" w:rsidP="00810E72">
      <w:pPr>
        <w:spacing w:line="360" w:lineRule="auto"/>
        <w:rPr>
          <w:sz w:val="26"/>
          <w:szCs w:val="26"/>
        </w:rPr>
      </w:pPr>
      <w:r w:rsidRPr="00D11D19">
        <w:rPr>
          <w:sz w:val="26"/>
          <w:szCs w:val="26"/>
        </w:rPr>
        <w:tab/>
        <w:t xml:space="preserve">On May 25, 2021, CCPA filed </w:t>
      </w:r>
      <w:r w:rsidR="00191567" w:rsidRPr="00D11D19">
        <w:rPr>
          <w:sz w:val="26"/>
          <w:szCs w:val="26"/>
        </w:rPr>
        <w:t xml:space="preserve">this letter requesting the Commission to allow CCPA to </w:t>
      </w:r>
      <w:r w:rsidR="00786CD7" w:rsidRPr="00D11D19">
        <w:rPr>
          <w:sz w:val="26"/>
          <w:szCs w:val="26"/>
        </w:rPr>
        <w:t xml:space="preserve">further </w:t>
      </w:r>
      <w:r w:rsidR="00191567" w:rsidRPr="00D11D19">
        <w:rPr>
          <w:sz w:val="26"/>
          <w:szCs w:val="26"/>
        </w:rPr>
        <w:t>a</w:t>
      </w:r>
      <w:r w:rsidRPr="00D11D19">
        <w:rPr>
          <w:sz w:val="26"/>
          <w:szCs w:val="26"/>
        </w:rPr>
        <w:t>mend</w:t>
      </w:r>
      <w:r w:rsidR="00191567" w:rsidRPr="00D11D19">
        <w:rPr>
          <w:sz w:val="26"/>
          <w:szCs w:val="26"/>
        </w:rPr>
        <w:t xml:space="preserve"> its </w:t>
      </w:r>
      <w:r w:rsidRPr="00D11D19">
        <w:rPr>
          <w:sz w:val="26"/>
          <w:szCs w:val="26"/>
        </w:rPr>
        <w:t>Chapter 30 Plan, as referenced above.</w:t>
      </w:r>
      <w:r w:rsidR="003A266D" w:rsidRPr="00D11D19">
        <w:rPr>
          <w:sz w:val="26"/>
          <w:szCs w:val="26"/>
        </w:rPr>
        <w:t xml:space="preserve"> </w:t>
      </w:r>
      <w:r w:rsidR="00191567" w:rsidRPr="00D11D19">
        <w:rPr>
          <w:sz w:val="26"/>
          <w:szCs w:val="26"/>
        </w:rPr>
        <w:t xml:space="preserve"> </w:t>
      </w:r>
      <w:r w:rsidR="00D02590" w:rsidRPr="00D11D19">
        <w:rPr>
          <w:sz w:val="26"/>
          <w:szCs w:val="26"/>
        </w:rPr>
        <w:t xml:space="preserve">In the </w:t>
      </w:r>
      <w:r w:rsidR="00677814" w:rsidRPr="00D11D19">
        <w:rPr>
          <w:sz w:val="26"/>
          <w:szCs w:val="26"/>
        </w:rPr>
        <w:t>May 25 Letter-Petition</w:t>
      </w:r>
      <w:r w:rsidR="00D02590" w:rsidRPr="00D11D19">
        <w:rPr>
          <w:sz w:val="26"/>
          <w:szCs w:val="26"/>
        </w:rPr>
        <w:t xml:space="preserve">, </w:t>
      </w:r>
      <w:r w:rsidR="003A266D" w:rsidRPr="00D11D19">
        <w:rPr>
          <w:sz w:val="26"/>
          <w:szCs w:val="26"/>
        </w:rPr>
        <w:t xml:space="preserve">CCPA states that </w:t>
      </w:r>
      <w:r w:rsidR="00786CD7" w:rsidRPr="00D11D19">
        <w:rPr>
          <w:sz w:val="26"/>
          <w:szCs w:val="26"/>
        </w:rPr>
        <w:t xml:space="preserve">the merger necessitates that it </w:t>
      </w:r>
      <w:r w:rsidR="003A266D" w:rsidRPr="00D11D19">
        <w:rPr>
          <w:sz w:val="26"/>
          <w:szCs w:val="26"/>
        </w:rPr>
        <w:t>merg</w:t>
      </w:r>
      <w:r w:rsidR="00786CD7" w:rsidRPr="00D11D19">
        <w:rPr>
          <w:sz w:val="26"/>
          <w:szCs w:val="26"/>
        </w:rPr>
        <w:t xml:space="preserve">e its Amended </w:t>
      </w:r>
      <w:r w:rsidR="003A266D" w:rsidRPr="00D11D19">
        <w:rPr>
          <w:sz w:val="26"/>
          <w:szCs w:val="26"/>
        </w:rPr>
        <w:t xml:space="preserve">Chapter 30 Plan </w:t>
      </w:r>
      <w:r w:rsidR="00786CD7" w:rsidRPr="00D11D19">
        <w:rPr>
          <w:sz w:val="26"/>
          <w:szCs w:val="26"/>
        </w:rPr>
        <w:t xml:space="preserve">that had been </w:t>
      </w:r>
      <w:r w:rsidR="003A266D" w:rsidRPr="00D11D19">
        <w:rPr>
          <w:sz w:val="26"/>
          <w:szCs w:val="26"/>
        </w:rPr>
        <w:t>approved for its previous operating area (originally that of North Pittsburg</w:t>
      </w:r>
      <w:r w:rsidR="00DD5E5E" w:rsidRPr="00D11D19">
        <w:rPr>
          <w:sz w:val="26"/>
          <w:szCs w:val="26"/>
        </w:rPr>
        <w:t>h</w:t>
      </w:r>
      <w:r w:rsidR="003A266D" w:rsidRPr="00D11D19">
        <w:rPr>
          <w:sz w:val="26"/>
          <w:szCs w:val="26"/>
        </w:rPr>
        <w:t xml:space="preserve"> Telephone Company) with th</w:t>
      </w:r>
      <w:r w:rsidR="00786CD7" w:rsidRPr="00D11D19">
        <w:rPr>
          <w:sz w:val="26"/>
          <w:szCs w:val="26"/>
        </w:rPr>
        <w:t xml:space="preserve">e respective Amended Chapter 30 Plans </w:t>
      </w:r>
      <w:r w:rsidR="003A266D" w:rsidRPr="00D11D19">
        <w:rPr>
          <w:sz w:val="26"/>
          <w:szCs w:val="26"/>
        </w:rPr>
        <w:t xml:space="preserve">of </w:t>
      </w:r>
      <w:r w:rsidR="00D11D19">
        <w:rPr>
          <w:sz w:val="26"/>
          <w:szCs w:val="26"/>
        </w:rPr>
        <w:t>BTC</w:t>
      </w:r>
      <w:r w:rsidR="00786CD7" w:rsidRPr="00D11D19">
        <w:rPr>
          <w:sz w:val="26"/>
          <w:szCs w:val="26"/>
        </w:rPr>
        <w:t xml:space="preserve"> </w:t>
      </w:r>
      <w:r w:rsidR="003A266D" w:rsidRPr="00D11D19">
        <w:rPr>
          <w:sz w:val="26"/>
          <w:szCs w:val="26"/>
        </w:rPr>
        <w:t xml:space="preserve">and </w:t>
      </w:r>
      <w:r w:rsidR="00786CD7" w:rsidRPr="00D11D19">
        <w:rPr>
          <w:sz w:val="26"/>
          <w:szCs w:val="26"/>
        </w:rPr>
        <w:t>MS&amp;H</w:t>
      </w:r>
      <w:r w:rsidR="003A266D" w:rsidRPr="00D11D19">
        <w:rPr>
          <w:sz w:val="26"/>
          <w:szCs w:val="26"/>
        </w:rPr>
        <w:t>.</w:t>
      </w:r>
      <w:r w:rsidR="004B1AAB" w:rsidRPr="00D11D19">
        <w:rPr>
          <w:rStyle w:val="FootnoteReference"/>
          <w:sz w:val="26"/>
          <w:szCs w:val="26"/>
        </w:rPr>
        <w:footnoteReference w:id="11"/>
      </w:r>
      <w:r w:rsidR="003A266D" w:rsidRPr="00D11D19">
        <w:rPr>
          <w:sz w:val="26"/>
          <w:szCs w:val="26"/>
        </w:rPr>
        <w:t xml:space="preserve"> </w:t>
      </w:r>
      <w:r w:rsidR="00786CD7" w:rsidRPr="00D11D19">
        <w:rPr>
          <w:sz w:val="26"/>
          <w:szCs w:val="26"/>
        </w:rPr>
        <w:t xml:space="preserve"> Accordingly, </w:t>
      </w:r>
      <w:r w:rsidR="003A266D" w:rsidRPr="00D11D19">
        <w:rPr>
          <w:sz w:val="26"/>
          <w:szCs w:val="26"/>
        </w:rPr>
        <w:t>CCPA avers that th</w:t>
      </w:r>
      <w:r w:rsidR="00786CD7" w:rsidRPr="00D11D19">
        <w:rPr>
          <w:sz w:val="26"/>
          <w:szCs w:val="26"/>
        </w:rPr>
        <w:t xml:space="preserve">is Second </w:t>
      </w:r>
      <w:r w:rsidR="003A266D" w:rsidRPr="00D11D19">
        <w:rPr>
          <w:sz w:val="26"/>
          <w:szCs w:val="26"/>
        </w:rPr>
        <w:t>Amended Chapter 30 Plan “is the ministerial consolidation of the three companies’ previously approved Chapter 30 Plans into one, as CCPA was directed to do in the 2019 Secretarial Letter.”</w:t>
      </w:r>
      <w:r w:rsidR="004B1AAB" w:rsidRPr="00D11D19">
        <w:rPr>
          <w:rStyle w:val="FootnoteReference"/>
          <w:sz w:val="26"/>
          <w:szCs w:val="26"/>
        </w:rPr>
        <w:footnoteReference w:id="12"/>
      </w:r>
    </w:p>
    <w:p w14:paraId="50C8297E" w14:textId="77777777" w:rsidR="00191567" w:rsidRPr="00D11D19" w:rsidRDefault="00191567" w:rsidP="00810E72">
      <w:pPr>
        <w:spacing w:line="360" w:lineRule="auto"/>
        <w:rPr>
          <w:sz w:val="26"/>
          <w:szCs w:val="26"/>
        </w:rPr>
      </w:pPr>
    </w:p>
    <w:p w14:paraId="29EC9B5F" w14:textId="77777777" w:rsidR="00786CD7" w:rsidRPr="00D11D19" w:rsidRDefault="003A266D" w:rsidP="00810E72">
      <w:pPr>
        <w:spacing w:line="360" w:lineRule="auto"/>
        <w:rPr>
          <w:sz w:val="26"/>
          <w:szCs w:val="26"/>
        </w:rPr>
      </w:pPr>
      <w:r w:rsidRPr="00D11D19">
        <w:rPr>
          <w:sz w:val="26"/>
          <w:szCs w:val="26"/>
        </w:rPr>
        <w:tab/>
      </w:r>
      <w:bookmarkStart w:id="2" w:name="_Hlk80559003"/>
      <w:r w:rsidRPr="00D11D19">
        <w:rPr>
          <w:sz w:val="26"/>
          <w:szCs w:val="26"/>
        </w:rPr>
        <w:t xml:space="preserve">Regarding specific changes </w:t>
      </w:r>
      <w:r w:rsidR="00191567" w:rsidRPr="00D11D19">
        <w:rPr>
          <w:sz w:val="26"/>
          <w:szCs w:val="26"/>
        </w:rPr>
        <w:t>to</w:t>
      </w:r>
      <w:r w:rsidRPr="00D11D19">
        <w:rPr>
          <w:sz w:val="26"/>
          <w:szCs w:val="26"/>
        </w:rPr>
        <w:t xml:space="preserve"> </w:t>
      </w:r>
      <w:r w:rsidR="00786CD7" w:rsidRPr="00D11D19">
        <w:rPr>
          <w:sz w:val="26"/>
          <w:szCs w:val="26"/>
        </w:rPr>
        <w:t xml:space="preserve">CCPA’s Second </w:t>
      </w:r>
      <w:r w:rsidRPr="00D11D19">
        <w:rPr>
          <w:sz w:val="26"/>
          <w:szCs w:val="26"/>
        </w:rPr>
        <w:t xml:space="preserve">Amended Chapter 30 Plan, CCPA states that “there are no changes proposed to either the Network Modernization or Competitive Services Deregulation portions of the </w:t>
      </w:r>
      <w:r w:rsidR="000109AF" w:rsidRPr="00D11D19">
        <w:rPr>
          <w:sz w:val="26"/>
          <w:szCs w:val="26"/>
        </w:rPr>
        <w:t>Plans.”</w:t>
      </w:r>
      <w:bookmarkEnd w:id="2"/>
      <w:r w:rsidR="004B1AAB" w:rsidRPr="00D11D19">
        <w:rPr>
          <w:rStyle w:val="FootnoteReference"/>
          <w:sz w:val="26"/>
          <w:szCs w:val="26"/>
        </w:rPr>
        <w:footnoteReference w:id="13"/>
      </w:r>
      <w:r w:rsidR="00786CD7" w:rsidRPr="00D11D19">
        <w:rPr>
          <w:sz w:val="26"/>
          <w:szCs w:val="26"/>
        </w:rPr>
        <w:t xml:space="preserve">  </w:t>
      </w:r>
      <w:r w:rsidR="000109AF" w:rsidRPr="00D11D19">
        <w:rPr>
          <w:sz w:val="26"/>
          <w:szCs w:val="26"/>
        </w:rPr>
        <w:t xml:space="preserve">However, CCPA states that </w:t>
      </w:r>
      <w:r w:rsidR="00191567" w:rsidRPr="00D11D19">
        <w:rPr>
          <w:sz w:val="26"/>
          <w:szCs w:val="26"/>
        </w:rPr>
        <w:t xml:space="preserve">it has modified </w:t>
      </w:r>
      <w:r w:rsidR="00AB733B" w:rsidRPr="00D11D19">
        <w:rPr>
          <w:sz w:val="26"/>
          <w:szCs w:val="26"/>
        </w:rPr>
        <w:t>t</w:t>
      </w:r>
      <w:r w:rsidR="000109AF" w:rsidRPr="00D11D19">
        <w:rPr>
          <w:sz w:val="26"/>
          <w:szCs w:val="26"/>
        </w:rPr>
        <w:t>he Price Stability</w:t>
      </w:r>
      <w:r w:rsidR="00AB733B" w:rsidRPr="00D11D19">
        <w:rPr>
          <w:sz w:val="26"/>
          <w:szCs w:val="26"/>
        </w:rPr>
        <w:t xml:space="preserve"> Plan</w:t>
      </w:r>
      <w:r w:rsidR="000109AF" w:rsidRPr="00D11D19">
        <w:rPr>
          <w:sz w:val="26"/>
          <w:szCs w:val="26"/>
        </w:rPr>
        <w:t xml:space="preserve"> </w:t>
      </w:r>
      <w:r w:rsidR="00AB733B" w:rsidRPr="00D11D19">
        <w:rPr>
          <w:sz w:val="26"/>
          <w:szCs w:val="26"/>
        </w:rPr>
        <w:t>“</w:t>
      </w:r>
      <w:r w:rsidR="000109AF" w:rsidRPr="00D11D19">
        <w:rPr>
          <w:sz w:val="26"/>
          <w:szCs w:val="26"/>
        </w:rPr>
        <w:t>in two ways to achieve uniformity</w:t>
      </w:r>
      <w:r w:rsidR="00AB733B" w:rsidRPr="00D11D19">
        <w:rPr>
          <w:sz w:val="26"/>
          <w:szCs w:val="26"/>
        </w:rPr>
        <w:t>”</w:t>
      </w:r>
      <w:r w:rsidR="00191567" w:rsidRPr="00D11D19">
        <w:rPr>
          <w:sz w:val="26"/>
          <w:szCs w:val="26"/>
        </w:rPr>
        <w:t xml:space="preserve"> between the three </w:t>
      </w:r>
      <w:r w:rsidR="00AB733B" w:rsidRPr="00D11D19">
        <w:rPr>
          <w:sz w:val="26"/>
          <w:szCs w:val="26"/>
        </w:rPr>
        <w:t>R</w:t>
      </w:r>
      <w:r w:rsidR="00191567" w:rsidRPr="00D11D19">
        <w:rPr>
          <w:sz w:val="26"/>
          <w:szCs w:val="26"/>
        </w:rPr>
        <w:t>LECs since they are now one merged company</w:t>
      </w:r>
      <w:r w:rsidR="000109AF" w:rsidRPr="00D11D19">
        <w:rPr>
          <w:sz w:val="26"/>
          <w:szCs w:val="26"/>
        </w:rPr>
        <w:t>.</w:t>
      </w:r>
      <w:r w:rsidR="00622618" w:rsidRPr="00D11D19">
        <w:rPr>
          <w:rStyle w:val="FootnoteReference"/>
          <w:sz w:val="26"/>
          <w:szCs w:val="26"/>
        </w:rPr>
        <w:footnoteReference w:id="14"/>
      </w:r>
      <w:r w:rsidR="000109AF" w:rsidRPr="00D11D19">
        <w:rPr>
          <w:sz w:val="26"/>
          <w:szCs w:val="26"/>
        </w:rPr>
        <w:t xml:space="preserve"> </w:t>
      </w:r>
    </w:p>
    <w:p w14:paraId="751141C2" w14:textId="77777777" w:rsidR="00786CD7" w:rsidRPr="00D11D19" w:rsidRDefault="00786CD7" w:rsidP="00810E72">
      <w:pPr>
        <w:spacing w:line="360" w:lineRule="auto"/>
        <w:rPr>
          <w:sz w:val="26"/>
          <w:szCs w:val="26"/>
        </w:rPr>
      </w:pPr>
    </w:p>
    <w:p w14:paraId="32149CCC" w14:textId="77777777" w:rsidR="000109AF" w:rsidRPr="00D11D19" w:rsidRDefault="000109AF" w:rsidP="002D57DD">
      <w:pPr>
        <w:spacing w:line="360" w:lineRule="auto"/>
        <w:ind w:firstLine="720"/>
        <w:rPr>
          <w:sz w:val="26"/>
          <w:szCs w:val="26"/>
        </w:rPr>
      </w:pPr>
      <w:r w:rsidRPr="00D11D19">
        <w:rPr>
          <w:sz w:val="26"/>
          <w:szCs w:val="26"/>
        </w:rPr>
        <w:t xml:space="preserve">First, whereas CCPA had previously been </w:t>
      </w:r>
      <w:r w:rsidR="00AB733B" w:rsidRPr="00D11D19">
        <w:rPr>
          <w:sz w:val="26"/>
          <w:szCs w:val="26"/>
        </w:rPr>
        <w:t xml:space="preserve">the </w:t>
      </w:r>
      <w:r w:rsidRPr="00D11D19">
        <w:rPr>
          <w:sz w:val="26"/>
          <w:szCs w:val="26"/>
        </w:rPr>
        <w:t>only one of the</w:t>
      </w:r>
      <w:r w:rsidR="00786CD7" w:rsidRPr="00D11D19">
        <w:rPr>
          <w:sz w:val="26"/>
          <w:szCs w:val="26"/>
        </w:rPr>
        <w:t xml:space="preserve"> three Chapter 30 ILECs </w:t>
      </w:r>
      <w:r w:rsidRPr="00D11D19">
        <w:rPr>
          <w:sz w:val="26"/>
          <w:szCs w:val="26"/>
        </w:rPr>
        <w:t>to commit to employ price-cap regulation, “[i]n the attached [Amended Chapter 30 Plan] all of the</w:t>
      </w:r>
      <w:r w:rsidR="00786CD7" w:rsidRPr="00D11D19">
        <w:rPr>
          <w:sz w:val="26"/>
          <w:szCs w:val="26"/>
        </w:rPr>
        <w:t xml:space="preserve"> </w:t>
      </w:r>
      <w:r w:rsidR="00AB733B" w:rsidRPr="00D11D19">
        <w:rPr>
          <w:sz w:val="26"/>
          <w:szCs w:val="26"/>
        </w:rPr>
        <w:t>[</w:t>
      </w:r>
      <w:r w:rsidR="00786CD7" w:rsidRPr="00D11D19">
        <w:rPr>
          <w:sz w:val="26"/>
          <w:szCs w:val="26"/>
        </w:rPr>
        <w:t>merged</w:t>
      </w:r>
      <w:r w:rsidR="00AB733B" w:rsidRPr="00D11D19">
        <w:rPr>
          <w:sz w:val="26"/>
          <w:szCs w:val="26"/>
        </w:rPr>
        <w:t>]</w:t>
      </w:r>
      <w:r w:rsidRPr="00D11D19">
        <w:rPr>
          <w:sz w:val="26"/>
          <w:szCs w:val="26"/>
        </w:rPr>
        <w:t xml:space="preserve"> companies have now irrevocably committed to price cap regulation.”</w:t>
      </w:r>
      <w:r w:rsidR="00622618" w:rsidRPr="00D11D19">
        <w:rPr>
          <w:rStyle w:val="FootnoteReference"/>
          <w:sz w:val="26"/>
          <w:szCs w:val="26"/>
        </w:rPr>
        <w:footnoteReference w:id="15"/>
      </w:r>
      <w:r w:rsidRPr="00D11D19">
        <w:rPr>
          <w:sz w:val="26"/>
          <w:szCs w:val="26"/>
        </w:rPr>
        <w:t xml:space="preserve"> Second, “the consolidated Plan also allows the merged company to use the revenue bank </w:t>
      </w:r>
      <w:r w:rsidR="00AB733B" w:rsidRPr="00D11D19">
        <w:rPr>
          <w:sz w:val="26"/>
          <w:szCs w:val="26"/>
        </w:rPr>
        <w:t>[</w:t>
      </w:r>
      <w:r w:rsidR="00786CD7" w:rsidRPr="00D11D19">
        <w:rPr>
          <w:sz w:val="26"/>
          <w:szCs w:val="26"/>
        </w:rPr>
        <w:t>result</w:t>
      </w:r>
      <w:r w:rsidR="00AB733B" w:rsidRPr="00D11D19">
        <w:rPr>
          <w:sz w:val="26"/>
          <w:szCs w:val="26"/>
        </w:rPr>
        <w:t>ing</w:t>
      </w:r>
      <w:r w:rsidR="00786CD7" w:rsidRPr="00D11D19">
        <w:rPr>
          <w:sz w:val="26"/>
          <w:szCs w:val="26"/>
        </w:rPr>
        <w:t xml:space="preserve"> from its annual PSP filings</w:t>
      </w:r>
      <w:r w:rsidR="00AB733B" w:rsidRPr="00D11D19">
        <w:rPr>
          <w:sz w:val="26"/>
          <w:szCs w:val="26"/>
        </w:rPr>
        <w:t>]</w:t>
      </w:r>
      <w:r w:rsidR="00786CD7" w:rsidRPr="00D11D19">
        <w:rPr>
          <w:sz w:val="26"/>
          <w:szCs w:val="26"/>
        </w:rPr>
        <w:t xml:space="preserve"> </w:t>
      </w:r>
      <w:r w:rsidRPr="00D11D19">
        <w:rPr>
          <w:sz w:val="26"/>
          <w:szCs w:val="26"/>
        </w:rPr>
        <w:t xml:space="preserve">to offset STAS changes,” which </w:t>
      </w:r>
      <w:r w:rsidRPr="00D11D19">
        <w:rPr>
          <w:sz w:val="26"/>
          <w:szCs w:val="26"/>
        </w:rPr>
        <w:lastRenderedPageBreak/>
        <w:t xml:space="preserve">CCPA avers is “a practice that was approved by the Commission in 2015 for </w:t>
      </w:r>
      <w:r w:rsidR="00AB733B" w:rsidRPr="00D11D19">
        <w:rPr>
          <w:sz w:val="26"/>
          <w:szCs w:val="26"/>
        </w:rPr>
        <w:t>[</w:t>
      </w:r>
      <w:r w:rsidR="00786CD7" w:rsidRPr="00D11D19">
        <w:rPr>
          <w:sz w:val="26"/>
          <w:szCs w:val="26"/>
        </w:rPr>
        <w:t>M&amp;</w:t>
      </w:r>
      <w:r w:rsidR="00AB733B" w:rsidRPr="00D11D19">
        <w:rPr>
          <w:sz w:val="26"/>
          <w:szCs w:val="26"/>
        </w:rPr>
        <w:t>S</w:t>
      </w:r>
      <w:r w:rsidR="00786CD7" w:rsidRPr="00D11D19">
        <w:rPr>
          <w:sz w:val="26"/>
          <w:szCs w:val="26"/>
        </w:rPr>
        <w:t>H</w:t>
      </w:r>
      <w:r w:rsidR="00AB733B" w:rsidRPr="00D11D19">
        <w:rPr>
          <w:sz w:val="26"/>
          <w:szCs w:val="26"/>
        </w:rPr>
        <w:t>]</w:t>
      </w:r>
      <w:r w:rsidR="00786CD7" w:rsidRPr="00D11D19">
        <w:rPr>
          <w:sz w:val="26"/>
          <w:szCs w:val="26"/>
        </w:rPr>
        <w:t xml:space="preserve"> </w:t>
      </w:r>
      <w:r w:rsidRPr="00D11D19">
        <w:rPr>
          <w:sz w:val="26"/>
          <w:szCs w:val="26"/>
        </w:rPr>
        <w:t xml:space="preserve">and </w:t>
      </w:r>
      <w:r w:rsidR="00AB733B" w:rsidRPr="00D11D19">
        <w:rPr>
          <w:sz w:val="26"/>
          <w:szCs w:val="26"/>
        </w:rPr>
        <w:t>[</w:t>
      </w:r>
      <w:r w:rsidR="00D11D19">
        <w:rPr>
          <w:sz w:val="26"/>
          <w:szCs w:val="26"/>
        </w:rPr>
        <w:t>BTC</w:t>
      </w:r>
      <w:r w:rsidR="00AB733B" w:rsidRPr="00D11D19">
        <w:rPr>
          <w:sz w:val="26"/>
          <w:szCs w:val="26"/>
        </w:rPr>
        <w:t>]</w:t>
      </w:r>
      <w:r w:rsidRPr="00D11D19">
        <w:rPr>
          <w:sz w:val="26"/>
          <w:szCs w:val="26"/>
        </w:rPr>
        <w:t>, as well as numerous other rural incumbent companies upon their request.”</w:t>
      </w:r>
      <w:r w:rsidR="00622618" w:rsidRPr="00D11D19">
        <w:rPr>
          <w:rStyle w:val="FootnoteReference"/>
          <w:sz w:val="26"/>
          <w:szCs w:val="26"/>
        </w:rPr>
        <w:footnoteReference w:id="16"/>
      </w:r>
      <w:r w:rsidRPr="00D11D19">
        <w:rPr>
          <w:sz w:val="26"/>
          <w:szCs w:val="26"/>
        </w:rPr>
        <w:t xml:space="preserve"> </w:t>
      </w:r>
    </w:p>
    <w:p w14:paraId="5BD0188C" w14:textId="77777777" w:rsidR="00191567" w:rsidRPr="00D11D19" w:rsidRDefault="00191567" w:rsidP="00810E72">
      <w:pPr>
        <w:spacing w:line="360" w:lineRule="auto"/>
        <w:rPr>
          <w:sz w:val="26"/>
          <w:szCs w:val="26"/>
        </w:rPr>
      </w:pPr>
    </w:p>
    <w:p w14:paraId="594A95EA" w14:textId="77777777" w:rsidR="000109AF" w:rsidRPr="00D11D19" w:rsidRDefault="000109AF" w:rsidP="00810E72">
      <w:pPr>
        <w:spacing w:line="360" w:lineRule="auto"/>
        <w:rPr>
          <w:sz w:val="26"/>
          <w:szCs w:val="26"/>
        </w:rPr>
      </w:pPr>
      <w:r w:rsidRPr="00D11D19">
        <w:rPr>
          <w:sz w:val="26"/>
          <w:szCs w:val="26"/>
        </w:rPr>
        <w:tab/>
        <w:t>CCPA further avers that the Amended Chapter 30 Plan incorporates Commission Staff’s request “that the Price Stability Plan be modified to consistently refer to a 60 day period for Commission consideration of annual rate changes.”</w:t>
      </w:r>
      <w:r w:rsidR="00622618" w:rsidRPr="00D11D19">
        <w:rPr>
          <w:rStyle w:val="FootnoteReference"/>
          <w:sz w:val="26"/>
          <w:szCs w:val="26"/>
        </w:rPr>
        <w:footnoteReference w:id="17"/>
      </w:r>
      <w:r w:rsidRPr="00D11D19">
        <w:rPr>
          <w:sz w:val="26"/>
          <w:szCs w:val="26"/>
        </w:rPr>
        <w:t xml:space="preserve"> </w:t>
      </w:r>
    </w:p>
    <w:p w14:paraId="1D6610CB" w14:textId="77777777" w:rsidR="00191567" w:rsidRPr="00D11D19" w:rsidRDefault="00191567" w:rsidP="00810E72">
      <w:pPr>
        <w:spacing w:line="360" w:lineRule="auto"/>
        <w:rPr>
          <w:sz w:val="26"/>
          <w:szCs w:val="26"/>
        </w:rPr>
      </w:pPr>
    </w:p>
    <w:p w14:paraId="6F9F0CF7" w14:textId="77777777" w:rsidR="003A266D" w:rsidRPr="00D11D19" w:rsidRDefault="000109AF" w:rsidP="00810E72">
      <w:pPr>
        <w:spacing w:line="360" w:lineRule="auto"/>
        <w:rPr>
          <w:sz w:val="26"/>
          <w:szCs w:val="26"/>
        </w:rPr>
      </w:pPr>
      <w:r w:rsidRPr="00D11D19">
        <w:rPr>
          <w:sz w:val="26"/>
          <w:szCs w:val="26"/>
        </w:rPr>
        <w:tab/>
        <w:t xml:space="preserve">Finally, CCPA states that </w:t>
      </w:r>
      <w:r w:rsidR="0096663E" w:rsidRPr="00D11D19">
        <w:rPr>
          <w:sz w:val="26"/>
          <w:szCs w:val="26"/>
        </w:rPr>
        <w:t>“the remaining matter concerns the calculations undertaken in the annual Price Stability Index/Service Price Index (PSI/SPI) Report,” which matter is not included in any Chapter 30 plan but nevertheless merits clarification.</w:t>
      </w:r>
      <w:r w:rsidR="004B1AAB" w:rsidRPr="00D11D19">
        <w:rPr>
          <w:rStyle w:val="FootnoteReference"/>
          <w:sz w:val="26"/>
          <w:szCs w:val="26"/>
        </w:rPr>
        <w:footnoteReference w:id="18"/>
      </w:r>
      <w:r w:rsidR="0096663E" w:rsidRPr="00D11D19">
        <w:rPr>
          <w:sz w:val="26"/>
          <w:szCs w:val="26"/>
        </w:rPr>
        <w:t xml:space="preserve"> CCPA states that “[i]n its PSI/SPI Report filing that follows approval of the merged Chapter 30 Plan, CCPA intends to employ an approach based on relative intrastate revenues to calculate a PSI and SPI starting point for the merged companies going forward.</w:t>
      </w:r>
      <w:r w:rsidR="004B1AAB" w:rsidRPr="00D11D19">
        <w:rPr>
          <w:sz w:val="26"/>
          <w:szCs w:val="26"/>
        </w:rPr>
        <w:t>”</w:t>
      </w:r>
      <w:r w:rsidR="004B1AAB" w:rsidRPr="00D11D19">
        <w:rPr>
          <w:rStyle w:val="FootnoteReference"/>
          <w:sz w:val="26"/>
          <w:szCs w:val="26"/>
        </w:rPr>
        <w:footnoteReference w:id="19"/>
      </w:r>
      <w:r w:rsidR="0096663E" w:rsidRPr="00D11D19">
        <w:rPr>
          <w:sz w:val="26"/>
          <w:szCs w:val="26"/>
        </w:rPr>
        <w:t xml:space="preserve"> </w:t>
      </w:r>
    </w:p>
    <w:p w14:paraId="43C15C09" w14:textId="77777777" w:rsidR="00191567" w:rsidRPr="00D11D19" w:rsidRDefault="00191567" w:rsidP="00810E72">
      <w:pPr>
        <w:spacing w:line="360" w:lineRule="auto"/>
        <w:rPr>
          <w:sz w:val="26"/>
          <w:szCs w:val="26"/>
        </w:rPr>
      </w:pPr>
    </w:p>
    <w:p w14:paraId="6BF4AC4B" w14:textId="77777777" w:rsidR="0096663E" w:rsidRPr="00D11D19" w:rsidRDefault="0096663E" w:rsidP="00810E72">
      <w:pPr>
        <w:spacing w:line="360" w:lineRule="auto"/>
        <w:rPr>
          <w:sz w:val="26"/>
          <w:szCs w:val="26"/>
        </w:rPr>
      </w:pPr>
      <w:r w:rsidRPr="00D11D19">
        <w:rPr>
          <w:sz w:val="26"/>
          <w:szCs w:val="26"/>
        </w:rPr>
        <w:tab/>
        <w:t>In summation, CCPA “requests that the Commission approve[ ] its merged Chapter 30 Plan and proposed modifications to the annual Price Stability Index/Service Price Index Report.</w:t>
      </w:r>
      <w:r w:rsidR="00622618" w:rsidRPr="00D11D19">
        <w:rPr>
          <w:rStyle w:val="FootnoteReference"/>
          <w:sz w:val="26"/>
          <w:szCs w:val="26"/>
        </w:rPr>
        <w:footnoteReference w:id="20"/>
      </w:r>
    </w:p>
    <w:p w14:paraId="2482B016" w14:textId="77777777" w:rsidR="00191567" w:rsidRPr="00D11D19" w:rsidRDefault="00191567" w:rsidP="0096663E">
      <w:pPr>
        <w:spacing w:line="360" w:lineRule="auto"/>
        <w:jc w:val="center"/>
        <w:rPr>
          <w:b/>
          <w:bCs/>
          <w:sz w:val="26"/>
          <w:szCs w:val="26"/>
        </w:rPr>
      </w:pPr>
    </w:p>
    <w:p w14:paraId="44A9F2C4" w14:textId="77777777" w:rsidR="0096663E" w:rsidRPr="00D11D19" w:rsidRDefault="0096663E" w:rsidP="0096663E">
      <w:pPr>
        <w:spacing w:line="360" w:lineRule="auto"/>
        <w:jc w:val="center"/>
        <w:rPr>
          <w:b/>
          <w:bCs/>
          <w:sz w:val="26"/>
          <w:szCs w:val="26"/>
        </w:rPr>
      </w:pPr>
      <w:r w:rsidRPr="00D11D19">
        <w:rPr>
          <w:b/>
          <w:bCs/>
          <w:sz w:val="26"/>
          <w:szCs w:val="26"/>
        </w:rPr>
        <w:t>Discussion</w:t>
      </w:r>
    </w:p>
    <w:p w14:paraId="46D31A93" w14:textId="77777777" w:rsidR="00622618" w:rsidRPr="00D11D19" w:rsidRDefault="001D22DD" w:rsidP="00734041">
      <w:pPr>
        <w:spacing w:line="360" w:lineRule="auto"/>
        <w:rPr>
          <w:sz w:val="26"/>
          <w:szCs w:val="26"/>
        </w:rPr>
      </w:pPr>
      <w:r w:rsidRPr="00D11D19">
        <w:rPr>
          <w:sz w:val="26"/>
          <w:szCs w:val="26"/>
        </w:rPr>
        <w:tab/>
      </w:r>
      <w:r w:rsidR="00622618" w:rsidRPr="00D11D19">
        <w:rPr>
          <w:sz w:val="26"/>
          <w:szCs w:val="26"/>
        </w:rPr>
        <w:t xml:space="preserve">While CCPA does not </w:t>
      </w:r>
      <w:r w:rsidR="00786CD7" w:rsidRPr="00D11D19">
        <w:rPr>
          <w:sz w:val="26"/>
          <w:szCs w:val="26"/>
        </w:rPr>
        <w:t xml:space="preserve">specifically cite to </w:t>
      </w:r>
      <w:r w:rsidR="00622618" w:rsidRPr="00D11D19">
        <w:rPr>
          <w:sz w:val="26"/>
          <w:szCs w:val="26"/>
        </w:rPr>
        <w:t xml:space="preserve">a statutory basis for its requested </w:t>
      </w:r>
      <w:r w:rsidR="009557B8" w:rsidRPr="00D11D19">
        <w:rPr>
          <w:sz w:val="26"/>
          <w:szCs w:val="26"/>
        </w:rPr>
        <w:t xml:space="preserve">relief, which essentially is a request for </w:t>
      </w:r>
      <w:r w:rsidR="00622618" w:rsidRPr="00D11D19">
        <w:rPr>
          <w:sz w:val="26"/>
          <w:szCs w:val="26"/>
        </w:rPr>
        <w:t xml:space="preserve">Commission approval </w:t>
      </w:r>
      <w:r w:rsidR="009557B8" w:rsidRPr="00D11D19">
        <w:rPr>
          <w:sz w:val="26"/>
          <w:szCs w:val="26"/>
        </w:rPr>
        <w:t xml:space="preserve">to </w:t>
      </w:r>
      <w:r w:rsidR="005B38CF" w:rsidRPr="00D11D19">
        <w:rPr>
          <w:sz w:val="26"/>
          <w:szCs w:val="26"/>
        </w:rPr>
        <w:t xml:space="preserve">makes changes to </w:t>
      </w:r>
      <w:r w:rsidR="009557B8" w:rsidRPr="00D11D19">
        <w:rPr>
          <w:sz w:val="26"/>
          <w:szCs w:val="26"/>
        </w:rPr>
        <w:t xml:space="preserve">its Amended </w:t>
      </w:r>
      <w:r w:rsidR="00622618" w:rsidRPr="00D11D19">
        <w:rPr>
          <w:sz w:val="26"/>
          <w:szCs w:val="26"/>
        </w:rPr>
        <w:t xml:space="preserve">Chapter 30 Plan, we </w:t>
      </w:r>
      <w:r w:rsidR="00786CD7" w:rsidRPr="00D11D19">
        <w:rPr>
          <w:sz w:val="26"/>
          <w:szCs w:val="26"/>
        </w:rPr>
        <w:t xml:space="preserve">deem CCPA’s </w:t>
      </w:r>
      <w:r w:rsidR="00622618" w:rsidRPr="00D11D19">
        <w:rPr>
          <w:sz w:val="26"/>
          <w:szCs w:val="26"/>
        </w:rPr>
        <w:t>May 25</w:t>
      </w:r>
      <w:r w:rsidR="00786CD7" w:rsidRPr="00D11D19">
        <w:rPr>
          <w:sz w:val="26"/>
          <w:szCs w:val="26"/>
          <w:vertAlign w:val="superscript"/>
        </w:rPr>
        <w:t>th</w:t>
      </w:r>
      <w:r w:rsidR="00786CD7" w:rsidRPr="00D11D19">
        <w:rPr>
          <w:sz w:val="26"/>
          <w:szCs w:val="26"/>
        </w:rPr>
        <w:t xml:space="preserve"> </w:t>
      </w:r>
      <w:r w:rsidR="00622618" w:rsidRPr="00D11D19">
        <w:rPr>
          <w:sz w:val="26"/>
          <w:szCs w:val="26"/>
        </w:rPr>
        <w:t xml:space="preserve">Letter as a request </w:t>
      </w:r>
      <w:r w:rsidR="00786CD7" w:rsidRPr="00D11D19">
        <w:rPr>
          <w:sz w:val="26"/>
          <w:szCs w:val="26"/>
        </w:rPr>
        <w:t xml:space="preserve">pursuant to </w:t>
      </w:r>
      <w:r w:rsidR="009557B8" w:rsidRPr="00D11D19">
        <w:rPr>
          <w:sz w:val="26"/>
          <w:szCs w:val="26"/>
        </w:rPr>
        <w:t xml:space="preserve">Section 3013(b) of the Code, </w:t>
      </w:r>
      <w:r w:rsidR="00786CD7" w:rsidRPr="00D11D19">
        <w:rPr>
          <w:sz w:val="26"/>
          <w:szCs w:val="26"/>
        </w:rPr>
        <w:t>66 Pa.C.S. § 3013(b)</w:t>
      </w:r>
      <w:r w:rsidR="009557B8" w:rsidRPr="00D11D19">
        <w:rPr>
          <w:sz w:val="26"/>
          <w:szCs w:val="26"/>
        </w:rPr>
        <w:t>.</w:t>
      </w:r>
      <w:r w:rsidR="009557B8" w:rsidRPr="00D11D19">
        <w:rPr>
          <w:rStyle w:val="FootnoteReference"/>
          <w:sz w:val="26"/>
          <w:szCs w:val="26"/>
        </w:rPr>
        <w:footnoteReference w:id="21"/>
      </w:r>
      <w:r w:rsidR="009557B8" w:rsidRPr="00D11D19">
        <w:rPr>
          <w:sz w:val="26"/>
          <w:szCs w:val="26"/>
        </w:rPr>
        <w:t xml:space="preserve">  This statutory provision </w:t>
      </w:r>
      <w:r w:rsidR="00786CD7" w:rsidRPr="00D11D19">
        <w:rPr>
          <w:sz w:val="26"/>
          <w:szCs w:val="26"/>
        </w:rPr>
        <w:t xml:space="preserve">allows </w:t>
      </w:r>
      <w:r w:rsidR="00622618" w:rsidRPr="00D11D19">
        <w:rPr>
          <w:sz w:val="26"/>
          <w:szCs w:val="26"/>
        </w:rPr>
        <w:t xml:space="preserve">for </w:t>
      </w:r>
      <w:r w:rsidR="00786CD7" w:rsidRPr="00D11D19">
        <w:rPr>
          <w:sz w:val="26"/>
          <w:szCs w:val="26"/>
        </w:rPr>
        <w:t>both</w:t>
      </w:r>
      <w:r w:rsidR="009557B8" w:rsidRPr="00D11D19">
        <w:rPr>
          <w:sz w:val="26"/>
          <w:szCs w:val="26"/>
        </w:rPr>
        <w:t xml:space="preserve"> a</w:t>
      </w:r>
      <w:r w:rsidR="00786CD7" w:rsidRPr="00D11D19">
        <w:rPr>
          <w:sz w:val="26"/>
          <w:szCs w:val="26"/>
        </w:rPr>
        <w:t xml:space="preserve"> </w:t>
      </w:r>
      <w:r w:rsidR="00786CD7" w:rsidRPr="00D11D19">
        <w:rPr>
          <w:sz w:val="26"/>
          <w:szCs w:val="26"/>
        </w:rPr>
        <w:lastRenderedPageBreak/>
        <w:t xml:space="preserve">Chapter 30 ILEC and </w:t>
      </w:r>
      <w:r w:rsidR="00622618" w:rsidRPr="00D11D19">
        <w:rPr>
          <w:sz w:val="26"/>
          <w:szCs w:val="26"/>
        </w:rPr>
        <w:t>the Commission</w:t>
      </w:r>
      <w:r w:rsidR="009557B8" w:rsidRPr="00D11D19">
        <w:rPr>
          <w:sz w:val="26"/>
          <w:szCs w:val="26"/>
        </w:rPr>
        <w:t xml:space="preserve"> </w:t>
      </w:r>
      <w:r w:rsidR="00786CD7" w:rsidRPr="00D11D19">
        <w:rPr>
          <w:sz w:val="26"/>
          <w:szCs w:val="26"/>
        </w:rPr>
        <w:t xml:space="preserve">to reach an express </w:t>
      </w:r>
      <w:r w:rsidR="00622618" w:rsidRPr="00D11D19">
        <w:rPr>
          <w:sz w:val="26"/>
          <w:szCs w:val="26"/>
        </w:rPr>
        <w:t>agreement to</w:t>
      </w:r>
      <w:r w:rsidR="009557B8" w:rsidRPr="00D11D19">
        <w:rPr>
          <w:sz w:val="26"/>
          <w:szCs w:val="26"/>
        </w:rPr>
        <w:t xml:space="preserve"> make a </w:t>
      </w:r>
      <w:r w:rsidR="00622618" w:rsidRPr="00D11D19">
        <w:rPr>
          <w:sz w:val="26"/>
          <w:szCs w:val="26"/>
        </w:rPr>
        <w:t xml:space="preserve">change </w:t>
      </w:r>
      <w:r w:rsidR="009557B8" w:rsidRPr="00D11D19">
        <w:rPr>
          <w:sz w:val="26"/>
          <w:szCs w:val="26"/>
        </w:rPr>
        <w:t xml:space="preserve">a </w:t>
      </w:r>
      <w:r w:rsidR="005431BE" w:rsidRPr="00D11D19">
        <w:rPr>
          <w:sz w:val="26"/>
          <w:szCs w:val="26"/>
        </w:rPr>
        <w:t xml:space="preserve">filed </w:t>
      </w:r>
      <w:r w:rsidR="00786CD7" w:rsidRPr="00D11D19">
        <w:rPr>
          <w:sz w:val="26"/>
          <w:szCs w:val="26"/>
        </w:rPr>
        <w:t>Chapter 30 Plan.</w:t>
      </w:r>
      <w:r w:rsidR="009557B8" w:rsidRPr="00D11D19">
        <w:rPr>
          <w:sz w:val="26"/>
          <w:szCs w:val="26"/>
        </w:rPr>
        <w:t xml:space="preserve">  </w:t>
      </w:r>
      <w:r w:rsidR="00786CD7" w:rsidRPr="00D11D19">
        <w:rPr>
          <w:sz w:val="26"/>
          <w:szCs w:val="26"/>
        </w:rPr>
        <w:t xml:space="preserve">Thus, </w:t>
      </w:r>
      <w:r w:rsidR="00D22BE0" w:rsidRPr="00D11D19">
        <w:rPr>
          <w:sz w:val="26"/>
          <w:szCs w:val="26"/>
        </w:rPr>
        <w:t>by this order,</w:t>
      </w:r>
      <w:r w:rsidR="00622618" w:rsidRPr="00D11D19">
        <w:rPr>
          <w:sz w:val="26"/>
          <w:szCs w:val="26"/>
        </w:rPr>
        <w:t xml:space="preserve"> we</w:t>
      </w:r>
      <w:r w:rsidR="00D22BE0" w:rsidRPr="00D11D19">
        <w:rPr>
          <w:sz w:val="26"/>
          <w:szCs w:val="26"/>
        </w:rPr>
        <w:t xml:space="preserve"> </w:t>
      </w:r>
      <w:r w:rsidR="005431BE" w:rsidRPr="00D11D19">
        <w:rPr>
          <w:sz w:val="26"/>
          <w:szCs w:val="26"/>
        </w:rPr>
        <w:t xml:space="preserve">grant CCPA’s request and </w:t>
      </w:r>
      <w:r w:rsidR="00D22BE0" w:rsidRPr="00D11D19">
        <w:rPr>
          <w:sz w:val="26"/>
          <w:szCs w:val="26"/>
        </w:rPr>
        <w:t>expressly</w:t>
      </w:r>
      <w:r w:rsidR="00622618" w:rsidRPr="00D11D19">
        <w:rPr>
          <w:sz w:val="26"/>
          <w:szCs w:val="26"/>
        </w:rPr>
        <w:t xml:space="preserve"> agree to CCPA’s proposed changes</w:t>
      </w:r>
      <w:r w:rsidR="00191567" w:rsidRPr="00D11D19">
        <w:rPr>
          <w:sz w:val="26"/>
          <w:szCs w:val="26"/>
        </w:rPr>
        <w:t xml:space="preserve"> </w:t>
      </w:r>
      <w:r w:rsidR="005431BE" w:rsidRPr="00D11D19">
        <w:rPr>
          <w:sz w:val="26"/>
          <w:szCs w:val="26"/>
        </w:rPr>
        <w:t xml:space="preserve">to its previously-approved Amended Chapter 30 Plan </w:t>
      </w:r>
      <w:r w:rsidR="009B2CAC" w:rsidRPr="00D11D19">
        <w:rPr>
          <w:sz w:val="26"/>
          <w:szCs w:val="26"/>
        </w:rPr>
        <w:t xml:space="preserve">as </w:t>
      </w:r>
      <w:r w:rsidR="00191567" w:rsidRPr="00D11D19">
        <w:rPr>
          <w:sz w:val="26"/>
          <w:szCs w:val="26"/>
        </w:rPr>
        <w:t xml:space="preserve">reflected in </w:t>
      </w:r>
      <w:r w:rsidR="005431BE" w:rsidRPr="00D11D19">
        <w:rPr>
          <w:sz w:val="26"/>
          <w:szCs w:val="26"/>
        </w:rPr>
        <w:t xml:space="preserve">this </w:t>
      </w:r>
      <w:r w:rsidR="00786CD7" w:rsidRPr="00D11D19">
        <w:rPr>
          <w:sz w:val="26"/>
          <w:szCs w:val="26"/>
        </w:rPr>
        <w:t xml:space="preserve">Second </w:t>
      </w:r>
      <w:r w:rsidR="00191567" w:rsidRPr="00D11D19">
        <w:rPr>
          <w:sz w:val="26"/>
          <w:szCs w:val="26"/>
        </w:rPr>
        <w:t>Amended Chapter 30 Pla</w:t>
      </w:r>
      <w:r w:rsidR="00786CD7" w:rsidRPr="00D11D19">
        <w:rPr>
          <w:sz w:val="26"/>
          <w:szCs w:val="26"/>
        </w:rPr>
        <w:t xml:space="preserve">n </w:t>
      </w:r>
      <w:r w:rsidR="00D22BE0" w:rsidRPr="00D11D19">
        <w:rPr>
          <w:sz w:val="26"/>
          <w:szCs w:val="26"/>
        </w:rPr>
        <w:t>for the reasons</w:t>
      </w:r>
      <w:r w:rsidR="00622618" w:rsidRPr="00D11D19">
        <w:rPr>
          <w:sz w:val="26"/>
          <w:szCs w:val="26"/>
        </w:rPr>
        <w:t xml:space="preserve"> set forth below.</w:t>
      </w:r>
    </w:p>
    <w:p w14:paraId="2BAF5D49" w14:textId="77777777" w:rsidR="005431BE" w:rsidRPr="00D11D19" w:rsidRDefault="005431BE" w:rsidP="00D22BE0">
      <w:pPr>
        <w:spacing w:line="360" w:lineRule="auto"/>
        <w:ind w:firstLine="720"/>
        <w:rPr>
          <w:sz w:val="26"/>
          <w:szCs w:val="26"/>
        </w:rPr>
      </w:pPr>
    </w:p>
    <w:p w14:paraId="019A71DF" w14:textId="77777777" w:rsidR="00734041" w:rsidRPr="00D11D19" w:rsidRDefault="003B6C04" w:rsidP="00D22BE0">
      <w:pPr>
        <w:spacing w:line="360" w:lineRule="auto"/>
        <w:ind w:firstLine="720"/>
        <w:rPr>
          <w:sz w:val="26"/>
          <w:szCs w:val="26"/>
        </w:rPr>
      </w:pPr>
      <w:r w:rsidRPr="00D11D19">
        <w:rPr>
          <w:sz w:val="26"/>
          <w:szCs w:val="26"/>
        </w:rPr>
        <w:t>We acknowledge that t</w:t>
      </w:r>
      <w:r w:rsidR="001D22DD" w:rsidRPr="00D11D19">
        <w:rPr>
          <w:sz w:val="26"/>
          <w:szCs w:val="26"/>
        </w:rPr>
        <w:t xml:space="preserve">o fully effectuate the </w:t>
      </w:r>
      <w:r w:rsidR="00734041" w:rsidRPr="00D11D19">
        <w:rPr>
          <w:sz w:val="26"/>
          <w:szCs w:val="26"/>
        </w:rPr>
        <w:t xml:space="preserve">unification </w:t>
      </w:r>
      <w:r w:rsidRPr="00D11D19">
        <w:rPr>
          <w:sz w:val="26"/>
          <w:szCs w:val="26"/>
        </w:rPr>
        <w:t xml:space="preserve">and consolidation </w:t>
      </w:r>
      <w:r w:rsidR="001D22DD" w:rsidRPr="00D11D19">
        <w:rPr>
          <w:sz w:val="26"/>
          <w:szCs w:val="26"/>
        </w:rPr>
        <w:t xml:space="preserve">of CCPA, M&amp;SH, and </w:t>
      </w:r>
      <w:r w:rsidR="00D11D19">
        <w:rPr>
          <w:sz w:val="26"/>
          <w:szCs w:val="26"/>
        </w:rPr>
        <w:t>BTC</w:t>
      </w:r>
      <w:r w:rsidR="001D22DD" w:rsidRPr="00D11D19">
        <w:rPr>
          <w:sz w:val="26"/>
          <w:szCs w:val="26"/>
        </w:rPr>
        <w:t xml:space="preserve"> into a single ILEC entity</w:t>
      </w:r>
      <w:r w:rsidR="00734041" w:rsidRPr="00D11D19">
        <w:rPr>
          <w:sz w:val="26"/>
          <w:szCs w:val="26"/>
        </w:rPr>
        <w:t xml:space="preserve"> operating under a single Chapter 30 Plan</w:t>
      </w:r>
      <w:r w:rsidRPr="00D11D19">
        <w:rPr>
          <w:sz w:val="26"/>
          <w:szCs w:val="26"/>
        </w:rPr>
        <w:t>,</w:t>
      </w:r>
      <w:r w:rsidR="00734041" w:rsidRPr="00D11D19">
        <w:rPr>
          <w:sz w:val="26"/>
          <w:szCs w:val="26"/>
        </w:rPr>
        <w:t xml:space="preserve"> </w:t>
      </w:r>
      <w:r w:rsidR="00734041" w:rsidRPr="00D11D19">
        <w:rPr>
          <w:i/>
          <w:iCs/>
          <w:sz w:val="26"/>
          <w:szCs w:val="26"/>
        </w:rPr>
        <w:t>inter alia</w:t>
      </w:r>
      <w:r w:rsidR="00734041" w:rsidRPr="00D11D19">
        <w:rPr>
          <w:sz w:val="26"/>
          <w:szCs w:val="26"/>
        </w:rPr>
        <w:t xml:space="preserve">, certain Price Stability Mechanism (PSM) components from each individual company </w:t>
      </w:r>
      <w:r w:rsidR="00191567" w:rsidRPr="00D11D19">
        <w:rPr>
          <w:sz w:val="26"/>
          <w:szCs w:val="26"/>
        </w:rPr>
        <w:t xml:space="preserve">must </w:t>
      </w:r>
      <w:r w:rsidR="00734041" w:rsidRPr="00D11D19">
        <w:rPr>
          <w:sz w:val="26"/>
          <w:szCs w:val="26"/>
        </w:rPr>
        <w:t>be combined in a logical, sound, and reasonable manner.  For the Price Stability Index (PSI) and Service Price Index (SPI) PSM components</w:t>
      </w:r>
      <w:r w:rsidRPr="00D11D19">
        <w:rPr>
          <w:sz w:val="26"/>
          <w:szCs w:val="26"/>
        </w:rPr>
        <w:t xml:space="preserve"> of the   PSP set forth in its Second Amended Chapter 30 Plan</w:t>
      </w:r>
      <w:r w:rsidR="00734041" w:rsidRPr="00D11D19">
        <w:rPr>
          <w:sz w:val="26"/>
          <w:szCs w:val="26"/>
        </w:rPr>
        <w:t>, CCPA proposes utilizing a weighted-average methodology using each individual company’s 2021 intrastate noncompetitive revenues as the weighing factor.</w:t>
      </w:r>
      <w:r w:rsidR="00D22BE0" w:rsidRPr="00D11D19">
        <w:rPr>
          <w:rStyle w:val="FootnoteReference"/>
          <w:sz w:val="26"/>
          <w:szCs w:val="26"/>
        </w:rPr>
        <w:footnoteReference w:id="22"/>
      </w:r>
      <w:r w:rsidR="00734041" w:rsidRPr="00D11D19">
        <w:rPr>
          <w:sz w:val="26"/>
          <w:szCs w:val="26"/>
        </w:rPr>
        <w:t xml:space="preserve">  The revenue-based weighing factor will be applied to each individual company’s 2021 PSI and 2021 SPI to develop a single weighted average PSI and SPI for the combined company.</w:t>
      </w:r>
      <w:r w:rsidR="00D22BE0" w:rsidRPr="00D11D19">
        <w:rPr>
          <w:rStyle w:val="FootnoteReference"/>
          <w:sz w:val="26"/>
          <w:szCs w:val="26"/>
        </w:rPr>
        <w:footnoteReference w:id="23"/>
      </w:r>
      <w:r w:rsidR="00734041" w:rsidRPr="00D11D19">
        <w:rPr>
          <w:sz w:val="26"/>
          <w:szCs w:val="26"/>
        </w:rPr>
        <w:t xml:space="preserve">  This one</w:t>
      </w:r>
      <w:r w:rsidR="00734041" w:rsidRPr="00D11D19">
        <w:rPr>
          <w:sz w:val="26"/>
          <w:szCs w:val="26"/>
        </w:rPr>
        <w:noBreakHyphen/>
        <w:t xml:space="preserve">time calculation will establish the new, merged PSI and SPI for the combined company which will be utilized </w:t>
      </w:r>
      <w:r w:rsidR="008F4981" w:rsidRPr="00D11D19">
        <w:rPr>
          <w:sz w:val="26"/>
          <w:szCs w:val="26"/>
        </w:rPr>
        <w:t>starting with</w:t>
      </w:r>
      <w:r w:rsidR="00734041" w:rsidRPr="00D11D19">
        <w:rPr>
          <w:sz w:val="26"/>
          <w:szCs w:val="26"/>
        </w:rPr>
        <w:t xml:space="preserve"> its 2022 PSI/SPI Report filing. </w:t>
      </w:r>
      <w:r w:rsidR="00D22BE0" w:rsidRPr="00D11D19">
        <w:rPr>
          <w:rStyle w:val="FootnoteReference"/>
          <w:sz w:val="26"/>
          <w:szCs w:val="26"/>
        </w:rPr>
        <w:footnoteReference w:id="24"/>
      </w:r>
    </w:p>
    <w:p w14:paraId="1D0F1BE8" w14:textId="77777777" w:rsidR="008F4981" w:rsidRPr="00D11D19" w:rsidRDefault="008F4981" w:rsidP="00D22BE0">
      <w:pPr>
        <w:spacing w:line="360" w:lineRule="auto"/>
        <w:ind w:firstLine="720"/>
        <w:rPr>
          <w:sz w:val="26"/>
          <w:szCs w:val="26"/>
        </w:rPr>
      </w:pPr>
    </w:p>
    <w:p w14:paraId="67AE46FB" w14:textId="77777777" w:rsidR="008F4981" w:rsidRPr="00D11D19" w:rsidRDefault="008F4981" w:rsidP="00D22BE0">
      <w:pPr>
        <w:spacing w:line="360" w:lineRule="auto"/>
        <w:ind w:firstLine="720"/>
        <w:rPr>
          <w:sz w:val="26"/>
          <w:szCs w:val="26"/>
        </w:rPr>
      </w:pPr>
      <w:r w:rsidRPr="00D11D19">
        <w:rPr>
          <w:sz w:val="26"/>
          <w:szCs w:val="26"/>
        </w:rPr>
        <w:t xml:space="preserve">In addition, CCPA avers that it will consistently utilize the GDP-PI figure published for the third quarter when calculating the annual change in the PSI.  Previously, CCPA and </w:t>
      </w:r>
      <w:r w:rsidR="00D11D19">
        <w:rPr>
          <w:sz w:val="26"/>
          <w:szCs w:val="26"/>
        </w:rPr>
        <w:t>BTC</w:t>
      </w:r>
      <w:r w:rsidRPr="00D11D19">
        <w:rPr>
          <w:sz w:val="26"/>
          <w:szCs w:val="26"/>
        </w:rPr>
        <w:t xml:space="preserve"> had utilized the third quarter for this calculation while M&amp;SH utilized the fourth quarter.  </w:t>
      </w:r>
    </w:p>
    <w:p w14:paraId="23E5FD44" w14:textId="77777777" w:rsidR="00734041" w:rsidRPr="00D11D19" w:rsidRDefault="00734041" w:rsidP="00734041">
      <w:pPr>
        <w:spacing w:line="360" w:lineRule="auto"/>
        <w:rPr>
          <w:sz w:val="26"/>
          <w:szCs w:val="26"/>
        </w:rPr>
      </w:pPr>
    </w:p>
    <w:p w14:paraId="4931CF0D" w14:textId="77777777" w:rsidR="00734041" w:rsidRPr="00D11D19" w:rsidRDefault="00734041" w:rsidP="00734041">
      <w:pPr>
        <w:spacing w:line="360" w:lineRule="auto"/>
        <w:rPr>
          <w:sz w:val="26"/>
          <w:szCs w:val="26"/>
        </w:rPr>
      </w:pPr>
      <w:r w:rsidRPr="00D11D19">
        <w:rPr>
          <w:sz w:val="26"/>
          <w:szCs w:val="26"/>
        </w:rPr>
        <w:lastRenderedPageBreak/>
        <w:tab/>
        <w:t xml:space="preserve">As for the combined company’s banked revenues, CCPA proposes to add each individual company’s banked revenue amounts together, preserving the year in which they were earned to maintain the correct expiration </w:t>
      </w:r>
      <w:r w:rsidR="008F4981" w:rsidRPr="00D11D19">
        <w:rPr>
          <w:sz w:val="26"/>
          <w:szCs w:val="26"/>
        </w:rPr>
        <w:t>interval</w:t>
      </w:r>
      <w:r w:rsidRPr="00D11D19">
        <w:rPr>
          <w:sz w:val="26"/>
          <w:szCs w:val="26"/>
        </w:rPr>
        <w:t>s.</w:t>
      </w:r>
      <w:r w:rsidR="00D22BE0" w:rsidRPr="00D11D19">
        <w:rPr>
          <w:rStyle w:val="FootnoteReference"/>
          <w:sz w:val="26"/>
          <w:szCs w:val="26"/>
        </w:rPr>
        <w:footnoteReference w:id="25"/>
      </w:r>
    </w:p>
    <w:p w14:paraId="16E10C27" w14:textId="77777777" w:rsidR="00734041" w:rsidRPr="00D11D19" w:rsidRDefault="00734041" w:rsidP="00734041">
      <w:pPr>
        <w:spacing w:line="360" w:lineRule="auto"/>
        <w:rPr>
          <w:sz w:val="26"/>
          <w:szCs w:val="26"/>
        </w:rPr>
      </w:pPr>
    </w:p>
    <w:p w14:paraId="529BF342" w14:textId="77777777" w:rsidR="00734041" w:rsidRPr="00D11D19" w:rsidRDefault="00734041" w:rsidP="00734041">
      <w:pPr>
        <w:spacing w:line="360" w:lineRule="auto"/>
        <w:rPr>
          <w:sz w:val="26"/>
          <w:szCs w:val="26"/>
        </w:rPr>
      </w:pPr>
      <w:r w:rsidRPr="00D11D19">
        <w:rPr>
          <w:sz w:val="26"/>
          <w:szCs w:val="26"/>
        </w:rPr>
        <w:tab/>
        <w:t xml:space="preserve">We find CCPA’s proposals to be reasonable and instruct CCPA to utilize the methodologies detailed in its </w:t>
      </w:r>
      <w:r w:rsidR="00677814" w:rsidRPr="00D11D19">
        <w:rPr>
          <w:sz w:val="26"/>
          <w:szCs w:val="26"/>
        </w:rPr>
        <w:t>May 25 Letter-Petition</w:t>
      </w:r>
      <w:r w:rsidRPr="00D11D19">
        <w:rPr>
          <w:sz w:val="26"/>
          <w:szCs w:val="26"/>
        </w:rPr>
        <w:t xml:space="preserve"> when it makes its 2022 PSI/SPI Report filing</w:t>
      </w:r>
      <w:r w:rsidR="003B6C04" w:rsidRPr="00D11D19">
        <w:rPr>
          <w:sz w:val="26"/>
          <w:szCs w:val="26"/>
        </w:rPr>
        <w:t xml:space="preserve">, which would be its first PSP filing as </w:t>
      </w:r>
      <w:r w:rsidR="009557B8" w:rsidRPr="00D11D19">
        <w:rPr>
          <w:sz w:val="26"/>
          <w:szCs w:val="26"/>
        </w:rPr>
        <w:t>a</w:t>
      </w:r>
      <w:r w:rsidR="003B6C04" w:rsidRPr="00D11D19">
        <w:rPr>
          <w:sz w:val="26"/>
          <w:szCs w:val="26"/>
        </w:rPr>
        <w:t xml:space="preserve"> unified company under its Second Amended Chapter 30 Plan</w:t>
      </w:r>
      <w:r w:rsidRPr="00D11D19">
        <w:rPr>
          <w:sz w:val="26"/>
          <w:szCs w:val="26"/>
        </w:rPr>
        <w:t xml:space="preserve">.   </w:t>
      </w:r>
    </w:p>
    <w:p w14:paraId="43D00291" w14:textId="77777777" w:rsidR="009B2CAC" w:rsidRPr="00D11D19" w:rsidRDefault="009B2CAC" w:rsidP="00734041">
      <w:pPr>
        <w:spacing w:line="360" w:lineRule="auto"/>
        <w:rPr>
          <w:sz w:val="26"/>
          <w:szCs w:val="26"/>
        </w:rPr>
      </w:pPr>
    </w:p>
    <w:p w14:paraId="1DFF5B7B" w14:textId="77777777" w:rsidR="009B2CAC" w:rsidRPr="00D11D19" w:rsidRDefault="006A04B0" w:rsidP="002D57DD">
      <w:pPr>
        <w:spacing w:line="360" w:lineRule="auto"/>
        <w:ind w:firstLine="720"/>
        <w:rPr>
          <w:sz w:val="26"/>
          <w:szCs w:val="26"/>
        </w:rPr>
      </w:pPr>
      <w:r w:rsidRPr="00D11D19">
        <w:rPr>
          <w:sz w:val="26"/>
          <w:szCs w:val="26"/>
        </w:rPr>
        <w:t xml:space="preserve">Additionally, </w:t>
      </w:r>
      <w:r w:rsidR="009557B8" w:rsidRPr="00D11D19">
        <w:rPr>
          <w:sz w:val="26"/>
          <w:szCs w:val="26"/>
        </w:rPr>
        <w:t xml:space="preserve">CCPA states that it is not attempting or proposing any changes to the </w:t>
      </w:r>
      <w:r w:rsidR="00677814" w:rsidRPr="00D11D19">
        <w:rPr>
          <w:sz w:val="26"/>
          <w:szCs w:val="26"/>
        </w:rPr>
        <w:t xml:space="preserve">Network Modernization or </w:t>
      </w:r>
      <w:r w:rsidR="009557B8" w:rsidRPr="00D11D19">
        <w:rPr>
          <w:sz w:val="26"/>
          <w:szCs w:val="26"/>
        </w:rPr>
        <w:t>Competitive Services Deregulation</w:t>
      </w:r>
      <w:r w:rsidR="0097299C" w:rsidRPr="00D11D19">
        <w:rPr>
          <w:sz w:val="26"/>
          <w:szCs w:val="26"/>
        </w:rPr>
        <w:t xml:space="preserve"> </w:t>
      </w:r>
      <w:r w:rsidR="00677814" w:rsidRPr="00D11D19">
        <w:rPr>
          <w:sz w:val="26"/>
          <w:szCs w:val="26"/>
        </w:rPr>
        <w:t xml:space="preserve">portions of </w:t>
      </w:r>
      <w:r w:rsidR="00324A75" w:rsidRPr="00D11D19">
        <w:rPr>
          <w:sz w:val="26"/>
          <w:szCs w:val="26"/>
        </w:rPr>
        <w:t>its existing</w:t>
      </w:r>
      <w:r w:rsidR="00677814" w:rsidRPr="00D11D19">
        <w:rPr>
          <w:sz w:val="26"/>
          <w:szCs w:val="26"/>
        </w:rPr>
        <w:t xml:space="preserve"> </w:t>
      </w:r>
      <w:r w:rsidR="0097299C" w:rsidRPr="00D11D19">
        <w:rPr>
          <w:sz w:val="26"/>
          <w:szCs w:val="26"/>
        </w:rPr>
        <w:t>plan in this filing.</w:t>
      </w:r>
      <w:r w:rsidR="009557B8" w:rsidRPr="00D11D19">
        <w:rPr>
          <w:sz w:val="26"/>
          <w:szCs w:val="26"/>
        </w:rPr>
        <w:t xml:space="preserve"> </w:t>
      </w:r>
      <w:r w:rsidR="0097299C" w:rsidRPr="00D11D19">
        <w:rPr>
          <w:sz w:val="26"/>
          <w:szCs w:val="26"/>
        </w:rPr>
        <w:t xml:space="preserve">  </w:t>
      </w:r>
      <w:r w:rsidR="008815FC" w:rsidRPr="00D11D19">
        <w:rPr>
          <w:sz w:val="26"/>
          <w:szCs w:val="26"/>
        </w:rPr>
        <w:t>We note that CCPA,  and M&amp;SH have satisfied their broadband deployment commitments as mandated under their individual Amended Chapter 30 Plans, which required them to accelerate broadband, high-speed Internet network availability using any technology at the minimum download speed of 1.544 Mbps and upload speed of 128 Kbps in a balanced manner throughout rural, suburban, and urban areas.</w:t>
      </w:r>
      <w:r w:rsidR="008815FC" w:rsidRPr="00D11D19">
        <w:rPr>
          <w:rStyle w:val="FootnoteReference"/>
          <w:sz w:val="26"/>
          <w:szCs w:val="26"/>
        </w:rPr>
        <w:footnoteReference w:id="26"/>
      </w:r>
      <w:r w:rsidR="008815FC" w:rsidRPr="00D11D19">
        <w:rPr>
          <w:sz w:val="26"/>
          <w:szCs w:val="26"/>
        </w:rPr>
        <w:t xml:space="preserve">  Consequently, each individual RLEC is already capable of providing such services to 100% of its access lines within ten business days of request.  We further note that broadband access is currently available to 100 percent of the combined company’s service territories and CCPA is not attempting to modify any aspect of its NMP in this filing.  </w:t>
      </w:r>
      <w:r w:rsidR="009557B8" w:rsidRPr="00D11D19">
        <w:rPr>
          <w:sz w:val="26"/>
          <w:szCs w:val="26"/>
        </w:rPr>
        <w:t xml:space="preserve">Thus, the unified company’s Second Amended Chapter 30 Plan filing will not </w:t>
      </w:r>
      <w:r w:rsidR="003B6C04" w:rsidRPr="00D11D19">
        <w:rPr>
          <w:sz w:val="26"/>
          <w:szCs w:val="26"/>
        </w:rPr>
        <w:t xml:space="preserve">affect </w:t>
      </w:r>
      <w:r w:rsidR="009557B8" w:rsidRPr="00D11D19">
        <w:rPr>
          <w:sz w:val="26"/>
          <w:szCs w:val="26"/>
        </w:rPr>
        <w:t xml:space="preserve">any </w:t>
      </w:r>
      <w:r w:rsidR="003B6C04" w:rsidRPr="00D11D19">
        <w:rPr>
          <w:sz w:val="26"/>
          <w:szCs w:val="26"/>
        </w:rPr>
        <w:t xml:space="preserve">current statutory obligations </w:t>
      </w:r>
      <w:r w:rsidR="009557B8" w:rsidRPr="00D11D19">
        <w:rPr>
          <w:sz w:val="26"/>
          <w:szCs w:val="26"/>
        </w:rPr>
        <w:t xml:space="preserve">related to </w:t>
      </w:r>
      <w:r w:rsidR="003B6C04" w:rsidRPr="00D11D19">
        <w:rPr>
          <w:sz w:val="26"/>
          <w:szCs w:val="26"/>
        </w:rPr>
        <w:t xml:space="preserve">prior </w:t>
      </w:r>
      <w:r w:rsidR="008815FC" w:rsidRPr="00D11D19">
        <w:rPr>
          <w:sz w:val="26"/>
          <w:szCs w:val="26"/>
        </w:rPr>
        <w:t xml:space="preserve">any of the companies’ prior </w:t>
      </w:r>
      <w:r w:rsidR="00324A75" w:rsidRPr="00D11D19">
        <w:rPr>
          <w:sz w:val="26"/>
          <w:szCs w:val="26"/>
        </w:rPr>
        <w:t>Network Modernization</w:t>
      </w:r>
      <w:r w:rsidR="003B6C04" w:rsidRPr="00D11D19">
        <w:rPr>
          <w:sz w:val="26"/>
          <w:szCs w:val="26"/>
        </w:rPr>
        <w:t xml:space="preserve"> </w:t>
      </w:r>
      <w:r w:rsidRPr="00D11D19">
        <w:rPr>
          <w:sz w:val="26"/>
          <w:szCs w:val="26"/>
        </w:rPr>
        <w:t>Plan</w:t>
      </w:r>
      <w:r w:rsidR="008815FC" w:rsidRPr="00D11D19">
        <w:rPr>
          <w:sz w:val="26"/>
          <w:szCs w:val="26"/>
        </w:rPr>
        <w:t>s</w:t>
      </w:r>
      <w:r w:rsidRPr="00D11D19">
        <w:rPr>
          <w:rStyle w:val="FootnoteReference"/>
          <w:sz w:val="26"/>
          <w:szCs w:val="26"/>
        </w:rPr>
        <w:footnoteReference w:id="27"/>
      </w:r>
      <w:r w:rsidRPr="00D11D19">
        <w:rPr>
          <w:sz w:val="26"/>
          <w:szCs w:val="26"/>
        </w:rPr>
        <w:t xml:space="preserve"> </w:t>
      </w:r>
      <w:r w:rsidR="003B6C04" w:rsidRPr="00D11D19">
        <w:rPr>
          <w:sz w:val="26"/>
          <w:szCs w:val="26"/>
        </w:rPr>
        <w:t xml:space="preserve">or the Competitive Services Deregulation portions of each individual companies Chapter 30 Plans.  </w:t>
      </w:r>
    </w:p>
    <w:p w14:paraId="68653940" w14:textId="77777777" w:rsidR="0097299C" w:rsidRPr="00D11D19" w:rsidRDefault="0097299C" w:rsidP="002D57DD">
      <w:pPr>
        <w:spacing w:line="360" w:lineRule="auto"/>
        <w:ind w:firstLine="720"/>
        <w:rPr>
          <w:sz w:val="26"/>
          <w:szCs w:val="26"/>
        </w:rPr>
      </w:pPr>
    </w:p>
    <w:p w14:paraId="0E52359A" w14:textId="77777777" w:rsidR="0097299C" w:rsidRPr="00D11D19" w:rsidRDefault="0097299C" w:rsidP="002D57DD">
      <w:pPr>
        <w:spacing w:line="360" w:lineRule="auto"/>
        <w:ind w:firstLine="720"/>
        <w:rPr>
          <w:sz w:val="26"/>
          <w:szCs w:val="26"/>
        </w:rPr>
      </w:pPr>
      <w:r w:rsidRPr="00D11D19">
        <w:rPr>
          <w:sz w:val="26"/>
          <w:szCs w:val="26"/>
        </w:rPr>
        <w:lastRenderedPageBreak/>
        <w:t xml:space="preserve">We note that approval of this Second Amended Chapter 30 Plan is the final step in the full and final consolidation of M&amp;SH and </w:t>
      </w:r>
      <w:r w:rsidR="00D11D19">
        <w:rPr>
          <w:sz w:val="26"/>
          <w:szCs w:val="26"/>
        </w:rPr>
        <w:t>BTC</w:t>
      </w:r>
      <w:r w:rsidRPr="00D11D19">
        <w:rPr>
          <w:sz w:val="26"/>
          <w:szCs w:val="26"/>
        </w:rPr>
        <w:t xml:space="preserve"> into CCPA.  Going forward, M&amp;SH and </w:t>
      </w:r>
      <w:r w:rsidR="00D11D19">
        <w:rPr>
          <w:sz w:val="26"/>
          <w:szCs w:val="26"/>
        </w:rPr>
        <w:t>BTC</w:t>
      </w:r>
      <w:r w:rsidRPr="00D11D19">
        <w:rPr>
          <w:sz w:val="26"/>
          <w:szCs w:val="26"/>
        </w:rPr>
        <w:t xml:space="preserve"> will effectively cease to </w:t>
      </w:r>
      <w:r w:rsidR="00AB1612" w:rsidRPr="00D11D19">
        <w:rPr>
          <w:sz w:val="26"/>
          <w:szCs w:val="26"/>
        </w:rPr>
        <w:t>exist,</w:t>
      </w:r>
      <w:r w:rsidRPr="00D11D19">
        <w:rPr>
          <w:sz w:val="26"/>
          <w:szCs w:val="26"/>
        </w:rPr>
        <w:t xml:space="preserve"> and the three formerly</w:t>
      </w:r>
      <w:r w:rsidR="00AB1612" w:rsidRPr="00D11D19">
        <w:rPr>
          <w:sz w:val="26"/>
          <w:szCs w:val="26"/>
        </w:rPr>
        <w:t xml:space="preserve"> </w:t>
      </w:r>
      <w:r w:rsidRPr="00D11D19">
        <w:rPr>
          <w:sz w:val="26"/>
          <w:szCs w:val="26"/>
        </w:rPr>
        <w:t>separate standalone companies shall be treated as a single combined RLEC</w:t>
      </w:r>
      <w:r w:rsidR="00AB1612" w:rsidRPr="00D11D19">
        <w:rPr>
          <w:sz w:val="26"/>
          <w:szCs w:val="26"/>
        </w:rPr>
        <w:t xml:space="preserve"> entity</w:t>
      </w:r>
      <w:r w:rsidRPr="00D11D19">
        <w:rPr>
          <w:sz w:val="26"/>
          <w:szCs w:val="26"/>
        </w:rPr>
        <w:t xml:space="preserve">.  Thus, </w:t>
      </w:r>
      <w:r w:rsidR="00AB1612" w:rsidRPr="00D11D19">
        <w:rPr>
          <w:sz w:val="26"/>
          <w:szCs w:val="26"/>
        </w:rPr>
        <w:t xml:space="preserve">going forward, </w:t>
      </w:r>
      <w:r w:rsidRPr="00D11D19">
        <w:rPr>
          <w:sz w:val="26"/>
          <w:szCs w:val="26"/>
        </w:rPr>
        <w:t xml:space="preserve">all reporting and filing obligations that were previously done on an individual-company basis shall be </w:t>
      </w:r>
      <w:r w:rsidR="00AB1612" w:rsidRPr="00D11D19">
        <w:rPr>
          <w:sz w:val="26"/>
          <w:szCs w:val="26"/>
        </w:rPr>
        <w:t xml:space="preserve">made as a single filing under CCPA.  </w:t>
      </w:r>
      <w:r w:rsidR="00324A75" w:rsidRPr="00D11D19">
        <w:rPr>
          <w:sz w:val="26"/>
          <w:szCs w:val="26"/>
        </w:rPr>
        <w:t xml:space="preserve">Henceforth, the Chapter 30 plans of </w:t>
      </w:r>
      <w:r w:rsidR="00D11D19">
        <w:rPr>
          <w:sz w:val="26"/>
          <w:szCs w:val="26"/>
        </w:rPr>
        <w:t>BTC</w:t>
      </w:r>
      <w:r w:rsidR="00324A75" w:rsidRPr="00D11D19">
        <w:rPr>
          <w:sz w:val="26"/>
          <w:szCs w:val="26"/>
        </w:rPr>
        <w:t xml:space="preserve"> and M&amp;SH shall be considered null and void and of no further force or effect.</w:t>
      </w:r>
    </w:p>
    <w:p w14:paraId="02DF1743" w14:textId="77777777" w:rsidR="00191567" w:rsidRPr="00D11D19" w:rsidRDefault="00191567" w:rsidP="00734041">
      <w:pPr>
        <w:spacing w:line="360" w:lineRule="auto"/>
        <w:rPr>
          <w:sz w:val="26"/>
          <w:szCs w:val="26"/>
        </w:rPr>
      </w:pPr>
    </w:p>
    <w:p w14:paraId="438C0F4D" w14:textId="77777777" w:rsidR="0096663E" w:rsidRPr="00D11D19" w:rsidRDefault="0096663E" w:rsidP="002D57DD">
      <w:pPr>
        <w:keepNext/>
        <w:keepLines/>
        <w:spacing w:line="360" w:lineRule="auto"/>
        <w:jc w:val="center"/>
        <w:rPr>
          <w:sz w:val="26"/>
          <w:szCs w:val="26"/>
        </w:rPr>
      </w:pPr>
      <w:r w:rsidRPr="00D11D19">
        <w:rPr>
          <w:b/>
          <w:sz w:val="26"/>
          <w:szCs w:val="26"/>
        </w:rPr>
        <w:t>Conclusion</w:t>
      </w:r>
    </w:p>
    <w:p w14:paraId="6F33CC06" w14:textId="77777777" w:rsidR="009557B8" w:rsidRPr="00D11D19" w:rsidRDefault="0096663E" w:rsidP="002D57DD">
      <w:pPr>
        <w:spacing w:line="360" w:lineRule="auto"/>
        <w:ind w:firstLine="720"/>
        <w:rPr>
          <w:b/>
          <w:sz w:val="26"/>
          <w:szCs w:val="26"/>
        </w:rPr>
      </w:pPr>
      <w:r w:rsidRPr="00D11D19">
        <w:rPr>
          <w:sz w:val="26"/>
          <w:szCs w:val="26"/>
        </w:rPr>
        <w:t xml:space="preserve">Based on our review of the </w:t>
      </w:r>
      <w:r w:rsidR="009557B8" w:rsidRPr="00D11D19">
        <w:rPr>
          <w:sz w:val="26"/>
          <w:szCs w:val="26"/>
        </w:rPr>
        <w:t xml:space="preserve">CCPA’s Second </w:t>
      </w:r>
      <w:r w:rsidRPr="00D11D19">
        <w:rPr>
          <w:sz w:val="26"/>
          <w:szCs w:val="26"/>
        </w:rPr>
        <w:t xml:space="preserve">Amended Chapter 30 Plan, </w:t>
      </w:r>
      <w:r w:rsidR="00E93163" w:rsidRPr="00D11D19">
        <w:rPr>
          <w:sz w:val="26"/>
          <w:szCs w:val="26"/>
        </w:rPr>
        <w:t xml:space="preserve">there is good cause to approve </w:t>
      </w:r>
      <w:r w:rsidR="00723CB4" w:rsidRPr="00D11D19">
        <w:rPr>
          <w:sz w:val="26"/>
          <w:szCs w:val="26"/>
        </w:rPr>
        <w:t xml:space="preserve">the revisions </w:t>
      </w:r>
      <w:r w:rsidR="009557B8" w:rsidRPr="00D11D19">
        <w:rPr>
          <w:sz w:val="26"/>
          <w:szCs w:val="26"/>
        </w:rPr>
        <w:t xml:space="preserve">that will allow CCPA </w:t>
      </w:r>
      <w:r w:rsidR="00723CB4" w:rsidRPr="00D11D19">
        <w:rPr>
          <w:sz w:val="26"/>
          <w:szCs w:val="26"/>
        </w:rPr>
        <w:t xml:space="preserve">to combine </w:t>
      </w:r>
      <w:r w:rsidR="00E93163" w:rsidRPr="00D11D19">
        <w:rPr>
          <w:sz w:val="26"/>
          <w:szCs w:val="26"/>
        </w:rPr>
        <w:t xml:space="preserve">the individual PSP </w:t>
      </w:r>
      <w:r w:rsidRPr="00D11D19">
        <w:rPr>
          <w:sz w:val="26"/>
          <w:szCs w:val="26"/>
        </w:rPr>
        <w:t>plan</w:t>
      </w:r>
      <w:r w:rsidR="00E93163" w:rsidRPr="00D11D19">
        <w:rPr>
          <w:sz w:val="26"/>
          <w:szCs w:val="26"/>
        </w:rPr>
        <w:t xml:space="preserve">s of </w:t>
      </w:r>
      <w:r w:rsidR="009557B8" w:rsidRPr="00D11D19">
        <w:rPr>
          <w:sz w:val="26"/>
          <w:szCs w:val="26"/>
        </w:rPr>
        <w:t xml:space="preserve">each of </w:t>
      </w:r>
      <w:r w:rsidR="00E93163" w:rsidRPr="00D11D19">
        <w:rPr>
          <w:sz w:val="26"/>
          <w:szCs w:val="26"/>
        </w:rPr>
        <w:t xml:space="preserve">the three </w:t>
      </w:r>
      <w:r w:rsidR="00AB733B" w:rsidRPr="00D11D19">
        <w:rPr>
          <w:sz w:val="26"/>
          <w:szCs w:val="26"/>
        </w:rPr>
        <w:t>R</w:t>
      </w:r>
      <w:r w:rsidR="00E93163" w:rsidRPr="00D11D19">
        <w:rPr>
          <w:sz w:val="26"/>
          <w:szCs w:val="26"/>
        </w:rPr>
        <w:t xml:space="preserve">LECs into the one </w:t>
      </w:r>
      <w:r w:rsidR="00723CB4" w:rsidRPr="00D11D19">
        <w:rPr>
          <w:sz w:val="26"/>
          <w:szCs w:val="26"/>
        </w:rPr>
        <w:t xml:space="preserve">uniform </w:t>
      </w:r>
      <w:r w:rsidR="009557B8" w:rsidRPr="00D11D19">
        <w:rPr>
          <w:sz w:val="26"/>
          <w:szCs w:val="26"/>
        </w:rPr>
        <w:t xml:space="preserve">PSP </w:t>
      </w:r>
      <w:r w:rsidR="00723CB4" w:rsidRPr="00D11D19">
        <w:rPr>
          <w:sz w:val="26"/>
          <w:szCs w:val="26"/>
        </w:rPr>
        <w:t>plan</w:t>
      </w:r>
      <w:r w:rsidR="009557B8" w:rsidRPr="00D11D19">
        <w:rPr>
          <w:sz w:val="26"/>
          <w:szCs w:val="26"/>
        </w:rPr>
        <w:t xml:space="preserve">, </w:t>
      </w:r>
      <w:r w:rsidR="00723CB4" w:rsidRPr="00D11D19">
        <w:rPr>
          <w:sz w:val="26"/>
          <w:szCs w:val="26"/>
        </w:rPr>
        <w:t xml:space="preserve">given that all three RLECs have </w:t>
      </w:r>
      <w:r w:rsidR="009557B8" w:rsidRPr="00D11D19">
        <w:rPr>
          <w:sz w:val="26"/>
          <w:szCs w:val="26"/>
        </w:rPr>
        <w:t xml:space="preserve">now </w:t>
      </w:r>
      <w:r w:rsidR="00E93163" w:rsidRPr="00D11D19">
        <w:rPr>
          <w:sz w:val="26"/>
          <w:szCs w:val="26"/>
        </w:rPr>
        <w:t xml:space="preserve">combined </w:t>
      </w:r>
      <w:r w:rsidR="00723CB4" w:rsidRPr="00D11D19">
        <w:rPr>
          <w:sz w:val="26"/>
          <w:szCs w:val="26"/>
        </w:rPr>
        <w:t>into one</w:t>
      </w:r>
      <w:r w:rsidR="00E93163" w:rsidRPr="00D11D19">
        <w:rPr>
          <w:sz w:val="26"/>
          <w:szCs w:val="26"/>
        </w:rPr>
        <w:t xml:space="preserve"> consolidated company</w:t>
      </w:r>
      <w:r w:rsidR="00723CB4" w:rsidRPr="00D11D19">
        <w:rPr>
          <w:sz w:val="26"/>
          <w:szCs w:val="26"/>
        </w:rPr>
        <w:t>, CCPA</w:t>
      </w:r>
      <w:r w:rsidR="00E93163" w:rsidRPr="00D11D19">
        <w:rPr>
          <w:sz w:val="26"/>
          <w:szCs w:val="26"/>
        </w:rPr>
        <w:t xml:space="preserve">.  </w:t>
      </w:r>
      <w:r w:rsidR="00723CB4" w:rsidRPr="00D11D19">
        <w:rPr>
          <w:sz w:val="26"/>
          <w:szCs w:val="26"/>
        </w:rPr>
        <w:t>Moreover, w</w:t>
      </w:r>
      <w:r w:rsidR="00734041" w:rsidRPr="00D11D19">
        <w:rPr>
          <w:sz w:val="26"/>
          <w:szCs w:val="26"/>
        </w:rPr>
        <w:t>e are of the opinion that CCPA’s proposed approach to calculating a combined PSI, SPI, and banked revenue amount is sound and reasonable</w:t>
      </w:r>
      <w:r w:rsidR="00E93163" w:rsidRPr="00D11D19">
        <w:rPr>
          <w:sz w:val="26"/>
          <w:szCs w:val="26"/>
        </w:rPr>
        <w:t xml:space="preserve"> and consistent with the statutory provisions of Act 183, P.L. 1398 (66 Pa.C.S. §§ 3011-3019</w:t>
      </w:r>
      <w:r w:rsidR="00355C9A" w:rsidRPr="00D11D19">
        <w:rPr>
          <w:sz w:val="26"/>
          <w:szCs w:val="26"/>
        </w:rPr>
        <w:t>)</w:t>
      </w:r>
      <w:r w:rsidR="00E93163" w:rsidRPr="00D11D19">
        <w:rPr>
          <w:sz w:val="26"/>
          <w:szCs w:val="26"/>
        </w:rPr>
        <w:t xml:space="preserve">.  </w:t>
      </w:r>
      <w:r w:rsidRPr="00D11D19">
        <w:rPr>
          <w:sz w:val="26"/>
          <w:szCs w:val="26"/>
        </w:rPr>
        <w:t>However, regardless of the review process, any provisions of the Company's filing subsequently deemed to be inconsistent with any provisions of Act 183 or other applicable law or determination shall be deemed inoperative and superseded</w:t>
      </w:r>
      <w:r w:rsidR="00D22BE0" w:rsidRPr="00D11D19">
        <w:rPr>
          <w:sz w:val="26"/>
          <w:szCs w:val="26"/>
        </w:rPr>
        <w:t>.</w:t>
      </w:r>
      <w:r w:rsidR="00E93163" w:rsidRPr="00D11D19">
        <w:rPr>
          <w:sz w:val="26"/>
          <w:szCs w:val="26"/>
        </w:rPr>
        <w:t xml:space="preserve">  Accordingly, we find that the CCPA’s </w:t>
      </w:r>
      <w:r w:rsidR="00355C9A" w:rsidRPr="00D11D19">
        <w:rPr>
          <w:sz w:val="26"/>
          <w:szCs w:val="26"/>
        </w:rPr>
        <w:t xml:space="preserve">Second </w:t>
      </w:r>
      <w:r w:rsidR="00E93163" w:rsidRPr="00D11D19">
        <w:rPr>
          <w:sz w:val="26"/>
          <w:szCs w:val="26"/>
        </w:rPr>
        <w:t>Amended Chapter</w:t>
      </w:r>
      <w:r w:rsidR="00355C9A" w:rsidRPr="00D11D19">
        <w:rPr>
          <w:sz w:val="26"/>
          <w:szCs w:val="26"/>
        </w:rPr>
        <w:t xml:space="preserve"> 30 Plan</w:t>
      </w:r>
      <w:r w:rsidR="00E93163" w:rsidRPr="00D11D19">
        <w:rPr>
          <w:sz w:val="26"/>
          <w:szCs w:val="26"/>
        </w:rPr>
        <w:t xml:space="preserve"> is in compliance with Act 183 of 2004, P.L. 1398 (66 Pa.C.S.</w:t>
      </w:r>
      <w:r w:rsidR="00355C9A" w:rsidRPr="00D11D19">
        <w:rPr>
          <w:sz w:val="26"/>
          <w:szCs w:val="26"/>
        </w:rPr>
        <w:t xml:space="preserve"> </w:t>
      </w:r>
      <w:r w:rsidR="00E93163" w:rsidRPr="00D11D19">
        <w:rPr>
          <w:sz w:val="26"/>
          <w:szCs w:val="26"/>
        </w:rPr>
        <w:t>§§</w:t>
      </w:r>
      <w:r w:rsidR="00355C9A" w:rsidRPr="00D11D19">
        <w:rPr>
          <w:sz w:val="26"/>
          <w:szCs w:val="26"/>
        </w:rPr>
        <w:t xml:space="preserve"> </w:t>
      </w:r>
      <w:r w:rsidR="00E93163" w:rsidRPr="00D11D19">
        <w:rPr>
          <w:sz w:val="26"/>
          <w:szCs w:val="26"/>
        </w:rPr>
        <w:t>3011-3019) and the directives in the 2019 Secretarial Letter</w:t>
      </w:r>
      <w:r w:rsidR="009557B8" w:rsidRPr="00D11D19">
        <w:rPr>
          <w:sz w:val="26"/>
          <w:szCs w:val="26"/>
        </w:rPr>
        <w:t xml:space="preserve">; </w:t>
      </w:r>
      <w:r w:rsidRPr="00D11D19">
        <w:rPr>
          <w:b/>
          <w:sz w:val="26"/>
          <w:szCs w:val="26"/>
        </w:rPr>
        <w:t>THEREFORE,</w:t>
      </w:r>
      <w:r w:rsidR="007300A4" w:rsidRPr="00D11D19">
        <w:rPr>
          <w:b/>
          <w:sz w:val="26"/>
          <w:szCs w:val="26"/>
        </w:rPr>
        <w:t xml:space="preserve"> </w:t>
      </w:r>
    </w:p>
    <w:p w14:paraId="3126E4DD" w14:textId="77777777" w:rsidR="0096663E" w:rsidRPr="00D11D19" w:rsidRDefault="0096663E" w:rsidP="009557B8">
      <w:pPr>
        <w:spacing w:line="360" w:lineRule="auto"/>
        <w:rPr>
          <w:sz w:val="26"/>
          <w:szCs w:val="26"/>
        </w:rPr>
      </w:pPr>
      <w:r w:rsidRPr="00D11D19">
        <w:rPr>
          <w:b/>
          <w:sz w:val="26"/>
          <w:szCs w:val="26"/>
        </w:rPr>
        <w:t>IT IS ORDERED:</w:t>
      </w:r>
    </w:p>
    <w:p w14:paraId="3C26AE4E" w14:textId="77777777" w:rsidR="0096663E" w:rsidRPr="00D11D19" w:rsidRDefault="0096663E" w:rsidP="0096663E">
      <w:pPr>
        <w:spacing w:line="360" w:lineRule="auto"/>
        <w:rPr>
          <w:sz w:val="26"/>
          <w:szCs w:val="26"/>
        </w:rPr>
      </w:pPr>
    </w:p>
    <w:p w14:paraId="32F9ACC5" w14:textId="77777777" w:rsidR="0096663E" w:rsidRDefault="0096663E" w:rsidP="00324A75">
      <w:pPr>
        <w:spacing w:line="360" w:lineRule="auto"/>
        <w:ind w:firstLine="720"/>
        <w:rPr>
          <w:sz w:val="26"/>
          <w:szCs w:val="26"/>
        </w:rPr>
      </w:pPr>
      <w:r w:rsidRPr="00D11D19">
        <w:rPr>
          <w:sz w:val="26"/>
          <w:szCs w:val="26"/>
        </w:rPr>
        <w:t>1.</w:t>
      </w:r>
      <w:r w:rsidRPr="00D11D19">
        <w:rPr>
          <w:sz w:val="26"/>
          <w:szCs w:val="26"/>
        </w:rPr>
        <w:tab/>
      </w:r>
      <w:r w:rsidR="00324A75" w:rsidRPr="00D11D19">
        <w:rPr>
          <w:sz w:val="26"/>
          <w:szCs w:val="26"/>
        </w:rPr>
        <w:t>That Consolidated Communications of Pennsylvania, LLC’s request for approval of its Second Amended Chapter 30 Plan is hereby granted consistent with this Order.</w:t>
      </w:r>
    </w:p>
    <w:p w14:paraId="2F65D184" w14:textId="77777777" w:rsidR="00D11D19" w:rsidRPr="00D11D19" w:rsidRDefault="00D11D19" w:rsidP="00324A75">
      <w:pPr>
        <w:spacing w:line="360" w:lineRule="auto"/>
        <w:ind w:firstLine="720"/>
        <w:rPr>
          <w:sz w:val="26"/>
          <w:szCs w:val="26"/>
        </w:rPr>
      </w:pPr>
    </w:p>
    <w:p w14:paraId="70238786" w14:textId="77777777" w:rsidR="0096663E" w:rsidRPr="00D11D19" w:rsidRDefault="0096663E" w:rsidP="002D57DD">
      <w:pPr>
        <w:spacing w:line="360" w:lineRule="auto"/>
        <w:ind w:firstLine="720"/>
        <w:rPr>
          <w:sz w:val="26"/>
          <w:szCs w:val="26"/>
        </w:rPr>
      </w:pPr>
      <w:r w:rsidRPr="00D11D19">
        <w:rPr>
          <w:sz w:val="26"/>
          <w:szCs w:val="26"/>
        </w:rPr>
        <w:t>2.</w:t>
      </w:r>
      <w:r w:rsidRPr="00D11D19">
        <w:rPr>
          <w:sz w:val="26"/>
          <w:szCs w:val="26"/>
        </w:rPr>
        <w:tab/>
      </w:r>
      <w:r w:rsidR="001F5D58" w:rsidRPr="00D11D19">
        <w:rPr>
          <w:sz w:val="26"/>
          <w:szCs w:val="26"/>
        </w:rPr>
        <w:t xml:space="preserve">That </w:t>
      </w:r>
      <w:r w:rsidR="00324A75" w:rsidRPr="00D11D19">
        <w:rPr>
          <w:sz w:val="26"/>
          <w:szCs w:val="26"/>
        </w:rPr>
        <w:t xml:space="preserve">Consolidated Communications of Pennsylvania, LLC </w:t>
      </w:r>
      <w:r w:rsidR="001F5D58" w:rsidRPr="00D11D19">
        <w:rPr>
          <w:sz w:val="26"/>
          <w:szCs w:val="26"/>
        </w:rPr>
        <w:t xml:space="preserve">shall employ the approach set forth in its </w:t>
      </w:r>
      <w:r w:rsidR="00677814" w:rsidRPr="00D11D19">
        <w:rPr>
          <w:sz w:val="26"/>
          <w:szCs w:val="26"/>
        </w:rPr>
        <w:t>May 25 Letter-Petition</w:t>
      </w:r>
      <w:r w:rsidR="001F5D58" w:rsidRPr="00D11D19">
        <w:rPr>
          <w:sz w:val="26"/>
          <w:szCs w:val="26"/>
        </w:rPr>
        <w:t xml:space="preserve"> to calculate a </w:t>
      </w:r>
      <w:r w:rsidR="00734041" w:rsidRPr="00D11D19">
        <w:rPr>
          <w:sz w:val="26"/>
          <w:szCs w:val="26"/>
        </w:rPr>
        <w:t xml:space="preserve">combined </w:t>
      </w:r>
      <w:r w:rsidR="001F5D58" w:rsidRPr="00D11D19">
        <w:rPr>
          <w:sz w:val="26"/>
          <w:szCs w:val="26"/>
        </w:rPr>
        <w:t>PSI</w:t>
      </w:r>
      <w:r w:rsidR="00734041" w:rsidRPr="00D11D19">
        <w:rPr>
          <w:sz w:val="26"/>
          <w:szCs w:val="26"/>
        </w:rPr>
        <w:t xml:space="preserve">, </w:t>
      </w:r>
      <w:r w:rsidR="001F5D58" w:rsidRPr="00D11D19">
        <w:rPr>
          <w:sz w:val="26"/>
          <w:szCs w:val="26"/>
        </w:rPr>
        <w:t>SPI</w:t>
      </w:r>
      <w:r w:rsidR="00734041" w:rsidRPr="00D11D19">
        <w:rPr>
          <w:sz w:val="26"/>
          <w:szCs w:val="26"/>
        </w:rPr>
        <w:t xml:space="preserve">, and </w:t>
      </w:r>
      <w:r w:rsidR="00734041" w:rsidRPr="00D11D19">
        <w:rPr>
          <w:sz w:val="26"/>
          <w:szCs w:val="26"/>
        </w:rPr>
        <w:lastRenderedPageBreak/>
        <w:t xml:space="preserve">banked revenue amount to be utilized </w:t>
      </w:r>
      <w:r w:rsidR="00355C9A" w:rsidRPr="00D11D19">
        <w:rPr>
          <w:sz w:val="26"/>
          <w:szCs w:val="26"/>
        </w:rPr>
        <w:t>starting with</w:t>
      </w:r>
      <w:r w:rsidR="00734041" w:rsidRPr="00D11D19">
        <w:rPr>
          <w:sz w:val="26"/>
          <w:szCs w:val="26"/>
        </w:rPr>
        <w:t xml:space="preserve"> the Company’s 2022 PSI/SPI Report filing. </w:t>
      </w:r>
      <w:r w:rsidR="001F5D58" w:rsidRPr="00D11D19">
        <w:rPr>
          <w:sz w:val="26"/>
          <w:szCs w:val="26"/>
        </w:rPr>
        <w:t xml:space="preserve"> </w:t>
      </w:r>
    </w:p>
    <w:p w14:paraId="1E12FFF7" w14:textId="77777777" w:rsidR="00D11D19" w:rsidRDefault="00D11D19" w:rsidP="002D57DD">
      <w:pPr>
        <w:spacing w:line="360" w:lineRule="auto"/>
        <w:ind w:firstLine="720"/>
        <w:rPr>
          <w:sz w:val="26"/>
          <w:szCs w:val="26"/>
        </w:rPr>
      </w:pPr>
    </w:p>
    <w:p w14:paraId="59F269F1" w14:textId="77777777" w:rsidR="00B60A3C" w:rsidRDefault="003361FF" w:rsidP="002D57DD">
      <w:pPr>
        <w:spacing w:line="360" w:lineRule="auto"/>
        <w:ind w:firstLine="720"/>
        <w:rPr>
          <w:sz w:val="26"/>
          <w:szCs w:val="26"/>
        </w:rPr>
      </w:pPr>
      <w:r w:rsidRPr="00D11D19">
        <w:rPr>
          <w:sz w:val="26"/>
          <w:szCs w:val="26"/>
        </w:rPr>
        <w:t>3.</w:t>
      </w:r>
      <w:r w:rsidRPr="00D11D19">
        <w:rPr>
          <w:sz w:val="26"/>
          <w:szCs w:val="26"/>
        </w:rPr>
        <w:tab/>
      </w:r>
      <w:r w:rsidR="00B60A3C" w:rsidRPr="00D11D19">
        <w:rPr>
          <w:sz w:val="26"/>
          <w:szCs w:val="26"/>
        </w:rPr>
        <w:t xml:space="preserve">That the dockets associated with the Chapter 30 plans of Bentleyville </w:t>
      </w:r>
      <w:r w:rsidR="00FE3FC0">
        <w:rPr>
          <w:sz w:val="26"/>
          <w:szCs w:val="26"/>
        </w:rPr>
        <w:t>Telephone</w:t>
      </w:r>
      <w:r w:rsidR="00B60A3C" w:rsidRPr="00D11D19">
        <w:rPr>
          <w:sz w:val="26"/>
          <w:szCs w:val="26"/>
        </w:rPr>
        <w:t xml:space="preserve"> Company and Marianna &amp; Scenery Hill Telephone Company, Docket Nos. P-00981427F1000 and P-00981434F1000, respectively, are hereby closed.</w:t>
      </w:r>
    </w:p>
    <w:p w14:paraId="43D719C4" w14:textId="77777777" w:rsidR="00D11D19" w:rsidRPr="00D11D19" w:rsidRDefault="00D11D19" w:rsidP="002D57DD">
      <w:pPr>
        <w:spacing w:line="360" w:lineRule="auto"/>
        <w:ind w:firstLine="720"/>
        <w:rPr>
          <w:sz w:val="26"/>
          <w:szCs w:val="26"/>
        </w:rPr>
      </w:pPr>
    </w:p>
    <w:p w14:paraId="2E045E87" w14:textId="77777777" w:rsidR="003361FF" w:rsidRPr="00D11D19" w:rsidRDefault="00B60A3C" w:rsidP="002D57DD">
      <w:pPr>
        <w:spacing w:line="360" w:lineRule="auto"/>
        <w:ind w:firstLine="720"/>
        <w:rPr>
          <w:sz w:val="26"/>
          <w:szCs w:val="26"/>
        </w:rPr>
      </w:pPr>
      <w:r w:rsidRPr="00D11D19">
        <w:rPr>
          <w:sz w:val="26"/>
          <w:szCs w:val="26"/>
        </w:rPr>
        <w:t>4.</w:t>
      </w:r>
      <w:r w:rsidRPr="00D11D19">
        <w:rPr>
          <w:sz w:val="26"/>
          <w:szCs w:val="26"/>
        </w:rPr>
        <w:tab/>
      </w:r>
      <w:r w:rsidR="003361FF" w:rsidRPr="00D11D19">
        <w:rPr>
          <w:sz w:val="26"/>
          <w:szCs w:val="26"/>
        </w:rPr>
        <w:t xml:space="preserve">That, going forward, all reports and filings previously made by CCPA, M&amp;SH, and </w:t>
      </w:r>
      <w:r w:rsidR="00D11D19">
        <w:rPr>
          <w:sz w:val="26"/>
          <w:szCs w:val="26"/>
        </w:rPr>
        <w:t>BTC</w:t>
      </w:r>
      <w:r w:rsidR="003361FF" w:rsidRPr="00D11D19">
        <w:rPr>
          <w:sz w:val="26"/>
          <w:szCs w:val="26"/>
        </w:rPr>
        <w:t xml:space="preserve"> on a standalone and individual-company basis shall be combined into a single filing under CCPA.  This includes</w:t>
      </w:r>
      <w:r w:rsidR="003361FF" w:rsidRPr="00D11D19">
        <w:rPr>
          <w:i/>
          <w:iCs/>
          <w:sz w:val="26"/>
          <w:szCs w:val="26"/>
        </w:rPr>
        <w:t>, inter alia</w:t>
      </w:r>
      <w:r w:rsidR="003361FF" w:rsidRPr="00D11D19">
        <w:rPr>
          <w:sz w:val="26"/>
          <w:szCs w:val="26"/>
        </w:rPr>
        <w:t>, the annual Pennsylvania Universal Service Fund Development of Assessment Data Request, annual Access Line Summary Report, annual Financial Report, and annual Assessment Report</w:t>
      </w:r>
      <w:r w:rsidR="00AB1612" w:rsidRPr="00D11D19">
        <w:rPr>
          <w:sz w:val="26"/>
          <w:szCs w:val="26"/>
        </w:rPr>
        <w:t>, and any others</w:t>
      </w:r>
      <w:r w:rsidR="003361FF" w:rsidRPr="00D11D19">
        <w:rPr>
          <w:sz w:val="26"/>
          <w:szCs w:val="26"/>
        </w:rPr>
        <w:t xml:space="preserve">.  </w:t>
      </w:r>
    </w:p>
    <w:p w14:paraId="78AB3137" w14:textId="77777777" w:rsidR="0096663E" w:rsidRPr="00D11D19" w:rsidRDefault="0096663E" w:rsidP="0096663E">
      <w:pPr>
        <w:spacing w:line="360" w:lineRule="auto"/>
        <w:rPr>
          <w:sz w:val="26"/>
          <w:szCs w:val="26"/>
        </w:rPr>
      </w:pPr>
    </w:p>
    <w:p w14:paraId="5A8BF275" w14:textId="77777777" w:rsidR="0096663E" w:rsidRPr="00D11D19" w:rsidRDefault="00B60A3C" w:rsidP="002D57DD">
      <w:pPr>
        <w:spacing w:line="360" w:lineRule="auto"/>
        <w:ind w:firstLine="720"/>
        <w:rPr>
          <w:sz w:val="26"/>
          <w:szCs w:val="26"/>
        </w:rPr>
      </w:pPr>
      <w:r w:rsidRPr="00D11D19">
        <w:rPr>
          <w:sz w:val="26"/>
          <w:szCs w:val="26"/>
        </w:rPr>
        <w:t>5</w:t>
      </w:r>
      <w:r w:rsidR="0096663E" w:rsidRPr="00D11D19">
        <w:rPr>
          <w:sz w:val="26"/>
          <w:szCs w:val="26"/>
        </w:rPr>
        <w:t>.</w:t>
      </w:r>
      <w:r w:rsidR="0096663E" w:rsidRPr="00D11D19">
        <w:rPr>
          <w:sz w:val="26"/>
          <w:szCs w:val="26"/>
        </w:rPr>
        <w:tab/>
        <w:t xml:space="preserve">A copy of this Order shall be served on </w:t>
      </w:r>
      <w:r w:rsidR="007300A4" w:rsidRPr="00D11D19">
        <w:rPr>
          <w:sz w:val="26"/>
          <w:szCs w:val="26"/>
        </w:rPr>
        <w:t>Consolidated Communications of Pennsylvania</w:t>
      </w:r>
      <w:r w:rsidR="0096663E" w:rsidRPr="00D11D19">
        <w:rPr>
          <w:sz w:val="26"/>
          <w:szCs w:val="26"/>
        </w:rPr>
        <w:t xml:space="preserve">, </w:t>
      </w:r>
      <w:r w:rsidR="007300A4" w:rsidRPr="00D11D19">
        <w:rPr>
          <w:sz w:val="26"/>
          <w:szCs w:val="26"/>
        </w:rPr>
        <w:t>LLC,</w:t>
      </w:r>
      <w:r w:rsidR="0096663E" w:rsidRPr="00D11D19">
        <w:rPr>
          <w:sz w:val="26"/>
          <w:szCs w:val="26"/>
        </w:rPr>
        <w:t xml:space="preserve"> the Office of Small Business Advocate, and the Office of Consumer Advocate.</w:t>
      </w:r>
    </w:p>
    <w:p w14:paraId="45E14680" w14:textId="77777777" w:rsidR="0096663E" w:rsidRPr="00D11D19" w:rsidRDefault="0096663E" w:rsidP="0096663E">
      <w:pPr>
        <w:spacing w:line="360" w:lineRule="auto"/>
        <w:rPr>
          <w:sz w:val="26"/>
          <w:szCs w:val="26"/>
        </w:rPr>
      </w:pPr>
    </w:p>
    <w:p w14:paraId="6E5A67BA" w14:textId="77777777" w:rsidR="00DF0470" w:rsidRPr="00D11D19" w:rsidRDefault="00B60A3C" w:rsidP="002D57DD">
      <w:pPr>
        <w:keepNext/>
        <w:keepLines/>
        <w:spacing w:line="360" w:lineRule="auto"/>
        <w:ind w:firstLine="720"/>
        <w:rPr>
          <w:sz w:val="26"/>
          <w:szCs w:val="26"/>
        </w:rPr>
      </w:pPr>
      <w:r w:rsidRPr="00D11D19">
        <w:rPr>
          <w:sz w:val="26"/>
          <w:szCs w:val="26"/>
        </w:rPr>
        <w:t>6</w:t>
      </w:r>
      <w:r w:rsidR="0096663E" w:rsidRPr="00D11D19">
        <w:rPr>
          <w:sz w:val="26"/>
          <w:szCs w:val="26"/>
        </w:rPr>
        <w:t>.</w:t>
      </w:r>
      <w:r w:rsidR="0096663E" w:rsidRPr="00D11D19">
        <w:rPr>
          <w:sz w:val="26"/>
          <w:szCs w:val="26"/>
        </w:rPr>
        <w:tab/>
        <w:t>A copy of this Order shall be published on our website.</w:t>
      </w:r>
    </w:p>
    <w:p w14:paraId="1D4A3280" w14:textId="30668383" w:rsidR="00D22BE0" w:rsidRPr="00D11D19" w:rsidRDefault="00D22BE0" w:rsidP="002D57DD">
      <w:pPr>
        <w:keepNext/>
        <w:keepLines/>
        <w:spacing w:line="360" w:lineRule="auto"/>
        <w:rPr>
          <w:sz w:val="26"/>
          <w:szCs w:val="26"/>
        </w:rPr>
      </w:pPr>
    </w:p>
    <w:p w14:paraId="42800994" w14:textId="3AD030CC" w:rsidR="00DF0470" w:rsidRPr="00D11D19" w:rsidRDefault="006B241E" w:rsidP="002D57DD">
      <w:pPr>
        <w:pStyle w:val="p17"/>
        <w:keepNext/>
        <w:keepLines/>
        <w:ind w:left="5057"/>
        <w:rPr>
          <w:b/>
          <w:bCs/>
          <w:sz w:val="26"/>
          <w:szCs w:val="26"/>
        </w:rPr>
      </w:pPr>
      <w:r>
        <w:rPr>
          <w:noProof/>
        </w:rPr>
        <w:drawing>
          <wp:anchor distT="0" distB="0" distL="114300" distR="114300" simplePos="0" relativeHeight="251659264" behindDoc="1" locked="0" layoutInCell="1" allowOverlap="1" wp14:anchorId="6E1D5424" wp14:editId="2A7DE53D">
            <wp:simplePos x="0" y="0"/>
            <wp:positionH relativeFrom="column">
              <wp:posOffset>3200400</wp:posOffset>
            </wp:positionH>
            <wp:positionV relativeFrom="paragraph">
              <wp:posOffset>57785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470" w:rsidRPr="00D11D19">
        <w:rPr>
          <w:b/>
          <w:bCs/>
          <w:sz w:val="26"/>
          <w:szCs w:val="26"/>
        </w:rPr>
        <w:t>BY THE COMMISSION</w:t>
      </w:r>
    </w:p>
    <w:p w14:paraId="44FC4BA1" w14:textId="77777777" w:rsidR="00DF0470" w:rsidRPr="00D11D19" w:rsidRDefault="00DF0470" w:rsidP="002D57DD">
      <w:pPr>
        <w:keepNext/>
        <w:keepLines/>
        <w:tabs>
          <w:tab w:val="left" w:pos="5057"/>
        </w:tabs>
        <w:rPr>
          <w:bCs/>
          <w:sz w:val="26"/>
          <w:szCs w:val="26"/>
        </w:rPr>
      </w:pPr>
    </w:p>
    <w:p w14:paraId="1DEE49AA" w14:textId="77777777" w:rsidR="00DF0470" w:rsidRPr="00D11D19" w:rsidRDefault="00DF0470" w:rsidP="002D57DD">
      <w:pPr>
        <w:keepNext/>
        <w:keepLines/>
        <w:tabs>
          <w:tab w:val="left" w:pos="5057"/>
        </w:tabs>
        <w:rPr>
          <w:b/>
          <w:bCs/>
          <w:sz w:val="26"/>
          <w:szCs w:val="26"/>
        </w:rPr>
      </w:pPr>
    </w:p>
    <w:p w14:paraId="598CC0FE" w14:textId="77777777" w:rsidR="00DF0470" w:rsidRPr="00D11D19" w:rsidRDefault="00DF0470" w:rsidP="002D57DD">
      <w:pPr>
        <w:keepNext/>
        <w:keepLines/>
        <w:tabs>
          <w:tab w:val="left" w:pos="5057"/>
        </w:tabs>
        <w:rPr>
          <w:b/>
          <w:bCs/>
          <w:sz w:val="26"/>
          <w:szCs w:val="26"/>
        </w:rPr>
      </w:pPr>
    </w:p>
    <w:p w14:paraId="07D4BFFF" w14:textId="77777777" w:rsidR="0022503C" w:rsidRPr="00D11D19" w:rsidRDefault="0022503C" w:rsidP="002D57DD">
      <w:pPr>
        <w:pStyle w:val="p18"/>
        <w:keepNext/>
        <w:keepLines/>
        <w:ind w:left="5062"/>
        <w:rPr>
          <w:sz w:val="26"/>
          <w:szCs w:val="26"/>
        </w:rPr>
      </w:pPr>
      <w:r w:rsidRPr="00D11D19">
        <w:rPr>
          <w:sz w:val="26"/>
          <w:szCs w:val="26"/>
        </w:rPr>
        <w:t>Rosemary Chiavetta</w:t>
      </w:r>
    </w:p>
    <w:p w14:paraId="07D64673" w14:textId="77777777" w:rsidR="00DF0470" w:rsidRPr="00D11D19" w:rsidRDefault="00DF0470" w:rsidP="00DF0470">
      <w:pPr>
        <w:pStyle w:val="p18"/>
        <w:ind w:left="5062"/>
        <w:rPr>
          <w:sz w:val="26"/>
          <w:szCs w:val="26"/>
        </w:rPr>
      </w:pPr>
      <w:r w:rsidRPr="00D11D19">
        <w:rPr>
          <w:sz w:val="26"/>
          <w:szCs w:val="26"/>
        </w:rPr>
        <w:t>Secretary</w:t>
      </w:r>
    </w:p>
    <w:p w14:paraId="42594EB8" w14:textId="77777777" w:rsidR="00DF0470" w:rsidRPr="00D11D19" w:rsidRDefault="00DF0470" w:rsidP="00DF0470">
      <w:pPr>
        <w:tabs>
          <w:tab w:val="left" w:pos="5062"/>
        </w:tabs>
        <w:rPr>
          <w:sz w:val="26"/>
          <w:szCs w:val="26"/>
        </w:rPr>
      </w:pPr>
    </w:p>
    <w:p w14:paraId="772DB15F" w14:textId="77777777" w:rsidR="00DF0470" w:rsidRPr="00D11D19" w:rsidRDefault="00DF0470" w:rsidP="00DF0470">
      <w:pPr>
        <w:pStyle w:val="p14"/>
        <w:rPr>
          <w:sz w:val="26"/>
          <w:szCs w:val="26"/>
        </w:rPr>
      </w:pPr>
      <w:r w:rsidRPr="00D11D19">
        <w:rPr>
          <w:sz w:val="26"/>
          <w:szCs w:val="26"/>
        </w:rPr>
        <w:t>(SEAL)</w:t>
      </w:r>
    </w:p>
    <w:p w14:paraId="2EFA831F" w14:textId="77777777" w:rsidR="00DF0470" w:rsidRPr="00D11D19" w:rsidRDefault="00DF0470" w:rsidP="00DF0470">
      <w:pPr>
        <w:tabs>
          <w:tab w:val="left" w:pos="204"/>
        </w:tabs>
        <w:rPr>
          <w:sz w:val="26"/>
          <w:szCs w:val="26"/>
        </w:rPr>
      </w:pPr>
    </w:p>
    <w:p w14:paraId="5B850E9B" w14:textId="77777777" w:rsidR="00DF0470" w:rsidRPr="00D11D19" w:rsidRDefault="00DF0470" w:rsidP="00BE499A">
      <w:pPr>
        <w:pStyle w:val="p14"/>
        <w:rPr>
          <w:sz w:val="26"/>
          <w:szCs w:val="26"/>
        </w:rPr>
      </w:pPr>
      <w:r w:rsidRPr="00D11D19">
        <w:rPr>
          <w:sz w:val="26"/>
          <w:szCs w:val="26"/>
        </w:rPr>
        <w:t xml:space="preserve">ORDER ADOPTED:  </w:t>
      </w:r>
      <w:r w:rsidR="00D22BE0" w:rsidRPr="00D11D19">
        <w:rPr>
          <w:sz w:val="26"/>
          <w:szCs w:val="26"/>
        </w:rPr>
        <w:t>August 26, 2021</w:t>
      </w:r>
    </w:p>
    <w:p w14:paraId="1A8E420D" w14:textId="77777777" w:rsidR="00BE499A" w:rsidRPr="00D11D19" w:rsidRDefault="00BE499A" w:rsidP="00BE499A">
      <w:pPr>
        <w:pStyle w:val="p14"/>
        <w:rPr>
          <w:sz w:val="26"/>
          <w:szCs w:val="26"/>
        </w:rPr>
      </w:pPr>
    </w:p>
    <w:p w14:paraId="5E88BC38" w14:textId="13418379" w:rsidR="00CD6C97" w:rsidRPr="00C0451E" w:rsidRDefault="00DF0470" w:rsidP="005A7356">
      <w:pPr>
        <w:pStyle w:val="p14"/>
        <w:rPr>
          <w:sz w:val="26"/>
          <w:szCs w:val="26"/>
        </w:rPr>
      </w:pPr>
      <w:r w:rsidRPr="00D11D19">
        <w:rPr>
          <w:sz w:val="26"/>
          <w:szCs w:val="26"/>
        </w:rPr>
        <w:t>ORDER ENTERED:</w:t>
      </w:r>
      <w:r w:rsidRPr="00C0451E">
        <w:rPr>
          <w:sz w:val="26"/>
          <w:szCs w:val="26"/>
        </w:rPr>
        <w:t xml:space="preserve">  </w:t>
      </w:r>
      <w:r w:rsidR="0051578E">
        <w:rPr>
          <w:sz w:val="26"/>
          <w:szCs w:val="26"/>
        </w:rPr>
        <w:t>August 26, 2021</w:t>
      </w:r>
    </w:p>
    <w:sectPr w:rsidR="00CD6C97" w:rsidRPr="00C0451E" w:rsidSect="00D8318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773A" w14:textId="77777777" w:rsidR="002C1646" w:rsidRDefault="002C1646">
      <w:r>
        <w:separator/>
      </w:r>
    </w:p>
  </w:endnote>
  <w:endnote w:type="continuationSeparator" w:id="0">
    <w:p w14:paraId="31FBAFD5" w14:textId="77777777" w:rsidR="002C1646" w:rsidRDefault="002C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8F62"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09710E"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F37"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9A">
      <w:rPr>
        <w:rStyle w:val="PageNumber"/>
        <w:noProof/>
      </w:rPr>
      <w:t>2</w:t>
    </w:r>
    <w:r>
      <w:rPr>
        <w:rStyle w:val="PageNumber"/>
      </w:rPr>
      <w:fldChar w:fldCharType="end"/>
    </w:r>
  </w:p>
  <w:p w14:paraId="7E6852FC" w14:textId="77777777" w:rsidR="006A01F9" w:rsidRDefault="006A01F9"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A5D5" w14:textId="77777777" w:rsidR="002C1646" w:rsidRDefault="002C1646">
      <w:r>
        <w:separator/>
      </w:r>
    </w:p>
  </w:footnote>
  <w:footnote w:type="continuationSeparator" w:id="0">
    <w:p w14:paraId="2B86606F" w14:textId="77777777" w:rsidR="002C1646" w:rsidRDefault="002C1646">
      <w:r>
        <w:continuationSeparator/>
      </w:r>
    </w:p>
  </w:footnote>
  <w:footnote w:id="1">
    <w:p w14:paraId="3341C7AD" w14:textId="77777777" w:rsidR="00F84442" w:rsidRPr="00D11D19" w:rsidRDefault="00F84442">
      <w:pPr>
        <w:pStyle w:val="FootnoteText"/>
      </w:pPr>
      <w:r w:rsidRPr="00D11D19">
        <w:rPr>
          <w:rStyle w:val="FootnoteReference"/>
        </w:rPr>
        <w:footnoteRef/>
      </w:r>
      <w:r w:rsidRPr="00D11D19">
        <w:t xml:space="preserve"> Letter from Deanne O’Dell, Esq. to Rosemary Chiavetta, Secretary, Pennsylvania Public Utility Commission (May 25, 2021), attaching the Amended Alternative Form of Regulation and Network Modernization Plan of Consolidated Communications of Pennsylvania, LLC.</w:t>
      </w:r>
      <w:r w:rsidR="00DD5E5E" w:rsidRPr="00D11D19">
        <w:t xml:space="preserve"> Unless otherwise noted, all filings referenced herein were made in the above-referenced Commission dockets.</w:t>
      </w:r>
      <w:r w:rsidR="00393BAF" w:rsidRPr="00D11D19">
        <w:rPr>
          <w:rFonts w:ascii="Calibri" w:eastAsia="Calibri" w:hAnsi="Calibri" w:cs="Calibri"/>
          <w:sz w:val="22"/>
          <w:szCs w:val="22"/>
        </w:rPr>
        <w:t xml:space="preserve"> </w:t>
      </w:r>
      <w:r w:rsidR="00393BAF" w:rsidRPr="00D11D19">
        <w:t xml:space="preserve">Although styled as a letter, we are deeming this filing as a Letter-Petition meeting the criteria set forth in 52 Pa. Code § 5.41 (relating to Petitions) per our regulations.  52 Pa. Code § 1.2. </w:t>
      </w:r>
    </w:p>
  </w:footnote>
  <w:footnote w:id="2">
    <w:p w14:paraId="7D961654" w14:textId="77777777" w:rsidR="00920CD4" w:rsidRPr="00D11D19" w:rsidRDefault="00920CD4" w:rsidP="00920CD4">
      <w:pPr>
        <w:pStyle w:val="FootnoteText"/>
      </w:pPr>
      <w:r w:rsidRPr="00D11D19">
        <w:rPr>
          <w:rStyle w:val="FootnoteReference"/>
        </w:rPr>
        <w:footnoteRef/>
      </w:r>
      <w:r w:rsidRPr="00D11D19">
        <w:t xml:space="preserve"> NPTC was formed and incorporated in 1906.  Because NPTC and its services predate the establishment of the Commission and its predecessor, a certificate of public convenience relating to the commencement of its services was not issued to NPTC.  A corporate reorganization approved by the Commission at Docket Nos. A-2008-2059601 and A</w:t>
      </w:r>
      <w:r w:rsidRPr="00D11D19">
        <w:noBreakHyphen/>
        <w:t xml:space="preserve">2008-2059603, established CCPA as the successor to NPTC.  </w:t>
      </w:r>
      <w:r w:rsidRPr="00D11D19">
        <w:rPr>
          <w:color w:val="000000"/>
        </w:rPr>
        <w:t>CCPA is also authorized to operate as an Interexchange Carrier (“IXC”) throughout Pennsylvania pursuant to authority granted by the Commission on December 5, 2007</w:t>
      </w:r>
      <w:r w:rsidR="00185F1B" w:rsidRPr="00D11D19">
        <w:rPr>
          <w:color w:val="000000"/>
        </w:rPr>
        <w:t>,</w:t>
      </w:r>
      <w:r w:rsidRPr="00D11D19">
        <w:rPr>
          <w:color w:val="000000"/>
        </w:rPr>
        <w:t xml:space="preserve"> at Docket No. A</w:t>
      </w:r>
      <w:r w:rsidRPr="00D11D19">
        <w:rPr>
          <w:color w:val="000000"/>
        </w:rPr>
        <w:noBreakHyphen/>
        <w:t xml:space="preserve">312550F0002.  </w:t>
      </w:r>
    </w:p>
  </w:footnote>
  <w:footnote w:id="3">
    <w:p w14:paraId="01E39698" w14:textId="77777777" w:rsidR="00920CD4" w:rsidRPr="00D11D19" w:rsidRDefault="00920CD4">
      <w:pPr>
        <w:pStyle w:val="FootnoteText"/>
      </w:pPr>
      <w:r w:rsidRPr="00D11D19">
        <w:rPr>
          <w:rStyle w:val="FootnoteReference"/>
        </w:rPr>
        <w:footnoteRef/>
      </w:r>
      <w:r w:rsidRPr="00D11D19">
        <w:t xml:space="preserve"> Noncompetitive services are defined as regulated services or business activities that have not been determined or declared to be competitive.  66 Pa.C.S. § 3012.</w:t>
      </w:r>
    </w:p>
  </w:footnote>
  <w:footnote w:id="4">
    <w:p w14:paraId="13150549" w14:textId="77777777" w:rsidR="00920CD4" w:rsidRPr="00D11D19" w:rsidRDefault="00920CD4" w:rsidP="00920CD4">
      <w:pPr>
        <w:pStyle w:val="FootnoteText"/>
      </w:pPr>
      <w:r w:rsidRPr="00D11D19">
        <w:rPr>
          <w:rStyle w:val="FootnoteReference"/>
        </w:rPr>
        <w:footnoteRef/>
      </w:r>
      <w:r w:rsidRPr="00D11D19">
        <w:t xml:space="preserve"> </w:t>
      </w:r>
      <w:r w:rsidRPr="00D11D19">
        <w:rPr>
          <w:i/>
        </w:rPr>
        <w:t xml:space="preserve">Petition for Amended Alternative Regulation and Network Modernization Plan of North Pittsburgh Telephone Company, </w:t>
      </w:r>
      <w:r w:rsidRPr="00D11D19">
        <w:t xml:space="preserve">Docket No. P-00981437F1000 (Order entered June 3, 2005); </w:t>
      </w:r>
      <w:r w:rsidRPr="00D11D19">
        <w:rPr>
          <w:i/>
          <w:color w:val="000000"/>
        </w:rPr>
        <w:t xml:space="preserve">Petition for </w:t>
      </w:r>
      <w:r w:rsidRPr="00D11D19">
        <w:rPr>
          <w:i/>
        </w:rPr>
        <w:t>Amended Alternative Regulation and Network Modernization Plan of Bentleyville Telephone Company</w:t>
      </w:r>
      <w:r w:rsidRPr="00D11D19">
        <w:t xml:space="preserve">, Docket No. P-00981427F1000 (Order entered June 3, 2005); and </w:t>
      </w:r>
      <w:r w:rsidRPr="00D11D19">
        <w:rPr>
          <w:i/>
          <w:color w:val="000000"/>
          <w:szCs w:val="22"/>
        </w:rPr>
        <w:t xml:space="preserve">Petition for Amended Alternative Regulation and Network Modernization Plan of Marianna and Scenery Hill Telephone Company, </w:t>
      </w:r>
      <w:r w:rsidRPr="00D11D19">
        <w:rPr>
          <w:szCs w:val="22"/>
        </w:rPr>
        <w:t>Docket No. P-00981434F1000 (Order entered June 3, 2005).</w:t>
      </w:r>
    </w:p>
  </w:footnote>
  <w:footnote w:id="5">
    <w:p w14:paraId="2878809D" w14:textId="77777777" w:rsidR="0043377F" w:rsidRPr="00D11D19" w:rsidRDefault="0043377F" w:rsidP="0043377F">
      <w:pPr>
        <w:pStyle w:val="FootnoteText"/>
      </w:pPr>
      <w:r w:rsidRPr="00D11D19">
        <w:rPr>
          <w:rStyle w:val="FootnoteReference"/>
        </w:rPr>
        <w:footnoteRef/>
      </w:r>
      <w:r w:rsidRPr="00D11D19">
        <w:t xml:space="preserve"> </w:t>
      </w:r>
      <w:r w:rsidRPr="00D11D19">
        <w:rPr>
          <w:i/>
          <w:iCs/>
        </w:rPr>
        <w:t>See</w:t>
      </w:r>
      <w:r w:rsidRPr="00D11D19">
        <w:t xml:space="preserve">, Joint Application of Consolidated Communications Holdings, Inc., </w:t>
      </w:r>
      <w:r w:rsidRPr="00D11D19">
        <w:rPr>
          <w:i/>
          <w:iCs/>
        </w:rPr>
        <w:t>et al</w:t>
      </w:r>
      <w:r w:rsidRPr="00D11D19">
        <w:t xml:space="preserve">. for Approval of a </w:t>
      </w:r>
      <w:r w:rsidRPr="00D11D19">
        <w:rPr>
          <w:i/>
          <w:iCs/>
        </w:rPr>
        <w:t>Pro Forma</w:t>
      </w:r>
      <w:r w:rsidRPr="00D11D19">
        <w:t xml:space="preserve"> Intra-Company Consolidation and Abandonment of Certain Related Services (Dec. 5, 2018).  This merger and consolidation were part of a larger series of mergers and consolidations for which CCPA, </w:t>
      </w:r>
      <w:r w:rsidR="00D11D19" w:rsidRPr="00D11D19">
        <w:t>BTC</w:t>
      </w:r>
      <w:r w:rsidRPr="00D11D19">
        <w:t>, M&amp;SH, their parent company, Consolidated Communications Holdings, Inc. and various other affiliates of the foregoing sought Commission approval in the above-referenced dockets.</w:t>
      </w:r>
    </w:p>
  </w:footnote>
  <w:footnote w:id="6">
    <w:p w14:paraId="31EACF44" w14:textId="77777777" w:rsidR="00723CB4" w:rsidRPr="00D11D19" w:rsidRDefault="00723CB4" w:rsidP="00723CB4">
      <w:pPr>
        <w:pStyle w:val="FootnoteText"/>
      </w:pPr>
      <w:r w:rsidRPr="00D11D19">
        <w:rPr>
          <w:rStyle w:val="FootnoteReference"/>
        </w:rPr>
        <w:footnoteRef/>
      </w:r>
      <w:r w:rsidRPr="00D11D19">
        <w:t xml:space="preserve"> 2019 Secretarial Letter, at 7.</w:t>
      </w:r>
    </w:p>
  </w:footnote>
  <w:footnote w:id="7">
    <w:p w14:paraId="181E4171" w14:textId="77777777" w:rsidR="0057233C" w:rsidRPr="00D11D19" w:rsidRDefault="0057233C">
      <w:pPr>
        <w:pStyle w:val="FootnoteText"/>
      </w:pPr>
      <w:r w:rsidRPr="00D11D19">
        <w:rPr>
          <w:rStyle w:val="FootnoteReference"/>
        </w:rPr>
        <w:footnoteRef/>
      </w:r>
      <w:r w:rsidRPr="00D11D19">
        <w:t xml:space="preserve"> </w:t>
      </w:r>
      <w:r w:rsidR="006F0C50" w:rsidRPr="00D11D19">
        <w:t>2019 Secretarial Letter, at 8.</w:t>
      </w:r>
    </w:p>
  </w:footnote>
  <w:footnote w:id="8">
    <w:p w14:paraId="5BC14871" w14:textId="77777777" w:rsidR="0057233C" w:rsidRPr="00D11D19" w:rsidRDefault="0057233C">
      <w:pPr>
        <w:pStyle w:val="FootnoteText"/>
      </w:pPr>
      <w:r w:rsidRPr="00D11D19">
        <w:rPr>
          <w:rStyle w:val="FootnoteReference"/>
        </w:rPr>
        <w:footnoteRef/>
      </w:r>
      <w:r w:rsidRPr="00D11D19">
        <w:t xml:space="preserve"> </w:t>
      </w:r>
      <w:r w:rsidR="006F0C50" w:rsidRPr="00D11D19">
        <w:t>2019</w:t>
      </w:r>
      <w:r w:rsidRPr="00D11D19">
        <w:t xml:space="preserve"> Secretarial Letter, at 9.</w:t>
      </w:r>
    </w:p>
  </w:footnote>
  <w:footnote w:id="9">
    <w:p w14:paraId="21050054" w14:textId="77777777" w:rsidR="00810E72" w:rsidRPr="00D11D19" w:rsidRDefault="00810E72">
      <w:pPr>
        <w:pStyle w:val="FootnoteText"/>
      </w:pPr>
      <w:r w:rsidRPr="00D11D19">
        <w:rPr>
          <w:rStyle w:val="FootnoteReference"/>
        </w:rPr>
        <w:footnoteRef/>
      </w:r>
      <w:r w:rsidRPr="00D11D19">
        <w:t xml:space="preserve"> Letter from </w:t>
      </w:r>
      <w:r w:rsidR="00F84442" w:rsidRPr="00D11D19">
        <w:t>Charles Thomas, Esq. to Rosemary Chiavetta</w:t>
      </w:r>
      <w:r w:rsidR="00DD5E5E" w:rsidRPr="00D11D19">
        <w:t xml:space="preserve"> </w:t>
      </w:r>
      <w:r w:rsidR="00F84442" w:rsidRPr="00D11D19">
        <w:t>(April 28, 2020).</w:t>
      </w:r>
    </w:p>
  </w:footnote>
  <w:footnote w:id="10">
    <w:p w14:paraId="57EA51DC" w14:textId="77777777" w:rsidR="00F84442" w:rsidRPr="00D11D19" w:rsidRDefault="00F84442">
      <w:pPr>
        <w:pStyle w:val="FootnoteText"/>
      </w:pPr>
      <w:r w:rsidRPr="00D11D19">
        <w:rPr>
          <w:rStyle w:val="FootnoteReference"/>
        </w:rPr>
        <w:footnoteRef/>
      </w:r>
      <w:r w:rsidRPr="00D11D19">
        <w:t xml:space="preserve"> Letter from Deanne O’Dell, Esq. to Rosemary Chiavetta</w:t>
      </w:r>
      <w:r w:rsidR="00DD5E5E" w:rsidRPr="00D11D19">
        <w:t xml:space="preserve"> </w:t>
      </w:r>
      <w:r w:rsidRPr="00D11D19">
        <w:t>(May 18, 2021).</w:t>
      </w:r>
    </w:p>
  </w:footnote>
  <w:footnote w:id="11">
    <w:p w14:paraId="5353395D" w14:textId="77777777" w:rsidR="004B1AAB" w:rsidRPr="00D11D19" w:rsidRDefault="004B1AAB">
      <w:pPr>
        <w:pStyle w:val="FootnoteText"/>
      </w:pPr>
      <w:r w:rsidRPr="00D11D19">
        <w:rPr>
          <w:rStyle w:val="FootnoteReference"/>
        </w:rPr>
        <w:footnoteRef/>
      </w:r>
      <w:r w:rsidRPr="00D11D19">
        <w:t xml:space="preserve"> </w:t>
      </w:r>
      <w:r w:rsidR="00677814" w:rsidRPr="00D11D19">
        <w:t>May 25 Letter-Petition</w:t>
      </w:r>
      <w:r w:rsidRPr="00D11D19">
        <w:t xml:space="preserve"> at 1-2.</w:t>
      </w:r>
    </w:p>
  </w:footnote>
  <w:footnote w:id="12">
    <w:p w14:paraId="3ACC99D3" w14:textId="77777777" w:rsidR="004B1AAB" w:rsidRPr="00D11D19" w:rsidRDefault="004B1AAB">
      <w:pPr>
        <w:pStyle w:val="FootnoteText"/>
      </w:pPr>
      <w:r w:rsidRPr="00D11D19">
        <w:rPr>
          <w:rStyle w:val="FootnoteReference"/>
        </w:rPr>
        <w:footnoteRef/>
      </w:r>
      <w:r w:rsidRPr="00D11D19">
        <w:t xml:space="preserve"> </w:t>
      </w:r>
      <w:r w:rsidRPr="00D11D19">
        <w:rPr>
          <w:i/>
          <w:iCs/>
        </w:rPr>
        <w:t>Id.</w:t>
      </w:r>
      <w:r w:rsidRPr="00D11D19">
        <w:t xml:space="preserve"> at 2.</w:t>
      </w:r>
    </w:p>
  </w:footnote>
  <w:footnote w:id="13">
    <w:p w14:paraId="563602DA" w14:textId="77777777" w:rsidR="004B1AAB" w:rsidRPr="00D11D19" w:rsidRDefault="004B1AAB">
      <w:pPr>
        <w:pStyle w:val="FootnoteText"/>
      </w:pPr>
      <w:r w:rsidRPr="00D11D19">
        <w:rPr>
          <w:rStyle w:val="FootnoteReference"/>
        </w:rPr>
        <w:footnoteRef/>
      </w:r>
      <w:r w:rsidRPr="00D11D19">
        <w:t xml:space="preserve"> </w:t>
      </w:r>
      <w:r w:rsidRPr="00D11D19">
        <w:rPr>
          <w:i/>
          <w:iCs/>
        </w:rPr>
        <w:t>Id.</w:t>
      </w:r>
      <w:r w:rsidRPr="00D11D19">
        <w:t xml:space="preserve"> </w:t>
      </w:r>
    </w:p>
  </w:footnote>
  <w:footnote w:id="14">
    <w:p w14:paraId="71183ECF" w14:textId="77777777" w:rsidR="00622618" w:rsidRPr="00D11D19" w:rsidRDefault="00622618">
      <w:pPr>
        <w:pStyle w:val="FootnoteText"/>
      </w:pPr>
      <w:r w:rsidRPr="00D11D19">
        <w:rPr>
          <w:rStyle w:val="FootnoteReference"/>
        </w:rPr>
        <w:footnoteRef/>
      </w:r>
      <w:r w:rsidRPr="00D11D19">
        <w:t xml:space="preserve"> </w:t>
      </w:r>
      <w:r w:rsidRPr="00D11D19">
        <w:rPr>
          <w:i/>
          <w:iCs/>
        </w:rPr>
        <w:t>Id.</w:t>
      </w:r>
      <w:r w:rsidRPr="00D11D19">
        <w:t xml:space="preserve"> </w:t>
      </w:r>
    </w:p>
  </w:footnote>
  <w:footnote w:id="15">
    <w:p w14:paraId="4A2E6E54" w14:textId="77777777" w:rsidR="00622618" w:rsidRPr="00D11D19" w:rsidRDefault="00622618">
      <w:pPr>
        <w:pStyle w:val="FootnoteText"/>
      </w:pPr>
      <w:r w:rsidRPr="00D11D19">
        <w:rPr>
          <w:rStyle w:val="FootnoteReference"/>
        </w:rPr>
        <w:footnoteRef/>
      </w:r>
      <w:r w:rsidRPr="00D11D19">
        <w:t xml:space="preserve"> </w:t>
      </w:r>
      <w:r w:rsidRPr="00D11D19">
        <w:rPr>
          <w:i/>
          <w:iCs/>
        </w:rPr>
        <w:t>Id.</w:t>
      </w:r>
      <w:r w:rsidRPr="00D11D19">
        <w:t xml:space="preserve"> </w:t>
      </w:r>
    </w:p>
  </w:footnote>
  <w:footnote w:id="16">
    <w:p w14:paraId="724B7257" w14:textId="77777777" w:rsidR="00622618" w:rsidRPr="00D11D19" w:rsidRDefault="00622618">
      <w:pPr>
        <w:pStyle w:val="FootnoteText"/>
      </w:pPr>
      <w:r w:rsidRPr="00D11D19">
        <w:rPr>
          <w:rStyle w:val="FootnoteReference"/>
        </w:rPr>
        <w:footnoteRef/>
      </w:r>
      <w:r w:rsidRPr="00D11D19">
        <w:t xml:space="preserve"> </w:t>
      </w:r>
      <w:r w:rsidRPr="00D11D19">
        <w:rPr>
          <w:i/>
          <w:iCs/>
        </w:rPr>
        <w:t>Id.</w:t>
      </w:r>
      <w:r w:rsidRPr="00D11D19">
        <w:t xml:space="preserve"> </w:t>
      </w:r>
    </w:p>
  </w:footnote>
  <w:footnote w:id="17">
    <w:p w14:paraId="536E6E0A" w14:textId="77777777" w:rsidR="00622618" w:rsidRPr="00D11D19" w:rsidRDefault="00622618">
      <w:pPr>
        <w:pStyle w:val="FootnoteText"/>
      </w:pPr>
      <w:r w:rsidRPr="00D11D19">
        <w:rPr>
          <w:rStyle w:val="FootnoteReference"/>
        </w:rPr>
        <w:footnoteRef/>
      </w:r>
      <w:r w:rsidRPr="00D11D19">
        <w:t xml:space="preserve"> </w:t>
      </w:r>
      <w:r w:rsidRPr="00D11D19">
        <w:rPr>
          <w:i/>
          <w:iCs/>
        </w:rPr>
        <w:t>Id.</w:t>
      </w:r>
      <w:r w:rsidRPr="00D11D19">
        <w:t xml:space="preserve"> at 2-3.</w:t>
      </w:r>
    </w:p>
  </w:footnote>
  <w:footnote w:id="18">
    <w:p w14:paraId="4E8047FA" w14:textId="77777777" w:rsidR="004B1AAB" w:rsidRPr="00D11D19" w:rsidRDefault="004B1AAB">
      <w:pPr>
        <w:pStyle w:val="FootnoteText"/>
      </w:pPr>
      <w:r w:rsidRPr="00D11D19">
        <w:rPr>
          <w:rStyle w:val="FootnoteReference"/>
        </w:rPr>
        <w:footnoteRef/>
      </w:r>
      <w:r w:rsidRPr="00D11D19">
        <w:t xml:space="preserve"> </w:t>
      </w:r>
      <w:r w:rsidRPr="00D11D19">
        <w:rPr>
          <w:i/>
          <w:iCs/>
        </w:rPr>
        <w:t>Id.</w:t>
      </w:r>
      <w:r w:rsidRPr="00D11D19">
        <w:t xml:space="preserve"> at 3.</w:t>
      </w:r>
    </w:p>
  </w:footnote>
  <w:footnote w:id="19">
    <w:p w14:paraId="2A563390" w14:textId="77777777" w:rsidR="004B1AAB" w:rsidRPr="00D11D19" w:rsidRDefault="004B1AAB">
      <w:pPr>
        <w:pStyle w:val="FootnoteText"/>
      </w:pPr>
      <w:r w:rsidRPr="00D11D19">
        <w:rPr>
          <w:rStyle w:val="FootnoteReference"/>
        </w:rPr>
        <w:footnoteRef/>
      </w:r>
      <w:r w:rsidRPr="00D11D19">
        <w:t xml:space="preserve"> </w:t>
      </w:r>
      <w:r w:rsidRPr="00D11D19">
        <w:rPr>
          <w:i/>
          <w:iCs/>
        </w:rPr>
        <w:t>Id.</w:t>
      </w:r>
      <w:r w:rsidRPr="00D11D19">
        <w:t xml:space="preserve"> </w:t>
      </w:r>
    </w:p>
  </w:footnote>
  <w:footnote w:id="20">
    <w:p w14:paraId="4804EAD0" w14:textId="77777777" w:rsidR="00622618" w:rsidRPr="00D11D19" w:rsidRDefault="00622618">
      <w:pPr>
        <w:pStyle w:val="FootnoteText"/>
      </w:pPr>
      <w:r w:rsidRPr="00D11D19">
        <w:rPr>
          <w:rStyle w:val="FootnoteReference"/>
        </w:rPr>
        <w:footnoteRef/>
      </w:r>
      <w:r w:rsidRPr="00D11D19">
        <w:t xml:space="preserve"> </w:t>
      </w:r>
      <w:bookmarkStart w:id="3" w:name="_Hlk80358353"/>
      <w:r w:rsidRPr="00D11D19">
        <w:rPr>
          <w:i/>
          <w:iCs/>
        </w:rPr>
        <w:t>Id.</w:t>
      </w:r>
      <w:r w:rsidRPr="00D11D19">
        <w:t xml:space="preserve"> </w:t>
      </w:r>
      <w:bookmarkEnd w:id="3"/>
    </w:p>
  </w:footnote>
  <w:footnote w:id="21">
    <w:p w14:paraId="7FB0FCAF" w14:textId="77777777" w:rsidR="009557B8" w:rsidRPr="00D11D19" w:rsidRDefault="009557B8" w:rsidP="009557B8">
      <w:pPr>
        <w:pStyle w:val="FootnoteText"/>
      </w:pPr>
      <w:r w:rsidRPr="00D11D19">
        <w:rPr>
          <w:rStyle w:val="FootnoteReference"/>
        </w:rPr>
        <w:footnoteRef/>
      </w:r>
      <w:r w:rsidRPr="00D11D19">
        <w:t xml:space="preserve"> 66 Pa. C.S. § 3013(b) (“Limitation on changes to plans.--Except for changes to existing alternative form of regulation and network modernization plans as authorized by this chapter, no change to any alternative form of regulation or network modernization plan may be made without the express agreement of both the commission and the local exchange telecommunications company.”).</w:t>
      </w:r>
    </w:p>
  </w:footnote>
  <w:footnote w:id="22">
    <w:p w14:paraId="43DABE95" w14:textId="77777777" w:rsidR="00D22BE0" w:rsidRPr="00D11D19" w:rsidRDefault="00D22BE0">
      <w:pPr>
        <w:pStyle w:val="FootnoteText"/>
      </w:pPr>
      <w:r w:rsidRPr="00D11D19">
        <w:rPr>
          <w:rStyle w:val="FootnoteReference"/>
        </w:rPr>
        <w:footnoteRef/>
      </w:r>
      <w:r w:rsidRPr="00D11D19">
        <w:t xml:space="preserve"> </w:t>
      </w:r>
      <w:r w:rsidR="00677814" w:rsidRPr="00D11D19">
        <w:t>May 25 Letter-Petition</w:t>
      </w:r>
      <w:r w:rsidRPr="00D11D19">
        <w:t>, at 3.</w:t>
      </w:r>
    </w:p>
  </w:footnote>
  <w:footnote w:id="23">
    <w:p w14:paraId="39CE4175" w14:textId="77777777" w:rsidR="00D22BE0" w:rsidRPr="00D11D19" w:rsidRDefault="00D22BE0">
      <w:pPr>
        <w:pStyle w:val="FootnoteText"/>
      </w:pPr>
      <w:r w:rsidRPr="00D11D19">
        <w:rPr>
          <w:rStyle w:val="FootnoteReference"/>
        </w:rPr>
        <w:footnoteRef/>
      </w:r>
      <w:r w:rsidRPr="00D11D19">
        <w:t xml:space="preserve"> </w:t>
      </w:r>
      <w:r w:rsidRPr="00D11D19">
        <w:rPr>
          <w:i/>
          <w:iCs/>
        </w:rPr>
        <w:t>Id.</w:t>
      </w:r>
      <w:r w:rsidRPr="00D11D19">
        <w:t xml:space="preserve"> </w:t>
      </w:r>
    </w:p>
  </w:footnote>
  <w:footnote w:id="24">
    <w:p w14:paraId="38B1EB7D" w14:textId="77777777" w:rsidR="00D22BE0" w:rsidRPr="00D11D19" w:rsidRDefault="00D22BE0">
      <w:pPr>
        <w:pStyle w:val="FootnoteText"/>
      </w:pPr>
      <w:r w:rsidRPr="00D11D19">
        <w:rPr>
          <w:rStyle w:val="FootnoteReference"/>
        </w:rPr>
        <w:footnoteRef/>
      </w:r>
      <w:r w:rsidRPr="00D11D19">
        <w:t xml:space="preserve"> </w:t>
      </w:r>
      <w:r w:rsidRPr="00D11D19">
        <w:rPr>
          <w:i/>
          <w:iCs/>
        </w:rPr>
        <w:t>Id.</w:t>
      </w:r>
      <w:r w:rsidRPr="00D11D19">
        <w:t xml:space="preserve"> </w:t>
      </w:r>
    </w:p>
  </w:footnote>
  <w:footnote w:id="25">
    <w:p w14:paraId="1CA3E6EA" w14:textId="77777777" w:rsidR="00D22BE0" w:rsidRPr="00D11D19" w:rsidRDefault="00D22BE0">
      <w:pPr>
        <w:pStyle w:val="FootnoteText"/>
        <w:rPr>
          <w:i/>
          <w:iCs/>
        </w:rPr>
      </w:pPr>
      <w:r w:rsidRPr="00D11D19">
        <w:rPr>
          <w:rStyle w:val="FootnoteReference"/>
        </w:rPr>
        <w:footnoteRef/>
      </w:r>
      <w:r w:rsidRPr="00D11D19">
        <w:t xml:space="preserve"> </w:t>
      </w:r>
      <w:r w:rsidRPr="00D11D19">
        <w:rPr>
          <w:i/>
          <w:iCs/>
        </w:rPr>
        <w:t>Id.</w:t>
      </w:r>
    </w:p>
  </w:footnote>
  <w:footnote w:id="26">
    <w:p w14:paraId="56DE63F1" w14:textId="77777777" w:rsidR="008815FC" w:rsidRPr="00D11D19" w:rsidRDefault="008815FC">
      <w:pPr>
        <w:pStyle w:val="FootnoteText"/>
      </w:pPr>
      <w:r w:rsidRPr="00D11D19">
        <w:rPr>
          <w:rStyle w:val="FootnoteReference"/>
        </w:rPr>
        <w:footnoteRef/>
      </w:r>
      <w:r w:rsidRPr="00D11D19">
        <w:t xml:space="preserve"> See generally Legislative Budget and Finance Committee, A Joint Committee of the Pennsylvania General Assembly</w:t>
      </w:r>
      <w:r w:rsidRPr="00D11D19">
        <w:rPr>
          <w:i/>
          <w:iCs/>
        </w:rPr>
        <w:t xml:space="preserve">, </w:t>
      </w:r>
      <w:r w:rsidRPr="00D11D19">
        <w:t xml:space="preserve">(June 30, 2020). </w:t>
      </w:r>
      <w:r w:rsidRPr="00D11D19">
        <w:rPr>
          <w:i/>
          <w:iCs/>
        </w:rPr>
        <w:t xml:space="preserve">A Report on Pennsylvania ILEC Broadband Deployment Mandate.  </w:t>
      </w:r>
    </w:p>
  </w:footnote>
  <w:footnote w:id="27">
    <w:p w14:paraId="2CACF296" w14:textId="77777777" w:rsidR="006A04B0" w:rsidRDefault="006A04B0">
      <w:pPr>
        <w:pStyle w:val="FootnoteText"/>
      </w:pPr>
      <w:r w:rsidRPr="00D11D19">
        <w:rPr>
          <w:rStyle w:val="FootnoteReference"/>
        </w:rPr>
        <w:footnoteRef/>
      </w:r>
      <w:r w:rsidRPr="00D11D19">
        <w:t xml:space="preserve"> As required by </w:t>
      </w:r>
      <w:r w:rsidR="008815FC" w:rsidRPr="00D11D19">
        <w:t xml:space="preserve">the </w:t>
      </w:r>
      <w:r w:rsidRPr="00D11D19">
        <w:t>NMPs</w:t>
      </w:r>
      <w:r w:rsidR="008815FC" w:rsidRPr="00D11D19">
        <w:t xml:space="preserve"> set forth</w:t>
      </w:r>
      <w:r w:rsidRPr="00D11D19">
        <w:t xml:space="preserve"> in their </w:t>
      </w:r>
      <w:r w:rsidR="008815FC" w:rsidRPr="00D11D19">
        <w:t xml:space="preserve">filed Amended </w:t>
      </w:r>
      <w:r w:rsidRPr="00D11D19">
        <w:t xml:space="preserve">Chapter 30 Plans, </w:t>
      </w:r>
      <w:r w:rsidR="00773713" w:rsidRPr="00D11D19">
        <w:t>all three R</w:t>
      </w:r>
      <w:r w:rsidRPr="00D11D19">
        <w:t>LECs were required to accelerate broadband availability at minimum download/upload speeds of 1.544 Mbps/128 Kbps in a balanced manner throughout rural, suburban, and urban areas</w:t>
      </w:r>
      <w:r w:rsidR="00773713" w:rsidRPr="00D11D19">
        <w:t xml:space="preserve"> within their respective service territories.</w:t>
      </w:r>
      <w:r w:rsidR="0077371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44E40EA8"/>
    <w:multiLevelType w:val="hybridMultilevel"/>
    <w:tmpl w:val="FD72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4416A"/>
    <w:multiLevelType w:val="hybridMultilevel"/>
    <w:tmpl w:val="4D448FF8"/>
    <w:lvl w:ilvl="0" w:tplc="A0AA26C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D52705"/>
    <w:multiLevelType w:val="hybridMultilevel"/>
    <w:tmpl w:val="37ECE1A0"/>
    <w:lvl w:ilvl="0" w:tplc="A0AA26C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4A88"/>
    <w:rsid w:val="000108C6"/>
    <w:rsid w:val="000109AF"/>
    <w:rsid w:val="0002348B"/>
    <w:rsid w:val="00023D6B"/>
    <w:rsid w:val="000401D8"/>
    <w:rsid w:val="00053A20"/>
    <w:rsid w:val="00061E62"/>
    <w:rsid w:val="00061ECE"/>
    <w:rsid w:val="000675A4"/>
    <w:rsid w:val="00075AC0"/>
    <w:rsid w:val="000811B9"/>
    <w:rsid w:val="00092C0A"/>
    <w:rsid w:val="000A6AC7"/>
    <w:rsid w:val="000B0A41"/>
    <w:rsid w:val="000B20C0"/>
    <w:rsid w:val="000E3ECD"/>
    <w:rsid w:val="00107AB8"/>
    <w:rsid w:val="001119EF"/>
    <w:rsid w:val="001339A3"/>
    <w:rsid w:val="0013501F"/>
    <w:rsid w:val="00142828"/>
    <w:rsid w:val="0015549B"/>
    <w:rsid w:val="00185F1B"/>
    <w:rsid w:val="00191567"/>
    <w:rsid w:val="001B6DC1"/>
    <w:rsid w:val="001B7588"/>
    <w:rsid w:val="001C3E4A"/>
    <w:rsid w:val="001D22DD"/>
    <w:rsid w:val="001E3846"/>
    <w:rsid w:val="001F5D58"/>
    <w:rsid w:val="00214C36"/>
    <w:rsid w:val="00217EF7"/>
    <w:rsid w:val="00223465"/>
    <w:rsid w:val="0022503C"/>
    <w:rsid w:val="00250087"/>
    <w:rsid w:val="00251C6E"/>
    <w:rsid w:val="002755B0"/>
    <w:rsid w:val="00290A3D"/>
    <w:rsid w:val="002A23AC"/>
    <w:rsid w:val="002B18E0"/>
    <w:rsid w:val="002B49E8"/>
    <w:rsid w:val="002B514E"/>
    <w:rsid w:val="002C1646"/>
    <w:rsid w:val="002C30F7"/>
    <w:rsid w:val="002C7630"/>
    <w:rsid w:val="002D57DD"/>
    <w:rsid w:val="002E2B14"/>
    <w:rsid w:val="002F7691"/>
    <w:rsid w:val="00304809"/>
    <w:rsid w:val="00317618"/>
    <w:rsid w:val="00324A75"/>
    <w:rsid w:val="003277D7"/>
    <w:rsid w:val="00330143"/>
    <w:rsid w:val="00331A46"/>
    <w:rsid w:val="003361FF"/>
    <w:rsid w:val="0035040B"/>
    <w:rsid w:val="00350758"/>
    <w:rsid w:val="00353A13"/>
    <w:rsid w:val="00355C9A"/>
    <w:rsid w:val="0037498A"/>
    <w:rsid w:val="00393BAF"/>
    <w:rsid w:val="003A266D"/>
    <w:rsid w:val="003A6228"/>
    <w:rsid w:val="003B6C04"/>
    <w:rsid w:val="003D3563"/>
    <w:rsid w:val="003D5A1D"/>
    <w:rsid w:val="003E672D"/>
    <w:rsid w:val="00432646"/>
    <w:rsid w:val="0043377F"/>
    <w:rsid w:val="004465AE"/>
    <w:rsid w:val="004645AD"/>
    <w:rsid w:val="004768B5"/>
    <w:rsid w:val="004A17A3"/>
    <w:rsid w:val="004B1AAB"/>
    <w:rsid w:val="004B69D5"/>
    <w:rsid w:val="004D10F9"/>
    <w:rsid w:val="004E58A5"/>
    <w:rsid w:val="004F370A"/>
    <w:rsid w:val="0051578E"/>
    <w:rsid w:val="00520427"/>
    <w:rsid w:val="00523A8C"/>
    <w:rsid w:val="00524B6D"/>
    <w:rsid w:val="0052639C"/>
    <w:rsid w:val="005430BC"/>
    <w:rsid w:val="005431BE"/>
    <w:rsid w:val="005529E9"/>
    <w:rsid w:val="00566BCF"/>
    <w:rsid w:val="00571027"/>
    <w:rsid w:val="0057150F"/>
    <w:rsid w:val="0057233C"/>
    <w:rsid w:val="00572CCC"/>
    <w:rsid w:val="0059019D"/>
    <w:rsid w:val="00590E43"/>
    <w:rsid w:val="005A6FCE"/>
    <w:rsid w:val="005A7356"/>
    <w:rsid w:val="005B38CF"/>
    <w:rsid w:val="005C2527"/>
    <w:rsid w:val="005C7A1F"/>
    <w:rsid w:val="005D03E0"/>
    <w:rsid w:val="005F1C61"/>
    <w:rsid w:val="005F3889"/>
    <w:rsid w:val="00600A17"/>
    <w:rsid w:val="006027A7"/>
    <w:rsid w:val="006048E2"/>
    <w:rsid w:val="00613CD5"/>
    <w:rsid w:val="00621EEE"/>
    <w:rsid w:val="00622618"/>
    <w:rsid w:val="00622AFA"/>
    <w:rsid w:val="00664271"/>
    <w:rsid w:val="00677814"/>
    <w:rsid w:val="00686EF2"/>
    <w:rsid w:val="00694131"/>
    <w:rsid w:val="00697266"/>
    <w:rsid w:val="006A01F9"/>
    <w:rsid w:val="006A04B0"/>
    <w:rsid w:val="006A49BD"/>
    <w:rsid w:val="006B1962"/>
    <w:rsid w:val="006B241E"/>
    <w:rsid w:val="006B2984"/>
    <w:rsid w:val="006B77BE"/>
    <w:rsid w:val="006E5824"/>
    <w:rsid w:val="006F0C50"/>
    <w:rsid w:val="00723CB4"/>
    <w:rsid w:val="007300A4"/>
    <w:rsid w:val="007305A5"/>
    <w:rsid w:val="00734041"/>
    <w:rsid w:val="007350B9"/>
    <w:rsid w:val="00745AD6"/>
    <w:rsid w:val="00747283"/>
    <w:rsid w:val="007632B0"/>
    <w:rsid w:val="00773713"/>
    <w:rsid w:val="00776F80"/>
    <w:rsid w:val="00786CD7"/>
    <w:rsid w:val="007B2569"/>
    <w:rsid w:val="007B744C"/>
    <w:rsid w:val="007D2A0F"/>
    <w:rsid w:val="007D368E"/>
    <w:rsid w:val="007D587C"/>
    <w:rsid w:val="007E6598"/>
    <w:rsid w:val="007F20F0"/>
    <w:rsid w:val="007F37C1"/>
    <w:rsid w:val="00806E34"/>
    <w:rsid w:val="00810E72"/>
    <w:rsid w:val="00816287"/>
    <w:rsid w:val="00835BE7"/>
    <w:rsid w:val="008368B6"/>
    <w:rsid w:val="008815FC"/>
    <w:rsid w:val="008844AF"/>
    <w:rsid w:val="008B5653"/>
    <w:rsid w:val="008C7ABF"/>
    <w:rsid w:val="008F4981"/>
    <w:rsid w:val="009205C7"/>
    <w:rsid w:val="00920CD4"/>
    <w:rsid w:val="009248F5"/>
    <w:rsid w:val="00941451"/>
    <w:rsid w:val="009557B8"/>
    <w:rsid w:val="00963F8F"/>
    <w:rsid w:val="0096663E"/>
    <w:rsid w:val="0097299C"/>
    <w:rsid w:val="00976012"/>
    <w:rsid w:val="00981EE0"/>
    <w:rsid w:val="00985472"/>
    <w:rsid w:val="00991393"/>
    <w:rsid w:val="009B2CAC"/>
    <w:rsid w:val="009D5F04"/>
    <w:rsid w:val="00A13935"/>
    <w:rsid w:val="00A172FF"/>
    <w:rsid w:val="00A20BE8"/>
    <w:rsid w:val="00A34140"/>
    <w:rsid w:val="00A504C4"/>
    <w:rsid w:val="00A508B3"/>
    <w:rsid w:val="00A82B74"/>
    <w:rsid w:val="00A82FC9"/>
    <w:rsid w:val="00A9040A"/>
    <w:rsid w:val="00A9182F"/>
    <w:rsid w:val="00AA5A51"/>
    <w:rsid w:val="00AB1612"/>
    <w:rsid w:val="00AB2AE3"/>
    <w:rsid w:val="00AB2CF1"/>
    <w:rsid w:val="00AB733B"/>
    <w:rsid w:val="00AB738E"/>
    <w:rsid w:val="00AC6AAA"/>
    <w:rsid w:val="00AD5F40"/>
    <w:rsid w:val="00AE3E24"/>
    <w:rsid w:val="00B10F16"/>
    <w:rsid w:val="00B3246D"/>
    <w:rsid w:val="00B363B0"/>
    <w:rsid w:val="00B57B62"/>
    <w:rsid w:val="00B60A3C"/>
    <w:rsid w:val="00B61B17"/>
    <w:rsid w:val="00B9643A"/>
    <w:rsid w:val="00BB02BC"/>
    <w:rsid w:val="00BD7C30"/>
    <w:rsid w:val="00BE1679"/>
    <w:rsid w:val="00BE2339"/>
    <w:rsid w:val="00BE499A"/>
    <w:rsid w:val="00C01D96"/>
    <w:rsid w:val="00C0451E"/>
    <w:rsid w:val="00C1338D"/>
    <w:rsid w:val="00C14B6E"/>
    <w:rsid w:val="00C410FE"/>
    <w:rsid w:val="00C5353F"/>
    <w:rsid w:val="00CD6C97"/>
    <w:rsid w:val="00CE3A87"/>
    <w:rsid w:val="00D02590"/>
    <w:rsid w:val="00D06775"/>
    <w:rsid w:val="00D06B11"/>
    <w:rsid w:val="00D11D19"/>
    <w:rsid w:val="00D21FD0"/>
    <w:rsid w:val="00D22BE0"/>
    <w:rsid w:val="00D53CF7"/>
    <w:rsid w:val="00D5619D"/>
    <w:rsid w:val="00D61F9F"/>
    <w:rsid w:val="00D83182"/>
    <w:rsid w:val="00D8433B"/>
    <w:rsid w:val="00D850D4"/>
    <w:rsid w:val="00DA28F1"/>
    <w:rsid w:val="00DA4840"/>
    <w:rsid w:val="00DA4F7F"/>
    <w:rsid w:val="00DA5B10"/>
    <w:rsid w:val="00DA5B65"/>
    <w:rsid w:val="00DB623A"/>
    <w:rsid w:val="00DC7F2D"/>
    <w:rsid w:val="00DD5E5E"/>
    <w:rsid w:val="00DE520F"/>
    <w:rsid w:val="00DF0470"/>
    <w:rsid w:val="00E15458"/>
    <w:rsid w:val="00E178C1"/>
    <w:rsid w:val="00E20E18"/>
    <w:rsid w:val="00E27D04"/>
    <w:rsid w:val="00E33E4C"/>
    <w:rsid w:val="00E35B85"/>
    <w:rsid w:val="00E36544"/>
    <w:rsid w:val="00E441EC"/>
    <w:rsid w:val="00E52E18"/>
    <w:rsid w:val="00E61949"/>
    <w:rsid w:val="00E72D6C"/>
    <w:rsid w:val="00E809BE"/>
    <w:rsid w:val="00E93163"/>
    <w:rsid w:val="00E95CF9"/>
    <w:rsid w:val="00E96680"/>
    <w:rsid w:val="00EA5B39"/>
    <w:rsid w:val="00EA78E6"/>
    <w:rsid w:val="00ED7D4C"/>
    <w:rsid w:val="00F00ABF"/>
    <w:rsid w:val="00F15A31"/>
    <w:rsid w:val="00F17A85"/>
    <w:rsid w:val="00F27679"/>
    <w:rsid w:val="00F46269"/>
    <w:rsid w:val="00F55B91"/>
    <w:rsid w:val="00F649E4"/>
    <w:rsid w:val="00F80429"/>
    <w:rsid w:val="00F84442"/>
    <w:rsid w:val="00F90DC1"/>
    <w:rsid w:val="00F91611"/>
    <w:rsid w:val="00FA29A2"/>
    <w:rsid w:val="00FA40BB"/>
    <w:rsid w:val="00FA58EC"/>
    <w:rsid w:val="00FC4B69"/>
    <w:rsid w:val="00FE3FC0"/>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E98EE9"/>
  <w15:docId w15:val="{2FC5D2EF-5A96-41BA-9352-34777897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ft"/>
    <w:basedOn w:val="Normal"/>
    <w:link w:val="FootnoteTextChar"/>
    <w:uiPriority w:val="99"/>
    <w:rsid w:val="009248F5"/>
    <w:rPr>
      <w:sz w:val="20"/>
    </w:rPr>
  </w:style>
  <w:style w:type="character" w:styleId="FootnoteReference">
    <w:name w:val="footnote reference"/>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link w:val="FootnoteText"/>
    <w:uiPriority w:val="99"/>
    <w:rsid w:val="0043377F"/>
  </w:style>
  <w:style w:type="character" w:styleId="CommentReference">
    <w:name w:val="annotation reference"/>
    <w:rsid w:val="008F4981"/>
    <w:rPr>
      <w:sz w:val="16"/>
      <w:szCs w:val="16"/>
    </w:rPr>
  </w:style>
  <w:style w:type="paragraph" w:styleId="CommentText">
    <w:name w:val="annotation text"/>
    <w:basedOn w:val="Normal"/>
    <w:link w:val="CommentTextChar"/>
    <w:rsid w:val="008F4981"/>
    <w:rPr>
      <w:sz w:val="20"/>
    </w:rPr>
  </w:style>
  <w:style w:type="character" w:customStyle="1" w:styleId="CommentTextChar">
    <w:name w:val="Comment Text Char"/>
    <w:basedOn w:val="DefaultParagraphFont"/>
    <w:link w:val="CommentText"/>
    <w:rsid w:val="008F4981"/>
  </w:style>
  <w:style w:type="paragraph" w:styleId="CommentSubject">
    <w:name w:val="annotation subject"/>
    <w:basedOn w:val="CommentText"/>
    <w:next w:val="CommentText"/>
    <w:link w:val="CommentSubjectChar"/>
    <w:rsid w:val="008F4981"/>
    <w:rPr>
      <w:b/>
      <w:bCs/>
    </w:rPr>
  </w:style>
  <w:style w:type="character" w:customStyle="1" w:styleId="CommentSubjectChar">
    <w:name w:val="Comment Subject Char"/>
    <w:link w:val="CommentSubject"/>
    <w:rsid w:val="008F4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9425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AC4F-73A0-4E02-B219-5E95EC10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dc:description/>
  <cp:lastModifiedBy>Wagner, Nathan R</cp:lastModifiedBy>
  <cp:revision>2</cp:revision>
  <cp:lastPrinted>2004-05-11T12:38:00Z</cp:lastPrinted>
  <dcterms:created xsi:type="dcterms:W3CDTF">2021-08-26T17:24:00Z</dcterms:created>
  <dcterms:modified xsi:type="dcterms:W3CDTF">2021-08-26T17:24:00Z</dcterms:modified>
</cp:coreProperties>
</file>