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4150D4F8" w:rsidR="002E2824" w:rsidRPr="007714B5" w:rsidRDefault="00E96CE8" w:rsidP="000753F8">
            <w:pPr>
              <w:ind w:left="-120" w:right="735"/>
              <w:rPr>
                <w:szCs w:val="24"/>
              </w:rPr>
            </w:pPr>
            <w:r>
              <w:rPr>
                <w:szCs w:val="24"/>
              </w:rPr>
              <w:t xml:space="preserve">     </w:t>
            </w:r>
            <w:r w:rsidR="00BB4C9C">
              <w:rPr>
                <w:szCs w:val="24"/>
              </w:rPr>
              <w:t xml:space="preserve"> </w:t>
            </w:r>
            <w:r w:rsidR="002E2824" w:rsidRPr="007714B5">
              <w:rPr>
                <w:szCs w:val="24"/>
              </w:rPr>
              <w:t xml:space="preserve">Public Meeting held </w:t>
            </w:r>
            <w:r w:rsidR="000F131C">
              <w:rPr>
                <w:szCs w:val="24"/>
              </w:rPr>
              <w:t>September 15</w:t>
            </w:r>
            <w:r w:rsidR="005C0067">
              <w:rPr>
                <w:szCs w:val="24"/>
              </w:rPr>
              <w:t>, 2021</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Gladys Brown Dutrieuille,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Ralph V. Yanora</w:t>
            </w:r>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7714B5" w:rsidRDefault="002E2824" w:rsidP="000753F8">
            <w:pPr>
              <w:jc w:val="center"/>
              <w:rPr>
                <w:szCs w:val="24"/>
              </w:rPr>
            </w:pPr>
            <w:r w:rsidRPr="007714B5">
              <w:rPr>
                <w:szCs w:val="24"/>
              </w:rPr>
              <w:t>M-202</w:t>
            </w:r>
            <w:r w:rsidR="008A6819">
              <w:rPr>
                <w:szCs w:val="24"/>
              </w:rPr>
              <w:t>1</w:t>
            </w:r>
            <w:r w:rsidRPr="007714B5">
              <w:rPr>
                <w:szCs w:val="24"/>
              </w:rPr>
              <w:t>-</w:t>
            </w:r>
            <w:r w:rsidR="008A6819">
              <w:rPr>
                <w:szCs w:val="24"/>
              </w:rPr>
              <w:t>3023559</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EA96513"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w:t>
      </w:r>
      <w:r w:rsidR="001C3851">
        <w:rPr>
          <w:snapToGrid w:val="0"/>
          <w:szCs w:val="24"/>
        </w:rPr>
        <w:t>y</w:t>
      </w:r>
      <w:r w:rsidRPr="007714B5">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F7945A1"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7714B5">
        <w:rPr>
          <w:snapToGrid w:val="0"/>
          <w:szCs w:val="24"/>
        </w:rPr>
        <w:lastRenderedPageBreak/>
        <w:t>website</w:t>
      </w:r>
      <w:r w:rsidR="0064255E">
        <w:rPr>
          <w:snapToGrid w:val="0"/>
          <w:szCs w:val="24"/>
        </w:rPr>
        <w:t>,</w:t>
      </w:r>
      <w:r w:rsidRPr="007714B5">
        <w:rPr>
          <w:snapToGrid w:val="0"/>
          <w:szCs w:val="24"/>
        </w:rPr>
        <w:t xml:space="preserve"> 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other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42AD4B9C" w:rsidR="002E2824" w:rsidRPr="007714B5" w:rsidRDefault="002E2824" w:rsidP="002E2824">
      <w:pPr>
        <w:spacing w:line="360" w:lineRule="auto"/>
        <w:ind w:firstLine="720"/>
        <w:rPr>
          <w:szCs w:val="24"/>
        </w:rPr>
      </w:pPr>
      <w:r w:rsidRPr="007714B5">
        <w:rPr>
          <w:szCs w:val="24"/>
        </w:rPr>
        <w:t xml:space="preserve">   On </w:t>
      </w:r>
      <w:r w:rsidR="005E7B57">
        <w:rPr>
          <w:szCs w:val="24"/>
        </w:rPr>
        <w:t>July 2</w:t>
      </w:r>
      <w:r w:rsidR="00452D6E">
        <w:rPr>
          <w:szCs w:val="24"/>
        </w:rPr>
        <w:t>7</w:t>
      </w:r>
      <w:r w:rsidRPr="007714B5">
        <w:rPr>
          <w:szCs w:val="24"/>
        </w:rPr>
        <w:t>,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5815D47E" w:rsidR="003F781C" w:rsidRPr="007714B5" w:rsidRDefault="003F781C" w:rsidP="002E2824">
      <w:pPr>
        <w:spacing w:line="360" w:lineRule="auto"/>
        <w:ind w:firstLine="720"/>
        <w:rPr>
          <w:szCs w:val="24"/>
        </w:rPr>
      </w:pPr>
      <w:r w:rsidRPr="007714B5">
        <w:rPr>
          <w:szCs w:val="24"/>
        </w:rPr>
        <w:t xml:space="preserve">As of </w:t>
      </w:r>
      <w:r w:rsidR="000F131C">
        <w:rPr>
          <w:szCs w:val="24"/>
        </w:rPr>
        <w:t>September 2</w:t>
      </w:r>
      <w:r w:rsidR="00452D6E">
        <w:rPr>
          <w:szCs w:val="24"/>
        </w:rPr>
        <w:t>, 2021</w:t>
      </w:r>
      <w:r w:rsidRPr="007714B5">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7714B5">
        <w:rPr>
          <w:szCs w:val="24"/>
        </w:rPr>
        <w:t>expired,</w:t>
      </w:r>
      <w:r w:rsidRPr="007714B5">
        <w:rPr>
          <w:szCs w:val="24"/>
        </w:rPr>
        <w:t xml:space="preserve">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975"/>
        <w:gridCol w:w="6120"/>
        <w:gridCol w:w="1253"/>
        <w:gridCol w:w="1272"/>
      </w:tblGrid>
      <w:tr w:rsidR="002E2824" w:rsidRPr="007714B5" w14:paraId="70911358" w14:textId="77777777" w:rsidTr="00CF02DE">
        <w:trPr>
          <w:trHeight w:val="287"/>
          <w:jc w:val="center"/>
        </w:trPr>
        <w:tc>
          <w:tcPr>
            <w:tcW w:w="197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12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F60B60" w:rsidRPr="007714B5" w14:paraId="6204D168" w14:textId="77777777" w:rsidTr="00CF02DE">
        <w:trPr>
          <w:trHeight w:val="269"/>
          <w:jc w:val="center"/>
        </w:trPr>
        <w:tc>
          <w:tcPr>
            <w:tcW w:w="1975" w:type="dxa"/>
            <w:vAlign w:val="bottom"/>
          </w:tcPr>
          <w:p w14:paraId="4E8F915E" w14:textId="68A9507D" w:rsidR="00F60B60" w:rsidRPr="007879CF" w:rsidRDefault="00F60B60" w:rsidP="007879CF">
            <w:pPr>
              <w:spacing w:line="360" w:lineRule="auto"/>
              <w:jc w:val="center"/>
              <w:rPr>
                <w:sz w:val="22"/>
                <w:szCs w:val="24"/>
              </w:rPr>
            </w:pPr>
            <w:r>
              <w:rPr>
                <w:sz w:val="22"/>
                <w:szCs w:val="24"/>
              </w:rPr>
              <w:t>A-2019-3009283</w:t>
            </w:r>
          </w:p>
        </w:tc>
        <w:tc>
          <w:tcPr>
            <w:tcW w:w="6120" w:type="dxa"/>
            <w:vAlign w:val="bottom"/>
          </w:tcPr>
          <w:p w14:paraId="74C89019" w14:textId="6C616FF1" w:rsidR="00F60B60" w:rsidRPr="007879CF" w:rsidRDefault="00F60B60" w:rsidP="007879CF">
            <w:pPr>
              <w:spacing w:line="360" w:lineRule="auto"/>
              <w:jc w:val="center"/>
              <w:rPr>
                <w:sz w:val="22"/>
                <w:szCs w:val="24"/>
              </w:rPr>
            </w:pPr>
            <w:r>
              <w:rPr>
                <w:sz w:val="22"/>
                <w:szCs w:val="24"/>
              </w:rPr>
              <w:t>INERTIA RESOURCES INC</w:t>
            </w:r>
          </w:p>
        </w:tc>
        <w:tc>
          <w:tcPr>
            <w:tcW w:w="1253" w:type="dxa"/>
            <w:vAlign w:val="bottom"/>
          </w:tcPr>
          <w:p w14:paraId="4D4CFDD3" w14:textId="762024FF" w:rsidR="00F60B60" w:rsidRPr="007879CF" w:rsidRDefault="009366D3" w:rsidP="007879CF">
            <w:pPr>
              <w:spacing w:line="360" w:lineRule="auto"/>
              <w:jc w:val="center"/>
              <w:rPr>
                <w:sz w:val="22"/>
                <w:szCs w:val="24"/>
              </w:rPr>
            </w:pPr>
            <w:r>
              <w:rPr>
                <w:sz w:val="22"/>
                <w:szCs w:val="24"/>
              </w:rPr>
              <w:t>3/1/21</w:t>
            </w:r>
          </w:p>
        </w:tc>
        <w:tc>
          <w:tcPr>
            <w:tcW w:w="1272" w:type="dxa"/>
            <w:vAlign w:val="bottom"/>
          </w:tcPr>
          <w:p w14:paraId="1DB2737A" w14:textId="1733A4BE" w:rsidR="00F60B60" w:rsidRDefault="009366D3" w:rsidP="007879CF">
            <w:pPr>
              <w:spacing w:line="360" w:lineRule="auto"/>
              <w:jc w:val="center"/>
              <w:rPr>
                <w:sz w:val="22"/>
                <w:szCs w:val="24"/>
              </w:rPr>
            </w:pPr>
            <w:r>
              <w:rPr>
                <w:sz w:val="22"/>
                <w:szCs w:val="24"/>
              </w:rPr>
              <w:t>Yes</w:t>
            </w:r>
          </w:p>
        </w:tc>
      </w:tr>
      <w:tr w:rsidR="007879CF" w:rsidRPr="007714B5" w14:paraId="062062DE" w14:textId="77777777" w:rsidTr="00CF02DE">
        <w:trPr>
          <w:trHeight w:val="269"/>
          <w:jc w:val="center"/>
        </w:trPr>
        <w:tc>
          <w:tcPr>
            <w:tcW w:w="1975" w:type="dxa"/>
            <w:vAlign w:val="bottom"/>
          </w:tcPr>
          <w:p w14:paraId="26F12CAD" w14:textId="42C1404A" w:rsidR="007879CF" w:rsidRPr="00AA0991" w:rsidRDefault="007879CF" w:rsidP="007879CF">
            <w:pPr>
              <w:spacing w:line="360" w:lineRule="auto"/>
              <w:jc w:val="center"/>
              <w:rPr>
                <w:sz w:val="22"/>
                <w:szCs w:val="24"/>
              </w:rPr>
            </w:pPr>
            <w:r w:rsidRPr="007879CF">
              <w:rPr>
                <w:sz w:val="22"/>
                <w:szCs w:val="24"/>
              </w:rPr>
              <w:t>A-2010-2200314</w:t>
            </w:r>
          </w:p>
        </w:tc>
        <w:tc>
          <w:tcPr>
            <w:tcW w:w="6120" w:type="dxa"/>
            <w:vAlign w:val="bottom"/>
          </w:tcPr>
          <w:p w14:paraId="0D4BA2D8" w14:textId="0ACC2244" w:rsidR="007879CF" w:rsidRPr="00AA0991" w:rsidRDefault="007879CF" w:rsidP="007879CF">
            <w:pPr>
              <w:spacing w:line="360" w:lineRule="auto"/>
              <w:jc w:val="center"/>
              <w:rPr>
                <w:sz w:val="22"/>
                <w:szCs w:val="24"/>
              </w:rPr>
            </w:pPr>
            <w:r w:rsidRPr="007879CF">
              <w:rPr>
                <w:sz w:val="22"/>
                <w:szCs w:val="24"/>
              </w:rPr>
              <w:t>NATURES CURRENT LLC</w:t>
            </w:r>
          </w:p>
        </w:tc>
        <w:tc>
          <w:tcPr>
            <w:tcW w:w="1253" w:type="dxa"/>
            <w:vAlign w:val="bottom"/>
          </w:tcPr>
          <w:p w14:paraId="29B30293" w14:textId="544B33D6" w:rsidR="007879CF" w:rsidRPr="00AA0991" w:rsidRDefault="007879CF" w:rsidP="007879CF">
            <w:pPr>
              <w:spacing w:line="360" w:lineRule="auto"/>
              <w:jc w:val="center"/>
              <w:rPr>
                <w:sz w:val="22"/>
                <w:szCs w:val="24"/>
              </w:rPr>
            </w:pPr>
            <w:r w:rsidRPr="007879CF">
              <w:rPr>
                <w:sz w:val="22"/>
                <w:szCs w:val="24"/>
              </w:rPr>
              <w:t>8/18/2021</w:t>
            </w:r>
          </w:p>
        </w:tc>
        <w:tc>
          <w:tcPr>
            <w:tcW w:w="1272" w:type="dxa"/>
            <w:vAlign w:val="bottom"/>
          </w:tcPr>
          <w:p w14:paraId="53768D87" w14:textId="06DB8820" w:rsidR="007879CF" w:rsidRDefault="00A545FD" w:rsidP="007879CF">
            <w:pPr>
              <w:spacing w:line="360" w:lineRule="auto"/>
              <w:jc w:val="center"/>
              <w:rPr>
                <w:sz w:val="22"/>
                <w:szCs w:val="24"/>
              </w:rPr>
            </w:pPr>
            <w:r>
              <w:rPr>
                <w:sz w:val="22"/>
                <w:szCs w:val="24"/>
              </w:rPr>
              <w:t>Yes</w:t>
            </w:r>
          </w:p>
        </w:tc>
      </w:tr>
      <w:tr w:rsidR="007879CF" w:rsidRPr="007714B5" w14:paraId="43EB3509" w14:textId="77777777" w:rsidTr="00CF02DE">
        <w:trPr>
          <w:trHeight w:val="269"/>
          <w:jc w:val="center"/>
        </w:trPr>
        <w:tc>
          <w:tcPr>
            <w:tcW w:w="1975" w:type="dxa"/>
            <w:vAlign w:val="bottom"/>
          </w:tcPr>
          <w:p w14:paraId="237D8490" w14:textId="34B7E7AE" w:rsidR="007879CF" w:rsidRPr="00AA0991" w:rsidRDefault="007879CF" w:rsidP="007879CF">
            <w:pPr>
              <w:spacing w:line="360" w:lineRule="auto"/>
              <w:jc w:val="center"/>
              <w:rPr>
                <w:sz w:val="22"/>
                <w:szCs w:val="24"/>
              </w:rPr>
            </w:pPr>
            <w:r w:rsidRPr="007879CF">
              <w:rPr>
                <w:sz w:val="22"/>
                <w:szCs w:val="24"/>
              </w:rPr>
              <w:t>A-2017-2626376</w:t>
            </w:r>
            <w:r w:rsidR="00046733">
              <w:rPr>
                <w:sz w:val="22"/>
                <w:szCs w:val="24"/>
              </w:rPr>
              <w:t>*</w:t>
            </w:r>
          </w:p>
        </w:tc>
        <w:tc>
          <w:tcPr>
            <w:tcW w:w="6120" w:type="dxa"/>
            <w:vAlign w:val="bottom"/>
          </w:tcPr>
          <w:p w14:paraId="21535EB5" w14:textId="6A2D4014" w:rsidR="007879CF" w:rsidRPr="00AA0991" w:rsidRDefault="007879CF" w:rsidP="007879CF">
            <w:pPr>
              <w:spacing w:line="360" w:lineRule="auto"/>
              <w:jc w:val="center"/>
              <w:rPr>
                <w:sz w:val="22"/>
                <w:szCs w:val="24"/>
              </w:rPr>
            </w:pPr>
            <w:r w:rsidRPr="007879CF">
              <w:rPr>
                <w:sz w:val="22"/>
                <w:szCs w:val="24"/>
              </w:rPr>
              <w:t>NEW WAVE ENERGY CORP</w:t>
            </w:r>
          </w:p>
        </w:tc>
        <w:tc>
          <w:tcPr>
            <w:tcW w:w="1253" w:type="dxa"/>
            <w:vAlign w:val="bottom"/>
          </w:tcPr>
          <w:p w14:paraId="166509CB" w14:textId="65002684" w:rsidR="007879CF" w:rsidRPr="00AA0991" w:rsidRDefault="007879CF" w:rsidP="007879CF">
            <w:pPr>
              <w:spacing w:line="360" w:lineRule="auto"/>
              <w:jc w:val="center"/>
              <w:rPr>
                <w:sz w:val="22"/>
                <w:szCs w:val="24"/>
              </w:rPr>
            </w:pPr>
            <w:r w:rsidRPr="007879CF">
              <w:rPr>
                <w:sz w:val="22"/>
                <w:szCs w:val="24"/>
              </w:rPr>
              <w:t>8/30/2021</w:t>
            </w:r>
          </w:p>
        </w:tc>
        <w:tc>
          <w:tcPr>
            <w:tcW w:w="1272" w:type="dxa"/>
            <w:vAlign w:val="bottom"/>
          </w:tcPr>
          <w:p w14:paraId="3D356186" w14:textId="6DFB065D" w:rsidR="007879CF" w:rsidRDefault="002036C2" w:rsidP="007879CF">
            <w:pPr>
              <w:spacing w:line="360" w:lineRule="auto"/>
              <w:jc w:val="center"/>
              <w:rPr>
                <w:sz w:val="22"/>
                <w:szCs w:val="24"/>
              </w:rPr>
            </w:pPr>
            <w:r>
              <w:rPr>
                <w:sz w:val="22"/>
                <w:szCs w:val="24"/>
              </w:rPr>
              <w:t>No</w:t>
            </w:r>
          </w:p>
        </w:tc>
      </w:tr>
      <w:tr w:rsidR="007879CF" w:rsidRPr="007714B5" w14:paraId="362A1C41" w14:textId="77777777" w:rsidTr="00CF02DE">
        <w:trPr>
          <w:trHeight w:val="269"/>
          <w:jc w:val="center"/>
        </w:trPr>
        <w:tc>
          <w:tcPr>
            <w:tcW w:w="1975" w:type="dxa"/>
            <w:vAlign w:val="bottom"/>
          </w:tcPr>
          <w:p w14:paraId="315E6E91" w14:textId="51D27B55" w:rsidR="007879CF" w:rsidRPr="00AA0991" w:rsidRDefault="007879CF" w:rsidP="007879CF">
            <w:pPr>
              <w:spacing w:line="360" w:lineRule="auto"/>
              <w:jc w:val="center"/>
              <w:rPr>
                <w:sz w:val="22"/>
                <w:szCs w:val="24"/>
              </w:rPr>
            </w:pPr>
            <w:r w:rsidRPr="007879CF">
              <w:rPr>
                <w:sz w:val="22"/>
                <w:szCs w:val="24"/>
              </w:rPr>
              <w:t>A-2015-2500466</w:t>
            </w:r>
          </w:p>
        </w:tc>
        <w:tc>
          <w:tcPr>
            <w:tcW w:w="6120" w:type="dxa"/>
            <w:vAlign w:val="bottom"/>
          </w:tcPr>
          <w:p w14:paraId="0EC4716B" w14:textId="12D23C81" w:rsidR="007879CF" w:rsidRPr="00AA0991" w:rsidRDefault="007879CF" w:rsidP="007879CF">
            <w:pPr>
              <w:spacing w:line="360" w:lineRule="auto"/>
              <w:jc w:val="center"/>
              <w:rPr>
                <w:sz w:val="22"/>
                <w:szCs w:val="24"/>
              </w:rPr>
            </w:pPr>
            <w:r w:rsidRPr="007879CF">
              <w:rPr>
                <w:sz w:val="22"/>
                <w:szCs w:val="24"/>
              </w:rPr>
              <w:t>PHILIP HARVEY</w:t>
            </w:r>
          </w:p>
        </w:tc>
        <w:tc>
          <w:tcPr>
            <w:tcW w:w="1253" w:type="dxa"/>
            <w:vAlign w:val="bottom"/>
          </w:tcPr>
          <w:p w14:paraId="213FC6F4" w14:textId="2667E56D" w:rsidR="007879CF" w:rsidRPr="00AA0991" w:rsidRDefault="007879CF" w:rsidP="007879CF">
            <w:pPr>
              <w:spacing w:line="360" w:lineRule="auto"/>
              <w:jc w:val="center"/>
              <w:rPr>
                <w:sz w:val="22"/>
                <w:szCs w:val="24"/>
              </w:rPr>
            </w:pPr>
            <w:r w:rsidRPr="007879CF">
              <w:rPr>
                <w:sz w:val="22"/>
                <w:szCs w:val="24"/>
              </w:rPr>
              <w:t>8/20/2021</w:t>
            </w:r>
          </w:p>
        </w:tc>
        <w:tc>
          <w:tcPr>
            <w:tcW w:w="1272" w:type="dxa"/>
            <w:vAlign w:val="bottom"/>
          </w:tcPr>
          <w:p w14:paraId="26C03125" w14:textId="77DC8BE9" w:rsidR="007879CF" w:rsidRDefault="002036C2" w:rsidP="007879CF">
            <w:pPr>
              <w:spacing w:line="360" w:lineRule="auto"/>
              <w:jc w:val="center"/>
              <w:rPr>
                <w:sz w:val="22"/>
                <w:szCs w:val="24"/>
              </w:rPr>
            </w:pPr>
            <w:r>
              <w:rPr>
                <w:sz w:val="22"/>
                <w:szCs w:val="24"/>
              </w:rPr>
              <w:t>Yes</w:t>
            </w:r>
          </w:p>
        </w:tc>
      </w:tr>
      <w:tr w:rsidR="007879CF" w:rsidRPr="007714B5" w14:paraId="4ED88B2B" w14:textId="77777777" w:rsidTr="00CF02DE">
        <w:trPr>
          <w:trHeight w:val="269"/>
          <w:jc w:val="center"/>
        </w:trPr>
        <w:tc>
          <w:tcPr>
            <w:tcW w:w="1975" w:type="dxa"/>
            <w:vAlign w:val="bottom"/>
          </w:tcPr>
          <w:p w14:paraId="088AABDB" w14:textId="0E3FE11F" w:rsidR="007879CF" w:rsidRPr="00AA0991" w:rsidRDefault="007879CF" w:rsidP="007879CF">
            <w:pPr>
              <w:spacing w:line="360" w:lineRule="auto"/>
              <w:jc w:val="center"/>
              <w:rPr>
                <w:sz w:val="22"/>
                <w:szCs w:val="24"/>
              </w:rPr>
            </w:pPr>
            <w:r w:rsidRPr="007879CF">
              <w:rPr>
                <w:sz w:val="22"/>
                <w:szCs w:val="24"/>
              </w:rPr>
              <w:t>A-2018-3004886</w:t>
            </w:r>
            <w:r w:rsidR="00046733">
              <w:rPr>
                <w:sz w:val="22"/>
                <w:szCs w:val="24"/>
              </w:rPr>
              <w:t>*</w:t>
            </w:r>
          </w:p>
        </w:tc>
        <w:tc>
          <w:tcPr>
            <w:tcW w:w="6120" w:type="dxa"/>
            <w:vAlign w:val="bottom"/>
          </w:tcPr>
          <w:p w14:paraId="4AEF938D" w14:textId="7BBDCF40" w:rsidR="007879CF" w:rsidRPr="00AA0991" w:rsidRDefault="007879CF" w:rsidP="007879CF">
            <w:pPr>
              <w:spacing w:line="360" w:lineRule="auto"/>
              <w:jc w:val="center"/>
              <w:rPr>
                <w:sz w:val="22"/>
                <w:szCs w:val="24"/>
              </w:rPr>
            </w:pPr>
            <w:r w:rsidRPr="007879CF">
              <w:rPr>
                <w:sz w:val="22"/>
                <w:szCs w:val="24"/>
              </w:rPr>
              <w:t>PILOT POWER GROUP LLC</w:t>
            </w:r>
          </w:p>
        </w:tc>
        <w:tc>
          <w:tcPr>
            <w:tcW w:w="1253" w:type="dxa"/>
            <w:vAlign w:val="bottom"/>
          </w:tcPr>
          <w:p w14:paraId="63FC5B64" w14:textId="3BC4C79B" w:rsidR="007879CF" w:rsidRPr="00AA0991" w:rsidRDefault="007879CF" w:rsidP="007879CF">
            <w:pPr>
              <w:spacing w:line="360" w:lineRule="auto"/>
              <w:jc w:val="center"/>
              <w:rPr>
                <w:sz w:val="22"/>
                <w:szCs w:val="24"/>
              </w:rPr>
            </w:pPr>
            <w:r w:rsidRPr="007879CF">
              <w:rPr>
                <w:sz w:val="22"/>
                <w:szCs w:val="24"/>
              </w:rPr>
              <w:t>8/30/2021</w:t>
            </w:r>
          </w:p>
        </w:tc>
        <w:tc>
          <w:tcPr>
            <w:tcW w:w="1272" w:type="dxa"/>
            <w:vAlign w:val="bottom"/>
          </w:tcPr>
          <w:p w14:paraId="634AFCFE" w14:textId="39AC9784" w:rsidR="007879CF" w:rsidRDefault="002036C2" w:rsidP="007879CF">
            <w:pPr>
              <w:spacing w:line="360" w:lineRule="auto"/>
              <w:jc w:val="center"/>
              <w:rPr>
                <w:sz w:val="22"/>
                <w:szCs w:val="24"/>
              </w:rPr>
            </w:pPr>
            <w:r>
              <w:rPr>
                <w:sz w:val="22"/>
                <w:szCs w:val="24"/>
              </w:rPr>
              <w:t>No</w:t>
            </w:r>
          </w:p>
        </w:tc>
      </w:tr>
      <w:tr w:rsidR="007879CF" w:rsidRPr="007714B5" w14:paraId="6F740A8F" w14:textId="77777777" w:rsidTr="00CF02DE">
        <w:trPr>
          <w:trHeight w:val="269"/>
          <w:jc w:val="center"/>
        </w:trPr>
        <w:tc>
          <w:tcPr>
            <w:tcW w:w="1975" w:type="dxa"/>
            <w:vAlign w:val="bottom"/>
          </w:tcPr>
          <w:p w14:paraId="645FC3DD" w14:textId="072A5ACE" w:rsidR="007879CF" w:rsidRPr="00AA0991" w:rsidRDefault="007879CF" w:rsidP="007879CF">
            <w:pPr>
              <w:spacing w:line="360" w:lineRule="auto"/>
              <w:jc w:val="center"/>
              <w:rPr>
                <w:sz w:val="22"/>
                <w:szCs w:val="24"/>
              </w:rPr>
            </w:pPr>
            <w:r w:rsidRPr="007879CF">
              <w:rPr>
                <w:sz w:val="22"/>
                <w:szCs w:val="24"/>
              </w:rPr>
              <w:t>A-2012-2317908</w:t>
            </w:r>
          </w:p>
        </w:tc>
        <w:tc>
          <w:tcPr>
            <w:tcW w:w="6120" w:type="dxa"/>
            <w:vAlign w:val="bottom"/>
          </w:tcPr>
          <w:p w14:paraId="48E9EDEB" w14:textId="7EEA4DF9" w:rsidR="007879CF" w:rsidRPr="00AA0991" w:rsidRDefault="007879CF" w:rsidP="007879CF">
            <w:pPr>
              <w:spacing w:line="360" w:lineRule="auto"/>
              <w:jc w:val="center"/>
              <w:rPr>
                <w:sz w:val="22"/>
                <w:szCs w:val="24"/>
              </w:rPr>
            </w:pPr>
            <w:r w:rsidRPr="007879CF">
              <w:rPr>
                <w:sz w:val="22"/>
                <w:szCs w:val="24"/>
              </w:rPr>
              <w:t>POWER TARGET LLC</w:t>
            </w:r>
          </w:p>
        </w:tc>
        <w:tc>
          <w:tcPr>
            <w:tcW w:w="1253" w:type="dxa"/>
            <w:vAlign w:val="bottom"/>
          </w:tcPr>
          <w:p w14:paraId="51593B25" w14:textId="7DBE520C" w:rsidR="007879CF" w:rsidRPr="00AA0991" w:rsidRDefault="007879CF" w:rsidP="007879CF">
            <w:pPr>
              <w:spacing w:line="360" w:lineRule="auto"/>
              <w:jc w:val="center"/>
              <w:rPr>
                <w:sz w:val="22"/>
                <w:szCs w:val="24"/>
              </w:rPr>
            </w:pPr>
            <w:r w:rsidRPr="007879CF">
              <w:rPr>
                <w:sz w:val="22"/>
                <w:szCs w:val="24"/>
              </w:rPr>
              <w:t>8/31/2021</w:t>
            </w:r>
          </w:p>
        </w:tc>
        <w:tc>
          <w:tcPr>
            <w:tcW w:w="1272" w:type="dxa"/>
            <w:vAlign w:val="bottom"/>
          </w:tcPr>
          <w:p w14:paraId="673ECE0F" w14:textId="73B45310" w:rsidR="007879CF" w:rsidRDefault="001218BB" w:rsidP="007879CF">
            <w:pPr>
              <w:spacing w:line="360" w:lineRule="auto"/>
              <w:jc w:val="center"/>
              <w:rPr>
                <w:sz w:val="22"/>
                <w:szCs w:val="24"/>
              </w:rPr>
            </w:pPr>
            <w:r>
              <w:rPr>
                <w:sz w:val="22"/>
                <w:szCs w:val="24"/>
              </w:rPr>
              <w:t>Yes</w:t>
            </w:r>
          </w:p>
        </w:tc>
      </w:tr>
      <w:tr w:rsidR="007879CF" w:rsidRPr="007714B5" w14:paraId="15B696F1" w14:textId="77777777" w:rsidTr="00CF02DE">
        <w:trPr>
          <w:trHeight w:val="269"/>
          <w:jc w:val="center"/>
        </w:trPr>
        <w:tc>
          <w:tcPr>
            <w:tcW w:w="1975" w:type="dxa"/>
            <w:vAlign w:val="bottom"/>
          </w:tcPr>
          <w:p w14:paraId="51C60C7B" w14:textId="43AC0CBF" w:rsidR="007879CF" w:rsidRPr="00AA0991" w:rsidRDefault="007879CF" w:rsidP="007879CF">
            <w:pPr>
              <w:spacing w:line="360" w:lineRule="auto"/>
              <w:jc w:val="center"/>
              <w:rPr>
                <w:sz w:val="22"/>
                <w:szCs w:val="24"/>
              </w:rPr>
            </w:pPr>
            <w:r w:rsidRPr="007879CF">
              <w:rPr>
                <w:sz w:val="22"/>
                <w:szCs w:val="24"/>
              </w:rPr>
              <w:t>A-2012-2325309</w:t>
            </w:r>
            <w:r w:rsidR="00046733">
              <w:rPr>
                <w:sz w:val="22"/>
                <w:szCs w:val="24"/>
              </w:rPr>
              <w:t>*</w:t>
            </w:r>
          </w:p>
        </w:tc>
        <w:tc>
          <w:tcPr>
            <w:tcW w:w="6120" w:type="dxa"/>
            <w:vAlign w:val="bottom"/>
          </w:tcPr>
          <w:p w14:paraId="35D9A054" w14:textId="0D865B45" w:rsidR="007879CF" w:rsidRPr="00AA0991" w:rsidRDefault="007879CF" w:rsidP="007879CF">
            <w:pPr>
              <w:spacing w:line="360" w:lineRule="auto"/>
              <w:jc w:val="center"/>
              <w:rPr>
                <w:sz w:val="22"/>
                <w:szCs w:val="24"/>
              </w:rPr>
            </w:pPr>
            <w:r w:rsidRPr="007879CF">
              <w:rPr>
                <w:sz w:val="22"/>
                <w:szCs w:val="24"/>
              </w:rPr>
              <w:t>SHIPLEY CHOICE LLC</w:t>
            </w:r>
          </w:p>
        </w:tc>
        <w:tc>
          <w:tcPr>
            <w:tcW w:w="1253" w:type="dxa"/>
            <w:vAlign w:val="bottom"/>
          </w:tcPr>
          <w:p w14:paraId="78E88197" w14:textId="7668145E" w:rsidR="007879CF" w:rsidRPr="00AA0991" w:rsidRDefault="007879CF" w:rsidP="007879CF">
            <w:pPr>
              <w:spacing w:line="360" w:lineRule="auto"/>
              <w:jc w:val="center"/>
              <w:rPr>
                <w:sz w:val="22"/>
                <w:szCs w:val="24"/>
              </w:rPr>
            </w:pPr>
            <w:r w:rsidRPr="007879CF">
              <w:rPr>
                <w:sz w:val="22"/>
                <w:szCs w:val="24"/>
              </w:rPr>
              <w:t>8/29/2021</w:t>
            </w:r>
          </w:p>
        </w:tc>
        <w:tc>
          <w:tcPr>
            <w:tcW w:w="1272" w:type="dxa"/>
            <w:vAlign w:val="bottom"/>
          </w:tcPr>
          <w:p w14:paraId="0AC07E36" w14:textId="1E60D2E4" w:rsidR="007879CF" w:rsidRDefault="001218BB" w:rsidP="007879CF">
            <w:pPr>
              <w:spacing w:line="360" w:lineRule="auto"/>
              <w:jc w:val="center"/>
              <w:rPr>
                <w:sz w:val="22"/>
                <w:szCs w:val="24"/>
              </w:rPr>
            </w:pPr>
            <w:r>
              <w:rPr>
                <w:sz w:val="22"/>
                <w:szCs w:val="24"/>
              </w:rPr>
              <w:t>No</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days prior to each entity’s 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lastRenderedPageBreak/>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58FFD43F" w14:textId="079AD434"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r w:rsidRPr="00677B2B">
        <w:rPr>
          <w:szCs w:val="24"/>
        </w:rPr>
        <w:t xml:space="preserve">That the Secretary (i) serve a copy of this Tentative Order upon the Office of Consumer Advocate, the Office of Small Business Advocate, the Bureau of Investigation &amp; Enforcement, all </w:t>
      </w:r>
      <w:r>
        <w:rPr>
          <w:szCs w:val="24"/>
        </w:rPr>
        <w:t>electric generation</w:t>
      </w:r>
      <w:r w:rsidRPr="00677B2B">
        <w:rPr>
          <w:szCs w:val="24"/>
        </w:rPr>
        <w:t xml:space="preserve"> distribution companies, and all of the </w:t>
      </w:r>
      <w:r w:rsidR="00551C59">
        <w:rPr>
          <w:szCs w:val="24"/>
        </w:rPr>
        <w:t>E</w:t>
      </w:r>
      <w:r w:rsidRPr="00677B2B">
        <w:rPr>
          <w:szCs w:val="24"/>
        </w:rPr>
        <w:t xml:space="preserve">lectric </w:t>
      </w:r>
      <w:r w:rsidR="00551C59">
        <w:rPr>
          <w:szCs w:val="24"/>
        </w:rPr>
        <w:t>G</w:t>
      </w:r>
      <w:r w:rsidRPr="00677B2B">
        <w:rPr>
          <w:szCs w:val="24"/>
        </w:rPr>
        <w:t xml:space="preserve">eneration Suppliers listed in the Supplier Table; (ii) publish a copy of this Tentative Order in the </w:t>
      </w:r>
      <w:r w:rsidRPr="00AD34B6">
        <w:rPr>
          <w:i/>
          <w:iCs/>
          <w:szCs w:val="24"/>
        </w:rPr>
        <w:t>Pennsylvania Bulletin</w:t>
      </w:r>
      <w:r w:rsidRPr="00677B2B">
        <w:rPr>
          <w:szCs w:val="24"/>
        </w:rPr>
        <w:t xml:space="preserve"> with a 30-day comment period; and (iii) file a copy of this Tentative Order at each Electric Generation Supplier’s assigned docket number.</w:t>
      </w:r>
    </w:p>
    <w:p w14:paraId="697E6BA5" w14:textId="77777777" w:rsidR="00677B2B" w:rsidRPr="00677B2B" w:rsidRDefault="00677B2B" w:rsidP="00677B2B">
      <w:pPr>
        <w:pStyle w:val="ListParagraph"/>
        <w:tabs>
          <w:tab w:val="left" w:pos="1440"/>
          <w:tab w:val="left" w:pos="2250"/>
        </w:tabs>
        <w:spacing w:line="360" w:lineRule="auto"/>
        <w:rPr>
          <w:szCs w:val="24"/>
        </w:rPr>
      </w:pPr>
    </w:p>
    <w:p w14:paraId="31F49553" w14:textId="1932745B"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677B2B">
        <w:rPr>
          <w:szCs w:val="24"/>
        </w:rPr>
        <w:t xml:space="preserve">That, to the extent any of the Electric Generation Suppliers listed in the Supplier Table challenge the cancellation of their license, they must file comments within thirty (30) days after publication of this Tentative Order in the </w:t>
      </w:r>
      <w:r w:rsidRPr="0011732C">
        <w:rPr>
          <w:i/>
          <w:iCs/>
          <w:szCs w:val="24"/>
        </w:rPr>
        <w:t>Pennsylvania Bulletin</w:t>
      </w:r>
      <w:r w:rsidRPr="00677B2B">
        <w:rPr>
          <w:szCs w:val="24"/>
        </w:rPr>
        <w:t>.  Written comments referencing Docket No. M-2021-3023559 must be eFiled to the Pennsylvania Public Utility Commission through the Commission’s eFiling System per the Commission’s Emergency Order dated March 20, 2020, at Docket No. M</w:t>
      </w:r>
      <w:r w:rsidRPr="00677B2B">
        <w:rPr>
          <w:szCs w:val="24"/>
        </w:rPr>
        <w:noBreakHyphen/>
        <w:t>2020</w:t>
      </w:r>
      <w:r w:rsidRPr="00677B2B">
        <w:rPr>
          <w:szCs w:val="24"/>
        </w:rPr>
        <w:noBreakHyphen/>
        <w:t xml:space="preserve">3019262.  You may set up a free eFiling account with the Commission at </w:t>
      </w:r>
      <w:hyperlink r:id="rId13" w:history="1">
        <w:r w:rsidR="00492204" w:rsidRPr="00B136E8">
          <w:rPr>
            <w:rStyle w:val="Hyperlink"/>
            <w:szCs w:val="24"/>
          </w:rPr>
          <w:t>https://efiling.puc.pa.gov/</w:t>
        </w:r>
      </w:hyperlink>
      <w:r w:rsidRPr="00677B2B">
        <w:rPr>
          <w:szCs w:val="24"/>
        </w:rPr>
        <w:t xml:space="preserve"> if you do not have one.  Filing instructions may be found on the Commission’s website at</w:t>
      </w:r>
      <w:r>
        <w:rPr>
          <w:szCs w:val="24"/>
        </w:rPr>
        <w:t xml:space="preserve"> </w:t>
      </w:r>
      <w:hyperlink r:id="rId14" w:history="1">
        <w:r w:rsidR="00EF36D0" w:rsidRPr="00EF36D0">
          <w:rPr>
            <w:rStyle w:val="Hyperlink"/>
            <w:szCs w:val="24"/>
          </w:rPr>
          <w:t>http://www.puc.pa.gov/filing_resources.aspx</w:t>
        </w:r>
      </w:hyperlink>
      <w:r w:rsidRPr="00131CCD">
        <w:rPr>
          <w:szCs w:val="24"/>
        </w:rPr>
        <w:t>.</w:t>
      </w:r>
      <w:r w:rsidRPr="00677B2B">
        <w:rPr>
          <w:szCs w:val="24"/>
        </w:rPr>
        <w:t xml:space="preserve">  Comments containing confidential information should be emailed to Commission Secretary Rosemary Chiavetta </w:t>
      </w:r>
      <w:r w:rsidRPr="00131CCD">
        <w:rPr>
          <w:szCs w:val="24"/>
        </w:rPr>
        <w:t xml:space="preserve">at </w:t>
      </w:r>
      <w:hyperlink r:id="rId15" w:history="1">
        <w:r w:rsidR="00EF36D0" w:rsidRPr="00EF36D0">
          <w:rPr>
            <w:rStyle w:val="Hyperlink"/>
            <w:szCs w:val="24"/>
          </w:rPr>
          <w:t>rchiavetta@pa.gov</w:t>
        </w:r>
      </w:hyperlink>
      <w:r w:rsidRPr="00677B2B">
        <w:rPr>
          <w:szCs w:val="24"/>
        </w:rPr>
        <w:t xml:space="preserve"> rather than eFiled.</w:t>
      </w:r>
      <w:bookmarkEnd w:id="4"/>
    </w:p>
    <w:p w14:paraId="0F1158B6" w14:textId="77777777" w:rsidR="00677B2B" w:rsidRPr="00677B2B" w:rsidRDefault="00677B2B" w:rsidP="00677B2B">
      <w:pPr>
        <w:pStyle w:val="ListParagraph"/>
        <w:tabs>
          <w:tab w:val="left" w:pos="1440"/>
          <w:tab w:val="left" w:pos="2250"/>
        </w:tabs>
        <w:spacing w:line="360" w:lineRule="auto"/>
        <w:rPr>
          <w:szCs w:val="24"/>
        </w:rPr>
      </w:pPr>
    </w:p>
    <w:p w14:paraId="27850381" w14:textId="3887D76D" w:rsidR="00677B2B" w:rsidRPr="0090163E" w:rsidRDefault="00677B2B" w:rsidP="00677B2B">
      <w:pPr>
        <w:spacing w:line="360" w:lineRule="auto"/>
        <w:ind w:firstLine="720"/>
        <w:rPr>
          <w:szCs w:val="24"/>
        </w:rPr>
      </w:pPr>
      <w:r w:rsidRPr="0090163E">
        <w:rPr>
          <w:szCs w:val="24"/>
        </w:rPr>
        <w:t xml:space="preserve">4.         That, alternatively, Electric Generation Suppliers listed in the Supplier Table may provide the Commission an approved security up to and within thirty (30) days after publication in the </w:t>
      </w:r>
      <w:r w:rsidRPr="0090163E">
        <w:rPr>
          <w:i/>
          <w:iCs/>
          <w:szCs w:val="24"/>
        </w:rPr>
        <w:t xml:space="preserve">Pennsylvania </w:t>
      </w:r>
      <w:r w:rsidRPr="00AD34B6">
        <w:rPr>
          <w:i/>
          <w:iCs/>
          <w:szCs w:val="24"/>
        </w:rPr>
        <w:t>Bulletin</w:t>
      </w:r>
      <w:r w:rsidRPr="0090163E">
        <w:rPr>
          <w:szCs w:val="24"/>
        </w:rPr>
        <w:t xml:space="preserve">.  The </w:t>
      </w:r>
      <w:r w:rsidR="0060528D" w:rsidRPr="0090163E">
        <w:rPr>
          <w:szCs w:val="24"/>
        </w:rPr>
        <w:t>Electric Generation Supplier</w:t>
      </w:r>
      <w:r w:rsidRPr="0090163E">
        <w:rPr>
          <w:szCs w:val="24"/>
        </w:rPr>
        <w:t xml:space="preserve"> must file an original bond, letter </w:t>
      </w:r>
      <w:r w:rsidRPr="0090163E">
        <w:rPr>
          <w:szCs w:val="24"/>
        </w:rPr>
        <w:lastRenderedPageBreak/>
        <w:t>of credit, continuation certificate, amendment, or other approved financial instrument</w:t>
      </w:r>
      <w:r w:rsidR="006C1F7C" w:rsidRPr="0090163E">
        <w:rPr>
          <w:szCs w:val="24"/>
        </w:rPr>
        <w:t xml:space="preserve"> displaying a “wet” signature or digital signature, preferably in blue ink, and displaying a “raised seal” or original notary stamp </w:t>
      </w:r>
      <w:r w:rsidRPr="0090163E">
        <w:rPr>
          <w:szCs w:val="24"/>
        </w:rPr>
        <w:t xml:space="preserve">with Rosemary Chiavetta, Secretary, Pennsylvania Public Utility Commission, 400 North Street, Harrisburg, PA, 17120.  </w:t>
      </w:r>
    </w:p>
    <w:p w14:paraId="34E426FC" w14:textId="77777777" w:rsidR="00677B2B" w:rsidRPr="0090163E" w:rsidRDefault="00677B2B" w:rsidP="00677B2B">
      <w:pPr>
        <w:spacing w:line="360" w:lineRule="auto"/>
        <w:ind w:firstLine="720"/>
        <w:rPr>
          <w:szCs w:val="24"/>
        </w:rPr>
      </w:pPr>
    </w:p>
    <w:p w14:paraId="2FB85116" w14:textId="77777777" w:rsidR="00677B2B" w:rsidRPr="0090163E" w:rsidRDefault="00677B2B" w:rsidP="00677B2B">
      <w:pPr>
        <w:spacing w:line="360" w:lineRule="auto"/>
        <w:ind w:firstLine="720"/>
        <w:rPr>
          <w:szCs w:val="24"/>
        </w:rPr>
      </w:pPr>
      <w:r w:rsidRPr="0090163E">
        <w:rPr>
          <w:szCs w:val="24"/>
        </w:rPr>
        <w:t xml:space="preserve">5.         That, absent the timely (i) filing of comments challenging the cancellation of the Electric Generation Supplier’s license, or (ii) the filing of an approved security within 30-days after publication in the </w:t>
      </w:r>
      <w:r w:rsidRPr="00AD34B6">
        <w:rPr>
          <w:i/>
          <w:iCs/>
          <w:szCs w:val="24"/>
        </w:rPr>
        <w:t>Pennsylvania Bulletin</w:t>
      </w:r>
      <w:r w:rsidRPr="0090163E">
        <w:rPr>
          <w:szCs w:val="24"/>
        </w:rPr>
        <w:t>, the Bureau of Technical Utility Services, shall prepare a Final Order for entry by the Secretary revoking the license of each Electric Generation Supplier that fails to respond.</w:t>
      </w:r>
    </w:p>
    <w:p w14:paraId="4D0B9408" w14:textId="77777777" w:rsidR="00677B2B" w:rsidRPr="0090163E" w:rsidRDefault="00677B2B" w:rsidP="00677B2B">
      <w:pPr>
        <w:spacing w:line="360" w:lineRule="auto"/>
        <w:ind w:firstLine="720"/>
        <w:rPr>
          <w:szCs w:val="24"/>
        </w:rPr>
      </w:pPr>
    </w:p>
    <w:p w14:paraId="26C54914" w14:textId="3F2E2E42" w:rsidR="00A3124D" w:rsidRDefault="00677B2B" w:rsidP="007F640A">
      <w:pPr>
        <w:spacing w:line="360" w:lineRule="auto"/>
        <w:ind w:firstLine="720"/>
        <w:rPr>
          <w:szCs w:val="24"/>
        </w:rPr>
      </w:pPr>
      <w:r w:rsidRPr="0090163E">
        <w:rPr>
          <w:szCs w:val="24"/>
        </w:rPr>
        <w:t>6.         That upon entry of the Final Order, E</w:t>
      </w:r>
      <w:r w:rsidR="00FC5851" w:rsidRPr="0090163E">
        <w:rPr>
          <w:szCs w:val="24"/>
        </w:rPr>
        <w:t>lectric Generation Supplier</w:t>
      </w:r>
      <w:r w:rsidRPr="0090163E">
        <w:rPr>
          <w:szCs w:val="24"/>
        </w:rPr>
        <w:t>s that remain listed as not in compliance with 52 Pa. Code §54.40(a)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569ADD16" w14:textId="77777777" w:rsidR="00A3124D" w:rsidRPr="0090163E" w:rsidRDefault="00A3124D" w:rsidP="00677B2B">
      <w:pPr>
        <w:spacing w:line="360" w:lineRule="auto"/>
        <w:ind w:firstLine="720"/>
        <w:rPr>
          <w:szCs w:val="24"/>
        </w:rPr>
      </w:pPr>
    </w:p>
    <w:p w14:paraId="18718502" w14:textId="77777777" w:rsidR="00677B2B" w:rsidRPr="0090163E" w:rsidRDefault="00677B2B" w:rsidP="00677B2B">
      <w:pPr>
        <w:spacing w:line="360" w:lineRule="auto"/>
        <w:ind w:firstLine="720"/>
        <w:rPr>
          <w:szCs w:val="24"/>
        </w:rPr>
      </w:pPr>
      <w:r w:rsidRPr="0090163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199B8468" w:rsidR="002E2824" w:rsidRDefault="002E2824" w:rsidP="002E2824">
      <w:pPr>
        <w:tabs>
          <w:tab w:val="left" w:pos="742"/>
        </w:tabs>
        <w:rPr>
          <w:szCs w:val="24"/>
        </w:rPr>
      </w:pPr>
    </w:p>
    <w:p w14:paraId="57EAEA5E" w14:textId="57A70E57" w:rsidR="00531A18" w:rsidRDefault="00531A18" w:rsidP="002E2824">
      <w:pPr>
        <w:pStyle w:val="p17"/>
        <w:ind w:left="5057"/>
        <w:rPr>
          <w:b/>
          <w:bCs/>
        </w:rPr>
      </w:pPr>
    </w:p>
    <w:p w14:paraId="506CC9C5" w14:textId="7E3346B2" w:rsidR="004E569F" w:rsidRPr="007714B5" w:rsidRDefault="001407C0" w:rsidP="004E569F">
      <w:pPr>
        <w:pStyle w:val="p17"/>
        <w:ind w:left="5057"/>
        <w:rPr>
          <w:b/>
          <w:bCs/>
        </w:rPr>
      </w:pPr>
      <w:r>
        <w:rPr>
          <w:noProof/>
        </w:rPr>
        <w:drawing>
          <wp:anchor distT="0" distB="0" distL="114300" distR="114300" simplePos="0" relativeHeight="251659264" behindDoc="1" locked="0" layoutInCell="1" allowOverlap="1" wp14:anchorId="17C35F3A" wp14:editId="6BF7D17A">
            <wp:simplePos x="0" y="0"/>
            <wp:positionH relativeFrom="column">
              <wp:posOffset>3152775</wp:posOffset>
            </wp:positionH>
            <wp:positionV relativeFrom="paragraph">
              <wp:posOffset>135255</wp:posOffset>
            </wp:positionV>
            <wp:extent cx="2200275" cy="8382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E569F" w:rsidRPr="007714B5">
        <w:rPr>
          <w:b/>
          <w:bCs/>
        </w:rPr>
        <w:t>BY THE COMMISSION,</w:t>
      </w:r>
    </w:p>
    <w:p w14:paraId="78857BB4" w14:textId="6CA13DCA" w:rsidR="004E569F" w:rsidRDefault="004E569F" w:rsidP="004E569F"/>
    <w:p w14:paraId="33E7B33C" w14:textId="2C2179BE" w:rsidR="004E569F" w:rsidRDefault="004E569F" w:rsidP="004E569F">
      <w:pPr>
        <w:tabs>
          <w:tab w:val="left" w:pos="6885"/>
        </w:tabs>
      </w:pPr>
      <w:r>
        <w:tab/>
      </w:r>
    </w:p>
    <w:p w14:paraId="5AD3CE9A" w14:textId="77777777" w:rsidR="004E569F" w:rsidRDefault="004E569F" w:rsidP="004E569F"/>
    <w:p w14:paraId="0AA9C091" w14:textId="77777777" w:rsidR="004E569F" w:rsidRDefault="004E569F" w:rsidP="004E569F"/>
    <w:p w14:paraId="2D4D2D41" w14:textId="77777777" w:rsidR="004E569F" w:rsidRPr="007714B5" w:rsidRDefault="004E569F" w:rsidP="004E569F">
      <w:pPr>
        <w:pStyle w:val="p18"/>
        <w:ind w:left="0"/>
      </w:pPr>
      <w:r>
        <w:tab/>
        <w:t>Ro</w:t>
      </w:r>
      <w:r w:rsidRPr="007714B5">
        <w:t>semary Chiavetta</w:t>
      </w:r>
    </w:p>
    <w:p w14:paraId="04CDE165" w14:textId="77777777" w:rsidR="004E569F" w:rsidRPr="007714B5" w:rsidRDefault="004E569F" w:rsidP="004E569F">
      <w:pPr>
        <w:pStyle w:val="p18"/>
        <w:ind w:left="5062"/>
      </w:pPr>
      <w:r w:rsidRPr="007714B5">
        <w:t>Secretary</w:t>
      </w:r>
    </w:p>
    <w:p w14:paraId="694C9DCE" w14:textId="77777777" w:rsidR="004E569F" w:rsidRPr="007714B5" w:rsidRDefault="004E569F" w:rsidP="004E569F">
      <w:pPr>
        <w:pStyle w:val="p18"/>
        <w:ind w:left="5062"/>
      </w:pPr>
    </w:p>
    <w:p w14:paraId="3B4ED7EE" w14:textId="77777777" w:rsidR="004E569F" w:rsidRPr="007714B5" w:rsidRDefault="004E569F" w:rsidP="004E569F">
      <w:pPr>
        <w:pStyle w:val="p14"/>
      </w:pPr>
    </w:p>
    <w:p w14:paraId="5ABE951C" w14:textId="77777777" w:rsidR="004E569F" w:rsidRPr="007714B5" w:rsidRDefault="004E569F" w:rsidP="004E569F">
      <w:pPr>
        <w:pStyle w:val="p14"/>
      </w:pPr>
      <w:r w:rsidRPr="007714B5">
        <w:t>(SEAL)</w:t>
      </w:r>
    </w:p>
    <w:p w14:paraId="5C6B303B" w14:textId="77777777" w:rsidR="004E569F" w:rsidRPr="007714B5" w:rsidRDefault="004E569F" w:rsidP="004E569F">
      <w:pPr>
        <w:pStyle w:val="p14"/>
      </w:pPr>
    </w:p>
    <w:p w14:paraId="17263834" w14:textId="184B0E70" w:rsidR="004E569F" w:rsidRPr="007714B5" w:rsidRDefault="004E569F" w:rsidP="004E569F">
      <w:pPr>
        <w:pStyle w:val="p14"/>
        <w:spacing w:line="360" w:lineRule="auto"/>
      </w:pPr>
      <w:r w:rsidRPr="007714B5">
        <w:t xml:space="preserve">ORDER ADOPTED:  </w:t>
      </w:r>
      <w:r w:rsidR="000F131C">
        <w:t>September 15</w:t>
      </w:r>
      <w:r>
        <w:t>, 2021</w:t>
      </w:r>
    </w:p>
    <w:p w14:paraId="43EECE50" w14:textId="39005C3C" w:rsidR="00AA0648" w:rsidRPr="007714B5" w:rsidRDefault="004E569F" w:rsidP="00375A14">
      <w:pPr>
        <w:pStyle w:val="p14"/>
      </w:pPr>
      <w:r w:rsidRPr="007714B5">
        <w:t xml:space="preserve">ORDER ENTERED:  </w:t>
      </w:r>
      <w:r w:rsidR="001407C0">
        <w:t>September 15, 2021</w:t>
      </w:r>
    </w:p>
    <w:sectPr w:rsidR="00AA0648" w:rsidRPr="007714B5" w:rsidSect="008225F1">
      <w:footerReference w:type="even" r:id="rId17"/>
      <w:footerReference w:type="default" r:id="rId18"/>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373B" w14:textId="77777777" w:rsidR="004D2BC5" w:rsidRDefault="004D2BC5">
      <w:r>
        <w:separator/>
      </w:r>
    </w:p>
  </w:endnote>
  <w:endnote w:type="continuationSeparator" w:id="0">
    <w:p w14:paraId="18E1F9C6" w14:textId="77777777" w:rsidR="004D2BC5" w:rsidRDefault="004D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A886" w14:textId="77777777" w:rsidR="004D2BC5" w:rsidRDefault="004D2BC5">
      <w:r>
        <w:separator/>
      </w:r>
    </w:p>
  </w:footnote>
  <w:footnote w:type="continuationSeparator" w:id="0">
    <w:p w14:paraId="22888E07" w14:textId="77777777" w:rsidR="004D2BC5" w:rsidRDefault="004D2BC5">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2547"/>
    <w:rsid w:val="000229F3"/>
    <w:rsid w:val="0002303E"/>
    <w:rsid w:val="0002579F"/>
    <w:rsid w:val="0002606A"/>
    <w:rsid w:val="00026342"/>
    <w:rsid w:val="00026B78"/>
    <w:rsid w:val="00035D5C"/>
    <w:rsid w:val="00040ADB"/>
    <w:rsid w:val="00041ACD"/>
    <w:rsid w:val="000433B7"/>
    <w:rsid w:val="00046733"/>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17B0"/>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131C"/>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32C"/>
    <w:rsid w:val="00117C8E"/>
    <w:rsid w:val="00117D0F"/>
    <w:rsid w:val="001218BB"/>
    <w:rsid w:val="001226A7"/>
    <w:rsid w:val="00122702"/>
    <w:rsid w:val="00125EC5"/>
    <w:rsid w:val="001262BA"/>
    <w:rsid w:val="001273E1"/>
    <w:rsid w:val="00127711"/>
    <w:rsid w:val="0012784B"/>
    <w:rsid w:val="00131CCD"/>
    <w:rsid w:val="00134060"/>
    <w:rsid w:val="00140754"/>
    <w:rsid w:val="001407C0"/>
    <w:rsid w:val="00140A59"/>
    <w:rsid w:val="00143887"/>
    <w:rsid w:val="00144B4C"/>
    <w:rsid w:val="00147C63"/>
    <w:rsid w:val="00152A31"/>
    <w:rsid w:val="00153709"/>
    <w:rsid w:val="001563CF"/>
    <w:rsid w:val="00160065"/>
    <w:rsid w:val="0016069E"/>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2B0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3AAA"/>
    <w:rsid w:val="001E40E8"/>
    <w:rsid w:val="001E4A60"/>
    <w:rsid w:val="001E50F6"/>
    <w:rsid w:val="001E5A45"/>
    <w:rsid w:val="001E761D"/>
    <w:rsid w:val="001F00B2"/>
    <w:rsid w:val="001F0BB8"/>
    <w:rsid w:val="001F1449"/>
    <w:rsid w:val="001F22B7"/>
    <w:rsid w:val="001F4F53"/>
    <w:rsid w:val="001F68C9"/>
    <w:rsid w:val="001F6E4F"/>
    <w:rsid w:val="00201AEE"/>
    <w:rsid w:val="002036C2"/>
    <w:rsid w:val="002042DE"/>
    <w:rsid w:val="00206DCC"/>
    <w:rsid w:val="002074E0"/>
    <w:rsid w:val="0021615E"/>
    <w:rsid w:val="002165CF"/>
    <w:rsid w:val="00217AD0"/>
    <w:rsid w:val="002211D3"/>
    <w:rsid w:val="00227817"/>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3F8A"/>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3D23"/>
    <w:rsid w:val="002C489F"/>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28B1"/>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75A14"/>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0EF3"/>
    <w:rsid w:val="003C261B"/>
    <w:rsid w:val="003C36D5"/>
    <w:rsid w:val="003C381C"/>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1CF0"/>
    <w:rsid w:val="00423E64"/>
    <w:rsid w:val="00425569"/>
    <w:rsid w:val="00426542"/>
    <w:rsid w:val="00426BCF"/>
    <w:rsid w:val="00427AEF"/>
    <w:rsid w:val="004303B9"/>
    <w:rsid w:val="004309BE"/>
    <w:rsid w:val="00432FC1"/>
    <w:rsid w:val="0043423E"/>
    <w:rsid w:val="00434E75"/>
    <w:rsid w:val="00436917"/>
    <w:rsid w:val="00437C74"/>
    <w:rsid w:val="00437DE4"/>
    <w:rsid w:val="004419F0"/>
    <w:rsid w:val="004462AB"/>
    <w:rsid w:val="00446EA1"/>
    <w:rsid w:val="00447EA5"/>
    <w:rsid w:val="00452D6E"/>
    <w:rsid w:val="00452E2C"/>
    <w:rsid w:val="00453C56"/>
    <w:rsid w:val="00453DBD"/>
    <w:rsid w:val="004541A7"/>
    <w:rsid w:val="00454A00"/>
    <w:rsid w:val="00454B94"/>
    <w:rsid w:val="00455D8A"/>
    <w:rsid w:val="004574B7"/>
    <w:rsid w:val="0046108B"/>
    <w:rsid w:val="00462733"/>
    <w:rsid w:val="004668A0"/>
    <w:rsid w:val="00470C73"/>
    <w:rsid w:val="00471A58"/>
    <w:rsid w:val="004753D5"/>
    <w:rsid w:val="00475DA0"/>
    <w:rsid w:val="004822AB"/>
    <w:rsid w:val="00485BC3"/>
    <w:rsid w:val="00485F78"/>
    <w:rsid w:val="00492204"/>
    <w:rsid w:val="00492314"/>
    <w:rsid w:val="00492573"/>
    <w:rsid w:val="00492FE8"/>
    <w:rsid w:val="00493762"/>
    <w:rsid w:val="00494261"/>
    <w:rsid w:val="004A2493"/>
    <w:rsid w:val="004A3581"/>
    <w:rsid w:val="004A3714"/>
    <w:rsid w:val="004A53C2"/>
    <w:rsid w:val="004B25FE"/>
    <w:rsid w:val="004B4AD7"/>
    <w:rsid w:val="004C0192"/>
    <w:rsid w:val="004C1350"/>
    <w:rsid w:val="004C23F0"/>
    <w:rsid w:val="004C2BAA"/>
    <w:rsid w:val="004C5971"/>
    <w:rsid w:val="004C5D7B"/>
    <w:rsid w:val="004C5DCE"/>
    <w:rsid w:val="004C6AD2"/>
    <w:rsid w:val="004C6CAB"/>
    <w:rsid w:val="004D08A6"/>
    <w:rsid w:val="004D1FC5"/>
    <w:rsid w:val="004D2BC5"/>
    <w:rsid w:val="004D3E2C"/>
    <w:rsid w:val="004D6512"/>
    <w:rsid w:val="004D7134"/>
    <w:rsid w:val="004D7171"/>
    <w:rsid w:val="004D78E9"/>
    <w:rsid w:val="004E0643"/>
    <w:rsid w:val="004E221E"/>
    <w:rsid w:val="004E3DDD"/>
    <w:rsid w:val="004E41CA"/>
    <w:rsid w:val="004E569F"/>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8B7"/>
    <w:rsid w:val="00534B0C"/>
    <w:rsid w:val="00537FC6"/>
    <w:rsid w:val="00543A82"/>
    <w:rsid w:val="00543FF2"/>
    <w:rsid w:val="00545A60"/>
    <w:rsid w:val="005466FF"/>
    <w:rsid w:val="00551C59"/>
    <w:rsid w:val="00552A3F"/>
    <w:rsid w:val="00553C44"/>
    <w:rsid w:val="00556179"/>
    <w:rsid w:val="0055727F"/>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449"/>
    <w:rsid w:val="005B354B"/>
    <w:rsid w:val="005B3FCC"/>
    <w:rsid w:val="005B442E"/>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E7B57"/>
    <w:rsid w:val="005F0E9D"/>
    <w:rsid w:val="005F4685"/>
    <w:rsid w:val="005F7C23"/>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2E39"/>
    <w:rsid w:val="00623530"/>
    <w:rsid w:val="00624E1A"/>
    <w:rsid w:val="006257D7"/>
    <w:rsid w:val="0062582B"/>
    <w:rsid w:val="00625955"/>
    <w:rsid w:val="006300CA"/>
    <w:rsid w:val="006322C9"/>
    <w:rsid w:val="0063597D"/>
    <w:rsid w:val="006359B7"/>
    <w:rsid w:val="0064255E"/>
    <w:rsid w:val="00643A0B"/>
    <w:rsid w:val="00646211"/>
    <w:rsid w:val="00646400"/>
    <w:rsid w:val="006467C4"/>
    <w:rsid w:val="00647F30"/>
    <w:rsid w:val="00651017"/>
    <w:rsid w:val="0066072E"/>
    <w:rsid w:val="00661EDE"/>
    <w:rsid w:val="006620A1"/>
    <w:rsid w:val="006663DA"/>
    <w:rsid w:val="006665D0"/>
    <w:rsid w:val="00667315"/>
    <w:rsid w:val="00667C38"/>
    <w:rsid w:val="00667DE8"/>
    <w:rsid w:val="006717E3"/>
    <w:rsid w:val="0067235D"/>
    <w:rsid w:val="00672A4E"/>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697F"/>
    <w:rsid w:val="006C6BF7"/>
    <w:rsid w:val="006C6EFE"/>
    <w:rsid w:val="006D3585"/>
    <w:rsid w:val="006D415A"/>
    <w:rsid w:val="006E102D"/>
    <w:rsid w:val="006E2921"/>
    <w:rsid w:val="006E2D6C"/>
    <w:rsid w:val="006E50CA"/>
    <w:rsid w:val="006E71E5"/>
    <w:rsid w:val="006E7D8F"/>
    <w:rsid w:val="006E7F26"/>
    <w:rsid w:val="006E7F56"/>
    <w:rsid w:val="006F067F"/>
    <w:rsid w:val="006F171C"/>
    <w:rsid w:val="006F674B"/>
    <w:rsid w:val="00700595"/>
    <w:rsid w:val="0070114C"/>
    <w:rsid w:val="00701E67"/>
    <w:rsid w:val="00703CBF"/>
    <w:rsid w:val="00704715"/>
    <w:rsid w:val="00704BF2"/>
    <w:rsid w:val="00706B1F"/>
    <w:rsid w:val="007071F6"/>
    <w:rsid w:val="00707E29"/>
    <w:rsid w:val="00707E6C"/>
    <w:rsid w:val="00710E1E"/>
    <w:rsid w:val="007135CB"/>
    <w:rsid w:val="00713C06"/>
    <w:rsid w:val="00715461"/>
    <w:rsid w:val="00715664"/>
    <w:rsid w:val="00715DEA"/>
    <w:rsid w:val="0071612F"/>
    <w:rsid w:val="00716FE1"/>
    <w:rsid w:val="007218EC"/>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3EA6"/>
    <w:rsid w:val="00784D86"/>
    <w:rsid w:val="00784F11"/>
    <w:rsid w:val="00787876"/>
    <w:rsid w:val="007879CF"/>
    <w:rsid w:val="00787AB6"/>
    <w:rsid w:val="00790109"/>
    <w:rsid w:val="00792315"/>
    <w:rsid w:val="00792A09"/>
    <w:rsid w:val="00792F76"/>
    <w:rsid w:val="00793907"/>
    <w:rsid w:val="0079436C"/>
    <w:rsid w:val="00795903"/>
    <w:rsid w:val="007A06DD"/>
    <w:rsid w:val="007A2982"/>
    <w:rsid w:val="007A3E4E"/>
    <w:rsid w:val="007B17E0"/>
    <w:rsid w:val="007B3568"/>
    <w:rsid w:val="007B3B81"/>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40A"/>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2C90"/>
    <w:rsid w:val="00836247"/>
    <w:rsid w:val="008368FE"/>
    <w:rsid w:val="00836BE5"/>
    <w:rsid w:val="00842271"/>
    <w:rsid w:val="00844696"/>
    <w:rsid w:val="00846004"/>
    <w:rsid w:val="008466E2"/>
    <w:rsid w:val="0084768D"/>
    <w:rsid w:val="00853C15"/>
    <w:rsid w:val="008544ED"/>
    <w:rsid w:val="00854A8B"/>
    <w:rsid w:val="008570E1"/>
    <w:rsid w:val="008609FC"/>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167"/>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2EC5"/>
    <w:rsid w:val="00933C13"/>
    <w:rsid w:val="00933DC3"/>
    <w:rsid w:val="00933EC3"/>
    <w:rsid w:val="009366D3"/>
    <w:rsid w:val="009457F7"/>
    <w:rsid w:val="00945F2F"/>
    <w:rsid w:val="00947576"/>
    <w:rsid w:val="00952845"/>
    <w:rsid w:val="00954297"/>
    <w:rsid w:val="009554EB"/>
    <w:rsid w:val="009558AC"/>
    <w:rsid w:val="00957A4D"/>
    <w:rsid w:val="00960727"/>
    <w:rsid w:val="009608E6"/>
    <w:rsid w:val="0096773A"/>
    <w:rsid w:val="009701B8"/>
    <w:rsid w:val="009731AC"/>
    <w:rsid w:val="00976B25"/>
    <w:rsid w:val="00976CE6"/>
    <w:rsid w:val="009771AD"/>
    <w:rsid w:val="009807CA"/>
    <w:rsid w:val="009837D3"/>
    <w:rsid w:val="00984FCC"/>
    <w:rsid w:val="00986BDE"/>
    <w:rsid w:val="009910A3"/>
    <w:rsid w:val="009911F0"/>
    <w:rsid w:val="00992D88"/>
    <w:rsid w:val="00995B7F"/>
    <w:rsid w:val="0099730E"/>
    <w:rsid w:val="009A1099"/>
    <w:rsid w:val="009A1572"/>
    <w:rsid w:val="009A262E"/>
    <w:rsid w:val="009A309D"/>
    <w:rsid w:val="009A33CC"/>
    <w:rsid w:val="009A3753"/>
    <w:rsid w:val="009A44DC"/>
    <w:rsid w:val="009A45C1"/>
    <w:rsid w:val="009A5585"/>
    <w:rsid w:val="009A5E4A"/>
    <w:rsid w:val="009B2072"/>
    <w:rsid w:val="009B6A00"/>
    <w:rsid w:val="009B6D3F"/>
    <w:rsid w:val="009B7A18"/>
    <w:rsid w:val="009B7AB4"/>
    <w:rsid w:val="009B7C41"/>
    <w:rsid w:val="009C07A6"/>
    <w:rsid w:val="009C2BCA"/>
    <w:rsid w:val="009C35CE"/>
    <w:rsid w:val="009C6702"/>
    <w:rsid w:val="009D1210"/>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124D"/>
    <w:rsid w:val="00A33144"/>
    <w:rsid w:val="00A33517"/>
    <w:rsid w:val="00A339B6"/>
    <w:rsid w:val="00A3411F"/>
    <w:rsid w:val="00A3764D"/>
    <w:rsid w:val="00A408DE"/>
    <w:rsid w:val="00A42542"/>
    <w:rsid w:val="00A4326E"/>
    <w:rsid w:val="00A46CE5"/>
    <w:rsid w:val="00A47C5C"/>
    <w:rsid w:val="00A512D5"/>
    <w:rsid w:val="00A545FD"/>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09AD"/>
    <w:rsid w:val="00AA178D"/>
    <w:rsid w:val="00AA3FED"/>
    <w:rsid w:val="00AA50F8"/>
    <w:rsid w:val="00AB07D4"/>
    <w:rsid w:val="00AB37BA"/>
    <w:rsid w:val="00AB4385"/>
    <w:rsid w:val="00AB5FEE"/>
    <w:rsid w:val="00AB78AD"/>
    <w:rsid w:val="00AC114C"/>
    <w:rsid w:val="00AC115C"/>
    <w:rsid w:val="00AC14ED"/>
    <w:rsid w:val="00AC3F3E"/>
    <w:rsid w:val="00AC5C56"/>
    <w:rsid w:val="00AC61F5"/>
    <w:rsid w:val="00AC62BC"/>
    <w:rsid w:val="00AC6834"/>
    <w:rsid w:val="00AD1153"/>
    <w:rsid w:val="00AD34B6"/>
    <w:rsid w:val="00AD3798"/>
    <w:rsid w:val="00AD399A"/>
    <w:rsid w:val="00AD3A51"/>
    <w:rsid w:val="00AD56A7"/>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36E8"/>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4555"/>
    <w:rsid w:val="00B35D4D"/>
    <w:rsid w:val="00B35F1C"/>
    <w:rsid w:val="00B36859"/>
    <w:rsid w:val="00B36D8B"/>
    <w:rsid w:val="00B3762E"/>
    <w:rsid w:val="00B37A09"/>
    <w:rsid w:val="00B413FC"/>
    <w:rsid w:val="00B4302A"/>
    <w:rsid w:val="00B4318B"/>
    <w:rsid w:val="00B43359"/>
    <w:rsid w:val="00B434E6"/>
    <w:rsid w:val="00B43711"/>
    <w:rsid w:val="00B43A27"/>
    <w:rsid w:val="00B4485A"/>
    <w:rsid w:val="00B45721"/>
    <w:rsid w:val="00B46158"/>
    <w:rsid w:val="00B533D0"/>
    <w:rsid w:val="00B53D08"/>
    <w:rsid w:val="00B554E6"/>
    <w:rsid w:val="00B55A9C"/>
    <w:rsid w:val="00B56E00"/>
    <w:rsid w:val="00B57439"/>
    <w:rsid w:val="00B60735"/>
    <w:rsid w:val="00B62560"/>
    <w:rsid w:val="00B63AF9"/>
    <w:rsid w:val="00B63F20"/>
    <w:rsid w:val="00B643DF"/>
    <w:rsid w:val="00B650A6"/>
    <w:rsid w:val="00B6767B"/>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941"/>
    <w:rsid w:val="00BB64AA"/>
    <w:rsid w:val="00BB6608"/>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16AE1"/>
    <w:rsid w:val="00C20A4B"/>
    <w:rsid w:val="00C20F46"/>
    <w:rsid w:val="00C22EF5"/>
    <w:rsid w:val="00C23444"/>
    <w:rsid w:val="00C331E9"/>
    <w:rsid w:val="00C33351"/>
    <w:rsid w:val="00C333B5"/>
    <w:rsid w:val="00C3486E"/>
    <w:rsid w:val="00C35CCF"/>
    <w:rsid w:val="00C41446"/>
    <w:rsid w:val="00C41E32"/>
    <w:rsid w:val="00C44140"/>
    <w:rsid w:val="00C46F6F"/>
    <w:rsid w:val="00C47D5E"/>
    <w:rsid w:val="00C50266"/>
    <w:rsid w:val="00C50530"/>
    <w:rsid w:val="00C52E53"/>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1E4"/>
    <w:rsid w:val="00CC59DB"/>
    <w:rsid w:val="00CD41E7"/>
    <w:rsid w:val="00CD77C9"/>
    <w:rsid w:val="00CE2C68"/>
    <w:rsid w:val="00CE79F2"/>
    <w:rsid w:val="00CE7F29"/>
    <w:rsid w:val="00CF02DE"/>
    <w:rsid w:val="00CF057E"/>
    <w:rsid w:val="00CF29EE"/>
    <w:rsid w:val="00CF2C03"/>
    <w:rsid w:val="00CF3B01"/>
    <w:rsid w:val="00CF529B"/>
    <w:rsid w:val="00CF77DC"/>
    <w:rsid w:val="00CF7F23"/>
    <w:rsid w:val="00D01E0E"/>
    <w:rsid w:val="00D062A5"/>
    <w:rsid w:val="00D06AE5"/>
    <w:rsid w:val="00D078C0"/>
    <w:rsid w:val="00D10D07"/>
    <w:rsid w:val="00D11456"/>
    <w:rsid w:val="00D14790"/>
    <w:rsid w:val="00D15B21"/>
    <w:rsid w:val="00D2102F"/>
    <w:rsid w:val="00D2131C"/>
    <w:rsid w:val="00D21855"/>
    <w:rsid w:val="00D22790"/>
    <w:rsid w:val="00D25539"/>
    <w:rsid w:val="00D30859"/>
    <w:rsid w:val="00D33C16"/>
    <w:rsid w:val="00D34875"/>
    <w:rsid w:val="00D3489E"/>
    <w:rsid w:val="00D36E6A"/>
    <w:rsid w:val="00D37E0C"/>
    <w:rsid w:val="00D41D80"/>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4CA7"/>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62303"/>
    <w:rsid w:val="00E725D4"/>
    <w:rsid w:val="00E734CA"/>
    <w:rsid w:val="00E746C3"/>
    <w:rsid w:val="00E75787"/>
    <w:rsid w:val="00E769DC"/>
    <w:rsid w:val="00E77FF5"/>
    <w:rsid w:val="00E8104C"/>
    <w:rsid w:val="00E843FB"/>
    <w:rsid w:val="00E8575D"/>
    <w:rsid w:val="00E9212A"/>
    <w:rsid w:val="00E929F9"/>
    <w:rsid w:val="00E94205"/>
    <w:rsid w:val="00E9445C"/>
    <w:rsid w:val="00E96CE8"/>
    <w:rsid w:val="00EA05B8"/>
    <w:rsid w:val="00EA0B94"/>
    <w:rsid w:val="00EA0EE6"/>
    <w:rsid w:val="00EA114B"/>
    <w:rsid w:val="00EA153A"/>
    <w:rsid w:val="00EA73CD"/>
    <w:rsid w:val="00EB06E2"/>
    <w:rsid w:val="00EB2856"/>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32C2"/>
    <w:rsid w:val="00EF36D0"/>
    <w:rsid w:val="00EF515D"/>
    <w:rsid w:val="00EF621E"/>
    <w:rsid w:val="00EF6350"/>
    <w:rsid w:val="00F02470"/>
    <w:rsid w:val="00F02B80"/>
    <w:rsid w:val="00F0387B"/>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0B6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iling.puc.pa.gov/%2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yperlink" Target="file:///C:\Users\jorlawson\Downloads\rchiavetta@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2.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3.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2021-09-15T16:25:00Z</dcterms:created>
  <dcterms:modified xsi:type="dcterms:W3CDTF">2021-09-15T16:25:00Z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