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EBBE6" w14:textId="77777777" w:rsidR="006D33B5" w:rsidRPr="00D51726" w:rsidRDefault="006D33B5" w:rsidP="00E22703">
      <w:pPr>
        <w:jc w:val="center"/>
        <w:rPr>
          <w:b/>
          <w:bCs/>
        </w:rPr>
      </w:pPr>
      <w:r w:rsidRPr="00D51726">
        <w:rPr>
          <w:b/>
          <w:bCs/>
        </w:rPr>
        <w:t>BEFORE THE</w:t>
      </w:r>
    </w:p>
    <w:p w14:paraId="246B3768" w14:textId="77777777" w:rsidR="006D33B5" w:rsidRPr="00D51726" w:rsidRDefault="006D33B5" w:rsidP="00E22703">
      <w:pPr>
        <w:jc w:val="center"/>
        <w:rPr>
          <w:b/>
          <w:bCs/>
        </w:rPr>
      </w:pPr>
      <w:r w:rsidRPr="00D51726">
        <w:rPr>
          <w:b/>
          <w:bCs/>
        </w:rPr>
        <w:t>PENNSYLVANIA PUBLIC UTILITY COMMISSION</w:t>
      </w:r>
    </w:p>
    <w:p w14:paraId="403943E2" w14:textId="77777777" w:rsidR="00E22703" w:rsidRPr="00D51726" w:rsidRDefault="00E22703" w:rsidP="00555AB2">
      <w:pPr>
        <w:rPr>
          <w:bCs/>
        </w:rPr>
      </w:pPr>
    </w:p>
    <w:p w14:paraId="6FEE0A4B" w14:textId="77777777" w:rsidR="00A16448" w:rsidRPr="00D51726" w:rsidRDefault="00A16448" w:rsidP="00A236B1">
      <w:pPr>
        <w:rPr>
          <w:bCs/>
        </w:rPr>
      </w:pPr>
    </w:p>
    <w:p w14:paraId="1A0DCD3E" w14:textId="77777777" w:rsidR="00A16448" w:rsidRPr="00D51726" w:rsidRDefault="00A16448" w:rsidP="00A236B1">
      <w:pPr>
        <w:rPr>
          <w:bCs/>
        </w:rPr>
      </w:pPr>
    </w:p>
    <w:p w14:paraId="1E878FE1" w14:textId="7415AD2C" w:rsidR="00A16448" w:rsidRPr="00D51726" w:rsidRDefault="00A16448" w:rsidP="00A16448">
      <w:pPr>
        <w:tabs>
          <w:tab w:val="left" w:pos="5040"/>
          <w:tab w:val="left" w:pos="6480"/>
        </w:tabs>
        <w:rPr>
          <w:b/>
        </w:rPr>
      </w:pPr>
      <w:r w:rsidRPr="00D51726">
        <w:t>Pennsylvania Public Utility Commission</w:t>
      </w:r>
      <w:r w:rsidRPr="00D51726">
        <w:tab/>
        <w:t>:</w:t>
      </w:r>
      <w:r w:rsidRPr="00D51726">
        <w:tab/>
        <w:t>R-20</w:t>
      </w:r>
      <w:r w:rsidR="00CE6831" w:rsidRPr="00D51726">
        <w:t>21-3025652</w:t>
      </w:r>
    </w:p>
    <w:p w14:paraId="51A761BC" w14:textId="1DC01961" w:rsidR="00A236B1" w:rsidRPr="00D51726" w:rsidRDefault="00A16448" w:rsidP="00A236B1">
      <w:pPr>
        <w:tabs>
          <w:tab w:val="left" w:pos="5040"/>
          <w:tab w:val="left" w:pos="6480"/>
        </w:tabs>
      </w:pPr>
      <w:r w:rsidRPr="00D51726">
        <w:t>Office of Consumer Advocate</w:t>
      </w:r>
      <w:r w:rsidR="00A236B1" w:rsidRPr="00D51726">
        <w:tab/>
      </w:r>
      <w:r w:rsidRPr="00D51726">
        <w:t>:</w:t>
      </w:r>
      <w:r w:rsidR="00A236B1" w:rsidRPr="00D51726">
        <w:tab/>
      </w:r>
      <w:bookmarkStart w:id="0" w:name="_Hlk81489892"/>
      <w:r w:rsidR="00A236B1" w:rsidRPr="00D51726">
        <w:t>C-20</w:t>
      </w:r>
      <w:r w:rsidR="00CE6831" w:rsidRPr="00D51726">
        <w:t>21-3025994</w:t>
      </w:r>
      <w:bookmarkEnd w:id="0"/>
    </w:p>
    <w:p w14:paraId="1D5D4F94" w14:textId="30EBEAA4" w:rsidR="00A16448" w:rsidRPr="00D51726" w:rsidRDefault="00A16448" w:rsidP="00A236B1">
      <w:pPr>
        <w:tabs>
          <w:tab w:val="left" w:pos="5040"/>
          <w:tab w:val="left" w:pos="6480"/>
        </w:tabs>
      </w:pPr>
      <w:r w:rsidRPr="00D51726">
        <w:t>Office of Small Business Advocate</w:t>
      </w:r>
      <w:r w:rsidR="00A236B1" w:rsidRPr="00D51726">
        <w:tab/>
        <w:t>:</w:t>
      </w:r>
      <w:r w:rsidR="00A236B1" w:rsidRPr="00D51726">
        <w:tab/>
      </w:r>
      <w:bookmarkStart w:id="1" w:name="_Hlk81489926"/>
      <w:r w:rsidR="00A236B1" w:rsidRPr="00D51726">
        <w:t>C-20</w:t>
      </w:r>
      <w:r w:rsidR="00CE6831" w:rsidRPr="00D51726">
        <w:t>21</w:t>
      </w:r>
      <w:r w:rsidR="00092CEA" w:rsidRPr="00D51726">
        <w:t>-</w:t>
      </w:r>
      <w:r w:rsidR="00CE6831" w:rsidRPr="00D51726">
        <w:t>3026377</w:t>
      </w:r>
      <w:bookmarkEnd w:id="1"/>
    </w:p>
    <w:p w14:paraId="1FC291EC" w14:textId="77777777" w:rsidR="003D23FA" w:rsidRPr="00D51726" w:rsidRDefault="00A236B1" w:rsidP="00A236B1">
      <w:pPr>
        <w:tabs>
          <w:tab w:val="left" w:pos="5040"/>
        </w:tabs>
        <w:rPr>
          <w:bCs/>
        </w:rPr>
      </w:pPr>
      <w:r w:rsidRPr="00D51726">
        <w:rPr>
          <w:bCs/>
        </w:rPr>
        <w:tab/>
        <w:t>:</w:t>
      </w:r>
    </w:p>
    <w:p w14:paraId="0664C435" w14:textId="77777777" w:rsidR="00E22703" w:rsidRPr="00D51726" w:rsidRDefault="00A16448" w:rsidP="00A236B1">
      <w:pPr>
        <w:tabs>
          <w:tab w:val="left" w:pos="720"/>
          <w:tab w:val="left" w:pos="5040"/>
        </w:tabs>
      </w:pPr>
      <w:r w:rsidRPr="00D51726">
        <w:rPr>
          <w:bCs/>
        </w:rPr>
        <w:tab/>
      </w:r>
      <w:r w:rsidRPr="00D51726">
        <w:t>v.</w:t>
      </w:r>
      <w:r w:rsidR="00A236B1" w:rsidRPr="00D51726">
        <w:tab/>
        <w:t>:</w:t>
      </w:r>
    </w:p>
    <w:p w14:paraId="62C7E4F1" w14:textId="77777777" w:rsidR="00A236B1" w:rsidRPr="00D51726" w:rsidRDefault="00A236B1" w:rsidP="00A236B1">
      <w:pPr>
        <w:tabs>
          <w:tab w:val="left" w:pos="720"/>
          <w:tab w:val="left" w:pos="5040"/>
        </w:tabs>
      </w:pPr>
      <w:r w:rsidRPr="00D51726">
        <w:tab/>
      </w:r>
      <w:r w:rsidRPr="00D51726">
        <w:tab/>
        <w:t>:</w:t>
      </w:r>
    </w:p>
    <w:p w14:paraId="011A32E1" w14:textId="01EAC60B" w:rsidR="00A236B1" w:rsidRPr="00D51726" w:rsidRDefault="00CE6831" w:rsidP="00A236B1">
      <w:pPr>
        <w:tabs>
          <w:tab w:val="left" w:pos="720"/>
          <w:tab w:val="left" w:pos="5040"/>
        </w:tabs>
        <w:rPr>
          <w:bCs/>
        </w:rPr>
      </w:pPr>
      <w:r w:rsidRPr="00D51726">
        <w:t>UGI Utilities, Inc. – Gas Division</w:t>
      </w:r>
      <w:r w:rsidR="00A236B1" w:rsidRPr="00D51726">
        <w:tab/>
        <w:t>:</w:t>
      </w:r>
    </w:p>
    <w:p w14:paraId="651EA04D" w14:textId="77777777" w:rsidR="00122936" w:rsidRPr="00D51726" w:rsidRDefault="00122936"/>
    <w:p w14:paraId="62F89D83" w14:textId="21E9D1AE" w:rsidR="00E22703" w:rsidRPr="00D51726" w:rsidRDefault="00E22703"/>
    <w:p w14:paraId="221DD136" w14:textId="77777777" w:rsidR="00031472" w:rsidRPr="00D51726" w:rsidRDefault="00031472"/>
    <w:p w14:paraId="2E8447E6" w14:textId="77777777" w:rsidR="00EF69D2" w:rsidRPr="00D51726" w:rsidRDefault="004A2BB4" w:rsidP="00922597">
      <w:pPr>
        <w:tabs>
          <w:tab w:val="center" w:pos="4680"/>
        </w:tabs>
        <w:suppressAutoHyphens/>
        <w:jc w:val="center"/>
        <w:rPr>
          <w:b/>
          <w:spacing w:val="-3"/>
          <w:u w:val="single"/>
        </w:rPr>
      </w:pPr>
      <w:r w:rsidRPr="00D51726">
        <w:rPr>
          <w:b/>
          <w:spacing w:val="-3"/>
          <w:u w:val="single"/>
        </w:rPr>
        <w:t>RECOMMENDED DECISION</w:t>
      </w:r>
    </w:p>
    <w:p w14:paraId="23C70D8F" w14:textId="77777777" w:rsidR="00ED24F7" w:rsidRPr="00D51726" w:rsidRDefault="00ED24F7" w:rsidP="00ED24F7">
      <w:pPr>
        <w:autoSpaceDE/>
        <w:autoSpaceDN/>
        <w:jc w:val="center"/>
        <w:rPr>
          <w:rFonts w:eastAsiaTheme="minorHAnsi"/>
        </w:rPr>
      </w:pPr>
    </w:p>
    <w:p w14:paraId="265FF9F9" w14:textId="77777777" w:rsidR="00ED24F7" w:rsidRPr="00D51726" w:rsidRDefault="00ED24F7" w:rsidP="00ED24F7">
      <w:pPr>
        <w:autoSpaceDE/>
        <w:autoSpaceDN/>
        <w:jc w:val="center"/>
        <w:rPr>
          <w:rFonts w:eastAsiaTheme="minorHAnsi"/>
        </w:rPr>
      </w:pPr>
    </w:p>
    <w:p w14:paraId="4B0582D3" w14:textId="77777777" w:rsidR="00ED24F7" w:rsidRPr="00D51726" w:rsidRDefault="00ED24F7" w:rsidP="00ED24F7">
      <w:pPr>
        <w:autoSpaceDE/>
        <w:autoSpaceDN/>
        <w:jc w:val="center"/>
        <w:rPr>
          <w:rFonts w:eastAsiaTheme="minorHAnsi"/>
        </w:rPr>
      </w:pPr>
      <w:r w:rsidRPr="00D51726">
        <w:rPr>
          <w:rFonts w:eastAsiaTheme="minorHAnsi"/>
        </w:rPr>
        <w:t>Before</w:t>
      </w:r>
    </w:p>
    <w:p w14:paraId="2D78A96D" w14:textId="5ECFF1C5" w:rsidR="00ED24F7" w:rsidRPr="00D51726" w:rsidRDefault="00CE6831" w:rsidP="00ED24F7">
      <w:pPr>
        <w:autoSpaceDE/>
        <w:autoSpaceDN/>
        <w:jc w:val="center"/>
        <w:rPr>
          <w:rFonts w:eastAsiaTheme="minorHAnsi"/>
        </w:rPr>
      </w:pPr>
      <w:r w:rsidRPr="00D51726">
        <w:rPr>
          <w:rFonts w:eastAsiaTheme="minorHAnsi"/>
        </w:rPr>
        <w:t>Dennis J. Buckley</w:t>
      </w:r>
    </w:p>
    <w:p w14:paraId="09088D19" w14:textId="77777777" w:rsidR="00ED24F7" w:rsidRPr="00D51726" w:rsidRDefault="00ED24F7" w:rsidP="00ED24F7">
      <w:pPr>
        <w:autoSpaceDE/>
        <w:autoSpaceDN/>
        <w:jc w:val="center"/>
        <w:rPr>
          <w:rFonts w:eastAsiaTheme="minorHAnsi"/>
        </w:rPr>
      </w:pPr>
      <w:r w:rsidRPr="00D51726">
        <w:rPr>
          <w:rFonts w:eastAsiaTheme="minorHAnsi"/>
        </w:rPr>
        <w:t>Administrative Law Judge</w:t>
      </w:r>
    </w:p>
    <w:p w14:paraId="2819AB09" w14:textId="77777777" w:rsidR="00ED24F7" w:rsidRPr="00D51726" w:rsidRDefault="00ED24F7" w:rsidP="00ED24F7">
      <w:pPr>
        <w:autoSpaceDE/>
        <w:autoSpaceDN/>
        <w:jc w:val="center"/>
        <w:rPr>
          <w:rFonts w:eastAsiaTheme="minorHAnsi"/>
        </w:rPr>
      </w:pPr>
    </w:p>
    <w:p w14:paraId="7BC33F86" w14:textId="432825A5" w:rsidR="00ED24F7" w:rsidRPr="00D51726" w:rsidRDefault="00ED24F7" w:rsidP="00ED24F7">
      <w:pPr>
        <w:autoSpaceDE/>
        <w:autoSpaceDN/>
        <w:jc w:val="center"/>
        <w:rPr>
          <w:rFonts w:eastAsiaTheme="minorHAnsi"/>
          <w:u w:val="single"/>
        </w:rPr>
      </w:pPr>
    </w:p>
    <w:p w14:paraId="76390946" w14:textId="6DF7830E" w:rsidR="00B541AA" w:rsidRPr="00D51726" w:rsidRDefault="00B541AA" w:rsidP="00DE1583">
      <w:pPr>
        <w:autoSpaceDE/>
        <w:autoSpaceDN/>
        <w:spacing w:line="360" w:lineRule="auto"/>
        <w:jc w:val="center"/>
        <w:rPr>
          <w:rFonts w:eastAsiaTheme="minorHAnsi"/>
          <w:u w:val="single"/>
        </w:rPr>
      </w:pPr>
      <w:r w:rsidRPr="00D51726">
        <w:rPr>
          <w:rFonts w:eastAsiaTheme="minorHAnsi"/>
          <w:u w:val="single"/>
        </w:rPr>
        <w:t>INTRODUCTION</w:t>
      </w:r>
    </w:p>
    <w:p w14:paraId="12D9C77F" w14:textId="77777777" w:rsidR="00B541AA" w:rsidRPr="00D51726" w:rsidRDefault="00B541AA" w:rsidP="00F447B1">
      <w:pPr>
        <w:autoSpaceDE/>
        <w:autoSpaceDN/>
        <w:spacing w:line="360" w:lineRule="auto"/>
        <w:jc w:val="center"/>
        <w:rPr>
          <w:rFonts w:eastAsiaTheme="minorHAnsi"/>
          <w:u w:val="single"/>
        </w:rPr>
      </w:pPr>
    </w:p>
    <w:p w14:paraId="77254529" w14:textId="5B321038" w:rsidR="00CE6831" w:rsidRPr="00D51726" w:rsidRDefault="00CE6831" w:rsidP="00F447B1">
      <w:pPr>
        <w:autoSpaceDE/>
        <w:autoSpaceDN/>
        <w:spacing w:line="360" w:lineRule="auto"/>
        <w:rPr>
          <w:rFonts w:eastAsiaTheme="minorHAnsi"/>
        </w:rPr>
      </w:pPr>
      <w:r w:rsidRPr="00D51726">
        <w:rPr>
          <w:rFonts w:eastAsiaTheme="minorHAnsi"/>
        </w:rPr>
        <w:tab/>
      </w:r>
      <w:r w:rsidRPr="00D51726">
        <w:rPr>
          <w:rFonts w:eastAsiaTheme="minorHAnsi"/>
        </w:rPr>
        <w:tab/>
        <w:t xml:space="preserve">This </w:t>
      </w:r>
      <w:r w:rsidR="0049355E" w:rsidRPr="00D51726">
        <w:rPr>
          <w:rFonts w:eastAsiaTheme="minorHAnsi"/>
        </w:rPr>
        <w:t>D</w:t>
      </w:r>
      <w:r w:rsidRPr="00D51726">
        <w:rPr>
          <w:rFonts w:eastAsiaTheme="minorHAnsi"/>
        </w:rPr>
        <w:t xml:space="preserve">ecision recommends that the </w:t>
      </w:r>
      <w:r w:rsidR="00963301" w:rsidRPr="00D51726">
        <w:rPr>
          <w:rFonts w:eastAsiaTheme="minorHAnsi"/>
        </w:rPr>
        <w:t>Pennsylvania Public Utility Commission (</w:t>
      </w:r>
      <w:r w:rsidRPr="00D51726">
        <w:rPr>
          <w:rFonts w:eastAsiaTheme="minorHAnsi"/>
        </w:rPr>
        <w:t>Commission</w:t>
      </w:r>
      <w:r w:rsidR="00963301" w:rsidRPr="00D51726">
        <w:rPr>
          <w:rFonts w:eastAsiaTheme="minorHAnsi"/>
        </w:rPr>
        <w:t>)</w:t>
      </w:r>
      <w:r w:rsidRPr="00D51726">
        <w:rPr>
          <w:rFonts w:eastAsiaTheme="minorHAnsi"/>
        </w:rPr>
        <w:t xml:space="preserve"> adopt, without modification, the Joint Settlement filed by UGI Utilities, Inc. - Gas Division (UGI or Company), the Commission’s Bureau of Investigation and Enforcement (I&amp;E), the Office of Consumer Advocate (OCA), and the Office of Small Business Advocate (OSBA) (collectively the Joint Petitioners), </w:t>
      </w:r>
      <w:r w:rsidR="0049355E" w:rsidRPr="00D51726">
        <w:rPr>
          <w:rFonts w:eastAsiaTheme="minorHAnsi"/>
        </w:rPr>
        <w:t>which resolves all of the issues of the</w:t>
      </w:r>
      <w:r w:rsidRPr="00D51726">
        <w:rPr>
          <w:rFonts w:eastAsiaTheme="minorHAnsi"/>
        </w:rPr>
        <w:t xml:space="preserve"> Section 1307(f) </w:t>
      </w:r>
      <w:r w:rsidR="0049355E" w:rsidRPr="00D51726">
        <w:rPr>
          <w:rFonts w:eastAsiaTheme="minorHAnsi"/>
        </w:rPr>
        <w:t>r</w:t>
      </w:r>
      <w:r w:rsidRPr="00D51726">
        <w:rPr>
          <w:rFonts w:eastAsiaTheme="minorHAnsi"/>
        </w:rPr>
        <w:t xml:space="preserve">ate </w:t>
      </w:r>
      <w:r w:rsidR="0049355E" w:rsidRPr="00D51726">
        <w:rPr>
          <w:rFonts w:eastAsiaTheme="minorHAnsi"/>
        </w:rPr>
        <w:t>i</w:t>
      </w:r>
      <w:r w:rsidRPr="00D51726">
        <w:rPr>
          <w:rFonts w:eastAsiaTheme="minorHAnsi"/>
        </w:rPr>
        <w:t>nvestigation</w:t>
      </w:r>
      <w:r w:rsidR="0049355E" w:rsidRPr="00D51726">
        <w:rPr>
          <w:rFonts w:eastAsiaTheme="minorHAnsi"/>
        </w:rPr>
        <w:t xml:space="preserve"> </w:t>
      </w:r>
      <w:r w:rsidRPr="00D51726">
        <w:rPr>
          <w:rFonts w:eastAsiaTheme="minorHAnsi"/>
        </w:rPr>
        <w:t>in the above-captioned proceeding</w:t>
      </w:r>
      <w:r w:rsidR="00864A21" w:rsidRPr="00D51726">
        <w:rPr>
          <w:rFonts w:eastAsiaTheme="minorHAnsi"/>
        </w:rPr>
        <w:t xml:space="preserve"> </w:t>
      </w:r>
      <w:r w:rsidR="00864A21" w:rsidRPr="00D51726">
        <w:t xml:space="preserve">reflecting actual and projected changes in natural gas </w:t>
      </w:r>
      <w:r w:rsidR="00BA61D4" w:rsidRPr="00D51726">
        <w:t>purchased gas costs (</w:t>
      </w:r>
      <w:r w:rsidR="00864A21" w:rsidRPr="00D51726">
        <w:t>PGC</w:t>
      </w:r>
      <w:r w:rsidR="00BA61D4" w:rsidRPr="00D51726">
        <w:t>)</w:t>
      </w:r>
      <w:r w:rsidR="00864A21" w:rsidRPr="00D51726">
        <w:t xml:space="preserve"> rate of $4.4594/Mcf.</w:t>
      </w:r>
      <w:r w:rsidR="00D4093D" w:rsidRPr="00D51726">
        <w:rPr>
          <w:rStyle w:val="FootnoteReference"/>
        </w:rPr>
        <w:footnoteReference w:id="1"/>
      </w:r>
      <w:r w:rsidR="00864A21" w:rsidRPr="00D51726">
        <w:t xml:space="preserve">  </w:t>
      </w:r>
      <w:r w:rsidR="00B7244A" w:rsidRPr="00D51726">
        <w:rPr>
          <w:rFonts w:eastAsiaTheme="minorHAnsi"/>
        </w:rPr>
        <w:t xml:space="preserve">For the reasons stated, below, the Joint Settlement is reasonable and in the public interest and is in conformity with the requirements of the Public Utility Code. </w:t>
      </w:r>
      <w:bookmarkStart w:id="2" w:name="_Hlk81489430"/>
      <w:r w:rsidR="00375BAA">
        <w:rPr>
          <w:rFonts w:eastAsiaTheme="minorHAnsi"/>
        </w:rPr>
        <w:t>T</w:t>
      </w:r>
      <w:r w:rsidR="00B7244A" w:rsidRPr="00D51726">
        <w:rPr>
          <w:rFonts w:eastAsiaTheme="minorHAnsi"/>
        </w:rPr>
        <w:t>he statutory deadline in this case</w:t>
      </w:r>
      <w:r w:rsidR="00375BAA">
        <w:rPr>
          <w:rFonts w:eastAsiaTheme="minorHAnsi"/>
        </w:rPr>
        <w:t xml:space="preserve"> is </w:t>
      </w:r>
      <w:r w:rsidR="00B7244A" w:rsidRPr="00D51726">
        <w:rPr>
          <w:rFonts w:eastAsiaTheme="minorHAnsi"/>
        </w:rPr>
        <w:t xml:space="preserve">December </w:t>
      </w:r>
      <w:r w:rsidR="003F2684">
        <w:rPr>
          <w:rFonts w:eastAsiaTheme="minorHAnsi"/>
        </w:rPr>
        <w:t>1</w:t>
      </w:r>
      <w:r w:rsidR="00B7244A" w:rsidRPr="00D51726">
        <w:rPr>
          <w:rFonts w:eastAsiaTheme="minorHAnsi"/>
        </w:rPr>
        <w:t>, 2021.</w:t>
      </w:r>
    </w:p>
    <w:bookmarkEnd w:id="2"/>
    <w:p w14:paraId="2345174F" w14:textId="77777777" w:rsidR="00333195" w:rsidRDefault="00333195" w:rsidP="00F447B1">
      <w:pPr>
        <w:autoSpaceDE/>
        <w:autoSpaceDN/>
        <w:spacing w:line="360" w:lineRule="auto"/>
        <w:jc w:val="center"/>
        <w:rPr>
          <w:rFonts w:eastAsiaTheme="minorHAnsi"/>
          <w:u w:val="single"/>
        </w:rPr>
        <w:sectPr w:rsidR="00333195" w:rsidSect="00D94E0F">
          <w:footerReference w:type="default" r:id="rId8"/>
          <w:pgSz w:w="12240" w:h="15840"/>
          <w:pgMar w:top="1440" w:right="1440" w:bottom="1440" w:left="1440" w:header="720" w:footer="720" w:gutter="0"/>
          <w:pgNumType w:start="2"/>
          <w:cols w:space="720"/>
          <w:titlePg/>
          <w:docGrid w:linePitch="326"/>
        </w:sectPr>
      </w:pPr>
    </w:p>
    <w:p w14:paraId="0C68EDEC" w14:textId="607FD617" w:rsidR="00ED24F7" w:rsidRPr="00D51726" w:rsidRDefault="00ED24F7" w:rsidP="00F447B1">
      <w:pPr>
        <w:autoSpaceDE/>
        <w:autoSpaceDN/>
        <w:spacing w:line="360" w:lineRule="auto"/>
        <w:jc w:val="center"/>
        <w:rPr>
          <w:rFonts w:eastAsiaTheme="minorHAnsi"/>
          <w:u w:val="single"/>
        </w:rPr>
      </w:pPr>
      <w:r w:rsidRPr="00D51726">
        <w:rPr>
          <w:rFonts w:eastAsiaTheme="minorHAnsi"/>
          <w:u w:val="single"/>
        </w:rPr>
        <w:lastRenderedPageBreak/>
        <w:t>HISTORY OF THE PROCEEDING</w:t>
      </w:r>
    </w:p>
    <w:p w14:paraId="307C1C20" w14:textId="77777777" w:rsidR="007B76C4" w:rsidRPr="00D51726" w:rsidRDefault="007B76C4" w:rsidP="00F447B1">
      <w:pPr>
        <w:tabs>
          <w:tab w:val="center" w:pos="4680"/>
        </w:tabs>
        <w:suppressAutoHyphens/>
        <w:spacing w:line="360" w:lineRule="auto"/>
        <w:jc w:val="center"/>
        <w:rPr>
          <w:b/>
          <w:spacing w:val="-3"/>
          <w:u w:val="single"/>
        </w:rPr>
      </w:pPr>
    </w:p>
    <w:p w14:paraId="6719CCB4" w14:textId="4E351EB9" w:rsidR="009F62C2" w:rsidRPr="00D51726" w:rsidRDefault="009F62C2" w:rsidP="00F447B1">
      <w:pPr>
        <w:widowControl w:val="0"/>
        <w:spacing w:line="360" w:lineRule="auto"/>
      </w:pPr>
      <w:r w:rsidRPr="00D51726">
        <w:tab/>
      </w:r>
      <w:r w:rsidRPr="00D51726">
        <w:tab/>
      </w:r>
      <w:bookmarkStart w:id="3" w:name="_Hlk81401972"/>
      <w:r w:rsidRPr="00D51726">
        <w:t>On April 30, 2021, the Company made its 30-day pre-filing (Book 1) with the Commission containing data related to the recovery of PGC pursuant to</w:t>
      </w:r>
      <w:r w:rsidR="00BD0C3B" w:rsidRPr="00D51726">
        <w:t xml:space="preserve"> </w:t>
      </w:r>
      <w:r w:rsidRPr="00D51726">
        <w:t>Section 1307(f) of the Public Utility Code, 66 Pa. C.S. § 1307(f), and in accordance with the Commission’s regulations at 52 Pa. Code §§ 53.64 and 53.65.</w:t>
      </w:r>
    </w:p>
    <w:p w14:paraId="5A4AC413" w14:textId="77777777" w:rsidR="006A6DE0" w:rsidRPr="00D51726" w:rsidRDefault="006A6DE0" w:rsidP="00F447B1">
      <w:pPr>
        <w:widowControl w:val="0"/>
        <w:spacing w:line="360" w:lineRule="auto"/>
      </w:pPr>
    </w:p>
    <w:p w14:paraId="63CF11FF" w14:textId="66E885EF" w:rsidR="009F62C2" w:rsidRPr="00D51726" w:rsidRDefault="009F62C2" w:rsidP="00F447B1">
      <w:pPr>
        <w:widowControl w:val="0"/>
        <w:spacing w:line="360" w:lineRule="auto"/>
      </w:pPr>
      <w:r w:rsidRPr="00D51726">
        <w:tab/>
      </w:r>
      <w:r w:rsidRPr="00D51726">
        <w:tab/>
        <w:t>On May 21, 2021, OCA filed a Notice of Appearance, Formal Complaint</w:t>
      </w:r>
      <w:r w:rsidR="000315FC" w:rsidRPr="00D51726">
        <w:t xml:space="preserve"> (C-2021-3025994)</w:t>
      </w:r>
      <w:r w:rsidRPr="00D51726">
        <w:t>, and Public Statement in the Company’s PGC proceeding.</w:t>
      </w:r>
    </w:p>
    <w:p w14:paraId="489C40B5" w14:textId="77777777" w:rsidR="009F62C2" w:rsidRPr="00D51726" w:rsidRDefault="009F62C2" w:rsidP="00F447B1">
      <w:pPr>
        <w:widowControl w:val="0"/>
        <w:spacing w:line="360" w:lineRule="auto"/>
      </w:pPr>
    </w:p>
    <w:p w14:paraId="19F2401A" w14:textId="59B83386" w:rsidR="009F62C2" w:rsidRPr="00D51726" w:rsidRDefault="009F62C2" w:rsidP="00F447B1">
      <w:pPr>
        <w:widowControl w:val="0"/>
        <w:spacing w:line="360" w:lineRule="auto"/>
      </w:pPr>
      <w:r w:rsidRPr="00D51726">
        <w:tab/>
      </w:r>
      <w:r w:rsidRPr="00D51726">
        <w:tab/>
        <w:t>On May 24, 2021, I&amp;E filed a Notice of Appearance.</w:t>
      </w:r>
    </w:p>
    <w:p w14:paraId="0A9D7FF0" w14:textId="77777777" w:rsidR="009F62C2" w:rsidRPr="00D51726" w:rsidRDefault="009F62C2" w:rsidP="00F447B1">
      <w:pPr>
        <w:widowControl w:val="0"/>
        <w:spacing w:line="360" w:lineRule="auto"/>
      </w:pPr>
    </w:p>
    <w:p w14:paraId="7D91DE76" w14:textId="721EFB61" w:rsidR="009F62C2" w:rsidRPr="00D51726" w:rsidRDefault="009F62C2" w:rsidP="00F447B1">
      <w:pPr>
        <w:widowControl w:val="0"/>
        <w:spacing w:line="360" w:lineRule="auto"/>
      </w:pPr>
      <w:r w:rsidRPr="00D51726">
        <w:tab/>
      </w:r>
      <w:r w:rsidRPr="00D51726">
        <w:tab/>
        <w:t xml:space="preserve">On June 1, 2021, the Company filed with the Commission its definitive PGC filing (Book 2), including supporting information required by the Commission’s regulations, the Company’s direct testimony and exhibits, and the Pro Forma Tariff Supplements reflecting actual and projected changes in natural gas costs.    </w:t>
      </w:r>
    </w:p>
    <w:p w14:paraId="299EB392" w14:textId="77777777" w:rsidR="009F62C2" w:rsidRPr="00D51726" w:rsidRDefault="009F62C2" w:rsidP="00F447B1">
      <w:pPr>
        <w:widowControl w:val="0"/>
        <w:spacing w:line="360" w:lineRule="auto"/>
      </w:pPr>
    </w:p>
    <w:p w14:paraId="60105DD6" w14:textId="414CCD7A" w:rsidR="009F62C2" w:rsidRPr="00D51726" w:rsidRDefault="009F62C2" w:rsidP="00F447B1">
      <w:pPr>
        <w:widowControl w:val="0"/>
        <w:spacing w:line="360" w:lineRule="auto"/>
      </w:pPr>
      <w:r w:rsidRPr="00D51726">
        <w:tab/>
      </w:r>
      <w:r w:rsidRPr="00D51726">
        <w:tab/>
        <w:t>On June 8, 2021, the OSBA filed a Notice of Appearance, Formal Complaint</w:t>
      </w:r>
      <w:r w:rsidR="000315FC" w:rsidRPr="00D51726">
        <w:t xml:space="preserve"> (C</w:t>
      </w:r>
      <w:r w:rsidR="00D51726">
        <w:noBreakHyphen/>
      </w:r>
      <w:r w:rsidR="000315FC" w:rsidRPr="00D51726">
        <w:t>2021-3026377)</w:t>
      </w:r>
      <w:r w:rsidRPr="00D51726">
        <w:t xml:space="preserve">, Public Statement, and Verification in this proceeding.  </w:t>
      </w:r>
    </w:p>
    <w:p w14:paraId="2D804B60" w14:textId="77777777" w:rsidR="009F62C2" w:rsidRPr="00D51726" w:rsidRDefault="009F62C2" w:rsidP="00F447B1">
      <w:pPr>
        <w:widowControl w:val="0"/>
        <w:spacing w:line="360" w:lineRule="auto"/>
      </w:pPr>
    </w:p>
    <w:p w14:paraId="6EECB614" w14:textId="64E0EF38" w:rsidR="009F62C2" w:rsidRPr="00D51726" w:rsidRDefault="009F62C2" w:rsidP="00F447B1">
      <w:pPr>
        <w:widowControl w:val="0"/>
        <w:spacing w:line="360" w:lineRule="auto"/>
      </w:pPr>
      <w:r w:rsidRPr="00D51726">
        <w:tab/>
      </w:r>
      <w:r w:rsidRPr="00D51726">
        <w:tab/>
        <w:t xml:space="preserve">On June 11, 2021, a telephonic prehearing conference was held, at which time a procedural schedule was adopted.  </w:t>
      </w:r>
    </w:p>
    <w:p w14:paraId="331E9AEE" w14:textId="77777777" w:rsidR="009F62C2" w:rsidRPr="00D51726" w:rsidRDefault="009F62C2" w:rsidP="00F447B1">
      <w:pPr>
        <w:widowControl w:val="0"/>
        <w:spacing w:line="360" w:lineRule="auto"/>
      </w:pPr>
    </w:p>
    <w:p w14:paraId="0A120738" w14:textId="11639DC1" w:rsidR="009F62C2" w:rsidRPr="00D51726" w:rsidRDefault="009F62C2" w:rsidP="00F447B1">
      <w:pPr>
        <w:widowControl w:val="0"/>
        <w:spacing w:line="360" w:lineRule="auto"/>
      </w:pPr>
      <w:r w:rsidRPr="00D51726">
        <w:tab/>
      </w:r>
      <w:r w:rsidRPr="00D51726">
        <w:tab/>
        <w:t>On June 18, 2021, a Motion for Protective Order was filed by the Company, which was granted by Order dated June 18, 2021.</w:t>
      </w:r>
    </w:p>
    <w:p w14:paraId="7A4F2DCB" w14:textId="77777777" w:rsidR="009F62C2" w:rsidRPr="00D51726" w:rsidRDefault="009F62C2" w:rsidP="00F447B1">
      <w:pPr>
        <w:widowControl w:val="0"/>
        <w:spacing w:line="360" w:lineRule="auto"/>
      </w:pPr>
    </w:p>
    <w:p w14:paraId="70AB9CD3" w14:textId="3FF9E440" w:rsidR="009F62C2" w:rsidRPr="00D51726" w:rsidRDefault="009F62C2" w:rsidP="00F447B1">
      <w:pPr>
        <w:widowControl w:val="0"/>
        <w:spacing w:line="360" w:lineRule="auto"/>
      </w:pPr>
      <w:r w:rsidRPr="00D51726">
        <w:tab/>
      </w:r>
      <w:r w:rsidRPr="00D51726">
        <w:tab/>
        <w:t>On July 6, 2021, OCA, OSBA and I&amp;E submitted written direct testimony and exhibits.</w:t>
      </w:r>
    </w:p>
    <w:p w14:paraId="70B63919" w14:textId="77777777" w:rsidR="009F62C2" w:rsidRPr="00D51726" w:rsidRDefault="009F62C2" w:rsidP="00F447B1">
      <w:pPr>
        <w:widowControl w:val="0"/>
        <w:spacing w:line="360" w:lineRule="auto"/>
      </w:pPr>
    </w:p>
    <w:p w14:paraId="02AC2E50" w14:textId="0955305F" w:rsidR="009F62C2" w:rsidRPr="00D51726" w:rsidRDefault="009F62C2" w:rsidP="00F447B1">
      <w:pPr>
        <w:widowControl w:val="0"/>
        <w:spacing w:line="360" w:lineRule="auto"/>
      </w:pPr>
      <w:r w:rsidRPr="00D51726">
        <w:tab/>
      </w:r>
      <w:r w:rsidRPr="00D51726">
        <w:tab/>
        <w:t xml:space="preserve">On July 23, 2021, the Company and I&amp;E submitted written rebuttal testimony and exhibits.  </w:t>
      </w:r>
    </w:p>
    <w:p w14:paraId="227956A8" w14:textId="7B8BE14B" w:rsidR="009F62C2" w:rsidRPr="00D51726" w:rsidRDefault="009F62C2" w:rsidP="00F447B1">
      <w:pPr>
        <w:widowControl w:val="0"/>
        <w:spacing w:line="360" w:lineRule="auto"/>
      </w:pPr>
      <w:r w:rsidRPr="00D51726">
        <w:lastRenderedPageBreak/>
        <w:tab/>
      </w:r>
      <w:r w:rsidRPr="00D51726">
        <w:tab/>
        <w:t xml:space="preserve">On July 29, 2021, the Company, OCA, OSBA and I&amp;E served surrebuttal testimony and exhibits.  </w:t>
      </w:r>
    </w:p>
    <w:p w14:paraId="32522F49" w14:textId="77777777" w:rsidR="009F62C2" w:rsidRPr="00D51726" w:rsidRDefault="009F62C2" w:rsidP="00F447B1">
      <w:pPr>
        <w:widowControl w:val="0"/>
        <w:spacing w:line="360" w:lineRule="auto"/>
      </w:pPr>
    </w:p>
    <w:p w14:paraId="23FE293A" w14:textId="5DCFEE5B" w:rsidR="009F62C2" w:rsidRPr="00D51726" w:rsidRDefault="009F62C2" w:rsidP="00F447B1">
      <w:pPr>
        <w:widowControl w:val="0"/>
        <w:spacing w:line="360" w:lineRule="auto"/>
      </w:pPr>
      <w:r w:rsidRPr="00D51726">
        <w:tab/>
      </w:r>
      <w:r w:rsidRPr="00D51726">
        <w:tab/>
        <w:t>On July 29, 2021, counsel for the Company advised the presiding officer of a settlement in principle and requested that the scheduled evidentiary hearing be canceled and that the Joint Petitioners be permitted to admit their evidence by stipulation.</w:t>
      </w:r>
      <w:r w:rsidR="00DF41C4" w:rsidRPr="00D51726">
        <w:t xml:space="preserve">  Accordingly, the evidentiary hearing was cancelled.</w:t>
      </w:r>
    </w:p>
    <w:p w14:paraId="2D7EF0C7" w14:textId="77777777" w:rsidR="009F62C2" w:rsidRPr="00D51726" w:rsidRDefault="009F62C2" w:rsidP="00F447B1">
      <w:pPr>
        <w:widowControl w:val="0"/>
        <w:spacing w:line="360" w:lineRule="auto"/>
      </w:pPr>
    </w:p>
    <w:p w14:paraId="68805768" w14:textId="4ADE8519" w:rsidR="009F62C2" w:rsidRPr="00D51726" w:rsidRDefault="009F62C2" w:rsidP="00F447B1">
      <w:pPr>
        <w:widowControl w:val="0"/>
        <w:spacing w:line="360" w:lineRule="auto"/>
      </w:pPr>
      <w:r w:rsidRPr="00D51726">
        <w:tab/>
      </w:r>
      <w:r w:rsidRPr="00D51726">
        <w:tab/>
        <w:t xml:space="preserve">On August 13, 2021, the Joint Petitioners filed a Joint Stipulation for Admission of Evidence, with accompanying signed verifications of the sponsoring witnesses, to admit the testimony and exhibits into the record.  </w:t>
      </w:r>
    </w:p>
    <w:p w14:paraId="254B4DED" w14:textId="77777777" w:rsidR="009F62C2" w:rsidRPr="00D51726" w:rsidRDefault="009F62C2" w:rsidP="00F447B1">
      <w:pPr>
        <w:widowControl w:val="0"/>
        <w:spacing w:line="360" w:lineRule="auto"/>
      </w:pPr>
      <w:r w:rsidRPr="00D51726">
        <w:tab/>
      </w:r>
    </w:p>
    <w:p w14:paraId="1EA6199C" w14:textId="0238C55F" w:rsidR="009F62C2" w:rsidRPr="00D51726" w:rsidRDefault="009F62C2" w:rsidP="00F447B1">
      <w:pPr>
        <w:widowControl w:val="0"/>
        <w:spacing w:line="360" w:lineRule="auto"/>
      </w:pPr>
      <w:r w:rsidRPr="00D51726">
        <w:tab/>
      </w:r>
      <w:r w:rsidRPr="00D51726">
        <w:tab/>
        <w:t>On August 24, 2021, an Order was issued granting the Motion for the Admission of Evidence</w:t>
      </w:r>
      <w:r w:rsidR="00DF41C4" w:rsidRPr="00D51726">
        <w:t xml:space="preserve"> and listing the testimony and exhibits that form the basis of the evidentiary record in this proceeding</w:t>
      </w:r>
      <w:r w:rsidRPr="00D51726">
        <w:t>.</w:t>
      </w:r>
      <w:r w:rsidR="00D52EBF" w:rsidRPr="00D51726">
        <w:t xml:space="preserve">  The evidentiary record closed on that date contingent upon acceptance by the Commission of the Joint Settlement.</w:t>
      </w:r>
    </w:p>
    <w:p w14:paraId="0F7FF039" w14:textId="6040974F" w:rsidR="00BA449A" w:rsidRPr="00D51726" w:rsidRDefault="00BA449A" w:rsidP="00F447B1">
      <w:pPr>
        <w:widowControl w:val="0"/>
        <w:spacing w:line="360" w:lineRule="auto"/>
      </w:pPr>
    </w:p>
    <w:p w14:paraId="28F9A278" w14:textId="73D33C62" w:rsidR="00BA449A" w:rsidRPr="00D51726" w:rsidRDefault="00BA449A" w:rsidP="00F447B1">
      <w:pPr>
        <w:widowControl w:val="0"/>
        <w:spacing w:line="360" w:lineRule="auto"/>
      </w:pPr>
      <w:r w:rsidRPr="00D51726">
        <w:tab/>
      </w:r>
      <w:r w:rsidRPr="00D51726">
        <w:tab/>
        <w:t xml:space="preserve">On August 25, 2021, the Parties submitted a Joint Petition for Settlement which includes the </w:t>
      </w:r>
      <w:r w:rsidR="00DF41C4" w:rsidRPr="00D51726">
        <w:t xml:space="preserve">terms of the </w:t>
      </w:r>
      <w:r w:rsidRPr="00D51726">
        <w:t>Joint Settlement, itself.  Also accompanying the Joint Settlement were the Supporting Statements of the Parties</w:t>
      </w:r>
      <w:r w:rsidR="00DF41C4" w:rsidRPr="00D51726">
        <w:t xml:space="preserve"> attached as individual exhibits</w:t>
      </w:r>
      <w:r w:rsidRPr="00D51726">
        <w:t>.</w:t>
      </w:r>
    </w:p>
    <w:p w14:paraId="4DD8AB72" w14:textId="4E161635" w:rsidR="00BA449A" w:rsidRPr="00D51726" w:rsidRDefault="00BA449A" w:rsidP="00F447B1">
      <w:pPr>
        <w:widowControl w:val="0"/>
        <w:spacing w:line="360" w:lineRule="auto"/>
      </w:pPr>
    </w:p>
    <w:p w14:paraId="405EBF47" w14:textId="6FAC9B19" w:rsidR="00BA449A" w:rsidRPr="00D51726" w:rsidRDefault="00BA449A" w:rsidP="00F447B1">
      <w:pPr>
        <w:widowControl w:val="0"/>
        <w:spacing w:line="360" w:lineRule="auto"/>
      </w:pPr>
      <w:r w:rsidRPr="00D51726">
        <w:tab/>
      </w:r>
      <w:r w:rsidRPr="00D51726">
        <w:tab/>
      </w:r>
      <w:r w:rsidR="00375BAA">
        <w:t>T</w:t>
      </w:r>
      <w:r w:rsidRPr="00D51726">
        <w:t>he statutory deadline in this case</w:t>
      </w:r>
      <w:r w:rsidR="00375BAA">
        <w:t xml:space="preserve"> is </w:t>
      </w:r>
      <w:r w:rsidRPr="00D51726">
        <w:t xml:space="preserve">December </w:t>
      </w:r>
      <w:r w:rsidR="003F2684">
        <w:t>1</w:t>
      </w:r>
      <w:r w:rsidR="00375BAA">
        <w:t>,</w:t>
      </w:r>
      <w:r w:rsidRPr="00D51726">
        <w:t xml:space="preserve"> 2021.</w:t>
      </w:r>
      <w:r w:rsidR="00375BAA">
        <w:rPr>
          <w:rStyle w:val="FootnoteReference"/>
        </w:rPr>
        <w:footnoteReference w:id="2"/>
      </w:r>
      <w:r w:rsidRPr="00D51726">
        <w:t xml:space="preserve">  For the reasons set forth, below, the Joint Settlement is</w:t>
      </w:r>
      <w:r w:rsidR="00DF41C4" w:rsidRPr="00D51726">
        <w:t xml:space="preserve"> fair,</w:t>
      </w:r>
      <w:r w:rsidRPr="00D51726">
        <w:t xml:space="preserve"> reasonable and in the public interest, and it is recommended that the Commission adopt the Joint Settlement without modification.</w:t>
      </w:r>
    </w:p>
    <w:bookmarkEnd w:id="3"/>
    <w:p w14:paraId="5920848B" w14:textId="77777777" w:rsidR="00A978F5" w:rsidRPr="00D51726" w:rsidRDefault="00A978F5" w:rsidP="00F447B1">
      <w:pPr>
        <w:autoSpaceDE/>
        <w:autoSpaceDN/>
        <w:spacing w:line="360" w:lineRule="auto"/>
        <w:rPr>
          <w:rFonts w:eastAsiaTheme="minorHAnsi"/>
        </w:rPr>
      </w:pPr>
    </w:p>
    <w:p w14:paraId="107AC34C" w14:textId="77777777" w:rsidR="009F62C2" w:rsidRPr="00D51726" w:rsidRDefault="005A7E0C" w:rsidP="00F447B1">
      <w:pPr>
        <w:autoSpaceDE/>
        <w:autoSpaceDN/>
        <w:spacing w:line="360" w:lineRule="auto"/>
        <w:jc w:val="center"/>
        <w:rPr>
          <w:rFonts w:eastAsiaTheme="minorHAnsi"/>
          <w:u w:val="single"/>
        </w:rPr>
      </w:pPr>
      <w:r w:rsidRPr="00D51726">
        <w:rPr>
          <w:rFonts w:eastAsiaTheme="minorHAnsi"/>
          <w:u w:val="single"/>
        </w:rPr>
        <w:t>FINDINGS OF FACT</w:t>
      </w:r>
    </w:p>
    <w:p w14:paraId="4B8AEC4D" w14:textId="77777777" w:rsidR="00BA449A" w:rsidRPr="00D51726" w:rsidRDefault="009F62C2" w:rsidP="00F447B1">
      <w:pPr>
        <w:autoSpaceDE/>
        <w:autoSpaceDN/>
        <w:spacing w:line="360" w:lineRule="auto"/>
      </w:pPr>
      <w:r w:rsidRPr="00D51726">
        <w:tab/>
      </w:r>
      <w:r w:rsidRPr="00D51726">
        <w:tab/>
      </w:r>
    </w:p>
    <w:p w14:paraId="07EE7414" w14:textId="042C15B5" w:rsidR="003B1BDA" w:rsidRPr="00D51726" w:rsidRDefault="00BA449A" w:rsidP="00F447B1">
      <w:pPr>
        <w:autoSpaceDE/>
        <w:autoSpaceDN/>
        <w:spacing w:line="360" w:lineRule="auto"/>
      </w:pPr>
      <w:r w:rsidRPr="00D51726">
        <w:tab/>
      </w:r>
      <w:r w:rsidRPr="00D51726">
        <w:tab/>
      </w:r>
      <w:r w:rsidR="009F62C2" w:rsidRPr="00D51726">
        <w:t>1.</w:t>
      </w:r>
      <w:r w:rsidR="009F62C2" w:rsidRPr="00D51726">
        <w:tab/>
        <w:t>UGI Gas is a natural gas distribution company with gross intrastate annual operating revenues in excess of $40 million.</w:t>
      </w:r>
    </w:p>
    <w:p w14:paraId="190E8734" w14:textId="77777777" w:rsidR="003B1BDA" w:rsidRPr="00D51726" w:rsidRDefault="003B1BDA" w:rsidP="00F447B1">
      <w:pPr>
        <w:autoSpaceDE/>
        <w:autoSpaceDN/>
        <w:spacing w:line="360" w:lineRule="auto"/>
      </w:pPr>
    </w:p>
    <w:p w14:paraId="1F5F8725" w14:textId="63841A53" w:rsidR="003B1BDA" w:rsidRPr="00D51726" w:rsidRDefault="009F62C2" w:rsidP="00F447B1">
      <w:pPr>
        <w:autoSpaceDE/>
        <w:autoSpaceDN/>
        <w:spacing w:line="360" w:lineRule="auto"/>
      </w:pPr>
      <w:r w:rsidRPr="00D51726">
        <w:t xml:space="preserve">  </w:t>
      </w:r>
      <w:r w:rsidR="003B1BDA" w:rsidRPr="00D51726">
        <w:tab/>
      </w:r>
      <w:r w:rsidR="003B1BDA" w:rsidRPr="00D51726">
        <w:tab/>
        <w:t>2.</w:t>
      </w:r>
      <w:r w:rsidR="003B1BDA" w:rsidRPr="00D51726">
        <w:tab/>
        <w:t>On April 30, 2021, the Company made its 30-day pre-filing (Book 1) with the Commission containing data related to the recovery of purchased gas costs (PGC) pursuant to Section 1307(f) of the Public Utility Code, 66 Pa. C.S. § 1307(f), and in accordance with the Commission’s regulations at 52 Pa. Code §§ 53.64 and 53.65.</w:t>
      </w:r>
    </w:p>
    <w:p w14:paraId="2ED04C9E" w14:textId="77777777" w:rsidR="003B1BDA" w:rsidRPr="00D51726" w:rsidRDefault="003B1BDA" w:rsidP="00F447B1">
      <w:pPr>
        <w:autoSpaceDE/>
        <w:autoSpaceDN/>
        <w:spacing w:line="360" w:lineRule="auto"/>
      </w:pPr>
    </w:p>
    <w:p w14:paraId="08180964" w14:textId="1FECB690" w:rsidR="003B1BDA" w:rsidRPr="00D51726" w:rsidRDefault="003B1BDA" w:rsidP="00F447B1">
      <w:pPr>
        <w:autoSpaceDE/>
        <w:autoSpaceDN/>
        <w:spacing w:line="360" w:lineRule="auto"/>
      </w:pPr>
      <w:r w:rsidRPr="00D51726">
        <w:tab/>
      </w:r>
      <w:r w:rsidRPr="00D51726">
        <w:tab/>
        <w:t>3.</w:t>
      </w:r>
      <w:r w:rsidRPr="00D51726">
        <w:tab/>
        <w:t>On May 21, 2021, the OCA filed a Notice of Appearance, Formal Complaint, and Public Statement in the Company’s PGC proceeding.</w:t>
      </w:r>
    </w:p>
    <w:p w14:paraId="1D2CF974" w14:textId="77777777" w:rsidR="003B1BDA" w:rsidRPr="00D51726" w:rsidRDefault="003B1BDA" w:rsidP="00F447B1">
      <w:pPr>
        <w:autoSpaceDE/>
        <w:autoSpaceDN/>
        <w:spacing w:line="360" w:lineRule="auto"/>
      </w:pPr>
    </w:p>
    <w:p w14:paraId="616A8C7D" w14:textId="30DCE3B2" w:rsidR="003B1BDA" w:rsidRPr="00D51726" w:rsidRDefault="003B1BDA" w:rsidP="00F447B1">
      <w:pPr>
        <w:autoSpaceDE/>
        <w:autoSpaceDN/>
        <w:spacing w:line="360" w:lineRule="auto"/>
      </w:pPr>
      <w:r w:rsidRPr="00D51726">
        <w:tab/>
      </w:r>
      <w:r w:rsidRPr="00D51726">
        <w:tab/>
        <w:t>4.</w:t>
      </w:r>
      <w:r w:rsidRPr="00D51726">
        <w:tab/>
        <w:t>On May 24, 2021, I&amp;E filed a Notice of Appearance.</w:t>
      </w:r>
    </w:p>
    <w:p w14:paraId="4F9C7DD6" w14:textId="77777777" w:rsidR="003B1BDA" w:rsidRPr="00D51726" w:rsidRDefault="003B1BDA" w:rsidP="00F447B1">
      <w:pPr>
        <w:autoSpaceDE/>
        <w:autoSpaceDN/>
        <w:spacing w:line="360" w:lineRule="auto"/>
      </w:pPr>
    </w:p>
    <w:p w14:paraId="41946032" w14:textId="3B1A051E" w:rsidR="003B1BDA" w:rsidRPr="00D51726" w:rsidRDefault="003B1BDA" w:rsidP="00F447B1">
      <w:pPr>
        <w:autoSpaceDE/>
        <w:autoSpaceDN/>
        <w:spacing w:line="360" w:lineRule="auto"/>
      </w:pPr>
      <w:r w:rsidRPr="00D51726">
        <w:tab/>
      </w:r>
      <w:r w:rsidRPr="00D51726">
        <w:tab/>
        <w:t>5.</w:t>
      </w:r>
      <w:r w:rsidRPr="00D51726">
        <w:tab/>
        <w:t xml:space="preserve">On June 1, 2021, the Company filed with the Commission its definitive PGC filing (Book 2), including supporting information required by the Commission’s regulations, the Company’s direct testimony and exhibits, and the Pro Forma Tariff Supplements reflecting actual and projected changes in natural gas costs.    </w:t>
      </w:r>
    </w:p>
    <w:p w14:paraId="743B35C1" w14:textId="77777777" w:rsidR="003B1BDA" w:rsidRPr="00D51726" w:rsidRDefault="003B1BDA" w:rsidP="00F447B1">
      <w:pPr>
        <w:autoSpaceDE/>
        <w:autoSpaceDN/>
        <w:spacing w:line="360" w:lineRule="auto"/>
      </w:pPr>
    </w:p>
    <w:p w14:paraId="1E8A13EB" w14:textId="4A660B21" w:rsidR="003B1BDA" w:rsidRPr="00D51726" w:rsidRDefault="003B1BDA" w:rsidP="00F447B1">
      <w:pPr>
        <w:autoSpaceDE/>
        <w:autoSpaceDN/>
        <w:spacing w:line="360" w:lineRule="auto"/>
      </w:pPr>
      <w:r w:rsidRPr="00D51726">
        <w:tab/>
      </w:r>
      <w:r w:rsidRPr="00D51726">
        <w:tab/>
        <w:t>6.</w:t>
      </w:r>
      <w:r w:rsidRPr="00D51726">
        <w:tab/>
        <w:t xml:space="preserve">On June 8, 2021, the OSBA filed a Notice of Appearance, Formal Complaint, Public Statement, and Verification in this proceeding.  </w:t>
      </w:r>
    </w:p>
    <w:p w14:paraId="322AD9F1" w14:textId="77777777" w:rsidR="003B1BDA" w:rsidRPr="00D51726" w:rsidRDefault="003B1BDA" w:rsidP="00F447B1">
      <w:pPr>
        <w:autoSpaceDE/>
        <w:autoSpaceDN/>
        <w:spacing w:line="360" w:lineRule="auto"/>
      </w:pPr>
    </w:p>
    <w:p w14:paraId="30F7B58A" w14:textId="1983F318" w:rsidR="003B1BDA" w:rsidRPr="00D51726" w:rsidRDefault="003B1BDA" w:rsidP="00F447B1">
      <w:pPr>
        <w:autoSpaceDE/>
        <w:autoSpaceDN/>
        <w:spacing w:line="360" w:lineRule="auto"/>
      </w:pPr>
      <w:r w:rsidRPr="00D51726">
        <w:tab/>
      </w:r>
      <w:r w:rsidRPr="00D51726">
        <w:tab/>
        <w:t>7.</w:t>
      </w:r>
      <w:r w:rsidRPr="00D51726">
        <w:tab/>
        <w:t xml:space="preserve">On June 11, 2021, a telephonic prehearing conference was held, at which time a procedural schedule was adopted.  </w:t>
      </w:r>
    </w:p>
    <w:p w14:paraId="29FC3172" w14:textId="77777777" w:rsidR="003B1BDA" w:rsidRPr="00D51726" w:rsidRDefault="003B1BDA" w:rsidP="00F447B1">
      <w:pPr>
        <w:autoSpaceDE/>
        <w:autoSpaceDN/>
        <w:spacing w:line="360" w:lineRule="auto"/>
      </w:pPr>
    </w:p>
    <w:p w14:paraId="4B01B2BD" w14:textId="2C27DCEA" w:rsidR="003B1BDA" w:rsidRPr="00D51726" w:rsidRDefault="003B1BDA" w:rsidP="00F447B1">
      <w:pPr>
        <w:autoSpaceDE/>
        <w:autoSpaceDN/>
        <w:spacing w:line="360" w:lineRule="auto"/>
      </w:pPr>
      <w:r w:rsidRPr="00D51726">
        <w:tab/>
      </w:r>
      <w:r w:rsidRPr="00D51726">
        <w:tab/>
        <w:t>8.</w:t>
      </w:r>
      <w:r w:rsidRPr="00D51726">
        <w:tab/>
        <w:t>On June 18, 2021, a Motion for Protective Order was filed by the Company, which was granted by Order dated June 18, 2021.</w:t>
      </w:r>
    </w:p>
    <w:p w14:paraId="1B32CBB6" w14:textId="77777777" w:rsidR="003B1BDA" w:rsidRPr="00D51726" w:rsidRDefault="003B1BDA" w:rsidP="00F447B1">
      <w:pPr>
        <w:autoSpaceDE/>
        <w:autoSpaceDN/>
        <w:spacing w:line="360" w:lineRule="auto"/>
      </w:pPr>
    </w:p>
    <w:p w14:paraId="06BDD0CC" w14:textId="6282781B" w:rsidR="003B1BDA" w:rsidRPr="00D51726" w:rsidRDefault="003B1BDA" w:rsidP="00F447B1">
      <w:pPr>
        <w:autoSpaceDE/>
        <w:autoSpaceDN/>
        <w:spacing w:line="360" w:lineRule="auto"/>
      </w:pPr>
      <w:r w:rsidRPr="00D51726">
        <w:tab/>
      </w:r>
      <w:r w:rsidRPr="00D51726">
        <w:tab/>
        <w:t>9.</w:t>
      </w:r>
      <w:r w:rsidRPr="00D51726">
        <w:tab/>
        <w:t>On July 6, 2021, OCA, OSBA and I&amp;E submitted written direct testimony and exhibits.</w:t>
      </w:r>
    </w:p>
    <w:p w14:paraId="3AFFE71E" w14:textId="77777777" w:rsidR="003B1BDA" w:rsidRPr="00D51726" w:rsidRDefault="003B1BDA" w:rsidP="00F447B1">
      <w:pPr>
        <w:autoSpaceDE/>
        <w:autoSpaceDN/>
        <w:spacing w:line="360" w:lineRule="auto"/>
      </w:pPr>
    </w:p>
    <w:p w14:paraId="06524EE8" w14:textId="66767D0A" w:rsidR="003B1BDA" w:rsidRPr="00D51726" w:rsidRDefault="003B1BDA" w:rsidP="00F447B1">
      <w:pPr>
        <w:autoSpaceDE/>
        <w:autoSpaceDN/>
        <w:spacing w:line="360" w:lineRule="auto"/>
      </w:pPr>
      <w:r w:rsidRPr="00D51726">
        <w:tab/>
      </w:r>
      <w:r w:rsidRPr="00D51726">
        <w:tab/>
        <w:t>10.</w:t>
      </w:r>
      <w:r w:rsidRPr="00D51726">
        <w:tab/>
        <w:t xml:space="preserve">On July 23, 2021, the Company and I&amp;E submitted written rebuttal testimony and exhibits.  </w:t>
      </w:r>
    </w:p>
    <w:p w14:paraId="1EA9C811" w14:textId="77777777" w:rsidR="003B1BDA" w:rsidRPr="00D51726" w:rsidRDefault="003B1BDA" w:rsidP="00F447B1">
      <w:pPr>
        <w:autoSpaceDE/>
        <w:autoSpaceDN/>
        <w:spacing w:line="360" w:lineRule="auto"/>
      </w:pPr>
    </w:p>
    <w:p w14:paraId="726CE6F9" w14:textId="2C4FFAF4" w:rsidR="003B1BDA" w:rsidRPr="00D51726" w:rsidRDefault="003B1BDA" w:rsidP="00F447B1">
      <w:pPr>
        <w:autoSpaceDE/>
        <w:autoSpaceDN/>
        <w:spacing w:line="360" w:lineRule="auto"/>
      </w:pPr>
      <w:r w:rsidRPr="00D51726">
        <w:lastRenderedPageBreak/>
        <w:tab/>
      </w:r>
      <w:r w:rsidRPr="00D51726">
        <w:tab/>
        <w:t>11.</w:t>
      </w:r>
      <w:r w:rsidRPr="00D51726">
        <w:tab/>
        <w:t xml:space="preserve">On July 29, 2021, the Company, OCA, OSBA and I&amp;E served surrebuttal testimony and exhibits.  </w:t>
      </w:r>
    </w:p>
    <w:p w14:paraId="56E5E481" w14:textId="77777777" w:rsidR="003B1BDA" w:rsidRPr="00D51726" w:rsidRDefault="003B1BDA" w:rsidP="00F447B1">
      <w:pPr>
        <w:autoSpaceDE/>
        <w:autoSpaceDN/>
        <w:spacing w:line="360" w:lineRule="auto"/>
      </w:pPr>
    </w:p>
    <w:p w14:paraId="4C7C010E" w14:textId="2531AC08" w:rsidR="003B1BDA" w:rsidRPr="00D51726" w:rsidRDefault="003B1BDA" w:rsidP="00F447B1">
      <w:pPr>
        <w:autoSpaceDE/>
        <w:autoSpaceDN/>
        <w:spacing w:line="360" w:lineRule="auto"/>
      </w:pPr>
      <w:r w:rsidRPr="00D51726">
        <w:tab/>
      </w:r>
      <w:r w:rsidRPr="00D51726">
        <w:tab/>
        <w:t>12.</w:t>
      </w:r>
      <w:r w:rsidRPr="00D51726">
        <w:tab/>
        <w:t>On July 29, 2021, counsel for the Company advised the presiding officer of a settlement in principle and requested that the scheduled evidentiary hearing be canceled and that the Joint Petitioners be permitted to admit their evidence by stipulation.</w:t>
      </w:r>
    </w:p>
    <w:p w14:paraId="4C4147E8" w14:textId="77777777" w:rsidR="003B1BDA" w:rsidRPr="00D51726" w:rsidRDefault="003B1BDA" w:rsidP="00F447B1">
      <w:pPr>
        <w:autoSpaceDE/>
        <w:autoSpaceDN/>
        <w:spacing w:line="360" w:lineRule="auto"/>
      </w:pPr>
    </w:p>
    <w:p w14:paraId="7F70769B" w14:textId="36A570D8" w:rsidR="003B1BDA" w:rsidRPr="00D51726" w:rsidRDefault="003B1BDA" w:rsidP="00F447B1">
      <w:pPr>
        <w:autoSpaceDE/>
        <w:autoSpaceDN/>
        <w:spacing w:line="360" w:lineRule="auto"/>
      </w:pPr>
      <w:r w:rsidRPr="00D51726">
        <w:tab/>
      </w:r>
      <w:r w:rsidRPr="00D51726">
        <w:tab/>
        <w:t>13.</w:t>
      </w:r>
      <w:r w:rsidRPr="00D51726">
        <w:tab/>
        <w:t xml:space="preserve">On August 13, 2021, the Joint Petitioners filed a Joint Stipulation for Admission of Evidence, with accompanying signed verifications of the sponsoring witnesses, to admit the testimony and exhibits into the record.  </w:t>
      </w:r>
    </w:p>
    <w:p w14:paraId="188304A8" w14:textId="77777777" w:rsidR="003B1BDA" w:rsidRPr="00D51726" w:rsidRDefault="003B1BDA" w:rsidP="00F447B1">
      <w:pPr>
        <w:autoSpaceDE/>
        <w:autoSpaceDN/>
        <w:spacing w:line="360" w:lineRule="auto"/>
      </w:pPr>
      <w:r w:rsidRPr="00D51726">
        <w:tab/>
      </w:r>
    </w:p>
    <w:p w14:paraId="46CB6FBE" w14:textId="1233C2FA" w:rsidR="00583184" w:rsidRPr="00D51726" w:rsidRDefault="003B1BDA" w:rsidP="00F447B1">
      <w:pPr>
        <w:autoSpaceDE/>
        <w:autoSpaceDN/>
        <w:spacing w:line="360" w:lineRule="auto"/>
      </w:pPr>
      <w:r w:rsidRPr="00D51726">
        <w:tab/>
      </w:r>
      <w:r w:rsidRPr="00D51726">
        <w:tab/>
        <w:t>14.</w:t>
      </w:r>
      <w:r w:rsidRPr="00D51726">
        <w:tab/>
        <w:t>On August 24, 2021, an Order was issued granting the Motion for the Admission of Evidence.</w:t>
      </w:r>
    </w:p>
    <w:p w14:paraId="66CBB0F5" w14:textId="2F50936D" w:rsidR="00BA449A" w:rsidRPr="00D51726" w:rsidRDefault="00BA449A" w:rsidP="00F447B1">
      <w:pPr>
        <w:autoSpaceDE/>
        <w:autoSpaceDN/>
        <w:spacing w:line="360" w:lineRule="auto"/>
      </w:pPr>
    </w:p>
    <w:p w14:paraId="41349011" w14:textId="55106554" w:rsidR="00BA449A" w:rsidRPr="00D51726" w:rsidRDefault="00BA449A" w:rsidP="00F447B1">
      <w:pPr>
        <w:autoSpaceDE/>
        <w:autoSpaceDN/>
        <w:spacing w:line="360" w:lineRule="auto"/>
        <w:rPr>
          <w:rFonts w:eastAsiaTheme="minorHAnsi"/>
          <w:u w:val="single"/>
        </w:rPr>
      </w:pPr>
      <w:r w:rsidRPr="00D51726">
        <w:tab/>
      </w:r>
      <w:r w:rsidRPr="00D51726">
        <w:tab/>
        <w:t>15.</w:t>
      </w:r>
      <w:r w:rsidRPr="00D51726">
        <w:tab/>
        <w:t xml:space="preserve">On August 25, 2021, the Parties submitted a Joint Petition for Settlement of this matter which includes the terms of the Settlement, itself and which </w:t>
      </w:r>
      <w:r w:rsidR="00092CEA" w:rsidRPr="00D51726">
        <w:t>was accompanied for Statements in Support of the Settlement by the Parties as separate exhibits.</w:t>
      </w:r>
    </w:p>
    <w:p w14:paraId="668756A2" w14:textId="77777777" w:rsidR="009F62C2" w:rsidRPr="00D51726" w:rsidRDefault="009F62C2" w:rsidP="00F447B1">
      <w:pPr>
        <w:pStyle w:val="ListParagraph"/>
        <w:autoSpaceDE/>
        <w:autoSpaceDN/>
        <w:spacing w:line="360" w:lineRule="auto"/>
        <w:ind w:left="0"/>
        <w:rPr>
          <w:rFonts w:eastAsiaTheme="minorHAnsi"/>
        </w:rPr>
      </w:pPr>
    </w:p>
    <w:p w14:paraId="3479C3ED" w14:textId="77777777" w:rsidR="00A978F5" w:rsidRPr="00D51726" w:rsidRDefault="00A978F5" w:rsidP="00F447B1">
      <w:pPr>
        <w:autoSpaceDE/>
        <w:autoSpaceDN/>
        <w:spacing w:line="360" w:lineRule="auto"/>
        <w:jc w:val="center"/>
        <w:rPr>
          <w:rFonts w:eastAsiaTheme="minorHAnsi"/>
          <w:u w:val="single"/>
        </w:rPr>
      </w:pPr>
      <w:r w:rsidRPr="00D51726">
        <w:rPr>
          <w:rFonts w:eastAsiaTheme="minorHAnsi"/>
          <w:u w:val="single"/>
        </w:rPr>
        <w:t>DISCUSSION</w:t>
      </w:r>
    </w:p>
    <w:p w14:paraId="3E5E3A2F" w14:textId="77777777" w:rsidR="00A978F5" w:rsidRPr="00D51726" w:rsidRDefault="00A978F5" w:rsidP="00F447B1">
      <w:pPr>
        <w:autoSpaceDE/>
        <w:autoSpaceDN/>
        <w:spacing w:line="360" w:lineRule="auto"/>
        <w:rPr>
          <w:rFonts w:eastAsiaTheme="minorHAnsi"/>
        </w:rPr>
      </w:pPr>
    </w:p>
    <w:p w14:paraId="3FEAE3CF" w14:textId="0372DBB7" w:rsidR="00C20A36" w:rsidRPr="00D51726" w:rsidRDefault="00E9572D" w:rsidP="00F447B1">
      <w:pPr>
        <w:spacing w:line="360" w:lineRule="auto"/>
      </w:pPr>
      <w:r w:rsidRPr="00D51726">
        <w:tab/>
      </w:r>
      <w:r w:rsidRPr="00D51726">
        <w:tab/>
      </w:r>
      <w:r w:rsidR="003B1BDA" w:rsidRPr="00D51726">
        <w:t>UGI</w:t>
      </w:r>
      <w:r w:rsidR="00672544" w:rsidRPr="00D51726">
        <w:t xml:space="preserve">’s filing in this case was made pursuant to </w:t>
      </w:r>
      <w:r w:rsidRPr="00D51726">
        <w:t>Section 1307 of the Public Utility Code</w:t>
      </w:r>
      <w:r w:rsidR="00BD0C3B" w:rsidRPr="00D51726">
        <w:t xml:space="preserve">, 66 Pa. C.S. § 1307. </w:t>
      </w:r>
      <w:r w:rsidR="00672544" w:rsidRPr="00D51726">
        <w:t xml:space="preserve"> </w:t>
      </w:r>
      <w:r w:rsidR="00C5122A" w:rsidRPr="00D51726">
        <w:t>This is an annual filing that all large natural gas distribution companies (NGDCs) make</w:t>
      </w:r>
      <w:r w:rsidR="005D7A4B" w:rsidRPr="00D51726">
        <w:t xml:space="preserve"> to reconcile their actual costs of natural gas</w:t>
      </w:r>
      <w:r w:rsidR="00C5122A" w:rsidRPr="00D51726">
        <w:t xml:space="preserve">.  </w:t>
      </w:r>
      <w:r w:rsidR="00672544" w:rsidRPr="00D51726">
        <w:t>Section</w:t>
      </w:r>
      <w:r w:rsidRPr="00D51726">
        <w:t xml:space="preserve"> </w:t>
      </w:r>
      <w:r w:rsidR="00C5122A" w:rsidRPr="00D51726">
        <w:t xml:space="preserve">1307 </w:t>
      </w:r>
      <w:r w:rsidRPr="00D51726">
        <w:t xml:space="preserve">governs sliding scale of rates and adjustments.  More specifically, Section 1307(f) governs recovery of natural gas </w:t>
      </w:r>
      <w:r w:rsidR="00672544" w:rsidRPr="00D51726">
        <w:t>costs</w:t>
      </w:r>
      <w:r w:rsidRPr="00D51726">
        <w:t xml:space="preserve"> and allows natural gas distribution companies with gross intrastate annual operating revenues in excess of $40,000,000 to file tariffs reflecting actual and projected increases or decreases in their natural gas costs, with the tariffs being effective six months from the</w:t>
      </w:r>
      <w:r w:rsidR="00D650E0" w:rsidRPr="00D51726">
        <w:t xml:space="preserve"> date of filing.  66 Pa. C.S. § </w:t>
      </w:r>
      <w:r w:rsidRPr="00D51726">
        <w:t xml:space="preserve">1307(f)(1).  Section 1307 of the Public Utility Code further provides that </w:t>
      </w:r>
      <w:r w:rsidR="00672544" w:rsidRPr="00D51726">
        <w:t xml:space="preserve">the Commission, after hearing, determine </w:t>
      </w:r>
      <w:r w:rsidR="00F270D4" w:rsidRPr="00D51726">
        <w:t xml:space="preserve">that </w:t>
      </w:r>
      <w:r w:rsidR="00672544" w:rsidRPr="00D51726">
        <w:t xml:space="preserve">the portion of the company’s natural gas distribution costs in the previous 12-month period meet the standards set out in Section 1318 of the Public Utility Code.  66 Pa. C.S. § 1307(f)(5).  Section 1318 provides that no rates for a </w:t>
      </w:r>
      <w:r w:rsidR="00672544" w:rsidRPr="00D51726">
        <w:lastRenderedPageBreak/>
        <w:t xml:space="preserve">natural gas distribution utility shall be deemed just and reasonable unless the Commission finds that the utility is pursuing a least cost fuel procurement policy, consistent with the utility’s obligation to provide safe, </w:t>
      </w:r>
      <w:proofErr w:type="gramStart"/>
      <w:r w:rsidR="00672544" w:rsidRPr="00D51726">
        <w:t>adequate</w:t>
      </w:r>
      <w:proofErr w:type="gramEnd"/>
      <w:r w:rsidR="00672544" w:rsidRPr="00D51726">
        <w:t xml:space="preserve"> and reliable service to its customers.  66 Pa. C.S. § 13</w:t>
      </w:r>
      <w:r w:rsidR="00AA002A" w:rsidRPr="00D51726">
        <w:t>1</w:t>
      </w:r>
      <w:r w:rsidR="00672544" w:rsidRPr="00D51726">
        <w:t>8(a).</w:t>
      </w:r>
    </w:p>
    <w:p w14:paraId="671D4D96" w14:textId="77777777" w:rsidR="00BD0C3B" w:rsidRPr="00D51726" w:rsidRDefault="00BD0C3B" w:rsidP="00F447B1">
      <w:pPr>
        <w:spacing w:line="360" w:lineRule="auto"/>
      </w:pPr>
    </w:p>
    <w:p w14:paraId="700DB27B" w14:textId="1D9CA49B" w:rsidR="00540630" w:rsidRPr="00D51726" w:rsidRDefault="000A38B6" w:rsidP="00F447B1">
      <w:pPr>
        <w:spacing w:line="360" w:lineRule="auto"/>
      </w:pPr>
      <w:r w:rsidRPr="00D51726">
        <w:tab/>
      </w:r>
      <w:r w:rsidRPr="00D51726">
        <w:tab/>
        <w:t xml:space="preserve">In determining whether </w:t>
      </w:r>
      <w:r w:rsidR="003B1BDA" w:rsidRPr="00D51726">
        <w:t>UGI</w:t>
      </w:r>
      <w:r w:rsidRPr="00D51726">
        <w:t xml:space="preserve"> is pursuing a least cost fuel procurement policy under Section 1318 of the Code, specific findings in </w:t>
      </w:r>
      <w:r w:rsidR="00540630" w:rsidRPr="00D51726">
        <w:t xml:space="preserve">Section </w:t>
      </w:r>
      <w:r w:rsidRPr="00D51726">
        <w:t>1318(a)(1)</w:t>
      </w:r>
      <w:r w:rsidR="00540630" w:rsidRPr="00D51726">
        <w:t>-</w:t>
      </w:r>
      <w:r w:rsidR="00B9026A" w:rsidRPr="00D51726">
        <w:t>(4) must be made as follows</w:t>
      </w:r>
      <w:r w:rsidR="00963301" w:rsidRPr="00D51726">
        <w:t>:</w:t>
      </w:r>
    </w:p>
    <w:p w14:paraId="2B45DAF0" w14:textId="77777777" w:rsidR="00EF66E0" w:rsidRPr="00D51726" w:rsidRDefault="00EF66E0" w:rsidP="00DE1583">
      <w:pPr>
        <w:spacing w:line="360" w:lineRule="auto"/>
      </w:pPr>
    </w:p>
    <w:p w14:paraId="5884FA77" w14:textId="77777777" w:rsidR="00540630" w:rsidRPr="00D51726" w:rsidRDefault="00B9026A" w:rsidP="00B37B92">
      <w:pPr>
        <w:ind w:left="1440" w:right="1440"/>
      </w:pPr>
      <w:r w:rsidRPr="00D51726">
        <w:t xml:space="preserve">(1) </w:t>
      </w:r>
      <w:r w:rsidR="000A38B6" w:rsidRPr="00D51726">
        <w:t>that the utility has fully and vigorously represented its ratepayers’ interests before the Federal Energ</w:t>
      </w:r>
      <w:r w:rsidR="005810E4" w:rsidRPr="00D51726">
        <w:t>y Regulatory Commission (FERC);</w:t>
      </w:r>
    </w:p>
    <w:p w14:paraId="008982B9" w14:textId="77777777" w:rsidR="00540630" w:rsidRPr="00D51726" w:rsidRDefault="00540630" w:rsidP="00B37B92">
      <w:pPr>
        <w:ind w:left="1440" w:right="1440"/>
      </w:pPr>
    </w:p>
    <w:p w14:paraId="36689E5E" w14:textId="77777777" w:rsidR="00540630" w:rsidRPr="00D51726" w:rsidRDefault="000A38B6" w:rsidP="00B37B92">
      <w:pPr>
        <w:ind w:left="1440" w:right="1440"/>
      </w:pPr>
      <w:r w:rsidRPr="00D51726">
        <w:t>(2) that the utility has taken all prudent steps necessary to negotiate favorable gas supply contracts and to relieve the utility from terms in existing contracts with its gas suppliers which are or may be adverse to</w:t>
      </w:r>
      <w:r w:rsidR="005810E4" w:rsidRPr="00D51726">
        <w:t xml:space="preserve"> ratepayer interests;</w:t>
      </w:r>
    </w:p>
    <w:p w14:paraId="6690479A" w14:textId="77777777" w:rsidR="00540630" w:rsidRPr="00D51726" w:rsidRDefault="00540630" w:rsidP="00540630">
      <w:pPr>
        <w:ind w:left="1440" w:right="1440"/>
      </w:pPr>
    </w:p>
    <w:p w14:paraId="4817C0E0" w14:textId="77777777" w:rsidR="00540630" w:rsidRPr="00D51726" w:rsidRDefault="000A38B6" w:rsidP="00540630">
      <w:pPr>
        <w:ind w:left="1440" w:right="1440"/>
      </w:pPr>
      <w:r w:rsidRPr="00D51726">
        <w:t>(3) that the utility has taken all prudent steps necessary to obtain lower cost gas supplies on both short-term and long-term bases both within and outside the Commonwealth, including the use of gas transportation arrangements with pipelines and oth</w:t>
      </w:r>
      <w:r w:rsidR="005810E4" w:rsidRPr="00D51726">
        <w:t>er distribution companies; and,</w:t>
      </w:r>
    </w:p>
    <w:p w14:paraId="524F3AB9" w14:textId="77777777" w:rsidR="00540630" w:rsidRPr="00D51726" w:rsidRDefault="00540630" w:rsidP="00540630">
      <w:pPr>
        <w:ind w:left="1440" w:right="1440"/>
      </w:pPr>
    </w:p>
    <w:p w14:paraId="448CB3E2" w14:textId="77777777" w:rsidR="000A38B6" w:rsidRPr="00D51726" w:rsidRDefault="000A38B6" w:rsidP="00540630">
      <w:pPr>
        <w:ind w:left="1440" w:right="1440"/>
      </w:pPr>
      <w:r w:rsidRPr="00D51726">
        <w:t>(4) that the utility has not withheld from the market or caused to be withheld from the market any gas supplies which should have been utilized as part of a least cost fuel procurement policy.</w:t>
      </w:r>
    </w:p>
    <w:p w14:paraId="64DDB56C" w14:textId="77777777" w:rsidR="00493078" w:rsidRPr="00D51726" w:rsidRDefault="00493078" w:rsidP="00540630">
      <w:pPr>
        <w:ind w:left="1440" w:right="1440"/>
      </w:pPr>
    </w:p>
    <w:p w14:paraId="2885E5A6" w14:textId="33F36902" w:rsidR="00540630" w:rsidRPr="00D51726" w:rsidRDefault="00972356" w:rsidP="000A38B6">
      <w:pPr>
        <w:spacing w:line="360" w:lineRule="auto"/>
      </w:pPr>
      <w:r w:rsidRPr="00D51726">
        <w:rPr>
          <w:i/>
          <w:iCs/>
        </w:rPr>
        <w:t>See</w:t>
      </w:r>
      <w:r w:rsidRPr="00D51726">
        <w:t xml:space="preserve"> </w:t>
      </w:r>
      <w:r w:rsidR="00540630" w:rsidRPr="00D51726">
        <w:t>66 Pa. C.S. § 1318(a)(1)-(4).</w:t>
      </w:r>
    </w:p>
    <w:p w14:paraId="33C7DCFC" w14:textId="77777777" w:rsidR="00C5122A" w:rsidRPr="00D51726" w:rsidRDefault="00C5122A" w:rsidP="000A38B6">
      <w:pPr>
        <w:spacing w:line="360" w:lineRule="auto"/>
      </w:pPr>
    </w:p>
    <w:p w14:paraId="1575748F" w14:textId="514CFEFF" w:rsidR="00E9572D" w:rsidRPr="00D51726" w:rsidRDefault="000A38B6" w:rsidP="000A38B6">
      <w:pPr>
        <w:spacing w:line="360" w:lineRule="auto"/>
      </w:pPr>
      <w:r w:rsidRPr="00D51726">
        <w:tab/>
      </w:r>
      <w:r w:rsidRPr="00D51726">
        <w:tab/>
      </w:r>
      <w:r w:rsidR="00540630" w:rsidRPr="00D51726">
        <w:t xml:space="preserve">Furthermore, </w:t>
      </w:r>
      <w:r w:rsidR="003B1BDA" w:rsidRPr="00D51726">
        <w:t xml:space="preserve">UGI </w:t>
      </w:r>
      <w:r w:rsidR="00A05BC9" w:rsidRPr="00D51726">
        <w:t>purchases various transportation and storage services from an affiliate, and, therefore, w</w:t>
      </w:r>
      <w:r w:rsidRPr="00D51726">
        <w:t xml:space="preserve">ith respect to purchases from affiliates, the Commission is required to make the following specific findings pursuant to </w:t>
      </w:r>
      <w:r w:rsidR="00A05BC9" w:rsidRPr="00D51726">
        <w:t xml:space="preserve">Sections </w:t>
      </w:r>
      <w:r w:rsidRPr="00D51726">
        <w:t>1318(</w:t>
      </w:r>
      <w:r w:rsidR="00E9572D" w:rsidRPr="00D51726">
        <w:t>b)</w:t>
      </w:r>
      <w:r w:rsidRPr="00D51726">
        <w:t>:</w:t>
      </w:r>
    </w:p>
    <w:p w14:paraId="56055097" w14:textId="77777777" w:rsidR="00E9572D" w:rsidRPr="00D51726" w:rsidRDefault="00E9572D" w:rsidP="00EF66E0">
      <w:pPr>
        <w:spacing w:line="360" w:lineRule="auto"/>
      </w:pPr>
    </w:p>
    <w:p w14:paraId="24F18500" w14:textId="77777777" w:rsidR="00E9572D" w:rsidRPr="00D51726" w:rsidRDefault="000A38B6" w:rsidP="00E9572D">
      <w:pPr>
        <w:ind w:left="1440" w:right="1440"/>
      </w:pPr>
      <w:r w:rsidRPr="00D51726">
        <w:t>(1) that the utility has fully and vigorously attempted to obtain less costly gas supplies on both short-term and long-term base</w:t>
      </w:r>
      <w:r w:rsidR="00996C48" w:rsidRPr="00D51726">
        <w:t>s from nonaffiliated interests;</w:t>
      </w:r>
    </w:p>
    <w:p w14:paraId="60882A2A" w14:textId="77777777" w:rsidR="00E9572D" w:rsidRPr="00D51726" w:rsidRDefault="00E9572D" w:rsidP="00E9572D">
      <w:pPr>
        <w:ind w:left="1440" w:right="1440"/>
      </w:pPr>
    </w:p>
    <w:p w14:paraId="62C66CF0" w14:textId="77777777" w:rsidR="00E9572D" w:rsidRPr="00D51726" w:rsidRDefault="000A38B6" w:rsidP="00E9572D">
      <w:pPr>
        <w:ind w:left="1440" w:right="1440"/>
      </w:pPr>
      <w:r w:rsidRPr="00D51726">
        <w:t>(2) that each contract for the purchase of gas from an affiliated interest is consistent with a least cost fuel procurement policy; and,</w:t>
      </w:r>
    </w:p>
    <w:p w14:paraId="5FD437F9" w14:textId="77777777" w:rsidR="000A38B6" w:rsidRPr="00D51726" w:rsidRDefault="000A38B6" w:rsidP="00E9572D">
      <w:pPr>
        <w:ind w:left="1440" w:right="1440"/>
      </w:pPr>
      <w:r w:rsidRPr="00D51726">
        <w:lastRenderedPageBreak/>
        <w:t>(3) that neither the utility nor its affiliated interest has withheld from the market any gas supplies which should have been utilized as part of a least cost fuel procurement policy.</w:t>
      </w:r>
    </w:p>
    <w:p w14:paraId="6B7436FA" w14:textId="77777777" w:rsidR="00493078" w:rsidRPr="00D51726" w:rsidRDefault="00493078" w:rsidP="00E9572D">
      <w:pPr>
        <w:ind w:left="1440" w:right="1440"/>
      </w:pPr>
    </w:p>
    <w:p w14:paraId="646E07C2" w14:textId="15108E3E" w:rsidR="000A38B6" w:rsidRPr="00D51726" w:rsidRDefault="00972356" w:rsidP="00A978F5">
      <w:pPr>
        <w:autoSpaceDE/>
        <w:autoSpaceDN/>
        <w:spacing w:line="360" w:lineRule="auto"/>
        <w:rPr>
          <w:rFonts w:eastAsiaTheme="minorHAnsi"/>
        </w:rPr>
      </w:pPr>
      <w:r w:rsidRPr="00D51726">
        <w:rPr>
          <w:rFonts w:eastAsiaTheme="minorHAnsi"/>
          <w:i/>
          <w:iCs/>
        </w:rPr>
        <w:t xml:space="preserve">See </w:t>
      </w:r>
      <w:r w:rsidR="00E9572D" w:rsidRPr="00D51726">
        <w:rPr>
          <w:rFonts w:eastAsiaTheme="minorHAnsi"/>
        </w:rPr>
        <w:t>66 Pa. C.S. § 1318(b)(1)-(3).</w:t>
      </w:r>
    </w:p>
    <w:p w14:paraId="372DAC94" w14:textId="77777777" w:rsidR="00972356" w:rsidRPr="00D51726" w:rsidRDefault="00972356" w:rsidP="00A978F5">
      <w:pPr>
        <w:autoSpaceDE/>
        <w:autoSpaceDN/>
        <w:spacing w:line="360" w:lineRule="auto"/>
        <w:rPr>
          <w:rFonts w:eastAsiaTheme="minorHAnsi"/>
        </w:rPr>
      </w:pPr>
    </w:p>
    <w:p w14:paraId="27D29C49" w14:textId="6C0571EC" w:rsidR="00092CEA" w:rsidRPr="00D51726" w:rsidRDefault="00F405EE" w:rsidP="00092CEA">
      <w:pPr>
        <w:spacing w:line="360" w:lineRule="auto"/>
        <w:rPr>
          <w:rFonts w:eastAsiaTheme="minorHAnsi"/>
        </w:rPr>
      </w:pPr>
      <w:r w:rsidRPr="00D51726">
        <w:rPr>
          <w:rFonts w:eastAsiaTheme="minorHAnsi"/>
        </w:rPr>
        <w:tab/>
      </w:r>
      <w:r w:rsidRPr="00D51726">
        <w:rPr>
          <w:rFonts w:eastAsiaTheme="minorHAnsi"/>
        </w:rPr>
        <w:tab/>
      </w:r>
      <w:r w:rsidR="00C5122A" w:rsidRPr="00D51726">
        <w:t xml:space="preserve">Section 1317 of the Public Utility Code requires the submission of certain information to enable the Commission to make a least cost fuel procurement </w:t>
      </w:r>
      <w:r w:rsidR="005D7A4B" w:rsidRPr="00D51726">
        <w:t>finding</w:t>
      </w:r>
      <w:r w:rsidR="00C5122A" w:rsidRPr="00D51726">
        <w:t xml:space="preserve">.  </w:t>
      </w:r>
      <w:r w:rsidR="00AA002A" w:rsidRPr="00D51726">
        <w:rPr>
          <w:rFonts w:eastAsiaTheme="minorHAnsi"/>
        </w:rPr>
        <w:t xml:space="preserve">66 Pa. C.S. § 1317.  </w:t>
      </w:r>
      <w:r w:rsidR="005D7A4B" w:rsidRPr="00D51726">
        <w:rPr>
          <w:rFonts w:eastAsiaTheme="minorHAnsi"/>
        </w:rPr>
        <w:t>T</w:t>
      </w:r>
      <w:r w:rsidRPr="00D51726">
        <w:rPr>
          <w:rFonts w:eastAsiaTheme="minorHAnsi"/>
        </w:rPr>
        <w:t xml:space="preserve">he Commission </w:t>
      </w:r>
      <w:r w:rsidR="009565D6" w:rsidRPr="00D51726">
        <w:rPr>
          <w:rFonts w:eastAsiaTheme="minorHAnsi"/>
        </w:rPr>
        <w:t xml:space="preserve">has </w:t>
      </w:r>
      <w:r w:rsidRPr="00D51726">
        <w:rPr>
          <w:rFonts w:eastAsiaTheme="minorHAnsi"/>
        </w:rPr>
        <w:t xml:space="preserve">promulgated regulations </w:t>
      </w:r>
      <w:r w:rsidR="009565D6" w:rsidRPr="00D51726">
        <w:rPr>
          <w:rFonts w:eastAsiaTheme="minorHAnsi"/>
        </w:rPr>
        <w:t xml:space="preserve">pursuant to these statutes </w:t>
      </w:r>
      <w:r w:rsidRPr="00D51726">
        <w:rPr>
          <w:rFonts w:eastAsiaTheme="minorHAnsi"/>
        </w:rPr>
        <w:t xml:space="preserve">that </w:t>
      </w:r>
      <w:r w:rsidR="00A80821" w:rsidRPr="00D51726">
        <w:rPr>
          <w:rFonts w:eastAsiaTheme="minorHAnsi"/>
        </w:rPr>
        <w:t xml:space="preserve">include extensive filing requirements that </w:t>
      </w:r>
      <w:r w:rsidRPr="00D51726">
        <w:rPr>
          <w:rFonts w:eastAsiaTheme="minorHAnsi"/>
        </w:rPr>
        <w:t xml:space="preserve">also govern such filings.  </w:t>
      </w:r>
      <w:r w:rsidR="00A80821" w:rsidRPr="00D51726">
        <w:rPr>
          <w:rFonts w:eastAsiaTheme="minorHAnsi"/>
          <w:i/>
        </w:rPr>
        <w:t>See</w:t>
      </w:r>
      <w:r w:rsidR="00A80821" w:rsidRPr="00D51726">
        <w:rPr>
          <w:rFonts w:eastAsiaTheme="minorHAnsi"/>
        </w:rPr>
        <w:t>, 52 Pa. Code §§ 53.64 (Filing requirements for natural gas distributors with gross intrastate annual operating revenues in excess of $40 million) and 53.65 (Special provisions relating to natural gas distributors with gross intrastate annual operating revenues in excess of $40 million with affiliated interests).</w:t>
      </w:r>
      <w:r w:rsidR="007114F9" w:rsidRPr="00D51726">
        <w:rPr>
          <w:rFonts w:eastAsiaTheme="minorHAnsi"/>
        </w:rPr>
        <w:t xml:space="preserve">  </w:t>
      </w:r>
      <w:r w:rsidR="003B1BDA" w:rsidRPr="00D51726">
        <w:rPr>
          <w:rFonts w:eastAsiaTheme="minorHAnsi"/>
        </w:rPr>
        <w:t>UGI</w:t>
      </w:r>
      <w:r w:rsidR="007114F9" w:rsidRPr="00D51726">
        <w:rPr>
          <w:rFonts w:eastAsiaTheme="minorHAnsi"/>
        </w:rPr>
        <w:t xml:space="preserve"> complied with these requirements in its </w:t>
      </w:r>
      <w:r w:rsidR="003B1BDA" w:rsidRPr="00D51726">
        <w:rPr>
          <w:rFonts w:eastAsiaTheme="minorHAnsi"/>
        </w:rPr>
        <w:t>April 30, 2021</w:t>
      </w:r>
      <w:r w:rsidR="00DF41C4" w:rsidRPr="00D51726">
        <w:rPr>
          <w:rFonts w:eastAsiaTheme="minorHAnsi"/>
        </w:rPr>
        <w:t>,</w:t>
      </w:r>
      <w:r w:rsidR="007114F9" w:rsidRPr="00D51726">
        <w:rPr>
          <w:rFonts w:eastAsiaTheme="minorHAnsi"/>
        </w:rPr>
        <w:t xml:space="preserve"> pre-filin</w:t>
      </w:r>
      <w:r w:rsidR="00092CEA" w:rsidRPr="00D51726">
        <w:rPr>
          <w:rFonts w:eastAsiaTheme="minorHAnsi"/>
        </w:rPr>
        <w:t xml:space="preserve">g.  </w:t>
      </w:r>
    </w:p>
    <w:p w14:paraId="1AE576EA" w14:textId="77777777" w:rsidR="00092CEA" w:rsidRPr="00D51726" w:rsidRDefault="00092CEA" w:rsidP="00092CEA">
      <w:pPr>
        <w:spacing w:line="360" w:lineRule="auto"/>
        <w:rPr>
          <w:rFonts w:eastAsiaTheme="minorHAnsi"/>
        </w:rPr>
      </w:pPr>
    </w:p>
    <w:p w14:paraId="7D7BB4C1" w14:textId="6E426B40" w:rsidR="00406259" w:rsidRPr="00D51726" w:rsidRDefault="00092CEA" w:rsidP="00092CEA">
      <w:pPr>
        <w:spacing w:line="360" w:lineRule="auto"/>
        <w:rPr>
          <w:rFonts w:eastAsiaTheme="minorHAnsi"/>
        </w:rPr>
      </w:pPr>
      <w:r w:rsidRPr="00D51726">
        <w:rPr>
          <w:rFonts w:eastAsiaTheme="minorHAnsi"/>
        </w:rPr>
        <w:tab/>
      </w:r>
      <w:r w:rsidRPr="00D51726">
        <w:rPr>
          <w:rFonts w:eastAsiaTheme="minorHAnsi"/>
        </w:rPr>
        <w:tab/>
      </w:r>
      <w:r w:rsidR="00406259" w:rsidRPr="00D51726">
        <w:rPr>
          <w:rFonts w:eastAsiaTheme="minorHAnsi"/>
        </w:rPr>
        <w:t>In this case</w:t>
      </w:r>
      <w:r w:rsidR="003A78DA" w:rsidRPr="00D51726">
        <w:rPr>
          <w:rFonts w:eastAsiaTheme="minorHAnsi"/>
        </w:rPr>
        <w:t>,</w:t>
      </w:r>
      <w:r w:rsidR="00406259" w:rsidRPr="00D51726">
        <w:rPr>
          <w:rFonts w:eastAsiaTheme="minorHAnsi"/>
        </w:rPr>
        <w:t xml:space="preserve"> </w:t>
      </w:r>
      <w:r w:rsidR="00E90E31" w:rsidRPr="00D51726">
        <w:rPr>
          <w:rFonts w:eastAsiaTheme="minorHAnsi"/>
        </w:rPr>
        <w:t>UGI</w:t>
      </w:r>
      <w:r w:rsidR="00E9572D" w:rsidRPr="00D51726">
        <w:rPr>
          <w:rFonts w:eastAsiaTheme="minorHAnsi"/>
        </w:rPr>
        <w:t xml:space="preserve">, OSBA, OCA and I&amp;E </w:t>
      </w:r>
      <w:r w:rsidR="00406259" w:rsidRPr="00D51726">
        <w:rPr>
          <w:rFonts w:eastAsiaTheme="minorHAnsi"/>
        </w:rPr>
        <w:t xml:space="preserve">have reached a </w:t>
      </w:r>
      <w:r w:rsidR="00DF41C4" w:rsidRPr="00D51726">
        <w:rPr>
          <w:rFonts w:eastAsiaTheme="minorHAnsi"/>
        </w:rPr>
        <w:t>S</w:t>
      </w:r>
      <w:r w:rsidR="00406259" w:rsidRPr="00D51726">
        <w:rPr>
          <w:rFonts w:eastAsiaTheme="minorHAnsi"/>
        </w:rPr>
        <w:t>ettlement</w:t>
      </w:r>
      <w:r w:rsidR="00DF41C4" w:rsidRPr="00D51726">
        <w:rPr>
          <w:rFonts w:eastAsiaTheme="minorHAnsi"/>
        </w:rPr>
        <w:t xml:space="preserve"> (the Settlement or Joint Settlement)</w:t>
      </w:r>
      <w:r w:rsidR="00406259" w:rsidRPr="00D51726">
        <w:rPr>
          <w:rFonts w:eastAsiaTheme="minorHAnsi"/>
        </w:rPr>
        <w:t xml:space="preserve">.  </w:t>
      </w:r>
      <w:r w:rsidR="003A78DA" w:rsidRPr="00D51726">
        <w:rPr>
          <w:rFonts w:eastAsiaTheme="minorHAnsi"/>
        </w:rPr>
        <w:t xml:space="preserve">The </w:t>
      </w:r>
      <w:r w:rsidR="00DF41C4" w:rsidRPr="00D51726">
        <w:rPr>
          <w:rFonts w:eastAsiaTheme="minorHAnsi"/>
        </w:rPr>
        <w:t>S</w:t>
      </w:r>
      <w:r w:rsidR="003A78DA" w:rsidRPr="00D51726">
        <w:rPr>
          <w:rFonts w:eastAsiaTheme="minorHAnsi"/>
        </w:rPr>
        <w:t>ettlement includes specific changes</w:t>
      </w:r>
      <w:r w:rsidR="005D7A4B" w:rsidRPr="00D51726">
        <w:rPr>
          <w:rFonts w:eastAsiaTheme="minorHAnsi"/>
        </w:rPr>
        <w:t xml:space="preserve"> to </w:t>
      </w:r>
      <w:r w:rsidR="00DF41C4" w:rsidRPr="00D51726">
        <w:rPr>
          <w:rFonts w:eastAsiaTheme="minorHAnsi"/>
        </w:rPr>
        <w:t>UGI’s</w:t>
      </w:r>
      <w:r w:rsidR="005D7A4B" w:rsidRPr="00D51726">
        <w:rPr>
          <w:rFonts w:eastAsiaTheme="minorHAnsi"/>
        </w:rPr>
        <w:t xml:space="preserve"> l</w:t>
      </w:r>
      <w:r w:rsidR="007E3C77" w:rsidRPr="00D51726">
        <w:rPr>
          <w:rFonts w:eastAsiaTheme="minorHAnsi"/>
        </w:rPr>
        <w:t>e</w:t>
      </w:r>
      <w:r w:rsidR="005D7A4B" w:rsidRPr="00D51726">
        <w:rPr>
          <w:rFonts w:eastAsiaTheme="minorHAnsi"/>
        </w:rPr>
        <w:t>ast cost procurement practices</w:t>
      </w:r>
      <w:r w:rsidR="003A78DA" w:rsidRPr="00D51726">
        <w:rPr>
          <w:rFonts w:eastAsiaTheme="minorHAnsi"/>
        </w:rPr>
        <w:t xml:space="preserve">, as well as Statements in Support of the </w:t>
      </w:r>
      <w:r w:rsidR="00DF41C4" w:rsidRPr="00D51726">
        <w:rPr>
          <w:rFonts w:eastAsiaTheme="minorHAnsi"/>
        </w:rPr>
        <w:t>S</w:t>
      </w:r>
      <w:r w:rsidR="003A78DA" w:rsidRPr="00D51726">
        <w:rPr>
          <w:rFonts w:eastAsiaTheme="minorHAnsi"/>
        </w:rPr>
        <w:t xml:space="preserve">ettlement filed by </w:t>
      </w:r>
      <w:r w:rsidR="00DF41C4" w:rsidRPr="00D51726">
        <w:rPr>
          <w:rFonts w:eastAsiaTheme="minorHAnsi"/>
        </w:rPr>
        <w:t>UGI</w:t>
      </w:r>
      <w:r w:rsidR="00E9572D" w:rsidRPr="00D51726">
        <w:rPr>
          <w:rFonts w:eastAsiaTheme="minorHAnsi"/>
        </w:rPr>
        <w:t>, OSBA, OCA and I&amp;E</w:t>
      </w:r>
      <w:r w:rsidR="003A78DA" w:rsidRPr="00D51726">
        <w:rPr>
          <w:rFonts w:eastAsiaTheme="minorHAnsi"/>
        </w:rPr>
        <w:t xml:space="preserve">.  </w:t>
      </w:r>
      <w:r w:rsidR="00406259" w:rsidRPr="00D51726">
        <w:rPr>
          <w:rFonts w:eastAsiaTheme="minorHAnsi"/>
        </w:rPr>
        <w:t>Commission policy promotes settlements.  52 Pa. Code §</w:t>
      </w:r>
      <w:r w:rsidR="00972356" w:rsidRPr="00D51726">
        <w:rPr>
          <w:rFonts w:eastAsiaTheme="minorHAnsi"/>
        </w:rPr>
        <w:t xml:space="preserve"> </w:t>
      </w:r>
      <w:r w:rsidR="00406259" w:rsidRPr="00D51726">
        <w:rPr>
          <w:rFonts w:eastAsiaTheme="minorHAnsi"/>
        </w:rPr>
        <w:t>5.231.  Settlements lessen the time and expense the parties must expend litigating a case and at the same time conserve administrative hearing resources.  The Commission has indicated that settlement results are often preferable to those achieved at the conclusion of a fully litigated proceeding.  52 Pa. Code § 69.401.</w:t>
      </w:r>
    </w:p>
    <w:p w14:paraId="0DD25A6F" w14:textId="77777777" w:rsidR="00406259" w:rsidRPr="00D51726" w:rsidRDefault="00406259" w:rsidP="00406259">
      <w:pPr>
        <w:autoSpaceDE/>
        <w:autoSpaceDN/>
        <w:spacing w:line="360" w:lineRule="auto"/>
        <w:rPr>
          <w:rFonts w:eastAsiaTheme="minorHAnsi"/>
        </w:rPr>
      </w:pPr>
    </w:p>
    <w:p w14:paraId="59E413CA" w14:textId="5F9AD4D9" w:rsidR="00DA5B8C" w:rsidRPr="00D51726" w:rsidRDefault="00406259" w:rsidP="00C02F85">
      <w:pPr>
        <w:autoSpaceDE/>
        <w:autoSpaceDN/>
        <w:spacing w:line="360" w:lineRule="auto"/>
        <w:rPr>
          <w:rFonts w:eastAsiaTheme="minorHAnsi"/>
        </w:rPr>
      </w:pPr>
      <w:r w:rsidRPr="00D51726">
        <w:rPr>
          <w:rFonts w:eastAsiaTheme="minorHAnsi"/>
        </w:rPr>
        <w:tab/>
      </w:r>
      <w:r w:rsidRPr="00D51726">
        <w:rPr>
          <w:rFonts w:eastAsiaTheme="minorHAnsi"/>
        </w:rPr>
        <w:tab/>
        <w:t xml:space="preserve">In order to accept a settlement, the Commission must first determine that the proposed terms and conditions are in the public interest.  </w:t>
      </w:r>
      <w:bookmarkStart w:id="4" w:name="_Hlk82068468"/>
      <w:r w:rsidR="00954C3C" w:rsidRPr="00D51726">
        <w:rPr>
          <w:rFonts w:eastAsiaTheme="minorHAnsi"/>
          <w:i/>
          <w:iCs/>
        </w:rPr>
        <w:t>Pa. P</w:t>
      </w:r>
      <w:r w:rsidR="00963301" w:rsidRPr="00D51726">
        <w:rPr>
          <w:rFonts w:eastAsiaTheme="minorHAnsi"/>
          <w:i/>
          <w:iCs/>
        </w:rPr>
        <w:t>ub</w:t>
      </w:r>
      <w:r w:rsidR="00954C3C" w:rsidRPr="00D51726">
        <w:rPr>
          <w:rFonts w:eastAsiaTheme="minorHAnsi"/>
          <w:i/>
          <w:iCs/>
        </w:rPr>
        <w:t>.</w:t>
      </w:r>
      <w:r w:rsidR="00963301" w:rsidRPr="00D51726">
        <w:rPr>
          <w:rFonts w:eastAsiaTheme="minorHAnsi"/>
          <w:i/>
          <w:iCs/>
        </w:rPr>
        <w:t xml:space="preserve"> </w:t>
      </w:r>
      <w:r w:rsidR="00954C3C" w:rsidRPr="00D51726">
        <w:rPr>
          <w:rFonts w:eastAsiaTheme="minorHAnsi"/>
          <w:i/>
          <w:iCs/>
        </w:rPr>
        <w:t>U</w:t>
      </w:r>
      <w:r w:rsidR="00963301" w:rsidRPr="00D51726">
        <w:rPr>
          <w:rFonts w:eastAsiaTheme="minorHAnsi"/>
          <w:i/>
          <w:iCs/>
        </w:rPr>
        <w:t>til</w:t>
      </w:r>
      <w:r w:rsidR="00954C3C" w:rsidRPr="00D51726">
        <w:rPr>
          <w:rFonts w:eastAsiaTheme="minorHAnsi"/>
          <w:i/>
          <w:iCs/>
        </w:rPr>
        <w:t>.</w:t>
      </w:r>
      <w:r w:rsidR="00963301" w:rsidRPr="00D51726">
        <w:rPr>
          <w:rFonts w:eastAsiaTheme="minorHAnsi"/>
          <w:i/>
          <w:iCs/>
        </w:rPr>
        <w:t xml:space="preserve"> </w:t>
      </w:r>
      <w:r w:rsidR="00954C3C" w:rsidRPr="00D51726">
        <w:rPr>
          <w:rFonts w:eastAsiaTheme="minorHAnsi"/>
          <w:i/>
          <w:iCs/>
        </w:rPr>
        <w:t>C</w:t>
      </w:r>
      <w:r w:rsidR="007D65AA" w:rsidRPr="00D51726">
        <w:rPr>
          <w:rFonts w:eastAsiaTheme="minorHAnsi"/>
          <w:i/>
          <w:iCs/>
        </w:rPr>
        <w:t>omm’n</w:t>
      </w:r>
      <w:bookmarkEnd w:id="4"/>
      <w:r w:rsidR="00954C3C" w:rsidRPr="00D51726">
        <w:rPr>
          <w:rFonts w:eastAsiaTheme="minorHAnsi"/>
          <w:i/>
          <w:iCs/>
        </w:rPr>
        <w:t xml:space="preserve"> </w:t>
      </w:r>
      <w:r w:rsidRPr="00D51726">
        <w:rPr>
          <w:rFonts w:eastAsiaTheme="minorHAnsi"/>
          <w:i/>
          <w:iCs/>
        </w:rPr>
        <w:t>v. York Water Co</w:t>
      </w:r>
      <w:r w:rsidRPr="00D51726">
        <w:rPr>
          <w:rFonts w:eastAsiaTheme="minorHAnsi"/>
          <w:i/>
        </w:rPr>
        <w:t>.</w:t>
      </w:r>
      <w:r w:rsidRPr="00D51726">
        <w:rPr>
          <w:rFonts w:eastAsiaTheme="minorHAnsi"/>
        </w:rPr>
        <w:t xml:space="preserve">, Docket No. R-00049165 </w:t>
      </w:r>
      <w:r w:rsidR="00972356" w:rsidRPr="00D51726">
        <w:rPr>
          <w:rFonts w:eastAsiaTheme="minorHAnsi"/>
        </w:rPr>
        <w:t>(</w:t>
      </w:r>
      <w:r w:rsidRPr="00D51726">
        <w:rPr>
          <w:rFonts w:eastAsiaTheme="minorHAnsi"/>
        </w:rPr>
        <w:t>Order entered October 4, 2004)</w:t>
      </w:r>
      <w:r w:rsidR="00EA52B4" w:rsidRPr="00D51726">
        <w:rPr>
          <w:rFonts w:eastAsiaTheme="minorHAnsi"/>
        </w:rPr>
        <w:t xml:space="preserve"> (</w:t>
      </w:r>
      <w:r w:rsidR="00EA52B4" w:rsidRPr="00D51726">
        <w:rPr>
          <w:rFonts w:eastAsiaTheme="minorHAnsi"/>
          <w:i/>
          <w:iCs/>
        </w:rPr>
        <w:t>York Water</w:t>
      </w:r>
      <w:r w:rsidR="00EA52B4" w:rsidRPr="00D51726">
        <w:rPr>
          <w:rFonts w:eastAsiaTheme="minorHAnsi"/>
        </w:rPr>
        <w:t>)</w:t>
      </w:r>
      <w:r w:rsidRPr="00D51726">
        <w:rPr>
          <w:rFonts w:eastAsiaTheme="minorHAnsi"/>
        </w:rPr>
        <w:t xml:space="preserve">; </w:t>
      </w:r>
      <w:r w:rsidR="007D65AA" w:rsidRPr="00D51726">
        <w:rPr>
          <w:rFonts w:eastAsiaTheme="minorHAnsi"/>
          <w:i/>
          <w:iCs/>
        </w:rPr>
        <w:t>Pa. Pub. Util. Comm’n</w:t>
      </w:r>
      <w:r w:rsidR="00954C3C" w:rsidRPr="00D51726">
        <w:rPr>
          <w:rFonts w:eastAsiaTheme="minorHAnsi"/>
          <w:i/>
          <w:iCs/>
        </w:rPr>
        <w:t xml:space="preserve"> </w:t>
      </w:r>
      <w:r w:rsidRPr="00D51726">
        <w:rPr>
          <w:rFonts w:eastAsiaTheme="minorHAnsi"/>
          <w:i/>
          <w:iCs/>
        </w:rPr>
        <w:t xml:space="preserve">v. CS Water </w:t>
      </w:r>
      <w:r w:rsidR="007D65AA" w:rsidRPr="00D51726">
        <w:rPr>
          <w:rFonts w:eastAsiaTheme="minorHAnsi"/>
          <w:i/>
          <w:iCs/>
        </w:rPr>
        <w:t xml:space="preserve">&amp; </w:t>
      </w:r>
      <w:r w:rsidRPr="00D51726">
        <w:rPr>
          <w:rFonts w:eastAsiaTheme="minorHAnsi"/>
          <w:i/>
          <w:iCs/>
        </w:rPr>
        <w:t>Sewer Assoc</w:t>
      </w:r>
      <w:r w:rsidR="007D65AA" w:rsidRPr="00D51726">
        <w:rPr>
          <w:rFonts w:eastAsiaTheme="minorHAnsi"/>
          <w:i/>
          <w:iCs/>
        </w:rPr>
        <w:t>s</w:t>
      </w:r>
      <w:r w:rsidRPr="00D51726">
        <w:rPr>
          <w:rFonts w:eastAsiaTheme="minorHAnsi"/>
          <w:i/>
        </w:rPr>
        <w:t>.</w:t>
      </w:r>
      <w:r w:rsidRPr="00D51726">
        <w:rPr>
          <w:rFonts w:eastAsiaTheme="minorHAnsi"/>
        </w:rPr>
        <w:t xml:space="preserve">, 74 Pa PUC 767 (1991).  </w:t>
      </w:r>
      <w:r w:rsidR="00061A1C" w:rsidRPr="00D51726">
        <w:rPr>
          <w:rFonts w:eastAsiaTheme="minorHAnsi"/>
        </w:rPr>
        <w:t>Furthermore, t</w:t>
      </w:r>
      <w:r w:rsidR="00DA5B8C" w:rsidRPr="00D51726">
        <w:rPr>
          <w:rFonts w:eastAsiaTheme="minorHAnsi"/>
        </w:rPr>
        <w:t xml:space="preserve">he decision of the Commission must be supported by substantial evidence.  2 Pa. C.S. § 704.  "Substantial evidence" is such relevant evidence that a reasonable mind might accept as adequate to support a conclusion.  More is required than a mere trace of evidence or a suspicion of the existence of a fact sought to be established.  </w:t>
      </w:r>
      <w:r w:rsidR="00DA5B8C" w:rsidRPr="00D51726">
        <w:rPr>
          <w:rFonts w:eastAsiaTheme="minorHAnsi"/>
          <w:i/>
          <w:iCs/>
        </w:rPr>
        <w:t xml:space="preserve">Norfolk &amp; Western Ry. Co. v. </w:t>
      </w:r>
      <w:r w:rsidR="007D65AA" w:rsidRPr="00D51726">
        <w:rPr>
          <w:rFonts w:eastAsiaTheme="minorHAnsi"/>
          <w:i/>
          <w:iCs/>
        </w:rPr>
        <w:t>Pa. Pub. Util. Comm’n</w:t>
      </w:r>
      <w:r w:rsidR="00DA5B8C" w:rsidRPr="00D51726">
        <w:rPr>
          <w:rFonts w:eastAsiaTheme="minorHAnsi"/>
        </w:rPr>
        <w:t xml:space="preserve">, 489 Pa. 109, </w:t>
      </w:r>
      <w:r w:rsidR="00DA5B8C" w:rsidRPr="00D51726">
        <w:rPr>
          <w:rFonts w:eastAsiaTheme="minorHAnsi"/>
        </w:rPr>
        <w:lastRenderedPageBreak/>
        <w:t xml:space="preserve">413 A.2d 1037 (1980); </w:t>
      </w:r>
      <w:r w:rsidR="00DA5B8C" w:rsidRPr="00D51726">
        <w:rPr>
          <w:rFonts w:eastAsiaTheme="minorHAnsi"/>
          <w:i/>
          <w:iCs/>
        </w:rPr>
        <w:t>Erie</w:t>
      </w:r>
      <w:r w:rsidR="00DA5B8C" w:rsidRPr="00D51726">
        <w:rPr>
          <w:rFonts w:eastAsiaTheme="minorHAnsi"/>
          <w:u w:val="single"/>
        </w:rPr>
        <w:t xml:space="preserve"> </w:t>
      </w:r>
      <w:r w:rsidR="00DA5B8C" w:rsidRPr="00D51726">
        <w:rPr>
          <w:rFonts w:eastAsiaTheme="minorHAnsi"/>
          <w:i/>
          <w:iCs/>
        </w:rPr>
        <w:t>Resistor Corp. v. Unemployment Comp. Bd. of Review</w:t>
      </w:r>
      <w:r w:rsidR="00DA5B8C" w:rsidRPr="00D51726">
        <w:rPr>
          <w:rFonts w:eastAsiaTheme="minorHAnsi"/>
        </w:rPr>
        <w:t>, 194 Pa. Super</w:t>
      </w:r>
      <w:r w:rsidR="00C7124C" w:rsidRPr="00D51726">
        <w:rPr>
          <w:rFonts w:eastAsiaTheme="minorHAnsi"/>
        </w:rPr>
        <w:t>.</w:t>
      </w:r>
      <w:r w:rsidR="00DA5B8C" w:rsidRPr="00D51726">
        <w:rPr>
          <w:rFonts w:eastAsiaTheme="minorHAnsi"/>
        </w:rPr>
        <w:t xml:space="preserve"> Ct. 278, 166 A.2d 96 (1961); and </w:t>
      </w:r>
      <w:r w:rsidR="00DA5B8C" w:rsidRPr="00D51726">
        <w:rPr>
          <w:rFonts w:eastAsiaTheme="minorHAnsi"/>
          <w:i/>
          <w:iCs/>
        </w:rPr>
        <w:t xml:space="preserve">Murphy v. </w:t>
      </w:r>
      <w:r w:rsidR="00972356" w:rsidRPr="00D51726">
        <w:rPr>
          <w:rFonts w:eastAsiaTheme="minorHAnsi"/>
          <w:i/>
          <w:iCs/>
        </w:rPr>
        <w:t xml:space="preserve">Pa. </w:t>
      </w:r>
      <w:r w:rsidR="00DA5B8C" w:rsidRPr="00D51726">
        <w:rPr>
          <w:rFonts w:eastAsiaTheme="minorHAnsi"/>
          <w:i/>
          <w:iCs/>
        </w:rPr>
        <w:t>Dept. of Pub</w:t>
      </w:r>
      <w:r w:rsidR="007D65AA" w:rsidRPr="00D51726">
        <w:rPr>
          <w:rFonts w:eastAsiaTheme="minorHAnsi"/>
          <w:i/>
          <w:iCs/>
        </w:rPr>
        <w:t>.</w:t>
      </w:r>
      <w:r w:rsidR="00DA5B8C" w:rsidRPr="00D51726">
        <w:rPr>
          <w:rFonts w:eastAsiaTheme="minorHAnsi"/>
          <w:i/>
          <w:iCs/>
        </w:rPr>
        <w:t xml:space="preserve"> Welfare, White Haven C</w:t>
      </w:r>
      <w:r w:rsidR="007D65AA" w:rsidRPr="00D51726">
        <w:rPr>
          <w:rFonts w:eastAsiaTheme="minorHAnsi"/>
          <w:i/>
          <w:iCs/>
        </w:rPr>
        <w:t>tr.</w:t>
      </w:r>
      <w:r w:rsidR="00DA5B8C" w:rsidRPr="00D51726">
        <w:rPr>
          <w:rFonts w:eastAsiaTheme="minorHAnsi"/>
        </w:rPr>
        <w:t>, 85 Pa. Cm</w:t>
      </w:r>
      <w:r w:rsidR="00C7124C" w:rsidRPr="00D51726">
        <w:rPr>
          <w:rFonts w:eastAsiaTheme="minorHAnsi"/>
        </w:rPr>
        <w:t>w</w:t>
      </w:r>
      <w:r w:rsidR="00DA5B8C" w:rsidRPr="00D51726">
        <w:rPr>
          <w:rFonts w:eastAsiaTheme="minorHAnsi"/>
        </w:rPr>
        <w:t>lth</w:t>
      </w:r>
      <w:r w:rsidR="00C7124C" w:rsidRPr="00D51726">
        <w:rPr>
          <w:rFonts w:eastAsiaTheme="minorHAnsi"/>
        </w:rPr>
        <w:t>.</w:t>
      </w:r>
      <w:r w:rsidR="00DA5B8C" w:rsidRPr="00D51726">
        <w:rPr>
          <w:rFonts w:eastAsiaTheme="minorHAnsi"/>
        </w:rPr>
        <w:t xml:space="preserve"> Ct. 23, 480 A.2d 382 (1984).</w:t>
      </w:r>
    </w:p>
    <w:p w14:paraId="1DD80074" w14:textId="77777777" w:rsidR="00C02F85" w:rsidRPr="00D51726" w:rsidRDefault="00C02F85" w:rsidP="00C02F85">
      <w:pPr>
        <w:autoSpaceDE/>
        <w:autoSpaceDN/>
        <w:spacing w:line="360" w:lineRule="auto"/>
        <w:rPr>
          <w:rFonts w:eastAsiaTheme="minorHAnsi"/>
          <w:strike/>
        </w:rPr>
      </w:pPr>
    </w:p>
    <w:p w14:paraId="1AF55761" w14:textId="5D2A3C5E" w:rsidR="009722F8" w:rsidRPr="00D51726" w:rsidRDefault="009722F8" w:rsidP="00DF41C4">
      <w:pPr>
        <w:spacing w:line="360" w:lineRule="auto"/>
      </w:pPr>
      <w:r w:rsidRPr="00D51726">
        <w:tab/>
      </w:r>
      <w:r w:rsidRPr="00D51726">
        <w:tab/>
      </w:r>
      <w:r w:rsidR="00784A35" w:rsidRPr="00D51726">
        <w:t>T</w:t>
      </w:r>
      <w:r w:rsidR="007D2ACC" w:rsidRPr="00D51726">
        <w:t xml:space="preserve">he purpose of this Recommended Decision is to determine whether the </w:t>
      </w:r>
      <w:r w:rsidR="00DF41C4" w:rsidRPr="00D51726">
        <w:t>Joint S</w:t>
      </w:r>
      <w:r w:rsidR="007D2ACC" w:rsidRPr="00D51726">
        <w:t>ettlement resolving all contested issues is in the public interest, satisfies applicable statutes and regulations</w:t>
      </w:r>
      <w:r w:rsidR="006702EF" w:rsidRPr="00D51726">
        <w:t>,</w:t>
      </w:r>
      <w:r w:rsidR="007D2ACC" w:rsidRPr="00D51726">
        <w:t xml:space="preserve"> and is supported by substantial evidence.</w:t>
      </w:r>
    </w:p>
    <w:p w14:paraId="6A5A9283" w14:textId="77777777" w:rsidR="00031472" w:rsidRPr="00D51726" w:rsidRDefault="00031472" w:rsidP="00DA5B8C">
      <w:pPr>
        <w:spacing w:line="360" w:lineRule="auto"/>
      </w:pPr>
    </w:p>
    <w:p w14:paraId="36387D7A" w14:textId="2FB3AA98" w:rsidR="00DA5B8C" w:rsidRPr="00D51726" w:rsidRDefault="00DA5B8C" w:rsidP="00DA5B8C">
      <w:pPr>
        <w:spacing w:line="360" w:lineRule="auto"/>
        <w:jc w:val="center"/>
        <w:rPr>
          <w:u w:val="single"/>
        </w:rPr>
      </w:pPr>
      <w:r w:rsidRPr="00D51726">
        <w:rPr>
          <w:u w:val="single"/>
        </w:rPr>
        <w:t>TERMS OF SETTLEMENT</w:t>
      </w:r>
    </w:p>
    <w:p w14:paraId="1AA45E7D" w14:textId="77777777" w:rsidR="00031472" w:rsidRPr="00D51726" w:rsidRDefault="00031472" w:rsidP="00DA5B8C">
      <w:pPr>
        <w:spacing w:line="360" w:lineRule="auto"/>
        <w:jc w:val="center"/>
        <w:rPr>
          <w:u w:val="single"/>
        </w:rPr>
      </w:pPr>
    </w:p>
    <w:p w14:paraId="33BC8D80" w14:textId="144502F0" w:rsidR="005F5B96" w:rsidRPr="00D51726" w:rsidRDefault="005F5B96" w:rsidP="005F5B96">
      <w:pPr>
        <w:spacing w:line="360" w:lineRule="auto"/>
      </w:pPr>
      <w:r w:rsidRPr="00D51726">
        <w:tab/>
      </w:r>
      <w:r w:rsidRPr="00D51726">
        <w:tab/>
        <w:t>The parties have presented a comprehensive Joint Settlement.  For ease of reference, I have retained the presentation and paragraph numbering of the original Settlement document.  The terms of the Joint Settlement are</w:t>
      </w:r>
      <w:r w:rsidR="00E772EC" w:rsidRPr="00D51726">
        <w:t xml:space="preserve">, </w:t>
      </w:r>
      <w:r w:rsidR="00E772EC" w:rsidRPr="00D51726">
        <w:rPr>
          <w:i/>
          <w:iCs/>
        </w:rPr>
        <w:t>in verbatim</w:t>
      </w:r>
      <w:r w:rsidR="00E772EC" w:rsidRPr="00D51726">
        <w:t>,</w:t>
      </w:r>
      <w:r w:rsidRPr="00D51726">
        <w:t xml:space="preserve"> as follows:</w:t>
      </w:r>
    </w:p>
    <w:p w14:paraId="17916D2D" w14:textId="411622CD" w:rsidR="005F5B96" w:rsidRPr="00D51726" w:rsidRDefault="005F5B96" w:rsidP="005F5B96">
      <w:pPr>
        <w:spacing w:line="360" w:lineRule="auto"/>
      </w:pPr>
    </w:p>
    <w:p w14:paraId="0941E8F2" w14:textId="41606A49" w:rsidR="005F5B96" w:rsidRPr="00D51726" w:rsidRDefault="005F5B96" w:rsidP="0008677C">
      <w:pPr>
        <w:spacing w:line="360" w:lineRule="auto"/>
        <w:ind w:left="720" w:right="720" w:firstLine="90"/>
        <w:jc w:val="both"/>
        <w:rPr>
          <w:b/>
          <w:bCs/>
        </w:rPr>
      </w:pPr>
      <w:r w:rsidRPr="00D51726">
        <w:rPr>
          <w:b/>
          <w:bCs/>
        </w:rPr>
        <w:t>II.</w:t>
      </w:r>
      <w:r w:rsidRPr="00D51726">
        <w:rPr>
          <w:b/>
          <w:bCs/>
        </w:rPr>
        <w:tab/>
      </w:r>
      <w:r w:rsidRPr="00D51726">
        <w:rPr>
          <w:b/>
          <w:bCs/>
          <w:u w:val="single"/>
        </w:rPr>
        <w:t>TERMS OF SETTLEMENT</w:t>
      </w:r>
    </w:p>
    <w:p w14:paraId="38C6752F" w14:textId="77777777" w:rsidR="005F5B96" w:rsidRPr="00D51726" w:rsidRDefault="005F5B96" w:rsidP="0008677C">
      <w:pPr>
        <w:spacing w:line="360" w:lineRule="auto"/>
        <w:ind w:left="720" w:right="720" w:firstLine="90"/>
        <w:jc w:val="center"/>
        <w:rPr>
          <w:u w:val="single"/>
        </w:rPr>
      </w:pPr>
    </w:p>
    <w:p w14:paraId="6510B5D1" w14:textId="0355015F" w:rsidR="005F5B96" w:rsidRPr="00D51726" w:rsidRDefault="005F5B96" w:rsidP="0008677C">
      <w:pPr>
        <w:pStyle w:val="Heading2"/>
        <w:keepNext/>
        <w:keepLines w:val="0"/>
        <w:spacing w:after="0" w:line="360" w:lineRule="auto"/>
        <w:ind w:left="720" w:right="720" w:firstLine="90"/>
        <w:rPr>
          <w:szCs w:val="24"/>
        </w:rPr>
      </w:pPr>
      <w:bookmarkStart w:id="5" w:name="_Hlk81402728"/>
      <w:r w:rsidRPr="00D51726">
        <w:rPr>
          <w:szCs w:val="24"/>
        </w:rPr>
        <w:t xml:space="preserve">Design Day </w:t>
      </w:r>
    </w:p>
    <w:p w14:paraId="6F225560" w14:textId="77777777" w:rsidR="00031472" w:rsidRPr="00D51726" w:rsidRDefault="00031472" w:rsidP="0008677C">
      <w:pPr>
        <w:pStyle w:val="BodyText2"/>
        <w:spacing w:after="0" w:line="360" w:lineRule="auto"/>
        <w:ind w:left="720" w:right="720" w:firstLine="90"/>
      </w:pPr>
    </w:p>
    <w:p w14:paraId="4D1BFC33" w14:textId="262ACB34" w:rsidR="005F5B96" w:rsidRPr="00D51726" w:rsidRDefault="005F5B96" w:rsidP="0008677C">
      <w:pPr>
        <w:pStyle w:val="ListNumber"/>
        <w:numPr>
          <w:ilvl w:val="0"/>
          <w:numId w:val="38"/>
        </w:numPr>
        <w:spacing w:line="360" w:lineRule="auto"/>
        <w:ind w:right="720"/>
        <w:contextualSpacing/>
        <w:jc w:val="both"/>
      </w:pPr>
      <w:r w:rsidRPr="00D51726">
        <w:rPr>
          <w:rFonts w:eastAsia="Cambria"/>
        </w:rPr>
        <w:t>The Joint Petitioners agree that UGI Gas will be permitted to use a design day figure of 2.08 BCF, which includes 2.02 BCF of design cold firm requirements and 0.06 BCF of capacity reserves for the Company’s firm core market (PGC and Choice Customer markets) needs.</w:t>
      </w:r>
    </w:p>
    <w:p w14:paraId="52C24BE7" w14:textId="77777777" w:rsidR="00031472" w:rsidRPr="00D51726" w:rsidRDefault="00031472" w:rsidP="0008677C">
      <w:pPr>
        <w:pStyle w:val="ListNumber"/>
        <w:numPr>
          <w:ilvl w:val="0"/>
          <w:numId w:val="0"/>
        </w:numPr>
        <w:spacing w:line="360" w:lineRule="auto"/>
        <w:ind w:left="720" w:right="720" w:firstLine="90"/>
        <w:contextualSpacing/>
        <w:jc w:val="both"/>
      </w:pPr>
    </w:p>
    <w:p w14:paraId="45A7123C" w14:textId="1514F92D" w:rsidR="005F5B96" w:rsidRPr="00D51726" w:rsidRDefault="005F5B96" w:rsidP="0008677C">
      <w:pPr>
        <w:pStyle w:val="Heading2"/>
        <w:keepNext/>
        <w:spacing w:after="0" w:line="360" w:lineRule="auto"/>
        <w:ind w:left="720" w:right="720" w:firstLine="90"/>
        <w:rPr>
          <w:szCs w:val="24"/>
        </w:rPr>
      </w:pPr>
      <w:r w:rsidRPr="00D51726">
        <w:rPr>
          <w:szCs w:val="24"/>
        </w:rPr>
        <w:t xml:space="preserve">UGIES Contract consolidation </w:t>
      </w:r>
    </w:p>
    <w:p w14:paraId="60A800D2" w14:textId="77777777" w:rsidR="00031472" w:rsidRPr="00D51726" w:rsidRDefault="00031472" w:rsidP="0008677C">
      <w:pPr>
        <w:pStyle w:val="BodyText2"/>
        <w:spacing w:after="0" w:line="360" w:lineRule="auto"/>
        <w:ind w:left="720" w:right="720" w:firstLine="90"/>
      </w:pPr>
    </w:p>
    <w:p w14:paraId="35735C3E" w14:textId="3F592AC1" w:rsidR="005F5B96" w:rsidRPr="00D51726" w:rsidRDefault="005F5B96" w:rsidP="0008677C">
      <w:pPr>
        <w:pStyle w:val="ListNumber"/>
        <w:numPr>
          <w:ilvl w:val="0"/>
          <w:numId w:val="38"/>
        </w:numPr>
        <w:spacing w:line="360" w:lineRule="auto"/>
        <w:ind w:right="720" w:hanging="630"/>
        <w:contextualSpacing/>
        <w:jc w:val="both"/>
      </w:pPr>
      <w:r w:rsidRPr="00D51726">
        <w:rPr>
          <w:rFonts w:eastAsia="Cambria"/>
        </w:rPr>
        <w:t xml:space="preserve">The Joint Petitioners agree that UGI Gas will consolidate 12 existing contracts between UGI Gas and UGI Energy Services, LLC (“UGIES”) for a total quantity of 259,476 </w:t>
      </w:r>
      <w:proofErr w:type="spellStart"/>
      <w:r w:rsidRPr="00D51726">
        <w:rPr>
          <w:rFonts w:eastAsia="Cambria"/>
        </w:rPr>
        <w:t>dth</w:t>
      </w:r>
      <w:proofErr w:type="spellEnd"/>
      <w:r w:rsidRPr="00D51726">
        <w:rPr>
          <w:rFonts w:eastAsia="Cambria"/>
        </w:rPr>
        <w:t xml:space="preserve"> per day for the term of 2021 through 2036. The consolidation will result in the formation of three contracts based on the service type provided: 1) Day-Ahead Peaking; 2) Intra-Day Peaking; </w:t>
      </w:r>
      <w:r w:rsidRPr="00D51726">
        <w:rPr>
          <w:rFonts w:eastAsia="Cambria"/>
        </w:rPr>
        <w:lastRenderedPageBreak/>
        <w:t xml:space="preserve">and 3) Annual Delivery Service.  This is discussed fully at pages 25 to 29 of UGI Gas Statement No. 2, the Direct Testimony of Jesse R. </w:t>
      </w:r>
      <w:proofErr w:type="spellStart"/>
      <w:r w:rsidRPr="00D51726">
        <w:rPr>
          <w:rFonts w:eastAsia="Cambria"/>
        </w:rPr>
        <w:t>Tyahla</w:t>
      </w:r>
      <w:proofErr w:type="spellEnd"/>
      <w:r w:rsidRPr="00D51726">
        <w:rPr>
          <w:rFonts w:eastAsia="Cambria"/>
        </w:rPr>
        <w:t>.</w:t>
      </w:r>
    </w:p>
    <w:p w14:paraId="5AC9F957" w14:textId="77777777" w:rsidR="00031472" w:rsidRPr="00D51726" w:rsidRDefault="00031472" w:rsidP="0008677C">
      <w:pPr>
        <w:pStyle w:val="ListNumber"/>
        <w:numPr>
          <w:ilvl w:val="0"/>
          <w:numId w:val="0"/>
        </w:numPr>
        <w:spacing w:line="360" w:lineRule="auto"/>
        <w:ind w:left="720" w:right="720" w:firstLine="90"/>
        <w:contextualSpacing/>
        <w:jc w:val="both"/>
      </w:pPr>
    </w:p>
    <w:p w14:paraId="25A68533" w14:textId="003F3DBA" w:rsidR="005F5B96" w:rsidRPr="00D51726" w:rsidRDefault="001B0093" w:rsidP="0008677C">
      <w:pPr>
        <w:pStyle w:val="Heading2"/>
        <w:keepNext/>
        <w:spacing w:after="0" w:line="360" w:lineRule="auto"/>
        <w:ind w:left="720" w:right="720" w:firstLine="90"/>
        <w:rPr>
          <w:szCs w:val="24"/>
        </w:rPr>
      </w:pPr>
      <w:r w:rsidRPr="00D51726">
        <w:rPr>
          <w:szCs w:val="24"/>
        </w:rPr>
        <w:t>P</w:t>
      </w:r>
      <w:r w:rsidR="005F5B96" w:rsidRPr="00D51726">
        <w:rPr>
          <w:szCs w:val="24"/>
        </w:rPr>
        <w:t xml:space="preserve">eak day capacity supply additions </w:t>
      </w:r>
    </w:p>
    <w:p w14:paraId="79BD46C5" w14:textId="77777777" w:rsidR="00031472" w:rsidRPr="00D51726" w:rsidRDefault="00031472" w:rsidP="0008677C">
      <w:pPr>
        <w:pStyle w:val="BodyText2"/>
        <w:spacing w:after="0" w:line="360" w:lineRule="auto"/>
        <w:ind w:left="720" w:right="720" w:firstLine="90"/>
      </w:pPr>
    </w:p>
    <w:p w14:paraId="0050C4BB" w14:textId="77777777" w:rsidR="005F5B96" w:rsidRPr="00D51726" w:rsidRDefault="005F5B96" w:rsidP="0008677C">
      <w:pPr>
        <w:pStyle w:val="ListNumber"/>
        <w:numPr>
          <w:ilvl w:val="0"/>
          <w:numId w:val="38"/>
        </w:numPr>
        <w:spacing w:line="360" w:lineRule="auto"/>
        <w:ind w:right="720" w:hanging="630"/>
        <w:contextualSpacing/>
        <w:jc w:val="both"/>
        <w:rPr>
          <w:rFonts w:eastAsia="Cambria"/>
        </w:rPr>
      </w:pPr>
      <w:r w:rsidRPr="00D51726">
        <w:rPr>
          <w:rFonts w:eastAsia="Cambria"/>
        </w:rPr>
        <w:t xml:space="preserve">The Joint Petitioners agree that in order to address the total peak day capacity supply shortfall </w:t>
      </w:r>
      <w:r w:rsidRPr="00D51726">
        <w:rPr>
          <w:rFonts w:eastAsia="Cambria"/>
          <w:bCs/>
        </w:rPr>
        <w:t>needs</w:t>
      </w:r>
      <w:r w:rsidRPr="00D51726">
        <w:rPr>
          <w:rFonts w:eastAsia="Cambria"/>
        </w:rPr>
        <w:t xml:space="preserve">, UGI Gas will </w:t>
      </w:r>
      <w:r w:rsidRPr="00D51726">
        <w:rPr>
          <w:rFonts w:eastAsia="Cambria"/>
          <w:bCs/>
        </w:rPr>
        <w:t xml:space="preserve">accept </w:t>
      </w:r>
      <w:r w:rsidRPr="00D51726">
        <w:rPr>
          <w:rFonts w:eastAsia="Cambria"/>
        </w:rPr>
        <w:t xml:space="preserve">the following </w:t>
      </w:r>
      <w:r w:rsidRPr="00D51726">
        <w:rPr>
          <w:rFonts w:eastAsia="Cambria"/>
          <w:bCs/>
        </w:rPr>
        <w:t>proposals</w:t>
      </w:r>
      <w:r w:rsidRPr="00D51726">
        <w:rPr>
          <w:rFonts w:eastAsia="Cambria"/>
        </w:rPr>
        <w:t>:</w:t>
      </w:r>
      <w:r w:rsidRPr="00D51726">
        <w:rPr>
          <w:rFonts w:eastAsia="Cambria"/>
        </w:rPr>
        <w:tab/>
      </w:r>
    </w:p>
    <w:p w14:paraId="5DF063C4" w14:textId="77777777" w:rsidR="00031472" w:rsidRPr="00D51726" w:rsidRDefault="00031472" w:rsidP="005F5B96">
      <w:pPr>
        <w:tabs>
          <w:tab w:val="left" w:pos="284"/>
          <w:tab w:val="left" w:pos="504"/>
        </w:tabs>
        <w:ind w:left="720"/>
        <w:textAlignment w:val="baseline"/>
        <w:rPr>
          <w:rFonts w:eastAsia="PMingLiU"/>
          <w:color w:val="000000"/>
        </w:rPr>
      </w:pPr>
    </w:p>
    <w:tbl>
      <w:tblPr>
        <w:tblStyle w:val="TableGrid1"/>
        <w:tblW w:w="7938" w:type="dxa"/>
        <w:tblInd w:w="1435" w:type="dxa"/>
        <w:tblLayout w:type="fixed"/>
        <w:tblLook w:val="06A0" w:firstRow="1" w:lastRow="0" w:firstColumn="1" w:lastColumn="0" w:noHBand="1" w:noVBand="1"/>
      </w:tblPr>
      <w:tblGrid>
        <w:gridCol w:w="2980"/>
        <w:gridCol w:w="2021"/>
        <w:gridCol w:w="2937"/>
      </w:tblGrid>
      <w:tr w:rsidR="005F5B96" w:rsidRPr="00D51726" w14:paraId="5C6F4565" w14:textId="77777777" w:rsidTr="00E91407">
        <w:trPr>
          <w:trHeight w:val="578"/>
        </w:trPr>
        <w:tc>
          <w:tcPr>
            <w:tcW w:w="2980" w:type="dxa"/>
            <w:vAlign w:val="center"/>
          </w:tcPr>
          <w:p w14:paraId="20730735" w14:textId="77777777" w:rsidR="005F5B96" w:rsidRPr="00D51726" w:rsidRDefault="005F5B96" w:rsidP="00001B13">
            <w:pPr>
              <w:jc w:val="center"/>
              <w:rPr>
                <w:rFonts w:ascii="Times New Roman" w:eastAsia="PMingLiU" w:hAnsi="Times New Roman" w:cs="Times New Roman"/>
                <w:b/>
                <w:bCs/>
                <w:color w:val="000000"/>
              </w:rPr>
            </w:pPr>
            <w:r w:rsidRPr="00D51726">
              <w:rPr>
                <w:rFonts w:ascii="Times New Roman" w:eastAsia="PMingLiU" w:hAnsi="Times New Roman" w:cs="Times New Roman"/>
                <w:b/>
                <w:bCs/>
                <w:color w:val="000000"/>
              </w:rPr>
              <w:t>Source</w:t>
            </w:r>
          </w:p>
        </w:tc>
        <w:tc>
          <w:tcPr>
            <w:tcW w:w="2021" w:type="dxa"/>
            <w:vAlign w:val="center"/>
          </w:tcPr>
          <w:p w14:paraId="77E84A07" w14:textId="77777777" w:rsidR="005F5B96" w:rsidRPr="00D51726" w:rsidRDefault="005F5B96" w:rsidP="00001B13">
            <w:pPr>
              <w:jc w:val="center"/>
              <w:rPr>
                <w:rFonts w:ascii="Times New Roman" w:eastAsia="PMingLiU" w:hAnsi="Times New Roman" w:cs="Times New Roman"/>
                <w:b/>
                <w:bCs/>
                <w:color w:val="000000"/>
              </w:rPr>
            </w:pPr>
            <w:r w:rsidRPr="00D51726">
              <w:rPr>
                <w:rFonts w:ascii="Times New Roman" w:eastAsia="PMingLiU" w:hAnsi="Times New Roman" w:cs="Times New Roman"/>
                <w:b/>
                <w:bCs/>
                <w:color w:val="000000"/>
              </w:rPr>
              <w:t>Term</w:t>
            </w:r>
          </w:p>
        </w:tc>
        <w:tc>
          <w:tcPr>
            <w:tcW w:w="2937" w:type="dxa"/>
            <w:vAlign w:val="center"/>
          </w:tcPr>
          <w:p w14:paraId="256CDD37" w14:textId="77777777" w:rsidR="005F5B96" w:rsidRPr="00D51726" w:rsidRDefault="005F5B96" w:rsidP="00001B13">
            <w:pPr>
              <w:jc w:val="center"/>
              <w:rPr>
                <w:rFonts w:ascii="Times New Roman" w:eastAsia="PMingLiU" w:hAnsi="Times New Roman" w:cs="Times New Roman"/>
                <w:b/>
                <w:bCs/>
                <w:color w:val="000000"/>
              </w:rPr>
            </w:pPr>
            <w:r w:rsidRPr="00D51726">
              <w:rPr>
                <w:rFonts w:ascii="Times New Roman" w:eastAsia="PMingLiU" w:hAnsi="Times New Roman" w:cs="Times New Roman"/>
                <w:b/>
                <w:bCs/>
                <w:color w:val="000000"/>
              </w:rPr>
              <w:t>Maximum Daily Quantity (</w:t>
            </w:r>
            <w:proofErr w:type="spellStart"/>
            <w:r w:rsidRPr="00D51726">
              <w:rPr>
                <w:rFonts w:ascii="Times New Roman" w:eastAsia="PMingLiU" w:hAnsi="Times New Roman" w:cs="Times New Roman"/>
                <w:b/>
                <w:bCs/>
                <w:color w:val="000000"/>
              </w:rPr>
              <w:t>dth</w:t>
            </w:r>
            <w:proofErr w:type="spellEnd"/>
            <w:r w:rsidRPr="00D51726">
              <w:rPr>
                <w:rFonts w:ascii="Times New Roman" w:eastAsia="PMingLiU" w:hAnsi="Times New Roman" w:cs="Times New Roman"/>
                <w:b/>
                <w:bCs/>
                <w:color w:val="000000"/>
              </w:rPr>
              <w:t xml:space="preserve"> per day)</w:t>
            </w:r>
          </w:p>
        </w:tc>
      </w:tr>
      <w:tr w:rsidR="005F5B96" w:rsidRPr="00D51726" w14:paraId="5A1B27A9" w14:textId="77777777" w:rsidTr="00E91407">
        <w:trPr>
          <w:trHeight w:val="594"/>
        </w:trPr>
        <w:tc>
          <w:tcPr>
            <w:tcW w:w="2980" w:type="dxa"/>
          </w:tcPr>
          <w:p w14:paraId="33C6194C" w14:textId="77777777" w:rsidR="005F5B96" w:rsidRPr="00D51726" w:rsidRDefault="005F5B96" w:rsidP="00001B13">
            <w:pPr>
              <w:rPr>
                <w:rFonts w:ascii="Times New Roman" w:eastAsia="PMingLiU" w:hAnsi="Times New Roman" w:cs="Times New Roman"/>
                <w:color w:val="000000"/>
              </w:rPr>
            </w:pPr>
            <w:r w:rsidRPr="00D51726">
              <w:rPr>
                <w:rFonts w:ascii="Times New Roman" w:eastAsia="PMingLiU" w:hAnsi="Times New Roman" w:cs="Times New Roman"/>
                <w:color w:val="000000"/>
              </w:rPr>
              <w:t xml:space="preserve">Mobile LNG - Supplier A </w:t>
            </w:r>
          </w:p>
          <w:p w14:paraId="51C537C6" w14:textId="77777777" w:rsidR="005F5B96" w:rsidRPr="00D51726" w:rsidRDefault="005F5B96" w:rsidP="00001B13">
            <w:pPr>
              <w:rPr>
                <w:rFonts w:ascii="Times New Roman" w:eastAsia="PMingLiU" w:hAnsi="Times New Roman" w:cs="Times New Roman"/>
                <w:color w:val="000000"/>
              </w:rPr>
            </w:pPr>
            <w:r w:rsidRPr="00D51726">
              <w:rPr>
                <w:rFonts w:ascii="Times New Roman" w:eastAsia="PMingLiU" w:hAnsi="Times New Roman" w:cs="Times New Roman"/>
                <w:color w:val="000000"/>
              </w:rPr>
              <w:t>(West Shore short term approach)</w:t>
            </w:r>
          </w:p>
        </w:tc>
        <w:tc>
          <w:tcPr>
            <w:tcW w:w="2021" w:type="dxa"/>
            <w:vAlign w:val="center"/>
          </w:tcPr>
          <w:p w14:paraId="15F9857E" w14:textId="77777777" w:rsidR="005F5B96" w:rsidRPr="00D51726" w:rsidRDefault="005F5B96" w:rsidP="00001B13">
            <w:pPr>
              <w:jc w:val="center"/>
              <w:rPr>
                <w:rFonts w:ascii="Times New Roman" w:eastAsia="PMingLiU" w:hAnsi="Times New Roman" w:cs="Times New Roman"/>
                <w:color w:val="000000"/>
              </w:rPr>
            </w:pPr>
            <w:r w:rsidRPr="00D51726">
              <w:rPr>
                <w:rFonts w:ascii="Times New Roman" w:eastAsia="PMingLiU" w:hAnsi="Times New Roman" w:cs="Times New Roman"/>
                <w:color w:val="000000"/>
              </w:rPr>
              <w:t>2021-2024</w:t>
            </w:r>
          </w:p>
        </w:tc>
        <w:tc>
          <w:tcPr>
            <w:tcW w:w="2937" w:type="dxa"/>
            <w:vAlign w:val="center"/>
          </w:tcPr>
          <w:p w14:paraId="2082EF18" w14:textId="77777777" w:rsidR="005F5B96" w:rsidRPr="00D51726" w:rsidRDefault="005F5B96" w:rsidP="00001B13">
            <w:pPr>
              <w:jc w:val="center"/>
              <w:rPr>
                <w:rFonts w:ascii="Times New Roman" w:eastAsia="PMingLiU" w:hAnsi="Times New Roman" w:cs="Times New Roman"/>
                <w:color w:val="000000"/>
              </w:rPr>
            </w:pPr>
            <w:r w:rsidRPr="00D51726">
              <w:rPr>
                <w:rFonts w:ascii="Times New Roman" w:eastAsia="PMingLiU" w:hAnsi="Times New Roman" w:cs="Times New Roman"/>
                <w:color w:val="000000"/>
              </w:rPr>
              <w:t>10,000</w:t>
            </w:r>
          </w:p>
        </w:tc>
      </w:tr>
      <w:tr w:rsidR="005F5B96" w:rsidRPr="00D51726" w14:paraId="3644F537" w14:textId="77777777" w:rsidTr="00E91407">
        <w:trPr>
          <w:trHeight w:val="289"/>
        </w:trPr>
        <w:tc>
          <w:tcPr>
            <w:tcW w:w="2980" w:type="dxa"/>
          </w:tcPr>
          <w:p w14:paraId="5ECD6438" w14:textId="77777777" w:rsidR="005F5B96" w:rsidRPr="00D51726" w:rsidRDefault="005F5B96" w:rsidP="00001B13">
            <w:pPr>
              <w:rPr>
                <w:rFonts w:ascii="Times New Roman" w:eastAsia="PMingLiU" w:hAnsi="Times New Roman" w:cs="Times New Roman"/>
                <w:color w:val="000000"/>
              </w:rPr>
            </w:pPr>
            <w:r w:rsidRPr="00D51726">
              <w:rPr>
                <w:rFonts w:ascii="Times New Roman" w:eastAsia="PMingLiU" w:hAnsi="Times New Roman" w:cs="Times New Roman"/>
                <w:color w:val="000000"/>
              </w:rPr>
              <w:t>UGIES Offer I</w:t>
            </w:r>
          </w:p>
        </w:tc>
        <w:tc>
          <w:tcPr>
            <w:tcW w:w="2021" w:type="dxa"/>
            <w:vAlign w:val="center"/>
          </w:tcPr>
          <w:p w14:paraId="088AB2C8" w14:textId="77777777" w:rsidR="005F5B96" w:rsidRPr="00D51726" w:rsidRDefault="005F5B96" w:rsidP="00001B13">
            <w:pPr>
              <w:jc w:val="center"/>
              <w:rPr>
                <w:rFonts w:ascii="Times New Roman" w:eastAsia="PMingLiU" w:hAnsi="Times New Roman" w:cs="Times New Roman"/>
                <w:color w:val="000000"/>
              </w:rPr>
            </w:pPr>
            <w:r w:rsidRPr="00D51726">
              <w:rPr>
                <w:rFonts w:ascii="Times New Roman" w:eastAsia="PMingLiU" w:hAnsi="Times New Roman" w:cs="Times New Roman"/>
                <w:color w:val="000000"/>
              </w:rPr>
              <w:t>2021-2024</w:t>
            </w:r>
          </w:p>
        </w:tc>
        <w:tc>
          <w:tcPr>
            <w:tcW w:w="2937" w:type="dxa"/>
            <w:vAlign w:val="center"/>
          </w:tcPr>
          <w:p w14:paraId="4BF94E7D" w14:textId="77777777" w:rsidR="005F5B96" w:rsidRPr="00D51726" w:rsidRDefault="005F5B96" w:rsidP="00001B13">
            <w:pPr>
              <w:jc w:val="center"/>
              <w:rPr>
                <w:rFonts w:ascii="Times New Roman" w:eastAsia="PMingLiU" w:hAnsi="Times New Roman" w:cs="Times New Roman"/>
                <w:color w:val="000000"/>
              </w:rPr>
            </w:pPr>
            <w:r w:rsidRPr="00D51726">
              <w:rPr>
                <w:rFonts w:ascii="Times New Roman" w:eastAsia="PMingLiU" w:hAnsi="Times New Roman" w:cs="Times New Roman"/>
                <w:color w:val="000000"/>
              </w:rPr>
              <w:t>15,891</w:t>
            </w:r>
          </w:p>
        </w:tc>
      </w:tr>
      <w:tr w:rsidR="005F5B96" w:rsidRPr="00D51726" w14:paraId="22CF0207" w14:textId="77777777" w:rsidTr="00E91407">
        <w:trPr>
          <w:trHeight w:val="289"/>
        </w:trPr>
        <w:tc>
          <w:tcPr>
            <w:tcW w:w="2980" w:type="dxa"/>
          </w:tcPr>
          <w:p w14:paraId="0E8016BA" w14:textId="77777777" w:rsidR="005F5B96" w:rsidRPr="00D51726" w:rsidRDefault="005F5B96" w:rsidP="00001B13">
            <w:pPr>
              <w:rPr>
                <w:rFonts w:ascii="Times New Roman" w:eastAsia="PMingLiU" w:hAnsi="Times New Roman" w:cs="Times New Roman"/>
                <w:b/>
                <w:bCs/>
                <w:color w:val="000000"/>
              </w:rPr>
            </w:pPr>
            <w:r w:rsidRPr="00D51726">
              <w:rPr>
                <w:rFonts w:ascii="Times New Roman" w:eastAsia="PMingLiU" w:hAnsi="Times New Roman" w:cs="Times New Roman"/>
                <w:b/>
                <w:bCs/>
                <w:color w:val="000000"/>
              </w:rPr>
              <w:t>Total</w:t>
            </w:r>
          </w:p>
        </w:tc>
        <w:tc>
          <w:tcPr>
            <w:tcW w:w="2021" w:type="dxa"/>
            <w:vAlign w:val="center"/>
          </w:tcPr>
          <w:p w14:paraId="62F48595" w14:textId="77777777" w:rsidR="005F5B96" w:rsidRPr="00D51726" w:rsidRDefault="005F5B96" w:rsidP="00001B13">
            <w:pPr>
              <w:jc w:val="center"/>
              <w:rPr>
                <w:rFonts w:ascii="Times New Roman" w:eastAsia="PMingLiU" w:hAnsi="Times New Roman" w:cs="Times New Roman"/>
                <w:b/>
                <w:bCs/>
                <w:color w:val="000000"/>
              </w:rPr>
            </w:pPr>
          </w:p>
        </w:tc>
        <w:tc>
          <w:tcPr>
            <w:tcW w:w="2937" w:type="dxa"/>
            <w:vAlign w:val="center"/>
          </w:tcPr>
          <w:p w14:paraId="59B57ED1" w14:textId="77777777" w:rsidR="005F5B96" w:rsidRPr="00D51726" w:rsidRDefault="005F5B96" w:rsidP="00001B13">
            <w:pPr>
              <w:jc w:val="center"/>
              <w:rPr>
                <w:rFonts w:ascii="Times New Roman" w:eastAsia="PMingLiU" w:hAnsi="Times New Roman" w:cs="Times New Roman"/>
                <w:b/>
                <w:bCs/>
                <w:color w:val="000000"/>
              </w:rPr>
            </w:pPr>
            <w:r w:rsidRPr="00D51726">
              <w:rPr>
                <w:rFonts w:ascii="Times New Roman" w:eastAsia="PMingLiU" w:hAnsi="Times New Roman" w:cs="Times New Roman"/>
                <w:b/>
                <w:bCs/>
                <w:color w:val="000000"/>
              </w:rPr>
              <w:t>25,891</w:t>
            </w:r>
          </w:p>
        </w:tc>
      </w:tr>
    </w:tbl>
    <w:p w14:paraId="7A8D81CF" w14:textId="77777777" w:rsidR="005F5B96" w:rsidRPr="00D51726" w:rsidRDefault="005F5B96" w:rsidP="0076378B">
      <w:pPr>
        <w:spacing w:line="360" w:lineRule="auto"/>
        <w:textAlignment w:val="baseline"/>
        <w:rPr>
          <w:rFonts w:eastAsia="Cambria"/>
          <w:color w:val="000000"/>
        </w:rPr>
      </w:pPr>
    </w:p>
    <w:p w14:paraId="21B9D60A" w14:textId="20A4C9AD" w:rsidR="005F5B96" w:rsidRPr="00D51726" w:rsidRDefault="005F5B96" w:rsidP="0008677C">
      <w:pPr>
        <w:pStyle w:val="ListNumber"/>
        <w:numPr>
          <w:ilvl w:val="0"/>
          <w:numId w:val="38"/>
        </w:numPr>
        <w:spacing w:line="360" w:lineRule="auto"/>
        <w:ind w:right="720"/>
        <w:contextualSpacing/>
        <w:jc w:val="both"/>
        <w:rPr>
          <w:rFonts w:eastAsia="Cambria"/>
          <w:color w:val="000000"/>
        </w:rPr>
      </w:pPr>
      <w:r w:rsidRPr="00D51726">
        <w:rPr>
          <w:rFonts w:eastAsia="Cambria"/>
        </w:rPr>
        <w:t xml:space="preserve">Specifically, UGI Gas will accept the Mobile liquefied natural gas (“LNG”) offer from Supplier A (received on June 29, </w:t>
      </w:r>
      <w:proofErr w:type="gramStart"/>
      <w:r w:rsidRPr="00D51726">
        <w:rPr>
          <w:rFonts w:eastAsia="Cambria"/>
        </w:rPr>
        <w:t>2021</w:t>
      </w:r>
      <w:proofErr w:type="gramEnd"/>
      <w:r w:rsidRPr="00D51726">
        <w:rPr>
          <w:rFonts w:eastAsia="Cambria"/>
        </w:rPr>
        <w:t xml:space="preserve"> in response to UGI Gas’s recent request for proposal (“RFP”)) for 10,000 </w:t>
      </w:r>
      <w:proofErr w:type="spellStart"/>
      <w:r w:rsidRPr="00D51726">
        <w:rPr>
          <w:rFonts w:eastAsia="Cambria"/>
        </w:rPr>
        <w:t>dth</w:t>
      </w:r>
      <w:proofErr w:type="spellEnd"/>
      <w:r w:rsidRPr="00D51726">
        <w:rPr>
          <w:rFonts w:eastAsia="Cambria"/>
        </w:rPr>
        <w:t xml:space="preserve"> per day in order to address a portion of the identified 25,891 </w:t>
      </w:r>
      <w:proofErr w:type="spellStart"/>
      <w:r w:rsidRPr="00D51726">
        <w:rPr>
          <w:rFonts w:eastAsia="Cambria"/>
        </w:rPr>
        <w:t>dth</w:t>
      </w:r>
      <w:proofErr w:type="spellEnd"/>
      <w:r w:rsidRPr="00D51726">
        <w:rPr>
          <w:rFonts w:eastAsia="Cambria"/>
        </w:rPr>
        <w:t xml:space="preserve"> per day capacity shortfall.  This capacity will deliver directly to the West Shore of Harrisburg in order to address its specific capacity shortfall needs. The remainder of the 25,891 </w:t>
      </w:r>
      <w:proofErr w:type="spellStart"/>
      <w:r w:rsidRPr="00D51726">
        <w:rPr>
          <w:rFonts w:eastAsia="Cambria"/>
        </w:rPr>
        <w:t>dth</w:t>
      </w:r>
      <w:proofErr w:type="spellEnd"/>
      <w:r w:rsidRPr="00D51726">
        <w:rPr>
          <w:rFonts w:eastAsia="Cambria"/>
        </w:rPr>
        <w:t xml:space="preserve"> per day capacity shortfall will be addressed by accepting a reduced quantity of delivered Texas Eastern supply of </w:t>
      </w:r>
      <w:r w:rsidRPr="00D51726">
        <w:rPr>
          <w:rFonts w:eastAsia="Cambria"/>
          <w:bCs/>
        </w:rPr>
        <w:t xml:space="preserve">15,891 </w:t>
      </w:r>
      <w:proofErr w:type="spellStart"/>
      <w:r w:rsidRPr="00D51726">
        <w:rPr>
          <w:rFonts w:eastAsia="Cambria"/>
          <w:bCs/>
        </w:rPr>
        <w:t>dth</w:t>
      </w:r>
      <w:proofErr w:type="spellEnd"/>
      <w:r w:rsidRPr="00D51726">
        <w:rPr>
          <w:rFonts w:eastAsia="Cambria"/>
          <w:bCs/>
        </w:rPr>
        <w:t xml:space="preserve"> per day</w:t>
      </w:r>
      <w:r w:rsidRPr="00D51726">
        <w:rPr>
          <w:rFonts w:eastAsia="Cambria"/>
        </w:rPr>
        <w:t xml:space="preserve"> from UGIES.</w:t>
      </w:r>
      <w:r w:rsidRPr="00D51726">
        <w:rPr>
          <w:rFonts w:eastAsia="Cambria"/>
          <w:bCs/>
        </w:rPr>
        <w:t xml:space="preserve"> </w:t>
      </w:r>
      <w:r w:rsidRPr="00D51726">
        <w:rPr>
          <w:rFonts w:eastAsia="Cambria"/>
          <w:bCs/>
          <w:spacing w:val="1"/>
        </w:rPr>
        <w:t>The term of these capacity contracts will be three years (2021-</w:t>
      </w:r>
      <w:r w:rsidRPr="00D51726">
        <w:rPr>
          <w:rFonts w:eastAsia="Cambria"/>
          <w:spacing w:val="1"/>
        </w:rPr>
        <w:t>2024).</w:t>
      </w:r>
      <w:r w:rsidRPr="00D51726">
        <w:rPr>
          <w:rStyle w:val="FootnoteReference"/>
          <w:rFonts w:eastAsia="Cambria"/>
          <w:spacing w:val="1"/>
        </w:rPr>
        <w:footnoteReference w:id="3"/>
      </w:r>
      <w:r w:rsidRPr="00D51726">
        <w:rPr>
          <w:rFonts w:eastAsia="Cambria"/>
          <w:bCs/>
          <w:spacing w:val="1"/>
        </w:rPr>
        <w:t xml:space="preserve"> </w:t>
      </w:r>
    </w:p>
    <w:p w14:paraId="6CD9BF2C" w14:textId="77777777" w:rsidR="00031472" w:rsidRPr="00D51726" w:rsidRDefault="00031472" w:rsidP="0008677C">
      <w:pPr>
        <w:pStyle w:val="ListNumber"/>
        <w:numPr>
          <w:ilvl w:val="0"/>
          <w:numId w:val="0"/>
        </w:numPr>
        <w:spacing w:line="360" w:lineRule="auto"/>
        <w:ind w:left="1440" w:right="720"/>
        <w:contextualSpacing/>
        <w:jc w:val="both"/>
        <w:rPr>
          <w:rFonts w:eastAsia="Cambria"/>
          <w:color w:val="000000"/>
        </w:rPr>
      </w:pPr>
    </w:p>
    <w:p w14:paraId="71551093" w14:textId="72F6D17A" w:rsidR="005F5B96" w:rsidRPr="00D51726" w:rsidRDefault="005F5B96" w:rsidP="0008677C">
      <w:pPr>
        <w:pStyle w:val="ListNumber"/>
        <w:numPr>
          <w:ilvl w:val="0"/>
          <w:numId w:val="38"/>
        </w:numPr>
        <w:spacing w:line="360" w:lineRule="auto"/>
        <w:ind w:right="720"/>
        <w:contextualSpacing/>
        <w:jc w:val="both"/>
        <w:rPr>
          <w:rFonts w:eastAsia="Cambria"/>
        </w:rPr>
      </w:pPr>
      <w:r w:rsidRPr="00D51726">
        <w:rPr>
          <w:rFonts w:eastAsia="Cambria"/>
        </w:rPr>
        <w:t xml:space="preserve">In addition, to address the long-term supply needs (2024 and beyond) related to the West Shore’s system growth, the Company will accept UGIES Offer II for LNG service totaling 40,000 </w:t>
      </w:r>
      <w:proofErr w:type="spellStart"/>
      <w:r w:rsidRPr="00D51726">
        <w:rPr>
          <w:rFonts w:eastAsia="Cambria"/>
        </w:rPr>
        <w:t>dth</w:t>
      </w:r>
      <w:proofErr w:type="spellEnd"/>
      <w:r w:rsidRPr="00D51726">
        <w:rPr>
          <w:rFonts w:eastAsia="Cambria"/>
        </w:rPr>
        <w:t xml:space="preserve"> per day, to be provided by an </w:t>
      </w:r>
      <w:r w:rsidRPr="00D51726">
        <w:rPr>
          <w:rFonts w:eastAsia="Cambria"/>
        </w:rPr>
        <w:lastRenderedPageBreak/>
        <w:t xml:space="preserve">LNG facility to be constructed, </w:t>
      </w:r>
      <w:proofErr w:type="gramStart"/>
      <w:r w:rsidRPr="00D51726">
        <w:rPr>
          <w:rFonts w:eastAsia="Cambria"/>
        </w:rPr>
        <w:t>owned</w:t>
      </w:r>
      <w:proofErr w:type="gramEnd"/>
      <w:r w:rsidRPr="00D51726">
        <w:rPr>
          <w:rFonts w:eastAsia="Cambria"/>
        </w:rPr>
        <w:t xml:space="preserve"> and operated by UGIES and located in the West Shore area.  The LNG facility is expected to be in service by the 2024-2025 winter.  This LNG service will be provided to the Company as discussed at pages 30 to 34 of UGI Gas Statement No. 2, the Direct Testimony of Jesse R. </w:t>
      </w:r>
      <w:proofErr w:type="spellStart"/>
      <w:r w:rsidRPr="00D51726">
        <w:rPr>
          <w:rFonts w:eastAsia="Cambria"/>
        </w:rPr>
        <w:t>Tyahla</w:t>
      </w:r>
      <w:proofErr w:type="spellEnd"/>
      <w:r w:rsidRPr="00D51726">
        <w:rPr>
          <w:rFonts w:eastAsia="Cambria"/>
        </w:rPr>
        <w:t xml:space="preserve"> and detailed in UGI Gas Exhibits UGI-JRT-8 and 9.</w:t>
      </w:r>
      <w:r w:rsidR="00E772EC" w:rsidRPr="00D51726">
        <w:rPr>
          <w:rFonts w:eastAsia="Cambria"/>
        </w:rPr>
        <w:tab/>
      </w:r>
      <w:r w:rsidR="00E772EC" w:rsidRPr="00D51726">
        <w:rPr>
          <w:rFonts w:eastAsia="Cambria"/>
        </w:rPr>
        <w:tab/>
      </w:r>
      <w:r w:rsidR="00E772EC" w:rsidRPr="00D51726">
        <w:rPr>
          <w:rFonts w:eastAsia="Cambria"/>
        </w:rPr>
        <w:tab/>
      </w:r>
      <w:r w:rsidR="00E772EC" w:rsidRPr="00D51726">
        <w:rPr>
          <w:rFonts w:eastAsia="Cambria"/>
        </w:rPr>
        <w:tab/>
      </w:r>
      <w:r w:rsidR="00E772EC" w:rsidRPr="00D51726">
        <w:rPr>
          <w:rFonts w:eastAsia="Cambria"/>
        </w:rPr>
        <w:tab/>
      </w:r>
      <w:r w:rsidR="00E772EC" w:rsidRPr="00D51726">
        <w:rPr>
          <w:rFonts w:eastAsia="Cambria"/>
        </w:rPr>
        <w:tab/>
      </w:r>
      <w:r w:rsidR="00E772EC" w:rsidRPr="00D51726">
        <w:rPr>
          <w:rFonts w:eastAsia="Cambria"/>
        </w:rPr>
        <w:tab/>
      </w:r>
      <w:r w:rsidR="00E772EC" w:rsidRPr="00D51726">
        <w:rPr>
          <w:rFonts w:eastAsia="Cambria"/>
        </w:rPr>
        <w:tab/>
      </w:r>
      <w:r w:rsidR="00E772EC" w:rsidRPr="00D51726">
        <w:rPr>
          <w:rFonts w:eastAsia="Cambria"/>
        </w:rPr>
        <w:tab/>
      </w:r>
    </w:p>
    <w:p w14:paraId="6769DA86" w14:textId="146ABA37" w:rsidR="005F5B96" w:rsidRPr="00D51726" w:rsidRDefault="005F5B96" w:rsidP="0008677C">
      <w:pPr>
        <w:pStyle w:val="Heading2"/>
        <w:keepNext/>
        <w:spacing w:after="0" w:line="360" w:lineRule="auto"/>
        <w:ind w:right="720"/>
        <w:rPr>
          <w:szCs w:val="24"/>
        </w:rPr>
      </w:pPr>
      <w:r w:rsidRPr="00D51726">
        <w:rPr>
          <w:szCs w:val="24"/>
        </w:rPr>
        <w:t>Purchase of Renewable Natural Gas (“RNG”) Pilot Program</w:t>
      </w:r>
    </w:p>
    <w:p w14:paraId="5D767EF6" w14:textId="77777777" w:rsidR="00031472" w:rsidRPr="00D51726" w:rsidRDefault="00031472" w:rsidP="0008677C">
      <w:pPr>
        <w:pStyle w:val="BodyText2"/>
        <w:spacing w:after="0" w:line="360" w:lineRule="auto"/>
        <w:ind w:right="720"/>
      </w:pPr>
    </w:p>
    <w:p w14:paraId="62F14216" w14:textId="59014E54" w:rsidR="005F5B96" w:rsidRPr="00D51726" w:rsidRDefault="005F5B96" w:rsidP="0008677C">
      <w:pPr>
        <w:pStyle w:val="ListNumber"/>
        <w:numPr>
          <w:ilvl w:val="0"/>
          <w:numId w:val="38"/>
        </w:numPr>
        <w:spacing w:line="360" w:lineRule="auto"/>
        <w:ind w:right="720"/>
        <w:contextualSpacing/>
        <w:jc w:val="both"/>
        <w:rPr>
          <w:rFonts w:eastAsia="Cambria"/>
        </w:rPr>
      </w:pPr>
      <w:r w:rsidRPr="00D51726">
        <w:rPr>
          <w:rFonts w:eastAsia="Cambria"/>
        </w:rPr>
        <w:t xml:space="preserve">The Joint Petitioners agree that UGI Gas will enter into a five-year contract to obtain 909 </w:t>
      </w:r>
      <w:proofErr w:type="spellStart"/>
      <w:r w:rsidRPr="00D51726">
        <w:rPr>
          <w:rFonts w:eastAsia="Cambria"/>
        </w:rPr>
        <w:t>dth</w:t>
      </w:r>
      <w:proofErr w:type="spellEnd"/>
      <w:r w:rsidRPr="00D51726">
        <w:rPr>
          <w:rFonts w:eastAsia="Cambria"/>
        </w:rPr>
        <w:t xml:space="preserve"> per day of RNG from the Archaea Energy (“Archaea”) facility as identified on pages 35-39 of UGI Gas Statement No. 2, the Direct Testimony of Jesse R. </w:t>
      </w:r>
      <w:proofErr w:type="spellStart"/>
      <w:r w:rsidRPr="00D51726">
        <w:rPr>
          <w:rFonts w:eastAsia="Cambria"/>
        </w:rPr>
        <w:t>Tyahla</w:t>
      </w:r>
      <w:proofErr w:type="spellEnd"/>
      <w:r w:rsidRPr="00D51726">
        <w:rPr>
          <w:rFonts w:eastAsia="Cambria"/>
        </w:rPr>
        <w:t xml:space="preserve">.  </w:t>
      </w:r>
    </w:p>
    <w:p w14:paraId="2226D33F" w14:textId="77777777" w:rsidR="00900516" w:rsidRPr="00D51726" w:rsidRDefault="00900516" w:rsidP="0008677C">
      <w:pPr>
        <w:pStyle w:val="ListNumber"/>
        <w:numPr>
          <w:ilvl w:val="0"/>
          <w:numId w:val="0"/>
        </w:numPr>
        <w:spacing w:line="360" w:lineRule="auto"/>
        <w:ind w:left="1440" w:right="720"/>
        <w:contextualSpacing/>
        <w:jc w:val="both"/>
        <w:rPr>
          <w:rFonts w:eastAsia="Cambria"/>
        </w:rPr>
      </w:pPr>
    </w:p>
    <w:p w14:paraId="5C81260D" w14:textId="770D899E" w:rsidR="005F5B96" w:rsidRPr="00D51726" w:rsidRDefault="005F5B96" w:rsidP="0008677C">
      <w:pPr>
        <w:pStyle w:val="ListNumber"/>
        <w:numPr>
          <w:ilvl w:val="0"/>
          <w:numId w:val="38"/>
        </w:numPr>
        <w:spacing w:line="360" w:lineRule="auto"/>
        <w:ind w:right="720"/>
        <w:contextualSpacing/>
        <w:jc w:val="both"/>
        <w:rPr>
          <w:rFonts w:eastAsia="Cambria"/>
        </w:rPr>
      </w:pPr>
      <w:r w:rsidRPr="00D51726">
        <w:rPr>
          <w:rFonts w:eastAsia="Cambria"/>
        </w:rPr>
        <w:t>As part of the proposed transaction, UGI Gas will undertake a five-year pilot program that will explore the ability to generate revenues through the sale of Renewable Identification Numbers (“RINs”) associated with the Archaea Contract.  The pilot will focus on offsetting or lowering the cost premium of the gas purchased in the Archaea Contract by selling associated RINs and crediting net revenues (i.e., revenue remaining from RIN sales after fees are incurred to monetize the RINs) received from the sale of those RINs to the PGC.</w:t>
      </w:r>
      <w:r w:rsidRPr="00D51726">
        <w:rPr>
          <w:rStyle w:val="FootnoteReference"/>
          <w:rFonts w:eastAsia="Cambria"/>
          <w:color w:val="000000"/>
          <w:spacing w:val="1"/>
        </w:rPr>
        <w:footnoteReference w:id="4"/>
      </w:r>
      <w:r w:rsidRPr="00D51726">
        <w:rPr>
          <w:rFonts w:eastAsia="Cambria"/>
        </w:rPr>
        <w:t xml:space="preserve"> Under the pilot, the PGC will be credited with either the first $12.50/</w:t>
      </w:r>
      <w:proofErr w:type="spellStart"/>
      <w:r w:rsidRPr="00D51726">
        <w:rPr>
          <w:rFonts w:eastAsia="Cambria"/>
        </w:rPr>
        <w:t>dth</w:t>
      </w:r>
      <w:proofErr w:type="spellEnd"/>
      <w:r w:rsidRPr="00D51726">
        <w:rPr>
          <w:rFonts w:eastAsia="Cambria"/>
        </w:rPr>
        <w:t xml:space="preserve"> of net RIN sales revenue, or the full cost premium of RNG over the alternative non-RNG supply cost, whichever is lower.  The RNG cost premium will be determined on a monthly basis as the difference between the RNG cost less the otherwise applicable gas commodity price of Inside FERC Index for Tennessee Gas Pipeline Zone 4-300 Leg. The </w:t>
      </w:r>
      <w:r w:rsidRPr="00D51726">
        <w:rPr>
          <w:rFonts w:eastAsia="Cambria"/>
        </w:rPr>
        <w:lastRenderedPageBreak/>
        <w:t>Company shall be permitted to retain any net RIN sales revenues above this amount, and those net revenues will be split evenly between UGI Gas and Archaea pursuant to the five-year agreement between UGI Gas and Archaea. Such retained RINs or RIN sales revenues retained by the Company, if any, shall be considered below the line for ratemaking purposes.</w:t>
      </w:r>
    </w:p>
    <w:p w14:paraId="5D656423" w14:textId="77777777" w:rsidR="00031472" w:rsidRPr="00D51726" w:rsidRDefault="00031472" w:rsidP="0008677C">
      <w:pPr>
        <w:pStyle w:val="ListNumber"/>
        <w:numPr>
          <w:ilvl w:val="0"/>
          <w:numId w:val="0"/>
        </w:numPr>
        <w:spacing w:line="360" w:lineRule="auto"/>
        <w:ind w:left="1440" w:right="720"/>
        <w:contextualSpacing/>
        <w:jc w:val="both"/>
        <w:rPr>
          <w:rFonts w:eastAsia="Cambria"/>
        </w:rPr>
      </w:pPr>
    </w:p>
    <w:p w14:paraId="619D9551" w14:textId="15BF88BB" w:rsidR="005F5B96" w:rsidRPr="00D51726" w:rsidRDefault="005F5B96" w:rsidP="0008677C">
      <w:pPr>
        <w:pStyle w:val="ListNumber"/>
        <w:numPr>
          <w:ilvl w:val="0"/>
          <w:numId w:val="38"/>
        </w:numPr>
        <w:spacing w:line="360" w:lineRule="auto"/>
        <w:ind w:right="720"/>
        <w:contextualSpacing/>
        <w:jc w:val="both"/>
      </w:pPr>
      <w:r w:rsidRPr="00D51726">
        <w:t>In its next PGC filing, UGI Gas agrees to: (1) report on the daily quantities of RNG purchased; (2) identify the PGC rate impact of its RNG purchases; (3) identify the BTU content of its RNG purchases to the extent such data is available; and (4) report on the RIN sales activity, including volumes sold and prices obtained on a monthly basis.</w:t>
      </w:r>
    </w:p>
    <w:p w14:paraId="6FED24A1" w14:textId="77777777" w:rsidR="00031472" w:rsidRPr="00D51726" w:rsidRDefault="00031472" w:rsidP="0008677C">
      <w:pPr>
        <w:pStyle w:val="ListNumber"/>
        <w:numPr>
          <w:ilvl w:val="0"/>
          <w:numId w:val="0"/>
        </w:numPr>
        <w:spacing w:line="360" w:lineRule="auto"/>
        <w:ind w:right="720"/>
        <w:contextualSpacing/>
        <w:jc w:val="both"/>
      </w:pPr>
    </w:p>
    <w:p w14:paraId="75762109" w14:textId="07BB540B" w:rsidR="005F5B96" w:rsidRPr="00D51726" w:rsidRDefault="005F5B96" w:rsidP="0008677C">
      <w:pPr>
        <w:pStyle w:val="ListNumber"/>
        <w:numPr>
          <w:ilvl w:val="0"/>
          <w:numId w:val="38"/>
        </w:numPr>
        <w:spacing w:line="360" w:lineRule="auto"/>
        <w:ind w:right="720"/>
        <w:contextualSpacing/>
        <w:jc w:val="both"/>
        <w:rPr>
          <w:rFonts w:eastAsia="Cambria"/>
        </w:rPr>
      </w:pPr>
      <w:r w:rsidRPr="00D51726">
        <w:t xml:space="preserve">Approval of the Company’s proposal in this proceeding to increase the RNG gas supply portfolio percentage to 1.0% for the PGC year that begins December 1, 2022, and to 2.0% for the PGC year that begins December 1, 2023, or any other proposal to increase RNG gas supply, is deferred without prejudice and any such proposal to increase the amount of RNG gas supply will be evaluated in future PCG </w:t>
      </w:r>
      <w:r w:rsidR="00792999" w:rsidRPr="00D51726">
        <w:t xml:space="preserve">[sic] </w:t>
      </w:r>
      <w:r w:rsidRPr="00D51726">
        <w:t>proceedings.</w:t>
      </w:r>
    </w:p>
    <w:p w14:paraId="198AF649" w14:textId="3D73A82F" w:rsidR="00031472" w:rsidRPr="00D51726" w:rsidRDefault="00031472" w:rsidP="0008677C">
      <w:pPr>
        <w:pStyle w:val="ListNumber"/>
        <w:numPr>
          <w:ilvl w:val="0"/>
          <w:numId w:val="0"/>
        </w:numPr>
        <w:spacing w:line="360" w:lineRule="auto"/>
        <w:ind w:right="720"/>
        <w:contextualSpacing/>
        <w:jc w:val="both"/>
        <w:rPr>
          <w:rFonts w:eastAsia="Cambria"/>
        </w:rPr>
      </w:pPr>
    </w:p>
    <w:p w14:paraId="4FDE4397" w14:textId="3121E1B0" w:rsidR="005F5B96" w:rsidRPr="00D51726" w:rsidRDefault="005F5B96" w:rsidP="0008677C">
      <w:pPr>
        <w:pStyle w:val="Heading2"/>
        <w:keepNext/>
        <w:spacing w:after="0" w:line="360" w:lineRule="auto"/>
        <w:ind w:right="720"/>
        <w:rPr>
          <w:rFonts w:eastAsia="Cambria"/>
          <w:spacing w:val="1"/>
          <w:szCs w:val="24"/>
        </w:rPr>
      </w:pPr>
      <w:r w:rsidRPr="00D51726">
        <w:rPr>
          <w:rFonts w:eastAsia="Cambria"/>
          <w:spacing w:val="1"/>
          <w:szCs w:val="24"/>
        </w:rPr>
        <w:t>Peaking Contract RFP Modifications</w:t>
      </w:r>
    </w:p>
    <w:p w14:paraId="7BDBDF3F" w14:textId="77777777" w:rsidR="00031472" w:rsidRPr="00D51726" w:rsidRDefault="00031472" w:rsidP="0008677C">
      <w:pPr>
        <w:pStyle w:val="BodyText2"/>
        <w:spacing w:after="0" w:line="360" w:lineRule="auto"/>
        <w:ind w:right="720"/>
      </w:pPr>
    </w:p>
    <w:p w14:paraId="1CD3D24C" w14:textId="76E749CF" w:rsidR="005F5B96" w:rsidRPr="00D51726" w:rsidRDefault="005F5B96" w:rsidP="0008677C">
      <w:pPr>
        <w:pStyle w:val="ListNumber"/>
        <w:numPr>
          <w:ilvl w:val="0"/>
          <w:numId w:val="38"/>
        </w:numPr>
        <w:spacing w:line="360" w:lineRule="auto"/>
        <w:ind w:right="720"/>
        <w:contextualSpacing/>
        <w:jc w:val="both"/>
      </w:pPr>
      <w:r w:rsidRPr="00D51726">
        <w:rPr>
          <w:rFonts w:eastAsia="Cambria"/>
          <w:color w:val="000000" w:themeColor="text1"/>
        </w:rPr>
        <w:t xml:space="preserve">The Joint Petitioners agree that the Company will conduct a three-year pilot regarding the format of its peaking contract RFPs. The Company’s bid form will clearly state that bids </w:t>
      </w:r>
      <w:r w:rsidRPr="00D51726">
        <w:rPr>
          <w:rFonts w:eastAsia="Cambria"/>
          <w:color w:val="000000" w:themeColor="text1"/>
          <w:u w:val="single"/>
        </w:rPr>
        <w:t>must</w:t>
      </w:r>
      <w:r w:rsidRPr="00D51726">
        <w:rPr>
          <w:rFonts w:eastAsia="Cambria"/>
          <w:color w:val="000000" w:themeColor="text1"/>
        </w:rPr>
        <w:t xml:space="preserve"> include payment terms over both a four-month (December-March) and five-month (November-March) period.  The Company will evaluate RFP responses in a manner which is inclusive of projected PGC over/under collection and PGC interest impacts with regard to fixed charges and least cost procurement obligations. The Company will provide the evaluation in live Excel format. The Company will make the RFP responses available in future PGC proceedings to the statutory Parties </w:t>
      </w:r>
      <w:r w:rsidRPr="00D51726">
        <w:rPr>
          <w:rFonts w:eastAsia="Cambria"/>
          <w:color w:val="000000" w:themeColor="text1"/>
        </w:rPr>
        <w:lastRenderedPageBreak/>
        <w:t>and provide a recommendation based on the results of the pilot in the 2025 PGC proceeding.</w:t>
      </w:r>
    </w:p>
    <w:p w14:paraId="2207781F" w14:textId="1ECEE2FB" w:rsidR="00031472" w:rsidRPr="00D51726" w:rsidRDefault="00031472" w:rsidP="0076378B">
      <w:pPr>
        <w:pStyle w:val="ListNumber"/>
        <w:numPr>
          <w:ilvl w:val="0"/>
          <w:numId w:val="0"/>
        </w:numPr>
        <w:spacing w:line="360" w:lineRule="auto"/>
        <w:ind w:left="1440"/>
        <w:contextualSpacing/>
        <w:jc w:val="both"/>
      </w:pPr>
    </w:p>
    <w:p w14:paraId="05376A4E" w14:textId="14E26008" w:rsidR="005F5B96" w:rsidRPr="00D51726" w:rsidRDefault="005F5B96" w:rsidP="00EB2531">
      <w:pPr>
        <w:pStyle w:val="Heading1"/>
        <w:spacing w:after="0" w:line="360" w:lineRule="auto"/>
        <w:ind w:right="720" w:firstLine="90"/>
        <w:rPr>
          <w:szCs w:val="24"/>
        </w:rPr>
      </w:pPr>
      <w:r w:rsidRPr="00D51726">
        <w:rPr>
          <w:szCs w:val="24"/>
        </w:rPr>
        <w:t>STANDARDS AND FINDINGS</w:t>
      </w:r>
    </w:p>
    <w:p w14:paraId="49AD354B" w14:textId="77777777" w:rsidR="00031472" w:rsidRPr="00D51726" w:rsidRDefault="00031472" w:rsidP="00EB2531">
      <w:pPr>
        <w:pStyle w:val="BodyText2"/>
        <w:spacing w:after="0" w:line="360" w:lineRule="auto"/>
        <w:ind w:right="720"/>
      </w:pPr>
    </w:p>
    <w:p w14:paraId="39F5EAC2" w14:textId="09692884" w:rsidR="005F5B96" w:rsidRPr="00D51726" w:rsidRDefault="005F5B96" w:rsidP="00EB2531">
      <w:pPr>
        <w:pStyle w:val="ListNumber"/>
        <w:numPr>
          <w:ilvl w:val="0"/>
          <w:numId w:val="38"/>
        </w:numPr>
        <w:tabs>
          <w:tab w:val="clear" w:pos="1440"/>
        </w:tabs>
        <w:spacing w:line="360" w:lineRule="auto"/>
        <w:ind w:right="720"/>
        <w:jc w:val="both"/>
      </w:pPr>
      <w:r w:rsidRPr="00D51726">
        <w:t>This proceeding involves Commission review pursuant to Sections 1307 and 1318 of the Public Utility Code.  Under Section 1307(f), the Commission, after hearing, must determine what portion of the gas costs UGI Gas may recover for a previous 12-month period under the standards set forth in Section 1318.  In addition, the Commission must determine whether the requirements of Section 1318 can be met.  This determination must precede Commission approval of the Company’s proposed rates.  The historic period reviewed in this proceeding is the 12-month reconciliation period ending March 31, 2021.  The proposed rates are intended to become effective December 1, 2021.</w:t>
      </w:r>
    </w:p>
    <w:p w14:paraId="2243FC2A" w14:textId="77777777" w:rsidR="00031472" w:rsidRPr="00D51726" w:rsidRDefault="00031472" w:rsidP="00EB2531">
      <w:pPr>
        <w:pStyle w:val="ListNumber"/>
        <w:numPr>
          <w:ilvl w:val="0"/>
          <w:numId w:val="0"/>
        </w:numPr>
        <w:spacing w:line="360" w:lineRule="auto"/>
        <w:ind w:left="720" w:right="720"/>
        <w:jc w:val="both"/>
      </w:pPr>
    </w:p>
    <w:p w14:paraId="2A3BE5B3" w14:textId="10BB8F76" w:rsidR="005F5B96" w:rsidRPr="00D51726" w:rsidRDefault="005F5B96" w:rsidP="00EB2531">
      <w:pPr>
        <w:pStyle w:val="Heading2"/>
        <w:keepNext/>
        <w:spacing w:after="0" w:line="360" w:lineRule="auto"/>
        <w:ind w:right="720"/>
        <w:rPr>
          <w:szCs w:val="24"/>
        </w:rPr>
      </w:pPr>
      <w:r w:rsidRPr="00D51726">
        <w:rPr>
          <w:szCs w:val="24"/>
        </w:rPr>
        <w:t>Historic Reconciliation Period Standards</w:t>
      </w:r>
    </w:p>
    <w:p w14:paraId="067B5F2A" w14:textId="77777777" w:rsidR="00900516" w:rsidRPr="00D51726" w:rsidRDefault="00900516" w:rsidP="00EB2531">
      <w:pPr>
        <w:pStyle w:val="BodyText2"/>
        <w:spacing w:after="0" w:line="360" w:lineRule="auto"/>
        <w:ind w:right="720"/>
      </w:pPr>
    </w:p>
    <w:p w14:paraId="56E7D9F8" w14:textId="5FEED914" w:rsidR="005F5B96" w:rsidRPr="00D51726" w:rsidRDefault="005F5B96" w:rsidP="00EB2531">
      <w:pPr>
        <w:pStyle w:val="ListNumber"/>
        <w:numPr>
          <w:ilvl w:val="0"/>
          <w:numId w:val="38"/>
        </w:numPr>
        <w:tabs>
          <w:tab w:val="clear" w:pos="1440"/>
        </w:tabs>
        <w:spacing w:line="360" w:lineRule="auto"/>
        <w:ind w:right="720"/>
        <w:jc w:val="both"/>
      </w:pPr>
      <w:r w:rsidRPr="00D51726">
        <w:t xml:space="preserve">With respect to UGI Gas’s gas purchases and gas purchasing practices during the 12-month historic reconciliation period ending March 31, 2021, the Joint Petitioners agree that UGI Gas has met the standards set forth in Section 1318 of the Public Utility Code, as required by Section 1307(f)(5) of the Public Utility Code.  As a result, the Joint Petitioners request that the Commission find, pursuant to Section 1307(f)(5) of the Public Utility </w:t>
      </w:r>
      <w:proofErr w:type="gramStart"/>
      <w:r w:rsidRPr="00D51726">
        <w:t>Code, and</w:t>
      </w:r>
      <w:proofErr w:type="gramEnd"/>
      <w:r w:rsidRPr="00D51726">
        <w:t xml:space="preserve"> based upon the evidence presented by the Joint Petitioners in this case, that during the 12-month period ended March 31, 2021, UGI Gas has pursued a least-cost fuel procurement policy, consistent with its obligation to provide safe, adequate and reliable service to its customers, as required by Section 1318 of the Public Utility Code.  Information submitted by UGI </w:t>
      </w:r>
      <w:r w:rsidRPr="00D51726">
        <w:lastRenderedPageBreak/>
        <w:t>Gas in support of the required statutory findings can be found in the following sections of UGI Gas Exhibit 1 and UGI Gas Exhibit 2:</w:t>
      </w:r>
      <w:r w:rsidRPr="00D51726">
        <w:rPr>
          <w:rStyle w:val="FootnoteReference"/>
        </w:rPr>
        <w:footnoteReference w:id="5"/>
      </w:r>
      <w:r w:rsidRPr="00D51726">
        <w:t xml:space="preserve"> </w:t>
      </w:r>
    </w:p>
    <w:p w14:paraId="690AC2B5" w14:textId="77777777" w:rsidR="00031472" w:rsidRPr="00D51726" w:rsidRDefault="00031472" w:rsidP="00EB2531">
      <w:pPr>
        <w:pStyle w:val="ListNumber"/>
        <w:numPr>
          <w:ilvl w:val="0"/>
          <w:numId w:val="0"/>
        </w:numPr>
        <w:spacing w:line="360" w:lineRule="auto"/>
        <w:ind w:left="720" w:right="720"/>
        <w:jc w:val="both"/>
      </w:pPr>
    </w:p>
    <w:p w14:paraId="17A1E60C" w14:textId="77777777" w:rsidR="005F5B96" w:rsidRPr="00D51726" w:rsidRDefault="005F5B96" w:rsidP="00EB2531">
      <w:pPr>
        <w:pStyle w:val="ListNumber"/>
        <w:numPr>
          <w:ilvl w:val="1"/>
          <w:numId w:val="38"/>
        </w:numPr>
        <w:tabs>
          <w:tab w:val="clear" w:pos="1440"/>
        </w:tabs>
        <w:spacing w:line="360" w:lineRule="auto"/>
        <w:ind w:left="2160" w:right="720"/>
      </w:pPr>
      <w:r w:rsidRPr="00D51726">
        <w:rPr>
          <w:u w:val="single"/>
          <w:lang w:val="fr-FR"/>
        </w:rPr>
        <w:t>FERC Participation</w:t>
      </w:r>
      <w:r w:rsidRPr="00D51726">
        <w:rPr>
          <w:lang w:val="fr-FR"/>
        </w:rPr>
        <w:t xml:space="preserve"> (66 Pa. C.S. §§ 1317(a)(1), 1318(a)(1</w:t>
      </w:r>
      <w:proofErr w:type="gramStart"/>
      <w:r w:rsidRPr="00D51726">
        <w:rPr>
          <w:lang w:val="fr-FR"/>
        </w:rPr>
        <w:t>);</w:t>
      </w:r>
      <w:proofErr w:type="gramEnd"/>
      <w:r w:rsidRPr="00D51726">
        <w:rPr>
          <w:lang w:val="fr-FR"/>
        </w:rPr>
        <w:t xml:space="preserve"> 52 Pa. </w:t>
      </w:r>
      <w:r w:rsidRPr="00D51726">
        <w:t>Code § 53.64(c)(4)):  Prefiling, Section 3.</w:t>
      </w:r>
    </w:p>
    <w:p w14:paraId="390323DD" w14:textId="77777777" w:rsidR="005F5B96" w:rsidRPr="00D51726" w:rsidRDefault="005F5B96" w:rsidP="00EB2531">
      <w:pPr>
        <w:pStyle w:val="ListNumber"/>
        <w:numPr>
          <w:ilvl w:val="1"/>
          <w:numId w:val="38"/>
        </w:numPr>
        <w:tabs>
          <w:tab w:val="clear" w:pos="1440"/>
        </w:tabs>
        <w:spacing w:line="360" w:lineRule="auto"/>
        <w:ind w:left="2160" w:right="720"/>
      </w:pPr>
      <w:r w:rsidRPr="00D51726">
        <w:rPr>
          <w:u w:val="single"/>
        </w:rPr>
        <w:t>Supplier Negotiations/Renegotiations</w:t>
      </w:r>
      <w:r w:rsidRPr="00D51726">
        <w:t xml:space="preserve"> (66 Pa. C.S. §§ 1317(a)(2), 1318(a)(2); 52 Pa. Code §§ 53.64(c)(3), (c)(6)):  Prefiling, Sections 1, 2 and 5.</w:t>
      </w:r>
    </w:p>
    <w:p w14:paraId="4883B664" w14:textId="77777777" w:rsidR="005F5B96" w:rsidRPr="00D51726" w:rsidRDefault="005F5B96" w:rsidP="00EB2531">
      <w:pPr>
        <w:pStyle w:val="ListNumber"/>
        <w:numPr>
          <w:ilvl w:val="1"/>
          <w:numId w:val="38"/>
        </w:numPr>
        <w:tabs>
          <w:tab w:val="clear" w:pos="1440"/>
        </w:tabs>
        <w:spacing w:line="360" w:lineRule="auto"/>
        <w:ind w:left="2160" w:right="720"/>
      </w:pPr>
      <w:r w:rsidRPr="00D51726">
        <w:rPr>
          <w:u w:val="single"/>
        </w:rPr>
        <w:t>Efforts to Obtain Lower Cost Supplies</w:t>
      </w:r>
      <w:r w:rsidRPr="00D51726">
        <w:t xml:space="preserve"> (66 Pa. C.S. §§ 1317(a)(3), 1318(a)(3); 52 Pa. Code §§ 53.64(c)(1), (c)(3), (c)(6)): Prefiling, Sections 1, 2, and 5.</w:t>
      </w:r>
    </w:p>
    <w:p w14:paraId="7FF903C0" w14:textId="77777777" w:rsidR="005F5B96" w:rsidRPr="00D51726" w:rsidRDefault="005F5B96" w:rsidP="00EB2531">
      <w:pPr>
        <w:pStyle w:val="ListNumber"/>
        <w:numPr>
          <w:ilvl w:val="1"/>
          <w:numId w:val="38"/>
        </w:numPr>
        <w:tabs>
          <w:tab w:val="clear" w:pos="1440"/>
        </w:tabs>
        <w:spacing w:line="360" w:lineRule="auto"/>
        <w:ind w:left="2160" w:right="720"/>
      </w:pPr>
      <w:r w:rsidRPr="00D51726">
        <w:rPr>
          <w:u w:val="single"/>
        </w:rPr>
        <w:t>Withheld Supplies</w:t>
      </w:r>
      <w:r w:rsidRPr="00D51726">
        <w:t xml:space="preserve"> (66 Pa. C.S. §§ 1317(a)(4), 1318(a)(4); 52 Pa. Code § 53.64(c)(6)): Prefiling, Section 5.</w:t>
      </w:r>
    </w:p>
    <w:p w14:paraId="0F11CC65" w14:textId="77777777" w:rsidR="005F5B96" w:rsidRPr="00D51726" w:rsidRDefault="005F5B96" w:rsidP="00EB2531">
      <w:pPr>
        <w:pStyle w:val="ListNumber"/>
        <w:numPr>
          <w:ilvl w:val="1"/>
          <w:numId w:val="38"/>
        </w:numPr>
        <w:tabs>
          <w:tab w:val="clear" w:pos="1440"/>
        </w:tabs>
        <w:spacing w:line="360" w:lineRule="auto"/>
        <w:ind w:left="2160" w:right="720"/>
      </w:pPr>
      <w:r w:rsidRPr="00D51726">
        <w:rPr>
          <w:u w:val="single"/>
        </w:rPr>
        <w:t>Affiliated Purchases</w:t>
      </w:r>
      <w:r w:rsidRPr="00D51726">
        <w:t xml:space="preserve"> (66 Pa. C.S. §§ 1317(b), 1318(b); 52 Pa. Code § 53.65): Prefiling, Section 13.</w:t>
      </w:r>
    </w:p>
    <w:p w14:paraId="38DB0B0B" w14:textId="77777777" w:rsidR="005F5B96" w:rsidRPr="00D51726" w:rsidRDefault="005F5B96" w:rsidP="00EB2531">
      <w:pPr>
        <w:pStyle w:val="ListNumber"/>
        <w:numPr>
          <w:ilvl w:val="1"/>
          <w:numId w:val="38"/>
        </w:numPr>
        <w:tabs>
          <w:tab w:val="clear" w:pos="1440"/>
        </w:tabs>
        <w:spacing w:line="360" w:lineRule="auto"/>
        <w:ind w:left="2160" w:right="720"/>
      </w:pPr>
      <w:r w:rsidRPr="00D51726">
        <w:rPr>
          <w:u w:val="single"/>
        </w:rPr>
        <w:t>Least Cost Fuel Procurement Policy</w:t>
      </w:r>
      <w:r w:rsidRPr="00D51726">
        <w:t xml:space="preserve"> (66 Pa. C.S. §§ 1317(a), 1318(a); 52 Pa. Code §§ 53.64(c)(1), (c)(3), (c)(6)): Prefiling, Sections 1, 2 and 5.</w:t>
      </w:r>
    </w:p>
    <w:p w14:paraId="4643825B" w14:textId="77777777" w:rsidR="005F5B96" w:rsidRPr="00D51726" w:rsidRDefault="005F5B96" w:rsidP="00EB2531">
      <w:pPr>
        <w:pStyle w:val="ListNumber"/>
        <w:numPr>
          <w:ilvl w:val="1"/>
          <w:numId w:val="38"/>
        </w:numPr>
        <w:tabs>
          <w:tab w:val="clear" w:pos="1440"/>
        </w:tabs>
        <w:spacing w:line="360" w:lineRule="auto"/>
        <w:ind w:left="2160" w:right="720"/>
      </w:pPr>
      <w:r w:rsidRPr="00D51726">
        <w:rPr>
          <w:u w:val="single"/>
        </w:rPr>
        <w:t>Calculation of 2021 PGC Rates</w:t>
      </w:r>
      <w:r w:rsidRPr="00D51726">
        <w:t>:</w:t>
      </w:r>
    </w:p>
    <w:p w14:paraId="26ECC356" w14:textId="77777777" w:rsidR="005F5B96" w:rsidRPr="00D51726" w:rsidRDefault="005F5B96" w:rsidP="00EB2531">
      <w:pPr>
        <w:pStyle w:val="ListNumber"/>
        <w:numPr>
          <w:ilvl w:val="2"/>
          <w:numId w:val="38"/>
        </w:numPr>
        <w:tabs>
          <w:tab w:val="clear" w:pos="1440"/>
        </w:tabs>
        <w:spacing w:line="360" w:lineRule="auto"/>
        <w:ind w:left="2880" w:right="720"/>
      </w:pPr>
      <w:r w:rsidRPr="00D51726">
        <w:t>June 1, 2021, Filing, Schedule A – Computation of Purchased Gas Cost Rate effective December 1, 2021;</w:t>
      </w:r>
    </w:p>
    <w:p w14:paraId="640E91C2" w14:textId="77777777" w:rsidR="005F5B96" w:rsidRPr="00D51726" w:rsidRDefault="005F5B96" w:rsidP="00EB2531">
      <w:pPr>
        <w:pStyle w:val="ListNumber"/>
        <w:numPr>
          <w:ilvl w:val="2"/>
          <w:numId w:val="38"/>
        </w:numPr>
        <w:tabs>
          <w:tab w:val="clear" w:pos="1440"/>
        </w:tabs>
        <w:spacing w:line="360" w:lineRule="auto"/>
        <w:ind w:left="2880" w:right="720"/>
      </w:pPr>
      <w:r w:rsidRPr="00D51726">
        <w:t>June 1, 2021, Filing, Schedule B (page 1) – Development of Projected Cost of Gas (C-factor);</w:t>
      </w:r>
    </w:p>
    <w:p w14:paraId="1DFA9F50" w14:textId="77777777" w:rsidR="005F5B96" w:rsidRPr="00D51726" w:rsidRDefault="005F5B96" w:rsidP="00EB2531">
      <w:pPr>
        <w:pStyle w:val="ListNumber"/>
        <w:numPr>
          <w:ilvl w:val="2"/>
          <w:numId w:val="38"/>
        </w:numPr>
        <w:tabs>
          <w:tab w:val="clear" w:pos="1440"/>
        </w:tabs>
        <w:spacing w:line="360" w:lineRule="auto"/>
        <w:ind w:left="2880" w:right="720"/>
      </w:pPr>
      <w:r w:rsidRPr="00D51726">
        <w:t>June 1, 2021, Filing, Schedule B (pages 2-13) – Projected Supply Volumes, Rates, Costs April 2021 through November 2021;</w:t>
      </w:r>
    </w:p>
    <w:p w14:paraId="32BE7FC1" w14:textId="77777777" w:rsidR="005F5B96" w:rsidRPr="00D51726" w:rsidRDefault="005F5B96" w:rsidP="00EB2531">
      <w:pPr>
        <w:pStyle w:val="ListNumber"/>
        <w:numPr>
          <w:ilvl w:val="2"/>
          <w:numId w:val="38"/>
        </w:numPr>
        <w:tabs>
          <w:tab w:val="clear" w:pos="1440"/>
        </w:tabs>
        <w:spacing w:line="360" w:lineRule="auto"/>
        <w:ind w:left="2880" w:right="720"/>
      </w:pPr>
      <w:r w:rsidRPr="00D51726">
        <w:t>June 1, 2021, Filing, Schedule C – Development of Experienced Cost of Gas (E-factor);</w:t>
      </w:r>
    </w:p>
    <w:p w14:paraId="5137D1B9" w14:textId="77777777" w:rsidR="005F5B96" w:rsidRPr="00D51726" w:rsidRDefault="005F5B96" w:rsidP="00EB2531">
      <w:pPr>
        <w:pStyle w:val="ListNumber"/>
        <w:numPr>
          <w:ilvl w:val="2"/>
          <w:numId w:val="38"/>
        </w:numPr>
        <w:tabs>
          <w:tab w:val="clear" w:pos="1440"/>
        </w:tabs>
        <w:spacing w:line="360" w:lineRule="auto"/>
        <w:ind w:left="2880" w:right="720"/>
      </w:pPr>
      <w:r w:rsidRPr="00D51726">
        <w:lastRenderedPageBreak/>
        <w:t xml:space="preserve">June 1, 2021, Filing, UGI Gas Statement No. 1, Written Direct Testimony of Kimberly A. </w:t>
      </w:r>
      <w:proofErr w:type="spellStart"/>
      <w:r w:rsidRPr="00D51726">
        <w:t>Bassininsky</w:t>
      </w:r>
      <w:proofErr w:type="spellEnd"/>
      <w:r w:rsidRPr="00D51726">
        <w:t>, Senior Analyst – Rates.</w:t>
      </w:r>
    </w:p>
    <w:p w14:paraId="65759267" w14:textId="7AF6A654" w:rsidR="005F5B96" w:rsidRPr="00D51726" w:rsidRDefault="005F5B96" w:rsidP="00EB2531">
      <w:pPr>
        <w:pStyle w:val="ListNumber"/>
        <w:numPr>
          <w:ilvl w:val="1"/>
          <w:numId w:val="38"/>
        </w:numPr>
        <w:tabs>
          <w:tab w:val="clear" w:pos="1440"/>
        </w:tabs>
        <w:spacing w:line="360" w:lineRule="auto"/>
        <w:ind w:left="2160" w:right="720"/>
      </w:pPr>
      <w:r w:rsidRPr="00D51726">
        <w:rPr>
          <w:u w:val="single"/>
        </w:rPr>
        <w:t>Reliability</w:t>
      </w:r>
      <w:r w:rsidRPr="00D51726">
        <w:t xml:space="preserve"> (66 Pa. C.S. §1317(c)):  Prefiling, Section 14, and June 1, 2021, Filing, UGI Gas Statement No. 2, Written Direct Testimony of Jesse</w:t>
      </w:r>
      <w:r w:rsidR="00900516" w:rsidRPr="00D51726">
        <w:t> </w:t>
      </w:r>
      <w:r w:rsidRPr="00D51726">
        <w:t xml:space="preserve">R. </w:t>
      </w:r>
      <w:proofErr w:type="spellStart"/>
      <w:r w:rsidRPr="00D51726">
        <w:t>Tyahla</w:t>
      </w:r>
      <w:proofErr w:type="spellEnd"/>
      <w:r w:rsidRPr="00D51726">
        <w:t>, Director – Energy Supply and Planning.</w:t>
      </w:r>
    </w:p>
    <w:p w14:paraId="18D90A32" w14:textId="77777777" w:rsidR="000610A5" w:rsidRPr="00D51726" w:rsidRDefault="000610A5" w:rsidP="00EB2531">
      <w:pPr>
        <w:pStyle w:val="ListNumber"/>
        <w:numPr>
          <w:ilvl w:val="0"/>
          <w:numId w:val="0"/>
        </w:numPr>
        <w:spacing w:line="360" w:lineRule="auto"/>
        <w:ind w:left="2160" w:right="720"/>
      </w:pPr>
    </w:p>
    <w:p w14:paraId="6A7E5E58" w14:textId="5968E074" w:rsidR="005F5B96" w:rsidRPr="00D51726" w:rsidRDefault="005F5B96" w:rsidP="00EB2531">
      <w:pPr>
        <w:pStyle w:val="Heading2"/>
        <w:keepNext/>
        <w:spacing w:after="0" w:line="360" w:lineRule="auto"/>
        <w:ind w:right="720"/>
        <w:rPr>
          <w:szCs w:val="24"/>
        </w:rPr>
      </w:pPr>
      <w:r w:rsidRPr="00D51726">
        <w:rPr>
          <w:szCs w:val="24"/>
        </w:rPr>
        <w:t>Projected Period Findings</w:t>
      </w:r>
    </w:p>
    <w:p w14:paraId="27779623" w14:textId="77777777" w:rsidR="000610A5" w:rsidRPr="00D51726" w:rsidRDefault="000610A5" w:rsidP="00EB2531">
      <w:pPr>
        <w:pStyle w:val="BodyText2"/>
        <w:spacing w:after="0" w:line="360" w:lineRule="auto"/>
        <w:ind w:right="720"/>
      </w:pPr>
    </w:p>
    <w:p w14:paraId="0CF64983" w14:textId="6E154DAC" w:rsidR="005F5B96" w:rsidRPr="00D51726" w:rsidRDefault="005F5B96" w:rsidP="00EB2531">
      <w:pPr>
        <w:pStyle w:val="ListNumber"/>
        <w:numPr>
          <w:ilvl w:val="0"/>
          <w:numId w:val="38"/>
        </w:numPr>
        <w:tabs>
          <w:tab w:val="clear" w:pos="1440"/>
        </w:tabs>
        <w:spacing w:line="360" w:lineRule="auto"/>
        <w:ind w:right="720"/>
        <w:jc w:val="both"/>
      </w:pPr>
      <w:r w:rsidRPr="00D51726">
        <w:t xml:space="preserve">With respect to the 12-month period beginning December 1, 2021, the period of time during which the proposed rates would be in effect, the Joint Petitioners agree and request the Commission find that UGI Gas has satisfied each of the standards for a least cost procurement policy set forth in Section 1318 of the Public Utility Code, including the standards set forth in Sections 1318(a)(1), 1318(a)(2), 1318(a)(3), 1318(a)(4), 1318(b)(1), 1318(b)(2), and 1318(b)(3), based upon the evidence of record in this proceeding.  Nevertheless, it is expressly understood and agreed that such findings, relating to the rates to become effective December 1, 2021, are made solely for the purpose of setting prospective rates and shall be subject to further review in an appropriate future proceeding.  This Section of the Settlement, Section III.B, is not intended to limit or prevent any party from challenging projected gas purchases that actually have been made, including those made during the interim period of April 1, </w:t>
      </w:r>
      <w:proofErr w:type="gramStart"/>
      <w:r w:rsidRPr="00D51726">
        <w:t>2021</w:t>
      </w:r>
      <w:proofErr w:type="gramEnd"/>
      <w:r w:rsidRPr="00D51726">
        <w:t xml:space="preserve"> through November 30, 2021 and future gas purchasing practices that have been implemented, or from reviewing whether these gas purchases and gas purchasing practices have, in fact, complied with the standards of Section 1318, except as provided in Section II above.</w:t>
      </w:r>
    </w:p>
    <w:p w14:paraId="4251A7B6" w14:textId="77777777" w:rsidR="000610A5" w:rsidRPr="00D51726" w:rsidRDefault="000610A5" w:rsidP="00EB2531">
      <w:pPr>
        <w:pStyle w:val="ListNumber"/>
        <w:numPr>
          <w:ilvl w:val="0"/>
          <w:numId w:val="0"/>
        </w:numPr>
        <w:spacing w:line="360" w:lineRule="auto"/>
        <w:ind w:left="720" w:right="720"/>
        <w:jc w:val="both"/>
      </w:pPr>
    </w:p>
    <w:p w14:paraId="5F6EDD83" w14:textId="519BBE11" w:rsidR="005F5B96" w:rsidRPr="00D51726" w:rsidRDefault="005F5B96" w:rsidP="00EB2531">
      <w:pPr>
        <w:pStyle w:val="ListNumber"/>
        <w:numPr>
          <w:ilvl w:val="0"/>
          <w:numId w:val="38"/>
        </w:numPr>
        <w:tabs>
          <w:tab w:val="clear" w:pos="1440"/>
        </w:tabs>
        <w:spacing w:line="360" w:lineRule="auto"/>
        <w:ind w:right="720"/>
        <w:jc w:val="both"/>
      </w:pPr>
      <w:r w:rsidRPr="00D51726">
        <w:t xml:space="preserve">If in an appropriate future proceeding, gas purchases and gas purchasing practices relating to the period December 1, </w:t>
      </w:r>
      <w:proofErr w:type="gramStart"/>
      <w:r w:rsidRPr="00D51726">
        <w:t>2021</w:t>
      </w:r>
      <w:proofErr w:type="gramEnd"/>
      <w:r w:rsidRPr="00D51726">
        <w:t xml:space="preserve"> through November 30, </w:t>
      </w:r>
      <w:r w:rsidRPr="00D51726">
        <w:lastRenderedPageBreak/>
        <w:t>2022 are challenged, the Commission’s findings made pursuant to Section III.B of this Settlement shall pose no bar to the examination of such purchases and practices including, but not limited to, disallowance of or reductions to, such costs during the one-year period commencing December 1, 2021, except as provided in Section II above.</w:t>
      </w:r>
    </w:p>
    <w:p w14:paraId="5ED780EB" w14:textId="77777777" w:rsidR="000610A5" w:rsidRPr="00D51726" w:rsidRDefault="000610A5" w:rsidP="00EB2531">
      <w:pPr>
        <w:pStyle w:val="ListNumber"/>
        <w:numPr>
          <w:ilvl w:val="0"/>
          <w:numId w:val="0"/>
        </w:numPr>
        <w:spacing w:line="360" w:lineRule="auto"/>
        <w:ind w:right="720"/>
        <w:jc w:val="both"/>
      </w:pPr>
    </w:p>
    <w:p w14:paraId="3B34C9E6" w14:textId="77777777" w:rsidR="005F5B96" w:rsidRPr="00D51726" w:rsidRDefault="005F5B96" w:rsidP="00EB2531">
      <w:pPr>
        <w:pStyle w:val="ListNumber"/>
        <w:numPr>
          <w:ilvl w:val="0"/>
          <w:numId w:val="38"/>
        </w:numPr>
        <w:tabs>
          <w:tab w:val="clear" w:pos="1440"/>
        </w:tabs>
        <w:spacing w:line="360" w:lineRule="auto"/>
        <w:ind w:right="720"/>
        <w:jc w:val="both"/>
      </w:pPr>
      <w:r w:rsidRPr="00D51726">
        <w:t>The Joint Petitioners also agree that future examination of the gas costs relating to the period April 1, 2021 through November 30, 2021, to determine whether UGI Gas’s experienced and projected gas purchases and gas purchasing practices complied with the standards set forth in Section 1318 of the Public Utility Code, 66 Pa. C.S. § 1318, shall be permitted and that the Commission’s adoption of the findings under Section III.B of this Settlement shall not be construed to limit or prevent any disallowance or reduction of such costs, except as provided in Section II above.</w:t>
      </w:r>
    </w:p>
    <w:bookmarkEnd w:id="5"/>
    <w:p w14:paraId="2606CD9D" w14:textId="35C8E40B" w:rsidR="00E772EC" w:rsidRPr="00D51726" w:rsidRDefault="00E772EC" w:rsidP="00F447B1">
      <w:pPr>
        <w:autoSpaceDE/>
        <w:autoSpaceDN/>
        <w:rPr>
          <w:rFonts w:eastAsiaTheme="minorHAnsi"/>
        </w:rPr>
      </w:pPr>
    </w:p>
    <w:p w14:paraId="76E15136" w14:textId="4AA79017" w:rsidR="00E772EC" w:rsidRPr="00D51726" w:rsidRDefault="00E772EC" w:rsidP="0076378B">
      <w:pPr>
        <w:autoSpaceDE/>
        <w:autoSpaceDN/>
        <w:spacing w:line="360" w:lineRule="auto"/>
        <w:rPr>
          <w:rFonts w:eastAsiaTheme="minorHAnsi"/>
        </w:rPr>
      </w:pPr>
      <w:r w:rsidRPr="00D51726">
        <w:rPr>
          <w:rFonts w:eastAsiaTheme="minorHAnsi"/>
        </w:rPr>
        <w:t>Joint Settlement at 3-10, ¶¶ 15-29.</w:t>
      </w:r>
    </w:p>
    <w:p w14:paraId="194F9381" w14:textId="77777777" w:rsidR="00E772EC" w:rsidRPr="00D51726" w:rsidRDefault="00E772EC" w:rsidP="0076378B">
      <w:pPr>
        <w:autoSpaceDE/>
        <w:autoSpaceDN/>
        <w:spacing w:line="360" w:lineRule="auto"/>
        <w:rPr>
          <w:rFonts w:eastAsiaTheme="minorHAnsi"/>
        </w:rPr>
      </w:pPr>
    </w:p>
    <w:p w14:paraId="5AC338D3" w14:textId="6CD114D0" w:rsidR="008B1F03" w:rsidRPr="00D51726" w:rsidRDefault="00155716" w:rsidP="0076378B">
      <w:pPr>
        <w:autoSpaceDE/>
        <w:autoSpaceDN/>
        <w:spacing w:line="360" w:lineRule="auto"/>
        <w:rPr>
          <w:rFonts w:eastAsiaTheme="minorHAnsi"/>
        </w:rPr>
      </w:pPr>
      <w:r w:rsidRPr="00D51726">
        <w:rPr>
          <w:rFonts w:eastAsiaTheme="minorHAnsi"/>
        </w:rPr>
        <w:tab/>
      </w:r>
      <w:r w:rsidRPr="00D51726">
        <w:rPr>
          <w:rFonts w:eastAsiaTheme="minorHAnsi"/>
        </w:rPr>
        <w:tab/>
      </w:r>
      <w:r w:rsidR="005F5B96" w:rsidRPr="00D51726">
        <w:rPr>
          <w:rFonts w:eastAsiaTheme="minorHAnsi"/>
        </w:rPr>
        <w:t>T</w:t>
      </w:r>
      <w:r w:rsidR="00A731E0" w:rsidRPr="00D51726">
        <w:rPr>
          <w:rFonts w:eastAsiaTheme="minorHAnsi"/>
        </w:rPr>
        <w:t xml:space="preserve">he </w:t>
      </w:r>
      <w:r w:rsidR="005F5B96" w:rsidRPr="00D51726">
        <w:rPr>
          <w:rFonts w:eastAsiaTheme="minorHAnsi"/>
        </w:rPr>
        <w:t>Joint Settlement</w:t>
      </w:r>
      <w:r w:rsidR="008045FD" w:rsidRPr="00D51726">
        <w:rPr>
          <w:rFonts w:eastAsiaTheme="minorHAnsi"/>
        </w:rPr>
        <w:t xml:space="preserve"> is conditioned on </w:t>
      </w:r>
      <w:r w:rsidR="00E07CDF" w:rsidRPr="00D51726">
        <w:rPr>
          <w:rFonts w:eastAsiaTheme="minorHAnsi"/>
        </w:rPr>
        <w:t xml:space="preserve">the following </w:t>
      </w:r>
      <w:r w:rsidR="00A731E0" w:rsidRPr="00D51726">
        <w:rPr>
          <w:rFonts w:eastAsiaTheme="minorHAnsi"/>
        </w:rPr>
        <w:t>ad</w:t>
      </w:r>
      <w:r w:rsidR="008045FD" w:rsidRPr="00D51726">
        <w:rPr>
          <w:rFonts w:eastAsiaTheme="minorHAnsi"/>
        </w:rPr>
        <w:t>ditional terms and conditions</w:t>
      </w:r>
      <w:r w:rsidR="005B48CB" w:rsidRPr="00D51726">
        <w:rPr>
          <w:rFonts w:eastAsiaTheme="minorHAnsi"/>
        </w:rPr>
        <w:t>, utilizing the original numbering found within the Petition for Joint Settlement</w:t>
      </w:r>
      <w:r w:rsidR="008045FD" w:rsidRPr="00D51726">
        <w:rPr>
          <w:rFonts w:eastAsiaTheme="minorHAnsi"/>
        </w:rPr>
        <w:t>:</w:t>
      </w:r>
    </w:p>
    <w:p w14:paraId="4D740583" w14:textId="7704569E" w:rsidR="005F5B96" w:rsidRPr="00D51726" w:rsidRDefault="005F5B96" w:rsidP="0076378B">
      <w:pPr>
        <w:autoSpaceDE/>
        <w:autoSpaceDN/>
        <w:spacing w:line="360" w:lineRule="auto"/>
        <w:rPr>
          <w:rFonts w:eastAsiaTheme="minorHAnsi"/>
        </w:rPr>
      </w:pPr>
    </w:p>
    <w:p w14:paraId="62971EF0" w14:textId="68513FBA" w:rsidR="005F5B96" w:rsidRPr="00D51726" w:rsidRDefault="005F5B96" w:rsidP="00493613">
      <w:pPr>
        <w:pStyle w:val="Heading1"/>
        <w:spacing w:after="0" w:line="360" w:lineRule="auto"/>
        <w:ind w:firstLine="0"/>
        <w:rPr>
          <w:rFonts w:eastAsiaTheme="minorHAnsi"/>
          <w:szCs w:val="24"/>
        </w:rPr>
      </w:pPr>
      <w:r w:rsidRPr="00D51726">
        <w:rPr>
          <w:rFonts w:eastAsiaTheme="minorHAnsi"/>
          <w:szCs w:val="24"/>
        </w:rPr>
        <w:t>GENERAL PROVISIONS</w:t>
      </w:r>
    </w:p>
    <w:p w14:paraId="3448CF9B" w14:textId="77777777" w:rsidR="000610A5" w:rsidRPr="00D51726" w:rsidRDefault="000610A5" w:rsidP="0076378B">
      <w:pPr>
        <w:autoSpaceDE/>
        <w:autoSpaceDN/>
        <w:spacing w:line="360" w:lineRule="auto"/>
        <w:rPr>
          <w:rFonts w:eastAsiaTheme="minorHAnsi"/>
          <w:b/>
          <w:bCs/>
          <w:u w:val="single"/>
        </w:rPr>
      </w:pPr>
    </w:p>
    <w:p w14:paraId="5A8AC2B7" w14:textId="798FF58D" w:rsidR="005F5B96" w:rsidRPr="00D51726" w:rsidRDefault="005F5B96" w:rsidP="00EB2531">
      <w:pPr>
        <w:numPr>
          <w:ilvl w:val="0"/>
          <w:numId w:val="38"/>
        </w:numPr>
        <w:autoSpaceDE/>
        <w:autoSpaceDN/>
        <w:spacing w:line="360" w:lineRule="auto"/>
        <w:ind w:right="720"/>
        <w:jc w:val="both"/>
        <w:rPr>
          <w:rFonts w:eastAsiaTheme="minorHAnsi"/>
        </w:rPr>
      </w:pPr>
      <w:r w:rsidRPr="00D51726">
        <w:rPr>
          <w:rFonts w:eastAsiaTheme="minorHAnsi"/>
        </w:rPr>
        <w:t xml:space="preserve">This Settlement is conditioned upon the Commission’s approval of the terms and conditions contained herein without modification, </w:t>
      </w:r>
      <w:proofErr w:type="gramStart"/>
      <w:r w:rsidRPr="00D51726">
        <w:rPr>
          <w:rFonts w:eastAsiaTheme="minorHAnsi"/>
        </w:rPr>
        <w:t>addition</w:t>
      </w:r>
      <w:proofErr w:type="gramEnd"/>
      <w:r w:rsidRPr="00D51726">
        <w:rPr>
          <w:rFonts w:eastAsiaTheme="minorHAnsi"/>
        </w:rPr>
        <w:t xml:space="preserve"> or deletion.  If the Commission modifies the Settlement or fails to approve, by December 1, 2021, the </w:t>
      </w:r>
      <w:proofErr w:type="gramStart"/>
      <w:r w:rsidRPr="00D51726">
        <w:rPr>
          <w:rFonts w:eastAsiaTheme="minorHAnsi"/>
        </w:rPr>
        <w:t>terms</w:t>
      </w:r>
      <w:proofErr w:type="gramEnd"/>
      <w:r w:rsidRPr="00D51726">
        <w:rPr>
          <w:rFonts w:eastAsiaTheme="minorHAnsi"/>
        </w:rPr>
        <w:t xml:space="preserve"> and conditions of this Settlement, then any of the Joint Petitioners may elect to withdraw from this Settlement and may proceed with litigation.  In such event, this Settlement shall be void and of no effect.  Such election to withdraw must be made in writing, filed with the Secretary of the </w:t>
      </w:r>
      <w:proofErr w:type="gramStart"/>
      <w:r w:rsidRPr="00D51726">
        <w:rPr>
          <w:rFonts w:eastAsiaTheme="minorHAnsi"/>
        </w:rPr>
        <w:t>Commission</w:t>
      </w:r>
      <w:proofErr w:type="gramEnd"/>
      <w:r w:rsidRPr="00D51726">
        <w:rPr>
          <w:rFonts w:eastAsiaTheme="minorHAnsi"/>
        </w:rPr>
        <w:t xml:space="preserve"> and served upon all Joint Petitioners </w:t>
      </w:r>
      <w:r w:rsidRPr="00D51726">
        <w:rPr>
          <w:rFonts w:eastAsiaTheme="minorHAnsi"/>
        </w:rPr>
        <w:lastRenderedPageBreak/>
        <w:t>within five (5) business days after the entry of an order modifying or disapproving the Settlement.</w:t>
      </w:r>
    </w:p>
    <w:p w14:paraId="22CC2E57" w14:textId="77777777" w:rsidR="000610A5" w:rsidRPr="00D51726" w:rsidRDefault="000610A5" w:rsidP="00EB2531">
      <w:pPr>
        <w:autoSpaceDE/>
        <w:autoSpaceDN/>
        <w:spacing w:line="360" w:lineRule="auto"/>
        <w:ind w:left="1440" w:right="720"/>
        <w:jc w:val="both"/>
        <w:rPr>
          <w:rFonts w:eastAsiaTheme="minorHAnsi"/>
        </w:rPr>
      </w:pPr>
    </w:p>
    <w:p w14:paraId="185CC50B" w14:textId="39F4F429" w:rsidR="005F5B96" w:rsidRPr="00D51726" w:rsidRDefault="005F5B96" w:rsidP="00EB2531">
      <w:pPr>
        <w:numPr>
          <w:ilvl w:val="0"/>
          <w:numId w:val="38"/>
        </w:numPr>
        <w:autoSpaceDE/>
        <w:autoSpaceDN/>
        <w:spacing w:line="360" w:lineRule="auto"/>
        <w:ind w:right="720"/>
        <w:jc w:val="both"/>
        <w:rPr>
          <w:rFonts w:eastAsiaTheme="minorHAnsi"/>
        </w:rPr>
      </w:pPr>
      <w:r w:rsidRPr="00D51726">
        <w:rPr>
          <w:rFonts w:eastAsiaTheme="minorHAnsi"/>
        </w:rPr>
        <w:t>If the Commission modifies or does not approve the Settlement and the proceeding continues to hearing on the issues that are the subjects of this Settlement, the Joint Petitioners reserve their respective rights to present additional testimony and to conduct full cross-examination, briefing and argument on these subjects.</w:t>
      </w:r>
    </w:p>
    <w:p w14:paraId="0547988C" w14:textId="77777777" w:rsidR="0055757E" w:rsidRPr="00D51726" w:rsidRDefault="0055757E" w:rsidP="00EB2531">
      <w:pPr>
        <w:autoSpaceDE/>
        <w:autoSpaceDN/>
        <w:spacing w:line="360" w:lineRule="auto"/>
        <w:ind w:left="1440" w:right="720"/>
        <w:jc w:val="both"/>
        <w:rPr>
          <w:rFonts w:eastAsiaTheme="minorHAnsi"/>
        </w:rPr>
      </w:pPr>
    </w:p>
    <w:p w14:paraId="39FFF350" w14:textId="0E1A8CDC" w:rsidR="005F5B96" w:rsidRPr="00D51726" w:rsidRDefault="005F5B96" w:rsidP="00EB2531">
      <w:pPr>
        <w:numPr>
          <w:ilvl w:val="0"/>
          <w:numId w:val="38"/>
        </w:numPr>
        <w:autoSpaceDE/>
        <w:autoSpaceDN/>
        <w:spacing w:line="360" w:lineRule="auto"/>
        <w:ind w:right="720"/>
        <w:jc w:val="both"/>
        <w:rPr>
          <w:rFonts w:eastAsiaTheme="minorHAnsi"/>
        </w:rPr>
      </w:pPr>
      <w:r w:rsidRPr="00D51726">
        <w:rPr>
          <w:rFonts w:eastAsiaTheme="minorHAnsi"/>
        </w:rPr>
        <w:t>If the ALJ approves this Settlement without modification, the Joint Petitioners waive their rights to file exceptions.</w:t>
      </w:r>
    </w:p>
    <w:p w14:paraId="2B9A91D0" w14:textId="77777777" w:rsidR="000610A5" w:rsidRPr="00D51726" w:rsidRDefault="000610A5" w:rsidP="00EB2531">
      <w:pPr>
        <w:autoSpaceDE/>
        <w:autoSpaceDN/>
        <w:spacing w:line="360" w:lineRule="auto"/>
        <w:ind w:left="1440" w:right="720"/>
        <w:jc w:val="both"/>
        <w:rPr>
          <w:rFonts w:eastAsiaTheme="minorHAnsi"/>
        </w:rPr>
      </w:pPr>
    </w:p>
    <w:p w14:paraId="2B26265F" w14:textId="5069F625" w:rsidR="005F5B96" w:rsidRPr="00D51726" w:rsidRDefault="005F5B96" w:rsidP="00EB2531">
      <w:pPr>
        <w:numPr>
          <w:ilvl w:val="0"/>
          <w:numId w:val="38"/>
        </w:numPr>
        <w:autoSpaceDE/>
        <w:autoSpaceDN/>
        <w:spacing w:line="360" w:lineRule="auto"/>
        <w:ind w:right="720"/>
        <w:jc w:val="both"/>
        <w:rPr>
          <w:rFonts w:eastAsiaTheme="minorHAnsi"/>
        </w:rPr>
      </w:pPr>
      <w:r w:rsidRPr="00D51726">
        <w:rPr>
          <w:rFonts w:eastAsiaTheme="minorHAnsi"/>
        </w:rPr>
        <w:t>Except as otherwise specifically provided in this Settlement, this Settlement is proposed by the Joint Petitioners to settle all issues in the instant proceeding and is made without any admission against, or prejudice to: (1) any position that any party may adopt during any subsequent litigation of this proceeding if the Commission disapproves or modifies this Settlement; or (2) any position that any party may adopt in any other proceeding.</w:t>
      </w:r>
    </w:p>
    <w:p w14:paraId="0C14D737" w14:textId="77777777" w:rsidR="00E772EC" w:rsidRPr="00D51726" w:rsidRDefault="00E772EC" w:rsidP="00EB2531">
      <w:pPr>
        <w:autoSpaceDE/>
        <w:autoSpaceDN/>
        <w:spacing w:line="360" w:lineRule="auto"/>
        <w:ind w:right="720"/>
        <w:jc w:val="both"/>
        <w:rPr>
          <w:rFonts w:eastAsiaTheme="minorHAnsi"/>
        </w:rPr>
      </w:pPr>
    </w:p>
    <w:p w14:paraId="719AC9F9" w14:textId="702F76AC" w:rsidR="005F5B96" w:rsidRPr="00D51726" w:rsidRDefault="005F5B96" w:rsidP="00EB2531">
      <w:pPr>
        <w:numPr>
          <w:ilvl w:val="0"/>
          <w:numId w:val="38"/>
        </w:numPr>
        <w:autoSpaceDE/>
        <w:autoSpaceDN/>
        <w:spacing w:line="360" w:lineRule="auto"/>
        <w:ind w:right="720"/>
        <w:jc w:val="both"/>
        <w:rPr>
          <w:rFonts w:eastAsiaTheme="minorHAnsi"/>
        </w:rPr>
      </w:pPr>
      <w:r w:rsidRPr="00D51726">
        <w:rPr>
          <w:rFonts w:eastAsiaTheme="minorHAnsi"/>
        </w:rPr>
        <w:t>It is understood and agreed among the Joint Petitioners that this Settlement is the result of compromises by all Joint Petitioners and does not necessarily represent the position(s) that would be advanced by any party in the event this proceeding were to be litigated fully.</w:t>
      </w:r>
    </w:p>
    <w:p w14:paraId="67E8A715" w14:textId="77777777" w:rsidR="000610A5" w:rsidRPr="00D51726" w:rsidRDefault="000610A5" w:rsidP="00EB2531">
      <w:pPr>
        <w:autoSpaceDE/>
        <w:autoSpaceDN/>
        <w:spacing w:line="360" w:lineRule="auto"/>
        <w:ind w:right="720"/>
        <w:jc w:val="both"/>
        <w:rPr>
          <w:rFonts w:eastAsiaTheme="minorHAnsi"/>
        </w:rPr>
      </w:pPr>
    </w:p>
    <w:p w14:paraId="5A434FE3" w14:textId="54ECCE65" w:rsidR="005F5B96" w:rsidRPr="00D51726" w:rsidRDefault="005F5B96" w:rsidP="00EB2531">
      <w:pPr>
        <w:numPr>
          <w:ilvl w:val="0"/>
          <w:numId w:val="38"/>
        </w:numPr>
        <w:autoSpaceDE/>
        <w:autoSpaceDN/>
        <w:spacing w:line="360" w:lineRule="auto"/>
        <w:ind w:right="720"/>
        <w:jc w:val="both"/>
        <w:rPr>
          <w:rFonts w:eastAsiaTheme="minorHAnsi"/>
        </w:rPr>
      </w:pPr>
      <w:r w:rsidRPr="00D51726">
        <w:rPr>
          <w:rFonts w:eastAsiaTheme="minorHAnsi"/>
        </w:rPr>
        <w:t xml:space="preserve">This Settlement is being presented only in the context of this Section 1307(f) proceeding in an effort to resolve certain outstanding issues in a manner that is fair and reasonable.  Except as otherwise specifically provided in this Settlement, the Settlement reflects compromises on all sides and is presented without prejudice to any position that any of the Joint Petitioners may have advanced and without prejudice to the positions that </w:t>
      </w:r>
      <w:r w:rsidRPr="00D51726">
        <w:rPr>
          <w:rFonts w:eastAsiaTheme="minorHAnsi"/>
        </w:rPr>
        <w:lastRenderedPageBreak/>
        <w:t>any of the Joint Petitioners may advance in the future on the merits of the issues.</w:t>
      </w:r>
    </w:p>
    <w:p w14:paraId="1BB6E052" w14:textId="77777777" w:rsidR="000610A5" w:rsidRPr="00D51726" w:rsidRDefault="000610A5" w:rsidP="00EB2531">
      <w:pPr>
        <w:autoSpaceDE/>
        <w:autoSpaceDN/>
        <w:spacing w:line="360" w:lineRule="auto"/>
        <w:ind w:right="720"/>
        <w:jc w:val="both"/>
        <w:rPr>
          <w:rFonts w:eastAsiaTheme="minorHAnsi"/>
        </w:rPr>
      </w:pPr>
    </w:p>
    <w:p w14:paraId="635CB02C" w14:textId="74D17DED" w:rsidR="005F5B96" w:rsidRPr="00D51726" w:rsidRDefault="005F5B96" w:rsidP="00EB2531">
      <w:pPr>
        <w:numPr>
          <w:ilvl w:val="0"/>
          <w:numId w:val="38"/>
        </w:numPr>
        <w:autoSpaceDE/>
        <w:autoSpaceDN/>
        <w:spacing w:line="360" w:lineRule="auto"/>
        <w:ind w:right="720"/>
        <w:jc w:val="both"/>
        <w:rPr>
          <w:rFonts w:eastAsiaTheme="minorHAnsi"/>
        </w:rPr>
      </w:pPr>
      <w:r w:rsidRPr="00D51726">
        <w:rPr>
          <w:rFonts w:eastAsiaTheme="minorHAnsi"/>
        </w:rPr>
        <w:t>The Joint Petitioners acknowledge and agree that this Settlement shall have the same force and effect as if the Joint Petitioners had fully litigated this proceeding with regard to the historic period ended March 31, 2021.</w:t>
      </w:r>
    </w:p>
    <w:p w14:paraId="2B04787F" w14:textId="77777777" w:rsidR="002A336A" w:rsidRDefault="002A336A" w:rsidP="00F447B1">
      <w:pPr>
        <w:autoSpaceDE/>
        <w:autoSpaceDN/>
        <w:jc w:val="both"/>
        <w:rPr>
          <w:rFonts w:eastAsiaTheme="minorHAnsi"/>
        </w:rPr>
      </w:pPr>
    </w:p>
    <w:p w14:paraId="0D6BE7D0" w14:textId="339D0CE5" w:rsidR="00C13179" w:rsidRPr="00D51726" w:rsidRDefault="00C13179" w:rsidP="0076378B">
      <w:pPr>
        <w:autoSpaceDE/>
        <w:autoSpaceDN/>
        <w:spacing w:line="360" w:lineRule="auto"/>
        <w:jc w:val="both"/>
        <w:rPr>
          <w:rFonts w:eastAsiaTheme="minorHAnsi"/>
        </w:rPr>
      </w:pPr>
      <w:r w:rsidRPr="00D51726">
        <w:rPr>
          <w:rFonts w:eastAsiaTheme="minorHAnsi"/>
        </w:rPr>
        <w:t>Joint Settlement at 10-11, ¶¶ 30-36.</w:t>
      </w:r>
    </w:p>
    <w:p w14:paraId="7C7BD80B" w14:textId="77777777" w:rsidR="005F5B96" w:rsidRPr="00D51726" w:rsidRDefault="005F5B96" w:rsidP="0076378B">
      <w:pPr>
        <w:autoSpaceDE/>
        <w:autoSpaceDN/>
        <w:spacing w:line="360" w:lineRule="auto"/>
        <w:rPr>
          <w:rFonts w:eastAsiaTheme="minorHAnsi"/>
        </w:rPr>
      </w:pPr>
    </w:p>
    <w:p w14:paraId="0D310C3B" w14:textId="593B3B20" w:rsidR="00DF41C4" w:rsidRPr="00D51726" w:rsidRDefault="00864A21" w:rsidP="0076378B">
      <w:pPr>
        <w:autoSpaceDE/>
        <w:autoSpaceDN/>
        <w:spacing w:line="360" w:lineRule="auto"/>
        <w:jc w:val="center"/>
        <w:rPr>
          <w:rFonts w:eastAsiaTheme="minorHAnsi"/>
          <w:u w:val="single"/>
        </w:rPr>
      </w:pPr>
      <w:r w:rsidRPr="00D51726">
        <w:rPr>
          <w:rFonts w:eastAsiaTheme="minorHAnsi"/>
          <w:u w:val="single"/>
        </w:rPr>
        <w:t>PUBLIC INTEREST ANALYSIS</w:t>
      </w:r>
    </w:p>
    <w:p w14:paraId="4350F9EF" w14:textId="77777777" w:rsidR="00DA5B8C" w:rsidRPr="00D51726" w:rsidRDefault="00DA5B8C" w:rsidP="0076378B">
      <w:pPr>
        <w:autoSpaceDE/>
        <w:autoSpaceDN/>
        <w:spacing w:line="360" w:lineRule="auto"/>
        <w:rPr>
          <w:rFonts w:eastAsiaTheme="minorHAnsi"/>
        </w:rPr>
      </w:pPr>
    </w:p>
    <w:p w14:paraId="14910CB6" w14:textId="385A5A30" w:rsidR="00C02F85" w:rsidRPr="00D51726" w:rsidRDefault="004603C5" w:rsidP="0076378B">
      <w:pPr>
        <w:spacing w:line="360" w:lineRule="auto"/>
        <w:ind w:firstLine="1440"/>
      </w:pPr>
      <w:r w:rsidRPr="00D51726">
        <w:t>As noted above, it is the policy of the Commission t</w:t>
      </w:r>
      <w:r w:rsidR="00B064E6" w:rsidRPr="00D51726">
        <w:t>o encourage settlements.  52 </w:t>
      </w:r>
      <w:r w:rsidRPr="00D51726">
        <w:t xml:space="preserve">Pa. Code § 5.231(a).  The benchmark for determining the acceptability of a settlement or partial settlement is whether the proposed terms and conditions are in the public interest.  </w:t>
      </w:r>
      <w:r w:rsidR="00EA52B4" w:rsidRPr="00D51726">
        <w:rPr>
          <w:i/>
          <w:iCs/>
        </w:rPr>
        <w:t>York Water</w:t>
      </w:r>
      <w:r w:rsidRPr="00D51726">
        <w:t xml:space="preserve">, </w:t>
      </w:r>
      <w:r w:rsidRPr="00D51726">
        <w:rPr>
          <w:i/>
        </w:rPr>
        <w:t>supra.</w:t>
      </w:r>
      <w:r w:rsidRPr="00D51726">
        <w:t xml:space="preserve">  </w:t>
      </w:r>
      <w:r w:rsidR="007D2ACC" w:rsidRPr="00D51726">
        <w:t>T</w:t>
      </w:r>
      <w:r w:rsidR="00C02F85" w:rsidRPr="00D51726">
        <w:t xml:space="preserve">his Recommended Decision will </w:t>
      </w:r>
      <w:r w:rsidR="00EA52B4" w:rsidRPr="00D51726">
        <w:t xml:space="preserve">examine whether </w:t>
      </w:r>
      <w:r w:rsidR="00C02F85" w:rsidRPr="00D51726">
        <w:t xml:space="preserve">the </w:t>
      </w:r>
      <w:r w:rsidR="009E581A" w:rsidRPr="00D51726">
        <w:t>Joint S</w:t>
      </w:r>
      <w:r w:rsidR="007D2ACC" w:rsidRPr="00D51726">
        <w:t xml:space="preserve">ettlement is in the public interest, satisfies applicable statutes and regulations </w:t>
      </w:r>
      <w:r w:rsidR="00815F2E" w:rsidRPr="00D51726">
        <w:t xml:space="preserve">for 1307(f) filings </w:t>
      </w:r>
      <w:r w:rsidR="007D2ACC" w:rsidRPr="00D51726">
        <w:t>and is supported by substantial evidence</w:t>
      </w:r>
      <w:r w:rsidR="00463BBC" w:rsidRPr="00D51726">
        <w:t>,</w:t>
      </w:r>
      <w:r w:rsidR="007D2ACC" w:rsidRPr="00D51726">
        <w:t xml:space="preserve"> </w:t>
      </w:r>
      <w:r w:rsidR="00954C3C" w:rsidRPr="00D51726">
        <w:t xml:space="preserve">and therefore </w:t>
      </w:r>
      <w:r w:rsidR="00C02F85" w:rsidRPr="00D51726">
        <w:t>should be adopted</w:t>
      </w:r>
      <w:r w:rsidR="007D2ACC" w:rsidRPr="00D51726">
        <w:t xml:space="preserve">.  In this case, the </w:t>
      </w:r>
      <w:r w:rsidR="005F5B96" w:rsidRPr="00D51726">
        <w:t>S</w:t>
      </w:r>
      <w:r w:rsidR="007D2ACC" w:rsidRPr="00D51726">
        <w:t xml:space="preserve">ettlement itself does not contain any </w:t>
      </w:r>
      <w:r w:rsidR="009E581A" w:rsidRPr="00D51726">
        <w:t xml:space="preserve">detailed </w:t>
      </w:r>
      <w:r w:rsidR="007D2ACC" w:rsidRPr="00D51726">
        <w:t xml:space="preserve">discussion of whether it is in the public interest.  Rather, the </w:t>
      </w:r>
      <w:r w:rsidR="009E581A" w:rsidRPr="00D51726">
        <w:t>P</w:t>
      </w:r>
      <w:r w:rsidR="007D2ACC" w:rsidRPr="00D51726">
        <w:t xml:space="preserve">arties have relied upon their respective Statements in Support </w:t>
      </w:r>
      <w:r w:rsidR="00815F2E" w:rsidRPr="00D51726">
        <w:t xml:space="preserve">of the </w:t>
      </w:r>
      <w:r w:rsidR="005F5B96" w:rsidRPr="00D51726">
        <w:t>S</w:t>
      </w:r>
      <w:r w:rsidR="00815F2E" w:rsidRPr="00D51726">
        <w:t xml:space="preserve">ettlement </w:t>
      </w:r>
      <w:r w:rsidR="007D2ACC" w:rsidRPr="00D51726">
        <w:t xml:space="preserve">to demonstrate that the </w:t>
      </w:r>
      <w:r w:rsidR="005F5B96" w:rsidRPr="00D51726">
        <w:t>S</w:t>
      </w:r>
      <w:r w:rsidR="007D2ACC" w:rsidRPr="00D51726">
        <w:t>ettlement is in the public interest and should be approved.</w:t>
      </w:r>
    </w:p>
    <w:p w14:paraId="43065716" w14:textId="6547C70C" w:rsidR="007632FB" w:rsidRPr="00D51726" w:rsidRDefault="007632FB" w:rsidP="00E91407">
      <w:pPr>
        <w:spacing w:line="360" w:lineRule="auto"/>
        <w:ind w:firstLine="1440"/>
      </w:pPr>
    </w:p>
    <w:p w14:paraId="0DAC1252" w14:textId="350415E1" w:rsidR="007632FB" w:rsidRPr="00D51726" w:rsidRDefault="007632FB" w:rsidP="00E91407">
      <w:pPr>
        <w:spacing w:line="360" w:lineRule="auto"/>
        <w:rPr>
          <w:u w:val="single"/>
        </w:rPr>
      </w:pPr>
      <w:r w:rsidRPr="00D51726">
        <w:rPr>
          <w:u w:val="single"/>
        </w:rPr>
        <w:t>UGI’s Statement</w:t>
      </w:r>
      <w:r w:rsidR="00882981" w:rsidRPr="00D51726">
        <w:rPr>
          <w:u w:val="single"/>
        </w:rPr>
        <w:t xml:space="preserve"> in Support</w:t>
      </w:r>
    </w:p>
    <w:p w14:paraId="36665601" w14:textId="6A9E792F" w:rsidR="007632FB" w:rsidRPr="00D51726" w:rsidRDefault="007632FB" w:rsidP="00E91407">
      <w:pPr>
        <w:spacing w:line="360" w:lineRule="auto"/>
      </w:pPr>
    </w:p>
    <w:p w14:paraId="5C9BE168" w14:textId="235113D2" w:rsidR="00967F46" w:rsidRPr="00D51726" w:rsidRDefault="00967F46" w:rsidP="00E91407">
      <w:pPr>
        <w:spacing w:line="360" w:lineRule="auto"/>
      </w:pPr>
      <w:r w:rsidRPr="00D51726">
        <w:tab/>
      </w:r>
      <w:r w:rsidRPr="00D51726">
        <w:tab/>
        <w:t>UGI submitted a Statement in support of the Joint Settlement.</w:t>
      </w:r>
    </w:p>
    <w:p w14:paraId="78721E73" w14:textId="77777777" w:rsidR="000610A5" w:rsidRPr="00D51726" w:rsidRDefault="000610A5" w:rsidP="00E91407">
      <w:pPr>
        <w:spacing w:line="360" w:lineRule="auto"/>
      </w:pPr>
    </w:p>
    <w:p w14:paraId="36831D44" w14:textId="40C0E129" w:rsidR="007632FB" w:rsidRPr="00D51726" w:rsidRDefault="007632FB" w:rsidP="00E91407">
      <w:pPr>
        <w:spacing w:line="360" w:lineRule="auto"/>
      </w:pPr>
      <w:r w:rsidRPr="00D51726">
        <w:tab/>
      </w:r>
      <w:r w:rsidRPr="00D51726">
        <w:tab/>
        <w:t xml:space="preserve">UGI asserts that the Settlement reflects a carefully balanced compromise of the interests of the Joint Petitioners to this proceeding.  UGI Statement at 2.  UGI addresses the following issue areas in contending that the proposed Settlement is reasonable and is in the public interest: </w:t>
      </w:r>
      <w:bookmarkStart w:id="6" w:name="_Hlk81560189"/>
      <w:r w:rsidRPr="00D51726">
        <w:t>Design Day; UGIES Contract Consolidation; Peak Day Capacity Supply Additions; Purchase of Renewable Natural Gas (RNG</w:t>
      </w:r>
      <w:r w:rsidR="00792999" w:rsidRPr="00D51726">
        <w:t>)</w:t>
      </w:r>
      <w:r w:rsidRPr="00D51726">
        <w:t xml:space="preserve"> Pilot Program; </w:t>
      </w:r>
      <w:proofErr w:type="gramStart"/>
      <w:r w:rsidRPr="00D51726">
        <w:t>and,</w:t>
      </w:r>
      <w:proofErr w:type="gramEnd"/>
      <w:r w:rsidRPr="00D51726">
        <w:t xml:space="preserve"> Peaking Contract </w:t>
      </w:r>
      <w:r w:rsidRPr="00D51726">
        <w:lastRenderedPageBreak/>
        <w:t>RFP Modifications</w:t>
      </w:r>
      <w:bookmarkEnd w:id="6"/>
      <w:r w:rsidRPr="00D51726">
        <w:t xml:space="preserve">.  This is the order in which they are presented </w:t>
      </w:r>
      <w:r w:rsidR="009E581A" w:rsidRPr="00D51726">
        <w:t xml:space="preserve">in the UGI Statement in Support </w:t>
      </w:r>
      <w:r w:rsidRPr="00D51726">
        <w:t xml:space="preserve">and will be summarized, below. </w:t>
      </w:r>
    </w:p>
    <w:p w14:paraId="656F2945" w14:textId="77777777" w:rsidR="007632FB" w:rsidRPr="00D51726" w:rsidRDefault="007632FB" w:rsidP="00E91407">
      <w:pPr>
        <w:spacing w:line="360" w:lineRule="auto"/>
      </w:pPr>
    </w:p>
    <w:p w14:paraId="4F8EA2F7" w14:textId="318071AC" w:rsidR="005049CD" w:rsidRPr="00D51726" w:rsidRDefault="009B0BAA" w:rsidP="00E91407">
      <w:pPr>
        <w:spacing w:line="360" w:lineRule="auto"/>
        <w:ind w:firstLine="1440"/>
      </w:pPr>
      <w:r w:rsidRPr="00D51726">
        <w:t>UGI states that the agreed upon design day is in the public interest:</w:t>
      </w:r>
    </w:p>
    <w:p w14:paraId="7C96AE97" w14:textId="77777777" w:rsidR="009E581A" w:rsidRPr="00D51726" w:rsidRDefault="009E581A" w:rsidP="00E91407">
      <w:pPr>
        <w:spacing w:line="360" w:lineRule="auto"/>
        <w:ind w:left="1440" w:right="720"/>
      </w:pPr>
    </w:p>
    <w:p w14:paraId="715FD9D0" w14:textId="0F103A3B" w:rsidR="009B0BAA" w:rsidRPr="00D51726" w:rsidRDefault="009B0BAA" w:rsidP="000F662E">
      <w:pPr>
        <w:ind w:left="2160" w:right="720"/>
      </w:pPr>
      <w:r w:rsidRPr="00D51726">
        <w:t xml:space="preserve">Adopting UGI Gas’s projected design day figure, which was unopposed by the parties to this proceeding, is in the public interest because it provides the Company with the capacity needed to respond to the needs of its core market customers on peak winter days in accordance with its obligations as the supplier of last resort.  The design day figure agreed to by the Joint Petitioners is necessary for UGI Gas to ensure continuous, reliable service under design day conditions.  (UGI Gas St. 2, pp. 6, 10-12).  The Company’s projected design day figure also accounts for the experienced growth of UGI Gas’s core market customers, which UGI Gas anticipates will continue.  If the Company did not include this expected customer growth, it would put the Company at risk of underestimating peak day demand.  (UGI Gas St. 2, p. 17).  Therefore, this Settlement term is in the public interest and should be approved.  </w:t>
      </w:r>
    </w:p>
    <w:p w14:paraId="082BF09E" w14:textId="77777777" w:rsidR="005049CD" w:rsidRPr="00D51726" w:rsidRDefault="005049CD" w:rsidP="00F35278">
      <w:pPr>
        <w:ind w:firstLine="1440"/>
      </w:pPr>
    </w:p>
    <w:p w14:paraId="47495F13" w14:textId="3BE1AE68" w:rsidR="005049CD" w:rsidRPr="00D51726" w:rsidRDefault="009B0BAA" w:rsidP="009B0BAA">
      <w:pPr>
        <w:spacing w:line="360" w:lineRule="auto"/>
      </w:pPr>
      <w:r w:rsidRPr="00D51726">
        <w:t>UGI Statement at 2-3.</w:t>
      </w:r>
    </w:p>
    <w:p w14:paraId="5BEC8FAA" w14:textId="1D505C54" w:rsidR="009B0BAA" w:rsidRPr="00D51726" w:rsidRDefault="009B0BAA" w:rsidP="009B0BAA">
      <w:pPr>
        <w:spacing w:line="360" w:lineRule="auto"/>
      </w:pPr>
    </w:p>
    <w:p w14:paraId="7C14A33E" w14:textId="7EA8E70B" w:rsidR="009B0BAA" w:rsidRPr="00D51726" w:rsidRDefault="009B0BAA" w:rsidP="009B0BAA">
      <w:pPr>
        <w:spacing w:line="360" w:lineRule="auto"/>
      </w:pPr>
      <w:r w:rsidRPr="00D51726">
        <w:tab/>
      </w:r>
      <w:r w:rsidRPr="00D51726">
        <w:tab/>
        <w:t xml:space="preserve">With respect to contract consolidation, UGI maintains that UGI proposed to accept the offer that would consolidate the twelve existing contracts listed on page 28 of Statement 2 as of October 31, 2021. (UGI Gas St.2, pp. 27-28).  No party opposed UGI Gas’s proposal. In Settlement, the Joint Petitioners agreed that UGI Gas will consolidate the twelve existing contracts between UGI Gas and UGIES for a total quantity of 259,476 </w:t>
      </w:r>
      <w:proofErr w:type="spellStart"/>
      <w:r w:rsidRPr="00D51726">
        <w:t>dth</w:t>
      </w:r>
      <w:proofErr w:type="spellEnd"/>
      <w:r w:rsidRPr="00D51726">
        <w:t xml:space="preserve"> per day for the term of 2021 through 2036.  UGI states that:</w:t>
      </w:r>
    </w:p>
    <w:p w14:paraId="0341F6EE" w14:textId="77777777" w:rsidR="009B0BAA" w:rsidRPr="00D51726" w:rsidRDefault="009B0BAA" w:rsidP="009B0BAA">
      <w:pPr>
        <w:spacing w:line="360" w:lineRule="auto"/>
      </w:pPr>
    </w:p>
    <w:p w14:paraId="2EF2C7C0" w14:textId="43B10E78" w:rsidR="009B0BAA" w:rsidRPr="00D51726" w:rsidRDefault="009B0BAA" w:rsidP="000F662E">
      <w:pPr>
        <w:ind w:left="2160" w:right="720"/>
      </w:pPr>
      <w:r w:rsidRPr="00D51726">
        <w:t>Acceptance of UGIES’s offer to consolidate the twelve existing service agreements through 2036 provides several benefits. The proposal provides a discount to the Company’s existing agreements in the form of a lower annual reservation charge over the contract term, compared to current pricing, and removes uncertainty of GDP Deflator rates on renewals. (UGI Gas St. 2, p. 28). The consolidated service agreements continue to provide supply reliability by maintaining the right to extend the agreements upon expiration of</w:t>
      </w:r>
      <w:r w:rsidR="00864A21" w:rsidRPr="00D51726">
        <w:t xml:space="preserve"> </w:t>
      </w:r>
      <w:r w:rsidRPr="00D51726">
        <w:t>the initial and subsequent terms.</w:t>
      </w:r>
      <w:r w:rsidR="000B2ABD" w:rsidRPr="00D51726">
        <w:t xml:space="preserve">  </w:t>
      </w:r>
      <w:r w:rsidRPr="00D51726">
        <w:t xml:space="preserve">(UGI Gas St. </w:t>
      </w:r>
      <w:r w:rsidRPr="00D51726">
        <w:lastRenderedPageBreak/>
        <w:t>2, p. 28). Specifically, the consolidated offer will provide an estimated average cost</w:t>
      </w:r>
      <w:r w:rsidR="00463BBC" w:rsidRPr="00D51726">
        <w:t xml:space="preserve"> </w:t>
      </w:r>
      <w:r w:rsidRPr="00D51726">
        <w:t>savings of approximately $2.7 million per year over a 15-year period, or $40 million over the term of</w:t>
      </w:r>
      <w:r w:rsidR="000B2ABD" w:rsidRPr="00D51726">
        <w:t xml:space="preserve"> </w:t>
      </w:r>
      <w:r w:rsidRPr="00D51726">
        <w:t>the agreements as compared to the rates presently charged under the existing agreements. This represents material savings for UGI Gas’s core market customers. (UGI Gas St. 2, p. 29). Lastly, maintaining twelve contracts is much more administratively burdensome when compared to the proposed three contracts and will lessen the need for repetitive requests for proposals (“RFPs”) for the same or similar services as the Company already receives few bidders for peaking or delivered supply services. (UGI Gas St. 2, pp. 28-29). For these reasons, the Settlement term accepting the proposed contract consolidation is in the public interest and should be approved.</w:t>
      </w:r>
    </w:p>
    <w:p w14:paraId="48E7ED1E" w14:textId="77777777" w:rsidR="005049CD" w:rsidRPr="00D51726" w:rsidRDefault="005049CD" w:rsidP="00F35278">
      <w:pPr>
        <w:ind w:firstLine="1440"/>
      </w:pPr>
    </w:p>
    <w:p w14:paraId="4F924614" w14:textId="47B39E4E" w:rsidR="005049CD" w:rsidRPr="00D51726" w:rsidRDefault="009B0BAA" w:rsidP="009B0BAA">
      <w:pPr>
        <w:spacing w:line="360" w:lineRule="auto"/>
      </w:pPr>
      <w:r w:rsidRPr="00D51726">
        <w:t xml:space="preserve">UGI Statement at </w:t>
      </w:r>
      <w:r w:rsidR="000B2ABD" w:rsidRPr="00D51726">
        <w:t>4.</w:t>
      </w:r>
    </w:p>
    <w:p w14:paraId="181BD0D1" w14:textId="77777777" w:rsidR="000B2ABD" w:rsidRPr="00D51726" w:rsidRDefault="000B2ABD" w:rsidP="00E0275D">
      <w:pPr>
        <w:spacing w:line="360" w:lineRule="auto"/>
      </w:pPr>
    </w:p>
    <w:p w14:paraId="0B486AC1" w14:textId="4F2C7B51" w:rsidR="000D489A" w:rsidRPr="00D51726" w:rsidRDefault="000B2ABD" w:rsidP="00E0275D">
      <w:pPr>
        <w:spacing w:line="360" w:lineRule="auto"/>
      </w:pPr>
      <w:r w:rsidRPr="00D51726">
        <w:tab/>
      </w:r>
      <w:r w:rsidRPr="00D51726">
        <w:tab/>
        <w:t xml:space="preserve">With respect to peak day capacity supply additions, </w:t>
      </w:r>
      <w:r w:rsidR="007E4F6B" w:rsidRPr="00D51726">
        <w:t xml:space="preserve">UGI </w:t>
      </w:r>
      <w:r w:rsidR="005F6415" w:rsidRPr="00D51726">
        <w:t>provide</w:t>
      </w:r>
      <w:r w:rsidR="009E581A" w:rsidRPr="00D51726">
        <w:t xml:space="preserve">d to the Parties both a </w:t>
      </w:r>
      <w:r w:rsidR="005F6415" w:rsidRPr="00D51726">
        <w:t xml:space="preserve">short-term and long-term analysis, particularly as related to UGI’s gas system serving the West Shore of the Harrisburg area.  UGI </w:t>
      </w:r>
      <w:r w:rsidR="007E4F6B" w:rsidRPr="00D51726">
        <w:t xml:space="preserve">anticipated a 25,891 </w:t>
      </w:r>
      <w:proofErr w:type="spellStart"/>
      <w:r w:rsidR="007E4F6B" w:rsidRPr="00D51726">
        <w:t>dth</w:t>
      </w:r>
      <w:proofErr w:type="spellEnd"/>
      <w:r w:rsidR="007E4F6B" w:rsidRPr="00D51726">
        <w:t xml:space="preserve"> shortfall in its peak day capacity for the upcoming 2021-2022 winter.  (UGI St 2-R, p. 4).  A portion of this total peak day capacity shortfall is related to a location on UGI Gas’s system serving the West Shore.  The Company </w:t>
      </w:r>
      <w:r w:rsidR="005F6415" w:rsidRPr="00D51726">
        <w:t xml:space="preserve">states that it </w:t>
      </w:r>
      <w:r w:rsidR="007E4F6B" w:rsidRPr="00D51726">
        <w:t>has experienced load growth in this part of its distribution system and has also identified that there is limited availability for supplemental supplies at this time. This portion of the distribution system is primarily served by Columbia Gas Transmission, LLC (Columbia).  In order to obtain additional gas supply from Columbia, an expansion project would be needed.  In February of 2021, UGI Gas inquired about the possibility of an expansion project</w:t>
      </w:r>
      <w:r w:rsidR="005F6415" w:rsidRPr="00D51726">
        <w:t>.  According to UGI, C</w:t>
      </w:r>
      <w:r w:rsidR="007E4F6B" w:rsidRPr="00D51726">
        <w:t xml:space="preserve">olumbia did not provide a viable expansion project to the Company.  (UGI St. 2, p 30).  As a result, UGI Gas conducted a detailed load analysis to specifically identify the magnitude of the undersupply in the West Shore area.  (UGI Gas St. 2, p. 30).  Specifically, the Company identified an immediate need for up to 5,910 </w:t>
      </w:r>
      <w:proofErr w:type="spellStart"/>
      <w:r w:rsidR="007E4F6B" w:rsidRPr="00D51726">
        <w:t>dth</w:t>
      </w:r>
      <w:proofErr w:type="spellEnd"/>
      <w:r w:rsidR="007E4F6B" w:rsidRPr="00D51726">
        <w:t xml:space="preserve"> per day on a peak day for the upcoming 2021-2022 winter.  (UGI St. 2, pp. 31, 33).  UGI Statement at 4-5.</w:t>
      </w:r>
      <w:r w:rsidR="005F6415" w:rsidRPr="00D51726">
        <w:t xml:space="preserve">  UGI also assessed the long-term implications for this area to determine whether it was appropriate to explore long-term supply solutions, such as pipeline expansions or new construction projects.  The Company applied a growth rate, consistent with the most recent three-year period, to the upcoming fifteen-</w:t>
      </w:r>
      <w:r w:rsidR="005F6415" w:rsidRPr="00D51726">
        <w:lastRenderedPageBreak/>
        <w:t xml:space="preserve">year period.  The results of that analysis showed a potential shortfall of 22,521 </w:t>
      </w:r>
      <w:proofErr w:type="spellStart"/>
      <w:r w:rsidR="005F6415" w:rsidRPr="00D51726">
        <w:t>dth</w:t>
      </w:r>
      <w:proofErr w:type="spellEnd"/>
      <w:r w:rsidR="005F6415" w:rsidRPr="00D51726">
        <w:t xml:space="preserve"> per day and 88,894 </w:t>
      </w:r>
      <w:proofErr w:type="spellStart"/>
      <w:r w:rsidR="005F6415" w:rsidRPr="00D51726">
        <w:t>dth</w:t>
      </w:r>
      <w:proofErr w:type="spellEnd"/>
      <w:r w:rsidR="005F6415" w:rsidRPr="00D51726">
        <w:t xml:space="preserve"> seasonally by the 2038-2039 winter.  (UGI St. 2, p. 31).  UGI Statement at 5.</w:t>
      </w:r>
    </w:p>
    <w:p w14:paraId="1588BD38" w14:textId="39CFC59E" w:rsidR="005F6415" w:rsidRPr="00D51726" w:rsidRDefault="005F6415" w:rsidP="00E0275D">
      <w:pPr>
        <w:spacing w:line="360" w:lineRule="auto"/>
      </w:pPr>
    </w:p>
    <w:p w14:paraId="57C7456B" w14:textId="50CCF57F" w:rsidR="005F6415" w:rsidRPr="00D51726" w:rsidRDefault="005F6415" w:rsidP="00E0275D">
      <w:pPr>
        <w:spacing w:line="360" w:lineRule="auto"/>
      </w:pPr>
      <w:r w:rsidRPr="00D51726">
        <w:tab/>
      </w:r>
      <w:r w:rsidRPr="00D51726">
        <w:tab/>
        <w:t xml:space="preserve">UGI has taken steps to identify possible supply solutions.  To address the short-term needs, the Company issued an RFP in June 2021 seeking a mobile liquified natural gas (LNG) service.  (UGI St. 2-R, p. 3).  As explained in UGI St. 2-R, the Company proposed to accept the offer from Mobile LNG Supplier A because it satisfied the requirements of the RFP and met the least cost procurement obligation on an annualized per </w:t>
      </w:r>
      <w:proofErr w:type="spellStart"/>
      <w:r w:rsidRPr="00D51726">
        <w:t>dth</w:t>
      </w:r>
      <w:proofErr w:type="spellEnd"/>
      <w:r w:rsidRPr="00D51726">
        <w:t xml:space="preserve"> basis.  The mobile LNG service will fully address the West Shore’s peak day supply shortfall needs beginning in winter 2021-2022 and continuing until the permanent LNG solution is constructed (described below as the “long-term” solution for the West Shore).  The 10,000 </w:t>
      </w:r>
      <w:proofErr w:type="spellStart"/>
      <w:r w:rsidRPr="00D51726">
        <w:t>dth</w:t>
      </w:r>
      <w:proofErr w:type="spellEnd"/>
      <w:r w:rsidRPr="00D51726">
        <w:t xml:space="preserve"> per day being provided more than satisfies the specific needs of the West Shore for the 2021-2022 season and is beneficial because it provides additional flexibility to the UGI Gas distribution system. (UGI Gas St. 2-R, p. 4). This LNG frees up a portion of existing interstate pipeline capacity into the West Shore so that adjacent segments of UGI Gas’s system can benefit by utilizing this excess pipeline capacity previously utilized for the West Shore.  As a result of this flexibility, the excess supply provided by the mobile LNG short-term solution can be utilized, in part, to satisfy the total system shortfall of 25,981 </w:t>
      </w:r>
      <w:proofErr w:type="spellStart"/>
      <w:r w:rsidRPr="00D51726">
        <w:t>dth</w:t>
      </w:r>
      <w:proofErr w:type="spellEnd"/>
      <w:r w:rsidRPr="00D51726">
        <w:t xml:space="preserve"> per day.  (UGI Gas St. 2-R, p. 4).</w:t>
      </w:r>
      <w:r w:rsidR="00C017C4" w:rsidRPr="00D51726">
        <w:t xml:space="preserve">  UGI Statement at 5-6.</w:t>
      </w:r>
    </w:p>
    <w:p w14:paraId="3B62D43C" w14:textId="77777777" w:rsidR="00C017C4" w:rsidRPr="00D51726" w:rsidRDefault="00C017C4" w:rsidP="00E0275D">
      <w:pPr>
        <w:spacing w:line="360" w:lineRule="auto"/>
      </w:pPr>
    </w:p>
    <w:p w14:paraId="12BEFC41" w14:textId="02259DBD" w:rsidR="005F6415" w:rsidRPr="00D51726" w:rsidRDefault="00C017C4" w:rsidP="00E0275D">
      <w:pPr>
        <w:spacing w:line="360" w:lineRule="auto"/>
      </w:pPr>
      <w:r w:rsidRPr="00D51726">
        <w:tab/>
      </w:r>
      <w:r w:rsidRPr="00D51726">
        <w:tab/>
      </w:r>
      <w:r w:rsidR="005F6415" w:rsidRPr="00D51726">
        <w:t xml:space="preserve">The parties also agreed that in order to address the remaining total system shortfall of 15,891 </w:t>
      </w:r>
      <w:proofErr w:type="spellStart"/>
      <w:r w:rsidR="005F6415" w:rsidRPr="00D51726">
        <w:t>dth</w:t>
      </w:r>
      <w:proofErr w:type="spellEnd"/>
      <w:r w:rsidR="005F6415" w:rsidRPr="00D51726">
        <w:t xml:space="preserve"> per day, UGI Gas will accept a reduced quantity of delivered Texas Eastern supply of 15,891 </w:t>
      </w:r>
      <w:proofErr w:type="spellStart"/>
      <w:r w:rsidR="005F6415" w:rsidRPr="00D51726">
        <w:t>dth</w:t>
      </w:r>
      <w:proofErr w:type="spellEnd"/>
      <w:r w:rsidR="005F6415" w:rsidRPr="00D51726">
        <w:t xml:space="preserve"> per day from UGIES (UGIES Offer 1).  The term of these supply contracts will be three years (2021-2024).  (Settlement ¶¶ 17, 18).  Together, the offers for 10,000 </w:t>
      </w:r>
      <w:proofErr w:type="spellStart"/>
      <w:r w:rsidR="005F6415" w:rsidRPr="00D51726">
        <w:t>dth</w:t>
      </w:r>
      <w:proofErr w:type="spellEnd"/>
      <w:r w:rsidR="005F6415" w:rsidRPr="00D51726">
        <w:t xml:space="preserve"> per day of mobile LNG and 15,891 </w:t>
      </w:r>
      <w:proofErr w:type="spellStart"/>
      <w:r w:rsidR="005F6415" w:rsidRPr="00D51726">
        <w:t>dth</w:t>
      </w:r>
      <w:proofErr w:type="spellEnd"/>
      <w:r w:rsidR="005F6415" w:rsidRPr="00D51726">
        <w:t xml:space="preserve"> per day of supply provided by UGIES Offer 1 satisfy the total expected system shortfall identified by the Company.  </w:t>
      </w:r>
      <w:r w:rsidRPr="00D51726">
        <w:t>UGI Statement at 6.</w:t>
      </w:r>
    </w:p>
    <w:p w14:paraId="2B084573" w14:textId="77777777" w:rsidR="00C017C4" w:rsidRPr="00D51726" w:rsidRDefault="00C017C4" w:rsidP="00E0275D">
      <w:pPr>
        <w:spacing w:line="360" w:lineRule="auto"/>
      </w:pPr>
    </w:p>
    <w:p w14:paraId="72DD01AE" w14:textId="7820FFD9" w:rsidR="005F6415" w:rsidRPr="00D51726" w:rsidRDefault="00C017C4" w:rsidP="00E0275D">
      <w:pPr>
        <w:spacing w:line="360" w:lineRule="auto"/>
      </w:pPr>
      <w:r w:rsidRPr="00D51726">
        <w:tab/>
      </w:r>
      <w:r w:rsidRPr="00D51726">
        <w:tab/>
        <w:t>UGI maintains that a</w:t>
      </w:r>
      <w:r w:rsidR="005F6415" w:rsidRPr="00D51726">
        <w:t xml:space="preserve">cceptance of these two offers selected by UGI Gas and agreed to by the Joint Petitioners is in the public interest because these offers meet the Company’s least cost procurement obligation, while providing the necessary peak day capacity for UGI Gas.  </w:t>
      </w:r>
      <w:r w:rsidRPr="00D51726">
        <w:t>UGI states that t</w:t>
      </w:r>
      <w:r w:rsidR="005F6415" w:rsidRPr="00D51726">
        <w:t xml:space="preserve">his peak capacity provides reliable and continuous service to UGI Gas’s core market customers throughout the year and on peak day, consistent with its obligations </w:t>
      </w:r>
      <w:r w:rsidR="005F6415" w:rsidRPr="00D51726">
        <w:lastRenderedPageBreak/>
        <w:t xml:space="preserve">as the supplier of last resort.  </w:t>
      </w:r>
      <w:r w:rsidRPr="00D51726">
        <w:t>UGI asserts that w</w:t>
      </w:r>
      <w:r w:rsidR="005F6415" w:rsidRPr="00D51726">
        <w:t>ithout the additional capacity provided for in the Settlement, UGI Gas is at risk for having insufficient capacity to meet the total peak day capacity needs on its system during the upcoming winter.  (UGI Gas St. 2, p. 31).</w:t>
      </w:r>
      <w:r w:rsidRPr="00D51726">
        <w:t xml:space="preserve">  UGI Statement at 7.</w:t>
      </w:r>
    </w:p>
    <w:p w14:paraId="1F3D80E1" w14:textId="1585F542" w:rsidR="00C017C4" w:rsidRPr="00D51726" w:rsidRDefault="00C017C4" w:rsidP="00E0275D">
      <w:pPr>
        <w:spacing w:line="360" w:lineRule="auto"/>
      </w:pPr>
    </w:p>
    <w:p w14:paraId="4F1E9D52" w14:textId="5174C1A4" w:rsidR="00C017C4" w:rsidRPr="00D51726" w:rsidRDefault="00C017C4" w:rsidP="00E0275D">
      <w:pPr>
        <w:spacing w:line="360" w:lineRule="auto"/>
      </w:pPr>
      <w:r w:rsidRPr="00D51726">
        <w:tab/>
      </w:r>
      <w:r w:rsidRPr="00D51726">
        <w:tab/>
        <w:t xml:space="preserve">With respect to addressing the long-term needs of the West Shore, which included building a lateral to the Texas Eastern pipeline system, expanding the current service with Columbia, or developing a source of localized supply (e.g., LNG or compressed natural gas (CNG)), the Company proposed to accept the UGIES Offer II for LNG service for 40,000 </w:t>
      </w:r>
      <w:proofErr w:type="spellStart"/>
      <w:r w:rsidRPr="00D51726">
        <w:t>dth</w:t>
      </w:r>
      <w:proofErr w:type="spellEnd"/>
      <w:r w:rsidRPr="00D51726">
        <w:t xml:space="preserve"> per day.  UGIES Offer II involves the construction of a new LNG tank facility that will be owned by UGIES and is expected to be in service by winter 2024-2025.  (UGI Gas St. 2, p. 33).  UGI Statement at 7.  </w:t>
      </w:r>
    </w:p>
    <w:p w14:paraId="07358819" w14:textId="2BB2E08E" w:rsidR="00C017C4" w:rsidRPr="00D51726" w:rsidRDefault="00C017C4" w:rsidP="00E0275D">
      <w:pPr>
        <w:spacing w:line="360" w:lineRule="auto"/>
      </w:pPr>
    </w:p>
    <w:p w14:paraId="69B3D5E7" w14:textId="77777777" w:rsidR="00C017C4" w:rsidRPr="00D51726" w:rsidRDefault="00C017C4" w:rsidP="00E0275D">
      <w:pPr>
        <w:spacing w:line="360" w:lineRule="auto"/>
      </w:pPr>
      <w:r w:rsidRPr="00D51726">
        <w:tab/>
      </w:r>
      <w:r w:rsidRPr="00D51726">
        <w:tab/>
        <w:t>No party opposes UGI Gas’s proposal to address the long-term needs of the West Shore:</w:t>
      </w:r>
    </w:p>
    <w:p w14:paraId="37DDF59C" w14:textId="77777777" w:rsidR="00C017C4" w:rsidRPr="00D51726" w:rsidRDefault="00C017C4" w:rsidP="00E0275D">
      <w:pPr>
        <w:spacing w:line="360" w:lineRule="auto"/>
      </w:pPr>
    </w:p>
    <w:p w14:paraId="085D6747" w14:textId="5DA7070A" w:rsidR="00C017C4" w:rsidRPr="00D51726" w:rsidRDefault="00C017C4" w:rsidP="000F662E">
      <w:pPr>
        <w:ind w:left="2160" w:right="720"/>
      </w:pPr>
      <w:r w:rsidRPr="00D51726">
        <w:t xml:space="preserve">In the Settlement, the Joint Petitioners agreed that to address the West Shore’s long-term supply needs (2024 and beyond), UGI Gas will accept the UGIES Offer II for LNG service of 40,000 </w:t>
      </w:r>
      <w:proofErr w:type="spellStart"/>
      <w:r w:rsidRPr="00D51726">
        <w:t>dth</w:t>
      </w:r>
      <w:proofErr w:type="spellEnd"/>
      <w:r w:rsidRPr="00D51726">
        <w:t xml:space="preserve"> per day to be provided by an LNG facility to be constructed, </w:t>
      </w:r>
      <w:proofErr w:type="gramStart"/>
      <w:r w:rsidRPr="00D51726">
        <w:t>owned</w:t>
      </w:r>
      <w:proofErr w:type="gramEnd"/>
      <w:r w:rsidRPr="00D51726">
        <w:t xml:space="preserve"> and operated by UGIES and located in the West Shore area.  (Settlement ¶ 19).  This provision of the Settlement is in the public interest and should be approved because, in addition to providing a permanent long-term solution to the supply needs of the West Shore, there are many benefits associated with adding the proposed LNG facility.  Adding LNG to the UGI Gas system will further diversify the supply options available to the Company.  In addition, it will increase the Company’s flexibility to meet growing and changing supply needs on other parts of its service territory.  (UGI Gas St. 2, pp. 33-34).</w:t>
      </w:r>
    </w:p>
    <w:p w14:paraId="0BCBABE4" w14:textId="1F8DFF1B" w:rsidR="000B2ABD" w:rsidRPr="00D51726" w:rsidRDefault="000B2ABD" w:rsidP="00E0275D"/>
    <w:p w14:paraId="258067E8" w14:textId="62E116F5" w:rsidR="000B2ABD" w:rsidRPr="00D51726" w:rsidRDefault="00C017C4" w:rsidP="000B2ABD">
      <w:pPr>
        <w:spacing w:line="360" w:lineRule="auto"/>
      </w:pPr>
      <w:r w:rsidRPr="00D51726">
        <w:t>UGI Statement at 8.</w:t>
      </w:r>
    </w:p>
    <w:p w14:paraId="703AA9F7" w14:textId="15975754" w:rsidR="0003773E" w:rsidRPr="00D51726" w:rsidRDefault="0003773E" w:rsidP="00B46CE5">
      <w:pPr>
        <w:spacing w:line="360" w:lineRule="auto"/>
      </w:pPr>
    </w:p>
    <w:p w14:paraId="7CC0D976" w14:textId="011252E1" w:rsidR="006506E1" w:rsidRPr="00D51726" w:rsidRDefault="006506E1" w:rsidP="00B46CE5">
      <w:pPr>
        <w:spacing w:line="360" w:lineRule="auto"/>
        <w:ind w:firstLine="720"/>
      </w:pPr>
      <w:r w:rsidRPr="00D51726">
        <w:tab/>
        <w:t xml:space="preserve">UGI Gas proposes to incorporate RNG into its supply portfolio.  UGI will have an RNG facility, owned by Archaea Energy, LLC (Archaea), directly connected to its system beginning in the fall of 2021.  (UGI Gas St. 2, p. 35).  The direct connection will provide UGI Gas with access to RNG that does not require any transportation while also providing </w:t>
      </w:r>
      <w:r w:rsidRPr="00D51726">
        <w:lastRenderedPageBreak/>
        <w:t xml:space="preserve">environmental benefits to customers and local communities.  (UGI St. 2, pp. 39-40).  The parties engaged in extensive settlement discussions regarding the RNG proposal, and the Settlement reflects a compromise of the Joint Petitioners’ positions on these issues.  The Settlement adopts the Company’s RNG proposal with several modifications.  UGI argues that that UGI Gas will enter a five-year contract to obtain 909 </w:t>
      </w:r>
      <w:proofErr w:type="spellStart"/>
      <w:r w:rsidRPr="00D51726">
        <w:t>dth</w:t>
      </w:r>
      <w:proofErr w:type="spellEnd"/>
      <w:r w:rsidRPr="00D51726">
        <w:t xml:space="preserve"> per day of RNG from Archaea, as identified on pages 35-39 of UGI Gas Statement No. 2.  (Settlement ¶ 20).   UGI asserts that approval of UGI Gas’s RNG proposal as modified by the Settlement is in the public interest because it provides benefits to the customers and the local communities located in UGI Gas’s service territory, as well as to the Commonwealth of Pennsylvania.  Here, UGI cites documented environmental benefits as recognized by the Environmental Protection Agency (EPA).  The EPA has identified RNG as reducing greenhouse gas emissions because RNG projects capture and recover methane that will already be produced and otherwise released into the atmosphere as climate pollutants.  (UGI Gas St. 2, p. 16).  UGI Statement at 11-12.</w:t>
      </w:r>
    </w:p>
    <w:p w14:paraId="56B549D2" w14:textId="77777777" w:rsidR="00B23DA2" w:rsidRPr="00D51726" w:rsidRDefault="00B23DA2" w:rsidP="00B46CE5">
      <w:pPr>
        <w:spacing w:line="360" w:lineRule="auto"/>
        <w:ind w:firstLine="720"/>
        <w:jc w:val="both"/>
      </w:pPr>
    </w:p>
    <w:p w14:paraId="54DAB232" w14:textId="6B69E905" w:rsidR="006506E1" w:rsidRPr="00D51726" w:rsidRDefault="004026E7" w:rsidP="00B46CE5">
      <w:pPr>
        <w:spacing w:line="360" w:lineRule="auto"/>
        <w:ind w:firstLine="720"/>
      </w:pPr>
      <w:r w:rsidRPr="00D51726">
        <w:tab/>
        <w:t xml:space="preserve">UGI states that RNG has the potential to be sourced from dairies, wastewater treatment plants, and food waste plants.  (UGI Gas St. 2, p. 17).  These sources serve as a means to reduce greenhouse gas emissions while allowing local businesses and communities to reap the economic benefits of utilities sourcing gas locally.  Pennsylvania, and UGI Gas’s service territory specifically, is full of these local sources of sustainable, environmentally friendly gas production.  (UGI Gas St. 2, p. 17).  UGI cites a recent Statement on UGI Gas’s proposed Tariff Supplement at Docket No. R-2021-3026078, by Chairman Gladys Brown Dutrieuille expressing support for the introduction of RNG on UGI Gas’s system, noting the potential benefits to commercial and agricultural entities in the Commonwealth.  See </w:t>
      </w:r>
      <w:r w:rsidRPr="00D51726">
        <w:rPr>
          <w:i/>
          <w:iCs/>
        </w:rPr>
        <w:t>UGI Util</w:t>
      </w:r>
      <w:r w:rsidR="007D65AA" w:rsidRPr="00D51726">
        <w:rPr>
          <w:i/>
          <w:iCs/>
        </w:rPr>
        <w:t>s.</w:t>
      </w:r>
      <w:r w:rsidRPr="00D51726">
        <w:rPr>
          <w:i/>
          <w:iCs/>
        </w:rPr>
        <w:t>, Inc. – Gas Division Supplement No. 21 to Tariff UGI Gas Pa. P.U.C. No. 7</w:t>
      </w:r>
      <w:r w:rsidRPr="00D51726">
        <w:t>, Docket No. R-2021-3026078 (</w:t>
      </w:r>
      <w:r w:rsidR="00634E51" w:rsidRPr="00D51726">
        <w:t xml:space="preserve">St. Comm’r Chmn. Brown Dutrieuille, </w:t>
      </w:r>
      <w:r w:rsidRPr="00D51726">
        <w:t>August 5, 2021).  UGI Statement at 12.</w:t>
      </w:r>
    </w:p>
    <w:p w14:paraId="67D16BE0" w14:textId="77777777" w:rsidR="00B23DA2" w:rsidRPr="00D51726" w:rsidRDefault="00B23DA2" w:rsidP="00B46CE5">
      <w:pPr>
        <w:spacing w:line="360" w:lineRule="auto"/>
        <w:ind w:firstLine="720"/>
        <w:jc w:val="both"/>
      </w:pPr>
    </w:p>
    <w:p w14:paraId="7FE2B385" w14:textId="7883ADE9" w:rsidR="004026E7" w:rsidRPr="00D51726" w:rsidRDefault="004026E7" w:rsidP="00B46CE5">
      <w:pPr>
        <w:spacing w:line="360" w:lineRule="auto"/>
        <w:ind w:firstLine="720"/>
      </w:pPr>
      <w:r w:rsidRPr="00D51726">
        <w:tab/>
        <w:t xml:space="preserve">UGI further states that in addition to the quantifiable environmental benefits recognized by the EPA, incorporating RNG into the Company’s supply portfolio will provide UGI Gas with a potential portfolio option that serves as a means to reduce or mitigate the impacts of increased capital expenditures and new regulatory requirements on interstate pipelines.  As the cost of interstate pipeline transportation continues to increase, while pipelines </w:t>
      </w:r>
      <w:r w:rsidRPr="00D51726">
        <w:lastRenderedPageBreak/>
        <w:t>modernize their systems, investing in locally sourced RNG now may provide a growing economic benefit over of the life of the supply agreement.  (UGI Gas St. 2, p. 18).</w:t>
      </w:r>
      <w:r w:rsidR="009A7C23" w:rsidRPr="00D51726">
        <w:rPr>
          <w:rStyle w:val="FootnoteReference"/>
        </w:rPr>
        <w:footnoteReference w:id="6"/>
      </w:r>
      <w:r w:rsidRPr="00D51726">
        <w:t xml:space="preserve">   UGI Statement at 12-13.</w:t>
      </w:r>
    </w:p>
    <w:p w14:paraId="6EB3BB87" w14:textId="77777777" w:rsidR="009E581A" w:rsidRPr="00D51726" w:rsidRDefault="009E581A" w:rsidP="00B46CE5">
      <w:pPr>
        <w:spacing w:line="360" w:lineRule="auto"/>
        <w:ind w:firstLine="720"/>
      </w:pPr>
    </w:p>
    <w:p w14:paraId="782B6899" w14:textId="468BBB62" w:rsidR="000470F2" w:rsidRPr="00D51726" w:rsidRDefault="004026E7" w:rsidP="00B46CE5">
      <w:pPr>
        <w:spacing w:line="360" w:lineRule="auto"/>
        <w:ind w:firstLine="720"/>
      </w:pPr>
      <w:r w:rsidRPr="00D51726">
        <w:tab/>
      </w:r>
      <w:r w:rsidR="000470F2" w:rsidRPr="00D51726">
        <w:t xml:space="preserve">UGI Gas states that it will undertake a </w:t>
      </w:r>
      <w:r w:rsidR="008F14D2" w:rsidRPr="00D51726">
        <w:t>five</w:t>
      </w:r>
      <w:r w:rsidR="000470F2" w:rsidRPr="00D51726">
        <w:t xml:space="preserve">-year pilot program that will explore the ability to generate revenue through the sale of RINs associated with the Archaea contract.  (Settlement ¶ 21).  </w:t>
      </w:r>
    </w:p>
    <w:p w14:paraId="4AF209CD" w14:textId="77777777" w:rsidR="000470F2" w:rsidRPr="00D51726" w:rsidRDefault="000470F2" w:rsidP="00B46CE5">
      <w:pPr>
        <w:spacing w:line="360" w:lineRule="auto"/>
        <w:ind w:firstLine="720"/>
      </w:pPr>
    </w:p>
    <w:p w14:paraId="2E7F53C2" w14:textId="3458BA5B" w:rsidR="004026E7" w:rsidRPr="00D51726" w:rsidRDefault="000470F2" w:rsidP="000F662E">
      <w:pPr>
        <w:ind w:left="2160" w:right="720"/>
        <w:jc w:val="both"/>
      </w:pPr>
      <w:r w:rsidRPr="00D51726">
        <w:t xml:space="preserve">The pilot will focus on offsetting or lowering the cost premium of the gas purchased in the Archaea contract by selling associated RINs and crediting net revenues (i.e., revenue remaining from RIN sales after fees are incurred to monetize the RINs) received from the sale of those RINs to the PGC.  Under the pilot, the PGC will be credited with either the first $12.50 per </w:t>
      </w:r>
      <w:proofErr w:type="spellStart"/>
      <w:r w:rsidRPr="00D51726">
        <w:t>dth</w:t>
      </w:r>
      <w:proofErr w:type="spellEnd"/>
      <w:r w:rsidRPr="00D51726">
        <w:t xml:space="preserve"> of net RIN sales revenue, or the full cost premium of RNG over the alternative non-RNG supply cost, whichever is lower.  (Settlement ¶ 21).  The RNG cost premium will be determined on a monthly basis as the difference between the RNG cost less the otherwise applicable gas commodity price of Inside FERC Index for Tennessee Gas Pipeline Zone 4-300 Leg.  (Settlement ¶ 21).   </w:t>
      </w:r>
    </w:p>
    <w:p w14:paraId="2C714DFF" w14:textId="77777777" w:rsidR="004026E7" w:rsidRPr="00D51726" w:rsidRDefault="004026E7" w:rsidP="00B46CE5">
      <w:pPr>
        <w:ind w:firstLine="720"/>
        <w:jc w:val="both"/>
      </w:pPr>
    </w:p>
    <w:p w14:paraId="59B7B100" w14:textId="352F3CBB" w:rsidR="006506E1" w:rsidRPr="00D51726" w:rsidRDefault="000470F2" w:rsidP="00AB264F">
      <w:pPr>
        <w:spacing w:line="360" w:lineRule="auto"/>
        <w:jc w:val="both"/>
      </w:pPr>
      <w:r w:rsidRPr="00D51726">
        <w:t>UGI Statement at 13.</w:t>
      </w:r>
    </w:p>
    <w:p w14:paraId="70399E23" w14:textId="77777777" w:rsidR="000470F2" w:rsidRPr="00D51726" w:rsidRDefault="000470F2" w:rsidP="00B46CE5">
      <w:pPr>
        <w:spacing w:line="360" w:lineRule="auto"/>
        <w:jc w:val="both"/>
      </w:pPr>
    </w:p>
    <w:p w14:paraId="283B46E9" w14:textId="591D6312" w:rsidR="000470F2" w:rsidRPr="00D51726" w:rsidRDefault="000470F2" w:rsidP="00B46CE5">
      <w:pPr>
        <w:spacing w:line="360" w:lineRule="auto"/>
      </w:pPr>
      <w:r w:rsidRPr="00D51726">
        <w:tab/>
      </w:r>
      <w:r w:rsidRPr="00D51726">
        <w:tab/>
        <w:t xml:space="preserve">UGI contends that the Settlement provision regarding RIN sales is in the public interest because it provides an opportunity for UGI Gas to sell the RINs associated with the purchase of RNG and credit a portion of those revenues to the PGC to offset the cost of RNG for PGC customers.  UGI performed an initial analysis to show the revenue that could be generated through the sale of RINs.  This analysis, assuming average market conditions experienced over the last </w:t>
      </w:r>
      <w:r w:rsidR="008F14D2" w:rsidRPr="00D51726">
        <w:t>five</w:t>
      </w:r>
      <w:r w:rsidRPr="00D51726">
        <w:t xml:space="preserve"> years, showed that PGC customers would pay no cost premium associated with the inclusion of RNG in the PGC portfolio.  Although this analysis relies on the recent RIN market and provides no guarantee of future market conditions being at the same or higher levels, it </w:t>
      </w:r>
      <w:r w:rsidRPr="00D51726">
        <w:lastRenderedPageBreak/>
        <w:t>demonstrates the significant cost premium offsets that may be achieved.  (UGI Gas St. 2-R, 25).  UGI Statement at 13-14.</w:t>
      </w:r>
      <w:r w:rsidR="003F7513" w:rsidRPr="00D51726">
        <w:t xml:space="preserve">  The Joint Petitioners agree that as part of the Settlement, in its next PGC filing</w:t>
      </w:r>
      <w:r w:rsidR="00BA67A5" w:rsidRPr="00D51726">
        <w:t>,</w:t>
      </w:r>
      <w:r w:rsidR="003F7513" w:rsidRPr="00D51726">
        <w:t xml:space="preserve"> UGI Gas will: (1) report on the daily quantities of RNG purchased; (2) identify the PGC rate impact of its RNG purchases; (3) identify the BTU content of its RNG purchases to the extent such data is available; and (4) report on the RIN sales activity, including volumes sold and prices obtained on a monthly basis.  UGI asserts that these reporting requirements are in the public interest because they will provide interested parties and the Commission with valuable information to assess the effectiveness of UGI Gas’s RNG proposal in future PGC cases.  UGI Statement at 14.</w:t>
      </w:r>
    </w:p>
    <w:p w14:paraId="206FAF61" w14:textId="77777777" w:rsidR="00634E51" w:rsidRPr="00D51726" w:rsidRDefault="00634E51" w:rsidP="00B46CE5">
      <w:pPr>
        <w:spacing w:line="360" w:lineRule="auto"/>
      </w:pPr>
    </w:p>
    <w:p w14:paraId="41F39D21" w14:textId="77777777" w:rsidR="003F7513" w:rsidRPr="00D51726" w:rsidRDefault="003F7513" w:rsidP="00B46CE5">
      <w:pPr>
        <w:spacing w:line="360" w:lineRule="auto"/>
      </w:pPr>
      <w:r w:rsidRPr="00D51726">
        <w:tab/>
      </w:r>
      <w:r w:rsidRPr="00D51726">
        <w:tab/>
        <w:t>The Joint Petitioners agree that the Company will defer without prejudice its proposal to increase the amount of RNG procured in future years.  UGI argues that given the totality of Settlement provisions on the Company’s RNG proposal, the Settlement’s treatment of the purchase of RNG should be approved as it reflects a reasonable compromise of the parties’ positions on the RNG proposal and maintains the right to propose an increase in RNG gas supply in future proceedings and based on changing market circumstances.  The Settlement provides that the Parties will have an opportunity to evaluate and present testimony on any proposal to increase RNG gas supply that is made in a future proceeding.   UGI Statement at 14-15.</w:t>
      </w:r>
    </w:p>
    <w:p w14:paraId="5BFA2EEB" w14:textId="77777777" w:rsidR="003F7513" w:rsidRPr="00D51726" w:rsidRDefault="003F7513" w:rsidP="00B46CE5">
      <w:pPr>
        <w:spacing w:line="360" w:lineRule="auto"/>
      </w:pPr>
    </w:p>
    <w:p w14:paraId="2049A2FE" w14:textId="10B9AF8D" w:rsidR="000B2ABD" w:rsidRPr="00D51726" w:rsidRDefault="003F7513" w:rsidP="00B46CE5">
      <w:pPr>
        <w:spacing w:line="360" w:lineRule="auto"/>
      </w:pPr>
      <w:r w:rsidRPr="00D51726">
        <w:t xml:space="preserve"> </w:t>
      </w:r>
      <w:r w:rsidR="00AB4242" w:rsidRPr="00D51726">
        <w:tab/>
      </w:r>
      <w:r w:rsidR="00AB4242" w:rsidRPr="00D51726">
        <w:tab/>
        <w:t>With respect to peaking contract RFP modifications, UGI holds a number of these contracts which allow the Company to call on firm supplies for a specific number of days during the winter heating period.  The annual reservation charge for the majority of these services is paid in equal installments over the service period (i.e., the winter period in which UGI Gas may call upon these supplies, or November through March).  (UGI Gas St. No. 2-R p. 7).  UGI Statement at 15.  The issue of payment terms for the Company’s peaking contracts has been addressed in UGI Gas’s three most recent PGC proceedings.  UGI maintains that:</w:t>
      </w:r>
    </w:p>
    <w:p w14:paraId="6695F629" w14:textId="2211735D" w:rsidR="00AB4242" w:rsidRPr="00D51726" w:rsidRDefault="00AB4242" w:rsidP="00B46CE5">
      <w:pPr>
        <w:spacing w:line="360" w:lineRule="auto"/>
      </w:pPr>
    </w:p>
    <w:p w14:paraId="128382EA" w14:textId="576E85ED" w:rsidR="00AB4242" w:rsidRPr="00D51726" w:rsidRDefault="00AB4242" w:rsidP="000F662E">
      <w:pPr>
        <w:ind w:left="2160" w:right="720"/>
      </w:pPr>
      <w:r w:rsidRPr="00D51726">
        <w:t>[I]n light of the Company’s recent experience with the 2021 RFP, the Company supports using the same peaking RFP process that was agreed upon in the 2019 and 2020 PGC settlements for any RFPs the Company may issue on a prospective basis.  (UGI Gas St. No. 2-R, p. 12).  In response to the Company’s January 2021 Peaking RFP, the Company received offers that included four-</w:t>
      </w:r>
      <w:r w:rsidRPr="00D51726">
        <w:lastRenderedPageBreak/>
        <w:t xml:space="preserve">month payment terms and offers that included five-month payment terms.  The Company has selected a peaking contract offer with a four-month payment term when it is cost effective to do so.  (UGI Gas St. 2-R, pp. 9-10).  As UGI Gas explained, requiring only a four-month payment term could increase costs because suppliers providing peaking service may charge a premium for payment terms over four months rather than five, which could adversely impact costs to the PGC.  Without the option of having five-month payment terms (November – March), the Company and customers would be placed at the disadvantage of not knowing if cheaper prices could be obtained by paying for the peaking services over five months.  (UGI Gas St. 2-R, pp. 10-11).   </w:t>
      </w:r>
    </w:p>
    <w:p w14:paraId="1C6F03F9" w14:textId="575E8AAE" w:rsidR="000B2ABD" w:rsidRPr="00D51726" w:rsidRDefault="000B2ABD" w:rsidP="00B46CE5"/>
    <w:p w14:paraId="60FB1D6F" w14:textId="3533D746" w:rsidR="00AB4242" w:rsidRPr="00D51726" w:rsidRDefault="00AB4242" w:rsidP="000B2ABD">
      <w:pPr>
        <w:spacing w:line="360" w:lineRule="auto"/>
      </w:pPr>
      <w:r w:rsidRPr="00D51726">
        <w:t>UGI Statement at 16.</w:t>
      </w:r>
    </w:p>
    <w:p w14:paraId="70393CF5" w14:textId="5EE46DA0" w:rsidR="000B2ABD" w:rsidRPr="00D51726" w:rsidRDefault="000B2ABD" w:rsidP="000B2ABD">
      <w:pPr>
        <w:spacing w:line="360" w:lineRule="auto"/>
      </w:pPr>
    </w:p>
    <w:p w14:paraId="25C650F5" w14:textId="77777777" w:rsidR="00AB4242" w:rsidRPr="00D51726" w:rsidRDefault="00AB4242" w:rsidP="00432EB2">
      <w:pPr>
        <w:spacing w:line="360" w:lineRule="auto"/>
      </w:pPr>
      <w:r w:rsidRPr="00D51726">
        <w:tab/>
      </w:r>
      <w:r w:rsidRPr="00D51726">
        <w:tab/>
        <w:t xml:space="preserve">The Settlement provides that the Company will conduct a three-year pilot regarding the format of its peaking contract RFPs. (Settlement ¶ 24).  The Company’s bid form will clearly state that bids must include payment terms over both a four-month (December-March) and five-month (November-March) period.  (Settlement ¶ 24).  The Company will evaluate RFP responses in a manner inclusive of projected PGC over/under collection and PGC interest impacts with regard to fixed charges and least cost procurement obligations. (Settlement ¶ 24).  The Company will provide the evaluation in live Excel format. (Settlement ¶ 24).  The Company will make the RFP responses available in future PGC proceedings to the statutory Parties and provide a recommendation based on the results of the pilot in the 2025 PGC proceeding.  (Settlement ¶ 24). </w:t>
      </w:r>
    </w:p>
    <w:p w14:paraId="450663AB" w14:textId="221BF658" w:rsidR="00AB4242" w:rsidRPr="00D51726" w:rsidRDefault="00AB4242" w:rsidP="00432EB2">
      <w:pPr>
        <w:spacing w:line="360" w:lineRule="auto"/>
      </w:pPr>
      <w:r w:rsidRPr="00D51726">
        <w:t xml:space="preserve"> </w:t>
      </w:r>
    </w:p>
    <w:p w14:paraId="7C4E7F3E" w14:textId="18782D1F" w:rsidR="000B2ABD" w:rsidRPr="00D51726" w:rsidRDefault="00AB4242" w:rsidP="00432EB2">
      <w:pPr>
        <w:spacing w:line="360" w:lineRule="auto"/>
      </w:pPr>
      <w:r w:rsidRPr="00D51726">
        <w:tab/>
      </w:r>
      <w:r w:rsidRPr="00D51726">
        <w:tab/>
        <w:t xml:space="preserve">UGI asserts that the Settlement will enable the Company to fully evaluate the pricing impact of excluding and including the November payment in peaking service contracts (on a going forward basis) and allow UGI Gas to select the contract that provides the most favorable terms for customers.  UGI argues that it is important to continue to request bids for both the four-month period and the five-month period in pursuit of least cost procurement opportunities.  (UGI Gas St. No. 2-R, pp. 10-11).  UGI explains that if the Company were to only request four-month payment options, the Company would be unable to properly evaluate any cost differences, or price premiums that bidders may include in their proposals (due to delaying payment for services provided in November, with payments for those service only beginning in </w:t>
      </w:r>
      <w:r w:rsidRPr="00D51726">
        <w:lastRenderedPageBreak/>
        <w:t>December).  (UGI Gas St. No. 2-R, pp. 9-10).  UGI concludes that the pilot reflected in the Settlement will provide the Company with the most comprehensive information and options so that the Company may select the least cost option consistent with its obligations under the Public Utility Code and will also give the Company a historic baseline for establishing a permanent practice as part of its 2025 PGC proceeding.  UGI concludes that this Settlement provision is reasonable, in the public interest and, should be approved.  UGI Statement at 17.</w:t>
      </w:r>
    </w:p>
    <w:p w14:paraId="5567B9C1" w14:textId="074E037F" w:rsidR="00967F46" w:rsidRPr="00D51726" w:rsidRDefault="00967F46" w:rsidP="00432EB2">
      <w:pPr>
        <w:spacing w:line="360" w:lineRule="auto"/>
      </w:pPr>
    </w:p>
    <w:p w14:paraId="15A026D7" w14:textId="6BAFFB76" w:rsidR="00967F46" w:rsidRPr="00D51726" w:rsidRDefault="00967F46" w:rsidP="00432EB2">
      <w:pPr>
        <w:autoSpaceDE/>
        <w:autoSpaceDN/>
        <w:spacing w:line="360" w:lineRule="auto"/>
        <w:rPr>
          <w:u w:val="single"/>
        </w:rPr>
      </w:pPr>
      <w:r w:rsidRPr="00D51726">
        <w:rPr>
          <w:u w:val="single"/>
        </w:rPr>
        <w:t>O</w:t>
      </w:r>
      <w:r w:rsidR="00882981" w:rsidRPr="00D51726">
        <w:rPr>
          <w:u w:val="single"/>
        </w:rPr>
        <w:t xml:space="preserve">ffice of </w:t>
      </w:r>
      <w:r w:rsidRPr="00D51726">
        <w:rPr>
          <w:u w:val="single"/>
        </w:rPr>
        <w:t>S</w:t>
      </w:r>
      <w:r w:rsidR="00882981" w:rsidRPr="00D51726">
        <w:rPr>
          <w:u w:val="single"/>
        </w:rPr>
        <w:t xml:space="preserve">mall </w:t>
      </w:r>
      <w:r w:rsidRPr="00D51726">
        <w:rPr>
          <w:u w:val="single"/>
        </w:rPr>
        <w:t>B</w:t>
      </w:r>
      <w:r w:rsidR="00882981" w:rsidRPr="00D51726">
        <w:rPr>
          <w:u w:val="single"/>
        </w:rPr>
        <w:t xml:space="preserve">usiness </w:t>
      </w:r>
      <w:r w:rsidRPr="00D51726">
        <w:rPr>
          <w:u w:val="single"/>
        </w:rPr>
        <w:t>A</w:t>
      </w:r>
      <w:r w:rsidR="00882981" w:rsidRPr="00D51726">
        <w:rPr>
          <w:u w:val="single"/>
        </w:rPr>
        <w:t>dvocate’s</w:t>
      </w:r>
      <w:r w:rsidRPr="00D51726">
        <w:rPr>
          <w:u w:val="single"/>
        </w:rPr>
        <w:t xml:space="preserve"> Statement in Support</w:t>
      </w:r>
    </w:p>
    <w:p w14:paraId="3BFEC725" w14:textId="77777777" w:rsidR="00967F46" w:rsidRPr="00D51726" w:rsidRDefault="00967F46" w:rsidP="00432EB2">
      <w:pPr>
        <w:autoSpaceDE/>
        <w:autoSpaceDN/>
        <w:spacing w:line="360" w:lineRule="auto"/>
      </w:pPr>
    </w:p>
    <w:p w14:paraId="382AA365" w14:textId="77777777" w:rsidR="00967F46" w:rsidRPr="00D51726" w:rsidRDefault="00967F46" w:rsidP="00432EB2">
      <w:pPr>
        <w:autoSpaceDE/>
        <w:autoSpaceDN/>
        <w:spacing w:line="360" w:lineRule="auto"/>
      </w:pPr>
      <w:r w:rsidRPr="00D51726">
        <w:tab/>
      </w:r>
      <w:r w:rsidRPr="00D51726">
        <w:tab/>
        <w:t xml:space="preserve">The OSBA submitted a Statement in Support of the proposed Settlement.  </w:t>
      </w:r>
    </w:p>
    <w:p w14:paraId="56CB2212" w14:textId="77777777" w:rsidR="00967F46" w:rsidRPr="00D51726" w:rsidRDefault="00967F46" w:rsidP="00432EB2">
      <w:pPr>
        <w:autoSpaceDE/>
        <w:autoSpaceDN/>
        <w:spacing w:line="360" w:lineRule="auto"/>
      </w:pPr>
    </w:p>
    <w:p w14:paraId="49E6F836" w14:textId="6D9BC4DD" w:rsidR="00967F46" w:rsidRPr="00D51726" w:rsidRDefault="00967F46" w:rsidP="00432EB2">
      <w:pPr>
        <w:autoSpaceDE/>
        <w:autoSpaceDN/>
        <w:spacing w:line="360" w:lineRule="auto"/>
        <w:rPr>
          <w:strike/>
        </w:rPr>
      </w:pPr>
      <w:r w:rsidRPr="00D51726">
        <w:tab/>
      </w:r>
      <w:r w:rsidRPr="00D51726">
        <w:tab/>
        <w:t>The OSBA had substantial concerns about the Company’s original proposal to purchase RNG.  OSBA maintains that as originally proposed, the purchase cost was far in excess of market prices for natural gas, with no offsetting revenues from the sale of environmental credits called “Renewable Identification Numbers” or “RINs.” being credited to ratepayers.  OSBA Statement 2.  OSBA does, however, state that the Joint Petition substantially addresses these concerns by limiting the approved purchase of RNG from Archaea to five years and by crediting ratepayers with net revenues from the sale of RINs.  OSBA also emphasizes that the Company has agreed to report back on the impact of the Archaea contract on ratepayers in its next PGC proceeding, at which time parties will be able to evaluate the whether the Company’s RNG program performed as UGI Gas expected.  OSBA Statement at 3.  OSBA supports the proposed Joint Petition and has requested that the Commission approve the Joint Petition in its entirety.  OSBA Statement at 4.</w:t>
      </w:r>
    </w:p>
    <w:p w14:paraId="28F8839D" w14:textId="60DDF2B4" w:rsidR="00634E51" w:rsidRPr="00D51726" w:rsidRDefault="00634E51" w:rsidP="00432EB2">
      <w:pPr>
        <w:spacing w:line="360" w:lineRule="auto"/>
      </w:pPr>
    </w:p>
    <w:p w14:paraId="10F890A5" w14:textId="0E3874FD" w:rsidR="008D11F3" w:rsidRPr="00D51726" w:rsidRDefault="00634E51" w:rsidP="00432EB2">
      <w:pPr>
        <w:spacing w:line="360" w:lineRule="auto"/>
        <w:rPr>
          <w:u w:val="single"/>
        </w:rPr>
      </w:pPr>
      <w:r w:rsidRPr="00D51726">
        <w:rPr>
          <w:u w:val="single"/>
        </w:rPr>
        <w:t>T</w:t>
      </w:r>
      <w:r w:rsidR="008D11F3" w:rsidRPr="00D51726">
        <w:rPr>
          <w:u w:val="single"/>
        </w:rPr>
        <w:t>he Bureau of Investigation and Enforcement</w:t>
      </w:r>
      <w:r w:rsidR="00882981" w:rsidRPr="00D51726">
        <w:rPr>
          <w:u w:val="single"/>
        </w:rPr>
        <w:t>’s</w:t>
      </w:r>
      <w:r w:rsidR="008D11F3" w:rsidRPr="00D51726">
        <w:rPr>
          <w:u w:val="single"/>
        </w:rPr>
        <w:t xml:space="preserve"> Statement in Support</w:t>
      </w:r>
    </w:p>
    <w:p w14:paraId="71962A2D" w14:textId="08B33910" w:rsidR="008D11F3" w:rsidRPr="00D51726" w:rsidRDefault="008D11F3" w:rsidP="00432EB2">
      <w:pPr>
        <w:spacing w:line="360" w:lineRule="auto"/>
      </w:pPr>
    </w:p>
    <w:p w14:paraId="6392E6D5" w14:textId="77777777" w:rsidR="00634E51" w:rsidRPr="00D51726" w:rsidRDefault="00882981" w:rsidP="00432EB2">
      <w:pPr>
        <w:spacing w:line="360" w:lineRule="auto"/>
      </w:pPr>
      <w:r w:rsidRPr="00D51726">
        <w:tab/>
      </w:r>
      <w:r w:rsidRPr="00D51726">
        <w:tab/>
        <w:t xml:space="preserve">The Bureau of Investigation and Enforcement submitted a Statement in Support </w:t>
      </w:r>
    </w:p>
    <w:p w14:paraId="5EA0CFEF" w14:textId="26ECC01D" w:rsidR="00882981" w:rsidRPr="00D51726" w:rsidRDefault="00882981" w:rsidP="00432EB2">
      <w:pPr>
        <w:spacing w:line="360" w:lineRule="auto"/>
      </w:pPr>
      <w:r w:rsidRPr="00D51726">
        <w:t>of the Settlement.</w:t>
      </w:r>
    </w:p>
    <w:p w14:paraId="2FA64092" w14:textId="77777777" w:rsidR="00882981" w:rsidRPr="00D51726" w:rsidRDefault="00882981" w:rsidP="00432EB2">
      <w:pPr>
        <w:spacing w:line="360" w:lineRule="auto"/>
      </w:pPr>
    </w:p>
    <w:p w14:paraId="4A6502CE" w14:textId="33C9CE7C" w:rsidR="00F456B0" w:rsidRPr="00D51726" w:rsidRDefault="00F456B0" w:rsidP="00432EB2">
      <w:pPr>
        <w:spacing w:line="360" w:lineRule="auto"/>
      </w:pPr>
      <w:r w:rsidRPr="00D51726">
        <w:tab/>
      </w:r>
      <w:r w:rsidRPr="00D51726">
        <w:tab/>
        <w:t>I&amp;E submits that the terms and conditions of the Joint Settlement are</w:t>
      </w:r>
    </w:p>
    <w:p w14:paraId="20297EE4" w14:textId="60034BA1" w:rsidR="00F456B0" w:rsidRPr="00D51726" w:rsidRDefault="00F456B0" w:rsidP="00432EB2">
      <w:pPr>
        <w:spacing w:line="360" w:lineRule="auto"/>
      </w:pPr>
      <w:r w:rsidRPr="00D51726">
        <w:t>in the public interest and represent a fair, just, and reasonable balance of the interests of</w:t>
      </w:r>
    </w:p>
    <w:p w14:paraId="416DD2C4" w14:textId="23FA6981" w:rsidR="008D11F3" w:rsidRPr="00D51726" w:rsidRDefault="00F456B0" w:rsidP="00432EB2">
      <w:pPr>
        <w:spacing w:line="360" w:lineRule="auto"/>
      </w:pPr>
      <w:r w:rsidRPr="00D51726">
        <w:lastRenderedPageBreak/>
        <w:t>the parties in the above-captioned proceeding and UGI Gas customers.</w:t>
      </w:r>
    </w:p>
    <w:p w14:paraId="58AE42B1" w14:textId="30416F6C" w:rsidR="00F456B0" w:rsidRPr="00D51726" w:rsidRDefault="00F456B0" w:rsidP="00432EB2">
      <w:pPr>
        <w:spacing w:line="360" w:lineRule="auto"/>
      </w:pPr>
    </w:p>
    <w:p w14:paraId="423275CD" w14:textId="0BDC39B1" w:rsidR="00F456B0" w:rsidRPr="00D51726" w:rsidRDefault="00F456B0" w:rsidP="00432EB2">
      <w:pPr>
        <w:spacing w:line="360" w:lineRule="auto"/>
      </w:pPr>
      <w:r w:rsidRPr="00D51726">
        <w:tab/>
      </w:r>
      <w:r w:rsidRPr="00D51726">
        <w:tab/>
        <w:t>I&amp;E explains that in past years, the Company made three separate annual Section 1307(f) filings for its three natural gas distribution companies: (1) UGI Utilities Inc., - Gas</w:t>
      </w:r>
    </w:p>
    <w:p w14:paraId="24DDFF88" w14:textId="77777777" w:rsidR="00F456B0" w:rsidRPr="00D51726" w:rsidRDefault="00F456B0" w:rsidP="00432EB2">
      <w:pPr>
        <w:spacing w:line="360" w:lineRule="auto"/>
      </w:pPr>
      <w:r w:rsidRPr="00D51726">
        <w:t>Division (now South Rate District); (2) UGI Penn Natural Gas, Inc. (now North Rate</w:t>
      </w:r>
    </w:p>
    <w:p w14:paraId="595C4405" w14:textId="5FA3A625" w:rsidR="00F456B0" w:rsidRPr="00D51726" w:rsidRDefault="00F456B0" w:rsidP="00432EB2">
      <w:pPr>
        <w:spacing w:line="360" w:lineRule="auto"/>
      </w:pPr>
      <w:r w:rsidRPr="00D51726">
        <w:t xml:space="preserve">District); </w:t>
      </w:r>
      <w:proofErr w:type="gramStart"/>
      <w:r w:rsidRPr="00D51726">
        <w:t>and,</w:t>
      </w:r>
      <w:proofErr w:type="gramEnd"/>
      <w:r w:rsidRPr="00D51726">
        <w:t xml:space="preserve"> (3) UGI Central Penn Gas, Inc. (now Central Rate District).  Pursuant to the Joint Application of UGI Utilities, Inc., UGI Penn Natural Gas, Inc., and UGI Central Penn Gas, Inc., which was approved on September 20, 2018, UGI Gas merged the three NGDCs into the one remaining NGDC, UGI Gas, and established three</w:t>
      </w:r>
      <w:r w:rsidR="008F14D2" w:rsidRPr="00D51726">
        <w:t xml:space="preserve"> (3)</w:t>
      </w:r>
      <w:r w:rsidR="000F662E" w:rsidRPr="00D51726">
        <w:t xml:space="preserve"> </w:t>
      </w:r>
      <w:r w:rsidRPr="00D51726">
        <w:t>rate districts.  I&amp;E Statement at 1.  I&amp;E identifies a number of specific factors that it considered in supporting the Settlement.</w:t>
      </w:r>
    </w:p>
    <w:p w14:paraId="606A0716" w14:textId="77777777" w:rsidR="00634E51" w:rsidRPr="00D51726" w:rsidRDefault="00634E51" w:rsidP="00432EB2">
      <w:pPr>
        <w:spacing w:line="360" w:lineRule="auto"/>
      </w:pPr>
    </w:p>
    <w:p w14:paraId="1B634FE1" w14:textId="2359F042" w:rsidR="00F456B0" w:rsidRPr="00D51726" w:rsidRDefault="00F456B0" w:rsidP="00432EB2">
      <w:pPr>
        <w:spacing w:line="360" w:lineRule="auto"/>
      </w:pPr>
      <w:r w:rsidRPr="00D51726">
        <w:tab/>
      </w:r>
      <w:r w:rsidRPr="00D51726">
        <w:tab/>
        <w:t>I&amp;E states that in the Settlement, UGI and the Parties agree the Company will be permitted to use a design day figure of 2.08 BCF, which includes 2.02 BCF of design cold firm</w:t>
      </w:r>
    </w:p>
    <w:p w14:paraId="2367CACA" w14:textId="4CC3061C" w:rsidR="00F456B0" w:rsidRPr="00D51726" w:rsidRDefault="00F456B0" w:rsidP="00432EB2">
      <w:pPr>
        <w:spacing w:line="360" w:lineRule="auto"/>
      </w:pPr>
      <w:r w:rsidRPr="00D51726">
        <w:t xml:space="preserve">requirements and 0.06 BCF of capacity reserves, for the Company’s firm core market needs (PGC and Choice Customer markets).  I&amp;E supports this as in the public interest.  </w:t>
      </w:r>
      <w:r w:rsidR="00C659A2" w:rsidRPr="00D51726">
        <w:t>I&amp;E Statement at 5-6.</w:t>
      </w:r>
    </w:p>
    <w:p w14:paraId="70CE3104" w14:textId="313B6648" w:rsidR="00C659A2" w:rsidRPr="00D51726" w:rsidRDefault="00C659A2" w:rsidP="00432EB2">
      <w:pPr>
        <w:spacing w:line="360" w:lineRule="auto"/>
      </w:pPr>
    </w:p>
    <w:p w14:paraId="4ECFAD80" w14:textId="2A9A7611" w:rsidR="00C659A2" w:rsidRPr="00D51726" w:rsidRDefault="00C659A2" w:rsidP="00432EB2">
      <w:pPr>
        <w:spacing w:line="360" w:lineRule="auto"/>
      </w:pPr>
      <w:r w:rsidRPr="00D51726">
        <w:tab/>
      </w:r>
      <w:r w:rsidRPr="00D51726">
        <w:tab/>
        <w:t xml:space="preserve">I&amp;E supports the contract consolidation provision </w:t>
      </w:r>
      <w:r w:rsidR="00F36ED5" w:rsidRPr="00D51726">
        <w:t xml:space="preserve">that </w:t>
      </w:r>
      <w:r w:rsidRPr="00D51726">
        <w:t>will result in the formation of three contracts based on the service type provided: 1) Day-Ahead Peaking; 2) Intra-Day Peaking; and 3) Annual Delivery Service.  I&amp;E technical staff analyzed the claims made by the Company and the testimony and exhibits presented.  I&amp;E supports this settled upon term as a full and fair</w:t>
      </w:r>
      <w:r w:rsidR="00F36ED5" w:rsidRPr="00D51726">
        <w:t xml:space="preserve"> </w:t>
      </w:r>
      <w:r w:rsidRPr="00D51726">
        <w:t>compromise that provides regulatory certainty and a resolution of this issue.  I&amp;E Statement at 7.</w:t>
      </w:r>
    </w:p>
    <w:p w14:paraId="07E14B8A" w14:textId="691B9644" w:rsidR="00C659A2" w:rsidRPr="00D51726" w:rsidRDefault="00C659A2" w:rsidP="00432EB2">
      <w:pPr>
        <w:spacing w:line="360" w:lineRule="auto"/>
      </w:pPr>
    </w:p>
    <w:p w14:paraId="10995FE3" w14:textId="74CD747E" w:rsidR="00C659A2" w:rsidRPr="00D51726" w:rsidRDefault="00C659A2" w:rsidP="00432EB2">
      <w:pPr>
        <w:spacing w:line="360" w:lineRule="auto"/>
      </w:pPr>
      <w:r w:rsidRPr="00D51726">
        <w:tab/>
      </w:r>
      <w:r w:rsidRPr="00D51726">
        <w:tab/>
        <w:t>I&amp;E agrees with the term of the Joint Settlement to address total peak day</w:t>
      </w:r>
    </w:p>
    <w:p w14:paraId="6260A430" w14:textId="2E193E27" w:rsidR="00C659A2" w:rsidRPr="00D51726" w:rsidRDefault="00C659A2" w:rsidP="00432EB2">
      <w:pPr>
        <w:spacing w:line="360" w:lineRule="auto"/>
      </w:pPr>
      <w:r w:rsidRPr="00D51726">
        <w:t xml:space="preserve">capacity supply shortfall needs.  </w:t>
      </w:r>
      <w:r w:rsidR="00F1330B" w:rsidRPr="00D51726">
        <w:t xml:space="preserve">I&amp;E explains that the RNG settlement terms represent a compromise with regard to the length of the RNG contract (reduced from 15 </w:t>
      </w:r>
      <w:r w:rsidR="00F36ED5" w:rsidRPr="00D51726">
        <w:t xml:space="preserve">years </w:t>
      </w:r>
      <w:r w:rsidR="00F1330B" w:rsidRPr="00D51726">
        <w:t>to 5 years) and the selling of the RINs to offset the higher cost of the RNG gas, thus, I&amp;E supports this resolution as in the public interest.  I&amp;E Statement at 15.</w:t>
      </w:r>
    </w:p>
    <w:p w14:paraId="552742BE" w14:textId="5E3864FD" w:rsidR="00F1330B" w:rsidRPr="00D51726" w:rsidRDefault="00F1330B" w:rsidP="00432EB2">
      <w:pPr>
        <w:spacing w:line="360" w:lineRule="auto"/>
      </w:pPr>
    </w:p>
    <w:p w14:paraId="34872251" w14:textId="3CBABCC7" w:rsidR="00F1330B" w:rsidRPr="00D51726" w:rsidRDefault="00F1330B" w:rsidP="00432EB2">
      <w:pPr>
        <w:spacing w:line="360" w:lineRule="auto"/>
      </w:pPr>
      <w:r w:rsidRPr="00D51726">
        <w:lastRenderedPageBreak/>
        <w:tab/>
      </w:r>
      <w:r w:rsidRPr="00D51726">
        <w:tab/>
        <w:t>I&amp;E states that UGI and the Parties agree that the Company will conduct a three</w:t>
      </w:r>
      <w:r w:rsidR="00DC30F7" w:rsidRPr="00D51726">
        <w:t>-</w:t>
      </w:r>
      <w:r w:rsidRPr="00D51726">
        <w:t>year pilot regarding the format of its peaking contract RFPs.  The Company’s bid form will clearly state that bids must include payment terms over both a four-month (December-March) and five-month (November-March) period. The Company will evaluate RFP responses in a manner which is inclusive of projected PGC over/under collection and PGC interest impacts with regard to fixed charges and least cost procurement obligations. The Company will provide the evaluation in live Excel format. The Company will make the RFP responses available in future PGC proceedings to the statutory Parties and provide a recommendation based on the results of the pilot in the 2025 PGC proceeding.</w:t>
      </w:r>
      <w:r w:rsidRPr="00D51726">
        <w:rPr>
          <w:rStyle w:val="FootnoteReference"/>
        </w:rPr>
        <w:footnoteReference w:id="7"/>
      </w:r>
      <w:r w:rsidRPr="00D51726">
        <w:t xml:space="preserve">  I&amp;E Statement at 15-17.</w:t>
      </w:r>
    </w:p>
    <w:p w14:paraId="19A081D4" w14:textId="651C4F7A" w:rsidR="00093B46" w:rsidRPr="00D51726" w:rsidRDefault="00432EB2" w:rsidP="00432EB2">
      <w:pPr>
        <w:spacing w:line="360" w:lineRule="auto"/>
      </w:pPr>
      <w:r w:rsidRPr="00D51726">
        <w:tab/>
      </w:r>
    </w:p>
    <w:p w14:paraId="73A9B9CD" w14:textId="4120AB5D" w:rsidR="00093B46" w:rsidRPr="00D51726" w:rsidRDefault="00093B46" w:rsidP="00432EB2">
      <w:pPr>
        <w:spacing w:line="360" w:lineRule="auto"/>
      </w:pPr>
      <w:r w:rsidRPr="00D51726">
        <w:tab/>
      </w:r>
      <w:r w:rsidRPr="00D51726">
        <w:tab/>
        <w:t>I&amp;E and the other parties agree that UGI Gas has met the standards set forth in Section 1318 of the Public Utility Code, as required by Section 1307(f)(5) of the Public Utility Code.  I&amp;E Statement at 17.</w:t>
      </w:r>
    </w:p>
    <w:p w14:paraId="1D5AEA5A" w14:textId="43DD30D3" w:rsidR="00093B46" w:rsidRPr="00D51726" w:rsidRDefault="00093B46" w:rsidP="00432EB2">
      <w:pPr>
        <w:spacing w:line="360" w:lineRule="auto"/>
      </w:pPr>
    </w:p>
    <w:p w14:paraId="17A6D5FD" w14:textId="02B027D9" w:rsidR="00093B46" w:rsidRPr="00D51726" w:rsidRDefault="00093B46" w:rsidP="00432EB2">
      <w:pPr>
        <w:spacing w:line="360" w:lineRule="auto"/>
      </w:pPr>
      <w:r w:rsidRPr="00D51726">
        <w:tab/>
      </w:r>
      <w:r w:rsidRPr="00D51726">
        <w:tab/>
        <w:t xml:space="preserve">With respect to the 12-month period beginning December 1, 2021, the period of time during which the proposed rates would be in effect, I&amp;E and the other </w:t>
      </w:r>
      <w:r w:rsidR="00614696" w:rsidRPr="00D51726">
        <w:t>p</w:t>
      </w:r>
      <w:r w:rsidRPr="00D51726">
        <w:t xml:space="preserve">arties request that the Commission find that UGI Gas has satisfied each of the standards for a least cost procurement policy set forth in Section 1318 of the Public Utility Code, including the standards set forth in Sections 1318(a)(1), 1318(a)(2), 1318(a)(3), 1318(a)(4), 1318(b)(1), 1318(b)(2), and 1318(b)(3), based upon the evidence of record in this proceeding. Nevertheless, it is expressly understood and agreed that such findings, relating to the rates to become effective December 1, 2021, are made solely for the purpose of setting prospective rates and shall be subject to further review in an appropriate future proceeding. Further, I&amp;E and the other parties agree that future examination of the gas costs relating to the period April 1, 2021, through November 30, 2021, to determine whether UGI Gas’s experienced and projected gas purchases and gas purchasing practices complied with the standards set forth in Section 1318 of the Public Utility Code, 66 Pa. C.S. § 1318, shall be permitted and that the Commission’s adoption of the findings under Section </w:t>
      </w:r>
      <w:r w:rsidRPr="00D51726">
        <w:lastRenderedPageBreak/>
        <w:t>III.B of the Settlement shall not be construed to limit or prevent any disallowance or reduction of such costs, except as provided in Section II in the Joint Petition.  I&amp;E Statement at 18.</w:t>
      </w:r>
    </w:p>
    <w:p w14:paraId="66654369" w14:textId="55D80C27" w:rsidR="00093B46" w:rsidRPr="00D51726" w:rsidRDefault="00093B46" w:rsidP="00432EB2">
      <w:pPr>
        <w:spacing w:line="360" w:lineRule="auto"/>
      </w:pPr>
    </w:p>
    <w:p w14:paraId="5C571B6B" w14:textId="65D9D364" w:rsidR="00093B46" w:rsidRPr="00D51726" w:rsidRDefault="00EA1A4C" w:rsidP="00432EB2">
      <w:pPr>
        <w:spacing w:line="360" w:lineRule="auto"/>
      </w:pPr>
      <w:r w:rsidRPr="00D51726">
        <w:tab/>
      </w:r>
      <w:r w:rsidRPr="00D51726">
        <w:tab/>
        <w:t>I&amp;E concludes that it supports the Joint Petition for Settlement of Section 1307(f) Rates Investigation as being in the public interest and respectfully requests that the Commission approve the terms and conditions contained in the Settlement without modification.  I&amp;E Statement at 21.</w:t>
      </w:r>
    </w:p>
    <w:p w14:paraId="708FA0AE" w14:textId="51142EFE" w:rsidR="00882981" w:rsidRPr="00D51726" w:rsidRDefault="00882981" w:rsidP="00432EB2">
      <w:pPr>
        <w:spacing w:line="360" w:lineRule="auto"/>
      </w:pPr>
    </w:p>
    <w:p w14:paraId="0E5BA2D0" w14:textId="510AC063" w:rsidR="00882981" w:rsidRPr="00D51726" w:rsidRDefault="00882981" w:rsidP="00432EB2">
      <w:pPr>
        <w:spacing w:line="360" w:lineRule="auto"/>
        <w:rPr>
          <w:u w:val="single"/>
        </w:rPr>
      </w:pPr>
      <w:r w:rsidRPr="00D51726">
        <w:rPr>
          <w:u w:val="single"/>
        </w:rPr>
        <w:t>Office of the Consumer Advocate’s Statement in Support</w:t>
      </w:r>
    </w:p>
    <w:p w14:paraId="248363AB" w14:textId="5F935875" w:rsidR="00882981" w:rsidRPr="00D51726" w:rsidRDefault="00882981" w:rsidP="00432EB2">
      <w:pPr>
        <w:spacing w:line="360" w:lineRule="auto"/>
      </w:pPr>
    </w:p>
    <w:p w14:paraId="32B56954" w14:textId="3E0E1940" w:rsidR="00882981" w:rsidRPr="00D51726" w:rsidRDefault="00882981" w:rsidP="00432EB2">
      <w:pPr>
        <w:spacing w:line="360" w:lineRule="auto"/>
      </w:pPr>
      <w:r w:rsidRPr="00D51726">
        <w:tab/>
      </w:r>
      <w:r w:rsidRPr="00D51726">
        <w:tab/>
        <w:t>The Office of the Consumer Advocates submitted a Statement in Support of the Joint Settlement.</w:t>
      </w:r>
    </w:p>
    <w:p w14:paraId="56C9510F" w14:textId="043782C5" w:rsidR="00AB4242" w:rsidRPr="00D51726" w:rsidRDefault="00AB4242" w:rsidP="00432EB2">
      <w:pPr>
        <w:spacing w:line="360" w:lineRule="auto"/>
      </w:pPr>
    </w:p>
    <w:p w14:paraId="60A07CA2" w14:textId="70016120" w:rsidR="00AB4242" w:rsidRPr="00D51726" w:rsidRDefault="00B7244A" w:rsidP="00432EB2">
      <w:pPr>
        <w:spacing w:line="360" w:lineRule="auto"/>
      </w:pPr>
      <w:r w:rsidRPr="00D51726">
        <w:tab/>
      </w:r>
      <w:r w:rsidRPr="00D51726">
        <w:tab/>
        <w:t>In its Statement of Support, the OCA focuses primarily on the Purchase of RNG Pilot Program.  The OCA states that:</w:t>
      </w:r>
    </w:p>
    <w:p w14:paraId="66A7EDFA" w14:textId="53616FA7" w:rsidR="00B7244A" w:rsidRPr="00D51726" w:rsidRDefault="00B7244A" w:rsidP="00432EB2">
      <w:pPr>
        <w:spacing w:line="360" w:lineRule="auto"/>
      </w:pPr>
    </w:p>
    <w:p w14:paraId="1E824D90" w14:textId="77777777" w:rsidR="00BE51AF" w:rsidRPr="00D51726" w:rsidRDefault="00B7244A" w:rsidP="000F662E">
      <w:pPr>
        <w:ind w:left="2160" w:right="720"/>
      </w:pPr>
      <w:r w:rsidRPr="00D51726">
        <w:t xml:space="preserve">[T]he Joint Petitioners agreed that UGI will enter into a five-year contract to obtain 909 </w:t>
      </w:r>
      <w:proofErr w:type="spellStart"/>
      <w:r w:rsidRPr="00D51726">
        <w:t>dth</w:t>
      </w:r>
      <w:proofErr w:type="spellEnd"/>
      <w:r w:rsidRPr="00D51726">
        <w:t xml:space="preserve"> per day of RNG from the Archaea Energy (Archaea) facility. As part of the proposed transaction, UGI will undertake a</w:t>
      </w:r>
      <w:r w:rsidR="00BE51AF" w:rsidRPr="00D51726">
        <w:t xml:space="preserve"> </w:t>
      </w:r>
      <w:r w:rsidRPr="00D51726">
        <w:t>five-year pilot program that will explore the ability to generate revenues through the sale of RINs. The pilot will focus on offsetting or lowering the cost premium of</w:t>
      </w:r>
      <w:r w:rsidR="00BE51AF" w:rsidRPr="00D51726">
        <w:t xml:space="preserve"> </w:t>
      </w:r>
      <w:r w:rsidRPr="00D51726">
        <w:t>the gas purchased in the Archaea</w:t>
      </w:r>
      <w:r w:rsidR="00BE51AF" w:rsidRPr="00D51726">
        <w:t xml:space="preserve"> </w:t>
      </w:r>
      <w:r w:rsidRPr="00D51726">
        <w:t>Contract by selling associated RINs and crediting net revenues received from the sale of</w:t>
      </w:r>
      <w:r w:rsidR="00BE51AF" w:rsidRPr="00D51726">
        <w:t xml:space="preserve"> </w:t>
      </w:r>
      <w:r w:rsidRPr="00D51726">
        <w:t>the RINs</w:t>
      </w:r>
      <w:r w:rsidR="00BE51AF" w:rsidRPr="00D51726">
        <w:t xml:space="preserve"> </w:t>
      </w:r>
      <w:r w:rsidRPr="00D51726">
        <w:t>to the PGC. Settlement 21. Under the pilot, the PGC will be credited with either the first</w:t>
      </w:r>
      <w:r w:rsidR="00BE51AF" w:rsidRPr="00D51726">
        <w:t xml:space="preserve"> </w:t>
      </w:r>
      <w:r w:rsidRPr="00D51726">
        <w:t>$12.50/</w:t>
      </w:r>
      <w:proofErr w:type="spellStart"/>
      <w:r w:rsidRPr="00D51726">
        <w:t>dth</w:t>
      </w:r>
      <w:proofErr w:type="spellEnd"/>
      <w:r w:rsidRPr="00D51726">
        <w:t xml:space="preserve"> of net RIN sales revenue or the full cost premium of RNG over the alternative non</w:t>
      </w:r>
      <w:r w:rsidR="00BE51AF" w:rsidRPr="00D51726">
        <w:t>-</w:t>
      </w:r>
      <w:r w:rsidRPr="00D51726">
        <w:t>RNG supply cost, whichever is lower. Id. In its next PGC filing, UGI agrees to: (1) report on the</w:t>
      </w:r>
      <w:r w:rsidR="00BE51AF" w:rsidRPr="00D51726">
        <w:t xml:space="preserve"> </w:t>
      </w:r>
      <w:r w:rsidRPr="00D51726">
        <w:t>daily quantities of RNG purchased; (2) identify the PGC rate impact of its RNG purchases; (3)</w:t>
      </w:r>
      <w:r w:rsidR="00BE51AF" w:rsidRPr="00D51726">
        <w:t xml:space="preserve"> </w:t>
      </w:r>
      <w:r w:rsidRPr="00D51726">
        <w:t>identify the BTU content of its RNG purchases to the extent such data is available; and (4) report</w:t>
      </w:r>
      <w:r w:rsidR="00BE51AF" w:rsidRPr="00D51726">
        <w:t xml:space="preserve"> </w:t>
      </w:r>
      <w:r w:rsidRPr="00D51726">
        <w:t>on the R</w:t>
      </w:r>
      <w:r w:rsidR="00BE51AF" w:rsidRPr="00D51726">
        <w:t>I</w:t>
      </w:r>
      <w:r w:rsidRPr="00D51726">
        <w:t>N sales activity, including volumes sold and prices obtained on a monthly basis.</w:t>
      </w:r>
      <w:r w:rsidR="00BE51AF" w:rsidRPr="00D51726">
        <w:t xml:space="preserve"> </w:t>
      </w:r>
      <w:r w:rsidRPr="00D51726">
        <w:t>Approval of the Company’s request to increase the RNG gas supply portfolio</w:t>
      </w:r>
      <w:r w:rsidR="00BE51AF" w:rsidRPr="00D51726">
        <w:t xml:space="preserve"> </w:t>
      </w:r>
      <w:r w:rsidRPr="00D51726">
        <w:t xml:space="preserve">percentage to 1.0% for the PGC year beginning December 1, </w:t>
      </w:r>
      <w:proofErr w:type="gramStart"/>
      <w:r w:rsidRPr="00D51726">
        <w:t>2022</w:t>
      </w:r>
      <w:proofErr w:type="gramEnd"/>
      <w:r w:rsidRPr="00D51726">
        <w:t xml:space="preserve"> and to 2.0% for the PGC year beginning on December 1,2023 is deferred without prejudice and will be evaluated in future PGC</w:t>
      </w:r>
      <w:r w:rsidR="00BE51AF" w:rsidRPr="00D51726">
        <w:t xml:space="preserve"> </w:t>
      </w:r>
      <w:r w:rsidRPr="00D51726">
        <w:t>proceedings.</w:t>
      </w:r>
      <w:r w:rsidR="00BE51AF" w:rsidRPr="00D51726">
        <w:t xml:space="preserve"> </w:t>
      </w:r>
    </w:p>
    <w:p w14:paraId="43FAED4C" w14:textId="77777777" w:rsidR="00BE51AF" w:rsidRPr="00D51726" w:rsidRDefault="00BE51AF" w:rsidP="00BE51AF">
      <w:pPr>
        <w:ind w:right="720"/>
      </w:pPr>
    </w:p>
    <w:p w14:paraId="5C053FB8" w14:textId="5776483B" w:rsidR="00B7244A" w:rsidRPr="00D51726" w:rsidRDefault="00BE51AF" w:rsidP="00BE51AF">
      <w:pPr>
        <w:ind w:right="720"/>
      </w:pPr>
      <w:r w:rsidRPr="00D51726">
        <w:t>OCA Statement at 4-5.</w:t>
      </w:r>
    </w:p>
    <w:p w14:paraId="5827F184" w14:textId="77777777" w:rsidR="00AB4242" w:rsidRPr="00D51726" w:rsidRDefault="00AB4242" w:rsidP="0076378B">
      <w:pPr>
        <w:spacing w:line="360" w:lineRule="auto"/>
      </w:pPr>
    </w:p>
    <w:p w14:paraId="1BACDE19" w14:textId="686A023B" w:rsidR="00BE51AF" w:rsidRPr="00D51726" w:rsidRDefault="00BE51AF" w:rsidP="0076378B">
      <w:pPr>
        <w:autoSpaceDE/>
        <w:autoSpaceDN/>
        <w:spacing w:line="360" w:lineRule="auto"/>
        <w:rPr>
          <w:rFonts w:eastAsiaTheme="minorHAnsi"/>
        </w:rPr>
      </w:pPr>
      <w:r w:rsidRPr="00D51726">
        <w:rPr>
          <w:rFonts w:eastAsiaTheme="minorHAnsi"/>
        </w:rPr>
        <w:tab/>
      </w:r>
      <w:r w:rsidRPr="00D51726">
        <w:rPr>
          <w:rFonts w:eastAsiaTheme="minorHAnsi"/>
        </w:rPr>
        <w:tab/>
        <w:t>The OCA notes that the RNG market, and the associated RIN market, is new and growing.  The OCA submits that the RNG settlement terms are in the public interest because, first, under the Settlement, the Company will shorten the length of its contract with</w:t>
      </w:r>
    </w:p>
    <w:p w14:paraId="61E9669B" w14:textId="73777443" w:rsidR="00BE51AF" w:rsidRPr="00D51726" w:rsidRDefault="00BE51AF" w:rsidP="0076378B">
      <w:pPr>
        <w:autoSpaceDE/>
        <w:autoSpaceDN/>
        <w:spacing w:line="360" w:lineRule="auto"/>
        <w:rPr>
          <w:rFonts w:eastAsiaTheme="minorHAnsi"/>
        </w:rPr>
      </w:pPr>
      <w:r w:rsidRPr="00D51726">
        <w:rPr>
          <w:rFonts w:eastAsiaTheme="minorHAnsi"/>
        </w:rPr>
        <w:t>Archaea from the fifteen years originally proposed to five years, which will allow UG</w:t>
      </w:r>
      <w:r w:rsidR="00614696" w:rsidRPr="00D51726">
        <w:rPr>
          <w:rFonts w:eastAsiaTheme="minorHAnsi"/>
        </w:rPr>
        <w:t>I</w:t>
      </w:r>
      <w:r w:rsidRPr="00D51726">
        <w:rPr>
          <w:rFonts w:eastAsiaTheme="minorHAnsi"/>
        </w:rPr>
        <w:t xml:space="preserve"> to negotiate different terms if unanticipated complexities arise. Additionally, an extension of the</w:t>
      </w:r>
    </w:p>
    <w:p w14:paraId="52122CB6" w14:textId="42D2032C" w:rsidR="00BE51AF" w:rsidRPr="00D51726" w:rsidRDefault="00BE51AF" w:rsidP="0076378B">
      <w:pPr>
        <w:autoSpaceDE/>
        <w:autoSpaceDN/>
        <w:spacing w:line="360" w:lineRule="auto"/>
        <w:rPr>
          <w:rFonts w:eastAsiaTheme="minorHAnsi"/>
        </w:rPr>
      </w:pPr>
      <w:r w:rsidRPr="00D51726">
        <w:rPr>
          <w:rFonts w:eastAsiaTheme="minorHAnsi"/>
        </w:rPr>
        <w:t>duration of the pilot program from three years to five years offers all of the parties more</w:t>
      </w:r>
    </w:p>
    <w:p w14:paraId="1E4A2B3E" w14:textId="77777777" w:rsidR="00BE51AF" w:rsidRPr="00D51726" w:rsidRDefault="00BE51AF" w:rsidP="0076378B">
      <w:pPr>
        <w:autoSpaceDE/>
        <w:autoSpaceDN/>
        <w:spacing w:line="360" w:lineRule="auto"/>
        <w:rPr>
          <w:rFonts w:eastAsiaTheme="minorHAnsi"/>
        </w:rPr>
      </w:pPr>
      <w:r w:rsidRPr="00D51726">
        <w:rPr>
          <w:rFonts w:eastAsiaTheme="minorHAnsi"/>
        </w:rPr>
        <w:t xml:space="preserve">time to evaluate the program which is particularly beneficial to the public interest as the parties </w:t>
      </w:r>
    </w:p>
    <w:p w14:paraId="0243A961" w14:textId="40544507" w:rsidR="000258B7" w:rsidRPr="00D51726" w:rsidRDefault="00BE51AF" w:rsidP="0076378B">
      <w:pPr>
        <w:autoSpaceDE/>
        <w:autoSpaceDN/>
        <w:spacing w:line="360" w:lineRule="auto"/>
        <w:rPr>
          <w:rFonts w:eastAsiaTheme="minorHAnsi"/>
        </w:rPr>
      </w:pPr>
      <w:r w:rsidRPr="00D51726">
        <w:rPr>
          <w:rFonts w:eastAsiaTheme="minorHAnsi"/>
        </w:rPr>
        <w:t>gain more knowledge and understanding of RNG and RIN markets. UGI</w:t>
      </w:r>
      <w:r w:rsidR="00DC30F7" w:rsidRPr="00D51726">
        <w:rPr>
          <w:rFonts w:eastAsiaTheme="minorHAnsi"/>
        </w:rPr>
        <w:t>’s</w:t>
      </w:r>
      <w:r w:rsidRPr="00D51726">
        <w:rPr>
          <w:rFonts w:eastAsiaTheme="minorHAnsi"/>
        </w:rPr>
        <w:t xml:space="preserve"> agre</w:t>
      </w:r>
      <w:r w:rsidR="00DC30F7" w:rsidRPr="00D51726">
        <w:rPr>
          <w:rFonts w:eastAsiaTheme="minorHAnsi"/>
        </w:rPr>
        <w:t>ement</w:t>
      </w:r>
      <w:r w:rsidRPr="00D51726">
        <w:rPr>
          <w:rFonts w:eastAsiaTheme="minorHAnsi"/>
        </w:rPr>
        <w:t xml:space="preserve"> to provide reports is in the public interest because it will provide access to more data and information that will be available for evaluation by the OCA and all parties in future PGC proceedings.  Finally, the Company’s agreement to defer its request to increase the RNG gas supply portfolio percentage to 1.0% beginning December 1, 2022</w:t>
      </w:r>
      <w:r w:rsidR="008A5CF5" w:rsidRPr="00D51726">
        <w:rPr>
          <w:rFonts w:eastAsiaTheme="minorHAnsi"/>
        </w:rPr>
        <w:t>,</w:t>
      </w:r>
      <w:r w:rsidRPr="00D51726">
        <w:rPr>
          <w:rFonts w:eastAsiaTheme="minorHAnsi"/>
        </w:rPr>
        <w:t xml:space="preserve"> and to 2.0% beginning December 1, 2023</w:t>
      </w:r>
      <w:r w:rsidR="008A5CF5" w:rsidRPr="00D51726">
        <w:rPr>
          <w:rFonts w:eastAsiaTheme="minorHAnsi"/>
        </w:rPr>
        <w:t>,</w:t>
      </w:r>
      <w:r w:rsidRPr="00D51726">
        <w:rPr>
          <w:rFonts w:eastAsiaTheme="minorHAnsi"/>
        </w:rPr>
        <w:t xml:space="preserve"> addresses the OCA’s concerns because it would provide the opportunity to evaluate the purchase of additional RNG in the next two years’ PGC proceedings. The OCA maintains that overall, the Settlement allows for the cautious exploration of these new markets while providing guiderails that protect consumers from unexpected market conditions.  OCA Statement at 5.</w:t>
      </w:r>
    </w:p>
    <w:p w14:paraId="7F3B0333" w14:textId="15F6B870" w:rsidR="00BE51AF" w:rsidRPr="00D51726" w:rsidRDefault="00BE51AF" w:rsidP="0076378B">
      <w:pPr>
        <w:autoSpaceDE/>
        <w:autoSpaceDN/>
        <w:spacing w:line="360" w:lineRule="auto"/>
        <w:rPr>
          <w:rFonts w:eastAsiaTheme="minorHAnsi"/>
        </w:rPr>
      </w:pPr>
    </w:p>
    <w:p w14:paraId="350E4C5F" w14:textId="5F7F9757" w:rsidR="00BE51AF" w:rsidRPr="00D51726" w:rsidRDefault="00BE51AF" w:rsidP="0076378B">
      <w:pPr>
        <w:autoSpaceDE/>
        <w:autoSpaceDN/>
        <w:spacing w:line="360" w:lineRule="auto"/>
        <w:rPr>
          <w:rFonts w:eastAsiaTheme="minorHAnsi"/>
        </w:rPr>
      </w:pPr>
      <w:r w:rsidRPr="00D51726">
        <w:rPr>
          <w:rFonts w:eastAsiaTheme="minorHAnsi"/>
        </w:rPr>
        <w:tab/>
      </w:r>
      <w:r w:rsidRPr="00D51726">
        <w:rPr>
          <w:rFonts w:eastAsiaTheme="minorHAnsi"/>
        </w:rPr>
        <w:tab/>
      </w:r>
      <w:r w:rsidR="007B6311" w:rsidRPr="00D51726">
        <w:rPr>
          <w:rFonts w:eastAsiaTheme="minorHAnsi"/>
        </w:rPr>
        <w:t xml:space="preserve">While the OCA did not submit testimony with respect to the four other issue areas (Design Day, </w:t>
      </w:r>
      <w:r w:rsidR="00BA449A" w:rsidRPr="00D51726">
        <w:rPr>
          <w:rFonts w:eastAsiaTheme="minorHAnsi"/>
        </w:rPr>
        <w:t>UGIES contract consolidation, peak day capacity supply additions, and peaking contract RFP modifications), the OCA did review the resolution of these and finds them reasonable.  The OCA submits that the terms and conditions of the Settlement are in the public interest and, therefore, should be approved.  OCA Statement at 6.</w:t>
      </w:r>
    </w:p>
    <w:p w14:paraId="5FFBF192" w14:textId="77777777" w:rsidR="00BE51AF" w:rsidRPr="00D51726" w:rsidRDefault="00BE51AF" w:rsidP="0076378B">
      <w:pPr>
        <w:autoSpaceDE/>
        <w:autoSpaceDN/>
        <w:spacing w:line="360" w:lineRule="auto"/>
        <w:rPr>
          <w:rFonts w:eastAsiaTheme="minorHAnsi"/>
        </w:rPr>
      </w:pPr>
    </w:p>
    <w:p w14:paraId="78C59D84" w14:textId="77777777" w:rsidR="00DA5B8C" w:rsidRPr="00D51726" w:rsidRDefault="00DA5B8C" w:rsidP="0076378B">
      <w:pPr>
        <w:autoSpaceDE/>
        <w:autoSpaceDN/>
        <w:spacing w:line="360" w:lineRule="auto"/>
        <w:jc w:val="center"/>
        <w:rPr>
          <w:rFonts w:eastAsiaTheme="minorHAnsi"/>
          <w:u w:val="single"/>
        </w:rPr>
      </w:pPr>
      <w:r w:rsidRPr="00D51726">
        <w:rPr>
          <w:rFonts w:eastAsiaTheme="minorHAnsi"/>
          <w:u w:val="single"/>
        </w:rPr>
        <w:t>CONCLUSION</w:t>
      </w:r>
    </w:p>
    <w:p w14:paraId="5038C265" w14:textId="77777777" w:rsidR="00DA5B8C" w:rsidRPr="00D51726" w:rsidRDefault="00DA5B8C" w:rsidP="0076378B">
      <w:pPr>
        <w:autoSpaceDE/>
        <w:autoSpaceDN/>
        <w:spacing w:line="360" w:lineRule="auto"/>
        <w:rPr>
          <w:rFonts w:eastAsiaTheme="minorHAnsi"/>
        </w:rPr>
      </w:pPr>
    </w:p>
    <w:p w14:paraId="58C53CE7" w14:textId="700E8752" w:rsidR="00BA449A" w:rsidRPr="00D51726" w:rsidRDefault="00B9643C" w:rsidP="0076378B">
      <w:pPr>
        <w:autoSpaceDE/>
        <w:autoSpaceDN/>
        <w:spacing w:line="360" w:lineRule="auto"/>
        <w:rPr>
          <w:rFonts w:eastAsiaTheme="minorHAnsi"/>
        </w:rPr>
      </w:pPr>
      <w:r w:rsidRPr="00D51726">
        <w:rPr>
          <w:rFonts w:eastAsiaTheme="minorHAnsi"/>
        </w:rPr>
        <w:tab/>
      </w:r>
      <w:r w:rsidRPr="00D51726">
        <w:rPr>
          <w:rFonts w:eastAsiaTheme="minorHAnsi"/>
        </w:rPr>
        <w:tab/>
      </w:r>
      <w:r w:rsidR="00BA449A" w:rsidRPr="00D51726">
        <w:rPr>
          <w:rFonts w:eastAsiaTheme="minorHAnsi"/>
        </w:rPr>
        <w:t>First, the parties should be commended for their efforts to resolve this case through settlement rather than litigation.  I also thank the parties for their well-drafted Statements in Support of the Joint Settlement</w:t>
      </w:r>
      <w:r w:rsidR="00436165" w:rsidRPr="00D51726">
        <w:rPr>
          <w:rFonts w:eastAsiaTheme="minorHAnsi"/>
        </w:rPr>
        <w:t>, about which more will be said, below</w:t>
      </w:r>
      <w:r w:rsidR="00BA449A" w:rsidRPr="00D51726">
        <w:rPr>
          <w:rFonts w:eastAsiaTheme="minorHAnsi"/>
        </w:rPr>
        <w:t xml:space="preserve">.  </w:t>
      </w:r>
    </w:p>
    <w:p w14:paraId="1D3FA3DF" w14:textId="77777777" w:rsidR="00BA449A" w:rsidRPr="00D51726" w:rsidRDefault="00BA449A" w:rsidP="0076378B">
      <w:pPr>
        <w:autoSpaceDE/>
        <w:autoSpaceDN/>
        <w:spacing w:line="360" w:lineRule="auto"/>
        <w:rPr>
          <w:rFonts w:eastAsiaTheme="minorHAnsi"/>
        </w:rPr>
      </w:pPr>
    </w:p>
    <w:p w14:paraId="2C868DC2" w14:textId="7A447618" w:rsidR="008D0F39" w:rsidRPr="00D51726" w:rsidRDefault="00BA449A" w:rsidP="0076378B">
      <w:pPr>
        <w:autoSpaceDE/>
        <w:autoSpaceDN/>
        <w:spacing w:line="360" w:lineRule="auto"/>
      </w:pPr>
      <w:r w:rsidRPr="00D51726">
        <w:rPr>
          <w:rFonts w:eastAsiaTheme="minorHAnsi"/>
        </w:rPr>
        <w:lastRenderedPageBreak/>
        <w:tab/>
      </w:r>
      <w:r w:rsidRPr="00D51726">
        <w:rPr>
          <w:rFonts w:eastAsiaTheme="minorHAnsi"/>
        </w:rPr>
        <w:tab/>
      </w:r>
      <w:r w:rsidR="00F405EE" w:rsidRPr="00D51726">
        <w:rPr>
          <w:rFonts w:eastAsiaTheme="minorHAnsi"/>
        </w:rPr>
        <w:t>The Joint Petition for Settlement of Rate Investig</w:t>
      </w:r>
      <w:r w:rsidR="00C8572D" w:rsidRPr="00D51726">
        <w:rPr>
          <w:rFonts w:eastAsiaTheme="minorHAnsi"/>
        </w:rPr>
        <w:t>ation Pursuant to 66 Pa. C.S. § </w:t>
      </w:r>
      <w:r w:rsidR="00F405EE" w:rsidRPr="00D51726">
        <w:rPr>
          <w:rFonts w:eastAsiaTheme="minorHAnsi"/>
        </w:rPr>
        <w:t xml:space="preserve">1307 filed </w:t>
      </w:r>
      <w:r w:rsidR="00336FC3" w:rsidRPr="00D51726">
        <w:rPr>
          <w:rFonts w:eastAsiaTheme="minorHAnsi"/>
        </w:rPr>
        <w:t>on</w:t>
      </w:r>
      <w:r w:rsidR="00AE3AF1" w:rsidRPr="00D51726">
        <w:rPr>
          <w:rFonts w:eastAsiaTheme="minorHAnsi"/>
        </w:rPr>
        <w:t xml:space="preserve"> August 25, 2021,</w:t>
      </w:r>
      <w:r w:rsidR="00336FC3" w:rsidRPr="00D51726">
        <w:rPr>
          <w:rFonts w:eastAsiaTheme="minorHAnsi"/>
        </w:rPr>
        <w:t xml:space="preserve"> </w:t>
      </w:r>
      <w:r w:rsidR="007E3C77" w:rsidRPr="00D51726">
        <w:rPr>
          <w:rFonts w:eastAsiaTheme="minorHAnsi"/>
        </w:rPr>
        <w:t xml:space="preserve">by </w:t>
      </w:r>
      <w:r w:rsidR="00AE3AF1" w:rsidRPr="00D51726">
        <w:rPr>
          <w:rFonts w:eastAsiaTheme="minorHAnsi"/>
        </w:rPr>
        <w:t>UGI</w:t>
      </w:r>
      <w:r w:rsidR="007E3C77" w:rsidRPr="00D51726">
        <w:rPr>
          <w:rFonts w:eastAsiaTheme="minorHAnsi"/>
        </w:rPr>
        <w:t xml:space="preserve">, </w:t>
      </w:r>
      <w:r w:rsidR="00F405EE" w:rsidRPr="00D51726">
        <w:rPr>
          <w:rFonts w:eastAsiaTheme="minorHAnsi"/>
        </w:rPr>
        <w:t>I&amp;E, OSBA and OCA, is in the public interest, consistent with the Commission standard for approving settlements and consistent with applicable law and regulations governing such filings.</w:t>
      </w:r>
      <w:r w:rsidR="00950C6F" w:rsidRPr="00D51726">
        <w:rPr>
          <w:rFonts w:eastAsiaTheme="minorHAnsi"/>
        </w:rPr>
        <w:t xml:space="preserve">  No opposition was received in response to the </w:t>
      </w:r>
      <w:r w:rsidR="00DC30F7" w:rsidRPr="00D51726">
        <w:rPr>
          <w:rFonts w:eastAsiaTheme="minorHAnsi"/>
        </w:rPr>
        <w:t>S</w:t>
      </w:r>
      <w:r w:rsidR="00950C6F" w:rsidRPr="00D51726">
        <w:rPr>
          <w:rFonts w:eastAsiaTheme="minorHAnsi"/>
        </w:rPr>
        <w:t xml:space="preserve">ettlement.  </w:t>
      </w:r>
      <w:r w:rsidR="00950C6F" w:rsidRPr="00D51726">
        <w:t xml:space="preserve">Furthermore, the Joint Motion of </w:t>
      </w:r>
      <w:r w:rsidR="00AE3AF1" w:rsidRPr="00D51726">
        <w:t xml:space="preserve">the </w:t>
      </w:r>
      <w:r w:rsidR="00950C6F" w:rsidRPr="00D51726">
        <w:t xml:space="preserve">Parties for Admission of Evidence </w:t>
      </w:r>
      <w:r w:rsidR="00AE3AF1" w:rsidRPr="00D51726">
        <w:t>has been granted by a separate Order a</w:t>
      </w:r>
      <w:r w:rsidR="00950C6F" w:rsidRPr="00D51726">
        <w:t xml:space="preserve">nd </w:t>
      </w:r>
      <w:r w:rsidR="00AE3AF1" w:rsidRPr="00D51726">
        <w:t xml:space="preserve">the parties </w:t>
      </w:r>
      <w:r w:rsidR="00950C6F" w:rsidRPr="00D51726">
        <w:t>directed to provide the Secretary’s Bureau with the</w:t>
      </w:r>
      <w:r w:rsidR="00AE3AF1" w:rsidRPr="00D51726">
        <w:t xml:space="preserve">se </w:t>
      </w:r>
      <w:r w:rsidR="00950C6F" w:rsidRPr="00D51726">
        <w:t>documents</w:t>
      </w:r>
      <w:r w:rsidR="00AE3AF1" w:rsidRPr="00D51726">
        <w:t xml:space="preserve"> consistent with the Secretary’s </w:t>
      </w:r>
      <w:proofErr w:type="spellStart"/>
      <w:r w:rsidR="00AE3AF1" w:rsidRPr="00D51726">
        <w:t>efiling</w:t>
      </w:r>
      <w:proofErr w:type="spellEnd"/>
      <w:r w:rsidR="00AE3AF1" w:rsidRPr="00D51726">
        <w:t xml:space="preserve"> requirements</w:t>
      </w:r>
      <w:r w:rsidR="00950C6F" w:rsidRPr="00D51726">
        <w:t xml:space="preserve">.  As a result, </w:t>
      </w:r>
      <w:r w:rsidR="00336FC3" w:rsidRPr="00D51726">
        <w:t xml:space="preserve">the </w:t>
      </w:r>
      <w:r w:rsidR="009E581A" w:rsidRPr="00D51726">
        <w:t>S</w:t>
      </w:r>
      <w:r w:rsidR="00336FC3" w:rsidRPr="00D51726">
        <w:t>ettlement is also supported by substantial evidence</w:t>
      </w:r>
      <w:r w:rsidR="009E581A" w:rsidRPr="00D51726">
        <w:t xml:space="preserve"> of record</w:t>
      </w:r>
      <w:r w:rsidR="00336FC3" w:rsidRPr="00D51726">
        <w:t>.</w:t>
      </w:r>
    </w:p>
    <w:p w14:paraId="38F39F8C" w14:textId="753C8AF5" w:rsidR="00AE3AF1" w:rsidRPr="00D51726" w:rsidRDefault="00AE3AF1" w:rsidP="0076378B">
      <w:pPr>
        <w:autoSpaceDE/>
        <w:autoSpaceDN/>
        <w:spacing w:line="360" w:lineRule="auto"/>
      </w:pPr>
    </w:p>
    <w:p w14:paraId="0AD7BC15" w14:textId="0C7D335A" w:rsidR="00AE3AF1" w:rsidRPr="00D51726" w:rsidRDefault="00AE3AF1" w:rsidP="0076378B">
      <w:pPr>
        <w:autoSpaceDE/>
        <w:autoSpaceDN/>
        <w:spacing w:line="360" w:lineRule="auto"/>
      </w:pPr>
      <w:r w:rsidRPr="00D51726">
        <w:tab/>
      </w:r>
      <w:r w:rsidRPr="00D51726">
        <w:tab/>
        <w:t xml:space="preserve">This </w:t>
      </w:r>
      <w:r w:rsidR="009E581A" w:rsidRPr="00D51726">
        <w:t>S</w:t>
      </w:r>
      <w:r w:rsidRPr="00D51726">
        <w:t>ettlement is also in the public interest because it will conserve the resources of the Commission and the parties.  Commission policy promotes settlements.  52 Pa. Code §</w:t>
      </w:r>
      <w:r w:rsidR="004E6210">
        <w:t> </w:t>
      </w:r>
      <w:r w:rsidRPr="00D51726">
        <w:t xml:space="preserve">5.231.  Settlements lessen the time and expense the parties must expend litigating a case and at the same time conserve administrative hearing resources.  The Commission has indicated that settlement results are often preferable to those achieved at the conclusion of a fully litigated proceeding.  52 Pa. Code § 69.401.  This </w:t>
      </w:r>
      <w:r w:rsidR="009E581A" w:rsidRPr="00D51726">
        <w:t>S</w:t>
      </w:r>
      <w:r w:rsidRPr="00D51726">
        <w:t xml:space="preserve">ettlement will </w:t>
      </w:r>
      <w:r w:rsidR="009E581A" w:rsidRPr="00D51726">
        <w:t xml:space="preserve">relieve the necessity </w:t>
      </w:r>
      <w:r w:rsidRPr="00D51726">
        <w:t xml:space="preserve">for the </w:t>
      </w:r>
      <w:r w:rsidR="009E581A" w:rsidRPr="00D51726">
        <w:t>P</w:t>
      </w:r>
      <w:r w:rsidRPr="00D51726">
        <w:t xml:space="preserve">arties to submit additional pre-served testimony, participate in hearings, file post-hearing briefs, prepare any Exceptions or Reply Exceptions to </w:t>
      </w:r>
      <w:r w:rsidR="009E581A" w:rsidRPr="00D51726">
        <w:t>a</w:t>
      </w:r>
      <w:r w:rsidRPr="00D51726">
        <w:t xml:space="preserve"> Recommended Decision or undertake any appellate activities following issuance of the Commission’s decision, if necessary.  The costs of such activities are ultimately borne by UGI’s customers and will be avoided through the filing of the settlement.  Avoiding further litigation will serve judicial efficiency and allow the parties and the Commission to conserve </w:t>
      </w:r>
      <w:r w:rsidR="00D52EBF" w:rsidRPr="00D51726">
        <w:t xml:space="preserve">costly </w:t>
      </w:r>
      <w:r w:rsidRPr="00D51726">
        <w:t>resources.</w:t>
      </w:r>
    </w:p>
    <w:p w14:paraId="11573644" w14:textId="77777777" w:rsidR="00AE3AF1" w:rsidRPr="00D51726" w:rsidRDefault="00AE3AF1" w:rsidP="0076378B">
      <w:pPr>
        <w:autoSpaceDE/>
        <w:autoSpaceDN/>
        <w:spacing w:line="360" w:lineRule="auto"/>
      </w:pPr>
      <w:r w:rsidRPr="00D51726">
        <w:t xml:space="preserve"> </w:t>
      </w:r>
    </w:p>
    <w:p w14:paraId="2EABD5B0" w14:textId="72E09323" w:rsidR="00AE3AF1" w:rsidRPr="00D51726" w:rsidRDefault="00AE3AF1" w:rsidP="0076378B">
      <w:pPr>
        <w:autoSpaceDE/>
        <w:autoSpaceDN/>
        <w:spacing w:line="360" w:lineRule="auto"/>
      </w:pPr>
      <w:r w:rsidRPr="00D51726">
        <w:tab/>
      </w:r>
      <w:r w:rsidRPr="00D51726">
        <w:tab/>
      </w:r>
      <w:r w:rsidR="00D52EBF" w:rsidRPr="00D51726">
        <w:t>E</w:t>
      </w:r>
      <w:r w:rsidRPr="00D51726">
        <w:t xml:space="preserve">ach of the provisions of the </w:t>
      </w:r>
      <w:r w:rsidR="00D52EBF" w:rsidRPr="00D51726">
        <w:t>S</w:t>
      </w:r>
      <w:r w:rsidRPr="00D51726">
        <w:t xml:space="preserve">ettlement is reasonable and </w:t>
      </w:r>
      <w:r w:rsidR="00D52EBF" w:rsidRPr="00D51726">
        <w:t xml:space="preserve">in sum </w:t>
      </w:r>
      <w:r w:rsidRPr="00D51726">
        <w:t xml:space="preserve">support adopting the Settlement, without modification, as being in the public interest and consistent with applicable statutes governing 1307(f) filings.  The Settlement addresses the areas of concern that were raised by the intervening </w:t>
      </w:r>
      <w:r w:rsidR="00D52EBF" w:rsidRPr="00D51726">
        <w:t>P</w:t>
      </w:r>
      <w:r w:rsidRPr="00D51726">
        <w:t>arties in this proceeding</w:t>
      </w:r>
      <w:r w:rsidR="00D52EBF" w:rsidRPr="00D51726">
        <w:t>,</w:t>
      </w:r>
      <w:r w:rsidRPr="00D51726">
        <w:t xml:space="preserve"> and </w:t>
      </w:r>
      <w:r w:rsidR="00D52EBF" w:rsidRPr="00D51726">
        <w:t xml:space="preserve">as stated, above, the Settlement </w:t>
      </w:r>
      <w:r w:rsidRPr="00D51726">
        <w:t>is supported by substantial evidence</w:t>
      </w:r>
      <w:r w:rsidR="00D52EBF" w:rsidRPr="00D51726">
        <w:t xml:space="preserve"> of record</w:t>
      </w:r>
      <w:r w:rsidRPr="00D51726">
        <w:t>.</w:t>
      </w:r>
      <w:r w:rsidR="001B0093" w:rsidRPr="00D51726">
        <w:t xml:space="preserve">  While the proposed PGC rate was not controversial, five issues are specifically addressed in the Joint Settlement: Design Day; UGIES Contract Consolidation; Peak Day Capacity Supply Additions; Purchase of</w:t>
      </w:r>
      <w:r w:rsidR="00B67A29" w:rsidRPr="00D51726">
        <w:t xml:space="preserve"> </w:t>
      </w:r>
      <w:r w:rsidR="001B0093" w:rsidRPr="00D51726">
        <w:t xml:space="preserve">RNG Pilot Program; </w:t>
      </w:r>
      <w:proofErr w:type="gramStart"/>
      <w:r w:rsidR="001B0093" w:rsidRPr="00D51726">
        <w:t>and,</w:t>
      </w:r>
      <w:proofErr w:type="gramEnd"/>
      <w:r w:rsidR="001B0093" w:rsidRPr="00D51726">
        <w:t xml:space="preserve"> Peaking Contract RFP Modifications.  On its face, the resolution of each issue appears to be reasonable.  This, however, is </w:t>
      </w:r>
      <w:r w:rsidR="00436165" w:rsidRPr="00D51726">
        <w:t xml:space="preserve">also </w:t>
      </w:r>
      <w:r w:rsidR="001B0093" w:rsidRPr="00D51726">
        <w:t>born</w:t>
      </w:r>
      <w:r w:rsidR="008A5CF5" w:rsidRPr="00D51726">
        <w:t>e</w:t>
      </w:r>
      <w:r w:rsidR="001B0093" w:rsidRPr="00D51726">
        <w:t xml:space="preserve"> out by the discussions contained in the Statements of </w:t>
      </w:r>
      <w:r w:rsidR="001B0093" w:rsidRPr="00D51726">
        <w:lastRenderedPageBreak/>
        <w:t xml:space="preserve">Support filed by each of the Parties </w:t>
      </w:r>
      <w:r w:rsidR="00436165" w:rsidRPr="00D51726">
        <w:t>which reflect the concerns and compromises reached in crafting the Joint Settlement.  Obviously, these issues (which were, for the most part, also the subject of testimony) were discussed among the parties, and unlike the usual “black box” settlement offered in a rate case, we can see the relative positions o</w:t>
      </w:r>
      <w:r w:rsidR="008A5CF5" w:rsidRPr="00D51726">
        <w:t>f</w:t>
      </w:r>
      <w:r w:rsidR="00436165" w:rsidRPr="00D51726">
        <w:t xml:space="preserve"> the parties and the steps taken to address and to accommodate their concerns. The interests of both the Company and the public advocates hav</w:t>
      </w:r>
      <w:r w:rsidR="008A5CF5" w:rsidRPr="00D51726">
        <w:t>e</w:t>
      </w:r>
      <w:r w:rsidR="00436165" w:rsidRPr="00D51726">
        <w:t xml:space="preserve"> been addressed and resolved in the Joint Settlement. </w:t>
      </w:r>
    </w:p>
    <w:p w14:paraId="40F928FD" w14:textId="77777777" w:rsidR="002A2F63" w:rsidRPr="00D51726" w:rsidRDefault="002A2F63" w:rsidP="0076378B">
      <w:pPr>
        <w:autoSpaceDE/>
        <w:autoSpaceDN/>
        <w:spacing w:line="360" w:lineRule="auto"/>
      </w:pPr>
    </w:p>
    <w:p w14:paraId="31A63FC3" w14:textId="3AA8B27B" w:rsidR="00292F95" w:rsidRPr="00D51726" w:rsidRDefault="00336FC3" w:rsidP="0076378B">
      <w:pPr>
        <w:autoSpaceDE/>
        <w:autoSpaceDN/>
        <w:spacing w:line="360" w:lineRule="auto"/>
        <w:ind w:firstLine="1440"/>
      </w:pPr>
      <w:r w:rsidRPr="00D51726">
        <w:t xml:space="preserve">Therefore, </w:t>
      </w:r>
      <w:r w:rsidR="00950C6F" w:rsidRPr="00D51726">
        <w:t xml:space="preserve">I recommend that the Commission find that the proposed </w:t>
      </w:r>
      <w:r w:rsidR="00D52EBF" w:rsidRPr="00D51726">
        <w:t>Joint S</w:t>
      </w:r>
      <w:r w:rsidR="00950C6F" w:rsidRPr="00D51726">
        <w:t xml:space="preserve">ettlement constitutes a fair, </w:t>
      </w:r>
      <w:proofErr w:type="gramStart"/>
      <w:r w:rsidR="00950C6F" w:rsidRPr="00D51726">
        <w:t>just</w:t>
      </w:r>
      <w:proofErr w:type="gramEnd"/>
      <w:r w:rsidR="00950C6F" w:rsidRPr="00D51726">
        <w:t xml:space="preserve"> and reasonable resolution of the Commission’s investigation, is in the public interest and should be adopted without modification by the Commission.  It is further recommended that the associated formal Complaints file</w:t>
      </w:r>
      <w:r w:rsidR="00F01B3A" w:rsidRPr="00D51726">
        <w:t>d by the OCA at Docket N</w:t>
      </w:r>
      <w:r w:rsidR="00092CEA" w:rsidRPr="00D51726">
        <w:t>o.</w:t>
      </w:r>
      <w:r w:rsidR="00F01B3A" w:rsidRPr="00D51726">
        <w:t xml:space="preserve"> </w:t>
      </w:r>
      <w:r w:rsidR="00092CEA" w:rsidRPr="00D51726">
        <w:t>C</w:t>
      </w:r>
      <w:r w:rsidR="00432EB2" w:rsidRPr="00D51726">
        <w:noBreakHyphen/>
      </w:r>
      <w:r w:rsidR="00092CEA" w:rsidRPr="00D51726">
        <w:t>2021-3025994</w:t>
      </w:r>
      <w:r w:rsidR="00950C6F" w:rsidRPr="00D51726">
        <w:t xml:space="preserve"> and the OSBA at Docket </w:t>
      </w:r>
      <w:r w:rsidR="00F270D4" w:rsidRPr="00D51726">
        <w:t>N</w:t>
      </w:r>
      <w:r w:rsidR="00092CEA" w:rsidRPr="00D51726">
        <w:t>o.</w:t>
      </w:r>
      <w:r w:rsidR="00950C6F" w:rsidRPr="00D51726">
        <w:t xml:space="preserve"> </w:t>
      </w:r>
      <w:r w:rsidR="00092CEA" w:rsidRPr="00D51726">
        <w:t>C-2021-3026377</w:t>
      </w:r>
      <w:r w:rsidR="00950C6F" w:rsidRPr="00D51726">
        <w:t xml:space="preserve"> be dismissed</w:t>
      </w:r>
      <w:r w:rsidR="00D52EBF" w:rsidRPr="00D51726">
        <w:t xml:space="preserve"> as satisfied</w:t>
      </w:r>
      <w:r w:rsidR="00950C6F" w:rsidRPr="00D51726">
        <w:t>.</w:t>
      </w:r>
    </w:p>
    <w:p w14:paraId="51E8EB1D" w14:textId="792358CC" w:rsidR="00F23B77" w:rsidRPr="00D51726" w:rsidRDefault="00F23B77" w:rsidP="0076378B">
      <w:pPr>
        <w:autoSpaceDE/>
        <w:autoSpaceDN/>
        <w:spacing w:line="360" w:lineRule="auto"/>
        <w:rPr>
          <w:rFonts w:eastAsiaTheme="minorHAnsi"/>
          <w:u w:val="single"/>
        </w:rPr>
      </w:pPr>
    </w:p>
    <w:p w14:paraId="6F90981D" w14:textId="77777777" w:rsidR="00A53C5D" w:rsidRPr="00D51726" w:rsidRDefault="00647EBF" w:rsidP="0076378B">
      <w:pPr>
        <w:autoSpaceDE/>
        <w:autoSpaceDN/>
        <w:spacing w:line="360" w:lineRule="auto"/>
        <w:jc w:val="center"/>
        <w:rPr>
          <w:u w:val="single"/>
        </w:rPr>
      </w:pPr>
      <w:r w:rsidRPr="00D51726">
        <w:rPr>
          <w:u w:val="single"/>
        </w:rPr>
        <w:t>CONCLUSIONS OF LAW</w:t>
      </w:r>
    </w:p>
    <w:p w14:paraId="192895E9" w14:textId="77777777" w:rsidR="00B259B2" w:rsidRPr="00D51726" w:rsidRDefault="00B259B2" w:rsidP="0076378B">
      <w:pPr>
        <w:autoSpaceDE/>
        <w:autoSpaceDN/>
        <w:spacing w:line="360" w:lineRule="auto"/>
        <w:jc w:val="center"/>
        <w:rPr>
          <w:u w:val="single"/>
        </w:rPr>
      </w:pPr>
    </w:p>
    <w:p w14:paraId="450BCB69" w14:textId="0310DA7C" w:rsidR="009565D6" w:rsidRPr="00D51726" w:rsidRDefault="00A53C5D" w:rsidP="0076378B">
      <w:pPr>
        <w:numPr>
          <w:ilvl w:val="0"/>
          <w:numId w:val="33"/>
        </w:numPr>
        <w:tabs>
          <w:tab w:val="num" w:pos="0"/>
        </w:tabs>
        <w:autoSpaceDE/>
        <w:autoSpaceDN/>
        <w:spacing w:line="360" w:lineRule="auto"/>
        <w:ind w:left="0" w:firstLine="1430"/>
      </w:pPr>
      <w:r w:rsidRPr="00D51726">
        <w:t>The Commission has jurisdiction over the subject matter and the parties to this proceeding.  66 Pa. C.S. §§</w:t>
      </w:r>
      <w:r w:rsidR="00436165" w:rsidRPr="00D51726">
        <w:t xml:space="preserve"> </w:t>
      </w:r>
      <w:r w:rsidRPr="00D51726">
        <w:t>501,</w:t>
      </w:r>
      <w:r w:rsidR="00B500F1" w:rsidRPr="00D51726">
        <w:t xml:space="preserve"> 1301, 1307(f), 1317 and 1318</w:t>
      </w:r>
      <w:r w:rsidRPr="00D51726">
        <w:t>.</w:t>
      </w:r>
    </w:p>
    <w:p w14:paraId="708744B9" w14:textId="77777777" w:rsidR="009565D6" w:rsidRPr="00D51726" w:rsidRDefault="009565D6" w:rsidP="0076378B">
      <w:pPr>
        <w:autoSpaceDE/>
        <w:autoSpaceDN/>
        <w:spacing w:line="360" w:lineRule="auto"/>
        <w:ind w:left="1430"/>
      </w:pPr>
    </w:p>
    <w:p w14:paraId="10645549" w14:textId="389A8B02" w:rsidR="009565D6" w:rsidRPr="00D51726" w:rsidRDefault="009565D6" w:rsidP="0076378B">
      <w:pPr>
        <w:numPr>
          <w:ilvl w:val="0"/>
          <w:numId w:val="33"/>
        </w:numPr>
        <w:tabs>
          <w:tab w:val="num" w:pos="0"/>
        </w:tabs>
        <w:autoSpaceDE/>
        <w:autoSpaceDN/>
        <w:spacing w:line="360" w:lineRule="auto"/>
        <w:ind w:left="0" w:firstLine="1430"/>
      </w:pPr>
      <w:r w:rsidRPr="00D51726">
        <w:rPr>
          <w:rFonts w:eastAsiaTheme="minorHAnsi"/>
        </w:rPr>
        <w:t>Commission policy promotes settlements.  52 Pa. Code §</w:t>
      </w:r>
      <w:r w:rsidR="00436165" w:rsidRPr="00D51726">
        <w:rPr>
          <w:rFonts w:eastAsiaTheme="minorHAnsi"/>
        </w:rPr>
        <w:t xml:space="preserve"> </w:t>
      </w:r>
      <w:r w:rsidRPr="00D51726">
        <w:rPr>
          <w:rFonts w:eastAsiaTheme="minorHAnsi"/>
        </w:rPr>
        <w:t>5.231.</w:t>
      </w:r>
    </w:p>
    <w:p w14:paraId="74289088" w14:textId="77777777" w:rsidR="009565D6" w:rsidRPr="00D51726" w:rsidRDefault="009565D6" w:rsidP="0076378B">
      <w:pPr>
        <w:autoSpaceDE/>
        <w:autoSpaceDN/>
        <w:spacing w:line="360" w:lineRule="auto"/>
      </w:pPr>
    </w:p>
    <w:p w14:paraId="533DA864" w14:textId="77777777" w:rsidR="009565D6" w:rsidRPr="00D51726" w:rsidRDefault="009565D6" w:rsidP="0076378B">
      <w:pPr>
        <w:numPr>
          <w:ilvl w:val="0"/>
          <w:numId w:val="33"/>
        </w:numPr>
        <w:tabs>
          <w:tab w:val="num" w:pos="0"/>
        </w:tabs>
        <w:autoSpaceDE/>
        <w:autoSpaceDN/>
        <w:spacing w:line="360" w:lineRule="auto"/>
        <w:ind w:left="0" w:firstLine="1430"/>
      </w:pPr>
      <w:r w:rsidRPr="00D51726">
        <w:rPr>
          <w:rFonts w:eastAsiaTheme="minorHAnsi"/>
        </w:rPr>
        <w:t>Settlements lessen the time and expense the parties must expend litigating a case and at the same time conserve administrative hearing resources.  The Commission has indicated that settlement results are often preferable to those achieved at the conclusion of a fully litigated proceeding.  52 Pa. Code § 69.401.</w:t>
      </w:r>
    </w:p>
    <w:p w14:paraId="7F71EF3F" w14:textId="77777777" w:rsidR="009565D6" w:rsidRPr="00D51726" w:rsidRDefault="009565D6" w:rsidP="0076378B">
      <w:pPr>
        <w:pStyle w:val="ListParagraph"/>
        <w:spacing w:line="360" w:lineRule="auto"/>
        <w:rPr>
          <w:rFonts w:eastAsiaTheme="minorHAnsi"/>
        </w:rPr>
      </w:pPr>
    </w:p>
    <w:p w14:paraId="50F44BCE" w14:textId="04E97860" w:rsidR="009565D6" w:rsidRPr="00D51726" w:rsidRDefault="009565D6" w:rsidP="0076378B">
      <w:pPr>
        <w:numPr>
          <w:ilvl w:val="0"/>
          <w:numId w:val="33"/>
        </w:numPr>
        <w:tabs>
          <w:tab w:val="num" w:pos="0"/>
        </w:tabs>
        <w:autoSpaceDE/>
        <w:autoSpaceDN/>
        <w:spacing w:line="360" w:lineRule="auto"/>
        <w:ind w:left="0" w:firstLine="1430"/>
      </w:pPr>
      <w:r w:rsidRPr="00D51726">
        <w:rPr>
          <w:rFonts w:eastAsiaTheme="minorHAnsi"/>
        </w:rPr>
        <w:t xml:space="preserve">In order to accept a settlement, the Commission must first determine that the proposed terms and conditions are in the public interest.  </w:t>
      </w:r>
      <w:bookmarkStart w:id="7" w:name="_Hlk82075912"/>
      <w:r w:rsidRPr="00D51726">
        <w:rPr>
          <w:rFonts w:eastAsiaTheme="minorHAnsi"/>
          <w:i/>
          <w:iCs/>
        </w:rPr>
        <w:t>Pa. P</w:t>
      </w:r>
      <w:r w:rsidR="00614696" w:rsidRPr="00D51726">
        <w:rPr>
          <w:rFonts w:eastAsiaTheme="minorHAnsi"/>
          <w:i/>
          <w:iCs/>
        </w:rPr>
        <w:t>ub</w:t>
      </w:r>
      <w:r w:rsidRPr="00D51726">
        <w:rPr>
          <w:rFonts w:eastAsiaTheme="minorHAnsi"/>
          <w:i/>
          <w:iCs/>
        </w:rPr>
        <w:t>.</w:t>
      </w:r>
      <w:r w:rsidR="00614696" w:rsidRPr="00D51726">
        <w:rPr>
          <w:rFonts w:eastAsiaTheme="minorHAnsi"/>
          <w:i/>
          <w:iCs/>
        </w:rPr>
        <w:t xml:space="preserve"> </w:t>
      </w:r>
      <w:r w:rsidRPr="00D51726">
        <w:rPr>
          <w:rFonts w:eastAsiaTheme="minorHAnsi"/>
          <w:i/>
          <w:iCs/>
        </w:rPr>
        <w:t>U</w:t>
      </w:r>
      <w:r w:rsidR="00614696" w:rsidRPr="00D51726">
        <w:rPr>
          <w:rFonts w:eastAsiaTheme="minorHAnsi"/>
          <w:i/>
          <w:iCs/>
        </w:rPr>
        <w:t>til</w:t>
      </w:r>
      <w:r w:rsidRPr="00D51726">
        <w:rPr>
          <w:rFonts w:eastAsiaTheme="minorHAnsi"/>
          <w:i/>
          <w:iCs/>
        </w:rPr>
        <w:t>.</w:t>
      </w:r>
      <w:r w:rsidR="00614696" w:rsidRPr="00D51726">
        <w:rPr>
          <w:rFonts w:eastAsiaTheme="minorHAnsi"/>
          <w:i/>
          <w:iCs/>
        </w:rPr>
        <w:t xml:space="preserve"> </w:t>
      </w:r>
      <w:r w:rsidRPr="00D51726">
        <w:rPr>
          <w:rFonts w:eastAsiaTheme="minorHAnsi"/>
          <w:i/>
          <w:iCs/>
        </w:rPr>
        <w:t>C</w:t>
      </w:r>
      <w:r w:rsidR="00614696" w:rsidRPr="00D51726">
        <w:rPr>
          <w:rFonts w:eastAsiaTheme="minorHAnsi"/>
          <w:i/>
          <w:iCs/>
        </w:rPr>
        <w:t>omm’n</w:t>
      </w:r>
      <w:bookmarkEnd w:id="7"/>
      <w:r w:rsidRPr="00D51726">
        <w:rPr>
          <w:rFonts w:eastAsiaTheme="minorHAnsi"/>
          <w:i/>
          <w:iCs/>
        </w:rPr>
        <w:t xml:space="preserve"> v. York Water Co</w:t>
      </w:r>
      <w:r w:rsidRPr="00D51726">
        <w:rPr>
          <w:rFonts w:eastAsiaTheme="minorHAnsi"/>
          <w:i/>
        </w:rPr>
        <w:t>.</w:t>
      </w:r>
      <w:r w:rsidRPr="00D51726">
        <w:rPr>
          <w:rFonts w:eastAsiaTheme="minorHAnsi"/>
        </w:rPr>
        <w:t xml:space="preserve">, Docket No. R-00049165 </w:t>
      </w:r>
      <w:r w:rsidR="00DC30F7" w:rsidRPr="00D51726">
        <w:rPr>
          <w:rFonts w:eastAsiaTheme="minorHAnsi"/>
        </w:rPr>
        <w:t>(</w:t>
      </w:r>
      <w:r w:rsidRPr="00D51726">
        <w:rPr>
          <w:rFonts w:eastAsiaTheme="minorHAnsi"/>
        </w:rPr>
        <w:t>O</w:t>
      </w:r>
      <w:r w:rsidR="008D0F39" w:rsidRPr="00D51726">
        <w:rPr>
          <w:rFonts w:eastAsiaTheme="minorHAnsi"/>
        </w:rPr>
        <w:t>rder entered October 4, 2004</w:t>
      </w:r>
      <w:r w:rsidRPr="00D51726">
        <w:rPr>
          <w:rFonts w:eastAsiaTheme="minorHAnsi"/>
        </w:rPr>
        <w:t xml:space="preserve">); </w:t>
      </w:r>
      <w:r w:rsidR="00614696" w:rsidRPr="00D51726">
        <w:rPr>
          <w:rFonts w:eastAsiaTheme="minorHAnsi"/>
          <w:i/>
          <w:iCs/>
        </w:rPr>
        <w:t>Pa. Pub. Util. Comm’n</w:t>
      </w:r>
      <w:r w:rsidR="00614696" w:rsidRPr="00D51726" w:rsidDel="00614696">
        <w:rPr>
          <w:rFonts w:eastAsiaTheme="minorHAnsi"/>
          <w:i/>
          <w:iCs/>
        </w:rPr>
        <w:t xml:space="preserve"> </w:t>
      </w:r>
      <w:r w:rsidRPr="00D51726">
        <w:rPr>
          <w:rFonts w:eastAsiaTheme="minorHAnsi"/>
          <w:i/>
          <w:iCs/>
        </w:rPr>
        <w:t xml:space="preserve">v. CS Water </w:t>
      </w:r>
      <w:r w:rsidR="00614696" w:rsidRPr="00D51726">
        <w:rPr>
          <w:rFonts w:eastAsiaTheme="minorHAnsi"/>
          <w:i/>
          <w:iCs/>
        </w:rPr>
        <w:t xml:space="preserve">&amp; </w:t>
      </w:r>
      <w:r w:rsidRPr="00D51726">
        <w:rPr>
          <w:rFonts w:eastAsiaTheme="minorHAnsi"/>
          <w:i/>
          <w:iCs/>
        </w:rPr>
        <w:t>Sewer Assoc</w:t>
      </w:r>
      <w:r w:rsidR="00614696" w:rsidRPr="00D51726">
        <w:rPr>
          <w:rFonts w:eastAsiaTheme="minorHAnsi"/>
          <w:i/>
          <w:iCs/>
        </w:rPr>
        <w:t>s</w:t>
      </w:r>
      <w:r w:rsidRPr="00D51726">
        <w:rPr>
          <w:rFonts w:eastAsiaTheme="minorHAnsi"/>
          <w:i/>
        </w:rPr>
        <w:t>.</w:t>
      </w:r>
      <w:r w:rsidRPr="00D51726">
        <w:rPr>
          <w:rFonts w:eastAsiaTheme="minorHAnsi"/>
        </w:rPr>
        <w:t>, 74 Pa</w:t>
      </w:r>
      <w:r w:rsidR="00DC30F7" w:rsidRPr="00D51726">
        <w:rPr>
          <w:rFonts w:eastAsiaTheme="minorHAnsi"/>
        </w:rPr>
        <w:t>.</w:t>
      </w:r>
      <w:r w:rsidRPr="00D51726">
        <w:rPr>
          <w:rFonts w:eastAsiaTheme="minorHAnsi"/>
        </w:rPr>
        <w:t xml:space="preserve"> PUC 767 (1991).</w:t>
      </w:r>
    </w:p>
    <w:p w14:paraId="470D0ADB" w14:textId="77777777" w:rsidR="009565D6" w:rsidRPr="00D51726" w:rsidRDefault="009565D6" w:rsidP="0076378B">
      <w:pPr>
        <w:pStyle w:val="ListParagraph"/>
        <w:spacing w:line="360" w:lineRule="auto"/>
        <w:rPr>
          <w:rFonts w:eastAsiaTheme="minorHAnsi"/>
        </w:rPr>
      </w:pPr>
    </w:p>
    <w:p w14:paraId="5A665869" w14:textId="77777777" w:rsidR="009565D6" w:rsidRPr="00D51726" w:rsidRDefault="009565D6" w:rsidP="0076378B">
      <w:pPr>
        <w:numPr>
          <w:ilvl w:val="0"/>
          <w:numId w:val="33"/>
        </w:numPr>
        <w:tabs>
          <w:tab w:val="num" w:pos="0"/>
        </w:tabs>
        <w:autoSpaceDE/>
        <w:autoSpaceDN/>
        <w:spacing w:line="360" w:lineRule="auto"/>
        <w:ind w:left="0" w:firstLine="1430"/>
      </w:pPr>
      <w:r w:rsidRPr="00D51726">
        <w:rPr>
          <w:rFonts w:eastAsiaTheme="minorHAnsi"/>
        </w:rPr>
        <w:lastRenderedPageBreak/>
        <w:t>The decision of the Commission must be supported by substantial evidence.  2 Pa. C.S. § 704.</w:t>
      </w:r>
    </w:p>
    <w:p w14:paraId="235AA0B8" w14:textId="77777777" w:rsidR="009565D6" w:rsidRPr="00D51726" w:rsidRDefault="009565D6" w:rsidP="0076378B">
      <w:pPr>
        <w:pStyle w:val="ListParagraph"/>
        <w:spacing w:line="360" w:lineRule="auto"/>
        <w:rPr>
          <w:rFonts w:eastAsiaTheme="minorHAnsi"/>
        </w:rPr>
      </w:pPr>
    </w:p>
    <w:p w14:paraId="66D46DE3" w14:textId="3E624E0D" w:rsidR="009565D6" w:rsidRPr="00D51726" w:rsidRDefault="009565D6" w:rsidP="0076378B">
      <w:pPr>
        <w:numPr>
          <w:ilvl w:val="0"/>
          <w:numId w:val="33"/>
        </w:numPr>
        <w:tabs>
          <w:tab w:val="num" w:pos="0"/>
        </w:tabs>
        <w:autoSpaceDE/>
        <w:autoSpaceDN/>
        <w:spacing w:line="360" w:lineRule="auto"/>
        <w:ind w:left="0" w:firstLine="1430"/>
      </w:pPr>
      <w:r w:rsidRPr="00D51726">
        <w:rPr>
          <w:rFonts w:eastAsiaTheme="minorHAnsi"/>
        </w:rPr>
        <w:t xml:space="preserve">"Substantial evidence" is such relevant evidence that a reasonable mind might accept as adequate to support a conclusion.  More is required than a mere trace of evidence or a suspicion of the existence of a fact sought to be established.  </w:t>
      </w:r>
      <w:r w:rsidRPr="00D51726">
        <w:rPr>
          <w:rFonts w:eastAsiaTheme="minorHAnsi"/>
          <w:i/>
          <w:iCs/>
        </w:rPr>
        <w:t xml:space="preserve">Norfolk &amp; Western Ry. Co. v. </w:t>
      </w:r>
      <w:r w:rsidR="00614696" w:rsidRPr="00D51726">
        <w:rPr>
          <w:rFonts w:eastAsiaTheme="minorHAnsi"/>
          <w:i/>
          <w:iCs/>
        </w:rPr>
        <w:t>Pa. Pub. Util. Comm’n</w:t>
      </w:r>
      <w:r w:rsidRPr="00D51726">
        <w:rPr>
          <w:rFonts w:eastAsiaTheme="minorHAnsi"/>
        </w:rPr>
        <w:t xml:space="preserve">, 489 Pa. 109, 413 A.2d 1037 (1980); </w:t>
      </w:r>
      <w:r w:rsidRPr="00D51726">
        <w:rPr>
          <w:rFonts w:eastAsiaTheme="minorHAnsi"/>
          <w:i/>
          <w:iCs/>
        </w:rPr>
        <w:t>Erie Resistor Corp. v. Unemployment Comp. Bd. of Review</w:t>
      </w:r>
      <w:r w:rsidRPr="00D51726">
        <w:rPr>
          <w:rFonts w:eastAsiaTheme="minorHAnsi"/>
        </w:rPr>
        <w:t xml:space="preserve">, 194 Pa. Superior Ct. 278, 166 A.2d 96 (1961); and </w:t>
      </w:r>
      <w:r w:rsidRPr="00D51726">
        <w:rPr>
          <w:rFonts w:eastAsiaTheme="minorHAnsi"/>
          <w:i/>
          <w:iCs/>
        </w:rPr>
        <w:t xml:space="preserve">Murphy v. </w:t>
      </w:r>
      <w:r w:rsidR="00DC30F7" w:rsidRPr="00D51726">
        <w:rPr>
          <w:rFonts w:eastAsiaTheme="minorHAnsi"/>
          <w:i/>
          <w:iCs/>
        </w:rPr>
        <w:t xml:space="preserve">Pa. </w:t>
      </w:r>
      <w:r w:rsidRPr="00D51726">
        <w:rPr>
          <w:rFonts w:eastAsiaTheme="minorHAnsi"/>
          <w:i/>
          <w:iCs/>
        </w:rPr>
        <w:t>Dept. of Pub</w:t>
      </w:r>
      <w:r w:rsidR="00614696" w:rsidRPr="00D51726">
        <w:rPr>
          <w:rFonts w:eastAsiaTheme="minorHAnsi"/>
          <w:i/>
          <w:iCs/>
        </w:rPr>
        <w:t>.</w:t>
      </w:r>
      <w:r w:rsidRPr="00D51726">
        <w:rPr>
          <w:rFonts w:eastAsiaTheme="minorHAnsi"/>
          <w:i/>
          <w:iCs/>
        </w:rPr>
        <w:t xml:space="preserve"> Welfare, White Haven C</w:t>
      </w:r>
      <w:r w:rsidR="00614696" w:rsidRPr="00D51726">
        <w:rPr>
          <w:rFonts w:eastAsiaTheme="minorHAnsi"/>
          <w:i/>
          <w:iCs/>
        </w:rPr>
        <w:t>tr.</w:t>
      </w:r>
      <w:r w:rsidRPr="00D51726">
        <w:rPr>
          <w:rFonts w:eastAsiaTheme="minorHAnsi"/>
        </w:rPr>
        <w:t>, 85 Pa. Commonwealth Ct. 23, 480 A.2d 382 (1984).</w:t>
      </w:r>
    </w:p>
    <w:p w14:paraId="7E887C65" w14:textId="77777777" w:rsidR="00A53C5D" w:rsidRPr="00D51726" w:rsidRDefault="00A53C5D" w:rsidP="0076378B">
      <w:pPr>
        <w:autoSpaceDE/>
        <w:autoSpaceDN/>
        <w:spacing w:line="360" w:lineRule="auto"/>
      </w:pPr>
    </w:p>
    <w:p w14:paraId="55193436" w14:textId="2E161D01" w:rsidR="00A53C5D" w:rsidRPr="00D51726" w:rsidRDefault="00092CEA" w:rsidP="0076378B">
      <w:pPr>
        <w:numPr>
          <w:ilvl w:val="0"/>
          <w:numId w:val="33"/>
        </w:numPr>
        <w:tabs>
          <w:tab w:val="num" w:pos="0"/>
        </w:tabs>
        <w:autoSpaceDE/>
        <w:autoSpaceDN/>
        <w:spacing w:line="360" w:lineRule="auto"/>
        <w:ind w:left="0" w:firstLine="1430"/>
      </w:pPr>
      <w:bookmarkStart w:id="8" w:name="_Hlk81490110"/>
      <w:r w:rsidRPr="00D51726">
        <w:t>UGI Utilities, Inc. – Gas Division</w:t>
      </w:r>
      <w:bookmarkEnd w:id="8"/>
      <w:r w:rsidR="00A53C5D" w:rsidRPr="00D51726">
        <w:t xml:space="preserve"> is pursuing a least cost fuel procurement policy during the relevant time period consistent with its obligation to provide safe, </w:t>
      </w:r>
      <w:proofErr w:type="gramStart"/>
      <w:r w:rsidR="00A53C5D" w:rsidRPr="00D51726">
        <w:t>adequate</w:t>
      </w:r>
      <w:proofErr w:type="gramEnd"/>
      <w:r w:rsidR="00A53C5D" w:rsidRPr="00D51726">
        <w:t xml:space="preserve"> and reliable service to its customers in compliance with Section 1318 of the Public Utility Code</w:t>
      </w:r>
      <w:r w:rsidR="00B500F1" w:rsidRPr="00D51726">
        <w:t>.</w:t>
      </w:r>
      <w:r w:rsidR="00A53C5D" w:rsidRPr="00D51726">
        <w:t xml:space="preserve"> 66 Pa. C.S. §</w:t>
      </w:r>
      <w:r w:rsidR="00436165" w:rsidRPr="00D51726">
        <w:t xml:space="preserve"> </w:t>
      </w:r>
      <w:r w:rsidR="00A53C5D" w:rsidRPr="00D51726">
        <w:t>1318.</w:t>
      </w:r>
    </w:p>
    <w:p w14:paraId="4D64C63E" w14:textId="77777777" w:rsidR="00DC30F7" w:rsidRPr="00D51726" w:rsidRDefault="00DC30F7" w:rsidP="0076378B">
      <w:pPr>
        <w:pStyle w:val="ListParagraph"/>
        <w:spacing w:line="360" w:lineRule="auto"/>
      </w:pPr>
    </w:p>
    <w:p w14:paraId="49A18DA7" w14:textId="2010C509" w:rsidR="00A53C5D" w:rsidRPr="00D51726" w:rsidRDefault="00092CEA" w:rsidP="0076378B">
      <w:pPr>
        <w:numPr>
          <w:ilvl w:val="0"/>
          <w:numId w:val="33"/>
        </w:numPr>
        <w:tabs>
          <w:tab w:val="num" w:pos="0"/>
        </w:tabs>
        <w:autoSpaceDE/>
        <w:autoSpaceDN/>
        <w:spacing w:line="360" w:lineRule="auto"/>
        <w:ind w:left="0" w:firstLine="1430"/>
      </w:pPr>
      <w:bookmarkStart w:id="9" w:name="_Hlk81490165"/>
      <w:r w:rsidRPr="00D51726">
        <w:t>UGI Utilities, Inc. – Gas Division</w:t>
      </w:r>
      <w:bookmarkEnd w:id="9"/>
      <w:r w:rsidR="00A53C5D" w:rsidRPr="00D51726">
        <w:t>’s rates for purchased gas costs, as the parties have agreed upon in this proceeding, during the relevant time period are just and reasonable and in compliance with Section 1318 of the Public Utility Code</w:t>
      </w:r>
      <w:r w:rsidR="00B500F1" w:rsidRPr="00D51726">
        <w:t>.</w:t>
      </w:r>
      <w:r w:rsidR="00A53C5D" w:rsidRPr="00D51726">
        <w:t xml:space="preserve"> 66 Pa. C.S. §</w:t>
      </w:r>
      <w:r w:rsidR="00436165" w:rsidRPr="00D51726">
        <w:t xml:space="preserve"> </w:t>
      </w:r>
      <w:r w:rsidR="00A53C5D" w:rsidRPr="00D51726">
        <w:t>1318.</w:t>
      </w:r>
    </w:p>
    <w:p w14:paraId="55C42040" w14:textId="77777777" w:rsidR="00A53C5D" w:rsidRPr="00D51726" w:rsidRDefault="00A53C5D" w:rsidP="0076378B">
      <w:pPr>
        <w:autoSpaceDE/>
        <w:autoSpaceDN/>
        <w:spacing w:line="360" w:lineRule="auto"/>
      </w:pPr>
    </w:p>
    <w:p w14:paraId="60161642" w14:textId="21637918" w:rsidR="00A53C5D" w:rsidRPr="00D51726" w:rsidRDefault="00092CEA" w:rsidP="0076378B">
      <w:pPr>
        <w:numPr>
          <w:ilvl w:val="0"/>
          <w:numId w:val="33"/>
        </w:numPr>
        <w:tabs>
          <w:tab w:val="num" w:pos="0"/>
        </w:tabs>
        <w:autoSpaceDE/>
        <w:autoSpaceDN/>
        <w:spacing w:line="360" w:lineRule="auto"/>
        <w:ind w:left="0" w:firstLine="1430"/>
      </w:pPr>
      <w:r w:rsidRPr="00D51726">
        <w:t>UGI Utilities, Inc. – Gas Division</w:t>
      </w:r>
      <w:r w:rsidR="00A53C5D" w:rsidRPr="00D51726">
        <w:t xml:space="preserve"> has fully and vigorously represented the interests of its ratepayers in proceedings before the Federa</w:t>
      </w:r>
      <w:r w:rsidR="002A709B" w:rsidRPr="00D51726">
        <w:t xml:space="preserve">l Energy Regulatory Commission </w:t>
      </w:r>
      <w:r w:rsidR="00A53C5D" w:rsidRPr="00D51726">
        <w:t>during the relevant time period in compliance with Section 1318(a)(1) of the Public Utility Code</w:t>
      </w:r>
      <w:r w:rsidR="00B500F1" w:rsidRPr="00D51726">
        <w:t>.</w:t>
      </w:r>
      <w:r w:rsidR="00A53C5D" w:rsidRPr="00D51726">
        <w:t xml:space="preserve"> </w:t>
      </w:r>
      <w:r w:rsidR="008C4527" w:rsidRPr="00D51726">
        <w:t xml:space="preserve"> </w:t>
      </w:r>
      <w:r w:rsidR="00A53C5D" w:rsidRPr="00D51726">
        <w:t>66 Pa. C.S. §</w:t>
      </w:r>
      <w:r w:rsidR="00436165" w:rsidRPr="00D51726">
        <w:t xml:space="preserve"> </w:t>
      </w:r>
      <w:r w:rsidR="00A53C5D" w:rsidRPr="00D51726">
        <w:t>1318(a)(1).</w:t>
      </w:r>
    </w:p>
    <w:p w14:paraId="4A60C81A" w14:textId="77777777" w:rsidR="00A53C5D" w:rsidRPr="00D51726" w:rsidRDefault="00A53C5D" w:rsidP="0076378B">
      <w:pPr>
        <w:autoSpaceDE/>
        <w:autoSpaceDN/>
        <w:spacing w:line="360" w:lineRule="auto"/>
      </w:pPr>
    </w:p>
    <w:p w14:paraId="7DE97D62" w14:textId="122851B6" w:rsidR="00A53C5D" w:rsidRPr="00D51726" w:rsidRDefault="005B0250" w:rsidP="0076378B">
      <w:pPr>
        <w:numPr>
          <w:ilvl w:val="0"/>
          <w:numId w:val="33"/>
        </w:numPr>
        <w:tabs>
          <w:tab w:val="num" w:pos="0"/>
        </w:tabs>
        <w:autoSpaceDE/>
        <w:autoSpaceDN/>
        <w:spacing w:line="360" w:lineRule="auto"/>
        <w:ind w:left="0" w:firstLine="1430"/>
      </w:pPr>
      <w:r w:rsidRPr="00D51726">
        <w:t xml:space="preserve">UGI Utilities, Inc. – Gas Division </w:t>
      </w:r>
      <w:r w:rsidR="00A53C5D" w:rsidRPr="00D51726">
        <w:t>has taken all prudent steps necessary to negotiate favorable gas supply contracts and to relieve itself from terms in existing contracts with its gas suppliers, which are or may be adverse to the interests of its ratepayers, during the relevant time period in compliance with Section 1318(a)(2) of the Public Utility Code</w:t>
      </w:r>
      <w:r w:rsidR="00B500F1" w:rsidRPr="00D51726">
        <w:t>.</w:t>
      </w:r>
      <w:r w:rsidR="00A53C5D" w:rsidRPr="00D51726">
        <w:t xml:space="preserve"> 66 Pa. C.S. §</w:t>
      </w:r>
      <w:r w:rsidR="00436165" w:rsidRPr="00D51726">
        <w:t xml:space="preserve"> </w:t>
      </w:r>
      <w:r w:rsidR="00A53C5D" w:rsidRPr="00D51726">
        <w:t>1318(a)(2).</w:t>
      </w:r>
    </w:p>
    <w:p w14:paraId="017C270B" w14:textId="77777777" w:rsidR="00A53C5D" w:rsidRPr="00D51726" w:rsidRDefault="00A53C5D" w:rsidP="0076378B">
      <w:pPr>
        <w:autoSpaceDE/>
        <w:autoSpaceDN/>
        <w:spacing w:line="360" w:lineRule="auto"/>
      </w:pPr>
    </w:p>
    <w:p w14:paraId="12F29004" w14:textId="00295D5F" w:rsidR="00A53C5D" w:rsidRPr="00D51726" w:rsidRDefault="005B0250" w:rsidP="0076378B">
      <w:pPr>
        <w:numPr>
          <w:ilvl w:val="0"/>
          <w:numId w:val="33"/>
        </w:numPr>
        <w:tabs>
          <w:tab w:val="num" w:pos="0"/>
        </w:tabs>
        <w:autoSpaceDE/>
        <w:autoSpaceDN/>
        <w:spacing w:line="360" w:lineRule="auto"/>
        <w:ind w:left="0" w:firstLine="1430"/>
      </w:pPr>
      <w:r w:rsidRPr="00D51726">
        <w:lastRenderedPageBreak/>
        <w:t>UGI Utilities, Inc. – Gas Division</w:t>
      </w:r>
      <w:r w:rsidR="00A53C5D" w:rsidRPr="00D51726">
        <w:t xml:space="preserve"> has taken all prudent steps necessary during the relevant time period to obtain lower cost gas supplies on both short-term and long-term bases both within and outside the Commonwealth, including the use of gas transportation arrangements with pipelines and other distribution compa</w:t>
      </w:r>
      <w:r w:rsidR="000036BC" w:rsidRPr="00D51726">
        <w:t>nies in compliance with Section </w:t>
      </w:r>
      <w:r w:rsidR="00A53C5D" w:rsidRPr="00D51726">
        <w:t>1318(a)(3) of the Public Utility Code</w:t>
      </w:r>
      <w:r w:rsidR="00B500F1" w:rsidRPr="00D51726">
        <w:t>.</w:t>
      </w:r>
      <w:r w:rsidR="00A53C5D" w:rsidRPr="00D51726">
        <w:t xml:space="preserve"> 66 Pa. C.S. §</w:t>
      </w:r>
      <w:r w:rsidR="00436165" w:rsidRPr="00D51726">
        <w:t xml:space="preserve"> </w:t>
      </w:r>
      <w:r w:rsidR="00A53C5D" w:rsidRPr="00D51726">
        <w:t>1318(a)(3).</w:t>
      </w:r>
    </w:p>
    <w:p w14:paraId="7E8B93B6" w14:textId="77777777" w:rsidR="00A53C5D" w:rsidRPr="00D51726" w:rsidRDefault="00A53C5D" w:rsidP="0076378B">
      <w:pPr>
        <w:autoSpaceDE/>
        <w:autoSpaceDN/>
        <w:spacing w:line="360" w:lineRule="auto"/>
      </w:pPr>
    </w:p>
    <w:p w14:paraId="4BAEA38A" w14:textId="5ECB4798" w:rsidR="00A53C5D" w:rsidRPr="00D51726" w:rsidRDefault="005B0250" w:rsidP="0076378B">
      <w:pPr>
        <w:numPr>
          <w:ilvl w:val="0"/>
          <w:numId w:val="33"/>
        </w:numPr>
        <w:tabs>
          <w:tab w:val="num" w:pos="0"/>
        </w:tabs>
        <w:autoSpaceDE/>
        <w:autoSpaceDN/>
        <w:spacing w:line="360" w:lineRule="auto"/>
        <w:ind w:left="0" w:firstLine="1430"/>
      </w:pPr>
      <w:r w:rsidRPr="00D51726">
        <w:t xml:space="preserve">UGI Utilities, Inc. – Gas Division </w:t>
      </w:r>
      <w:r w:rsidR="00A53C5D" w:rsidRPr="00D51726">
        <w:t>has not withheld from the market or caused to be withheld from the market during the relevant time period any gas supplies, which should have been used as part of a least cost fuel procurement po</w:t>
      </w:r>
      <w:r w:rsidR="00F64954" w:rsidRPr="00D51726">
        <w:t>licy in compliance with Section </w:t>
      </w:r>
      <w:r w:rsidR="00A53C5D" w:rsidRPr="00D51726">
        <w:t>1318(a)(4) of the Public Utility Code</w:t>
      </w:r>
      <w:r w:rsidR="00B500F1" w:rsidRPr="00D51726">
        <w:t>.</w:t>
      </w:r>
      <w:r w:rsidR="00A53C5D" w:rsidRPr="00D51726">
        <w:t xml:space="preserve"> 66 Pa. C.S. §</w:t>
      </w:r>
      <w:r w:rsidR="00436165" w:rsidRPr="00D51726">
        <w:t xml:space="preserve"> </w:t>
      </w:r>
      <w:r w:rsidR="00A53C5D" w:rsidRPr="00D51726">
        <w:t>1318(a)(4).</w:t>
      </w:r>
    </w:p>
    <w:p w14:paraId="05C4D574" w14:textId="77777777" w:rsidR="00A53C5D" w:rsidRPr="00D51726" w:rsidRDefault="00A53C5D" w:rsidP="0076378B">
      <w:pPr>
        <w:autoSpaceDE/>
        <w:autoSpaceDN/>
        <w:spacing w:line="360" w:lineRule="auto"/>
      </w:pPr>
    </w:p>
    <w:p w14:paraId="6B3D8154" w14:textId="37866BC2" w:rsidR="00A53C5D" w:rsidRPr="00D51726" w:rsidRDefault="005B0250" w:rsidP="0076378B">
      <w:pPr>
        <w:numPr>
          <w:ilvl w:val="0"/>
          <w:numId w:val="33"/>
        </w:numPr>
        <w:tabs>
          <w:tab w:val="num" w:pos="0"/>
        </w:tabs>
        <w:autoSpaceDE/>
        <w:autoSpaceDN/>
        <w:spacing w:line="360" w:lineRule="auto"/>
        <w:ind w:left="0" w:firstLine="1430"/>
      </w:pPr>
      <w:r w:rsidRPr="00D51726">
        <w:t xml:space="preserve">UGI Utilities, Inc. – Gas Division </w:t>
      </w:r>
      <w:r w:rsidR="00A53C5D" w:rsidRPr="00D51726">
        <w:t>has fully and vigorously attempted to obtain less costly gas supplies on both short-term and long-term bases from nonaffiliated interests during the relevant time period in compliance with Section 1318(b)(1) of the Public Utility Code</w:t>
      </w:r>
      <w:r w:rsidR="00B500F1" w:rsidRPr="00D51726">
        <w:t>.</w:t>
      </w:r>
      <w:r w:rsidR="00A53C5D" w:rsidRPr="00D51726">
        <w:t xml:space="preserve"> 66 Pa. C.S. §</w:t>
      </w:r>
      <w:r w:rsidR="00436165" w:rsidRPr="00D51726">
        <w:t xml:space="preserve"> </w:t>
      </w:r>
      <w:r w:rsidR="00A53C5D" w:rsidRPr="00D51726">
        <w:t>1318(b)(1).</w:t>
      </w:r>
    </w:p>
    <w:p w14:paraId="31976A94" w14:textId="77777777" w:rsidR="00A53C5D" w:rsidRPr="00D51726" w:rsidRDefault="00A53C5D" w:rsidP="0076378B">
      <w:pPr>
        <w:autoSpaceDE/>
        <w:autoSpaceDN/>
        <w:spacing w:line="360" w:lineRule="auto"/>
      </w:pPr>
    </w:p>
    <w:p w14:paraId="18E07B5F" w14:textId="64D35207" w:rsidR="00A53C5D" w:rsidRPr="00D51726" w:rsidRDefault="005B0250" w:rsidP="0076378B">
      <w:pPr>
        <w:numPr>
          <w:ilvl w:val="0"/>
          <w:numId w:val="33"/>
        </w:numPr>
        <w:tabs>
          <w:tab w:val="num" w:pos="0"/>
        </w:tabs>
        <w:autoSpaceDE/>
        <w:autoSpaceDN/>
        <w:spacing w:line="360" w:lineRule="auto"/>
        <w:ind w:left="0" w:firstLine="1430"/>
      </w:pPr>
      <w:r w:rsidRPr="00D51726">
        <w:t>UGI Utilities, Inc. – Gas Division</w:t>
      </w:r>
      <w:r w:rsidR="00A53C5D" w:rsidRPr="00D51726">
        <w:t>’s contracts, if any, for the purchase of gas from any affiliated interest during the relevant time period are consistent with a least cost fuel procurement policy in compliance with Section 1318(b)(2) of the Public Utility Code</w:t>
      </w:r>
      <w:r w:rsidR="00B500F1" w:rsidRPr="00D51726">
        <w:t>.</w:t>
      </w:r>
      <w:r w:rsidR="00A53C5D" w:rsidRPr="00D51726">
        <w:t xml:space="preserve"> 66 Pa. C.S. §</w:t>
      </w:r>
      <w:r w:rsidR="00436165" w:rsidRPr="00D51726">
        <w:t xml:space="preserve"> </w:t>
      </w:r>
      <w:r w:rsidR="00A53C5D" w:rsidRPr="00D51726">
        <w:t>1318(b)(2).</w:t>
      </w:r>
    </w:p>
    <w:p w14:paraId="76E9A98D" w14:textId="77777777" w:rsidR="00A53C5D" w:rsidRPr="00D51726" w:rsidRDefault="00A53C5D" w:rsidP="0076378B">
      <w:pPr>
        <w:autoSpaceDE/>
        <w:autoSpaceDN/>
        <w:spacing w:line="360" w:lineRule="auto"/>
      </w:pPr>
    </w:p>
    <w:p w14:paraId="7D1A6F58" w14:textId="5D3DD016" w:rsidR="00A53C5D" w:rsidRPr="00D51726" w:rsidRDefault="00A53C5D" w:rsidP="0076378B">
      <w:pPr>
        <w:numPr>
          <w:ilvl w:val="0"/>
          <w:numId w:val="33"/>
        </w:numPr>
        <w:tabs>
          <w:tab w:val="num" w:pos="0"/>
        </w:tabs>
        <w:autoSpaceDE/>
        <w:autoSpaceDN/>
        <w:spacing w:line="360" w:lineRule="auto"/>
        <w:ind w:left="0" w:firstLine="1430"/>
      </w:pPr>
      <w:r w:rsidRPr="00D51726">
        <w:t xml:space="preserve">Neither </w:t>
      </w:r>
      <w:r w:rsidR="005B0250" w:rsidRPr="00D51726">
        <w:t>UGI Utilities, Inc. – Gas Division</w:t>
      </w:r>
      <w:r w:rsidRPr="00D51726">
        <w:t>, nor any affiliated interest</w:t>
      </w:r>
      <w:r w:rsidR="00336FC3" w:rsidRPr="00D51726">
        <w:t>,</w:t>
      </w:r>
      <w:r w:rsidRPr="00D51726">
        <w:t xml:space="preserve"> during the relevant time period has withheld from the market any gas supplies, which should have been used as part of a least cost fuel procurement policy in complian</w:t>
      </w:r>
      <w:r w:rsidR="00317471" w:rsidRPr="00D51726">
        <w:t>ce with Section </w:t>
      </w:r>
      <w:r w:rsidRPr="00D51726">
        <w:t>1318(b)(3) of the Public Utility Code</w:t>
      </w:r>
      <w:r w:rsidR="00B500F1" w:rsidRPr="00D51726">
        <w:t>.</w:t>
      </w:r>
      <w:r w:rsidRPr="00D51726">
        <w:t xml:space="preserve"> 66 Pa. C.S. §</w:t>
      </w:r>
      <w:r w:rsidR="00436165" w:rsidRPr="00D51726">
        <w:t xml:space="preserve"> </w:t>
      </w:r>
      <w:r w:rsidRPr="00D51726">
        <w:t>1318(b)(3).</w:t>
      </w:r>
    </w:p>
    <w:p w14:paraId="7A2E7D2C" w14:textId="77777777" w:rsidR="00A53C5D" w:rsidRPr="00D51726" w:rsidRDefault="00A53C5D" w:rsidP="0076378B">
      <w:pPr>
        <w:autoSpaceDE/>
        <w:autoSpaceDN/>
        <w:spacing w:line="360" w:lineRule="auto"/>
      </w:pPr>
    </w:p>
    <w:p w14:paraId="64850B13" w14:textId="21F24DE5" w:rsidR="00A53C5D" w:rsidRPr="00D51726" w:rsidRDefault="00A53C5D" w:rsidP="0076378B">
      <w:pPr>
        <w:numPr>
          <w:ilvl w:val="0"/>
          <w:numId w:val="33"/>
        </w:numPr>
        <w:tabs>
          <w:tab w:val="num" w:pos="0"/>
        </w:tabs>
        <w:autoSpaceDE/>
        <w:autoSpaceDN/>
        <w:spacing w:line="360" w:lineRule="auto"/>
        <w:ind w:left="0" w:firstLine="1430"/>
      </w:pPr>
      <w:r w:rsidRPr="00D51726">
        <w:t>The Commission should approve</w:t>
      </w:r>
      <w:r w:rsidR="00387494" w:rsidRPr="00D51726">
        <w:t>, without modification,</w:t>
      </w:r>
      <w:r w:rsidRPr="00D51726">
        <w:t xml:space="preserve"> the Joint Petition for Settlement of the Rate Investigation Pursuant to 66 Pa. C.S. §</w:t>
      </w:r>
      <w:r w:rsidR="00436165" w:rsidRPr="00D51726">
        <w:t xml:space="preserve"> </w:t>
      </w:r>
      <w:r w:rsidRPr="00D51726">
        <w:t xml:space="preserve">1307(f) that </w:t>
      </w:r>
      <w:r w:rsidR="005B0250" w:rsidRPr="00D51726">
        <w:t>UGI Utilities, Inc.</w:t>
      </w:r>
      <w:r w:rsidRPr="00D51726">
        <w:t>, the OCA, the OSBA and the I&amp;E have submitted at this docket as in the public interest.</w:t>
      </w:r>
    </w:p>
    <w:p w14:paraId="1AAB4DAF" w14:textId="0A57658E" w:rsidR="00017003" w:rsidRDefault="00017003">
      <w:pPr>
        <w:autoSpaceDE/>
        <w:autoSpaceDN/>
      </w:pPr>
      <w:r>
        <w:br w:type="page"/>
      </w:r>
    </w:p>
    <w:p w14:paraId="11E38632" w14:textId="77777777" w:rsidR="00A53C5D" w:rsidRPr="00D51726" w:rsidRDefault="00A53C5D" w:rsidP="0076378B">
      <w:pPr>
        <w:autoSpaceDE/>
        <w:autoSpaceDN/>
        <w:spacing w:line="360" w:lineRule="auto"/>
        <w:jc w:val="center"/>
      </w:pPr>
      <w:r w:rsidRPr="00D51726">
        <w:rPr>
          <w:u w:val="single"/>
        </w:rPr>
        <w:lastRenderedPageBreak/>
        <w:t>ORDER</w:t>
      </w:r>
    </w:p>
    <w:p w14:paraId="609FF3CB" w14:textId="77777777" w:rsidR="00F01B3A" w:rsidRPr="00D51726" w:rsidRDefault="00F01B3A" w:rsidP="0076378B">
      <w:pPr>
        <w:autoSpaceDE/>
        <w:autoSpaceDN/>
        <w:spacing w:line="360" w:lineRule="auto"/>
      </w:pPr>
    </w:p>
    <w:p w14:paraId="7358A575" w14:textId="77777777" w:rsidR="002A2F63" w:rsidRPr="00D51726" w:rsidRDefault="002A2F63" w:rsidP="0076378B">
      <w:pPr>
        <w:autoSpaceDE/>
        <w:autoSpaceDN/>
        <w:spacing w:line="360" w:lineRule="auto"/>
      </w:pPr>
    </w:p>
    <w:p w14:paraId="2AD07D3B" w14:textId="77777777" w:rsidR="00A53C5D" w:rsidRPr="00D51726" w:rsidRDefault="00A53C5D" w:rsidP="0076378B">
      <w:pPr>
        <w:autoSpaceDE/>
        <w:autoSpaceDN/>
        <w:spacing w:line="360" w:lineRule="auto"/>
      </w:pPr>
      <w:r w:rsidRPr="00D51726">
        <w:tab/>
      </w:r>
      <w:r w:rsidRPr="00D51726">
        <w:tab/>
        <w:t>THEREFORE,</w:t>
      </w:r>
    </w:p>
    <w:p w14:paraId="1B610080" w14:textId="77777777" w:rsidR="00A53C5D" w:rsidRPr="00D51726" w:rsidRDefault="00A53C5D" w:rsidP="0076378B">
      <w:pPr>
        <w:autoSpaceDE/>
        <w:autoSpaceDN/>
        <w:spacing w:line="360" w:lineRule="auto"/>
      </w:pPr>
    </w:p>
    <w:p w14:paraId="735CED96" w14:textId="77777777" w:rsidR="00A53C5D" w:rsidRPr="00D51726" w:rsidRDefault="00A53C5D" w:rsidP="0076378B">
      <w:pPr>
        <w:autoSpaceDE/>
        <w:autoSpaceDN/>
        <w:spacing w:line="360" w:lineRule="auto"/>
      </w:pPr>
      <w:r w:rsidRPr="00D51726">
        <w:tab/>
      </w:r>
      <w:r w:rsidRPr="00D51726">
        <w:tab/>
        <w:t>IT IS RECOMMENDED:</w:t>
      </w:r>
    </w:p>
    <w:p w14:paraId="4F139172" w14:textId="77777777" w:rsidR="00A53C5D" w:rsidRPr="00D51726" w:rsidRDefault="00A53C5D" w:rsidP="0076378B">
      <w:pPr>
        <w:autoSpaceDE/>
        <w:autoSpaceDN/>
        <w:spacing w:line="360" w:lineRule="auto"/>
      </w:pPr>
    </w:p>
    <w:p w14:paraId="3CBFA94B" w14:textId="5AA711C1" w:rsidR="000F514A" w:rsidRPr="00D51726" w:rsidRDefault="00A53C5D" w:rsidP="00C56103">
      <w:pPr>
        <w:numPr>
          <w:ilvl w:val="0"/>
          <w:numId w:val="34"/>
        </w:numPr>
        <w:tabs>
          <w:tab w:val="clear" w:pos="720"/>
          <w:tab w:val="left" w:pos="2160"/>
        </w:tabs>
        <w:autoSpaceDE/>
        <w:autoSpaceDN/>
        <w:spacing w:line="360" w:lineRule="auto"/>
        <w:ind w:left="0" w:firstLine="1440"/>
      </w:pPr>
      <w:r w:rsidRPr="00D51726">
        <w:t>That the Joint Petition for Settlement of the Rate Investigation Pu</w:t>
      </w:r>
      <w:r w:rsidR="00C020C4" w:rsidRPr="00D51726">
        <w:t>rsuant to </w:t>
      </w:r>
      <w:r w:rsidR="00336FC3" w:rsidRPr="00D51726">
        <w:t>66 Pa. C.S. §1307(f</w:t>
      </w:r>
      <w:r w:rsidRPr="00D51726">
        <w:t xml:space="preserve">) submitted by </w:t>
      </w:r>
      <w:r w:rsidR="005B0250" w:rsidRPr="00D51726">
        <w:tab/>
        <w:t>UGI Utilities, Inc.</w:t>
      </w:r>
      <w:r w:rsidR="00D52EBF" w:rsidRPr="00D51726">
        <w:t xml:space="preserve"> – Gas Division</w:t>
      </w:r>
      <w:r w:rsidR="005B0250" w:rsidRPr="00D51726">
        <w:t>,</w:t>
      </w:r>
      <w:r w:rsidRPr="00D51726">
        <w:t xml:space="preserve"> the Office of Consumer Advocate, the Office of Small Business Advocate, and the Bureau of Investigation and Enforcement at Docket No</w:t>
      </w:r>
      <w:r w:rsidR="005B0250" w:rsidRPr="00D51726">
        <w:t>s</w:t>
      </w:r>
      <w:r w:rsidRPr="00D51726">
        <w:t>. R-</w:t>
      </w:r>
      <w:r w:rsidR="005B0250" w:rsidRPr="00D51726">
        <w:t>2021-3025652</w:t>
      </w:r>
      <w:r w:rsidR="00BF219E" w:rsidRPr="00D51726">
        <w:t xml:space="preserve">, </w:t>
      </w:r>
      <w:r w:rsidR="005B0250" w:rsidRPr="00D51726">
        <w:t xml:space="preserve">C-2021-3025994 </w:t>
      </w:r>
      <w:r w:rsidR="00BF219E" w:rsidRPr="00D51726">
        <w:t xml:space="preserve">and </w:t>
      </w:r>
      <w:r w:rsidR="005B0250" w:rsidRPr="00D51726">
        <w:t>C-2021-3026377</w:t>
      </w:r>
      <w:r w:rsidR="00BF219E" w:rsidRPr="00D51726">
        <w:t>,</w:t>
      </w:r>
      <w:r w:rsidRPr="00D51726">
        <w:t xml:space="preserve"> </w:t>
      </w:r>
      <w:r w:rsidR="00336FC3" w:rsidRPr="00D51726">
        <w:t xml:space="preserve">dated </w:t>
      </w:r>
      <w:r w:rsidR="005B0250" w:rsidRPr="00D51726">
        <w:t>August 25, 2021</w:t>
      </w:r>
      <w:r w:rsidR="00D52EBF" w:rsidRPr="00D51726">
        <w:t>,</w:t>
      </w:r>
      <w:r w:rsidR="00336FC3" w:rsidRPr="00D51726">
        <w:t xml:space="preserve"> </w:t>
      </w:r>
      <w:r w:rsidR="005B0250" w:rsidRPr="00D51726">
        <w:t>be</w:t>
      </w:r>
      <w:r w:rsidRPr="00D51726">
        <w:t xml:space="preserve"> approved in its entirety without modification.</w:t>
      </w:r>
    </w:p>
    <w:p w14:paraId="5660FB7E" w14:textId="619CFD91" w:rsidR="00864A21" w:rsidRPr="00D51726" w:rsidRDefault="00864A21" w:rsidP="00C56103">
      <w:pPr>
        <w:tabs>
          <w:tab w:val="left" w:pos="2160"/>
        </w:tabs>
        <w:autoSpaceDE/>
        <w:autoSpaceDN/>
        <w:spacing w:line="360" w:lineRule="auto"/>
        <w:ind w:firstLine="1440"/>
      </w:pPr>
    </w:p>
    <w:p w14:paraId="5EB899FC" w14:textId="1591C2D5" w:rsidR="00864A21" w:rsidRPr="00D51726" w:rsidRDefault="001B0093" w:rsidP="00A22DFD">
      <w:pPr>
        <w:pStyle w:val="ListParagraph"/>
        <w:numPr>
          <w:ilvl w:val="0"/>
          <w:numId w:val="34"/>
        </w:numPr>
        <w:tabs>
          <w:tab w:val="clear" w:pos="720"/>
          <w:tab w:val="left" w:pos="2160"/>
        </w:tabs>
        <w:autoSpaceDE/>
        <w:autoSpaceDN/>
        <w:spacing w:line="360" w:lineRule="auto"/>
        <w:ind w:left="0" w:firstLine="1440"/>
      </w:pPr>
      <w:r w:rsidRPr="00D51726">
        <w:t xml:space="preserve">That UGI </w:t>
      </w:r>
      <w:r w:rsidR="00915AEC" w:rsidRPr="00D51726">
        <w:t xml:space="preserve">Utilities, Inc. </w:t>
      </w:r>
      <w:r w:rsidR="003011C6" w:rsidRPr="00D51726">
        <w:t xml:space="preserve">– </w:t>
      </w:r>
      <w:r w:rsidRPr="00D51726">
        <w:t xml:space="preserve">Gas </w:t>
      </w:r>
      <w:r w:rsidR="00915AEC" w:rsidRPr="00D51726">
        <w:t xml:space="preserve">Division </w:t>
      </w:r>
      <w:r w:rsidRPr="00D51726">
        <w:t>be authorized to file a tariff supplement for service rendered on or after December 1, 2021, that implements, subject to updates and tariff modifications traditionally performed on December 1, the Purchased Gas Cost rate of $4.4594/Mcf.</w:t>
      </w:r>
    </w:p>
    <w:p w14:paraId="3559ADDB" w14:textId="77777777" w:rsidR="002804BD" w:rsidRPr="00D51726" w:rsidRDefault="002804BD" w:rsidP="00A22DFD">
      <w:pPr>
        <w:pStyle w:val="ListParagraph"/>
        <w:tabs>
          <w:tab w:val="left" w:pos="2160"/>
        </w:tabs>
        <w:spacing w:line="360" w:lineRule="auto"/>
        <w:ind w:left="0" w:firstLine="1440"/>
      </w:pPr>
    </w:p>
    <w:p w14:paraId="6AB1E773" w14:textId="1F198DBB" w:rsidR="002804BD" w:rsidRDefault="002804BD" w:rsidP="00C56103">
      <w:pPr>
        <w:pStyle w:val="ListParagraph"/>
        <w:numPr>
          <w:ilvl w:val="0"/>
          <w:numId w:val="34"/>
        </w:numPr>
        <w:tabs>
          <w:tab w:val="clear" w:pos="720"/>
          <w:tab w:val="left" w:pos="2160"/>
        </w:tabs>
        <w:spacing w:line="360" w:lineRule="auto"/>
        <w:ind w:left="0" w:firstLine="1440"/>
      </w:pPr>
      <w:r w:rsidRPr="00D51726">
        <w:t>That UGI Utilities, Inc. – Gas Division be authorized to file a tariff supplement, on one day’s notice to the Commission, containing changes in rates to provide for the recovery of its costs of purchased gas, consistent with the terms and conditions of the Joint Petition for Settlement of Section 1307(f) Rate Investigation.</w:t>
      </w:r>
    </w:p>
    <w:p w14:paraId="7F331B90" w14:textId="77777777" w:rsidR="00EB2531" w:rsidRDefault="00EB2531" w:rsidP="00EB2531">
      <w:pPr>
        <w:pStyle w:val="ListParagraph"/>
      </w:pPr>
    </w:p>
    <w:p w14:paraId="325EF03D" w14:textId="77777777" w:rsidR="00EB2531" w:rsidRPr="00D51726" w:rsidRDefault="00EB2531" w:rsidP="00EB2531">
      <w:pPr>
        <w:pStyle w:val="ListParagraph"/>
        <w:tabs>
          <w:tab w:val="left" w:pos="2160"/>
        </w:tabs>
        <w:spacing w:line="360" w:lineRule="auto"/>
        <w:ind w:left="1440"/>
      </w:pPr>
    </w:p>
    <w:p w14:paraId="3207AFFF" w14:textId="5E658FA8" w:rsidR="000F514A" w:rsidRPr="00D51726" w:rsidRDefault="006333D6" w:rsidP="00C56103">
      <w:pPr>
        <w:tabs>
          <w:tab w:val="left" w:pos="2160"/>
        </w:tabs>
        <w:autoSpaceDE/>
        <w:autoSpaceDN/>
        <w:spacing w:line="360" w:lineRule="auto"/>
        <w:ind w:firstLine="1440"/>
      </w:pPr>
      <w:r>
        <w:t>4.</w:t>
      </w:r>
      <w:r>
        <w:tab/>
      </w:r>
      <w:r w:rsidR="00A53C5D" w:rsidRPr="00D51726">
        <w:t xml:space="preserve">That </w:t>
      </w:r>
      <w:r w:rsidR="005B0250" w:rsidRPr="00D51726">
        <w:t>UGI Utilities, Inc. – Gas Division</w:t>
      </w:r>
      <w:r w:rsidR="00A53C5D" w:rsidRPr="00D51726">
        <w:t>, the Office of Consumer Advocate, the Office of Small Business Advocate, and the Bureau of Investigation and Enforcement, shall comply with the terms of the Settlement of Section 1307(f) Rate Investigation submitted in this proceeding, as though each term and condition stated therein had been the subject of an individual ordering paragraph.</w:t>
      </w:r>
    </w:p>
    <w:p w14:paraId="6BF79B4E" w14:textId="77777777" w:rsidR="000F514A" w:rsidRPr="00D51726" w:rsidRDefault="000F514A" w:rsidP="00C56103">
      <w:pPr>
        <w:pStyle w:val="ListParagraph"/>
        <w:tabs>
          <w:tab w:val="left" w:pos="2160"/>
        </w:tabs>
        <w:spacing w:line="360" w:lineRule="auto"/>
        <w:ind w:left="0" w:firstLine="1440"/>
      </w:pPr>
    </w:p>
    <w:p w14:paraId="150DFF17" w14:textId="6D972FA9" w:rsidR="00A53C5D" w:rsidRPr="00D51726" w:rsidRDefault="006333D6" w:rsidP="00C56103">
      <w:pPr>
        <w:tabs>
          <w:tab w:val="left" w:pos="2160"/>
        </w:tabs>
        <w:autoSpaceDE/>
        <w:autoSpaceDN/>
        <w:spacing w:line="360" w:lineRule="auto"/>
        <w:ind w:firstLine="1440"/>
      </w:pPr>
      <w:r>
        <w:lastRenderedPageBreak/>
        <w:t>5.</w:t>
      </w:r>
      <w:r>
        <w:tab/>
      </w:r>
      <w:r w:rsidR="00A53C5D" w:rsidRPr="00D51726">
        <w:t xml:space="preserve">That upon the filing of a tariff supplement by </w:t>
      </w:r>
      <w:r w:rsidR="005B0250" w:rsidRPr="00D51726">
        <w:t>UGI Utilities, Inc. – Gas Division</w:t>
      </w:r>
      <w:r w:rsidR="00A53C5D" w:rsidRPr="00D51726">
        <w:t xml:space="preserve">, acceptable to the Commission as conforming </w:t>
      </w:r>
      <w:r w:rsidR="00387494" w:rsidRPr="00D51726">
        <w:t>with this Order and</w:t>
      </w:r>
      <w:r w:rsidR="00A53C5D" w:rsidRPr="00D51726">
        <w:t xml:space="preserve"> the Joint Petition for Settlement</w:t>
      </w:r>
      <w:r w:rsidR="00387494" w:rsidRPr="00D51726">
        <w:t xml:space="preserve"> of Section 1307(f) Rate Investigation, </w:t>
      </w:r>
      <w:r w:rsidR="00A53C5D" w:rsidRPr="00D51726">
        <w:t xml:space="preserve"> and the Commission’s approval thereof, the purchased gas rates established therein shall become effective </w:t>
      </w:r>
      <w:r w:rsidR="00387494" w:rsidRPr="00D51726">
        <w:t>for service rendered on and after December 1, 2021</w:t>
      </w:r>
      <w:r w:rsidR="00A53C5D" w:rsidRPr="00D51726">
        <w:t>.</w:t>
      </w:r>
    </w:p>
    <w:p w14:paraId="54FFE3A8" w14:textId="77777777" w:rsidR="00A53C5D" w:rsidRPr="00D51726" w:rsidRDefault="00A53C5D" w:rsidP="00C56103">
      <w:pPr>
        <w:tabs>
          <w:tab w:val="left" w:pos="2160"/>
        </w:tabs>
        <w:autoSpaceDE/>
        <w:autoSpaceDN/>
        <w:spacing w:line="360" w:lineRule="auto"/>
        <w:ind w:firstLine="1440"/>
      </w:pPr>
    </w:p>
    <w:p w14:paraId="77CD76C0" w14:textId="1264B764" w:rsidR="00A53C5D" w:rsidRPr="00D51726" w:rsidRDefault="00C56103" w:rsidP="00C56103">
      <w:pPr>
        <w:tabs>
          <w:tab w:val="left" w:pos="2160"/>
        </w:tabs>
        <w:autoSpaceDE/>
        <w:autoSpaceDN/>
        <w:spacing w:line="360" w:lineRule="auto"/>
        <w:ind w:firstLine="1440"/>
      </w:pPr>
      <w:r>
        <w:t>6.</w:t>
      </w:r>
      <w:r>
        <w:tab/>
      </w:r>
      <w:r w:rsidR="00A53C5D" w:rsidRPr="00D51726">
        <w:t>That the Complaint of the Office of Consumer Advocate at Docket N</w:t>
      </w:r>
      <w:r w:rsidR="005B0250" w:rsidRPr="00D51726">
        <w:t>o. C</w:t>
      </w:r>
      <w:r w:rsidR="00432EB2" w:rsidRPr="00D51726">
        <w:noBreakHyphen/>
      </w:r>
      <w:r w:rsidR="005B0250" w:rsidRPr="00D51726">
        <w:t>2021-3025994</w:t>
      </w:r>
      <w:r w:rsidR="00A53C5D" w:rsidRPr="00D51726">
        <w:t xml:space="preserve"> is deemed satisfied.</w:t>
      </w:r>
    </w:p>
    <w:p w14:paraId="205191F9" w14:textId="77777777" w:rsidR="00A53C5D" w:rsidRPr="00D51726" w:rsidRDefault="00A53C5D" w:rsidP="00C56103">
      <w:pPr>
        <w:tabs>
          <w:tab w:val="left" w:pos="2160"/>
        </w:tabs>
        <w:autoSpaceDE/>
        <w:autoSpaceDN/>
        <w:spacing w:line="360" w:lineRule="auto"/>
        <w:ind w:firstLine="1440"/>
      </w:pPr>
    </w:p>
    <w:p w14:paraId="7459B86C" w14:textId="15C8FFE2" w:rsidR="000F514A" w:rsidRPr="00D51726" w:rsidRDefault="00C56103" w:rsidP="00C56103">
      <w:pPr>
        <w:pStyle w:val="ListParagraph"/>
        <w:tabs>
          <w:tab w:val="left" w:pos="2160"/>
        </w:tabs>
        <w:autoSpaceDE/>
        <w:autoSpaceDN/>
        <w:spacing w:line="360" w:lineRule="auto"/>
        <w:ind w:left="0" w:firstLine="1440"/>
      </w:pPr>
      <w:r>
        <w:t>7.</w:t>
      </w:r>
      <w:r>
        <w:tab/>
      </w:r>
      <w:r w:rsidR="00A53C5D" w:rsidRPr="00D51726">
        <w:t>That the Complaint of the Office of Small Bus</w:t>
      </w:r>
      <w:r w:rsidR="00C123E9" w:rsidRPr="00D51726">
        <w:t>iness Advocate at Docket N</w:t>
      </w:r>
      <w:r w:rsidR="005B0250" w:rsidRPr="00D51726">
        <w:t>o. C-2021-3026377</w:t>
      </w:r>
      <w:r w:rsidR="00A53C5D" w:rsidRPr="00D51726">
        <w:t xml:space="preserve"> is deemed satisfied.</w:t>
      </w:r>
    </w:p>
    <w:p w14:paraId="31050591" w14:textId="77777777" w:rsidR="000F514A" w:rsidRPr="00D51726" w:rsidRDefault="000F514A" w:rsidP="00C56103">
      <w:pPr>
        <w:pStyle w:val="ListParagraph"/>
        <w:tabs>
          <w:tab w:val="left" w:pos="2160"/>
        </w:tabs>
        <w:spacing w:line="360" w:lineRule="auto"/>
        <w:ind w:left="0" w:firstLine="1440"/>
      </w:pPr>
    </w:p>
    <w:p w14:paraId="28B348BE" w14:textId="4CC6696B" w:rsidR="00292F95" w:rsidRPr="00D51726" w:rsidRDefault="00C56103" w:rsidP="00C56103">
      <w:pPr>
        <w:tabs>
          <w:tab w:val="left" w:pos="2160"/>
        </w:tabs>
        <w:autoSpaceDE/>
        <w:autoSpaceDN/>
        <w:spacing w:line="360" w:lineRule="auto"/>
        <w:ind w:firstLine="1440"/>
        <w:contextualSpacing/>
      </w:pPr>
      <w:r>
        <w:t>8.</w:t>
      </w:r>
      <w:r>
        <w:tab/>
      </w:r>
      <w:r w:rsidR="00A53C5D" w:rsidRPr="00D51726">
        <w:t xml:space="preserve">That upon acceptance and approval by the Commission of the tariff supplement and supporting data filed by </w:t>
      </w:r>
      <w:r w:rsidR="005B0250" w:rsidRPr="00D51726">
        <w:t>UGI Utilities, Inc. – Gas Division</w:t>
      </w:r>
      <w:r w:rsidR="00A53C5D" w:rsidRPr="00D51726">
        <w:t>, as being consistent with the Joint Petition for Settlement, the inquiry and investigation at Docket Number</w:t>
      </w:r>
      <w:r w:rsidR="000E4D6F" w:rsidRPr="00D51726">
        <w:t xml:space="preserve"> </w:t>
      </w:r>
      <w:r w:rsidR="00A53C5D" w:rsidRPr="00D51726">
        <w:t>R-20</w:t>
      </w:r>
      <w:r w:rsidR="00952765" w:rsidRPr="00D51726">
        <w:t>21-3025652</w:t>
      </w:r>
      <w:r w:rsidR="00A53C5D" w:rsidRPr="00D51726">
        <w:t xml:space="preserve"> shall be terminated and the docket marked closed.</w:t>
      </w:r>
    </w:p>
    <w:p w14:paraId="00FA7C4A" w14:textId="77777777" w:rsidR="0090475A" w:rsidRPr="00D51726" w:rsidRDefault="0090475A" w:rsidP="00587387">
      <w:pPr>
        <w:spacing w:line="480" w:lineRule="auto"/>
      </w:pPr>
    </w:p>
    <w:p w14:paraId="247EDF80" w14:textId="77777777" w:rsidR="002A2F63" w:rsidRPr="00D51726" w:rsidRDefault="002A2F63" w:rsidP="00587387">
      <w:pPr>
        <w:spacing w:line="480" w:lineRule="auto"/>
      </w:pPr>
    </w:p>
    <w:p w14:paraId="32510951" w14:textId="32354DCD" w:rsidR="006D33B5" w:rsidRPr="00D51726" w:rsidRDefault="006D33B5" w:rsidP="00B37B92">
      <w:pPr>
        <w:rPr>
          <w:u w:val="single"/>
        </w:rPr>
      </w:pPr>
      <w:r w:rsidRPr="00D51726">
        <w:t xml:space="preserve">Date: </w:t>
      </w:r>
      <w:r w:rsidR="00952765" w:rsidRPr="00D51726">
        <w:rPr>
          <w:u w:val="single"/>
        </w:rPr>
        <w:t xml:space="preserve">September </w:t>
      </w:r>
      <w:r w:rsidR="006962E8" w:rsidRPr="00D51726">
        <w:rPr>
          <w:u w:val="single"/>
        </w:rPr>
        <w:t>1</w:t>
      </w:r>
      <w:r w:rsidR="00EB2531">
        <w:rPr>
          <w:u w:val="single"/>
        </w:rPr>
        <w:t>4</w:t>
      </w:r>
      <w:r w:rsidR="008773BF" w:rsidRPr="00D51726">
        <w:rPr>
          <w:u w:val="single"/>
        </w:rPr>
        <w:t>, 20</w:t>
      </w:r>
      <w:r w:rsidR="00952765" w:rsidRPr="00D51726">
        <w:rPr>
          <w:u w:val="single"/>
        </w:rPr>
        <w:t>21</w:t>
      </w:r>
      <w:r w:rsidR="00774975" w:rsidRPr="00D51726">
        <w:tab/>
      </w:r>
      <w:r w:rsidR="00002E79" w:rsidRPr="00D51726">
        <w:tab/>
      </w:r>
      <w:r w:rsidR="0090475A" w:rsidRPr="00D51726">
        <w:tab/>
      </w:r>
      <w:r w:rsidR="00556035" w:rsidRPr="00D51726">
        <w:tab/>
      </w:r>
      <w:r w:rsidR="00556035" w:rsidRPr="00D51726">
        <w:tab/>
      </w:r>
      <w:r w:rsidR="00774975" w:rsidRPr="00D51726">
        <w:rPr>
          <w:u w:val="single"/>
        </w:rPr>
        <w:tab/>
      </w:r>
      <w:r w:rsidR="001F5AB8" w:rsidRPr="00D51726">
        <w:rPr>
          <w:u w:val="single"/>
        </w:rPr>
        <w:t>/s/</w:t>
      </w:r>
      <w:r w:rsidR="00774975" w:rsidRPr="00D51726">
        <w:rPr>
          <w:u w:val="single"/>
        </w:rPr>
        <w:tab/>
      </w:r>
      <w:r w:rsidR="00774975" w:rsidRPr="00D51726">
        <w:rPr>
          <w:u w:val="single"/>
        </w:rPr>
        <w:tab/>
      </w:r>
      <w:r w:rsidR="00774975" w:rsidRPr="00D51726">
        <w:rPr>
          <w:u w:val="single"/>
        </w:rPr>
        <w:tab/>
      </w:r>
      <w:r w:rsidR="00774975" w:rsidRPr="00D51726">
        <w:rPr>
          <w:u w:val="single"/>
        </w:rPr>
        <w:tab/>
      </w:r>
    </w:p>
    <w:p w14:paraId="69DF4945" w14:textId="0F124FE3" w:rsidR="00B73F8B" w:rsidRPr="00D51726" w:rsidRDefault="00B73F8B" w:rsidP="00B37B92">
      <w:r w:rsidRPr="00D51726">
        <w:tab/>
      </w:r>
      <w:r w:rsidRPr="00D51726">
        <w:tab/>
      </w:r>
      <w:r w:rsidRPr="00D51726">
        <w:tab/>
      </w:r>
      <w:r w:rsidRPr="00D51726">
        <w:tab/>
      </w:r>
      <w:r w:rsidRPr="00D51726">
        <w:tab/>
      </w:r>
      <w:r w:rsidR="00556035" w:rsidRPr="00D51726">
        <w:tab/>
      </w:r>
      <w:r w:rsidR="00556035" w:rsidRPr="00D51726">
        <w:tab/>
      </w:r>
      <w:r w:rsidR="00952765" w:rsidRPr="00D51726">
        <w:tab/>
        <w:t>Dennis J. Buckley</w:t>
      </w:r>
    </w:p>
    <w:p w14:paraId="360AC049" w14:textId="4C8F64B9" w:rsidR="006D33B5" w:rsidRPr="00D51726" w:rsidRDefault="006D33B5" w:rsidP="00B37B92">
      <w:r w:rsidRPr="00D51726">
        <w:tab/>
      </w:r>
      <w:r w:rsidRPr="00D51726">
        <w:tab/>
      </w:r>
      <w:r w:rsidRPr="00D51726">
        <w:tab/>
      </w:r>
      <w:r w:rsidRPr="00D51726">
        <w:tab/>
      </w:r>
      <w:r w:rsidRPr="00D51726">
        <w:tab/>
      </w:r>
      <w:r w:rsidR="00556035" w:rsidRPr="00D51726">
        <w:tab/>
      </w:r>
      <w:r w:rsidR="00556035" w:rsidRPr="00D51726">
        <w:tab/>
      </w:r>
      <w:r w:rsidR="00952765" w:rsidRPr="00D51726">
        <w:tab/>
      </w:r>
      <w:r w:rsidRPr="00D51726">
        <w:t>Administrative Law Judge</w:t>
      </w:r>
    </w:p>
    <w:sectPr w:rsidR="006D33B5" w:rsidRPr="00D51726" w:rsidSect="00D94E0F">
      <w:footerReference w:type="first" r:id="rId9"/>
      <w:pgSz w:w="12240" w:h="15840"/>
      <w:pgMar w:top="1440" w:right="1440" w:bottom="1440" w:left="1440"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EA77F" w14:textId="77777777" w:rsidR="000B162C" w:rsidRDefault="000B162C">
      <w:r>
        <w:separator/>
      </w:r>
    </w:p>
  </w:endnote>
  <w:endnote w:type="continuationSeparator" w:id="0">
    <w:p w14:paraId="363BC84D" w14:textId="77777777" w:rsidR="000B162C" w:rsidRDefault="000B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71800810"/>
      <w:docPartObj>
        <w:docPartGallery w:val="Page Numbers (Bottom of Page)"/>
        <w:docPartUnique/>
      </w:docPartObj>
    </w:sdtPr>
    <w:sdtEndPr>
      <w:rPr>
        <w:noProof/>
      </w:rPr>
    </w:sdtEndPr>
    <w:sdtContent>
      <w:p w14:paraId="5D1273E1" w14:textId="66471CCB" w:rsidR="00282FFB" w:rsidRPr="00DE1583" w:rsidRDefault="00282FFB">
        <w:pPr>
          <w:pStyle w:val="Footer"/>
          <w:jc w:val="center"/>
          <w:rPr>
            <w:sz w:val="20"/>
            <w:szCs w:val="20"/>
          </w:rPr>
        </w:pPr>
        <w:r w:rsidRPr="00DE1583">
          <w:rPr>
            <w:sz w:val="20"/>
            <w:szCs w:val="20"/>
          </w:rPr>
          <w:fldChar w:fldCharType="begin"/>
        </w:r>
        <w:r w:rsidRPr="00DE1583">
          <w:rPr>
            <w:sz w:val="20"/>
            <w:szCs w:val="20"/>
          </w:rPr>
          <w:instrText xml:space="preserve"> PAGE   \* MERGEFORMAT </w:instrText>
        </w:r>
        <w:r w:rsidRPr="00DE1583">
          <w:rPr>
            <w:sz w:val="20"/>
            <w:szCs w:val="20"/>
          </w:rPr>
          <w:fldChar w:fldCharType="separate"/>
        </w:r>
        <w:r w:rsidRPr="00DE1583">
          <w:rPr>
            <w:noProof/>
            <w:sz w:val="20"/>
            <w:szCs w:val="20"/>
          </w:rPr>
          <w:t>2</w:t>
        </w:r>
        <w:r w:rsidRPr="00DE1583">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30149496"/>
      <w:docPartObj>
        <w:docPartGallery w:val="Page Numbers (Bottom of Page)"/>
        <w:docPartUnique/>
      </w:docPartObj>
    </w:sdtPr>
    <w:sdtEndPr>
      <w:rPr>
        <w:noProof/>
      </w:rPr>
    </w:sdtEndPr>
    <w:sdtContent>
      <w:p w14:paraId="77E825A2" w14:textId="232A094D" w:rsidR="00282FFB" w:rsidRPr="00DE1583" w:rsidRDefault="00282FFB">
        <w:pPr>
          <w:pStyle w:val="Footer"/>
          <w:jc w:val="center"/>
          <w:rPr>
            <w:sz w:val="20"/>
            <w:szCs w:val="20"/>
          </w:rPr>
        </w:pPr>
        <w:r w:rsidRPr="00DE1583">
          <w:rPr>
            <w:sz w:val="20"/>
            <w:szCs w:val="20"/>
          </w:rPr>
          <w:fldChar w:fldCharType="begin"/>
        </w:r>
        <w:r w:rsidRPr="00DE1583">
          <w:rPr>
            <w:sz w:val="20"/>
            <w:szCs w:val="20"/>
          </w:rPr>
          <w:instrText xml:space="preserve"> PAGE   \* MERGEFORMAT </w:instrText>
        </w:r>
        <w:r w:rsidRPr="00DE1583">
          <w:rPr>
            <w:sz w:val="20"/>
            <w:szCs w:val="20"/>
          </w:rPr>
          <w:fldChar w:fldCharType="separate"/>
        </w:r>
        <w:r w:rsidRPr="00DE1583">
          <w:rPr>
            <w:noProof/>
            <w:sz w:val="20"/>
            <w:szCs w:val="20"/>
          </w:rPr>
          <w:t>2</w:t>
        </w:r>
        <w:r w:rsidRPr="00DE158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3A774" w14:textId="77777777" w:rsidR="000B162C" w:rsidRDefault="000B162C">
      <w:r>
        <w:separator/>
      </w:r>
    </w:p>
  </w:footnote>
  <w:footnote w:type="continuationSeparator" w:id="0">
    <w:p w14:paraId="2004466E" w14:textId="77777777" w:rsidR="000B162C" w:rsidRDefault="000B162C">
      <w:r>
        <w:continuationSeparator/>
      </w:r>
    </w:p>
  </w:footnote>
  <w:footnote w:id="1">
    <w:p w14:paraId="455B6089" w14:textId="4ED85AF0" w:rsidR="00D4093D" w:rsidRDefault="00D4093D" w:rsidP="00E772EC">
      <w:pPr>
        <w:pStyle w:val="FootnoteText"/>
        <w:ind w:firstLine="720"/>
      </w:pPr>
      <w:r>
        <w:rPr>
          <w:rStyle w:val="FootnoteReference"/>
        </w:rPr>
        <w:footnoteRef/>
      </w:r>
      <w:r>
        <w:t xml:space="preserve"> </w:t>
      </w:r>
      <w:r>
        <w:tab/>
        <w:t>In its definitive filing on June 1, 2021, UGI proposed a PGC rate of $4.7754 per Mcf</w:t>
      </w:r>
      <w:r w:rsidR="003011C6">
        <w:t>, effective December 1, 2021.</w:t>
      </w:r>
    </w:p>
  </w:footnote>
  <w:footnote w:id="2">
    <w:p w14:paraId="4BC7115B" w14:textId="5215C5FA" w:rsidR="00375BAA" w:rsidRDefault="00375BAA" w:rsidP="00375BAA">
      <w:pPr>
        <w:pStyle w:val="FootnoteText"/>
        <w:ind w:firstLine="720"/>
      </w:pPr>
      <w:r>
        <w:rPr>
          <w:rStyle w:val="FootnoteReference"/>
        </w:rPr>
        <w:footnoteRef/>
      </w:r>
      <w:r>
        <w:t xml:space="preserve"> </w:t>
      </w:r>
      <w:r>
        <w:tab/>
        <w:t>I</w:t>
      </w:r>
      <w:r w:rsidRPr="00D51726">
        <w:t xml:space="preserve">n order to meet the statutory deadline in this case, the Commission must act on this matter by </w:t>
      </w:r>
      <w:r>
        <w:t xml:space="preserve">the November 18, </w:t>
      </w:r>
      <w:proofErr w:type="gramStart"/>
      <w:r>
        <w:t>2021</w:t>
      </w:r>
      <w:proofErr w:type="gramEnd"/>
      <w:r>
        <w:t xml:space="preserve"> Public Meeting.</w:t>
      </w:r>
    </w:p>
  </w:footnote>
  <w:footnote w:id="3">
    <w:p w14:paraId="73325830" w14:textId="5AB78D09" w:rsidR="005F5B96" w:rsidRDefault="005F5B96" w:rsidP="00900516">
      <w:pPr>
        <w:pStyle w:val="FootnoteText"/>
        <w:ind w:firstLine="720"/>
      </w:pPr>
      <w:r>
        <w:rPr>
          <w:rStyle w:val="FootnoteReference"/>
        </w:rPr>
        <w:footnoteRef/>
      </w:r>
      <w:r>
        <w:t xml:space="preserve"> </w:t>
      </w:r>
      <w:r w:rsidR="00900516">
        <w:tab/>
      </w:r>
      <w:r w:rsidRPr="00922A6A">
        <w:t>This quantity was reduced from the original UGIES Offer 1 of 33,362</w:t>
      </w:r>
      <w:r w:rsidR="00957D24">
        <w:t xml:space="preserve"> </w:t>
      </w:r>
      <w:r w:rsidR="006962E8">
        <w:t>[</w:t>
      </w:r>
      <w:proofErr w:type="spellStart"/>
      <w:r w:rsidR="00957D24">
        <w:t>dth</w:t>
      </w:r>
      <w:proofErr w:type="spellEnd"/>
      <w:r w:rsidR="006962E8">
        <w:t>]</w:t>
      </w:r>
      <w:r w:rsidRPr="00922A6A">
        <w:t xml:space="preserve"> per day in response to the February 2021 RFP as part of the normal bid refresh process.  (UGI St. 2-R, pp. 2, 5).</w:t>
      </w:r>
    </w:p>
  </w:footnote>
  <w:footnote w:id="4">
    <w:p w14:paraId="6D6E2F42" w14:textId="4682CC7C" w:rsidR="005F5B96" w:rsidRPr="0067517A" w:rsidRDefault="005F5B96" w:rsidP="00900516">
      <w:pPr>
        <w:adjustRightInd w:val="0"/>
        <w:ind w:firstLine="720"/>
      </w:pPr>
      <w:r w:rsidRPr="007600FE">
        <w:rPr>
          <w:rStyle w:val="FootnoteReference"/>
          <w:sz w:val="20"/>
          <w:szCs w:val="20"/>
        </w:rPr>
        <w:footnoteRef/>
      </w:r>
      <w:r w:rsidRPr="007600FE">
        <w:rPr>
          <w:sz w:val="20"/>
          <w:szCs w:val="20"/>
        </w:rPr>
        <w:t xml:space="preserve"> </w:t>
      </w:r>
      <w:r w:rsidR="00900516">
        <w:rPr>
          <w:sz w:val="20"/>
          <w:szCs w:val="20"/>
        </w:rPr>
        <w:tab/>
      </w:r>
      <w:r w:rsidRPr="007600FE">
        <w:rPr>
          <w:sz w:val="20"/>
          <w:szCs w:val="20"/>
        </w:rPr>
        <w:t xml:space="preserve">As discussed on page 25 of UGI Statement No. 2-R, the Rebuttal Testimony of Jesse R. </w:t>
      </w:r>
      <w:proofErr w:type="spellStart"/>
      <w:r w:rsidRPr="007600FE">
        <w:rPr>
          <w:sz w:val="20"/>
          <w:szCs w:val="20"/>
        </w:rPr>
        <w:t>Tyahla</w:t>
      </w:r>
      <w:proofErr w:type="spellEnd"/>
      <w:r w:rsidRPr="007600FE">
        <w:rPr>
          <w:sz w:val="20"/>
          <w:szCs w:val="20"/>
        </w:rPr>
        <w:t xml:space="preserve">, the </w:t>
      </w:r>
      <w:r w:rsidRPr="0067517A">
        <w:rPr>
          <w:sz w:val="20"/>
          <w:szCs w:val="20"/>
        </w:rPr>
        <w:t>Company</w:t>
      </w:r>
      <w:r w:rsidRPr="007600FE">
        <w:rPr>
          <w:sz w:val="20"/>
          <w:szCs w:val="20"/>
        </w:rPr>
        <w:t xml:space="preserve"> developed an </w:t>
      </w:r>
      <w:r w:rsidRPr="0067517A">
        <w:rPr>
          <w:sz w:val="20"/>
          <w:szCs w:val="20"/>
        </w:rPr>
        <w:t xml:space="preserve">initial analysis </w:t>
      </w:r>
      <w:r w:rsidRPr="007600FE">
        <w:rPr>
          <w:sz w:val="20"/>
          <w:szCs w:val="20"/>
        </w:rPr>
        <w:t xml:space="preserve">to show the </w:t>
      </w:r>
      <w:r w:rsidRPr="0067517A">
        <w:rPr>
          <w:sz w:val="20"/>
          <w:szCs w:val="20"/>
        </w:rPr>
        <w:t xml:space="preserve">revenue </w:t>
      </w:r>
      <w:r w:rsidRPr="007600FE">
        <w:rPr>
          <w:sz w:val="20"/>
          <w:szCs w:val="20"/>
        </w:rPr>
        <w:t xml:space="preserve">that would be </w:t>
      </w:r>
      <w:r w:rsidRPr="0067517A">
        <w:rPr>
          <w:sz w:val="20"/>
          <w:szCs w:val="20"/>
        </w:rPr>
        <w:t>generated through the sale of RINs</w:t>
      </w:r>
      <w:r w:rsidRPr="007600FE">
        <w:rPr>
          <w:sz w:val="20"/>
          <w:szCs w:val="20"/>
        </w:rPr>
        <w:t xml:space="preserve">.  This analysis, </w:t>
      </w:r>
      <w:r w:rsidRPr="0067517A">
        <w:rPr>
          <w:sz w:val="20"/>
          <w:szCs w:val="20"/>
        </w:rPr>
        <w:t xml:space="preserve">assuming average market conditions experienced over the last five years, </w:t>
      </w:r>
      <w:r w:rsidRPr="007600FE">
        <w:rPr>
          <w:sz w:val="20"/>
          <w:szCs w:val="20"/>
        </w:rPr>
        <w:t xml:space="preserve">showed that </w:t>
      </w:r>
      <w:r w:rsidRPr="0067517A">
        <w:rPr>
          <w:sz w:val="20"/>
          <w:szCs w:val="20"/>
        </w:rPr>
        <w:t xml:space="preserve">PGC customers would pay no cost premium associated with the inclusion of RNG in the PGC portfolio, but would actually have achieved a net lower overall gas cost utilizing the RNG supply rather than traditional gas supply. </w:t>
      </w:r>
      <w:r w:rsidRPr="007600FE">
        <w:rPr>
          <w:sz w:val="20"/>
          <w:szCs w:val="20"/>
        </w:rPr>
        <w:t>Although t</w:t>
      </w:r>
      <w:r w:rsidRPr="0067517A">
        <w:rPr>
          <w:sz w:val="20"/>
          <w:szCs w:val="20"/>
        </w:rPr>
        <w:t>his analysis relies on the recent RIN market and provides no guarantee of future market conditions being at the same or higher levels, it demonstrate</w:t>
      </w:r>
      <w:r w:rsidRPr="007600FE">
        <w:rPr>
          <w:sz w:val="20"/>
          <w:szCs w:val="20"/>
        </w:rPr>
        <w:t>s</w:t>
      </w:r>
      <w:r w:rsidRPr="0067517A">
        <w:rPr>
          <w:sz w:val="20"/>
          <w:szCs w:val="20"/>
        </w:rPr>
        <w:t xml:space="preserve"> the significant cost premium offsets which may be achieved.</w:t>
      </w:r>
    </w:p>
  </w:footnote>
  <w:footnote w:id="5">
    <w:p w14:paraId="3717E0B4" w14:textId="565AD45E" w:rsidR="005F5B96" w:rsidRDefault="005F5B96" w:rsidP="00900516">
      <w:pPr>
        <w:pStyle w:val="FootnoteText"/>
        <w:ind w:firstLine="720"/>
        <w:jc w:val="both"/>
      </w:pPr>
      <w:r w:rsidRPr="00DA2D2E">
        <w:rPr>
          <w:rStyle w:val="FootnoteReference"/>
        </w:rPr>
        <w:footnoteRef/>
      </w:r>
      <w:r>
        <w:t xml:space="preserve"> </w:t>
      </w:r>
      <w:r w:rsidR="00900516">
        <w:tab/>
      </w:r>
      <w:r w:rsidRPr="00C73B6E">
        <w:t xml:space="preserve">UGI Gas Exhibit 1 and 2 are fully described in the Joint Stipulation for Admission of Evidence, which </w:t>
      </w:r>
      <w:r>
        <w:t>was</w:t>
      </w:r>
      <w:r w:rsidRPr="00C73B6E">
        <w:t xml:space="preserve"> filed </w:t>
      </w:r>
      <w:r>
        <w:t>on August 13, 2021</w:t>
      </w:r>
      <w:r w:rsidRPr="00C73B6E">
        <w:t>.</w:t>
      </w:r>
      <w:r>
        <w:t xml:space="preserve"> </w:t>
      </w:r>
    </w:p>
  </w:footnote>
  <w:footnote w:id="6">
    <w:p w14:paraId="5D6F6A9E" w14:textId="59F3F8CA" w:rsidR="009A7C23" w:rsidRDefault="009A7C23" w:rsidP="00B46CE5">
      <w:pPr>
        <w:pStyle w:val="FootnoteText"/>
        <w:ind w:firstLine="720"/>
      </w:pPr>
      <w:r>
        <w:rPr>
          <w:rStyle w:val="FootnoteReference"/>
        </w:rPr>
        <w:footnoteRef/>
      </w:r>
      <w:r>
        <w:t xml:space="preserve"> </w:t>
      </w:r>
      <w:r>
        <w:tab/>
        <w:t>UGI states that, “</w:t>
      </w:r>
      <w:r w:rsidRPr="009A7C23">
        <w:t xml:space="preserve">To address I&amp;E’s and OSBA’s concerns regarding the cost of RNG, as well as I&amp;E’s concerns regarding the length of the contract term, UGI Gas agreed to a transaction that would provide 909 </w:t>
      </w:r>
      <w:proofErr w:type="spellStart"/>
      <w:r w:rsidRPr="009A7C23">
        <w:t>dth</w:t>
      </w:r>
      <w:proofErr w:type="spellEnd"/>
      <w:r w:rsidRPr="009A7C23">
        <w:t xml:space="preserve"> per day of RNG for $15.00 per </w:t>
      </w:r>
      <w:proofErr w:type="spellStart"/>
      <w:r w:rsidRPr="009A7C23">
        <w:t>dth</w:t>
      </w:r>
      <w:proofErr w:type="spellEnd"/>
      <w:r w:rsidRPr="009A7C23">
        <w:t xml:space="preserve"> for a 5-year contract period (as opposed to the original 15-year contract period), with a credit to the PGC for the sale of RINs based on the offsetting cost of gas supply, as described in the Company’s rebuttal testimony.  (UGI Gas St. 2-R, pp. 25-26).  In order to provide the shorter contract, net RIN sale revenues above the amount to be credited to the PGC will be split evenly between UGI Gas and Archaea.</w:t>
      </w:r>
      <w:r>
        <w:t>”  UGI Statement at 13.</w:t>
      </w:r>
    </w:p>
  </w:footnote>
  <w:footnote w:id="7">
    <w:p w14:paraId="76E9D72C" w14:textId="1D2271EF" w:rsidR="00F1330B" w:rsidRDefault="00F1330B" w:rsidP="00432EB2">
      <w:pPr>
        <w:pStyle w:val="FootnoteText"/>
        <w:ind w:firstLine="720"/>
      </w:pPr>
      <w:r>
        <w:rPr>
          <w:rStyle w:val="FootnoteReference"/>
        </w:rPr>
        <w:footnoteRef/>
      </w:r>
      <w:r>
        <w:t xml:space="preserve"> </w:t>
      </w:r>
      <w:r>
        <w:tab/>
      </w:r>
      <w:r w:rsidRPr="00F1330B">
        <w:t>I&amp;E, however, continues to recommend that the Company alter future peaking contract payment schedules to eliminate payments in November and revise the payment schedule to a shorter four</w:t>
      </w:r>
      <w:r w:rsidR="00DC30F7">
        <w:t>-</w:t>
      </w:r>
      <w:r w:rsidRPr="00F1330B">
        <w:t xml:space="preserve">month schedule (December through March) to </w:t>
      </w:r>
      <w:proofErr w:type="gramStart"/>
      <w:r w:rsidRPr="00F1330B">
        <w:t>more appropriately match gas costs and revenues</w:t>
      </w:r>
      <w:proofErr w:type="gramEnd"/>
      <w:r w:rsidRPr="00F1330B">
        <w:t xml:space="preserve"> and to reduce the large under collection in the final month of the PGC year.</w:t>
      </w:r>
      <w:r>
        <w:t xml:space="preserve">  I&amp;E Statement at 16-17.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7AE2"/>
    <w:multiLevelType w:val="hybridMultilevel"/>
    <w:tmpl w:val="04DA6F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446AC98">
      <w:start w:val="4"/>
      <w:numFmt w:val="bullet"/>
      <w:lvlText w:val="-"/>
      <w:lvlJc w:val="left"/>
      <w:pPr>
        <w:ind w:left="2880" w:hanging="360"/>
      </w:pPr>
      <w:rPr>
        <w:rFonts w:ascii="Times New Roman" w:eastAsia="Times New Roman" w:hAnsi="Times New Roman"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933570"/>
    <w:multiLevelType w:val="multilevel"/>
    <w:tmpl w:val="086E9D06"/>
    <w:lvl w:ilvl="0">
      <w:start w:val="1"/>
      <w:numFmt w:val="lowerLetter"/>
      <w:lvlText w:val="(%1)"/>
      <w:lvlJc w:val="left"/>
      <w:pPr>
        <w:tabs>
          <w:tab w:val="num" w:pos="2160"/>
        </w:tabs>
        <w:ind w:left="216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166D39"/>
    <w:multiLevelType w:val="multilevel"/>
    <w:tmpl w:val="D4EAA6BA"/>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530"/>
        </w:tabs>
        <w:ind w:left="153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upp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116CC8"/>
    <w:multiLevelType w:val="hybridMultilevel"/>
    <w:tmpl w:val="1B165B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446AC98">
      <w:start w:val="4"/>
      <w:numFmt w:val="bullet"/>
      <w:lvlText w:val="-"/>
      <w:lvlJc w:val="left"/>
      <w:pPr>
        <w:ind w:left="2880" w:hanging="360"/>
      </w:pPr>
      <w:rPr>
        <w:rFonts w:ascii="Times New Roman" w:eastAsia="Times New Roman" w:hAnsi="Times New Roman"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ED7B97"/>
    <w:multiLevelType w:val="hybridMultilevel"/>
    <w:tmpl w:val="2700B8A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6F7375"/>
    <w:multiLevelType w:val="hybridMultilevel"/>
    <w:tmpl w:val="85360A5E"/>
    <w:lvl w:ilvl="0" w:tplc="FF5E42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965EE8"/>
    <w:multiLevelType w:val="hybridMultilevel"/>
    <w:tmpl w:val="67B027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BF67B50"/>
    <w:multiLevelType w:val="hybridMultilevel"/>
    <w:tmpl w:val="BD4EF604"/>
    <w:lvl w:ilvl="0" w:tplc="F1EEB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C34CA8"/>
    <w:multiLevelType w:val="hybridMultilevel"/>
    <w:tmpl w:val="24BEF2FC"/>
    <w:lvl w:ilvl="0" w:tplc="A446AC98">
      <w:start w:val="4"/>
      <w:numFmt w:val="bullet"/>
      <w:lvlText w:val="-"/>
      <w:lvlJc w:val="left"/>
      <w:pPr>
        <w:ind w:left="2880" w:hanging="360"/>
      </w:pPr>
      <w:rPr>
        <w:rFonts w:ascii="Times New Roman" w:eastAsia="Times New Roman" w:hAnsi="Times New Roman"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7" w15:restartNumberingAfterBreak="0">
    <w:nsid w:val="3DEB10A1"/>
    <w:multiLevelType w:val="hybridMultilevel"/>
    <w:tmpl w:val="933AACC2"/>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9531D8F"/>
    <w:multiLevelType w:val="hybridMultilevel"/>
    <w:tmpl w:val="6AF6B6B0"/>
    <w:lvl w:ilvl="0" w:tplc="4FF027D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446AC98">
      <w:start w:val="4"/>
      <w:numFmt w:val="bullet"/>
      <w:lvlText w:val="-"/>
      <w:lvlJc w:val="left"/>
      <w:pPr>
        <w:ind w:left="2880" w:hanging="360"/>
      </w:pPr>
      <w:rPr>
        <w:rFonts w:ascii="Times New Roman" w:eastAsia="Times New Roman" w:hAnsi="Times New Roman"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A554611"/>
    <w:multiLevelType w:val="hybridMultilevel"/>
    <w:tmpl w:val="92FE852C"/>
    <w:lvl w:ilvl="0" w:tplc="4FF027D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446AC98">
      <w:start w:val="4"/>
      <w:numFmt w:val="bullet"/>
      <w:lvlText w:val="-"/>
      <w:lvlJc w:val="left"/>
      <w:pPr>
        <w:ind w:left="2880" w:hanging="360"/>
      </w:pPr>
      <w:rPr>
        <w:rFonts w:ascii="Times New Roman" w:eastAsia="Times New Roman" w:hAnsi="Times New Roman"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C54445D"/>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3893EB1"/>
    <w:multiLevelType w:val="hybridMultilevel"/>
    <w:tmpl w:val="AA9CB8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F3D92"/>
    <w:multiLevelType w:val="hybridMultilevel"/>
    <w:tmpl w:val="83C47E46"/>
    <w:lvl w:ilvl="0" w:tplc="A446AC98">
      <w:start w:val="4"/>
      <w:numFmt w:val="bullet"/>
      <w:lvlText w:val="-"/>
      <w:lvlJc w:val="left"/>
      <w:pPr>
        <w:ind w:left="3600" w:hanging="360"/>
      </w:pPr>
      <w:rPr>
        <w:rFonts w:ascii="Times New Roman" w:eastAsia="Times New Roman" w:hAnsi="Times New Roman" w:cs="Times New Roman"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6" w15:restartNumberingAfterBreak="0">
    <w:nsid w:val="68085A05"/>
    <w:multiLevelType w:val="hybridMultilevel"/>
    <w:tmpl w:val="D3224392"/>
    <w:lvl w:ilvl="0" w:tplc="3BBCFDC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C9C60E3"/>
    <w:multiLevelType w:val="hybridMultilevel"/>
    <w:tmpl w:val="4A4E0C0A"/>
    <w:lvl w:ilvl="0" w:tplc="4FF027D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EBD1414"/>
    <w:multiLevelType w:val="hybridMultilevel"/>
    <w:tmpl w:val="80DE53C8"/>
    <w:lvl w:ilvl="0" w:tplc="9E046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001EAD"/>
    <w:multiLevelType w:val="hybridMultilevel"/>
    <w:tmpl w:val="175A56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608686F"/>
    <w:multiLevelType w:val="multilevel"/>
    <w:tmpl w:val="54860C16"/>
    <w:lvl w:ilvl="0">
      <w:start w:val="15"/>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31"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8C45310"/>
    <w:multiLevelType w:val="singleLevel"/>
    <w:tmpl w:val="89DEB1E6"/>
    <w:name w:val=" Numbered List"/>
    <w:lvl w:ilvl="0">
      <w:start w:val="1"/>
      <w:numFmt w:val="decimal"/>
      <w:pStyle w:val="ListNumber"/>
      <w:lvlText w:val="%1."/>
      <w:lvlJc w:val="left"/>
      <w:pPr>
        <w:tabs>
          <w:tab w:val="num" w:pos="1440"/>
        </w:tabs>
        <w:ind w:left="0" w:firstLine="720"/>
      </w:pPr>
    </w:lvl>
  </w:abstractNum>
  <w:abstractNum w:abstractNumId="33"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13"/>
  </w:num>
  <w:num w:numId="3">
    <w:abstractNumId w:val="4"/>
  </w:num>
  <w:num w:numId="4">
    <w:abstractNumId w:val="22"/>
  </w:num>
  <w:num w:numId="5">
    <w:abstractNumId w:val="6"/>
  </w:num>
  <w:num w:numId="6">
    <w:abstractNumId w:val="34"/>
  </w:num>
  <w:num w:numId="7">
    <w:abstractNumId w:val="2"/>
  </w:num>
  <w:num w:numId="8">
    <w:abstractNumId w:val="18"/>
  </w:num>
  <w:num w:numId="9">
    <w:abstractNumId w:val="12"/>
  </w:num>
  <w:num w:numId="10">
    <w:abstractNumId w:val="33"/>
  </w:num>
  <w:num w:numId="11">
    <w:abstractNumId w:val="21"/>
  </w:num>
  <w:num w:numId="12">
    <w:abstractNumId w:val="28"/>
  </w:num>
  <w:num w:numId="13">
    <w:abstractNumId w:val="15"/>
  </w:num>
  <w:num w:numId="14">
    <w:abstractNumId w:val="10"/>
  </w:num>
  <w:num w:numId="15">
    <w:abstractNumId w:val="7"/>
  </w:num>
  <w:num w:numId="16">
    <w:abstractNumId w:val="31"/>
  </w:num>
  <w:num w:numId="17">
    <w:abstractNumId w:val="26"/>
  </w:num>
  <w:num w:numId="18">
    <w:abstractNumId w:val="5"/>
  </w:num>
  <w:num w:numId="19">
    <w:abstractNumId w:val="32"/>
  </w:num>
  <w:num w:numId="20">
    <w:abstractNumId w:val="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num>
  <w:num w:numId="32">
    <w:abstractNumId w:val="5"/>
    <w:lvlOverride w:ilvl="0">
      <w:startOverride w:val="1"/>
    </w:lvlOverride>
    <w:lvlOverride w:ilvl="1">
      <w:startOverride w:val="1"/>
    </w:lvlOverride>
    <w:lvlOverride w:ilvl="2">
      <w:startOverride w:val="37"/>
    </w:lvlOverride>
  </w:num>
  <w:num w:numId="33">
    <w:abstractNumId w:val="11"/>
  </w:num>
  <w:num w:numId="34">
    <w:abstractNumId w:val="3"/>
  </w:num>
  <w:num w:numId="35">
    <w:abstractNumId w:val="24"/>
  </w:num>
  <w:num w:numId="36">
    <w:abstractNumId w:val="0"/>
  </w:num>
  <w:num w:numId="37">
    <w:abstractNumId w:val="17"/>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36BC"/>
    <w:rsid w:val="00005247"/>
    <w:rsid w:val="000065C6"/>
    <w:rsid w:val="00007B7F"/>
    <w:rsid w:val="00011478"/>
    <w:rsid w:val="00017003"/>
    <w:rsid w:val="000174F6"/>
    <w:rsid w:val="000253F8"/>
    <w:rsid w:val="000258B7"/>
    <w:rsid w:val="00030F7C"/>
    <w:rsid w:val="00031472"/>
    <w:rsid w:val="000315FC"/>
    <w:rsid w:val="00031CED"/>
    <w:rsid w:val="0003773E"/>
    <w:rsid w:val="00037E8B"/>
    <w:rsid w:val="00040542"/>
    <w:rsid w:val="000415D4"/>
    <w:rsid w:val="000447F9"/>
    <w:rsid w:val="00046CFC"/>
    <w:rsid w:val="000470F2"/>
    <w:rsid w:val="00050489"/>
    <w:rsid w:val="00050AF1"/>
    <w:rsid w:val="00054540"/>
    <w:rsid w:val="00054A10"/>
    <w:rsid w:val="00055FCB"/>
    <w:rsid w:val="00060BB1"/>
    <w:rsid w:val="000610A5"/>
    <w:rsid w:val="00061A1C"/>
    <w:rsid w:val="00061E18"/>
    <w:rsid w:val="00063A76"/>
    <w:rsid w:val="00063F87"/>
    <w:rsid w:val="00073240"/>
    <w:rsid w:val="00074091"/>
    <w:rsid w:val="00075C79"/>
    <w:rsid w:val="00080E54"/>
    <w:rsid w:val="00081A6A"/>
    <w:rsid w:val="000846A7"/>
    <w:rsid w:val="000851FC"/>
    <w:rsid w:val="00085ABA"/>
    <w:rsid w:val="000860F5"/>
    <w:rsid w:val="0008677C"/>
    <w:rsid w:val="000878EC"/>
    <w:rsid w:val="00092CEA"/>
    <w:rsid w:val="00093B46"/>
    <w:rsid w:val="000A38B6"/>
    <w:rsid w:val="000A64B3"/>
    <w:rsid w:val="000B162C"/>
    <w:rsid w:val="000B2ABD"/>
    <w:rsid w:val="000B5006"/>
    <w:rsid w:val="000B5465"/>
    <w:rsid w:val="000B6D6C"/>
    <w:rsid w:val="000C3A73"/>
    <w:rsid w:val="000C5271"/>
    <w:rsid w:val="000C5888"/>
    <w:rsid w:val="000D243E"/>
    <w:rsid w:val="000D2CCA"/>
    <w:rsid w:val="000D4032"/>
    <w:rsid w:val="000D489A"/>
    <w:rsid w:val="000D67B4"/>
    <w:rsid w:val="000D6D75"/>
    <w:rsid w:val="000E0AB7"/>
    <w:rsid w:val="000E2C4A"/>
    <w:rsid w:val="000E3B21"/>
    <w:rsid w:val="000E49C5"/>
    <w:rsid w:val="000E4D6F"/>
    <w:rsid w:val="000E6B3B"/>
    <w:rsid w:val="000F0A49"/>
    <w:rsid w:val="000F514A"/>
    <w:rsid w:val="000F662E"/>
    <w:rsid w:val="000F7691"/>
    <w:rsid w:val="00100249"/>
    <w:rsid w:val="001011A4"/>
    <w:rsid w:val="00104073"/>
    <w:rsid w:val="00104D08"/>
    <w:rsid w:val="001066C1"/>
    <w:rsid w:val="00107108"/>
    <w:rsid w:val="00111D05"/>
    <w:rsid w:val="00113C98"/>
    <w:rsid w:val="001143EE"/>
    <w:rsid w:val="001159CF"/>
    <w:rsid w:val="00116479"/>
    <w:rsid w:val="00116C62"/>
    <w:rsid w:val="00122936"/>
    <w:rsid w:val="00122A9C"/>
    <w:rsid w:val="00126944"/>
    <w:rsid w:val="001270B6"/>
    <w:rsid w:val="00132928"/>
    <w:rsid w:val="00132B41"/>
    <w:rsid w:val="00135765"/>
    <w:rsid w:val="0013770C"/>
    <w:rsid w:val="00140883"/>
    <w:rsid w:val="00142EE0"/>
    <w:rsid w:val="001441F9"/>
    <w:rsid w:val="00153529"/>
    <w:rsid w:val="001547B2"/>
    <w:rsid w:val="00155716"/>
    <w:rsid w:val="001574F8"/>
    <w:rsid w:val="00160C11"/>
    <w:rsid w:val="001664F3"/>
    <w:rsid w:val="00167C2A"/>
    <w:rsid w:val="001714A2"/>
    <w:rsid w:val="001730D8"/>
    <w:rsid w:val="001739DB"/>
    <w:rsid w:val="001767DF"/>
    <w:rsid w:val="0018004C"/>
    <w:rsid w:val="00181BAB"/>
    <w:rsid w:val="00182ECA"/>
    <w:rsid w:val="00187495"/>
    <w:rsid w:val="001900E6"/>
    <w:rsid w:val="00190843"/>
    <w:rsid w:val="0019509B"/>
    <w:rsid w:val="00195ABE"/>
    <w:rsid w:val="001A1495"/>
    <w:rsid w:val="001A37CD"/>
    <w:rsid w:val="001A39B4"/>
    <w:rsid w:val="001A3A55"/>
    <w:rsid w:val="001A4B1F"/>
    <w:rsid w:val="001B0093"/>
    <w:rsid w:val="001C23B6"/>
    <w:rsid w:val="001C7376"/>
    <w:rsid w:val="001C7DC7"/>
    <w:rsid w:val="001D0606"/>
    <w:rsid w:val="001D1EF8"/>
    <w:rsid w:val="001D36BC"/>
    <w:rsid w:val="001D48D9"/>
    <w:rsid w:val="001E0583"/>
    <w:rsid w:val="001E1EE6"/>
    <w:rsid w:val="001E41F1"/>
    <w:rsid w:val="001E755C"/>
    <w:rsid w:val="001F3D60"/>
    <w:rsid w:val="001F59C0"/>
    <w:rsid w:val="001F5AB8"/>
    <w:rsid w:val="0020232E"/>
    <w:rsid w:val="002026C5"/>
    <w:rsid w:val="00204895"/>
    <w:rsid w:val="00205E3B"/>
    <w:rsid w:val="002069A1"/>
    <w:rsid w:val="00210231"/>
    <w:rsid w:val="0021151E"/>
    <w:rsid w:val="00212459"/>
    <w:rsid w:val="002134D4"/>
    <w:rsid w:val="002148A5"/>
    <w:rsid w:val="0022121D"/>
    <w:rsid w:val="00224765"/>
    <w:rsid w:val="00224CEC"/>
    <w:rsid w:val="002332F3"/>
    <w:rsid w:val="00236293"/>
    <w:rsid w:val="0024548C"/>
    <w:rsid w:val="00252F51"/>
    <w:rsid w:val="0025436A"/>
    <w:rsid w:val="00256872"/>
    <w:rsid w:val="0026329B"/>
    <w:rsid w:val="00266583"/>
    <w:rsid w:val="0027269F"/>
    <w:rsid w:val="00274A84"/>
    <w:rsid w:val="00274FAD"/>
    <w:rsid w:val="00276158"/>
    <w:rsid w:val="002804BD"/>
    <w:rsid w:val="00280C72"/>
    <w:rsid w:val="002825EF"/>
    <w:rsid w:val="00282FFB"/>
    <w:rsid w:val="0028381A"/>
    <w:rsid w:val="002860B7"/>
    <w:rsid w:val="002900FF"/>
    <w:rsid w:val="00292F95"/>
    <w:rsid w:val="002967E5"/>
    <w:rsid w:val="002A2F63"/>
    <w:rsid w:val="002A336A"/>
    <w:rsid w:val="002A5F90"/>
    <w:rsid w:val="002A6146"/>
    <w:rsid w:val="002A709B"/>
    <w:rsid w:val="002A7950"/>
    <w:rsid w:val="002B04F4"/>
    <w:rsid w:val="002B1DB7"/>
    <w:rsid w:val="002B5A65"/>
    <w:rsid w:val="002C03C8"/>
    <w:rsid w:val="002C06C1"/>
    <w:rsid w:val="002C13F5"/>
    <w:rsid w:val="002C173E"/>
    <w:rsid w:val="002C2C4E"/>
    <w:rsid w:val="002C32C8"/>
    <w:rsid w:val="002C40FB"/>
    <w:rsid w:val="002C66E9"/>
    <w:rsid w:val="002D1190"/>
    <w:rsid w:val="002D3373"/>
    <w:rsid w:val="002D4B80"/>
    <w:rsid w:val="002E2B8A"/>
    <w:rsid w:val="002E4DE2"/>
    <w:rsid w:val="002E4F5F"/>
    <w:rsid w:val="002E76DB"/>
    <w:rsid w:val="002F1EED"/>
    <w:rsid w:val="002F431A"/>
    <w:rsid w:val="002F61D3"/>
    <w:rsid w:val="003011C6"/>
    <w:rsid w:val="00302DE2"/>
    <w:rsid w:val="003038D5"/>
    <w:rsid w:val="00304FD5"/>
    <w:rsid w:val="0031068B"/>
    <w:rsid w:val="003109C3"/>
    <w:rsid w:val="00310EA8"/>
    <w:rsid w:val="003114E9"/>
    <w:rsid w:val="00312F22"/>
    <w:rsid w:val="00316851"/>
    <w:rsid w:val="00317471"/>
    <w:rsid w:val="00320A4E"/>
    <w:rsid w:val="003234C9"/>
    <w:rsid w:val="00326FA4"/>
    <w:rsid w:val="00333195"/>
    <w:rsid w:val="00333562"/>
    <w:rsid w:val="00333A41"/>
    <w:rsid w:val="00336FC3"/>
    <w:rsid w:val="00337DC7"/>
    <w:rsid w:val="00340F05"/>
    <w:rsid w:val="00342A79"/>
    <w:rsid w:val="003628E3"/>
    <w:rsid w:val="0036322E"/>
    <w:rsid w:val="00364A6D"/>
    <w:rsid w:val="00366708"/>
    <w:rsid w:val="0036694F"/>
    <w:rsid w:val="00367E2E"/>
    <w:rsid w:val="00371B8B"/>
    <w:rsid w:val="00374FE0"/>
    <w:rsid w:val="00375BAA"/>
    <w:rsid w:val="0037679C"/>
    <w:rsid w:val="003767FD"/>
    <w:rsid w:val="00380135"/>
    <w:rsid w:val="003828F7"/>
    <w:rsid w:val="00387494"/>
    <w:rsid w:val="0039072F"/>
    <w:rsid w:val="003919B3"/>
    <w:rsid w:val="0039205B"/>
    <w:rsid w:val="0039566B"/>
    <w:rsid w:val="003A0B08"/>
    <w:rsid w:val="003A5D44"/>
    <w:rsid w:val="003A78DA"/>
    <w:rsid w:val="003A7D88"/>
    <w:rsid w:val="003B1BDA"/>
    <w:rsid w:val="003B2B0E"/>
    <w:rsid w:val="003B3D34"/>
    <w:rsid w:val="003B4C91"/>
    <w:rsid w:val="003B4D8F"/>
    <w:rsid w:val="003C02CC"/>
    <w:rsid w:val="003C424C"/>
    <w:rsid w:val="003D002B"/>
    <w:rsid w:val="003D0AE5"/>
    <w:rsid w:val="003D200C"/>
    <w:rsid w:val="003D23FA"/>
    <w:rsid w:val="003D34C8"/>
    <w:rsid w:val="003D419D"/>
    <w:rsid w:val="003E04E8"/>
    <w:rsid w:val="003E1BB1"/>
    <w:rsid w:val="003E327F"/>
    <w:rsid w:val="003E3839"/>
    <w:rsid w:val="003E44F8"/>
    <w:rsid w:val="003F2684"/>
    <w:rsid w:val="003F47E3"/>
    <w:rsid w:val="003F49DD"/>
    <w:rsid w:val="003F68D9"/>
    <w:rsid w:val="003F7513"/>
    <w:rsid w:val="004026E7"/>
    <w:rsid w:val="00406259"/>
    <w:rsid w:val="00406C68"/>
    <w:rsid w:val="00407622"/>
    <w:rsid w:val="00413065"/>
    <w:rsid w:val="00415EAE"/>
    <w:rsid w:val="004164AC"/>
    <w:rsid w:val="00421C2E"/>
    <w:rsid w:val="0042726B"/>
    <w:rsid w:val="004274DB"/>
    <w:rsid w:val="00427BB1"/>
    <w:rsid w:val="00431CA2"/>
    <w:rsid w:val="004327EC"/>
    <w:rsid w:val="00432EB2"/>
    <w:rsid w:val="0043560C"/>
    <w:rsid w:val="00436165"/>
    <w:rsid w:val="0044078D"/>
    <w:rsid w:val="00444026"/>
    <w:rsid w:val="004441EB"/>
    <w:rsid w:val="00446AEA"/>
    <w:rsid w:val="004509B5"/>
    <w:rsid w:val="004535A9"/>
    <w:rsid w:val="004603C5"/>
    <w:rsid w:val="00463017"/>
    <w:rsid w:val="00463B2A"/>
    <w:rsid w:val="00463BBC"/>
    <w:rsid w:val="00466524"/>
    <w:rsid w:val="00467122"/>
    <w:rsid w:val="004677A9"/>
    <w:rsid w:val="0046782D"/>
    <w:rsid w:val="00476814"/>
    <w:rsid w:val="0048022D"/>
    <w:rsid w:val="00484429"/>
    <w:rsid w:val="00484CA9"/>
    <w:rsid w:val="00487C67"/>
    <w:rsid w:val="00491200"/>
    <w:rsid w:val="00492FE0"/>
    <w:rsid w:val="00493078"/>
    <w:rsid w:val="0049355E"/>
    <w:rsid w:val="00493613"/>
    <w:rsid w:val="00495A2E"/>
    <w:rsid w:val="004A146C"/>
    <w:rsid w:val="004A2BB4"/>
    <w:rsid w:val="004A44C7"/>
    <w:rsid w:val="004A6217"/>
    <w:rsid w:val="004A7879"/>
    <w:rsid w:val="004B0E31"/>
    <w:rsid w:val="004B12AD"/>
    <w:rsid w:val="004B3128"/>
    <w:rsid w:val="004B5A70"/>
    <w:rsid w:val="004B73DA"/>
    <w:rsid w:val="004C0C8D"/>
    <w:rsid w:val="004C19EA"/>
    <w:rsid w:val="004C1E96"/>
    <w:rsid w:val="004C23C1"/>
    <w:rsid w:val="004C54A1"/>
    <w:rsid w:val="004C5959"/>
    <w:rsid w:val="004C6B4D"/>
    <w:rsid w:val="004D5EDA"/>
    <w:rsid w:val="004E6210"/>
    <w:rsid w:val="004E6E89"/>
    <w:rsid w:val="004F0FF9"/>
    <w:rsid w:val="004F7316"/>
    <w:rsid w:val="00502869"/>
    <w:rsid w:val="005049CD"/>
    <w:rsid w:val="0050525A"/>
    <w:rsid w:val="00506A6A"/>
    <w:rsid w:val="00506ED2"/>
    <w:rsid w:val="00506F36"/>
    <w:rsid w:val="0051332A"/>
    <w:rsid w:val="005173E3"/>
    <w:rsid w:val="0052059E"/>
    <w:rsid w:val="0052063B"/>
    <w:rsid w:val="00522D71"/>
    <w:rsid w:val="00526B7E"/>
    <w:rsid w:val="005313A9"/>
    <w:rsid w:val="00531C6A"/>
    <w:rsid w:val="005320B9"/>
    <w:rsid w:val="0053542E"/>
    <w:rsid w:val="00535728"/>
    <w:rsid w:val="00535998"/>
    <w:rsid w:val="00535B47"/>
    <w:rsid w:val="00540630"/>
    <w:rsid w:val="00541FA5"/>
    <w:rsid w:val="0055091F"/>
    <w:rsid w:val="005534AB"/>
    <w:rsid w:val="00555AB2"/>
    <w:rsid w:val="00556035"/>
    <w:rsid w:val="00556C94"/>
    <w:rsid w:val="0055757E"/>
    <w:rsid w:val="0056090B"/>
    <w:rsid w:val="00562740"/>
    <w:rsid w:val="0056328E"/>
    <w:rsid w:val="00564A1C"/>
    <w:rsid w:val="00566D50"/>
    <w:rsid w:val="00574A39"/>
    <w:rsid w:val="00577041"/>
    <w:rsid w:val="005810E4"/>
    <w:rsid w:val="00582CDA"/>
    <w:rsid w:val="00583184"/>
    <w:rsid w:val="0058333F"/>
    <w:rsid w:val="00586F2B"/>
    <w:rsid w:val="00587387"/>
    <w:rsid w:val="005877DE"/>
    <w:rsid w:val="00587965"/>
    <w:rsid w:val="0059175F"/>
    <w:rsid w:val="00593CE6"/>
    <w:rsid w:val="005A0C2C"/>
    <w:rsid w:val="005A0D95"/>
    <w:rsid w:val="005A36C7"/>
    <w:rsid w:val="005A3B57"/>
    <w:rsid w:val="005A560D"/>
    <w:rsid w:val="005A7E0C"/>
    <w:rsid w:val="005B0250"/>
    <w:rsid w:val="005B4879"/>
    <w:rsid w:val="005B48CB"/>
    <w:rsid w:val="005B49D8"/>
    <w:rsid w:val="005B68A4"/>
    <w:rsid w:val="005B6C33"/>
    <w:rsid w:val="005C038C"/>
    <w:rsid w:val="005C0AE2"/>
    <w:rsid w:val="005C12DD"/>
    <w:rsid w:val="005C61C5"/>
    <w:rsid w:val="005C7120"/>
    <w:rsid w:val="005C7134"/>
    <w:rsid w:val="005D0602"/>
    <w:rsid w:val="005D092D"/>
    <w:rsid w:val="005D4764"/>
    <w:rsid w:val="005D7A4B"/>
    <w:rsid w:val="005E29AF"/>
    <w:rsid w:val="005E5B28"/>
    <w:rsid w:val="005F179B"/>
    <w:rsid w:val="005F1FD3"/>
    <w:rsid w:val="005F2817"/>
    <w:rsid w:val="005F3E44"/>
    <w:rsid w:val="005F480D"/>
    <w:rsid w:val="005F5B96"/>
    <w:rsid w:val="005F5D43"/>
    <w:rsid w:val="005F6415"/>
    <w:rsid w:val="006031D8"/>
    <w:rsid w:val="006044E1"/>
    <w:rsid w:val="0060777D"/>
    <w:rsid w:val="0061422F"/>
    <w:rsid w:val="00614696"/>
    <w:rsid w:val="006151E8"/>
    <w:rsid w:val="00617F66"/>
    <w:rsid w:val="00621677"/>
    <w:rsid w:val="00626332"/>
    <w:rsid w:val="006333D6"/>
    <w:rsid w:val="00634D85"/>
    <w:rsid w:val="00634E51"/>
    <w:rsid w:val="00643063"/>
    <w:rsid w:val="00645312"/>
    <w:rsid w:val="0064602D"/>
    <w:rsid w:val="0064719F"/>
    <w:rsid w:val="00647EBF"/>
    <w:rsid w:val="006506E1"/>
    <w:rsid w:val="00651497"/>
    <w:rsid w:val="0065516E"/>
    <w:rsid w:val="00657239"/>
    <w:rsid w:val="00661F7B"/>
    <w:rsid w:val="00665FA6"/>
    <w:rsid w:val="00666CE7"/>
    <w:rsid w:val="00667BAE"/>
    <w:rsid w:val="00667D1F"/>
    <w:rsid w:val="006702EF"/>
    <w:rsid w:val="00670EBA"/>
    <w:rsid w:val="00672544"/>
    <w:rsid w:val="00673D85"/>
    <w:rsid w:val="006747F7"/>
    <w:rsid w:val="006763F3"/>
    <w:rsid w:val="006803CC"/>
    <w:rsid w:val="006816B8"/>
    <w:rsid w:val="00682ACE"/>
    <w:rsid w:val="00684075"/>
    <w:rsid w:val="006859E5"/>
    <w:rsid w:val="00694651"/>
    <w:rsid w:val="0069608E"/>
    <w:rsid w:val="0069608F"/>
    <w:rsid w:val="006962E8"/>
    <w:rsid w:val="006A2304"/>
    <w:rsid w:val="006A6DE0"/>
    <w:rsid w:val="006A7A0E"/>
    <w:rsid w:val="006B46E5"/>
    <w:rsid w:val="006B4E26"/>
    <w:rsid w:val="006C2C4C"/>
    <w:rsid w:val="006C393A"/>
    <w:rsid w:val="006C5A4D"/>
    <w:rsid w:val="006D33B5"/>
    <w:rsid w:val="006D48B8"/>
    <w:rsid w:val="006D5523"/>
    <w:rsid w:val="006E3B8A"/>
    <w:rsid w:val="006E6FAE"/>
    <w:rsid w:val="006F0FF6"/>
    <w:rsid w:val="006F1BFA"/>
    <w:rsid w:val="006F23D4"/>
    <w:rsid w:val="006F3A0C"/>
    <w:rsid w:val="006F74A6"/>
    <w:rsid w:val="006F77FC"/>
    <w:rsid w:val="006F7FCB"/>
    <w:rsid w:val="0070121D"/>
    <w:rsid w:val="00702A13"/>
    <w:rsid w:val="007041DB"/>
    <w:rsid w:val="0070571C"/>
    <w:rsid w:val="007114F9"/>
    <w:rsid w:val="007138CC"/>
    <w:rsid w:val="00713D64"/>
    <w:rsid w:val="00714476"/>
    <w:rsid w:val="007203E5"/>
    <w:rsid w:val="00724ABE"/>
    <w:rsid w:val="00735291"/>
    <w:rsid w:val="00735CF3"/>
    <w:rsid w:val="0074212A"/>
    <w:rsid w:val="00746EC7"/>
    <w:rsid w:val="00747D48"/>
    <w:rsid w:val="007501FE"/>
    <w:rsid w:val="00752614"/>
    <w:rsid w:val="00753B73"/>
    <w:rsid w:val="007549B0"/>
    <w:rsid w:val="0075751F"/>
    <w:rsid w:val="00761AAA"/>
    <w:rsid w:val="007632FB"/>
    <w:rsid w:val="0076378B"/>
    <w:rsid w:val="00763DA0"/>
    <w:rsid w:val="007666EC"/>
    <w:rsid w:val="00771043"/>
    <w:rsid w:val="00771201"/>
    <w:rsid w:val="00772B61"/>
    <w:rsid w:val="00774975"/>
    <w:rsid w:val="00774D18"/>
    <w:rsid w:val="00783F05"/>
    <w:rsid w:val="00784A35"/>
    <w:rsid w:val="00784AE9"/>
    <w:rsid w:val="007876C7"/>
    <w:rsid w:val="00792999"/>
    <w:rsid w:val="007945B3"/>
    <w:rsid w:val="007B048D"/>
    <w:rsid w:val="007B1303"/>
    <w:rsid w:val="007B135C"/>
    <w:rsid w:val="007B19DA"/>
    <w:rsid w:val="007B484C"/>
    <w:rsid w:val="007B559F"/>
    <w:rsid w:val="007B6311"/>
    <w:rsid w:val="007B76C4"/>
    <w:rsid w:val="007C0A5F"/>
    <w:rsid w:val="007C6559"/>
    <w:rsid w:val="007C7E91"/>
    <w:rsid w:val="007D0B10"/>
    <w:rsid w:val="007D2ACC"/>
    <w:rsid w:val="007D65AA"/>
    <w:rsid w:val="007E3C77"/>
    <w:rsid w:val="007E4F6B"/>
    <w:rsid w:val="007E7C9A"/>
    <w:rsid w:val="007F24B0"/>
    <w:rsid w:val="007F6F2B"/>
    <w:rsid w:val="007F73F8"/>
    <w:rsid w:val="007F76BB"/>
    <w:rsid w:val="007F7EA4"/>
    <w:rsid w:val="00801014"/>
    <w:rsid w:val="008027C4"/>
    <w:rsid w:val="00802923"/>
    <w:rsid w:val="008045FD"/>
    <w:rsid w:val="00815F2E"/>
    <w:rsid w:val="00817C41"/>
    <w:rsid w:val="00820EA8"/>
    <w:rsid w:val="00824DB1"/>
    <w:rsid w:val="008253A9"/>
    <w:rsid w:val="00830CF6"/>
    <w:rsid w:val="0083736E"/>
    <w:rsid w:val="008413F8"/>
    <w:rsid w:val="008438CF"/>
    <w:rsid w:val="008454B9"/>
    <w:rsid w:val="00845A5B"/>
    <w:rsid w:val="00854EC8"/>
    <w:rsid w:val="00855A93"/>
    <w:rsid w:val="0086129F"/>
    <w:rsid w:val="00862243"/>
    <w:rsid w:val="00864A21"/>
    <w:rsid w:val="008733C7"/>
    <w:rsid w:val="0087391F"/>
    <w:rsid w:val="008739CA"/>
    <w:rsid w:val="00873A11"/>
    <w:rsid w:val="00874F41"/>
    <w:rsid w:val="008773BF"/>
    <w:rsid w:val="0088262B"/>
    <w:rsid w:val="00882981"/>
    <w:rsid w:val="00883E39"/>
    <w:rsid w:val="00886427"/>
    <w:rsid w:val="00887857"/>
    <w:rsid w:val="008921ED"/>
    <w:rsid w:val="00894A7C"/>
    <w:rsid w:val="008A048B"/>
    <w:rsid w:val="008A28B8"/>
    <w:rsid w:val="008A5CF5"/>
    <w:rsid w:val="008A7776"/>
    <w:rsid w:val="008B0E2B"/>
    <w:rsid w:val="008B1F03"/>
    <w:rsid w:val="008C0504"/>
    <w:rsid w:val="008C2266"/>
    <w:rsid w:val="008C4527"/>
    <w:rsid w:val="008C53F0"/>
    <w:rsid w:val="008C6629"/>
    <w:rsid w:val="008C6C08"/>
    <w:rsid w:val="008C7929"/>
    <w:rsid w:val="008D0F39"/>
    <w:rsid w:val="008D11F3"/>
    <w:rsid w:val="008D34B8"/>
    <w:rsid w:val="008D59A2"/>
    <w:rsid w:val="008E3A99"/>
    <w:rsid w:val="008E6D84"/>
    <w:rsid w:val="008F14D2"/>
    <w:rsid w:val="008F755E"/>
    <w:rsid w:val="00900516"/>
    <w:rsid w:val="00904325"/>
    <w:rsid w:val="0090475A"/>
    <w:rsid w:val="009065DB"/>
    <w:rsid w:val="00907551"/>
    <w:rsid w:val="00907E93"/>
    <w:rsid w:val="0091132C"/>
    <w:rsid w:val="00915AEC"/>
    <w:rsid w:val="0092196F"/>
    <w:rsid w:val="0092231D"/>
    <w:rsid w:val="00922597"/>
    <w:rsid w:val="009241B4"/>
    <w:rsid w:val="009242C7"/>
    <w:rsid w:val="00926832"/>
    <w:rsid w:val="00931C4F"/>
    <w:rsid w:val="00933A0A"/>
    <w:rsid w:val="00934878"/>
    <w:rsid w:val="0093563B"/>
    <w:rsid w:val="00935A17"/>
    <w:rsid w:val="009435E2"/>
    <w:rsid w:val="009479D5"/>
    <w:rsid w:val="00950C6F"/>
    <w:rsid w:val="00951B5E"/>
    <w:rsid w:val="00951BBB"/>
    <w:rsid w:val="00952765"/>
    <w:rsid w:val="00952807"/>
    <w:rsid w:val="00954C3C"/>
    <w:rsid w:val="009565D6"/>
    <w:rsid w:val="00956BCA"/>
    <w:rsid w:val="00957662"/>
    <w:rsid w:val="00957D24"/>
    <w:rsid w:val="00963301"/>
    <w:rsid w:val="009651D5"/>
    <w:rsid w:val="00967192"/>
    <w:rsid w:val="00967F46"/>
    <w:rsid w:val="009701FB"/>
    <w:rsid w:val="00970AF3"/>
    <w:rsid w:val="009712E6"/>
    <w:rsid w:val="00971690"/>
    <w:rsid w:val="009722F8"/>
    <w:rsid w:val="00972356"/>
    <w:rsid w:val="00972441"/>
    <w:rsid w:val="00973E46"/>
    <w:rsid w:val="00974203"/>
    <w:rsid w:val="00975C62"/>
    <w:rsid w:val="00976707"/>
    <w:rsid w:val="0098199E"/>
    <w:rsid w:val="00985B9C"/>
    <w:rsid w:val="00992F1B"/>
    <w:rsid w:val="00994060"/>
    <w:rsid w:val="00996C48"/>
    <w:rsid w:val="009971D9"/>
    <w:rsid w:val="009A08AE"/>
    <w:rsid w:val="009A1C8C"/>
    <w:rsid w:val="009A241C"/>
    <w:rsid w:val="009A3ABC"/>
    <w:rsid w:val="009A4CB1"/>
    <w:rsid w:val="009A514B"/>
    <w:rsid w:val="009A69B3"/>
    <w:rsid w:val="009A70FA"/>
    <w:rsid w:val="009A7C23"/>
    <w:rsid w:val="009B0651"/>
    <w:rsid w:val="009B0BAA"/>
    <w:rsid w:val="009C228F"/>
    <w:rsid w:val="009C416F"/>
    <w:rsid w:val="009C44F8"/>
    <w:rsid w:val="009C5580"/>
    <w:rsid w:val="009D2069"/>
    <w:rsid w:val="009D3799"/>
    <w:rsid w:val="009D37EA"/>
    <w:rsid w:val="009D6168"/>
    <w:rsid w:val="009D7DAC"/>
    <w:rsid w:val="009E1824"/>
    <w:rsid w:val="009E18B1"/>
    <w:rsid w:val="009E2517"/>
    <w:rsid w:val="009E581A"/>
    <w:rsid w:val="009E69D3"/>
    <w:rsid w:val="009F01F6"/>
    <w:rsid w:val="009F421F"/>
    <w:rsid w:val="009F57DD"/>
    <w:rsid w:val="009F5BF8"/>
    <w:rsid w:val="009F62C2"/>
    <w:rsid w:val="009F6BF1"/>
    <w:rsid w:val="00A050EC"/>
    <w:rsid w:val="00A05BC9"/>
    <w:rsid w:val="00A06973"/>
    <w:rsid w:val="00A07A16"/>
    <w:rsid w:val="00A12CC8"/>
    <w:rsid w:val="00A13E5F"/>
    <w:rsid w:val="00A16448"/>
    <w:rsid w:val="00A21C65"/>
    <w:rsid w:val="00A22DFD"/>
    <w:rsid w:val="00A236B1"/>
    <w:rsid w:val="00A30723"/>
    <w:rsid w:val="00A319FB"/>
    <w:rsid w:val="00A33DC1"/>
    <w:rsid w:val="00A35141"/>
    <w:rsid w:val="00A4123B"/>
    <w:rsid w:val="00A42212"/>
    <w:rsid w:val="00A43247"/>
    <w:rsid w:val="00A442D1"/>
    <w:rsid w:val="00A452AA"/>
    <w:rsid w:val="00A467D7"/>
    <w:rsid w:val="00A52D1E"/>
    <w:rsid w:val="00A536B1"/>
    <w:rsid w:val="00A53C5D"/>
    <w:rsid w:val="00A543D6"/>
    <w:rsid w:val="00A54F8A"/>
    <w:rsid w:val="00A55679"/>
    <w:rsid w:val="00A62BBE"/>
    <w:rsid w:val="00A731E0"/>
    <w:rsid w:val="00A74AF3"/>
    <w:rsid w:val="00A76336"/>
    <w:rsid w:val="00A76480"/>
    <w:rsid w:val="00A805EF"/>
    <w:rsid w:val="00A80821"/>
    <w:rsid w:val="00A813A3"/>
    <w:rsid w:val="00A8749E"/>
    <w:rsid w:val="00A90AB1"/>
    <w:rsid w:val="00A91EA1"/>
    <w:rsid w:val="00A92373"/>
    <w:rsid w:val="00A93FB7"/>
    <w:rsid w:val="00A978F5"/>
    <w:rsid w:val="00AA002A"/>
    <w:rsid w:val="00AA23BA"/>
    <w:rsid w:val="00AA2669"/>
    <w:rsid w:val="00AA3B44"/>
    <w:rsid w:val="00AA6EFA"/>
    <w:rsid w:val="00AB08B7"/>
    <w:rsid w:val="00AB264F"/>
    <w:rsid w:val="00AB4242"/>
    <w:rsid w:val="00AB42D4"/>
    <w:rsid w:val="00AC0991"/>
    <w:rsid w:val="00AC425C"/>
    <w:rsid w:val="00AC56B3"/>
    <w:rsid w:val="00AC6D5D"/>
    <w:rsid w:val="00AD2E4C"/>
    <w:rsid w:val="00AD6AC6"/>
    <w:rsid w:val="00AE3AF1"/>
    <w:rsid w:val="00AE7C1B"/>
    <w:rsid w:val="00AF43A3"/>
    <w:rsid w:val="00AF4DD8"/>
    <w:rsid w:val="00AF505A"/>
    <w:rsid w:val="00AF5EBD"/>
    <w:rsid w:val="00AF6655"/>
    <w:rsid w:val="00AF7118"/>
    <w:rsid w:val="00AF754F"/>
    <w:rsid w:val="00B01228"/>
    <w:rsid w:val="00B01460"/>
    <w:rsid w:val="00B04626"/>
    <w:rsid w:val="00B04A94"/>
    <w:rsid w:val="00B064E6"/>
    <w:rsid w:val="00B105BD"/>
    <w:rsid w:val="00B10BE1"/>
    <w:rsid w:val="00B12632"/>
    <w:rsid w:val="00B13E2F"/>
    <w:rsid w:val="00B14006"/>
    <w:rsid w:val="00B16B10"/>
    <w:rsid w:val="00B17E29"/>
    <w:rsid w:val="00B208A0"/>
    <w:rsid w:val="00B210AA"/>
    <w:rsid w:val="00B22385"/>
    <w:rsid w:val="00B2251B"/>
    <w:rsid w:val="00B22579"/>
    <w:rsid w:val="00B23DA2"/>
    <w:rsid w:val="00B259B2"/>
    <w:rsid w:val="00B32433"/>
    <w:rsid w:val="00B34D51"/>
    <w:rsid w:val="00B37B92"/>
    <w:rsid w:val="00B42052"/>
    <w:rsid w:val="00B42143"/>
    <w:rsid w:val="00B4231E"/>
    <w:rsid w:val="00B428B5"/>
    <w:rsid w:val="00B43AFF"/>
    <w:rsid w:val="00B44A3E"/>
    <w:rsid w:val="00B46CE5"/>
    <w:rsid w:val="00B500F1"/>
    <w:rsid w:val="00B541AA"/>
    <w:rsid w:val="00B606E5"/>
    <w:rsid w:val="00B61706"/>
    <w:rsid w:val="00B6233D"/>
    <w:rsid w:val="00B6419C"/>
    <w:rsid w:val="00B65F0A"/>
    <w:rsid w:val="00B67A29"/>
    <w:rsid w:val="00B70E1E"/>
    <w:rsid w:val="00B715DC"/>
    <w:rsid w:val="00B7244A"/>
    <w:rsid w:val="00B73F8B"/>
    <w:rsid w:val="00B7459D"/>
    <w:rsid w:val="00B806F4"/>
    <w:rsid w:val="00B83324"/>
    <w:rsid w:val="00B8363B"/>
    <w:rsid w:val="00B85A59"/>
    <w:rsid w:val="00B87D27"/>
    <w:rsid w:val="00B87F4C"/>
    <w:rsid w:val="00B9026A"/>
    <w:rsid w:val="00B905A3"/>
    <w:rsid w:val="00B9643C"/>
    <w:rsid w:val="00B97AB5"/>
    <w:rsid w:val="00BA0600"/>
    <w:rsid w:val="00BA156B"/>
    <w:rsid w:val="00BA19C5"/>
    <w:rsid w:val="00BA449A"/>
    <w:rsid w:val="00BA5156"/>
    <w:rsid w:val="00BA61D4"/>
    <w:rsid w:val="00BA67A5"/>
    <w:rsid w:val="00BB0A31"/>
    <w:rsid w:val="00BB229F"/>
    <w:rsid w:val="00BB5DF1"/>
    <w:rsid w:val="00BC1B7C"/>
    <w:rsid w:val="00BC3DB7"/>
    <w:rsid w:val="00BC5CA3"/>
    <w:rsid w:val="00BC689D"/>
    <w:rsid w:val="00BC729E"/>
    <w:rsid w:val="00BC72FF"/>
    <w:rsid w:val="00BD0C3B"/>
    <w:rsid w:val="00BD2783"/>
    <w:rsid w:val="00BD571E"/>
    <w:rsid w:val="00BD6D4F"/>
    <w:rsid w:val="00BE063B"/>
    <w:rsid w:val="00BE07D7"/>
    <w:rsid w:val="00BE0854"/>
    <w:rsid w:val="00BE1ED2"/>
    <w:rsid w:val="00BE51AF"/>
    <w:rsid w:val="00BF219E"/>
    <w:rsid w:val="00BF341D"/>
    <w:rsid w:val="00BF3473"/>
    <w:rsid w:val="00BF5D1F"/>
    <w:rsid w:val="00BF718F"/>
    <w:rsid w:val="00C0065E"/>
    <w:rsid w:val="00C00BB6"/>
    <w:rsid w:val="00C017C4"/>
    <w:rsid w:val="00C020C4"/>
    <w:rsid w:val="00C02F85"/>
    <w:rsid w:val="00C05C7C"/>
    <w:rsid w:val="00C06031"/>
    <w:rsid w:val="00C110A4"/>
    <w:rsid w:val="00C123E9"/>
    <w:rsid w:val="00C12AD7"/>
    <w:rsid w:val="00C13179"/>
    <w:rsid w:val="00C16397"/>
    <w:rsid w:val="00C201CA"/>
    <w:rsid w:val="00C20A36"/>
    <w:rsid w:val="00C23D73"/>
    <w:rsid w:val="00C241A1"/>
    <w:rsid w:val="00C25357"/>
    <w:rsid w:val="00C27500"/>
    <w:rsid w:val="00C27ADF"/>
    <w:rsid w:val="00C306E8"/>
    <w:rsid w:val="00C35956"/>
    <w:rsid w:val="00C35E38"/>
    <w:rsid w:val="00C37D21"/>
    <w:rsid w:val="00C407D6"/>
    <w:rsid w:val="00C46FA5"/>
    <w:rsid w:val="00C474E9"/>
    <w:rsid w:val="00C5122A"/>
    <w:rsid w:val="00C51975"/>
    <w:rsid w:val="00C55420"/>
    <w:rsid w:val="00C56103"/>
    <w:rsid w:val="00C5657B"/>
    <w:rsid w:val="00C5758B"/>
    <w:rsid w:val="00C57989"/>
    <w:rsid w:val="00C60A73"/>
    <w:rsid w:val="00C6203D"/>
    <w:rsid w:val="00C65642"/>
    <w:rsid w:val="00C659A2"/>
    <w:rsid w:val="00C67551"/>
    <w:rsid w:val="00C67F22"/>
    <w:rsid w:val="00C7124C"/>
    <w:rsid w:val="00C72120"/>
    <w:rsid w:val="00C72403"/>
    <w:rsid w:val="00C738F7"/>
    <w:rsid w:val="00C7765C"/>
    <w:rsid w:val="00C77DA0"/>
    <w:rsid w:val="00C80C04"/>
    <w:rsid w:val="00C843D7"/>
    <w:rsid w:val="00C8572D"/>
    <w:rsid w:val="00C90325"/>
    <w:rsid w:val="00C93081"/>
    <w:rsid w:val="00C95CE0"/>
    <w:rsid w:val="00CA1AC1"/>
    <w:rsid w:val="00CA3396"/>
    <w:rsid w:val="00CA73E2"/>
    <w:rsid w:val="00CB18E0"/>
    <w:rsid w:val="00CB4DB1"/>
    <w:rsid w:val="00CC3542"/>
    <w:rsid w:val="00CD142A"/>
    <w:rsid w:val="00CD68CE"/>
    <w:rsid w:val="00CE08CE"/>
    <w:rsid w:val="00CE20E9"/>
    <w:rsid w:val="00CE3773"/>
    <w:rsid w:val="00CE6831"/>
    <w:rsid w:val="00CE6FC5"/>
    <w:rsid w:val="00CE701C"/>
    <w:rsid w:val="00CF0E33"/>
    <w:rsid w:val="00CF36AE"/>
    <w:rsid w:val="00CF4490"/>
    <w:rsid w:val="00CF5843"/>
    <w:rsid w:val="00CF5A8F"/>
    <w:rsid w:val="00D00379"/>
    <w:rsid w:val="00D016F7"/>
    <w:rsid w:val="00D06BB0"/>
    <w:rsid w:val="00D10467"/>
    <w:rsid w:val="00D10652"/>
    <w:rsid w:val="00D1079C"/>
    <w:rsid w:val="00D13DB2"/>
    <w:rsid w:val="00D209B6"/>
    <w:rsid w:val="00D22294"/>
    <w:rsid w:val="00D22442"/>
    <w:rsid w:val="00D2255F"/>
    <w:rsid w:val="00D22EBC"/>
    <w:rsid w:val="00D24374"/>
    <w:rsid w:val="00D24620"/>
    <w:rsid w:val="00D3123C"/>
    <w:rsid w:val="00D3138A"/>
    <w:rsid w:val="00D3688F"/>
    <w:rsid w:val="00D4093D"/>
    <w:rsid w:val="00D44B05"/>
    <w:rsid w:val="00D4655C"/>
    <w:rsid w:val="00D51726"/>
    <w:rsid w:val="00D51B5E"/>
    <w:rsid w:val="00D522F6"/>
    <w:rsid w:val="00D52EBF"/>
    <w:rsid w:val="00D53168"/>
    <w:rsid w:val="00D55377"/>
    <w:rsid w:val="00D557D5"/>
    <w:rsid w:val="00D57E4B"/>
    <w:rsid w:val="00D601F0"/>
    <w:rsid w:val="00D626EC"/>
    <w:rsid w:val="00D64F50"/>
    <w:rsid w:val="00D650E0"/>
    <w:rsid w:val="00D7167B"/>
    <w:rsid w:val="00D73519"/>
    <w:rsid w:val="00D73E83"/>
    <w:rsid w:val="00D80A3E"/>
    <w:rsid w:val="00D84B3D"/>
    <w:rsid w:val="00D92151"/>
    <w:rsid w:val="00D94D3A"/>
    <w:rsid w:val="00D94E0F"/>
    <w:rsid w:val="00D97EEE"/>
    <w:rsid w:val="00DA0323"/>
    <w:rsid w:val="00DA1D1A"/>
    <w:rsid w:val="00DA3FF9"/>
    <w:rsid w:val="00DA5B8C"/>
    <w:rsid w:val="00DA6F1A"/>
    <w:rsid w:val="00DA7750"/>
    <w:rsid w:val="00DB13BD"/>
    <w:rsid w:val="00DB1971"/>
    <w:rsid w:val="00DB4113"/>
    <w:rsid w:val="00DB5181"/>
    <w:rsid w:val="00DB6A83"/>
    <w:rsid w:val="00DC30F7"/>
    <w:rsid w:val="00DC451E"/>
    <w:rsid w:val="00DC5FA1"/>
    <w:rsid w:val="00DC7C98"/>
    <w:rsid w:val="00DC7EC0"/>
    <w:rsid w:val="00DD0CE4"/>
    <w:rsid w:val="00DD0D5F"/>
    <w:rsid w:val="00DE1525"/>
    <w:rsid w:val="00DE1583"/>
    <w:rsid w:val="00DE3211"/>
    <w:rsid w:val="00DE3721"/>
    <w:rsid w:val="00DE4300"/>
    <w:rsid w:val="00DF2742"/>
    <w:rsid w:val="00DF41C4"/>
    <w:rsid w:val="00DF448C"/>
    <w:rsid w:val="00DF6A80"/>
    <w:rsid w:val="00DF7889"/>
    <w:rsid w:val="00E001DC"/>
    <w:rsid w:val="00E0271B"/>
    <w:rsid w:val="00E0275D"/>
    <w:rsid w:val="00E061D8"/>
    <w:rsid w:val="00E07CDF"/>
    <w:rsid w:val="00E07EE4"/>
    <w:rsid w:val="00E14245"/>
    <w:rsid w:val="00E14708"/>
    <w:rsid w:val="00E201B8"/>
    <w:rsid w:val="00E21F02"/>
    <w:rsid w:val="00E22703"/>
    <w:rsid w:val="00E23DE8"/>
    <w:rsid w:val="00E24228"/>
    <w:rsid w:val="00E27B5F"/>
    <w:rsid w:val="00E33679"/>
    <w:rsid w:val="00E445D8"/>
    <w:rsid w:val="00E46ACA"/>
    <w:rsid w:val="00E50FFA"/>
    <w:rsid w:val="00E51062"/>
    <w:rsid w:val="00E5238F"/>
    <w:rsid w:val="00E526F5"/>
    <w:rsid w:val="00E5528B"/>
    <w:rsid w:val="00E5593B"/>
    <w:rsid w:val="00E57709"/>
    <w:rsid w:val="00E6218B"/>
    <w:rsid w:val="00E63F24"/>
    <w:rsid w:val="00E70A61"/>
    <w:rsid w:val="00E76F23"/>
    <w:rsid w:val="00E77251"/>
    <w:rsid w:val="00E772EC"/>
    <w:rsid w:val="00E817EE"/>
    <w:rsid w:val="00E818B6"/>
    <w:rsid w:val="00E83487"/>
    <w:rsid w:val="00E86E0E"/>
    <w:rsid w:val="00E90E31"/>
    <w:rsid w:val="00E91407"/>
    <w:rsid w:val="00E9187B"/>
    <w:rsid w:val="00E91EAA"/>
    <w:rsid w:val="00E92FD0"/>
    <w:rsid w:val="00E93B0A"/>
    <w:rsid w:val="00E93D93"/>
    <w:rsid w:val="00E9572D"/>
    <w:rsid w:val="00E96087"/>
    <w:rsid w:val="00EA1A4C"/>
    <w:rsid w:val="00EA52B4"/>
    <w:rsid w:val="00EA727F"/>
    <w:rsid w:val="00EB045D"/>
    <w:rsid w:val="00EB2531"/>
    <w:rsid w:val="00EB41C4"/>
    <w:rsid w:val="00EC1909"/>
    <w:rsid w:val="00EC2835"/>
    <w:rsid w:val="00EC4455"/>
    <w:rsid w:val="00ED0714"/>
    <w:rsid w:val="00ED1828"/>
    <w:rsid w:val="00ED24F7"/>
    <w:rsid w:val="00ED4EEA"/>
    <w:rsid w:val="00ED7B1E"/>
    <w:rsid w:val="00EE1163"/>
    <w:rsid w:val="00EE1BE8"/>
    <w:rsid w:val="00EE76E1"/>
    <w:rsid w:val="00EE7F2C"/>
    <w:rsid w:val="00EF0A45"/>
    <w:rsid w:val="00EF66E0"/>
    <w:rsid w:val="00EF69D2"/>
    <w:rsid w:val="00EF7027"/>
    <w:rsid w:val="00F00D62"/>
    <w:rsid w:val="00F01B3A"/>
    <w:rsid w:val="00F0305C"/>
    <w:rsid w:val="00F10B0A"/>
    <w:rsid w:val="00F1330B"/>
    <w:rsid w:val="00F1692D"/>
    <w:rsid w:val="00F22B95"/>
    <w:rsid w:val="00F23018"/>
    <w:rsid w:val="00F2331D"/>
    <w:rsid w:val="00F23B77"/>
    <w:rsid w:val="00F254F6"/>
    <w:rsid w:val="00F270D4"/>
    <w:rsid w:val="00F313D1"/>
    <w:rsid w:val="00F33096"/>
    <w:rsid w:val="00F35278"/>
    <w:rsid w:val="00F36ED5"/>
    <w:rsid w:val="00F405EE"/>
    <w:rsid w:val="00F40D25"/>
    <w:rsid w:val="00F41FEE"/>
    <w:rsid w:val="00F447B1"/>
    <w:rsid w:val="00F456B0"/>
    <w:rsid w:val="00F46A84"/>
    <w:rsid w:val="00F46B12"/>
    <w:rsid w:val="00F470A1"/>
    <w:rsid w:val="00F47917"/>
    <w:rsid w:val="00F520B3"/>
    <w:rsid w:val="00F53590"/>
    <w:rsid w:val="00F559E1"/>
    <w:rsid w:val="00F5660C"/>
    <w:rsid w:val="00F57C65"/>
    <w:rsid w:val="00F63836"/>
    <w:rsid w:val="00F64954"/>
    <w:rsid w:val="00F654C4"/>
    <w:rsid w:val="00F65842"/>
    <w:rsid w:val="00F72093"/>
    <w:rsid w:val="00F73C44"/>
    <w:rsid w:val="00F76819"/>
    <w:rsid w:val="00F7698A"/>
    <w:rsid w:val="00F8290B"/>
    <w:rsid w:val="00F9081A"/>
    <w:rsid w:val="00F90A9D"/>
    <w:rsid w:val="00FA0E84"/>
    <w:rsid w:val="00FA4416"/>
    <w:rsid w:val="00FA5B52"/>
    <w:rsid w:val="00FA73C3"/>
    <w:rsid w:val="00FA7A69"/>
    <w:rsid w:val="00FB1B71"/>
    <w:rsid w:val="00FC3CC9"/>
    <w:rsid w:val="00FC7B43"/>
    <w:rsid w:val="00FD25D2"/>
    <w:rsid w:val="00FD3006"/>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44A2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paragraph" w:styleId="Heading1">
    <w:name w:val="heading 1"/>
    <w:basedOn w:val="Normal"/>
    <w:next w:val="BodyText2"/>
    <w:link w:val="Heading1Char"/>
    <w:qFormat/>
    <w:rsid w:val="00A13E5F"/>
    <w:pPr>
      <w:keepLines/>
      <w:numPr>
        <w:numId w:val="18"/>
      </w:numPr>
      <w:autoSpaceDE/>
      <w:autoSpaceDN/>
      <w:spacing w:after="240"/>
      <w:jc w:val="both"/>
      <w:outlineLvl w:val="0"/>
    </w:pPr>
    <w:rPr>
      <w:b/>
      <w:bCs/>
      <w:caps/>
      <w:szCs w:val="32"/>
      <w:u w:val="single"/>
    </w:rPr>
  </w:style>
  <w:style w:type="paragraph" w:styleId="Heading2">
    <w:name w:val="heading 2"/>
    <w:basedOn w:val="Normal"/>
    <w:next w:val="BodyText2"/>
    <w:link w:val="Heading2Char"/>
    <w:qFormat/>
    <w:rsid w:val="00A13E5F"/>
    <w:pPr>
      <w:keepLines/>
      <w:numPr>
        <w:ilvl w:val="1"/>
        <w:numId w:val="18"/>
      </w:numPr>
      <w:autoSpaceDE/>
      <w:autoSpaceDN/>
      <w:spacing w:after="240"/>
      <w:jc w:val="both"/>
      <w:outlineLvl w:val="1"/>
    </w:pPr>
    <w:rPr>
      <w:b/>
      <w:bCs/>
      <w:iCs/>
      <w:szCs w:val="28"/>
    </w:rPr>
  </w:style>
  <w:style w:type="paragraph" w:styleId="Heading3">
    <w:name w:val="heading 3"/>
    <w:basedOn w:val="Normal"/>
    <w:next w:val="BodyText2"/>
    <w:link w:val="Heading3Char"/>
    <w:qFormat/>
    <w:rsid w:val="00A13E5F"/>
    <w:pPr>
      <w:numPr>
        <w:ilvl w:val="2"/>
        <w:numId w:val="18"/>
      </w:numPr>
      <w:autoSpaceDE/>
      <w:autoSpaceDN/>
      <w:spacing w:after="240"/>
      <w:jc w:val="both"/>
      <w:outlineLvl w:val="2"/>
    </w:pPr>
    <w:rPr>
      <w:b/>
      <w:bCs/>
      <w:szCs w:val="26"/>
    </w:rPr>
  </w:style>
  <w:style w:type="paragraph" w:styleId="Heading4">
    <w:name w:val="heading 4"/>
    <w:basedOn w:val="Normal"/>
    <w:next w:val="BodyText2"/>
    <w:link w:val="Heading4Char"/>
    <w:qFormat/>
    <w:rsid w:val="00A13E5F"/>
    <w:pPr>
      <w:numPr>
        <w:ilvl w:val="3"/>
        <w:numId w:val="18"/>
      </w:numPr>
      <w:autoSpaceDE/>
      <w:autoSpaceDN/>
      <w:spacing w:after="240"/>
      <w:jc w:val="both"/>
      <w:outlineLvl w:val="3"/>
    </w:pPr>
    <w:rPr>
      <w:b/>
      <w:bCs/>
      <w:szCs w:val="28"/>
    </w:rPr>
  </w:style>
  <w:style w:type="paragraph" w:styleId="Heading5">
    <w:name w:val="heading 5"/>
    <w:basedOn w:val="Normal"/>
    <w:next w:val="BodyText2"/>
    <w:link w:val="Heading5Char"/>
    <w:qFormat/>
    <w:rsid w:val="00A13E5F"/>
    <w:pPr>
      <w:numPr>
        <w:ilvl w:val="4"/>
        <w:numId w:val="18"/>
      </w:numPr>
      <w:autoSpaceDE/>
      <w:autoSpaceDN/>
      <w:spacing w:after="240"/>
      <w:jc w:val="both"/>
      <w:outlineLvl w:val="4"/>
    </w:pPr>
    <w:rPr>
      <w:b/>
      <w:bCs/>
      <w:iCs/>
      <w:szCs w:val="26"/>
    </w:rPr>
  </w:style>
  <w:style w:type="paragraph" w:styleId="Heading6">
    <w:name w:val="heading 6"/>
    <w:basedOn w:val="Normal"/>
    <w:next w:val="BodyText2"/>
    <w:link w:val="Heading6Char"/>
    <w:qFormat/>
    <w:rsid w:val="00A13E5F"/>
    <w:pPr>
      <w:numPr>
        <w:ilvl w:val="5"/>
        <w:numId w:val="18"/>
      </w:numPr>
      <w:autoSpaceDE/>
      <w:autoSpaceDN/>
      <w:spacing w:after="240"/>
      <w:outlineLvl w:val="5"/>
    </w:pPr>
    <w:rPr>
      <w:b/>
      <w:bCs/>
      <w:szCs w:val="22"/>
    </w:rPr>
  </w:style>
  <w:style w:type="paragraph" w:styleId="Heading7">
    <w:name w:val="heading 7"/>
    <w:basedOn w:val="Normal"/>
    <w:next w:val="BodyText2"/>
    <w:link w:val="Heading7Char"/>
    <w:qFormat/>
    <w:rsid w:val="00A13E5F"/>
    <w:pPr>
      <w:numPr>
        <w:ilvl w:val="6"/>
        <w:numId w:val="18"/>
      </w:numPr>
      <w:autoSpaceDE/>
      <w:autoSpaceDN/>
      <w:spacing w:after="240"/>
      <w:outlineLvl w:val="6"/>
    </w:pPr>
    <w:rPr>
      <w:b/>
    </w:rPr>
  </w:style>
  <w:style w:type="paragraph" w:styleId="Heading8">
    <w:name w:val="heading 8"/>
    <w:basedOn w:val="Normal"/>
    <w:next w:val="BodyText2"/>
    <w:link w:val="Heading8Char"/>
    <w:qFormat/>
    <w:rsid w:val="00A13E5F"/>
    <w:pPr>
      <w:numPr>
        <w:ilvl w:val="7"/>
        <w:numId w:val="18"/>
      </w:numPr>
      <w:autoSpaceDE/>
      <w:autoSpaceDN/>
      <w:spacing w:after="240"/>
      <w:jc w:val="both"/>
      <w:outlineLvl w:val="7"/>
    </w:pPr>
    <w:rPr>
      <w:b/>
      <w:iCs/>
    </w:rPr>
  </w:style>
  <w:style w:type="paragraph" w:styleId="Heading9">
    <w:name w:val="heading 9"/>
    <w:basedOn w:val="Normal"/>
    <w:next w:val="BodyText2"/>
    <w:link w:val="Heading9Char"/>
    <w:qFormat/>
    <w:rsid w:val="00A13E5F"/>
    <w:pPr>
      <w:numPr>
        <w:ilvl w:val="8"/>
        <w:numId w:val="18"/>
      </w:numPr>
      <w:autoSpaceDE/>
      <w:autoSpaceDN/>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7698A"/>
    <w:rPr>
      <w:color w:val="0000FF" w:themeColor="hyperlink"/>
      <w:u w:val="single"/>
    </w:rPr>
  </w:style>
  <w:style w:type="paragraph" w:styleId="BalloonText">
    <w:name w:val="Balloon Text"/>
    <w:basedOn w:val="Normal"/>
    <w:link w:val="BalloonTextChar"/>
    <w:rsid w:val="00887857"/>
    <w:rPr>
      <w:rFonts w:ascii="Tahoma" w:hAnsi="Tahoma" w:cs="Tahoma"/>
      <w:sz w:val="16"/>
      <w:szCs w:val="16"/>
    </w:rPr>
  </w:style>
  <w:style w:type="character" w:customStyle="1" w:styleId="BalloonTextChar">
    <w:name w:val="Balloon Text Char"/>
    <w:basedOn w:val="DefaultParagraphFont"/>
    <w:link w:val="BalloonText"/>
    <w:rsid w:val="00887857"/>
    <w:rPr>
      <w:rFonts w:ascii="Tahoma" w:hAnsi="Tahoma" w:cs="Tahoma"/>
      <w:sz w:val="16"/>
      <w:szCs w:val="16"/>
    </w:rPr>
  </w:style>
  <w:style w:type="paragraph" w:styleId="BodyText2">
    <w:name w:val="Body Text 2"/>
    <w:basedOn w:val="Normal"/>
    <w:link w:val="BodyText2Char"/>
    <w:rsid w:val="00A13E5F"/>
    <w:pPr>
      <w:spacing w:after="120" w:line="480" w:lineRule="auto"/>
    </w:pPr>
  </w:style>
  <w:style w:type="character" w:customStyle="1" w:styleId="BodyText2Char">
    <w:name w:val="Body Text 2 Char"/>
    <w:basedOn w:val="DefaultParagraphFont"/>
    <w:link w:val="BodyText2"/>
    <w:rsid w:val="00A13E5F"/>
    <w:rPr>
      <w:sz w:val="24"/>
      <w:szCs w:val="24"/>
    </w:rPr>
  </w:style>
  <w:style w:type="character" w:customStyle="1" w:styleId="Heading1Char">
    <w:name w:val="Heading 1 Char"/>
    <w:basedOn w:val="DefaultParagraphFont"/>
    <w:link w:val="Heading1"/>
    <w:rsid w:val="00A13E5F"/>
    <w:rPr>
      <w:b/>
      <w:bCs/>
      <w:caps/>
      <w:sz w:val="24"/>
      <w:szCs w:val="32"/>
      <w:u w:val="single"/>
    </w:rPr>
  </w:style>
  <w:style w:type="character" w:customStyle="1" w:styleId="Heading2Char">
    <w:name w:val="Heading 2 Char"/>
    <w:basedOn w:val="DefaultParagraphFont"/>
    <w:link w:val="Heading2"/>
    <w:rsid w:val="00A13E5F"/>
    <w:rPr>
      <w:b/>
      <w:bCs/>
      <w:iCs/>
      <w:sz w:val="24"/>
      <w:szCs w:val="28"/>
    </w:rPr>
  </w:style>
  <w:style w:type="character" w:customStyle="1" w:styleId="Heading3Char">
    <w:name w:val="Heading 3 Char"/>
    <w:basedOn w:val="DefaultParagraphFont"/>
    <w:link w:val="Heading3"/>
    <w:rsid w:val="00A13E5F"/>
    <w:rPr>
      <w:b/>
      <w:bCs/>
      <w:sz w:val="24"/>
      <w:szCs w:val="26"/>
    </w:rPr>
  </w:style>
  <w:style w:type="character" w:customStyle="1" w:styleId="Heading4Char">
    <w:name w:val="Heading 4 Char"/>
    <w:basedOn w:val="DefaultParagraphFont"/>
    <w:link w:val="Heading4"/>
    <w:rsid w:val="00A13E5F"/>
    <w:rPr>
      <w:b/>
      <w:bCs/>
      <w:sz w:val="24"/>
      <w:szCs w:val="28"/>
    </w:rPr>
  </w:style>
  <w:style w:type="character" w:customStyle="1" w:styleId="Heading5Char">
    <w:name w:val="Heading 5 Char"/>
    <w:basedOn w:val="DefaultParagraphFont"/>
    <w:link w:val="Heading5"/>
    <w:rsid w:val="00A13E5F"/>
    <w:rPr>
      <w:b/>
      <w:bCs/>
      <w:iCs/>
      <w:sz w:val="24"/>
      <w:szCs w:val="26"/>
    </w:rPr>
  </w:style>
  <w:style w:type="character" w:customStyle="1" w:styleId="Heading6Char">
    <w:name w:val="Heading 6 Char"/>
    <w:basedOn w:val="DefaultParagraphFont"/>
    <w:link w:val="Heading6"/>
    <w:rsid w:val="00A13E5F"/>
    <w:rPr>
      <w:b/>
      <w:bCs/>
      <w:sz w:val="24"/>
      <w:szCs w:val="22"/>
    </w:rPr>
  </w:style>
  <w:style w:type="character" w:customStyle="1" w:styleId="Heading7Char">
    <w:name w:val="Heading 7 Char"/>
    <w:basedOn w:val="DefaultParagraphFont"/>
    <w:link w:val="Heading7"/>
    <w:rsid w:val="00A13E5F"/>
    <w:rPr>
      <w:b/>
      <w:sz w:val="24"/>
      <w:szCs w:val="24"/>
    </w:rPr>
  </w:style>
  <w:style w:type="character" w:customStyle="1" w:styleId="Heading8Char">
    <w:name w:val="Heading 8 Char"/>
    <w:basedOn w:val="DefaultParagraphFont"/>
    <w:link w:val="Heading8"/>
    <w:rsid w:val="00A13E5F"/>
    <w:rPr>
      <w:b/>
      <w:iCs/>
      <w:sz w:val="24"/>
      <w:szCs w:val="24"/>
    </w:rPr>
  </w:style>
  <w:style w:type="character" w:customStyle="1" w:styleId="Heading9Char">
    <w:name w:val="Heading 9 Char"/>
    <w:basedOn w:val="DefaultParagraphFont"/>
    <w:link w:val="Heading9"/>
    <w:rsid w:val="00A13E5F"/>
    <w:rPr>
      <w:b/>
      <w:sz w:val="24"/>
      <w:szCs w:val="22"/>
    </w:rPr>
  </w:style>
  <w:style w:type="paragraph" w:styleId="ListNumber">
    <w:name w:val="List Number"/>
    <w:basedOn w:val="Normal"/>
    <w:qFormat/>
    <w:rsid w:val="00A13E5F"/>
    <w:pPr>
      <w:numPr>
        <w:numId w:val="19"/>
      </w:numPr>
      <w:autoSpaceDE/>
      <w:autoSpaceDN/>
      <w:spacing w:line="480" w:lineRule="auto"/>
    </w:pPr>
  </w:style>
  <w:style w:type="character" w:customStyle="1" w:styleId="FootnoteTextChar">
    <w:name w:val="Footnote Text Char"/>
    <w:basedOn w:val="DefaultParagraphFont"/>
    <w:link w:val="FootnoteText"/>
    <w:semiHidden/>
    <w:rsid w:val="00AB08B7"/>
  </w:style>
  <w:style w:type="character" w:customStyle="1" w:styleId="FooterChar">
    <w:name w:val="Footer Char"/>
    <w:basedOn w:val="DefaultParagraphFont"/>
    <w:link w:val="Footer"/>
    <w:uiPriority w:val="99"/>
    <w:rsid w:val="00862243"/>
    <w:rPr>
      <w:sz w:val="24"/>
      <w:szCs w:val="24"/>
    </w:rPr>
  </w:style>
  <w:style w:type="table" w:customStyle="1" w:styleId="TableGrid1">
    <w:name w:val="Table Grid1"/>
    <w:basedOn w:val="TableNormal"/>
    <w:next w:val="TableGrid"/>
    <w:uiPriority w:val="59"/>
    <w:rsid w:val="005F5B96"/>
    <w:rPr>
      <w:rFonts w:ascii="Calibri" w:eastAsiaTheme="minorHAnsi" w:hAnsi="Calibr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E2C4A"/>
    <w:rPr>
      <w:sz w:val="16"/>
      <w:szCs w:val="16"/>
    </w:rPr>
  </w:style>
  <w:style w:type="paragraph" w:styleId="CommentText">
    <w:name w:val="annotation text"/>
    <w:basedOn w:val="Normal"/>
    <w:link w:val="CommentTextChar"/>
    <w:semiHidden/>
    <w:unhideWhenUsed/>
    <w:rsid w:val="000E2C4A"/>
    <w:rPr>
      <w:sz w:val="20"/>
      <w:szCs w:val="20"/>
    </w:rPr>
  </w:style>
  <w:style w:type="character" w:customStyle="1" w:styleId="CommentTextChar">
    <w:name w:val="Comment Text Char"/>
    <w:basedOn w:val="DefaultParagraphFont"/>
    <w:link w:val="CommentText"/>
    <w:semiHidden/>
    <w:rsid w:val="000E2C4A"/>
  </w:style>
  <w:style w:type="paragraph" w:styleId="CommentSubject">
    <w:name w:val="annotation subject"/>
    <w:basedOn w:val="CommentText"/>
    <w:next w:val="CommentText"/>
    <w:link w:val="CommentSubjectChar"/>
    <w:semiHidden/>
    <w:unhideWhenUsed/>
    <w:rsid w:val="000E2C4A"/>
    <w:rPr>
      <w:b/>
      <w:bCs/>
    </w:rPr>
  </w:style>
  <w:style w:type="character" w:customStyle="1" w:styleId="CommentSubjectChar">
    <w:name w:val="Comment Subject Char"/>
    <w:basedOn w:val="CommentTextChar"/>
    <w:link w:val="CommentSubject"/>
    <w:semiHidden/>
    <w:rsid w:val="000E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347401">
      <w:bodyDiv w:val="1"/>
      <w:marLeft w:val="0"/>
      <w:marRight w:val="0"/>
      <w:marTop w:val="0"/>
      <w:marBottom w:val="0"/>
      <w:divBdr>
        <w:top w:val="none" w:sz="0" w:space="0" w:color="auto"/>
        <w:left w:val="none" w:sz="0" w:space="0" w:color="auto"/>
        <w:bottom w:val="none" w:sz="0" w:space="0" w:color="auto"/>
        <w:right w:val="none" w:sz="0" w:space="0" w:color="auto"/>
      </w:divBdr>
    </w:div>
    <w:div w:id="195821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6BF6E-B6DE-42EF-AD62-A77CF944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10944</Words>
  <Characters>57393</Characters>
  <Application>Microsoft Office Word</Application>
  <DocSecurity>0</DocSecurity>
  <Lines>478</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2021-09-15T18:40:00Z</dcterms:created>
  <dcterms:modified xsi:type="dcterms:W3CDTF">2021-09-15T18:40:00Z</dcterms:modified>
</cp:coreProperties>
</file>