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8"/>
          <w:footerReference w:type="default" r:id="rId9"/>
          <w:footerReference w:type="first" r:id="rId10"/>
          <w:pgSz w:w="12240" w:h="15840"/>
          <w:pgMar w:top="504" w:right="1440" w:bottom="1440" w:left="1440" w:header="720" w:footer="720" w:gutter="0"/>
          <w:cols w:space="720"/>
          <w:titlePg/>
        </w:sectPr>
      </w:pPr>
    </w:p>
    <w:p w14:paraId="34AD3DBC" w14:textId="179AEAC5" w:rsidR="002221F4" w:rsidRDefault="008C0F73" w:rsidP="007A1B62">
      <w:pPr>
        <w:ind w:right="72"/>
        <w:jc w:val="right"/>
        <w:rPr>
          <w:rFonts w:ascii="Arial" w:hAnsi="Arial"/>
          <w:b/>
          <w:spacing w:val="-1"/>
          <w:sz w:val="12"/>
        </w:rPr>
      </w:pPr>
      <w:r w:rsidRPr="00C77CFC">
        <w:rPr>
          <w:rFonts w:ascii="Arial" w:hAnsi="Arial"/>
          <w:b/>
          <w:spacing w:val="-1"/>
          <w:sz w:val="12"/>
        </w:rPr>
        <w:t>IN REPLY PLEASE</w:t>
      </w:r>
    </w:p>
    <w:p w14:paraId="1E8BBB79" w14:textId="7F7A507B" w:rsidR="001E1BF3" w:rsidRPr="002221F4" w:rsidRDefault="008C0F73" w:rsidP="002221F4">
      <w:pPr>
        <w:jc w:val="right"/>
        <w:rPr>
          <w:rFonts w:ascii="Arial" w:hAnsi="Arial"/>
          <w:b/>
          <w:spacing w:val="-1"/>
          <w:sz w:val="12"/>
        </w:rPr>
      </w:pPr>
      <w:r w:rsidRPr="00C77CFC">
        <w:rPr>
          <w:rFonts w:ascii="Arial" w:hAnsi="Arial"/>
          <w:b/>
          <w:spacing w:val="-1"/>
          <w:sz w:val="12"/>
        </w:rPr>
        <w:t>REFER TO OUR FILE</w:t>
      </w:r>
    </w:p>
    <w:p w14:paraId="1981F7E1" w14:textId="2A0F41B7" w:rsidR="008A1365" w:rsidRDefault="008A1365" w:rsidP="008A1365">
      <w:pPr>
        <w:jc w:val="center"/>
      </w:pPr>
      <w:r>
        <w:t>October 13, 2021</w:t>
      </w:r>
    </w:p>
    <w:p w14:paraId="7C35AF28" w14:textId="53E87FF7" w:rsidR="00AD71A4" w:rsidRPr="00AD71A4" w:rsidRDefault="00AD71A4" w:rsidP="00AD71A4">
      <w:pPr>
        <w:jc w:val="right"/>
      </w:pPr>
      <w:r w:rsidRPr="00AD71A4">
        <w:t>P-2020-3019290</w:t>
      </w:r>
    </w:p>
    <w:p w14:paraId="2C0C1833" w14:textId="67092AD3" w:rsidR="008D2EEA" w:rsidRPr="000661A0" w:rsidRDefault="008D2EEA" w:rsidP="0091115D">
      <w:pPr>
        <w:rPr>
          <w:sz w:val="24"/>
          <w:szCs w:val="24"/>
        </w:rPr>
      </w:pPr>
    </w:p>
    <w:p w14:paraId="65BCD9BC" w14:textId="49DCDEAF" w:rsidR="008D2EEA" w:rsidRPr="0088078C" w:rsidRDefault="008D2EEA" w:rsidP="0091115D">
      <w:pPr>
        <w:rPr>
          <w:sz w:val="24"/>
          <w:szCs w:val="24"/>
        </w:rPr>
      </w:pPr>
    </w:p>
    <w:p w14:paraId="2B718C15" w14:textId="77777777" w:rsidR="00136528" w:rsidRPr="00136528" w:rsidRDefault="00136528" w:rsidP="00136528">
      <w:pPr>
        <w:rPr>
          <w:sz w:val="24"/>
          <w:szCs w:val="24"/>
        </w:rPr>
      </w:pPr>
      <w:r w:rsidRPr="00136528">
        <w:rPr>
          <w:sz w:val="24"/>
          <w:szCs w:val="24"/>
        </w:rPr>
        <w:t>RICHARD G WEBSTER JR</w:t>
      </w:r>
    </w:p>
    <w:p w14:paraId="3E17BF4C" w14:textId="77777777" w:rsidR="00136528" w:rsidRPr="00136528" w:rsidRDefault="00136528" w:rsidP="00136528">
      <w:pPr>
        <w:rPr>
          <w:sz w:val="24"/>
          <w:szCs w:val="24"/>
        </w:rPr>
      </w:pPr>
      <w:r w:rsidRPr="00136528">
        <w:rPr>
          <w:sz w:val="24"/>
          <w:szCs w:val="24"/>
        </w:rPr>
        <w:t>PECO ENERGY COMPANY</w:t>
      </w:r>
    </w:p>
    <w:p w14:paraId="30128CE5" w14:textId="77777777" w:rsidR="00136528" w:rsidRPr="00136528" w:rsidRDefault="00136528" w:rsidP="00136528">
      <w:pPr>
        <w:rPr>
          <w:sz w:val="24"/>
          <w:szCs w:val="24"/>
        </w:rPr>
      </w:pPr>
      <w:r w:rsidRPr="00136528">
        <w:rPr>
          <w:sz w:val="24"/>
          <w:szCs w:val="24"/>
        </w:rPr>
        <w:t>2301 MARKET ST 15</w:t>
      </w:r>
      <w:r w:rsidRPr="00136528">
        <w:rPr>
          <w:sz w:val="24"/>
          <w:szCs w:val="24"/>
          <w:vertAlign w:val="superscript"/>
        </w:rPr>
        <w:t>th</w:t>
      </w:r>
      <w:r w:rsidRPr="00136528">
        <w:rPr>
          <w:sz w:val="24"/>
          <w:szCs w:val="24"/>
        </w:rPr>
        <w:t xml:space="preserve"> FL</w:t>
      </w:r>
    </w:p>
    <w:p w14:paraId="52B3EF34" w14:textId="77777777" w:rsidR="00136528" w:rsidRPr="00136528" w:rsidRDefault="00136528" w:rsidP="00136528">
      <w:pPr>
        <w:rPr>
          <w:sz w:val="24"/>
          <w:szCs w:val="24"/>
        </w:rPr>
      </w:pPr>
      <w:r w:rsidRPr="00136528">
        <w:rPr>
          <w:sz w:val="24"/>
          <w:szCs w:val="24"/>
        </w:rPr>
        <w:t>PHILADELPHIA PA 19103</w:t>
      </w:r>
    </w:p>
    <w:p w14:paraId="5BEC78B4" w14:textId="77777777" w:rsidR="00136528" w:rsidRPr="00136528" w:rsidRDefault="00136528" w:rsidP="00136528">
      <w:pPr>
        <w:rPr>
          <w:sz w:val="24"/>
          <w:szCs w:val="24"/>
        </w:rPr>
      </w:pPr>
    </w:p>
    <w:p w14:paraId="19DF70ED" w14:textId="77777777" w:rsidR="00136528" w:rsidRPr="00136528" w:rsidRDefault="00136528" w:rsidP="00136528">
      <w:pPr>
        <w:rPr>
          <w:sz w:val="24"/>
          <w:szCs w:val="24"/>
        </w:rPr>
      </w:pPr>
    </w:p>
    <w:p w14:paraId="2BFBFE47" w14:textId="77777777" w:rsidR="00136528" w:rsidRPr="00136528" w:rsidRDefault="00136528" w:rsidP="0088078C">
      <w:pPr>
        <w:ind w:left="720"/>
        <w:rPr>
          <w:sz w:val="24"/>
          <w:szCs w:val="24"/>
        </w:rPr>
      </w:pPr>
      <w:r w:rsidRPr="00136528">
        <w:rPr>
          <w:sz w:val="24"/>
          <w:szCs w:val="24"/>
        </w:rPr>
        <w:t>Re:</w:t>
      </w:r>
      <w:r w:rsidRPr="00136528">
        <w:rPr>
          <w:sz w:val="24"/>
          <w:szCs w:val="24"/>
        </w:rPr>
        <w:tab/>
        <w:t xml:space="preserve">PECO Energy Company </w:t>
      </w:r>
    </w:p>
    <w:p w14:paraId="7D56BCE3" w14:textId="77777777" w:rsidR="00136528" w:rsidRPr="00136528" w:rsidRDefault="00136528" w:rsidP="0088078C">
      <w:pPr>
        <w:ind w:left="720"/>
        <w:rPr>
          <w:sz w:val="24"/>
          <w:szCs w:val="24"/>
        </w:rPr>
      </w:pPr>
      <w:r w:rsidRPr="00136528">
        <w:rPr>
          <w:sz w:val="24"/>
          <w:szCs w:val="24"/>
        </w:rPr>
        <w:tab/>
        <w:t>Default Service Program V – Solar Alternative Energy Credit Procurement</w:t>
      </w:r>
    </w:p>
    <w:p w14:paraId="03993B2B" w14:textId="77777777" w:rsidR="00136528" w:rsidRPr="00136528" w:rsidRDefault="00136528" w:rsidP="0088078C">
      <w:pPr>
        <w:ind w:left="720" w:firstLine="720"/>
        <w:rPr>
          <w:sz w:val="24"/>
          <w:szCs w:val="24"/>
        </w:rPr>
      </w:pPr>
      <w:r w:rsidRPr="00136528">
        <w:rPr>
          <w:sz w:val="24"/>
          <w:szCs w:val="24"/>
        </w:rPr>
        <w:t xml:space="preserve">Results from Standard Offer Request for Proposals </w:t>
      </w:r>
    </w:p>
    <w:p w14:paraId="287F86E9" w14:textId="77777777" w:rsidR="00136528" w:rsidRPr="00136528" w:rsidRDefault="00136528" w:rsidP="00136528">
      <w:pPr>
        <w:rPr>
          <w:sz w:val="24"/>
          <w:szCs w:val="24"/>
          <w:u w:val="single"/>
        </w:rPr>
      </w:pPr>
    </w:p>
    <w:p w14:paraId="3F676B84" w14:textId="77777777" w:rsidR="00136528" w:rsidRPr="00136528" w:rsidRDefault="00136528" w:rsidP="00136528">
      <w:pPr>
        <w:rPr>
          <w:sz w:val="24"/>
          <w:szCs w:val="24"/>
        </w:rPr>
      </w:pPr>
    </w:p>
    <w:p w14:paraId="7D947CBE" w14:textId="77777777" w:rsidR="00136528" w:rsidRPr="00136528" w:rsidRDefault="00136528" w:rsidP="00136528">
      <w:pPr>
        <w:rPr>
          <w:sz w:val="24"/>
          <w:szCs w:val="24"/>
        </w:rPr>
      </w:pPr>
      <w:r w:rsidRPr="00136528">
        <w:rPr>
          <w:sz w:val="24"/>
          <w:szCs w:val="24"/>
        </w:rPr>
        <w:t>Dear Mr. Webster:</w:t>
      </w:r>
    </w:p>
    <w:p w14:paraId="44828467" w14:textId="77777777" w:rsidR="00136528" w:rsidRPr="00136528" w:rsidRDefault="00136528" w:rsidP="00136528">
      <w:pPr>
        <w:rPr>
          <w:sz w:val="24"/>
          <w:szCs w:val="24"/>
        </w:rPr>
      </w:pPr>
    </w:p>
    <w:p w14:paraId="5E1E352A" w14:textId="7A3289CF" w:rsidR="00136528" w:rsidRPr="00136528" w:rsidRDefault="00136528" w:rsidP="00136528">
      <w:pPr>
        <w:rPr>
          <w:sz w:val="24"/>
          <w:szCs w:val="24"/>
        </w:rPr>
      </w:pPr>
      <w:r w:rsidRPr="00136528">
        <w:rPr>
          <w:sz w:val="24"/>
          <w:szCs w:val="24"/>
        </w:rPr>
        <w:tab/>
        <w:t xml:space="preserve">On October </w:t>
      </w:r>
      <w:r w:rsidR="00302AE9">
        <w:rPr>
          <w:sz w:val="24"/>
          <w:szCs w:val="24"/>
        </w:rPr>
        <w:t>6</w:t>
      </w:r>
      <w:r w:rsidRPr="00136528">
        <w:rPr>
          <w:sz w:val="24"/>
          <w:szCs w:val="24"/>
        </w:rPr>
        <w:t xml:space="preserve">, 2021, PECO Energy Company (PECO) </w:t>
      </w:r>
      <w:r w:rsidR="00AB795C">
        <w:rPr>
          <w:sz w:val="24"/>
          <w:szCs w:val="24"/>
        </w:rPr>
        <w:t>provided</w:t>
      </w:r>
      <w:r w:rsidRPr="00136528">
        <w:rPr>
          <w:sz w:val="24"/>
          <w:szCs w:val="24"/>
        </w:rPr>
        <w:t xml:space="preserve"> the results of its DSP V Standard Offer Request for Proposals (RFP) for Solar Alternative Energy Credits (SAECs). The </w:t>
      </w:r>
      <w:r w:rsidR="00AB795C">
        <w:rPr>
          <w:sz w:val="24"/>
          <w:szCs w:val="24"/>
        </w:rPr>
        <w:t>submission</w:t>
      </w:r>
      <w:r w:rsidRPr="00136528">
        <w:rPr>
          <w:sz w:val="24"/>
          <w:szCs w:val="24"/>
        </w:rPr>
        <w:t xml:space="preserve"> includes bid results for 4,000 SAECs priced at $34.07, delivered annually, for the ten-year period beginning June 2022 and ending May 2032</w:t>
      </w:r>
      <w:r w:rsidR="00AB795C">
        <w:rPr>
          <w:sz w:val="24"/>
          <w:szCs w:val="24"/>
        </w:rPr>
        <w:t xml:space="preserve">.  The submission also included an </w:t>
      </w:r>
      <w:r w:rsidRPr="00136528">
        <w:rPr>
          <w:sz w:val="24"/>
          <w:szCs w:val="24"/>
        </w:rPr>
        <w:t>amended</w:t>
      </w:r>
      <w:r w:rsidR="00AB795C">
        <w:rPr>
          <w:sz w:val="24"/>
          <w:szCs w:val="24"/>
        </w:rPr>
        <w:t xml:space="preserve"> evaluation monitor</w:t>
      </w:r>
      <w:r w:rsidRPr="00136528">
        <w:rPr>
          <w:sz w:val="24"/>
          <w:szCs w:val="24"/>
        </w:rPr>
        <w:t xml:space="preserve"> report of the Standard Offer RFP results.</w:t>
      </w:r>
    </w:p>
    <w:p w14:paraId="47EA6C9E" w14:textId="77777777" w:rsidR="00136528" w:rsidRPr="00136528" w:rsidRDefault="00136528" w:rsidP="00136528">
      <w:pPr>
        <w:rPr>
          <w:sz w:val="24"/>
          <w:szCs w:val="24"/>
        </w:rPr>
      </w:pPr>
    </w:p>
    <w:p w14:paraId="0755B382" w14:textId="5EFE6AC9" w:rsidR="00136528" w:rsidRPr="00136528" w:rsidRDefault="00136528" w:rsidP="00136528">
      <w:pPr>
        <w:rPr>
          <w:sz w:val="24"/>
          <w:szCs w:val="24"/>
        </w:rPr>
      </w:pPr>
      <w:r w:rsidRPr="00136528">
        <w:rPr>
          <w:sz w:val="24"/>
          <w:szCs w:val="24"/>
        </w:rPr>
        <w:tab/>
        <w:t>This filing was submitted in accordance with the RFP to Supply SAECs In Compliance With Pennsylvania’s Alternative Energy Portfolio Standards Act (AEPS) process and rules, filed by PECO on March 13, 2020. The RFP to Supply SAECs In Compliance With Pennsylvania’s AEPS was approved in the Commission’s Opinion and Order, entered December 3, 2020, at Docket No. P</w:t>
      </w:r>
      <w:r w:rsidRPr="00136528">
        <w:rPr>
          <w:sz w:val="24"/>
          <w:szCs w:val="24"/>
        </w:rPr>
        <w:noBreakHyphen/>
        <w:t>2020-3019290.</w:t>
      </w:r>
    </w:p>
    <w:p w14:paraId="7DD427FD" w14:textId="77777777" w:rsidR="00136528" w:rsidRPr="00136528" w:rsidRDefault="00136528" w:rsidP="00136528">
      <w:pPr>
        <w:rPr>
          <w:sz w:val="24"/>
          <w:szCs w:val="24"/>
        </w:rPr>
      </w:pPr>
    </w:p>
    <w:p w14:paraId="4F0F03BA" w14:textId="362224BD" w:rsidR="00136528" w:rsidRPr="00136528" w:rsidRDefault="00136528" w:rsidP="00136528">
      <w:pPr>
        <w:rPr>
          <w:sz w:val="24"/>
          <w:szCs w:val="24"/>
        </w:rPr>
      </w:pPr>
      <w:r w:rsidRPr="00136528">
        <w:rPr>
          <w:sz w:val="24"/>
          <w:szCs w:val="24"/>
        </w:rPr>
        <w:tab/>
        <w:t>PECO requests that the Commission approve the bid results and the report of the Standard Offer RFP to Supply SAECs In Compliance With Pennsylvania’s AEPS</w:t>
      </w:r>
      <w:r w:rsidRPr="00136528" w:rsidDel="004D12BE">
        <w:rPr>
          <w:sz w:val="24"/>
          <w:szCs w:val="24"/>
        </w:rPr>
        <w:t xml:space="preserve"> </w:t>
      </w:r>
      <w:r w:rsidRPr="00136528">
        <w:rPr>
          <w:sz w:val="24"/>
          <w:szCs w:val="24"/>
        </w:rPr>
        <w:t>on or before October 14, 2021.</w:t>
      </w:r>
    </w:p>
    <w:p w14:paraId="0E0EE94A" w14:textId="77777777" w:rsidR="00136528" w:rsidRPr="00136528" w:rsidRDefault="00136528" w:rsidP="00136528">
      <w:pPr>
        <w:rPr>
          <w:sz w:val="24"/>
          <w:szCs w:val="24"/>
        </w:rPr>
      </w:pPr>
    </w:p>
    <w:p w14:paraId="6D1872E1" w14:textId="4CC1CD25" w:rsidR="00136528" w:rsidRPr="00136528" w:rsidRDefault="00136528" w:rsidP="00136528">
      <w:pPr>
        <w:rPr>
          <w:sz w:val="24"/>
          <w:szCs w:val="24"/>
        </w:rPr>
      </w:pPr>
      <w:r w:rsidRPr="00136528">
        <w:rPr>
          <w:sz w:val="24"/>
          <w:szCs w:val="24"/>
        </w:rPr>
        <w:tab/>
        <w:t>Further investigation does not appear to be warranted at this time, since the results of the Standard Offer RFP to Supply SAECs In Compliance With Pennsylvania’s AEPS appear to have been conducted in accordance with the RFP process and rules as approved by the Commission.</w:t>
      </w:r>
    </w:p>
    <w:p w14:paraId="0B91D2B7" w14:textId="77777777" w:rsidR="008D3254" w:rsidRPr="0088078C" w:rsidRDefault="008D3254" w:rsidP="00136528">
      <w:pPr>
        <w:rPr>
          <w:sz w:val="24"/>
          <w:szCs w:val="24"/>
        </w:rPr>
      </w:pPr>
    </w:p>
    <w:p w14:paraId="28CC590C" w14:textId="5CF117EB" w:rsidR="00136528" w:rsidRPr="00136528" w:rsidRDefault="00136528" w:rsidP="00136528">
      <w:pPr>
        <w:rPr>
          <w:sz w:val="24"/>
          <w:szCs w:val="24"/>
        </w:rPr>
      </w:pPr>
      <w:r w:rsidRPr="00136528">
        <w:rPr>
          <w:sz w:val="24"/>
          <w:szCs w:val="24"/>
        </w:rPr>
        <w:tab/>
        <w:t>Therefore, we direct PECO to disclose the results of the Standard Offer RFP to Supply SAECs In Compliance With Pennsylvania’s AEPS</w:t>
      </w:r>
      <w:r w:rsidRPr="00136528" w:rsidDel="004D12BE">
        <w:rPr>
          <w:sz w:val="24"/>
          <w:szCs w:val="24"/>
        </w:rPr>
        <w:t xml:space="preserve"> </w:t>
      </w:r>
      <w:r w:rsidRPr="00136528">
        <w:rPr>
          <w:sz w:val="24"/>
          <w:szCs w:val="24"/>
        </w:rPr>
        <w:t xml:space="preserve">in accordance with the Commission’s Secretarial Letter </w:t>
      </w:r>
      <w:r w:rsidRPr="00136528">
        <w:rPr>
          <w:sz w:val="24"/>
          <w:szCs w:val="24"/>
          <w:u w:val="single"/>
        </w:rPr>
        <w:t>Re: Disclosure of Default Service Solicitation Results and Creation of a Default Service Rate Calculation Model</w:t>
      </w:r>
      <w:r w:rsidRPr="00136528">
        <w:rPr>
          <w:sz w:val="24"/>
          <w:szCs w:val="24"/>
        </w:rPr>
        <w:t>, issued October 12, 2010 at Docket No. M-2009-2082042.</w:t>
      </w:r>
    </w:p>
    <w:p w14:paraId="4280E1CC" w14:textId="77777777" w:rsidR="00136528" w:rsidRPr="00136528" w:rsidRDefault="00136528" w:rsidP="00136528">
      <w:pPr>
        <w:rPr>
          <w:sz w:val="24"/>
          <w:szCs w:val="24"/>
        </w:rPr>
      </w:pPr>
    </w:p>
    <w:p w14:paraId="1B78BD7C" w14:textId="77777777" w:rsidR="00302AE9" w:rsidRDefault="00302AE9" w:rsidP="0053189B">
      <w:pPr>
        <w:ind w:firstLine="720"/>
        <w:rPr>
          <w:sz w:val="24"/>
          <w:szCs w:val="24"/>
        </w:rPr>
      </w:pPr>
    </w:p>
    <w:p w14:paraId="5277F3DE" w14:textId="77777777" w:rsidR="00302AE9" w:rsidRDefault="00302AE9" w:rsidP="0053189B">
      <w:pPr>
        <w:ind w:firstLine="720"/>
        <w:rPr>
          <w:sz w:val="24"/>
          <w:szCs w:val="24"/>
        </w:rPr>
      </w:pPr>
    </w:p>
    <w:p w14:paraId="71507968" w14:textId="77777777" w:rsidR="00302AE9" w:rsidRDefault="00302AE9" w:rsidP="0053189B">
      <w:pPr>
        <w:ind w:firstLine="720"/>
        <w:rPr>
          <w:sz w:val="24"/>
          <w:szCs w:val="24"/>
        </w:rPr>
      </w:pPr>
    </w:p>
    <w:p w14:paraId="295D35FC" w14:textId="5ED37586" w:rsidR="00136528" w:rsidRPr="00136528" w:rsidRDefault="00136528" w:rsidP="0053189B">
      <w:pPr>
        <w:ind w:firstLine="720"/>
        <w:rPr>
          <w:sz w:val="24"/>
          <w:szCs w:val="24"/>
        </w:rPr>
      </w:pPr>
      <w:r w:rsidRPr="00136528">
        <w:rPr>
          <w:sz w:val="24"/>
          <w:szCs w:val="24"/>
        </w:rPr>
        <w:t>Please direct any questions to Joseph Sherrick, Supervisor of Policy &amp; Planning, Bureau of Technical Utility Services, at (717) 787-5369.</w:t>
      </w:r>
    </w:p>
    <w:p w14:paraId="77ECC6DB" w14:textId="30A83E0F" w:rsidR="00136528" w:rsidRPr="00136528" w:rsidRDefault="00136528" w:rsidP="00136528">
      <w:pPr>
        <w:rPr>
          <w:sz w:val="24"/>
          <w:szCs w:val="24"/>
        </w:rPr>
      </w:pPr>
    </w:p>
    <w:p w14:paraId="5195B63F" w14:textId="41619493" w:rsidR="00136528" w:rsidRPr="00136528" w:rsidRDefault="008A1365" w:rsidP="0088078C">
      <w:pPr>
        <w:ind w:left="3600"/>
        <w:rPr>
          <w:sz w:val="24"/>
          <w:szCs w:val="24"/>
        </w:rPr>
      </w:pPr>
      <w:r>
        <w:rPr>
          <w:noProof/>
        </w:rPr>
        <w:drawing>
          <wp:anchor distT="0" distB="0" distL="114300" distR="114300" simplePos="0" relativeHeight="251660288" behindDoc="1" locked="0" layoutInCell="1" allowOverlap="1" wp14:anchorId="7FF22FB1" wp14:editId="57BA66B0">
            <wp:simplePos x="0" y="0"/>
            <wp:positionH relativeFrom="column">
              <wp:posOffset>3581400</wp:posOffset>
            </wp:positionH>
            <wp:positionV relativeFrom="paragraph">
              <wp:posOffset>71755</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136528" w:rsidRPr="00136528">
        <w:rPr>
          <w:sz w:val="24"/>
          <w:szCs w:val="24"/>
        </w:rPr>
        <w:tab/>
      </w:r>
      <w:r w:rsidR="00136528" w:rsidRPr="00136528">
        <w:rPr>
          <w:sz w:val="24"/>
          <w:szCs w:val="24"/>
        </w:rPr>
        <w:tab/>
      </w:r>
      <w:r w:rsidR="00136528" w:rsidRPr="00136528">
        <w:rPr>
          <w:sz w:val="24"/>
          <w:szCs w:val="24"/>
        </w:rPr>
        <w:tab/>
        <w:t>Sincerely,</w:t>
      </w:r>
    </w:p>
    <w:p w14:paraId="777D5DEF" w14:textId="77777777" w:rsidR="00136528" w:rsidRPr="00136528" w:rsidRDefault="00136528" w:rsidP="0088078C">
      <w:pPr>
        <w:ind w:left="3600"/>
        <w:rPr>
          <w:sz w:val="24"/>
          <w:szCs w:val="24"/>
        </w:rPr>
      </w:pPr>
    </w:p>
    <w:p w14:paraId="1F898BDE" w14:textId="77777777" w:rsidR="00136528" w:rsidRPr="00136528" w:rsidRDefault="00136528" w:rsidP="0088078C">
      <w:pPr>
        <w:ind w:left="3600"/>
        <w:rPr>
          <w:sz w:val="24"/>
          <w:szCs w:val="24"/>
        </w:rPr>
      </w:pPr>
    </w:p>
    <w:p w14:paraId="7AC788CE" w14:textId="77777777" w:rsidR="00136528" w:rsidRPr="00136528" w:rsidRDefault="00136528" w:rsidP="0088078C">
      <w:pPr>
        <w:ind w:left="3600"/>
        <w:rPr>
          <w:sz w:val="24"/>
          <w:szCs w:val="24"/>
        </w:rPr>
      </w:pPr>
    </w:p>
    <w:p w14:paraId="53D839C6" w14:textId="77777777" w:rsidR="00136528" w:rsidRPr="00136528" w:rsidRDefault="00136528" w:rsidP="0088078C">
      <w:pPr>
        <w:ind w:left="3600"/>
        <w:rPr>
          <w:sz w:val="24"/>
          <w:szCs w:val="24"/>
        </w:rPr>
      </w:pPr>
      <w:r w:rsidRPr="00136528">
        <w:rPr>
          <w:sz w:val="24"/>
          <w:szCs w:val="24"/>
        </w:rPr>
        <w:tab/>
      </w:r>
      <w:r w:rsidRPr="00136528">
        <w:rPr>
          <w:sz w:val="24"/>
          <w:szCs w:val="24"/>
        </w:rPr>
        <w:tab/>
      </w:r>
      <w:r w:rsidRPr="00136528">
        <w:rPr>
          <w:sz w:val="24"/>
          <w:szCs w:val="24"/>
        </w:rPr>
        <w:tab/>
        <w:t>Rosemary Chiavetta</w:t>
      </w:r>
    </w:p>
    <w:p w14:paraId="292D5359" w14:textId="77777777" w:rsidR="00136528" w:rsidRPr="00136528" w:rsidRDefault="00136528" w:rsidP="0088078C">
      <w:pPr>
        <w:ind w:left="3600"/>
        <w:rPr>
          <w:sz w:val="24"/>
          <w:szCs w:val="24"/>
        </w:rPr>
      </w:pPr>
      <w:r w:rsidRPr="00136528">
        <w:rPr>
          <w:sz w:val="24"/>
          <w:szCs w:val="24"/>
        </w:rPr>
        <w:tab/>
      </w:r>
      <w:r w:rsidRPr="00136528">
        <w:rPr>
          <w:sz w:val="24"/>
          <w:szCs w:val="24"/>
        </w:rPr>
        <w:tab/>
      </w:r>
      <w:r w:rsidRPr="00136528">
        <w:rPr>
          <w:sz w:val="24"/>
          <w:szCs w:val="24"/>
        </w:rPr>
        <w:tab/>
        <w:t>Secretary</w:t>
      </w:r>
    </w:p>
    <w:p w14:paraId="4AE33ED2" w14:textId="77777777" w:rsidR="00136528" w:rsidRPr="00136528" w:rsidRDefault="00136528" w:rsidP="00136528">
      <w:pPr>
        <w:rPr>
          <w:sz w:val="24"/>
          <w:szCs w:val="24"/>
        </w:rPr>
      </w:pPr>
    </w:p>
    <w:p w14:paraId="0AEDCEB1" w14:textId="77777777" w:rsidR="00136528" w:rsidRPr="00136528" w:rsidRDefault="00136528" w:rsidP="00136528">
      <w:pPr>
        <w:rPr>
          <w:sz w:val="24"/>
          <w:szCs w:val="24"/>
        </w:rPr>
      </w:pPr>
    </w:p>
    <w:p w14:paraId="601F0BF4" w14:textId="77777777" w:rsidR="00136528" w:rsidRPr="00136528" w:rsidRDefault="00136528" w:rsidP="00136528">
      <w:pPr>
        <w:rPr>
          <w:sz w:val="24"/>
          <w:szCs w:val="24"/>
        </w:rPr>
      </w:pPr>
      <w:r w:rsidRPr="00136528">
        <w:rPr>
          <w:sz w:val="24"/>
          <w:szCs w:val="24"/>
        </w:rPr>
        <w:t>cc:</w:t>
      </w:r>
      <w:r w:rsidRPr="00136528">
        <w:rPr>
          <w:sz w:val="24"/>
          <w:szCs w:val="24"/>
        </w:rPr>
        <w:tab/>
        <w:t>Parties of Record</w:t>
      </w:r>
    </w:p>
    <w:p w14:paraId="3957CB9F" w14:textId="77777777" w:rsidR="000661A0" w:rsidRPr="008D2EEA" w:rsidRDefault="000661A0" w:rsidP="0091115D">
      <w:pPr>
        <w:rPr>
          <w:sz w:val="26"/>
          <w:szCs w:val="26"/>
        </w:rPr>
      </w:pPr>
    </w:p>
    <w:sectPr w:rsidR="000661A0" w:rsidRPr="008D2EEA" w:rsidSect="001C34D1">
      <w:footerReference w:type="even" r:id="rId12"/>
      <w:footerReference w:type="default" r:id="rId13"/>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059C8" w14:textId="77777777" w:rsidR="0037727D" w:rsidRDefault="0037727D">
      <w:r>
        <w:separator/>
      </w:r>
    </w:p>
  </w:endnote>
  <w:endnote w:type="continuationSeparator" w:id="0">
    <w:p w14:paraId="6F5EB822" w14:textId="77777777" w:rsidR="0037727D" w:rsidRDefault="0037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219443"/>
      <w:docPartObj>
        <w:docPartGallery w:val="Page Numbers (Bottom of Page)"/>
        <w:docPartUnique/>
      </w:docPartObj>
    </w:sdtPr>
    <w:sdtEndPr>
      <w:rPr>
        <w:noProof/>
      </w:rPr>
    </w:sdtEndPr>
    <w:sdtContent>
      <w:p w14:paraId="21F9AE5D" w14:textId="40B16042" w:rsidR="00302AE9" w:rsidRDefault="00302A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4122E4" w14:textId="77777777" w:rsidR="00302AE9" w:rsidRDefault="00302A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C62B" w14:textId="77777777" w:rsidR="009E40EC" w:rsidRDefault="00D24C04">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9E40EC">
      <w:rPr>
        <w:rStyle w:val="PageNumber"/>
        <w:noProof/>
      </w:rPr>
      <w:t>2</w:t>
    </w:r>
    <w:r>
      <w:rPr>
        <w:rStyle w:val="PageNumber"/>
      </w:rPr>
      <w:fldChar w:fldCharType="end"/>
    </w:r>
  </w:p>
  <w:p w14:paraId="30205183" w14:textId="77777777" w:rsidR="009E40EC" w:rsidRDefault="009E40E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8F6C" w14:textId="77777777" w:rsidR="009E40EC" w:rsidRDefault="009E40EC">
    <w:pPr>
      <w:pStyle w:val="Footer"/>
      <w:framePr w:wrap="around" w:vAnchor="text" w:hAnchor="margin" w:xAlign="center" w:y="1"/>
      <w:rPr>
        <w:rStyle w:val="PageNumber"/>
      </w:rPr>
    </w:pPr>
  </w:p>
  <w:p w14:paraId="7AA51BFD" w14:textId="77777777" w:rsidR="009E40EC" w:rsidRDefault="009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09B00" w14:textId="77777777" w:rsidR="0037727D" w:rsidRDefault="0037727D">
      <w:r>
        <w:separator/>
      </w:r>
    </w:p>
  </w:footnote>
  <w:footnote w:type="continuationSeparator" w:id="0">
    <w:p w14:paraId="06FC8783" w14:textId="77777777" w:rsidR="0037727D" w:rsidRDefault="00377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30A1E"/>
    <w:rsid w:val="000377B1"/>
    <w:rsid w:val="0006058D"/>
    <w:rsid w:val="000661A0"/>
    <w:rsid w:val="00067F4D"/>
    <w:rsid w:val="000846F6"/>
    <w:rsid w:val="000B449D"/>
    <w:rsid w:val="000C0721"/>
    <w:rsid w:val="000C718C"/>
    <w:rsid w:val="000E3958"/>
    <w:rsid w:val="000E7FB5"/>
    <w:rsid w:val="001209F1"/>
    <w:rsid w:val="00125446"/>
    <w:rsid w:val="00134DA3"/>
    <w:rsid w:val="00136528"/>
    <w:rsid w:val="0013719C"/>
    <w:rsid w:val="001614F4"/>
    <w:rsid w:val="00186176"/>
    <w:rsid w:val="001A3788"/>
    <w:rsid w:val="001C34D1"/>
    <w:rsid w:val="001D37A3"/>
    <w:rsid w:val="001E1BF3"/>
    <w:rsid w:val="002221F4"/>
    <w:rsid w:val="002229C3"/>
    <w:rsid w:val="0022598F"/>
    <w:rsid w:val="00272AC3"/>
    <w:rsid w:val="00275029"/>
    <w:rsid w:val="0029471C"/>
    <w:rsid w:val="002A6DAF"/>
    <w:rsid w:val="002E0E41"/>
    <w:rsid w:val="002E4A14"/>
    <w:rsid w:val="002F0138"/>
    <w:rsid w:val="002F2A55"/>
    <w:rsid w:val="002F55B1"/>
    <w:rsid w:val="00302105"/>
    <w:rsid w:val="00302AE9"/>
    <w:rsid w:val="003074C3"/>
    <w:rsid w:val="00340F5E"/>
    <w:rsid w:val="003569E8"/>
    <w:rsid w:val="003679F8"/>
    <w:rsid w:val="00372134"/>
    <w:rsid w:val="0037727D"/>
    <w:rsid w:val="00385CA5"/>
    <w:rsid w:val="00474D6A"/>
    <w:rsid w:val="004C090E"/>
    <w:rsid w:val="004C4A5A"/>
    <w:rsid w:val="004D2698"/>
    <w:rsid w:val="004D57EC"/>
    <w:rsid w:val="0051639C"/>
    <w:rsid w:val="0053189B"/>
    <w:rsid w:val="005741E3"/>
    <w:rsid w:val="005E25C5"/>
    <w:rsid w:val="00602685"/>
    <w:rsid w:val="006439A8"/>
    <w:rsid w:val="006755C0"/>
    <w:rsid w:val="00685561"/>
    <w:rsid w:val="0071154F"/>
    <w:rsid w:val="0071271A"/>
    <w:rsid w:val="00717C2B"/>
    <w:rsid w:val="007371E7"/>
    <w:rsid w:val="007617B1"/>
    <w:rsid w:val="00794CF5"/>
    <w:rsid w:val="007A1B62"/>
    <w:rsid w:val="007A69A2"/>
    <w:rsid w:val="007C085F"/>
    <w:rsid w:val="007C0C16"/>
    <w:rsid w:val="007F7263"/>
    <w:rsid w:val="0081537D"/>
    <w:rsid w:val="00855764"/>
    <w:rsid w:val="008750DB"/>
    <w:rsid w:val="0088078C"/>
    <w:rsid w:val="0088179E"/>
    <w:rsid w:val="008A1365"/>
    <w:rsid w:val="008C0F73"/>
    <w:rsid w:val="008D2EEA"/>
    <w:rsid w:val="008D3254"/>
    <w:rsid w:val="00900881"/>
    <w:rsid w:val="0091115D"/>
    <w:rsid w:val="00934FA1"/>
    <w:rsid w:val="00937AC0"/>
    <w:rsid w:val="009833D1"/>
    <w:rsid w:val="009A2860"/>
    <w:rsid w:val="009B23D8"/>
    <w:rsid w:val="009C2DDA"/>
    <w:rsid w:val="009C5DC4"/>
    <w:rsid w:val="009E40EC"/>
    <w:rsid w:val="009F5F66"/>
    <w:rsid w:val="00A14087"/>
    <w:rsid w:val="00A16325"/>
    <w:rsid w:val="00A26D82"/>
    <w:rsid w:val="00A35F64"/>
    <w:rsid w:val="00A53EAC"/>
    <w:rsid w:val="00A81E4B"/>
    <w:rsid w:val="00AA12A9"/>
    <w:rsid w:val="00AB795C"/>
    <w:rsid w:val="00AD71A4"/>
    <w:rsid w:val="00B05141"/>
    <w:rsid w:val="00B64EDB"/>
    <w:rsid w:val="00B659CF"/>
    <w:rsid w:val="00B75046"/>
    <w:rsid w:val="00B85CB0"/>
    <w:rsid w:val="00BE47D7"/>
    <w:rsid w:val="00BE4A72"/>
    <w:rsid w:val="00BE5119"/>
    <w:rsid w:val="00BE6D93"/>
    <w:rsid w:val="00C64ED9"/>
    <w:rsid w:val="00C74A51"/>
    <w:rsid w:val="00C77F29"/>
    <w:rsid w:val="00C90506"/>
    <w:rsid w:val="00C91484"/>
    <w:rsid w:val="00CB5738"/>
    <w:rsid w:val="00CF047C"/>
    <w:rsid w:val="00CF290E"/>
    <w:rsid w:val="00D063AD"/>
    <w:rsid w:val="00D17E4A"/>
    <w:rsid w:val="00D2288A"/>
    <w:rsid w:val="00D24C04"/>
    <w:rsid w:val="00D365AD"/>
    <w:rsid w:val="00D4351D"/>
    <w:rsid w:val="00D725FE"/>
    <w:rsid w:val="00D901A3"/>
    <w:rsid w:val="00DA63EF"/>
    <w:rsid w:val="00DD678C"/>
    <w:rsid w:val="00DE3F29"/>
    <w:rsid w:val="00E24D3E"/>
    <w:rsid w:val="00E349DA"/>
    <w:rsid w:val="00EB4DF4"/>
    <w:rsid w:val="00EF5F20"/>
    <w:rsid w:val="00F001A3"/>
    <w:rsid w:val="00F43AE4"/>
    <w:rsid w:val="00F7094C"/>
    <w:rsid w:val="00F90146"/>
    <w:rsid w:val="00FA0E37"/>
    <w:rsid w:val="00FB0217"/>
    <w:rsid w:val="00FB61E7"/>
    <w:rsid w:val="00FF230F"/>
    <w:rsid w:val="00FF6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F8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uiPriority w:val="99"/>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customStyle="1" w:styleId="FooterChar">
    <w:name w:val="Footer Char"/>
    <w:basedOn w:val="DefaultParagraphFont"/>
    <w:link w:val="Footer"/>
    <w:uiPriority w:val="99"/>
    <w:rsid w:val="00302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1999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2021-10-13T17:20:00Z</dcterms:created>
  <dcterms:modified xsi:type="dcterms:W3CDTF">2021-10-13T17:20:00Z</dcterms:modified>
</cp:coreProperties>
</file>