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01F6" w14:textId="77777777" w:rsidR="00285156" w:rsidRPr="005A5113" w:rsidRDefault="00285156" w:rsidP="00B91634">
      <w:pPr>
        <w:jc w:val="right"/>
        <w:rPr>
          <w:color w:val="000000" w:themeColor="text1"/>
          <w:sz w:val="26"/>
          <w:szCs w:val="26"/>
        </w:rPr>
      </w:pPr>
    </w:p>
    <w:p w14:paraId="3A004602" w14:textId="5CA0D981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Docket No. </w:t>
      </w:r>
      <w:r w:rsidR="00EB025E">
        <w:rPr>
          <w:color w:val="000000" w:themeColor="text1"/>
          <w:sz w:val="26"/>
          <w:szCs w:val="26"/>
        </w:rPr>
        <w:t>R</w:t>
      </w:r>
      <w:r w:rsidR="00FB73CB">
        <w:rPr>
          <w:color w:val="000000" w:themeColor="text1"/>
          <w:sz w:val="26"/>
          <w:szCs w:val="26"/>
        </w:rPr>
        <w:t>-2021-3027406</w:t>
      </w:r>
    </w:p>
    <w:p w14:paraId="378A8A73" w14:textId="1D3F9476" w:rsidR="007C3B73" w:rsidRPr="005A5113" w:rsidRDefault="007C3B73" w:rsidP="007C3B73">
      <w:pPr>
        <w:jc w:val="right"/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Utility Code: </w:t>
      </w:r>
      <w:r w:rsidR="00577C9F">
        <w:rPr>
          <w:color w:val="000000" w:themeColor="text1"/>
          <w:sz w:val="26"/>
          <w:szCs w:val="26"/>
        </w:rPr>
        <w:t>121850</w:t>
      </w:r>
    </w:p>
    <w:p w14:paraId="58EE41CE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475F687B" w14:textId="0CB1C3B0" w:rsidR="007C3B73" w:rsidRPr="005A5113" w:rsidRDefault="008D19C8" w:rsidP="007C3B73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Anthony</w:t>
      </w:r>
      <w:r w:rsidR="00D44E85">
        <w:rPr>
          <w:color w:val="000000" w:themeColor="text1"/>
          <w:sz w:val="26"/>
          <w:szCs w:val="26"/>
        </w:rPr>
        <w:t xml:space="preserve"> D. Kanagy</w:t>
      </w:r>
    </w:p>
    <w:p w14:paraId="32381F0F" w14:textId="576BF32D" w:rsidR="007C3B73" w:rsidRPr="005A5113" w:rsidRDefault="00D44E85" w:rsidP="007C3B73">
      <w:pPr>
        <w:rPr>
          <w:sz w:val="26"/>
          <w:szCs w:val="26"/>
        </w:rPr>
      </w:pPr>
      <w:r>
        <w:rPr>
          <w:sz w:val="26"/>
          <w:szCs w:val="26"/>
        </w:rPr>
        <w:t>Post &amp; Schell P.C.</w:t>
      </w:r>
    </w:p>
    <w:p w14:paraId="2E0C5D44" w14:textId="6129C2A5" w:rsidR="007C3B73" w:rsidRDefault="00D44E85" w:rsidP="007C3B73">
      <w:pPr>
        <w:rPr>
          <w:sz w:val="26"/>
          <w:szCs w:val="26"/>
        </w:rPr>
      </w:pPr>
      <w:r>
        <w:rPr>
          <w:sz w:val="26"/>
          <w:szCs w:val="26"/>
        </w:rPr>
        <w:t>17 North Second Street</w:t>
      </w:r>
      <w:r w:rsidR="009E27C6">
        <w:rPr>
          <w:sz w:val="26"/>
          <w:szCs w:val="26"/>
        </w:rPr>
        <w:t xml:space="preserve"> 12</w:t>
      </w:r>
      <w:r w:rsidR="009E27C6" w:rsidRPr="009E27C6">
        <w:rPr>
          <w:sz w:val="26"/>
          <w:szCs w:val="26"/>
          <w:vertAlign w:val="superscript"/>
        </w:rPr>
        <w:t>th</w:t>
      </w:r>
      <w:r w:rsidR="009E27C6">
        <w:rPr>
          <w:sz w:val="26"/>
          <w:szCs w:val="26"/>
        </w:rPr>
        <w:t xml:space="preserve"> Floor</w:t>
      </w:r>
    </w:p>
    <w:p w14:paraId="1A1D17AC" w14:textId="71E3B5A7" w:rsidR="009E27C6" w:rsidRPr="005A5113" w:rsidRDefault="009E27C6" w:rsidP="007C3B73">
      <w:pPr>
        <w:rPr>
          <w:sz w:val="26"/>
          <w:szCs w:val="26"/>
        </w:rPr>
      </w:pPr>
      <w:r>
        <w:rPr>
          <w:sz w:val="26"/>
          <w:szCs w:val="26"/>
        </w:rPr>
        <w:t>Harrisburg, PA  17101-1601</w:t>
      </w:r>
    </w:p>
    <w:p w14:paraId="2B62B2E0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4E2E977D" w14:textId="67117FFF" w:rsidR="005B09FD" w:rsidRPr="005A5113" w:rsidRDefault="005B09FD" w:rsidP="005B09FD">
      <w:pPr>
        <w:rPr>
          <w:color w:val="000000" w:themeColor="text1"/>
          <w:sz w:val="26"/>
          <w:szCs w:val="26"/>
        </w:rPr>
      </w:pPr>
      <w:r w:rsidRPr="005A5113">
        <w:rPr>
          <w:color w:val="000000" w:themeColor="text1"/>
          <w:sz w:val="26"/>
          <w:szCs w:val="26"/>
        </w:rPr>
        <w:t xml:space="preserve">Re: </w:t>
      </w:r>
      <w:r w:rsidR="0032400D">
        <w:rPr>
          <w:color w:val="000000" w:themeColor="text1"/>
          <w:sz w:val="26"/>
          <w:szCs w:val="26"/>
        </w:rPr>
        <w:t xml:space="preserve">National Fuel Gas Distribution Corporation </w:t>
      </w:r>
      <w:bookmarkStart w:id="0" w:name="_Hlk85621216"/>
      <w:r w:rsidR="001C5B97">
        <w:rPr>
          <w:color w:val="000000" w:themeColor="text1"/>
          <w:sz w:val="26"/>
          <w:szCs w:val="26"/>
        </w:rPr>
        <w:t>Supplement No. 232 to Tariff Gas – Pa. P.U.C. No. 9</w:t>
      </w:r>
      <w:bookmarkEnd w:id="0"/>
      <w:r w:rsidRPr="005A5113">
        <w:rPr>
          <w:color w:val="000000" w:themeColor="text1"/>
          <w:sz w:val="26"/>
          <w:szCs w:val="26"/>
        </w:rPr>
        <w:t xml:space="preserve"> </w:t>
      </w:r>
    </w:p>
    <w:p w14:paraId="1862EBAF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25F85CE9" w14:textId="70D0BDC2" w:rsidR="007C3B73" w:rsidRPr="005A5113" w:rsidRDefault="007C3B73" w:rsidP="007C3B73">
      <w:pPr>
        <w:rPr>
          <w:color w:val="000000" w:themeColor="text1"/>
          <w:sz w:val="26"/>
          <w:szCs w:val="26"/>
        </w:rPr>
      </w:pPr>
      <w:bookmarkStart w:id="1" w:name="_Hlk532204435"/>
      <w:r w:rsidRPr="005A5113">
        <w:rPr>
          <w:color w:val="000000" w:themeColor="text1"/>
          <w:sz w:val="26"/>
          <w:szCs w:val="26"/>
        </w:rPr>
        <w:t xml:space="preserve">Dear </w:t>
      </w:r>
      <w:r w:rsidR="003401BF">
        <w:rPr>
          <w:color w:val="000000" w:themeColor="text1"/>
          <w:sz w:val="26"/>
          <w:szCs w:val="26"/>
        </w:rPr>
        <w:t>Mr. Kanagy</w:t>
      </w:r>
      <w:r w:rsidRPr="005A5113">
        <w:rPr>
          <w:color w:val="000000" w:themeColor="text1"/>
          <w:sz w:val="26"/>
          <w:szCs w:val="26"/>
        </w:rPr>
        <w:t>:</w:t>
      </w:r>
    </w:p>
    <w:bookmarkEnd w:id="1"/>
    <w:p w14:paraId="4411234C" w14:textId="77777777" w:rsidR="007C3B73" w:rsidRPr="005A5113" w:rsidRDefault="007C3B73" w:rsidP="007C3B73">
      <w:pPr>
        <w:rPr>
          <w:color w:val="000000" w:themeColor="text1"/>
          <w:sz w:val="26"/>
          <w:szCs w:val="26"/>
        </w:rPr>
      </w:pPr>
    </w:p>
    <w:p w14:paraId="6919308D" w14:textId="5C39D85B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 xml:space="preserve">On </w:t>
      </w:r>
      <w:r w:rsidR="003401BF">
        <w:rPr>
          <w:sz w:val="26"/>
          <w:szCs w:val="26"/>
        </w:rPr>
        <w:t>September 30, 2021</w:t>
      </w:r>
      <w:r w:rsidR="005553D3" w:rsidRPr="005A5113">
        <w:rPr>
          <w:sz w:val="26"/>
          <w:szCs w:val="26"/>
        </w:rPr>
        <w:t xml:space="preserve">, </w:t>
      </w:r>
      <w:r w:rsidR="00DD44CE" w:rsidRPr="00DD44CE">
        <w:rPr>
          <w:sz w:val="26"/>
          <w:szCs w:val="26"/>
        </w:rPr>
        <w:t>National Fuel Gas Distribution Corporation</w:t>
      </w:r>
      <w:r w:rsidR="002122BB" w:rsidRPr="005A5113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>(</w:t>
      </w:r>
      <w:r w:rsidR="00772AE7">
        <w:rPr>
          <w:sz w:val="26"/>
          <w:szCs w:val="26"/>
        </w:rPr>
        <w:t xml:space="preserve">the </w:t>
      </w:r>
      <w:r w:rsidRPr="005A5113">
        <w:rPr>
          <w:sz w:val="26"/>
          <w:szCs w:val="26"/>
        </w:rPr>
        <w:t xml:space="preserve">Company) filed </w:t>
      </w:r>
      <w:r w:rsidR="00DD44CE" w:rsidRPr="00DD44CE">
        <w:rPr>
          <w:sz w:val="26"/>
          <w:szCs w:val="26"/>
        </w:rPr>
        <w:t>Supplement No. 232 to Tariff Gas – Pa. P.U.C. No. 9</w:t>
      </w:r>
      <w:r w:rsidR="005553D3" w:rsidRPr="005A5113">
        <w:rPr>
          <w:sz w:val="26"/>
          <w:szCs w:val="26"/>
        </w:rPr>
        <w:t xml:space="preserve"> </w:t>
      </w:r>
      <w:r w:rsidR="00613C62" w:rsidRPr="00613C62">
        <w:rPr>
          <w:sz w:val="26"/>
          <w:szCs w:val="26"/>
        </w:rPr>
        <w:t>in compliance with the Commission’s Order entered September 15, 2021</w:t>
      </w:r>
      <w:r w:rsidR="0011380E">
        <w:rPr>
          <w:sz w:val="26"/>
          <w:szCs w:val="26"/>
        </w:rPr>
        <w:t>,</w:t>
      </w:r>
      <w:r w:rsidR="00C47C93">
        <w:rPr>
          <w:sz w:val="26"/>
          <w:szCs w:val="26"/>
        </w:rPr>
        <w:t xml:space="preserve"> </w:t>
      </w:r>
      <w:r w:rsidR="00613C62" w:rsidRPr="00613C62">
        <w:rPr>
          <w:sz w:val="26"/>
          <w:szCs w:val="26"/>
        </w:rPr>
        <w:t>at the above docket.</w:t>
      </w:r>
      <w:r w:rsidR="00613C62">
        <w:rPr>
          <w:sz w:val="26"/>
          <w:szCs w:val="26"/>
        </w:rPr>
        <w:t xml:space="preserve">  </w:t>
      </w:r>
      <w:r w:rsidR="0011380E" w:rsidRPr="00DD44CE">
        <w:rPr>
          <w:sz w:val="26"/>
          <w:szCs w:val="26"/>
        </w:rPr>
        <w:t>Supplement No. 232</w:t>
      </w:r>
      <w:r w:rsidR="0011380E">
        <w:rPr>
          <w:sz w:val="26"/>
          <w:szCs w:val="26"/>
        </w:rPr>
        <w:t xml:space="preserve">, </w:t>
      </w:r>
      <w:r w:rsidR="0011380E" w:rsidRPr="005A5113">
        <w:rPr>
          <w:sz w:val="26"/>
          <w:szCs w:val="26"/>
        </w:rPr>
        <w:t xml:space="preserve">effective on </w:t>
      </w:r>
      <w:r w:rsidR="0011380E">
        <w:rPr>
          <w:sz w:val="26"/>
          <w:szCs w:val="26"/>
        </w:rPr>
        <w:t>October 1, 2021,</w:t>
      </w:r>
      <w:r w:rsidR="0011380E" w:rsidRPr="00DD44CE">
        <w:rPr>
          <w:sz w:val="26"/>
          <w:szCs w:val="26"/>
        </w:rPr>
        <w:t xml:space="preserve"> </w:t>
      </w:r>
      <w:r w:rsidR="00677C17">
        <w:rPr>
          <w:sz w:val="26"/>
          <w:szCs w:val="26"/>
        </w:rPr>
        <w:t xml:space="preserve">incorporates </w:t>
      </w:r>
      <w:r w:rsidR="00DB4904">
        <w:rPr>
          <w:sz w:val="26"/>
          <w:szCs w:val="26"/>
        </w:rPr>
        <w:t xml:space="preserve">the </w:t>
      </w:r>
      <w:r w:rsidR="00320DFB">
        <w:rPr>
          <w:sz w:val="26"/>
          <w:szCs w:val="26"/>
        </w:rPr>
        <w:t xml:space="preserve">changes </w:t>
      </w:r>
      <w:r w:rsidR="00482762">
        <w:rPr>
          <w:sz w:val="26"/>
          <w:szCs w:val="26"/>
        </w:rPr>
        <w:t>approved in Supplement No. 228</w:t>
      </w:r>
      <w:r w:rsidR="002E73CE">
        <w:rPr>
          <w:sz w:val="26"/>
          <w:szCs w:val="26"/>
        </w:rPr>
        <w:t xml:space="preserve">, </w:t>
      </w:r>
      <w:r w:rsidR="00893382">
        <w:rPr>
          <w:sz w:val="26"/>
          <w:szCs w:val="26"/>
        </w:rPr>
        <w:t xml:space="preserve">corrects a minor error in the calculation of the sur-credit rates, and </w:t>
      </w:r>
      <w:r w:rsidR="007E56E7">
        <w:rPr>
          <w:sz w:val="26"/>
          <w:szCs w:val="26"/>
        </w:rPr>
        <w:t>incorporate</w:t>
      </w:r>
      <w:r w:rsidR="00893382">
        <w:rPr>
          <w:sz w:val="26"/>
          <w:szCs w:val="26"/>
        </w:rPr>
        <w:t xml:space="preserve">s the gas cost </w:t>
      </w:r>
      <w:r w:rsidR="00A81C16">
        <w:rPr>
          <w:sz w:val="26"/>
          <w:szCs w:val="26"/>
        </w:rPr>
        <w:t xml:space="preserve">changes </w:t>
      </w:r>
      <w:r w:rsidR="00E46842">
        <w:rPr>
          <w:sz w:val="26"/>
          <w:szCs w:val="26"/>
        </w:rPr>
        <w:t xml:space="preserve">that were effective </w:t>
      </w:r>
      <w:r w:rsidR="008C55C3">
        <w:rPr>
          <w:sz w:val="26"/>
          <w:szCs w:val="26"/>
        </w:rPr>
        <w:t>August 1, 2021</w:t>
      </w:r>
      <w:r w:rsidR="005553D3" w:rsidRPr="005A5113">
        <w:rPr>
          <w:sz w:val="26"/>
          <w:szCs w:val="26"/>
        </w:rPr>
        <w:t xml:space="preserve">.  </w:t>
      </w:r>
    </w:p>
    <w:p w14:paraId="06687C99" w14:textId="77777777" w:rsidR="00285156" w:rsidRPr="005A5113" w:rsidRDefault="00285156" w:rsidP="00285156">
      <w:pPr>
        <w:rPr>
          <w:sz w:val="26"/>
          <w:szCs w:val="26"/>
        </w:rPr>
      </w:pPr>
    </w:p>
    <w:p w14:paraId="7180B838" w14:textId="0190C62E" w:rsidR="00285156" w:rsidRPr="005A5113" w:rsidRDefault="00285156" w:rsidP="00285156">
      <w:pPr>
        <w:rPr>
          <w:sz w:val="26"/>
          <w:szCs w:val="26"/>
        </w:rPr>
      </w:pPr>
      <w:r w:rsidRPr="005A5113">
        <w:rPr>
          <w:sz w:val="26"/>
          <w:szCs w:val="26"/>
        </w:rPr>
        <w:tab/>
        <w:t>Commission Staff has reviewed the tariff revisions and found that suspension or further investig</w:t>
      </w:r>
      <w:r w:rsidR="005553D3" w:rsidRPr="005A5113">
        <w:rPr>
          <w:sz w:val="26"/>
          <w:szCs w:val="26"/>
        </w:rPr>
        <w:t xml:space="preserve">ation does not appear warranted </w:t>
      </w:r>
      <w:r w:rsidRPr="005A5113">
        <w:rPr>
          <w:sz w:val="26"/>
          <w:szCs w:val="26"/>
        </w:rPr>
        <w:t xml:space="preserve">at this time.  Therefore, in accordance with 52 Pa. Code </w:t>
      </w:r>
      <w:r w:rsidR="006772B7" w:rsidRPr="005A5113">
        <w:rPr>
          <w:sz w:val="26"/>
          <w:szCs w:val="26"/>
        </w:rPr>
        <w:t xml:space="preserve">Chapter 53, </w:t>
      </w:r>
      <w:r w:rsidR="008C55C3" w:rsidRPr="008C55C3">
        <w:rPr>
          <w:sz w:val="26"/>
          <w:szCs w:val="26"/>
        </w:rPr>
        <w:t>Supplement No. 232 to Tariff Gas – Pa. P.U.C. No. 9</w:t>
      </w:r>
      <w:r w:rsidR="005553D3" w:rsidRPr="005A5113">
        <w:rPr>
          <w:sz w:val="26"/>
          <w:szCs w:val="26"/>
        </w:rPr>
        <w:t xml:space="preserve"> </w:t>
      </w:r>
      <w:r w:rsidRPr="005A5113">
        <w:rPr>
          <w:sz w:val="26"/>
          <w:szCs w:val="26"/>
        </w:rPr>
        <w:t>is effective by operation of law</w:t>
      </w:r>
      <w:r w:rsidR="00B43C74" w:rsidRPr="005A5113">
        <w:rPr>
          <w:sz w:val="26"/>
          <w:szCs w:val="26"/>
        </w:rPr>
        <w:t xml:space="preserve"> as of</w:t>
      </w:r>
      <w:r w:rsidRPr="005A5113">
        <w:rPr>
          <w:sz w:val="26"/>
          <w:szCs w:val="26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5A5113" w:rsidRDefault="00285156" w:rsidP="00285156">
      <w:pPr>
        <w:rPr>
          <w:sz w:val="26"/>
          <w:szCs w:val="26"/>
        </w:rPr>
      </w:pPr>
    </w:p>
    <w:p w14:paraId="505036E6" w14:textId="179C3C19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="00D62F8D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7" w:history="1">
        <w:r w:rsidR="00D62F8D">
          <w:rPr>
            <w:rStyle w:val="Hyperlink"/>
            <w:sz w:val="26"/>
            <w:szCs w:val="26"/>
          </w:rPr>
          <w:t>maboyle@pa.gov</w:t>
        </w:r>
      </w:hyperlink>
      <w:r w:rsidR="00D62F8D">
        <w:rPr>
          <w:sz w:val="26"/>
          <w:szCs w:val="26"/>
        </w:rPr>
        <w:t>.</w:t>
      </w:r>
    </w:p>
    <w:p w14:paraId="4CA52019" w14:textId="62A7896E" w:rsidR="001B2757" w:rsidRPr="005A5113" w:rsidRDefault="001B2757" w:rsidP="001B2757">
      <w:pPr>
        <w:rPr>
          <w:sz w:val="26"/>
          <w:szCs w:val="26"/>
        </w:rPr>
      </w:pPr>
      <w:r w:rsidRPr="005A5113">
        <w:rPr>
          <w:sz w:val="26"/>
          <w:szCs w:val="26"/>
        </w:rPr>
        <w:tab/>
      </w:r>
      <w:r w:rsidRPr="005A5113">
        <w:rPr>
          <w:sz w:val="26"/>
          <w:szCs w:val="26"/>
        </w:rPr>
        <w:tab/>
      </w:r>
    </w:p>
    <w:p w14:paraId="6B4944AF" w14:textId="57FE48EF" w:rsidR="00285156" w:rsidRDefault="00C87922" w:rsidP="00285156">
      <w:pPr>
        <w:rPr>
          <w:sz w:val="26"/>
          <w:szCs w:val="26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943BE52" wp14:editId="1668AFA2">
            <wp:simplePos x="0" y="0"/>
            <wp:positionH relativeFrom="column">
              <wp:posOffset>2571750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2" name="Picture 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  <w:t>Sincerely,</w:t>
      </w:r>
    </w:p>
    <w:p w14:paraId="53686875" w14:textId="36B9EF62" w:rsidR="00706D97" w:rsidRPr="005A5113" w:rsidRDefault="00706D97" w:rsidP="00285156">
      <w:pPr>
        <w:rPr>
          <w:sz w:val="26"/>
          <w:szCs w:val="26"/>
        </w:rPr>
      </w:pPr>
    </w:p>
    <w:p w14:paraId="4BDC15D4" w14:textId="1AE18028" w:rsidR="00C87922" w:rsidRDefault="00C87922" w:rsidP="00285156">
      <w:pPr>
        <w:rPr>
          <w:noProof/>
        </w:rPr>
      </w:pPr>
    </w:p>
    <w:p w14:paraId="536060FC" w14:textId="77777777" w:rsidR="00C87922" w:rsidRDefault="00C87922" w:rsidP="00285156">
      <w:pPr>
        <w:rPr>
          <w:noProof/>
        </w:rPr>
      </w:pPr>
    </w:p>
    <w:p w14:paraId="3DA2CD46" w14:textId="77777777" w:rsidR="00C87922" w:rsidRDefault="00C87922" w:rsidP="00285156">
      <w:pPr>
        <w:rPr>
          <w:noProof/>
        </w:rPr>
      </w:pPr>
    </w:p>
    <w:p w14:paraId="293DE702" w14:textId="7FE2894C" w:rsidR="00285156" w:rsidRPr="005A5113" w:rsidRDefault="00C87922" w:rsidP="00285156">
      <w:pPr>
        <w:rPr>
          <w:sz w:val="26"/>
          <w:szCs w:val="2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85156" w:rsidRPr="005A5113">
        <w:rPr>
          <w:sz w:val="26"/>
          <w:szCs w:val="26"/>
        </w:rPr>
        <w:tab/>
      </w:r>
      <w:r w:rsidR="00285156" w:rsidRPr="005A5113">
        <w:rPr>
          <w:sz w:val="26"/>
          <w:szCs w:val="26"/>
        </w:rPr>
        <w:tab/>
        <w:t>Rosemary Chiavetta</w:t>
      </w:r>
      <w:r w:rsidR="006859AC">
        <w:rPr>
          <w:sz w:val="26"/>
          <w:szCs w:val="26"/>
        </w:rPr>
        <w:t>, Secretary</w:t>
      </w:r>
    </w:p>
    <w:p w14:paraId="46D40B32" w14:textId="77777777" w:rsidR="00722527" w:rsidRPr="008F7A83" w:rsidRDefault="00722527" w:rsidP="00722527">
      <w:pPr>
        <w:rPr>
          <w:color w:val="000000" w:themeColor="text1"/>
          <w:szCs w:val="24"/>
        </w:rPr>
      </w:pPr>
    </w:p>
    <w:sectPr w:rsidR="00722527" w:rsidRPr="008F7A83" w:rsidSect="008B162F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C6EC" w14:textId="77777777" w:rsidR="00036888" w:rsidRDefault="00036888">
      <w:r>
        <w:separator/>
      </w:r>
    </w:p>
  </w:endnote>
  <w:endnote w:type="continuationSeparator" w:id="0">
    <w:p w14:paraId="65F7D701" w14:textId="77777777" w:rsidR="00036888" w:rsidRDefault="000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881B" w14:textId="77777777" w:rsidR="00036888" w:rsidRDefault="00036888">
      <w:r>
        <w:separator/>
      </w:r>
    </w:p>
  </w:footnote>
  <w:footnote w:type="continuationSeparator" w:id="0">
    <w:p w14:paraId="352BC927" w14:textId="77777777" w:rsidR="00036888" w:rsidRDefault="0003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4A0" w:firstRow="1" w:lastRow="0" w:firstColumn="1" w:lastColumn="0" w:noHBand="0" w:noVBand="1"/>
    </w:tblPr>
    <w:tblGrid>
      <w:gridCol w:w="2232"/>
      <w:gridCol w:w="7218"/>
      <w:gridCol w:w="1440"/>
    </w:tblGrid>
    <w:tr w:rsidR="000F3FFC" w14:paraId="3A6EF89A" w14:textId="77777777" w:rsidTr="000F3FFC">
      <w:trPr>
        <w:trHeight w:val="990"/>
      </w:trPr>
      <w:tc>
        <w:tcPr>
          <w:tcW w:w="2232" w:type="dxa"/>
          <w:hideMark/>
        </w:tcPr>
        <w:p w14:paraId="64EB6536" w14:textId="77777777" w:rsidR="000F3FFC" w:rsidRDefault="000F3FFC" w:rsidP="000F3FF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E43FA05" wp14:editId="20DB75FF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  <w:hideMark/>
        </w:tcPr>
        <w:p w14:paraId="3596C3CD" w14:textId="77777777" w:rsidR="000F3FFC" w:rsidRDefault="000F3FFC" w:rsidP="000F3FFC">
          <w:pPr>
            <w:suppressAutoHyphens/>
            <w:spacing w:line="204" w:lineRule="auto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73E25A9F" w14:textId="77777777" w:rsidR="000F3FFC" w:rsidRDefault="000F3FFC" w:rsidP="000F3FFC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DBB8D15" w14:textId="77777777" w:rsidR="000F3FFC" w:rsidRDefault="000F3FFC" w:rsidP="000F3FFC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2F203A44" w14:textId="77777777" w:rsidR="000F3FFC" w:rsidRDefault="000F3FFC" w:rsidP="000F3FFC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0268222A" w14:textId="77777777" w:rsidR="000F3FFC" w:rsidRDefault="000F3FFC" w:rsidP="000F3FFC">
          <w:pPr>
            <w:jc w:val="center"/>
            <w:rPr>
              <w:rFonts w:ascii="Arial" w:hAnsi="Arial"/>
              <w:sz w:val="12"/>
            </w:rPr>
          </w:pPr>
          <w:r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FF36877" w14:textId="77777777" w:rsidR="000F3FFC" w:rsidRDefault="000F3FFC" w:rsidP="000F3FFC">
          <w:pPr>
            <w:rPr>
              <w:rFonts w:ascii="Arial" w:hAnsi="Arial"/>
              <w:sz w:val="12"/>
            </w:rPr>
          </w:pPr>
        </w:p>
        <w:p w14:paraId="67FB9ACF" w14:textId="77777777" w:rsidR="000F3FFC" w:rsidRDefault="000F3FFC" w:rsidP="000F3FFC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ED03EFE" w14:textId="77777777" w:rsidR="000F3FFC" w:rsidRDefault="000F3F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36888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2FF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3FFC"/>
    <w:rsid w:val="000F4066"/>
    <w:rsid w:val="00106A5D"/>
    <w:rsid w:val="0011013E"/>
    <w:rsid w:val="0011380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66FAF"/>
    <w:rsid w:val="0017540A"/>
    <w:rsid w:val="0017760B"/>
    <w:rsid w:val="00180CFB"/>
    <w:rsid w:val="0018720B"/>
    <w:rsid w:val="00191FE1"/>
    <w:rsid w:val="001A1A45"/>
    <w:rsid w:val="001A2153"/>
    <w:rsid w:val="001A2FBB"/>
    <w:rsid w:val="001B2757"/>
    <w:rsid w:val="001B4A58"/>
    <w:rsid w:val="001B63A0"/>
    <w:rsid w:val="001C5B97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E73CE"/>
    <w:rsid w:val="002F1221"/>
    <w:rsid w:val="002F1645"/>
    <w:rsid w:val="002F2CF3"/>
    <w:rsid w:val="00302A0E"/>
    <w:rsid w:val="00302CBB"/>
    <w:rsid w:val="00303F21"/>
    <w:rsid w:val="003107D6"/>
    <w:rsid w:val="00320DFB"/>
    <w:rsid w:val="003212C6"/>
    <w:rsid w:val="00323D97"/>
    <w:rsid w:val="0032400D"/>
    <w:rsid w:val="0032466A"/>
    <w:rsid w:val="003278D9"/>
    <w:rsid w:val="00331BA5"/>
    <w:rsid w:val="00332B99"/>
    <w:rsid w:val="0033489B"/>
    <w:rsid w:val="00335473"/>
    <w:rsid w:val="003401BF"/>
    <w:rsid w:val="003437D2"/>
    <w:rsid w:val="0034777A"/>
    <w:rsid w:val="00352AFA"/>
    <w:rsid w:val="00353843"/>
    <w:rsid w:val="00373626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2762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77C9F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5F46E2"/>
    <w:rsid w:val="00600756"/>
    <w:rsid w:val="006011EB"/>
    <w:rsid w:val="00613C62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77C17"/>
    <w:rsid w:val="006859AC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06D97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C5897"/>
    <w:rsid w:val="007D0340"/>
    <w:rsid w:val="007D34C6"/>
    <w:rsid w:val="007E4329"/>
    <w:rsid w:val="007E56E7"/>
    <w:rsid w:val="007F077E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3382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1258"/>
    <w:rsid w:val="008C2E2F"/>
    <w:rsid w:val="008C37D1"/>
    <w:rsid w:val="008C55C3"/>
    <w:rsid w:val="008C5915"/>
    <w:rsid w:val="008D19C8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4506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E27C6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81C16"/>
    <w:rsid w:val="00A965DF"/>
    <w:rsid w:val="00A97571"/>
    <w:rsid w:val="00AA4F00"/>
    <w:rsid w:val="00AA746E"/>
    <w:rsid w:val="00AB0C2C"/>
    <w:rsid w:val="00AB556F"/>
    <w:rsid w:val="00AB5F58"/>
    <w:rsid w:val="00AB67BC"/>
    <w:rsid w:val="00AC3173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64D5"/>
    <w:rsid w:val="00B32990"/>
    <w:rsid w:val="00B43C74"/>
    <w:rsid w:val="00B4715B"/>
    <w:rsid w:val="00B472C6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E42"/>
    <w:rsid w:val="00C3562A"/>
    <w:rsid w:val="00C458F5"/>
    <w:rsid w:val="00C47C93"/>
    <w:rsid w:val="00C57657"/>
    <w:rsid w:val="00C655C3"/>
    <w:rsid w:val="00C70A0F"/>
    <w:rsid w:val="00C7770C"/>
    <w:rsid w:val="00C87922"/>
    <w:rsid w:val="00C92AAA"/>
    <w:rsid w:val="00C979AB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20BB"/>
    <w:rsid w:val="00D15212"/>
    <w:rsid w:val="00D15C97"/>
    <w:rsid w:val="00D1770C"/>
    <w:rsid w:val="00D22D7A"/>
    <w:rsid w:val="00D23E68"/>
    <w:rsid w:val="00D31FBE"/>
    <w:rsid w:val="00D332DE"/>
    <w:rsid w:val="00D34FA2"/>
    <w:rsid w:val="00D36951"/>
    <w:rsid w:val="00D44E85"/>
    <w:rsid w:val="00D4608E"/>
    <w:rsid w:val="00D50808"/>
    <w:rsid w:val="00D512A6"/>
    <w:rsid w:val="00D53E6B"/>
    <w:rsid w:val="00D5571A"/>
    <w:rsid w:val="00D62F8D"/>
    <w:rsid w:val="00D6758E"/>
    <w:rsid w:val="00D75BF8"/>
    <w:rsid w:val="00D847C6"/>
    <w:rsid w:val="00D875A6"/>
    <w:rsid w:val="00D90DA2"/>
    <w:rsid w:val="00D92653"/>
    <w:rsid w:val="00DA168C"/>
    <w:rsid w:val="00DA7314"/>
    <w:rsid w:val="00DB4904"/>
    <w:rsid w:val="00DB6062"/>
    <w:rsid w:val="00DB7502"/>
    <w:rsid w:val="00DC28DA"/>
    <w:rsid w:val="00DC3ACB"/>
    <w:rsid w:val="00DC6980"/>
    <w:rsid w:val="00DD0701"/>
    <w:rsid w:val="00DD0892"/>
    <w:rsid w:val="00DD1390"/>
    <w:rsid w:val="00DD44CE"/>
    <w:rsid w:val="00DE34B0"/>
    <w:rsid w:val="00DF145E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46842"/>
    <w:rsid w:val="00E50F8B"/>
    <w:rsid w:val="00E5456F"/>
    <w:rsid w:val="00E579D8"/>
    <w:rsid w:val="00E71EF0"/>
    <w:rsid w:val="00E73F89"/>
    <w:rsid w:val="00E86FC9"/>
    <w:rsid w:val="00E965F7"/>
    <w:rsid w:val="00E9717D"/>
    <w:rsid w:val="00EA2159"/>
    <w:rsid w:val="00EA3376"/>
    <w:rsid w:val="00EA42F2"/>
    <w:rsid w:val="00EA6E47"/>
    <w:rsid w:val="00EB025E"/>
    <w:rsid w:val="00EB3229"/>
    <w:rsid w:val="00EB324B"/>
    <w:rsid w:val="00EB6E43"/>
    <w:rsid w:val="00EB703A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57482"/>
    <w:rsid w:val="00F61260"/>
    <w:rsid w:val="00F6593E"/>
    <w:rsid w:val="00F721B6"/>
    <w:rsid w:val="00F7367E"/>
    <w:rsid w:val="00F743A5"/>
    <w:rsid w:val="00F851EF"/>
    <w:rsid w:val="00F867DC"/>
    <w:rsid w:val="00F91B29"/>
    <w:rsid w:val="00F93B8B"/>
    <w:rsid w:val="00F94022"/>
    <w:rsid w:val="00FA10D3"/>
    <w:rsid w:val="00FA45BA"/>
    <w:rsid w:val="00FB1170"/>
    <w:rsid w:val="00FB3F71"/>
    <w:rsid w:val="00FB4232"/>
    <w:rsid w:val="00FB64A6"/>
    <w:rsid w:val="00FB73CB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9536A"/>
  <w15:docId w15:val="{B96BC100-461A-4529-81C3-B187AB1E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boyle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1CAF-F222-4567-8259-F5C80565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1451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Chiavetta, Rosemary</cp:lastModifiedBy>
  <cp:revision>2</cp:revision>
  <cp:lastPrinted>2016-08-03T12:49:00Z</cp:lastPrinted>
  <dcterms:created xsi:type="dcterms:W3CDTF">2021-10-20T16:25:00Z</dcterms:created>
  <dcterms:modified xsi:type="dcterms:W3CDTF">2021-10-20T16:25:00Z</dcterms:modified>
</cp:coreProperties>
</file>