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bookmarkStart w:id="0" w:name="_Hlk85191892"/>
            <w:bookmarkEnd w:id="0"/>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412A7EB" w14:textId="77777777" w:rsidR="003569E8" w:rsidRDefault="003569E8" w:rsidP="00372134">
            <w:pPr>
              <w:jc w:val="right"/>
              <w:rPr>
                <w:rFonts w:ascii="Arial" w:hAnsi="Arial"/>
                <w:sz w:val="16"/>
                <w:szCs w:val="16"/>
              </w:rPr>
            </w:pPr>
          </w:p>
          <w:p w14:paraId="6FECEAAF" w14:textId="77777777" w:rsidR="000E5B2E" w:rsidRDefault="000E5B2E" w:rsidP="000E5B2E">
            <w:pPr>
              <w:rPr>
                <w:rFonts w:ascii="Arial" w:hAnsi="Arial"/>
                <w:sz w:val="16"/>
                <w:szCs w:val="16"/>
              </w:rPr>
            </w:pPr>
          </w:p>
          <w:p w14:paraId="25EEC95C" w14:textId="77777777" w:rsidR="000E5B2E" w:rsidRDefault="000E5B2E" w:rsidP="000E5B2E">
            <w:pPr>
              <w:rPr>
                <w:rFonts w:ascii="Arial" w:hAnsi="Arial"/>
                <w:sz w:val="16"/>
                <w:szCs w:val="16"/>
              </w:rPr>
            </w:pPr>
          </w:p>
          <w:p w14:paraId="77478241" w14:textId="77777777" w:rsidR="000E5B2E" w:rsidRPr="000E5B2E" w:rsidRDefault="000E5B2E" w:rsidP="000E5B2E">
            <w:pPr>
              <w:jc w:val="right"/>
              <w:rPr>
                <w:rFonts w:ascii="Arial" w:hAnsi="Arial"/>
                <w:b/>
                <w:spacing w:val="-1"/>
                <w:sz w:val="12"/>
              </w:rPr>
            </w:pPr>
            <w:r w:rsidRPr="000E5B2E">
              <w:rPr>
                <w:rFonts w:ascii="Arial" w:hAnsi="Arial"/>
                <w:b/>
                <w:spacing w:val="-1"/>
                <w:sz w:val="12"/>
              </w:rPr>
              <w:t xml:space="preserve">IN </w:t>
            </w:r>
            <w:proofErr w:type="gramStart"/>
            <w:r w:rsidRPr="000E5B2E">
              <w:rPr>
                <w:rFonts w:ascii="Arial" w:hAnsi="Arial"/>
                <w:b/>
                <w:spacing w:val="-1"/>
                <w:sz w:val="12"/>
              </w:rPr>
              <w:t>REPLY</w:t>
            </w:r>
            <w:proofErr w:type="gramEnd"/>
            <w:r w:rsidRPr="000E5B2E">
              <w:rPr>
                <w:rFonts w:ascii="Arial" w:hAnsi="Arial"/>
                <w:b/>
                <w:spacing w:val="-1"/>
                <w:sz w:val="12"/>
              </w:rPr>
              <w:t xml:space="preserve"> PLEASE REFER TO OUR FILE</w:t>
            </w:r>
          </w:p>
          <w:p w14:paraId="0F074A52" w14:textId="77777777" w:rsidR="000E5B2E" w:rsidRDefault="000E5B2E" w:rsidP="000E5B2E">
            <w:pPr>
              <w:jc w:val="center"/>
              <w:rPr>
                <w:rFonts w:ascii="Arial" w:hAnsi="Arial"/>
                <w:sz w:val="12"/>
              </w:rPr>
            </w:pPr>
            <w:r w:rsidRPr="000E5B2E">
              <w:rPr>
                <w:rFonts w:ascii="Arial" w:hAnsi="Arial"/>
                <w:sz w:val="12"/>
              </w:rPr>
              <w:t>Docket Number</w:t>
            </w:r>
            <w:r w:rsidR="00831095">
              <w:rPr>
                <w:rFonts w:ascii="Arial" w:hAnsi="Arial"/>
                <w:sz w:val="12"/>
              </w:rPr>
              <w:t>:</w:t>
            </w:r>
          </w:p>
          <w:p w14:paraId="599D714F" w14:textId="07B66F7B" w:rsidR="00831095" w:rsidRPr="000E5B2E" w:rsidRDefault="00867F90" w:rsidP="000E5B2E">
            <w:pPr>
              <w:jc w:val="center"/>
              <w:rPr>
                <w:rFonts w:ascii="Arial" w:hAnsi="Arial"/>
                <w:sz w:val="16"/>
                <w:szCs w:val="16"/>
              </w:rPr>
            </w:pPr>
            <w:r w:rsidRPr="00867F90">
              <w:rPr>
                <w:rFonts w:ascii="Arial" w:hAnsi="Arial"/>
                <w:sz w:val="16"/>
                <w:szCs w:val="16"/>
              </w:rPr>
              <w:t>A-2019-3011913</w:t>
            </w:r>
          </w:p>
        </w:tc>
      </w:tr>
    </w:tbl>
    <w:p w14:paraId="0480B19A" w14:textId="44A589A4" w:rsidR="00C74A51" w:rsidRDefault="00DB4BDE" w:rsidP="00DB4BDE">
      <w:pPr>
        <w:jc w:val="center"/>
        <w:rPr>
          <w:sz w:val="24"/>
        </w:rPr>
        <w:sectPr w:rsidR="00C74A51" w:rsidSect="009E40EC">
          <w:footerReference w:type="even" r:id="rId8"/>
          <w:footerReference w:type="default" r:id="rId9"/>
          <w:pgSz w:w="12240" w:h="15840"/>
          <w:pgMar w:top="504" w:right="1440" w:bottom="1440" w:left="1440" w:header="720" w:footer="720" w:gutter="0"/>
          <w:cols w:space="720"/>
          <w:titlePg/>
        </w:sectPr>
      </w:pPr>
      <w:r>
        <w:rPr>
          <w:sz w:val="24"/>
        </w:rPr>
        <w:t>October 20, 2021</w:t>
      </w:r>
    </w:p>
    <w:p w14:paraId="258F914E" w14:textId="3803A3A8" w:rsidR="004E376C" w:rsidRDefault="004E376C" w:rsidP="004E376C">
      <w:pPr>
        <w:rPr>
          <w:sz w:val="24"/>
          <w:szCs w:val="24"/>
        </w:rPr>
      </w:pPr>
    </w:p>
    <w:p w14:paraId="7EAA3C25" w14:textId="77777777" w:rsidR="002A414C" w:rsidRDefault="002A414C" w:rsidP="004E376C">
      <w:pPr>
        <w:rPr>
          <w:sz w:val="24"/>
          <w:szCs w:val="24"/>
        </w:rPr>
      </w:pPr>
    </w:p>
    <w:p w14:paraId="562A4FDA" w14:textId="77777777" w:rsidR="009522EE" w:rsidRPr="004E376C" w:rsidRDefault="009522EE" w:rsidP="004E376C">
      <w:pPr>
        <w:rPr>
          <w:sz w:val="24"/>
          <w:szCs w:val="24"/>
        </w:rPr>
      </w:pPr>
    </w:p>
    <w:p w14:paraId="0FC61682" w14:textId="16B1F55A" w:rsidR="004E376C" w:rsidRDefault="00AE3B8A" w:rsidP="004E376C">
      <w:pPr>
        <w:rPr>
          <w:sz w:val="24"/>
          <w:szCs w:val="24"/>
        </w:rPr>
      </w:pPr>
      <w:r>
        <w:rPr>
          <w:sz w:val="24"/>
          <w:szCs w:val="24"/>
        </w:rPr>
        <w:t xml:space="preserve">SUMMER </w:t>
      </w:r>
      <w:r w:rsidR="00397905">
        <w:rPr>
          <w:sz w:val="24"/>
          <w:szCs w:val="24"/>
        </w:rPr>
        <w:t>ENERGY</w:t>
      </w:r>
      <w:r w:rsidR="008438AB">
        <w:rPr>
          <w:sz w:val="24"/>
          <w:szCs w:val="24"/>
        </w:rPr>
        <w:t xml:space="preserve"> MIDWEST</w:t>
      </w:r>
      <w:r w:rsidR="00397905">
        <w:rPr>
          <w:sz w:val="24"/>
          <w:szCs w:val="24"/>
        </w:rPr>
        <w:t>, LLC</w:t>
      </w:r>
    </w:p>
    <w:p w14:paraId="2CB5614B" w14:textId="757C360C" w:rsidR="00397905" w:rsidRDefault="00397905" w:rsidP="004E376C">
      <w:pPr>
        <w:rPr>
          <w:sz w:val="24"/>
          <w:szCs w:val="24"/>
        </w:rPr>
      </w:pPr>
      <w:r>
        <w:rPr>
          <w:sz w:val="24"/>
          <w:szCs w:val="24"/>
        </w:rPr>
        <w:t>TRAVIS ANDREWS</w:t>
      </w:r>
    </w:p>
    <w:p w14:paraId="058C7D30" w14:textId="4BB266BA" w:rsidR="00397905" w:rsidRDefault="00397905" w:rsidP="004E376C">
      <w:pPr>
        <w:rPr>
          <w:sz w:val="24"/>
          <w:szCs w:val="24"/>
        </w:rPr>
      </w:pPr>
      <w:r>
        <w:rPr>
          <w:sz w:val="24"/>
          <w:szCs w:val="24"/>
        </w:rPr>
        <w:t xml:space="preserve">5847 SAN </w:t>
      </w:r>
      <w:r w:rsidR="00B97256">
        <w:rPr>
          <w:sz w:val="24"/>
          <w:szCs w:val="24"/>
        </w:rPr>
        <w:t>FELIPE ST, SUITE 3700</w:t>
      </w:r>
    </w:p>
    <w:p w14:paraId="161BD8F3" w14:textId="45C0231C" w:rsidR="001A02C4" w:rsidRPr="004E376C" w:rsidRDefault="001A02C4" w:rsidP="004E376C">
      <w:pPr>
        <w:rPr>
          <w:sz w:val="24"/>
          <w:szCs w:val="24"/>
        </w:rPr>
      </w:pPr>
      <w:r>
        <w:rPr>
          <w:sz w:val="24"/>
          <w:szCs w:val="24"/>
        </w:rPr>
        <w:t>HOUSTON, TX 77057</w:t>
      </w:r>
    </w:p>
    <w:p w14:paraId="2B8BA88E" w14:textId="77777777" w:rsidR="004E376C" w:rsidRPr="004E376C" w:rsidRDefault="004E376C" w:rsidP="004E376C">
      <w:pPr>
        <w:rPr>
          <w:sz w:val="24"/>
          <w:szCs w:val="24"/>
        </w:rPr>
      </w:pPr>
    </w:p>
    <w:p w14:paraId="27CE2289" w14:textId="77777777" w:rsidR="004E376C" w:rsidRPr="004E376C" w:rsidRDefault="004E376C" w:rsidP="004E376C">
      <w:pPr>
        <w:rPr>
          <w:sz w:val="24"/>
          <w:szCs w:val="24"/>
        </w:rPr>
      </w:pPr>
    </w:p>
    <w:p w14:paraId="2A0F982B" w14:textId="77777777" w:rsidR="004E376C" w:rsidRPr="004E376C" w:rsidRDefault="004E376C" w:rsidP="004E376C">
      <w:pPr>
        <w:rPr>
          <w:sz w:val="24"/>
          <w:szCs w:val="24"/>
        </w:rPr>
      </w:pPr>
      <w:r w:rsidRPr="004E376C">
        <w:rPr>
          <w:sz w:val="24"/>
          <w:szCs w:val="24"/>
        </w:rPr>
        <w:t>RE:  Pennsylvania Alternative Energy Portfolio Standards Act (AEPS) Non-Compliance</w:t>
      </w:r>
    </w:p>
    <w:p w14:paraId="334D7E84" w14:textId="77777777" w:rsidR="004E376C" w:rsidRPr="004E376C" w:rsidRDefault="004E376C" w:rsidP="004E376C">
      <w:pPr>
        <w:rPr>
          <w:sz w:val="24"/>
          <w:szCs w:val="24"/>
        </w:rPr>
      </w:pPr>
    </w:p>
    <w:p w14:paraId="3EFB6013" w14:textId="554104BD" w:rsidR="004E376C" w:rsidRPr="004E376C" w:rsidRDefault="004E376C" w:rsidP="004E376C">
      <w:pPr>
        <w:rPr>
          <w:sz w:val="24"/>
          <w:szCs w:val="24"/>
        </w:rPr>
      </w:pPr>
      <w:r w:rsidRPr="004E376C">
        <w:rPr>
          <w:sz w:val="24"/>
          <w:szCs w:val="24"/>
        </w:rPr>
        <w:t>Dear Mr.</w:t>
      </w:r>
      <w:r w:rsidR="002162F4">
        <w:rPr>
          <w:sz w:val="24"/>
          <w:szCs w:val="24"/>
        </w:rPr>
        <w:t xml:space="preserve"> Andrews</w:t>
      </w:r>
      <w:r w:rsidRPr="004E376C">
        <w:rPr>
          <w:sz w:val="24"/>
          <w:szCs w:val="24"/>
        </w:rPr>
        <w:t>:</w:t>
      </w:r>
    </w:p>
    <w:p w14:paraId="4CA195BD" w14:textId="77777777" w:rsidR="004E376C" w:rsidRPr="004E376C" w:rsidRDefault="004E376C" w:rsidP="004E376C">
      <w:pPr>
        <w:rPr>
          <w:sz w:val="24"/>
          <w:szCs w:val="24"/>
        </w:rPr>
      </w:pPr>
    </w:p>
    <w:p w14:paraId="6DFA4F85" w14:textId="2E47D88D" w:rsidR="004E376C" w:rsidRPr="004E376C" w:rsidRDefault="004E376C" w:rsidP="000314C1">
      <w:pPr>
        <w:rPr>
          <w:sz w:val="24"/>
          <w:szCs w:val="24"/>
        </w:rPr>
      </w:pPr>
      <w:r w:rsidRPr="004E376C">
        <w:rPr>
          <w:sz w:val="24"/>
          <w:szCs w:val="24"/>
        </w:rPr>
        <w:tab/>
        <w:t xml:space="preserve">Pursuant to the Alternative Energy Portfolio Standards Act and Pennsylvania Public Utility Commission (PUC) regulations, </w:t>
      </w:r>
      <w:r w:rsidR="00695FE7">
        <w:rPr>
          <w:sz w:val="24"/>
          <w:szCs w:val="24"/>
        </w:rPr>
        <w:t>Summer Energy</w:t>
      </w:r>
      <w:r w:rsidR="002731CA">
        <w:rPr>
          <w:sz w:val="24"/>
          <w:szCs w:val="24"/>
        </w:rPr>
        <w:t xml:space="preserve"> Midwest</w:t>
      </w:r>
      <w:r w:rsidR="00695FE7">
        <w:rPr>
          <w:sz w:val="24"/>
          <w:szCs w:val="24"/>
        </w:rPr>
        <w:t>, LLC (Summer</w:t>
      </w:r>
      <w:r w:rsidR="002731CA">
        <w:rPr>
          <w:sz w:val="24"/>
          <w:szCs w:val="24"/>
        </w:rPr>
        <w:t xml:space="preserve"> Energy</w:t>
      </w:r>
      <w:r w:rsidR="00695FE7">
        <w:rPr>
          <w:sz w:val="24"/>
          <w:szCs w:val="24"/>
        </w:rPr>
        <w:t>)</w:t>
      </w:r>
      <w:r w:rsidRPr="004E376C">
        <w:rPr>
          <w:sz w:val="24"/>
          <w:szCs w:val="24"/>
        </w:rPr>
        <w:t xml:space="preserve"> was required to derive the following percentages of its sales to electric customers from designated sources for the 2020/2021 AEPS compliance year: 0.50% Tier I Solar Photovoltaic Technology (Solar) and 10.00% Tier II with the Tier I (Non-Solar) percentage requirements calculated for each quarter at </w:t>
      </w:r>
      <w:r w:rsidR="002C7682" w:rsidRPr="002C7682">
        <w:rPr>
          <w:sz w:val="24"/>
          <w:szCs w:val="24"/>
        </w:rPr>
        <w:t>7.787397%</w:t>
      </w:r>
      <w:r w:rsidRPr="004E376C">
        <w:rPr>
          <w:sz w:val="24"/>
          <w:szCs w:val="24"/>
        </w:rPr>
        <w:t xml:space="preserve">, </w:t>
      </w:r>
      <w:r w:rsidR="00D33ADE" w:rsidRPr="00D33ADE">
        <w:rPr>
          <w:sz w:val="24"/>
          <w:szCs w:val="24"/>
        </w:rPr>
        <w:t>7.848938%</w:t>
      </w:r>
      <w:r w:rsidRPr="004E376C">
        <w:rPr>
          <w:sz w:val="24"/>
          <w:szCs w:val="24"/>
        </w:rPr>
        <w:t xml:space="preserve">, </w:t>
      </w:r>
      <w:r w:rsidR="00A0138D" w:rsidRPr="00A0138D">
        <w:rPr>
          <w:sz w:val="24"/>
          <w:szCs w:val="24"/>
        </w:rPr>
        <w:t>7.894281%</w:t>
      </w:r>
      <w:r w:rsidRPr="004E376C">
        <w:rPr>
          <w:sz w:val="24"/>
          <w:szCs w:val="24"/>
        </w:rPr>
        <w:t xml:space="preserve">, and </w:t>
      </w:r>
      <w:r w:rsidR="00A0138D" w:rsidRPr="00A0138D">
        <w:rPr>
          <w:sz w:val="24"/>
          <w:szCs w:val="24"/>
        </w:rPr>
        <w:t>7.959245%</w:t>
      </w:r>
      <w:r w:rsidRPr="004E376C">
        <w:rPr>
          <w:sz w:val="24"/>
          <w:szCs w:val="24"/>
        </w:rPr>
        <w:t xml:space="preserve"> for the respective quarters of the compliance year. </w:t>
      </w:r>
      <w:r w:rsidR="00752A5A">
        <w:rPr>
          <w:sz w:val="24"/>
          <w:szCs w:val="24"/>
        </w:rPr>
        <w:t xml:space="preserve"> </w:t>
      </w:r>
      <w:r w:rsidRPr="004E376C">
        <w:rPr>
          <w:i/>
          <w:sz w:val="24"/>
          <w:szCs w:val="24"/>
        </w:rPr>
        <w:t xml:space="preserve">See, </w:t>
      </w:r>
      <w:r w:rsidRPr="004E376C">
        <w:rPr>
          <w:sz w:val="24"/>
          <w:szCs w:val="24"/>
        </w:rPr>
        <w:t>73 P.S. §§1648.3(b) &amp; (c), 66 Pa.C.S. §2814(c) and 52 Pa. Code §75.61.</w:t>
      </w:r>
      <w:r w:rsidRPr="004E376C">
        <w:rPr>
          <w:sz w:val="24"/>
          <w:szCs w:val="24"/>
          <w:vertAlign w:val="superscript"/>
        </w:rPr>
        <w:footnoteReference w:id="1"/>
      </w:r>
      <w:r w:rsidRPr="004E376C">
        <w:rPr>
          <w:sz w:val="24"/>
          <w:szCs w:val="24"/>
        </w:rPr>
        <w:t xml:space="preserve">  On July </w:t>
      </w:r>
      <w:r w:rsidR="002A20E4">
        <w:rPr>
          <w:sz w:val="24"/>
          <w:szCs w:val="24"/>
        </w:rPr>
        <w:t>15</w:t>
      </w:r>
      <w:r w:rsidRPr="004E376C">
        <w:rPr>
          <w:sz w:val="24"/>
          <w:szCs w:val="24"/>
        </w:rPr>
        <w:t>, 202</w:t>
      </w:r>
      <w:r w:rsidR="002A20E4">
        <w:rPr>
          <w:sz w:val="24"/>
          <w:szCs w:val="24"/>
        </w:rPr>
        <w:t>1</w:t>
      </w:r>
      <w:r w:rsidRPr="004E376C">
        <w:rPr>
          <w:sz w:val="24"/>
          <w:szCs w:val="24"/>
        </w:rPr>
        <w:t xml:space="preserve">, the Pennsylvania Alternative Energy </w:t>
      </w:r>
      <w:r w:rsidR="00876AD6" w:rsidRPr="00876AD6">
        <w:rPr>
          <w:sz w:val="24"/>
          <w:szCs w:val="24"/>
        </w:rPr>
        <w:t>Portfolio Standards Program</w:t>
      </w:r>
      <w:r w:rsidRPr="004E376C">
        <w:rPr>
          <w:sz w:val="24"/>
          <w:szCs w:val="24"/>
        </w:rPr>
        <w:t xml:space="preserve"> Administrator, InClime, notified </w:t>
      </w:r>
      <w:r w:rsidR="00750D96">
        <w:rPr>
          <w:sz w:val="24"/>
          <w:szCs w:val="24"/>
        </w:rPr>
        <w:t>Summer</w:t>
      </w:r>
      <w:r w:rsidR="002731CA">
        <w:rPr>
          <w:sz w:val="24"/>
          <w:szCs w:val="24"/>
        </w:rPr>
        <w:t xml:space="preserve"> Energy</w:t>
      </w:r>
      <w:r w:rsidRPr="004E376C">
        <w:rPr>
          <w:sz w:val="24"/>
          <w:szCs w:val="24"/>
        </w:rPr>
        <w:t xml:space="preserve"> via email of these requirements (email attached)</w:t>
      </w:r>
      <w:r w:rsidR="008B397C" w:rsidRPr="004E376C">
        <w:rPr>
          <w:sz w:val="24"/>
          <w:szCs w:val="24"/>
        </w:rPr>
        <w:t xml:space="preserve">. </w:t>
      </w:r>
    </w:p>
    <w:p w14:paraId="36C995AE" w14:textId="77777777" w:rsidR="004E376C" w:rsidRPr="004E376C" w:rsidRDefault="004E376C" w:rsidP="000314C1">
      <w:pPr>
        <w:rPr>
          <w:sz w:val="24"/>
          <w:szCs w:val="24"/>
        </w:rPr>
      </w:pPr>
    </w:p>
    <w:p w14:paraId="6E80117F" w14:textId="6C5181D2" w:rsidR="004E376C" w:rsidRPr="004E376C" w:rsidRDefault="004E376C" w:rsidP="000314C1">
      <w:pPr>
        <w:rPr>
          <w:sz w:val="24"/>
          <w:szCs w:val="24"/>
        </w:rPr>
      </w:pPr>
      <w:r w:rsidRPr="004E376C">
        <w:rPr>
          <w:sz w:val="24"/>
          <w:szCs w:val="24"/>
        </w:rPr>
        <w:tab/>
        <w:t xml:space="preserve">Based on a review conducted by InClime, and </w:t>
      </w:r>
      <w:r w:rsidR="00750D96">
        <w:rPr>
          <w:sz w:val="24"/>
          <w:szCs w:val="24"/>
        </w:rPr>
        <w:t>Summer</w:t>
      </w:r>
      <w:r w:rsidR="000B43AD">
        <w:rPr>
          <w:sz w:val="24"/>
          <w:szCs w:val="24"/>
        </w:rPr>
        <w:t xml:space="preserve"> Energy</w:t>
      </w:r>
      <w:r w:rsidRPr="004E376C">
        <w:rPr>
          <w:sz w:val="24"/>
          <w:szCs w:val="24"/>
        </w:rPr>
        <w:t xml:space="preserve">’s sales of </w:t>
      </w:r>
      <w:r w:rsidR="00C857C7">
        <w:rPr>
          <w:sz w:val="24"/>
          <w:szCs w:val="24"/>
        </w:rPr>
        <w:t>1,355.3</w:t>
      </w:r>
      <w:r w:rsidR="005B4CDA">
        <w:rPr>
          <w:sz w:val="24"/>
          <w:szCs w:val="24"/>
        </w:rPr>
        <w:t>15</w:t>
      </w:r>
      <w:r w:rsidRPr="004E376C">
        <w:rPr>
          <w:sz w:val="24"/>
          <w:szCs w:val="24"/>
        </w:rPr>
        <w:t xml:space="preserve"> MWhs, </w:t>
      </w:r>
      <w:r w:rsidR="00561FF4">
        <w:rPr>
          <w:sz w:val="24"/>
          <w:szCs w:val="24"/>
        </w:rPr>
        <w:t>Summer</w:t>
      </w:r>
      <w:r w:rsidR="000B43AD">
        <w:rPr>
          <w:sz w:val="24"/>
          <w:szCs w:val="24"/>
        </w:rPr>
        <w:t xml:space="preserve"> Energy</w:t>
      </w:r>
      <w:r w:rsidRPr="004E376C">
        <w:rPr>
          <w:sz w:val="24"/>
          <w:szCs w:val="24"/>
        </w:rPr>
        <w:t>’s alternative energy credit compliance obligations under the AEPS Act for the 2020/2021 compliance year were as follows:</w:t>
      </w:r>
    </w:p>
    <w:p w14:paraId="422C1472" w14:textId="77777777" w:rsidR="004E376C" w:rsidRPr="004E376C" w:rsidRDefault="004E376C" w:rsidP="004E376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890"/>
        <w:gridCol w:w="2250"/>
        <w:gridCol w:w="2610"/>
      </w:tblGrid>
      <w:tr w:rsidR="004E376C" w:rsidRPr="004E376C" w14:paraId="483A7E9F" w14:textId="77777777" w:rsidTr="00CF28F7">
        <w:tc>
          <w:tcPr>
            <w:tcW w:w="2538" w:type="dxa"/>
            <w:tcBorders>
              <w:bottom w:val="double" w:sz="4" w:space="0" w:color="auto"/>
            </w:tcBorders>
            <w:shd w:val="pct5" w:color="auto" w:fill="auto"/>
          </w:tcPr>
          <w:p w14:paraId="3019350D" w14:textId="77777777" w:rsidR="004E376C" w:rsidRPr="004E376C" w:rsidRDefault="004E376C" w:rsidP="004E376C">
            <w:pPr>
              <w:jc w:val="center"/>
              <w:rPr>
                <w:b/>
                <w:sz w:val="24"/>
                <w:szCs w:val="24"/>
              </w:rPr>
            </w:pPr>
            <w:r w:rsidRPr="004E376C">
              <w:rPr>
                <w:b/>
                <w:sz w:val="24"/>
                <w:szCs w:val="24"/>
              </w:rPr>
              <w:t>Tier</w:t>
            </w:r>
          </w:p>
        </w:tc>
        <w:tc>
          <w:tcPr>
            <w:tcW w:w="1890" w:type="dxa"/>
            <w:tcBorders>
              <w:bottom w:val="double" w:sz="4" w:space="0" w:color="auto"/>
            </w:tcBorders>
            <w:shd w:val="pct5" w:color="auto" w:fill="auto"/>
          </w:tcPr>
          <w:p w14:paraId="5215132E" w14:textId="77777777" w:rsidR="004E376C" w:rsidRPr="004E376C" w:rsidRDefault="004E376C" w:rsidP="004E376C">
            <w:pPr>
              <w:jc w:val="center"/>
              <w:rPr>
                <w:b/>
                <w:sz w:val="24"/>
                <w:szCs w:val="24"/>
              </w:rPr>
            </w:pPr>
            <w:r w:rsidRPr="004E376C">
              <w:rPr>
                <w:b/>
                <w:sz w:val="24"/>
                <w:szCs w:val="24"/>
              </w:rPr>
              <w:t>Credit Obligation</w:t>
            </w:r>
          </w:p>
        </w:tc>
        <w:tc>
          <w:tcPr>
            <w:tcW w:w="2250" w:type="dxa"/>
            <w:tcBorders>
              <w:bottom w:val="double" w:sz="4" w:space="0" w:color="auto"/>
            </w:tcBorders>
            <w:shd w:val="pct5" w:color="auto" w:fill="auto"/>
          </w:tcPr>
          <w:p w14:paraId="0D8DB54A" w14:textId="77777777" w:rsidR="004E376C" w:rsidRPr="004E376C" w:rsidRDefault="004E376C" w:rsidP="004E376C">
            <w:pPr>
              <w:jc w:val="center"/>
              <w:rPr>
                <w:b/>
                <w:sz w:val="24"/>
                <w:szCs w:val="24"/>
              </w:rPr>
            </w:pPr>
            <w:r w:rsidRPr="004E376C">
              <w:rPr>
                <w:b/>
                <w:sz w:val="24"/>
                <w:szCs w:val="24"/>
              </w:rPr>
              <w:t>Reserve Account</w:t>
            </w:r>
          </w:p>
        </w:tc>
        <w:tc>
          <w:tcPr>
            <w:tcW w:w="2610" w:type="dxa"/>
            <w:tcBorders>
              <w:bottom w:val="double" w:sz="4" w:space="0" w:color="auto"/>
            </w:tcBorders>
            <w:shd w:val="pct5" w:color="auto" w:fill="auto"/>
          </w:tcPr>
          <w:p w14:paraId="107088BD" w14:textId="77777777" w:rsidR="004E376C" w:rsidRPr="004E376C" w:rsidRDefault="004E376C" w:rsidP="004E376C">
            <w:pPr>
              <w:jc w:val="center"/>
              <w:rPr>
                <w:b/>
                <w:sz w:val="24"/>
                <w:szCs w:val="24"/>
              </w:rPr>
            </w:pPr>
            <w:r w:rsidRPr="004E376C">
              <w:rPr>
                <w:b/>
                <w:sz w:val="24"/>
                <w:szCs w:val="24"/>
              </w:rPr>
              <w:t>Compliance Status</w:t>
            </w:r>
          </w:p>
        </w:tc>
      </w:tr>
      <w:tr w:rsidR="004E376C" w:rsidRPr="004E376C" w14:paraId="1B011ED4" w14:textId="77777777" w:rsidTr="00CF28F7">
        <w:tc>
          <w:tcPr>
            <w:tcW w:w="2538" w:type="dxa"/>
            <w:tcBorders>
              <w:top w:val="double" w:sz="4" w:space="0" w:color="auto"/>
            </w:tcBorders>
            <w:shd w:val="clear" w:color="auto" w:fill="auto"/>
            <w:vAlign w:val="center"/>
          </w:tcPr>
          <w:p w14:paraId="071869F0" w14:textId="77777777" w:rsidR="004E376C" w:rsidRPr="004E376C" w:rsidRDefault="004E376C" w:rsidP="004E376C">
            <w:pPr>
              <w:rPr>
                <w:sz w:val="24"/>
                <w:szCs w:val="24"/>
              </w:rPr>
            </w:pPr>
            <w:r w:rsidRPr="004E376C">
              <w:rPr>
                <w:sz w:val="24"/>
                <w:szCs w:val="24"/>
              </w:rPr>
              <w:t xml:space="preserve">Tier I (Non-Solar) </w:t>
            </w:r>
          </w:p>
        </w:tc>
        <w:tc>
          <w:tcPr>
            <w:tcW w:w="1890" w:type="dxa"/>
            <w:tcBorders>
              <w:top w:val="double" w:sz="4" w:space="0" w:color="auto"/>
            </w:tcBorders>
            <w:shd w:val="clear" w:color="auto" w:fill="auto"/>
          </w:tcPr>
          <w:p w14:paraId="4EA4DD4D" w14:textId="6B613C20" w:rsidR="004E376C" w:rsidRPr="004E376C" w:rsidRDefault="002627E4" w:rsidP="004E376C">
            <w:pPr>
              <w:jc w:val="center"/>
              <w:rPr>
                <w:sz w:val="24"/>
                <w:szCs w:val="24"/>
              </w:rPr>
            </w:pPr>
            <w:r>
              <w:rPr>
                <w:sz w:val="24"/>
                <w:szCs w:val="24"/>
              </w:rPr>
              <w:t>105</w:t>
            </w:r>
          </w:p>
        </w:tc>
        <w:tc>
          <w:tcPr>
            <w:tcW w:w="2250" w:type="dxa"/>
            <w:tcBorders>
              <w:top w:val="double" w:sz="4" w:space="0" w:color="auto"/>
            </w:tcBorders>
            <w:shd w:val="clear" w:color="auto" w:fill="auto"/>
          </w:tcPr>
          <w:p w14:paraId="25CAA6E5" w14:textId="53A6C596" w:rsidR="004E376C" w:rsidRPr="004E376C" w:rsidRDefault="00BB1BDE" w:rsidP="004E376C">
            <w:pPr>
              <w:jc w:val="center"/>
              <w:rPr>
                <w:sz w:val="24"/>
                <w:szCs w:val="24"/>
              </w:rPr>
            </w:pPr>
            <w:r>
              <w:rPr>
                <w:sz w:val="24"/>
                <w:szCs w:val="24"/>
              </w:rPr>
              <w:t>0</w:t>
            </w:r>
          </w:p>
        </w:tc>
        <w:tc>
          <w:tcPr>
            <w:tcW w:w="2610" w:type="dxa"/>
            <w:tcBorders>
              <w:top w:val="double" w:sz="4" w:space="0" w:color="auto"/>
            </w:tcBorders>
            <w:shd w:val="clear" w:color="auto" w:fill="auto"/>
          </w:tcPr>
          <w:p w14:paraId="6A716373" w14:textId="113697A2" w:rsidR="004E376C" w:rsidRPr="004E376C" w:rsidRDefault="00FE3260" w:rsidP="004E376C">
            <w:pPr>
              <w:jc w:val="center"/>
              <w:rPr>
                <w:sz w:val="24"/>
                <w:szCs w:val="24"/>
              </w:rPr>
            </w:pPr>
            <w:r w:rsidRPr="00FE3260">
              <w:rPr>
                <w:sz w:val="24"/>
                <w:szCs w:val="24"/>
              </w:rPr>
              <w:t>Not In Compliance</w:t>
            </w:r>
          </w:p>
        </w:tc>
      </w:tr>
      <w:tr w:rsidR="004E376C" w:rsidRPr="004E376C" w14:paraId="0D110D6B" w14:textId="77777777" w:rsidTr="00CF28F7">
        <w:tc>
          <w:tcPr>
            <w:tcW w:w="2538" w:type="dxa"/>
            <w:shd w:val="clear" w:color="auto" w:fill="auto"/>
          </w:tcPr>
          <w:p w14:paraId="15085BA6" w14:textId="77777777" w:rsidR="004E376C" w:rsidRPr="004E376C" w:rsidRDefault="004E376C" w:rsidP="004E376C">
            <w:pPr>
              <w:rPr>
                <w:sz w:val="24"/>
                <w:szCs w:val="24"/>
              </w:rPr>
            </w:pPr>
            <w:r w:rsidRPr="004E376C">
              <w:rPr>
                <w:sz w:val="24"/>
                <w:szCs w:val="24"/>
              </w:rPr>
              <w:t>Tier I Solar</w:t>
            </w:r>
          </w:p>
        </w:tc>
        <w:tc>
          <w:tcPr>
            <w:tcW w:w="1890" w:type="dxa"/>
            <w:shd w:val="clear" w:color="auto" w:fill="auto"/>
          </w:tcPr>
          <w:p w14:paraId="7CB09E5B" w14:textId="6ADC2994" w:rsidR="004E376C" w:rsidRPr="004E376C" w:rsidRDefault="002627E4" w:rsidP="004E376C">
            <w:pPr>
              <w:jc w:val="center"/>
              <w:rPr>
                <w:sz w:val="24"/>
                <w:szCs w:val="24"/>
              </w:rPr>
            </w:pPr>
            <w:r>
              <w:rPr>
                <w:sz w:val="24"/>
                <w:szCs w:val="24"/>
              </w:rPr>
              <w:t>7</w:t>
            </w:r>
          </w:p>
        </w:tc>
        <w:tc>
          <w:tcPr>
            <w:tcW w:w="2250" w:type="dxa"/>
            <w:shd w:val="clear" w:color="auto" w:fill="auto"/>
          </w:tcPr>
          <w:p w14:paraId="1EB80BF6" w14:textId="3FF6F750" w:rsidR="004E376C" w:rsidRPr="004E376C" w:rsidRDefault="00BB1BDE" w:rsidP="004E376C">
            <w:pPr>
              <w:jc w:val="center"/>
              <w:rPr>
                <w:sz w:val="24"/>
                <w:szCs w:val="24"/>
              </w:rPr>
            </w:pPr>
            <w:r>
              <w:rPr>
                <w:sz w:val="24"/>
                <w:szCs w:val="24"/>
              </w:rPr>
              <w:t>0</w:t>
            </w:r>
          </w:p>
        </w:tc>
        <w:tc>
          <w:tcPr>
            <w:tcW w:w="2610" w:type="dxa"/>
            <w:shd w:val="clear" w:color="auto" w:fill="auto"/>
          </w:tcPr>
          <w:p w14:paraId="15AF9C6F" w14:textId="401C26CD" w:rsidR="004E376C" w:rsidRPr="004E376C" w:rsidRDefault="00FE3260" w:rsidP="004E376C">
            <w:pPr>
              <w:jc w:val="center"/>
              <w:rPr>
                <w:sz w:val="24"/>
                <w:szCs w:val="24"/>
              </w:rPr>
            </w:pPr>
            <w:r w:rsidRPr="00FE3260">
              <w:rPr>
                <w:sz w:val="24"/>
                <w:szCs w:val="24"/>
              </w:rPr>
              <w:t>Not In Compliance</w:t>
            </w:r>
          </w:p>
        </w:tc>
      </w:tr>
      <w:tr w:rsidR="004E376C" w:rsidRPr="004E376C" w14:paraId="0FADAE71" w14:textId="77777777" w:rsidTr="00CF28F7">
        <w:tc>
          <w:tcPr>
            <w:tcW w:w="2538" w:type="dxa"/>
            <w:shd w:val="clear" w:color="auto" w:fill="auto"/>
          </w:tcPr>
          <w:p w14:paraId="623C7319" w14:textId="77777777" w:rsidR="004E376C" w:rsidRPr="004E376C" w:rsidRDefault="004E376C" w:rsidP="004E376C">
            <w:pPr>
              <w:rPr>
                <w:sz w:val="24"/>
                <w:szCs w:val="24"/>
              </w:rPr>
            </w:pPr>
            <w:r w:rsidRPr="004E376C">
              <w:rPr>
                <w:sz w:val="24"/>
                <w:szCs w:val="24"/>
              </w:rPr>
              <w:t>Tier II</w:t>
            </w:r>
          </w:p>
        </w:tc>
        <w:tc>
          <w:tcPr>
            <w:tcW w:w="1890" w:type="dxa"/>
            <w:shd w:val="clear" w:color="auto" w:fill="auto"/>
          </w:tcPr>
          <w:p w14:paraId="44186CE2" w14:textId="2C4EECB8" w:rsidR="004E376C" w:rsidRPr="004E376C" w:rsidRDefault="002627E4" w:rsidP="004E376C">
            <w:pPr>
              <w:jc w:val="center"/>
              <w:rPr>
                <w:sz w:val="24"/>
                <w:szCs w:val="24"/>
              </w:rPr>
            </w:pPr>
            <w:r>
              <w:rPr>
                <w:sz w:val="24"/>
                <w:szCs w:val="24"/>
              </w:rPr>
              <w:t>135</w:t>
            </w:r>
          </w:p>
        </w:tc>
        <w:tc>
          <w:tcPr>
            <w:tcW w:w="2250" w:type="dxa"/>
            <w:shd w:val="clear" w:color="auto" w:fill="auto"/>
          </w:tcPr>
          <w:p w14:paraId="7815FC08" w14:textId="007AA084" w:rsidR="004E376C" w:rsidRPr="004E376C" w:rsidRDefault="00BB1BDE" w:rsidP="004E376C">
            <w:pPr>
              <w:jc w:val="center"/>
              <w:rPr>
                <w:sz w:val="24"/>
                <w:szCs w:val="24"/>
              </w:rPr>
            </w:pPr>
            <w:r>
              <w:rPr>
                <w:sz w:val="24"/>
                <w:szCs w:val="24"/>
              </w:rPr>
              <w:t>0</w:t>
            </w:r>
          </w:p>
        </w:tc>
        <w:tc>
          <w:tcPr>
            <w:tcW w:w="2610" w:type="dxa"/>
            <w:shd w:val="clear" w:color="auto" w:fill="auto"/>
          </w:tcPr>
          <w:p w14:paraId="7E72A841" w14:textId="293E8ABD" w:rsidR="004E376C" w:rsidRPr="004E376C" w:rsidRDefault="00FE3260" w:rsidP="004E376C">
            <w:pPr>
              <w:jc w:val="center"/>
              <w:rPr>
                <w:sz w:val="24"/>
                <w:szCs w:val="24"/>
              </w:rPr>
            </w:pPr>
            <w:r w:rsidRPr="00FE3260">
              <w:rPr>
                <w:sz w:val="24"/>
                <w:szCs w:val="24"/>
              </w:rPr>
              <w:t>Not In Compliance</w:t>
            </w:r>
          </w:p>
        </w:tc>
      </w:tr>
    </w:tbl>
    <w:p w14:paraId="1509DD06" w14:textId="77777777" w:rsidR="004E376C" w:rsidRPr="004E376C" w:rsidRDefault="004E376C" w:rsidP="004E376C">
      <w:pPr>
        <w:rPr>
          <w:sz w:val="24"/>
          <w:szCs w:val="24"/>
        </w:rPr>
      </w:pPr>
    </w:p>
    <w:p w14:paraId="7D363C5F" w14:textId="148E8C84" w:rsidR="004E376C" w:rsidRPr="004E376C" w:rsidRDefault="004E376C" w:rsidP="000314C1">
      <w:pPr>
        <w:rPr>
          <w:b/>
          <w:sz w:val="24"/>
          <w:szCs w:val="24"/>
        </w:rPr>
      </w:pPr>
      <w:r w:rsidRPr="004E376C">
        <w:rPr>
          <w:sz w:val="24"/>
          <w:szCs w:val="24"/>
        </w:rPr>
        <w:tab/>
        <w:t xml:space="preserve">As outlined above, </w:t>
      </w:r>
      <w:r w:rsidR="00561FF4">
        <w:rPr>
          <w:sz w:val="24"/>
          <w:szCs w:val="24"/>
        </w:rPr>
        <w:t>Summer</w:t>
      </w:r>
      <w:r w:rsidR="000B43AD">
        <w:rPr>
          <w:sz w:val="24"/>
          <w:szCs w:val="24"/>
        </w:rPr>
        <w:t xml:space="preserve"> Energy</w:t>
      </w:r>
      <w:r w:rsidRPr="004E376C">
        <w:rPr>
          <w:sz w:val="24"/>
          <w:szCs w:val="24"/>
        </w:rPr>
        <w:t xml:space="preserve"> has a </w:t>
      </w:r>
      <w:r w:rsidR="00A47FBF">
        <w:rPr>
          <w:sz w:val="24"/>
          <w:szCs w:val="24"/>
        </w:rPr>
        <w:t>105</w:t>
      </w:r>
      <w:r w:rsidRPr="004E376C">
        <w:rPr>
          <w:sz w:val="24"/>
          <w:szCs w:val="24"/>
        </w:rPr>
        <w:t xml:space="preserve"> MWh credit deficiency for Tier I (Non-Solar), a </w:t>
      </w:r>
      <w:r w:rsidR="00A47FBF">
        <w:rPr>
          <w:sz w:val="24"/>
          <w:szCs w:val="24"/>
        </w:rPr>
        <w:t>7</w:t>
      </w:r>
      <w:r w:rsidRPr="004E376C">
        <w:rPr>
          <w:sz w:val="24"/>
          <w:szCs w:val="24"/>
        </w:rPr>
        <w:t xml:space="preserve"> MWh credit deficiency for Tier I Solar and a </w:t>
      </w:r>
      <w:r w:rsidR="00A47FBF">
        <w:rPr>
          <w:sz w:val="24"/>
          <w:szCs w:val="24"/>
        </w:rPr>
        <w:t>135</w:t>
      </w:r>
      <w:r w:rsidRPr="004E376C">
        <w:rPr>
          <w:sz w:val="24"/>
          <w:szCs w:val="24"/>
        </w:rPr>
        <w:t xml:space="preserve"> MWh credit deficiency for Tier II alternative energy credits.  The Commission is required to impose an alternative compliance payment of $45 times the number of additional Tier I (Non-Solar), $</w:t>
      </w:r>
      <w:r w:rsidR="002165CF">
        <w:rPr>
          <w:sz w:val="24"/>
          <w:szCs w:val="24"/>
        </w:rPr>
        <w:t>76</w:t>
      </w:r>
      <w:r w:rsidRPr="004E376C">
        <w:rPr>
          <w:sz w:val="24"/>
          <w:szCs w:val="24"/>
        </w:rPr>
        <w:t>.</w:t>
      </w:r>
      <w:r w:rsidR="002165CF">
        <w:rPr>
          <w:sz w:val="24"/>
          <w:szCs w:val="24"/>
        </w:rPr>
        <w:t>48</w:t>
      </w:r>
      <w:r w:rsidRPr="004E376C">
        <w:rPr>
          <w:sz w:val="24"/>
          <w:szCs w:val="24"/>
        </w:rPr>
        <w:t xml:space="preserve"> times the number of Tier I Solar, and $45 times the number of additional Tier II alternative energy credits needed to comply with AEPS</w:t>
      </w:r>
      <w:r w:rsidR="006802AC" w:rsidRPr="004E376C">
        <w:rPr>
          <w:sz w:val="24"/>
          <w:szCs w:val="24"/>
        </w:rPr>
        <w:t xml:space="preserve">. </w:t>
      </w:r>
      <w:r w:rsidR="00664141">
        <w:rPr>
          <w:sz w:val="24"/>
          <w:szCs w:val="24"/>
        </w:rPr>
        <w:t xml:space="preserve"> </w:t>
      </w:r>
      <w:r w:rsidRPr="004E376C">
        <w:rPr>
          <w:i/>
          <w:sz w:val="24"/>
          <w:szCs w:val="24"/>
        </w:rPr>
        <w:t>See,</w:t>
      </w:r>
      <w:r w:rsidRPr="004E376C">
        <w:rPr>
          <w:sz w:val="24"/>
          <w:szCs w:val="24"/>
        </w:rPr>
        <w:t xml:space="preserve"> 73 P.S. §§1648.3(f)</w:t>
      </w:r>
      <w:r w:rsidR="00651912" w:rsidRPr="004E376C">
        <w:rPr>
          <w:sz w:val="24"/>
          <w:szCs w:val="24"/>
        </w:rPr>
        <w:t>.</w:t>
      </w:r>
      <w:r w:rsidR="00651912">
        <w:rPr>
          <w:sz w:val="24"/>
          <w:szCs w:val="24"/>
        </w:rPr>
        <w:t xml:space="preserve"> </w:t>
      </w:r>
      <w:r w:rsidR="00651912" w:rsidRPr="004E376C">
        <w:rPr>
          <w:sz w:val="24"/>
          <w:szCs w:val="24"/>
        </w:rPr>
        <w:t xml:space="preserve"> </w:t>
      </w:r>
      <w:r w:rsidRPr="004E376C">
        <w:rPr>
          <w:b/>
          <w:sz w:val="24"/>
          <w:szCs w:val="24"/>
        </w:rPr>
        <w:t>Therefore, an alternative energy compliance payment of $</w:t>
      </w:r>
      <w:r w:rsidR="00C61DB7">
        <w:rPr>
          <w:b/>
          <w:sz w:val="24"/>
          <w:szCs w:val="24"/>
        </w:rPr>
        <w:t>11,335.36</w:t>
      </w:r>
      <w:r w:rsidRPr="004E376C">
        <w:rPr>
          <w:b/>
          <w:sz w:val="24"/>
          <w:szCs w:val="24"/>
        </w:rPr>
        <w:t xml:space="preserve"> is hereby imposed on </w:t>
      </w:r>
      <w:r w:rsidR="00C61DB7">
        <w:rPr>
          <w:b/>
          <w:sz w:val="24"/>
          <w:szCs w:val="24"/>
        </w:rPr>
        <w:t>Summer</w:t>
      </w:r>
      <w:r w:rsidR="000B43AD">
        <w:rPr>
          <w:b/>
          <w:sz w:val="24"/>
          <w:szCs w:val="24"/>
        </w:rPr>
        <w:t xml:space="preserve"> Energy</w:t>
      </w:r>
      <w:r w:rsidRPr="004E376C">
        <w:rPr>
          <w:b/>
          <w:sz w:val="24"/>
          <w:szCs w:val="24"/>
        </w:rPr>
        <w:t>.</w:t>
      </w:r>
    </w:p>
    <w:p w14:paraId="24B6FDB4" w14:textId="77777777" w:rsidR="004E376C" w:rsidRPr="004E376C" w:rsidRDefault="004E376C" w:rsidP="004E376C">
      <w:pPr>
        <w:rPr>
          <w:sz w:val="24"/>
          <w:szCs w:val="24"/>
        </w:rPr>
      </w:pPr>
    </w:p>
    <w:p w14:paraId="76CB5429" w14:textId="77777777" w:rsidR="002A414C" w:rsidRDefault="002A414C" w:rsidP="000314C1">
      <w:pPr>
        <w:rPr>
          <w:sz w:val="24"/>
          <w:szCs w:val="24"/>
        </w:rPr>
      </w:pPr>
      <w:bookmarkStart w:id="1" w:name="_Hlk51316781"/>
    </w:p>
    <w:p w14:paraId="55154DE2" w14:textId="77777777" w:rsidR="002A414C" w:rsidRDefault="002A414C" w:rsidP="000314C1">
      <w:pPr>
        <w:rPr>
          <w:sz w:val="24"/>
          <w:szCs w:val="24"/>
        </w:rPr>
      </w:pPr>
    </w:p>
    <w:p w14:paraId="65C61522" w14:textId="77777777" w:rsidR="002A414C" w:rsidRDefault="002A414C" w:rsidP="000314C1">
      <w:pPr>
        <w:rPr>
          <w:sz w:val="24"/>
          <w:szCs w:val="24"/>
        </w:rPr>
      </w:pPr>
    </w:p>
    <w:p w14:paraId="1B2F992A" w14:textId="2D59B6C9" w:rsidR="004E376C" w:rsidRPr="004E376C" w:rsidRDefault="004E376C" w:rsidP="000314C1">
      <w:pPr>
        <w:rPr>
          <w:sz w:val="24"/>
          <w:szCs w:val="24"/>
        </w:rPr>
      </w:pPr>
      <w:r w:rsidRPr="004E376C">
        <w:rPr>
          <w:sz w:val="24"/>
          <w:szCs w:val="24"/>
        </w:rPr>
        <w:t xml:space="preserve">You have fifteen (15) days from the date of this notice to file a petition with the Secretary of the PUC challenging this alternative compliance payment determination.  Failure to respond within fifteen (15) days shall be deemed an acceptance of the determination.  </w:t>
      </w:r>
      <w:r w:rsidRPr="004E376C">
        <w:rPr>
          <w:i/>
          <w:sz w:val="24"/>
          <w:szCs w:val="24"/>
        </w:rPr>
        <w:t>See,</w:t>
      </w:r>
      <w:r w:rsidRPr="004E376C">
        <w:rPr>
          <w:sz w:val="24"/>
          <w:szCs w:val="24"/>
        </w:rPr>
        <w:t xml:space="preserve"> 52 Pa. Code §75.65(c).  </w:t>
      </w:r>
    </w:p>
    <w:p w14:paraId="0C13B1A2" w14:textId="77777777" w:rsidR="004E376C" w:rsidRPr="004E376C" w:rsidRDefault="004E376C" w:rsidP="000314C1">
      <w:pPr>
        <w:rPr>
          <w:sz w:val="24"/>
          <w:szCs w:val="24"/>
        </w:rPr>
      </w:pPr>
    </w:p>
    <w:p w14:paraId="6A92515E" w14:textId="77777777" w:rsidR="004E376C" w:rsidRPr="004E376C" w:rsidRDefault="004E376C" w:rsidP="000314C1">
      <w:pPr>
        <w:ind w:firstLine="720"/>
        <w:rPr>
          <w:sz w:val="24"/>
          <w:szCs w:val="24"/>
        </w:rPr>
      </w:pPr>
      <w:r w:rsidRPr="004E376C">
        <w:rPr>
          <w:sz w:val="24"/>
          <w:szCs w:val="24"/>
        </w:rPr>
        <w:t xml:space="preserve">If you accept this alternative compliance payment determination, payment is due within thirty (30) days of the date on this letter and </w:t>
      </w:r>
      <w:r w:rsidRPr="004E376C">
        <w:rPr>
          <w:sz w:val="24"/>
          <w:szCs w:val="24"/>
          <w:u w:val="single"/>
        </w:rPr>
        <w:t>payable to:</w:t>
      </w:r>
      <w:r w:rsidRPr="004E376C">
        <w:rPr>
          <w:sz w:val="24"/>
          <w:szCs w:val="24"/>
        </w:rPr>
        <w:t xml:space="preserve"> </w:t>
      </w:r>
      <w:r w:rsidRPr="004E376C">
        <w:rPr>
          <w:b/>
          <w:sz w:val="24"/>
          <w:szCs w:val="24"/>
        </w:rPr>
        <w:t>PASEB ACP Payment</w:t>
      </w:r>
      <w:r w:rsidRPr="004E376C">
        <w:rPr>
          <w:sz w:val="24"/>
          <w:szCs w:val="24"/>
        </w:rPr>
        <w:t xml:space="preserve">.  </w:t>
      </w:r>
      <w:r w:rsidRPr="004E376C">
        <w:rPr>
          <w:i/>
          <w:sz w:val="24"/>
          <w:szCs w:val="24"/>
        </w:rPr>
        <w:t>See,</w:t>
      </w:r>
      <w:r w:rsidRPr="004E376C">
        <w:rPr>
          <w:sz w:val="24"/>
          <w:szCs w:val="24"/>
        </w:rPr>
        <w:t xml:space="preserve"> 52 Pa. Code §75.65(d).</w:t>
      </w:r>
    </w:p>
    <w:bookmarkEnd w:id="1"/>
    <w:p w14:paraId="0A4861DD" w14:textId="77777777" w:rsidR="004E376C" w:rsidRPr="004E376C" w:rsidRDefault="004E376C" w:rsidP="000314C1">
      <w:pPr>
        <w:rPr>
          <w:sz w:val="24"/>
          <w:szCs w:val="24"/>
        </w:rPr>
      </w:pPr>
    </w:p>
    <w:p w14:paraId="15DEFF2E" w14:textId="77777777" w:rsidR="004E376C" w:rsidRPr="004E376C" w:rsidRDefault="004E376C" w:rsidP="000314C1">
      <w:pPr>
        <w:rPr>
          <w:sz w:val="24"/>
          <w:szCs w:val="24"/>
        </w:rPr>
      </w:pPr>
    </w:p>
    <w:p w14:paraId="26F03B6A" w14:textId="77777777" w:rsidR="004E376C" w:rsidRPr="004E376C" w:rsidRDefault="004E376C" w:rsidP="000314C1">
      <w:pPr>
        <w:rPr>
          <w:sz w:val="24"/>
          <w:szCs w:val="24"/>
        </w:rPr>
      </w:pPr>
      <w:r w:rsidRPr="004E376C">
        <w:rPr>
          <w:sz w:val="24"/>
          <w:szCs w:val="24"/>
        </w:rPr>
        <w:tab/>
        <w:t>Please send the payment to:</w:t>
      </w:r>
      <w:r w:rsidRPr="004E376C">
        <w:rPr>
          <w:sz w:val="24"/>
          <w:szCs w:val="24"/>
        </w:rPr>
        <w:tab/>
        <w:t>Pennsylvania Public Utility Commission</w:t>
      </w:r>
    </w:p>
    <w:p w14:paraId="692411B8" w14:textId="77777777" w:rsidR="004E376C" w:rsidRPr="004E376C" w:rsidRDefault="004E376C" w:rsidP="000314C1">
      <w:pPr>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Commonwealth Keystone Building</w:t>
      </w:r>
    </w:p>
    <w:p w14:paraId="27C8B33C" w14:textId="77777777" w:rsidR="004E376C" w:rsidRPr="004E376C" w:rsidRDefault="004E376C" w:rsidP="000314C1">
      <w:pPr>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400 North Street</w:t>
      </w:r>
    </w:p>
    <w:p w14:paraId="5990D425" w14:textId="77777777" w:rsidR="004E376C" w:rsidRPr="004E376C" w:rsidRDefault="004E376C" w:rsidP="000314C1">
      <w:pPr>
        <w:ind w:left="2880" w:firstLine="720"/>
        <w:rPr>
          <w:sz w:val="24"/>
          <w:szCs w:val="24"/>
        </w:rPr>
      </w:pPr>
      <w:r w:rsidRPr="004E376C">
        <w:rPr>
          <w:sz w:val="24"/>
          <w:szCs w:val="24"/>
        </w:rPr>
        <w:t>Harrisburg, PA   17120</w:t>
      </w:r>
    </w:p>
    <w:p w14:paraId="242776FF" w14:textId="77777777" w:rsidR="004E376C" w:rsidRPr="004E376C" w:rsidRDefault="004E376C" w:rsidP="000314C1">
      <w:pPr>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Attention:  Policy &amp; Planning Section</w:t>
      </w:r>
    </w:p>
    <w:p w14:paraId="190CC92A" w14:textId="77777777" w:rsidR="004E376C" w:rsidRPr="004E376C" w:rsidRDefault="004E376C" w:rsidP="000314C1">
      <w:pPr>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 xml:space="preserve">      Technical Utility Services</w:t>
      </w:r>
    </w:p>
    <w:p w14:paraId="1A8E1066" w14:textId="77777777" w:rsidR="004E376C" w:rsidRPr="004E376C" w:rsidRDefault="004E376C" w:rsidP="000314C1">
      <w:pPr>
        <w:rPr>
          <w:sz w:val="24"/>
          <w:szCs w:val="24"/>
        </w:rPr>
      </w:pPr>
    </w:p>
    <w:p w14:paraId="5717DF1D" w14:textId="77777777" w:rsidR="004E376C" w:rsidRPr="004E376C" w:rsidRDefault="004E376C" w:rsidP="000314C1">
      <w:pPr>
        <w:rPr>
          <w:sz w:val="24"/>
          <w:szCs w:val="24"/>
        </w:rPr>
      </w:pPr>
    </w:p>
    <w:p w14:paraId="49D72F01" w14:textId="77777777" w:rsidR="004E376C" w:rsidRPr="004E376C" w:rsidRDefault="004E376C" w:rsidP="000314C1">
      <w:pPr>
        <w:rPr>
          <w:sz w:val="24"/>
          <w:szCs w:val="24"/>
        </w:rPr>
      </w:pPr>
      <w:r w:rsidRPr="004E376C">
        <w:rPr>
          <w:sz w:val="24"/>
          <w:szCs w:val="24"/>
        </w:rPr>
        <w:tab/>
        <w:t xml:space="preserve">The alternative compliance payments will be paid into a special fund of the PA Sustainable Energy Board and will be used solely for projects that will increase the amount of electric energy generated from alternative energy resources for compliance purposes.  </w:t>
      </w:r>
      <w:r w:rsidRPr="004E376C">
        <w:rPr>
          <w:i/>
          <w:sz w:val="24"/>
          <w:szCs w:val="24"/>
        </w:rPr>
        <w:t>See,</w:t>
      </w:r>
      <w:r w:rsidRPr="004E376C">
        <w:rPr>
          <w:sz w:val="24"/>
          <w:szCs w:val="24"/>
        </w:rPr>
        <w:t xml:space="preserve"> 73 P.S. §§1648.3(g) and 52 Pa. Code §§75.65(e) &amp; (f).</w:t>
      </w:r>
    </w:p>
    <w:p w14:paraId="5F33208A" w14:textId="77777777" w:rsidR="004E376C" w:rsidRPr="004E376C" w:rsidRDefault="004E376C" w:rsidP="000314C1">
      <w:pPr>
        <w:rPr>
          <w:sz w:val="24"/>
          <w:szCs w:val="24"/>
        </w:rPr>
      </w:pPr>
    </w:p>
    <w:p w14:paraId="47742C8B" w14:textId="77777777" w:rsidR="004E376C" w:rsidRPr="004E376C" w:rsidRDefault="004E376C" w:rsidP="000314C1">
      <w:pPr>
        <w:ind w:firstLine="720"/>
        <w:rPr>
          <w:sz w:val="24"/>
          <w:szCs w:val="24"/>
        </w:rPr>
      </w:pPr>
      <w:r w:rsidRPr="004E376C">
        <w:rPr>
          <w:sz w:val="24"/>
          <w:szCs w:val="24"/>
        </w:rPr>
        <w:t>Thank you for your attention to this matter.  If you have any questions, please contact me at 717-783-5244.</w:t>
      </w:r>
    </w:p>
    <w:p w14:paraId="4EDDA53D" w14:textId="77777777" w:rsidR="004E376C" w:rsidRPr="004E376C" w:rsidRDefault="004E376C" w:rsidP="004E376C">
      <w:pPr>
        <w:rPr>
          <w:sz w:val="24"/>
          <w:szCs w:val="24"/>
        </w:rPr>
      </w:pPr>
    </w:p>
    <w:p w14:paraId="2818FFB6" w14:textId="77777777" w:rsidR="004E376C" w:rsidRPr="004E376C" w:rsidRDefault="004E376C" w:rsidP="004E376C">
      <w:pPr>
        <w:ind w:left="2160"/>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Very truly yours,</w:t>
      </w:r>
    </w:p>
    <w:p w14:paraId="6216A7D5" w14:textId="77777777" w:rsidR="004E376C" w:rsidRPr="004E376C" w:rsidRDefault="004E376C" w:rsidP="004E376C">
      <w:pPr>
        <w:ind w:left="2160"/>
        <w:rPr>
          <w:sz w:val="24"/>
          <w:szCs w:val="24"/>
        </w:rPr>
      </w:pPr>
    </w:p>
    <w:p w14:paraId="75DBC3D0" w14:textId="23041520" w:rsidR="004E376C" w:rsidRPr="002A414C" w:rsidRDefault="002A414C" w:rsidP="004E376C">
      <w:pPr>
        <w:ind w:left="2160"/>
        <w:rPr>
          <w:rFonts w:ascii="Lucida Calligraphy" w:hAnsi="Lucida Calligraphy"/>
          <w:sz w:val="28"/>
          <w:szCs w:val="28"/>
        </w:rPr>
      </w:pPr>
      <w:r>
        <w:rPr>
          <w:sz w:val="24"/>
          <w:szCs w:val="24"/>
        </w:rPr>
        <w:tab/>
      </w:r>
      <w:r>
        <w:rPr>
          <w:sz w:val="24"/>
          <w:szCs w:val="24"/>
        </w:rPr>
        <w:tab/>
      </w:r>
      <w:r>
        <w:rPr>
          <w:sz w:val="24"/>
          <w:szCs w:val="24"/>
        </w:rPr>
        <w:tab/>
      </w:r>
      <w:r>
        <w:rPr>
          <w:sz w:val="24"/>
          <w:szCs w:val="24"/>
        </w:rPr>
        <w:tab/>
      </w:r>
      <w:r>
        <w:rPr>
          <w:sz w:val="24"/>
          <w:szCs w:val="24"/>
        </w:rPr>
        <w:tab/>
      </w:r>
      <w:r w:rsidRPr="002A414C">
        <w:rPr>
          <w:rFonts w:ascii="Lucida Calligraphy" w:hAnsi="Lucida Calligraphy"/>
          <w:sz w:val="28"/>
          <w:szCs w:val="28"/>
        </w:rPr>
        <w:t>Darren D. Gill</w:t>
      </w:r>
    </w:p>
    <w:p w14:paraId="0AF408FD" w14:textId="77777777" w:rsidR="004E376C" w:rsidRPr="004E376C" w:rsidRDefault="004E376C" w:rsidP="004E376C">
      <w:pPr>
        <w:ind w:left="2160"/>
        <w:rPr>
          <w:sz w:val="24"/>
          <w:szCs w:val="24"/>
        </w:rPr>
      </w:pPr>
    </w:p>
    <w:p w14:paraId="4F09804A" w14:textId="77777777" w:rsidR="004E376C" w:rsidRPr="004E376C" w:rsidRDefault="004E376C" w:rsidP="004E376C">
      <w:pPr>
        <w:ind w:left="2160"/>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Darren D. Gill</w:t>
      </w:r>
    </w:p>
    <w:p w14:paraId="3A8B816E" w14:textId="77777777" w:rsidR="004E376C" w:rsidRPr="004E376C" w:rsidRDefault="004E376C" w:rsidP="004E376C">
      <w:pPr>
        <w:ind w:left="2160"/>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Deputy Director</w:t>
      </w:r>
    </w:p>
    <w:p w14:paraId="14F13E0B" w14:textId="77777777" w:rsidR="004E376C" w:rsidRPr="004E376C" w:rsidRDefault="004E376C" w:rsidP="004E376C">
      <w:pPr>
        <w:ind w:left="2160"/>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Technical Utility Services</w:t>
      </w:r>
    </w:p>
    <w:p w14:paraId="05E5E0C0" w14:textId="77777777" w:rsidR="004E376C" w:rsidRPr="004E376C" w:rsidRDefault="004E376C" w:rsidP="004E376C">
      <w:pPr>
        <w:rPr>
          <w:sz w:val="24"/>
          <w:szCs w:val="24"/>
        </w:rPr>
      </w:pPr>
    </w:p>
    <w:p w14:paraId="5EEBD46E" w14:textId="77777777" w:rsidR="004E376C" w:rsidRPr="004E376C" w:rsidRDefault="004E376C" w:rsidP="004E376C">
      <w:pPr>
        <w:rPr>
          <w:sz w:val="24"/>
          <w:szCs w:val="24"/>
        </w:rPr>
      </w:pPr>
      <w:r w:rsidRPr="004E376C">
        <w:rPr>
          <w:sz w:val="24"/>
          <w:szCs w:val="24"/>
        </w:rPr>
        <w:t>Enclosure</w:t>
      </w:r>
    </w:p>
    <w:p w14:paraId="18416006" w14:textId="77777777" w:rsidR="004E376C" w:rsidRPr="004E376C" w:rsidRDefault="004E376C" w:rsidP="004E376C">
      <w:pPr>
        <w:rPr>
          <w:sz w:val="24"/>
          <w:szCs w:val="24"/>
        </w:rPr>
      </w:pPr>
    </w:p>
    <w:p w14:paraId="1F0D746A" w14:textId="1FAF1533" w:rsidR="004E376C" w:rsidRDefault="004E376C" w:rsidP="004E376C">
      <w:pPr>
        <w:rPr>
          <w:sz w:val="24"/>
          <w:szCs w:val="24"/>
        </w:rPr>
      </w:pPr>
      <w:r w:rsidRPr="004E376C">
        <w:rPr>
          <w:sz w:val="24"/>
          <w:szCs w:val="24"/>
        </w:rPr>
        <w:t>cc: InClime, PA AEPS Credit Administrator (w/o enc.)</w:t>
      </w:r>
    </w:p>
    <w:p w14:paraId="1ACD1508" w14:textId="5E15389D" w:rsidR="00C45A00" w:rsidRDefault="00C45A00" w:rsidP="004E376C">
      <w:pPr>
        <w:rPr>
          <w:sz w:val="24"/>
          <w:szCs w:val="24"/>
        </w:rPr>
      </w:pPr>
    </w:p>
    <w:p w14:paraId="6F29D485" w14:textId="32CAEB54" w:rsidR="005B4CDA" w:rsidRDefault="005B4CDA">
      <w:pPr>
        <w:rPr>
          <w:sz w:val="24"/>
          <w:szCs w:val="24"/>
        </w:rPr>
      </w:pPr>
      <w:r>
        <w:rPr>
          <w:sz w:val="24"/>
          <w:szCs w:val="24"/>
        </w:rPr>
        <w:br w:type="page"/>
      </w:r>
    </w:p>
    <w:p w14:paraId="2DB2B67B" w14:textId="5A221D7F" w:rsidR="005B4CDA" w:rsidRDefault="005B4CDA" w:rsidP="001D550C">
      <w:pPr>
        <w:ind w:left="144"/>
      </w:pPr>
      <w:r w:rsidRPr="005B4CDA">
        <w:rPr>
          <w:noProof/>
        </w:rPr>
        <w:lastRenderedPageBreak/>
        <w:drawing>
          <wp:inline distT="0" distB="0" distL="0" distR="0" wp14:anchorId="58A76E46" wp14:editId="5B04D188">
            <wp:extent cx="3467100"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552450"/>
                    </a:xfrm>
                    <a:prstGeom prst="rect">
                      <a:avLst/>
                    </a:prstGeom>
                    <a:noFill/>
                    <a:ln>
                      <a:noFill/>
                    </a:ln>
                  </pic:spPr>
                </pic:pic>
              </a:graphicData>
            </a:graphic>
          </wp:inline>
        </w:drawing>
      </w:r>
    </w:p>
    <w:p w14:paraId="69D2704B" w14:textId="5103F5FF" w:rsidR="005B4CDA" w:rsidRDefault="005B4CDA" w:rsidP="004E376C"/>
    <w:p w14:paraId="200124CF" w14:textId="360809C9" w:rsidR="005B4CDA" w:rsidRDefault="005B4CDA" w:rsidP="004E376C">
      <w:r w:rsidRPr="005B4CDA">
        <w:rPr>
          <w:noProof/>
        </w:rPr>
        <w:drawing>
          <wp:inline distT="0" distB="0" distL="0" distR="0" wp14:anchorId="3994B680" wp14:editId="4B5925B2">
            <wp:extent cx="6248400" cy="8058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0" cy="8058150"/>
                    </a:xfrm>
                    <a:prstGeom prst="rect">
                      <a:avLst/>
                    </a:prstGeom>
                    <a:noFill/>
                    <a:ln>
                      <a:noFill/>
                    </a:ln>
                  </pic:spPr>
                </pic:pic>
              </a:graphicData>
            </a:graphic>
          </wp:inline>
        </w:drawing>
      </w:r>
    </w:p>
    <w:p w14:paraId="6D6C41FA" w14:textId="5D11FD00" w:rsidR="005B4CDA" w:rsidRPr="005B4CDA" w:rsidRDefault="005B4CDA" w:rsidP="004E376C">
      <w:r w:rsidRPr="005B4CDA">
        <w:rPr>
          <w:noProof/>
        </w:rPr>
        <w:lastRenderedPageBreak/>
        <w:drawing>
          <wp:inline distT="0" distB="0" distL="0" distR="0" wp14:anchorId="0BA63989" wp14:editId="7006C93D">
            <wp:extent cx="6181725" cy="1990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725" cy="1990725"/>
                    </a:xfrm>
                    <a:prstGeom prst="rect">
                      <a:avLst/>
                    </a:prstGeom>
                    <a:noFill/>
                    <a:ln>
                      <a:noFill/>
                    </a:ln>
                  </pic:spPr>
                </pic:pic>
              </a:graphicData>
            </a:graphic>
          </wp:inline>
        </w:drawing>
      </w:r>
    </w:p>
    <w:sectPr w:rsidR="005B4CDA" w:rsidRPr="005B4CDA"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9DAA" w14:textId="77777777" w:rsidR="00A91696" w:rsidRDefault="00A91696">
      <w:r>
        <w:separator/>
      </w:r>
    </w:p>
  </w:endnote>
  <w:endnote w:type="continuationSeparator" w:id="0">
    <w:p w14:paraId="442B1CD3" w14:textId="77777777" w:rsidR="00A91696" w:rsidRDefault="00A9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CA8B" w14:textId="77777777" w:rsidR="00A91696" w:rsidRDefault="00A91696">
      <w:r>
        <w:separator/>
      </w:r>
    </w:p>
  </w:footnote>
  <w:footnote w:type="continuationSeparator" w:id="0">
    <w:p w14:paraId="3F812EDF" w14:textId="77777777" w:rsidR="00A91696" w:rsidRDefault="00A91696">
      <w:r>
        <w:continuationSeparator/>
      </w:r>
    </w:p>
  </w:footnote>
  <w:footnote w:id="1">
    <w:p w14:paraId="1397DED8" w14:textId="77777777" w:rsidR="004E376C" w:rsidRPr="00D73752" w:rsidRDefault="004E376C" w:rsidP="004E376C">
      <w:pPr>
        <w:pStyle w:val="FootnoteText"/>
        <w:rPr>
          <w:rFonts w:ascii="Times New Roman" w:hAnsi="Times New Roman"/>
        </w:rPr>
      </w:pPr>
      <w:r w:rsidRPr="00D73752">
        <w:rPr>
          <w:rStyle w:val="FootnoteReference"/>
          <w:rFonts w:ascii="Times New Roman" w:hAnsi="Times New Roman"/>
        </w:rPr>
        <w:footnoteRef/>
      </w:r>
      <w:r w:rsidRPr="00D73752">
        <w:rPr>
          <w:rFonts w:ascii="Times New Roman" w:hAnsi="Times New Roman"/>
        </w:rPr>
        <w:t xml:space="preserve"> </w:t>
      </w:r>
      <w:r w:rsidRPr="00D73752">
        <w:rPr>
          <w:rFonts w:ascii="Times New Roman" w:hAnsi="Times New Roman"/>
          <w:i/>
        </w:rPr>
        <w:t>See also</w:t>
      </w:r>
      <w:r w:rsidRPr="00D73752">
        <w:rPr>
          <w:rFonts w:ascii="Times New Roman" w:hAnsi="Times New Roman"/>
        </w:rPr>
        <w:t xml:space="preserve">, </w:t>
      </w:r>
      <w:r>
        <w:rPr>
          <w:rFonts w:ascii="Times New Roman" w:hAnsi="Times New Roman"/>
          <w:i/>
        </w:rPr>
        <w:t>Implementation of Act 129 of 2008 Phase 4 – Relating to the Alternative Energy Portfolio Standards Act</w:t>
      </w:r>
      <w:r>
        <w:rPr>
          <w:rFonts w:ascii="Times New Roman" w:hAnsi="Times New Roman"/>
        </w:rPr>
        <w:t>, Order, at Docket No. M-2009-2093383 (entered May 28, 2009) implementing the AEPS Act requirement to adjust Tier I percentage share requirements on a quarterly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14C1"/>
    <w:rsid w:val="000377B1"/>
    <w:rsid w:val="0006058D"/>
    <w:rsid w:val="00067F4D"/>
    <w:rsid w:val="00071AED"/>
    <w:rsid w:val="000722FE"/>
    <w:rsid w:val="000846F6"/>
    <w:rsid w:val="000A223D"/>
    <w:rsid w:val="000B43AD"/>
    <w:rsid w:val="000C0721"/>
    <w:rsid w:val="000C718C"/>
    <w:rsid w:val="000E3958"/>
    <w:rsid w:val="000E5B2E"/>
    <w:rsid w:val="000E7FB5"/>
    <w:rsid w:val="00111292"/>
    <w:rsid w:val="001209F1"/>
    <w:rsid w:val="00125446"/>
    <w:rsid w:val="00134DA3"/>
    <w:rsid w:val="0013719C"/>
    <w:rsid w:val="001614F4"/>
    <w:rsid w:val="00176D8E"/>
    <w:rsid w:val="00186176"/>
    <w:rsid w:val="001A02C4"/>
    <w:rsid w:val="001A3788"/>
    <w:rsid w:val="001C34D1"/>
    <w:rsid w:val="001D37A3"/>
    <w:rsid w:val="001D550C"/>
    <w:rsid w:val="001E0363"/>
    <w:rsid w:val="001E1BF3"/>
    <w:rsid w:val="001E4C65"/>
    <w:rsid w:val="002162F4"/>
    <w:rsid w:val="002165CF"/>
    <w:rsid w:val="002229C3"/>
    <w:rsid w:val="0022598F"/>
    <w:rsid w:val="002627E4"/>
    <w:rsid w:val="002706A0"/>
    <w:rsid w:val="00272AC3"/>
    <w:rsid w:val="00272B1F"/>
    <w:rsid w:val="002731CA"/>
    <w:rsid w:val="0029471C"/>
    <w:rsid w:val="002A20E4"/>
    <w:rsid w:val="002A414C"/>
    <w:rsid w:val="002A6DAF"/>
    <w:rsid w:val="002C7682"/>
    <w:rsid w:val="002E0E41"/>
    <w:rsid w:val="002E4A14"/>
    <w:rsid w:val="002F0138"/>
    <w:rsid w:val="002F2A55"/>
    <w:rsid w:val="002F55B1"/>
    <w:rsid w:val="00300FAB"/>
    <w:rsid w:val="00305FBB"/>
    <w:rsid w:val="003074C3"/>
    <w:rsid w:val="00340F5E"/>
    <w:rsid w:val="003569E8"/>
    <w:rsid w:val="0036363A"/>
    <w:rsid w:val="00372134"/>
    <w:rsid w:val="00385CA5"/>
    <w:rsid w:val="00397905"/>
    <w:rsid w:val="003A698F"/>
    <w:rsid w:val="00436BE7"/>
    <w:rsid w:val="00474D6A"/>
    <w:rsid w:val="00481477"/>
    <w:rsid w:val="00487CA3"/>
    <w:rsid w:val="004C090E"/>
    <w:rsid w:val="004C4A5A"/>
    <w:rsid w:val="004D2698"/>
    <w:rsid w:val="004D57EC"/>
    <w:rsid w:val="004E376C"/>
    <w:rsid w:val="0051639C"/>
    <w:rsid w:val="00530041"/>
    <w:rsid w:val="00561FF4"/>
    <w:rsid w:val="005B4CDA"/>
    <w:rsid w:val="005E25C5"/>
    <w:rsid w:val="00602685"/>
    <w:rsid w:val="006439A8"/>
    <w:rsid w:val="00651912"/>
    <w:rsid w:val="00664141"/>
    <w:rsid w:val="006755C0"/>
    <w:rsid w:val="006802AC"/>
    <w:rsid w:val="00685561"/>
    <w:rsid w:val="00695FE7"/>
    <w:rsid w:val="006A2F16"/>
    <w:rsid w:val="0071154F"/>
    <w:rsid w:val="0071271A"/>
    <w:rsid w:val="00717C2B"/>
    <w:rsid w:val="00750D96"/>
    <w:rsid w:val="00752A5A"/>
    <w:rsid w:val="00760CAD"/>
    <w:rsid w:val="007617B1"/>
    <w:rsid w:val="007829DC"/>
    <w:rsid w:val="00794CF5"/>
    <w:rsid w:val="007A69A2"/>
    <w:rsid w:val="007C085F"/>
    <w:rsid w:val="007F7263"/>
    <w:rsid w:val="0081537D"/>
    <w:rsid w:val="00831095"/>
    <w:rsid w:val="008438AB"/>
    <w:rsid w:val="00867F90"/>
    <w:rsid w:val="008750DB"/>
    <w:rsid w:val="00876AD6"/>
    <w:rsid w:val="0088179E"/>
    <w:rsid w:val="008B397C"/>
    <w:rsid w:val="00900881"/>
    <w:rsid w:val="0091115D"/>
    <w:rsid w:val="00934FA1"/>
    <w:rsid w:val="00937AC0"/>
    <w:rsid w:val="009522EE"/>
    <w:rsid w:val="009833D1"/>
    <w:rsid w:val="009A2860"/>
    <w:rsid w:val="009B23D8"/>
    <w:rsid w:val="009C2DDA"/>
    <w:rsid w:val="009C5DC4"/>
    <w:rsid w:val="009E40EC"/>
    <w:rsid w:val="009F5F66"/>
    <w:rsid w:val="00A0138D"/>
    <w:rsid w:val="00A14087"/>
    <w:rsid w:val="00A16325"/>
    <w:rsid w:val="00A21C20"/>
    <w:rsid w:val="00A35F64"/>
    <w:rsid w:val="00A47FBF"/>
    <w:rsid w:val="00A53EAC"/>
    <w:rsid w:val="00A81E4B"/>
    <w:rsid w:val="00A91696"/>
    <w:rsid w:val="00AA12A9"/>
    <w:rsid w:val="00AE3B8A"/>
    <w:rsid w:val="00B05141"/>
    <w:rsid w:val="00B64EDB"/>
    <w:rsid w:val="00B659CF"/>
    <w:rsid w:val="00B75046"/>
    <w:rsid w:val="00B97256"/>
    <w:rsid w:val="00BA3DDB"/>
    <w:rsid w:val="00BB1BDE"/>
    <w:rsid w:val="00BE47D7"/>
    <w:rsid w:val="00BE4A72"/>
    <w:rsid w:val="00BE5119"/>
    <w:rsid w:val="00BE6D93"/>
    <w:rsid w:val="00C02321"/>
    <w:rsid w:val="00C45A00"/>
    <w:rsid w:val="00C57223"/>
    <w:rsid w:val="00C61DB7"/>
    <w:rsid w:val="00C64ED9"/>
    <w:rsid w:val="00C74A51"/>
    <w:rsid w:val="00C77F29"/>
    <w:rsid w:val="00C857C7"/>
    <w:rsid w:val="00C90506"/>
    <w:rsid w:val="00C91484"/>
    <w:rsid w:val="00CB5738"/>
    <w:rsid w:val="00CF047C"/>
    <w:rsid w:val="00CF290E"/>
    <w:rsid w:val="00D2288A"/>
    <w:rsid w:val="00D24C04"/>
    <w:rsid w:val="00D32BD5"/>
    <w:rsid w:val="00D33ADE"/>
    <w:rsid w:val="00D365AD"/>
    <w:rsid w:val="00D4351D"/>
    <w:rsid w:val="00D623D5"/>
    <w:rsid w:val="00D725FE"/>
    <w:rsid w:val="00D901A3"/>
    <w:rsid w:val="00DB4BDE"/>
    <w:rsid w:val="00DD678C"/>
    <w:rsid w:val="00DE3F29"/>
    <w:rsid w:val="00E24D3E"/>
    <w:rsid w:val="00E349DA"/>
    <w:rsid w:val="00E97B13"/>
    <w:rsid w:val="00EB4DF4"/>
    <w:rsid w:val="00EF5F20"/>
    <w:rsid w:val="00F0016E"/>
    <w:rsid w:val="00F001A3"/>
    <w:rsid w:val="00F31CE4"/>
    <w:rsid w:val="00F7094C"/>
    <w:rsid w:val="00F77A52"/>
    <w:rsid w:val="00F90146"/>
    <w:rsid w:val="00F96229"/>
    <w:rsid w:val="00FA0E37"/>
    <w:rsid w:val="00FB61E7"/>
    <w:rsid w:val="00FE1F4A"/>
    <w:rsid w:val="00FE3260"/>
    <w:rsid w:val="00FF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FootnoteText">
    <w:name w:val="footnote text"/>
    <w:basedOn w:val="Normal"/>
    <w:link w:val="FootnoteTextChar"/>
    <w:rsid w:val="004E376C"/>
    <w:rPr>
      <w:rFonts w:ascii="Courier New" w:hAnsi="Courier New"/>
    </w:rPr>
  </w:style>
  <w:style w:type="character" w:customStyle="1" w:styleId="FootnoteTextChar">
    <w:name w:val="Footnote Text Char"/>
    <w:basedOn w:val="DefaultParagraphFont"/>
    <w:link w:val="FootnoteText"/>
    <w:rsid w:val="004E376C"/>
    <w:rPr>
      <w:rFonts w:ascii="Courier New" w:hAnsi="Courier New"/>
    </w:rPr>
  </w:style>
  <w:style w:type="character" w:styleId="FootnoteReference">
    <w:name w:val="footnote reference"/>
    <w:rsid w:val="004E376C"/>
    <w:rPr>
      <w:vertAlign w:val="superscript"/>
    </w:rPr>
  </w:style>
  <w:style w:type="character" w:styleId="CommentReference">
    <w:name w:val="annotation reference"/>
    <w:basedOn w:val="DefaultParagraphFont"/>
    <w:rsid w:val="004E376C"/>
    <w:rPr>
      <w:sz w:val="16"/>
      <w:szCs w:val="16"/>
    </w:rPr>
  </w:style>
  <w:style w:type="paragraph" w:styleId="CommentText">
    <w:name w:val="annotation text"/>
    <w:basedOn w:val="Normal"/>
    <w:link w:val="CommentTextChar"/>
    <w:rsid w:val="004E376C"/>
    <w:rPr>
      <w:rFonts w:ascii="Courier New" w:hAnsi="Courier New"/>
    </w:rPr>
  </w:style>
  <w:style w:type="character" w:customStyle="1" w:styleId="CommentTextChar">
    <w:name w:val="Comment Text Char"/>
    <w:basedOn w:val="DefaultParagraphFont"/>
    <w:link w:val="CommentText"/>
    <w:rsid w:val="004E376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531</Words>
  <Characters>3106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2021-10-20T16:58:00Z</dcterms:created>
  <dcterms:modified xsi:type="dcterms:W3CDTF">2021-10-20T16:58:00Z</dcterms:modified>
</cp:coreProperties>
</file>