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98B4" w14:textId="77777777" w:rsidR="009078DF" w:rsidRPr="00BC3D6E" w:rsidRDefault="009078DF" w:rsidP="00074493">
      <w:pPr>
        <w:tabs>
          <w:tab w:val="center" w:pos="4680"/>
        </w:tabs>
        <w:suppressAutoHyphens/>
        <w:spacing w:line="240" w:lineRule="auto"/>
        <w:ind w:firstLine="0"/>
        <w:jc w:val="center"/>
        <w:rPr>
          <w:b/>
          <w:sz w:val="26"/>
          <w:szCs w:val="26"/>
        </w:rPr>
      </w:pPr>
      <w:r w:rsidRPr="00BC3D6E">
        <w:rPr>
          <w:b/>
          <w:sz w:val="26"/>
          <w:szCs w:val="26"/>
        </w:rPr>
        <w:t>PENNSYLVANIA</w:t>
      </w:r>
    </w:p>
    <w:p w14:paraId="5D8B1711" w14:textId="77777777" w:rsidR="009078DF" w:rsidRPr="00BC3D6E" w:rsidRDefault="009078DF" w:rsidP="00074493">
      <w:pPr>
        <w:tabs>
          <w:tab w:val="center" w:pos="4680"/>
        </w:tabs>
        <w:suppressAutoHyphens/>
        <w:spacing w:line="240" w:lineRule="auto"/>
        <w:ind w:firstLine="0"/>
        <w:jc w:val="center"/>
        <w:rPr>
          <w:sz w:val="26"/>
          <w:szCs w:val="26"/>
        </w:rPr>
      </w:pPr>
      <w:r w:rsidRPr="00BC3D6E">
        <w:rPr>
          <w:b/>
          <w:sz w:val="26"/>
          <w:szCs w:val="26"/>
        </w:rPr>
        <w:t>PUBLIC UTILITY COMMISSION</w:t>
      </w:r>
    </w:p>
    <w:p w14:paraId="3C00D3AC" w14:textId="6702A80B" w:rsidR="009078DF" w:rsidRPr="00BC3D6E" w:rsidRDefault="009078DF" w:rsidP="00074493">
      <w:pPr>
        <w:tabs>
          <w:tab w:val="center" w:pos="4680"/>
        </w:tabs>
        <w:suppressAutoHyphens/>
        <w:spacing w:line="240" w:lineRule="auto"/>
        <w:ind w:firstLine="0"/>
        <w:jc w:val="center"/>
        <w:rPr>
          <w:b/>
          <w:sz w:val="26"/>
          <w:szCs w:val="26"/>
        </w:rPr>
      </w:pPr>
      <w:r w:rsidRPr="00BC3D6E">
        <w:rPr>
          <w:b/>
          <w:sz w:val="26"/>
          <w:szCs w:val="26"/>
        </w:rPr>
        <w:t xml:space="preserve">Harrisburg, PA </w:t>
      </w:r>
      <w:r w:rsidR="00AB79B2">
        <w:rPr>
          <w:b/>
          <w:sz w:val="26"/>
          <w:szCs w:val="26"/>
        </w:rPr>
        <w:t xml:space="preserve"> </w:t>
      </w:r>
      <w:r w:rsidR="00F26248">
        <w:rPr>
          <w:b/>
          <w:sz w:val="26"/>
          <w:szCs w:val="26"/>
        </w:rPr>
        <w:t>17120</w:t>
      </w:r>
    </w:p>
    <w:p w14:paraId="06C547ED" w14:textId="77777777" w:rsidR="00AC4D78" w:rsidRPr="00BC3D6E" w:rsidRDefault="00AC4D78" w:rsidP="00074493">
      <w:pPr>
        <w:tabs>
          <w:tab w:val="center" w:pos="4680"/>
        </w:tabs>
        <w:suppressAutoHyphens/>
        <w:spacing w:line="240" w:lineRule="auto"/>
        <w:ind w:firstLine="0"/>
        <w:jc w:val="center"/>
        <w:rPr>
          <w:b/>
          <w:sz w:val="26"/>
          <w:szCs w:val="26"/>
        </w:rPr>
      </w:pPr>
    </w:p>
    <w:p w14:paraId="59650BCA" w14:textId="77777777" w:rsidR="00D6338D" w:rsidRPr="00BC3D6E" w:rsidRDefault="00D6338D" w:rsidP="00074493">
      <w:pPr>
        <w:tabs>
          <w:tab w:val="center" w:pos="4680"/>
        </w:tabs>
        <w:suppressAutoHyphens/>
        <w:spacing w:line="240" w:lineRule="auto"/>
        <w:ind w:firstLine="0"/>
        <w:jc w:val="center"/>
        <w:rPr>
          <w:b/>
          <w:sz w:val="26"/>
          <w:szCs w:val="26"/>
        </w:rPr>
      </w:pPr>
    </w:p>
    <w:tbl>
      <w:tblPr>
        <w:tblStyle w:val="TableGrid3"/>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27"/>
      </w:tblGrid>
      <w:tr w:rsidR="00337FA8" w:rsidRPr="00BC3D6E" w14:paraId="17FCA96A" w14:textId="77777777" w:rsidTr="002C4F56">
        <w:trPr>
          <w:trHeight w:val="159"/>
        </w:trPr>
        <w:tc>
          <w:tcPr>
            <w:tcW w:w="5130" w:type="dxa"/>
          </w:tcPr>
          <w:p w14:paraId="1482232C" w14:textId="77777777" w:rsidR="00E438E3" w:rsidRPr="00BC3D6E" w:rsidRDefault="00E438E3" w:rsidP="00074493">
            <w:pPr>
              <w:spacing w:line="240" w:lineRule="auto"/>
              <w:ind w:firstLine="0"/>
              <w:rPr>
                <w:rFonts w:ascii="Times New Roman" w:hAnsi="Times New Roman" w:cs="Times New Roman"/>
                <w:sz w:val="26"/>
                <w:szCs w:val="26"/>
              </w:rPr>
            </w:pPr>
          </w:p>
        </w:tc>
        <w:tc>
          <w:tcPr>
            <w:tcW w:w="4527" w:type="dxa"/>
          </w:tcPr>
          <w:p w14:paraId="5F8BF9D7" w14:textId="5A98CDA4" w:rsidR="00E438E3" w:rsidRPr="00BC3D6E" w:rsidRDefault="00487C3A" w:rsidP="00545347">
            <w:pPr>
              <w:spacing w:line="240" w:lineRule="auto"/>
              <w:ind w:left="-108" w:firstLine="0"/>
              <w:jc w:val="right"/>
              <w:rPr>
                <w:rFonts w:ascii="Times New Roman" w:hAnsi="Times New Roman" w:cs="Times New Roman"/>
                <w:sz w:val="26"/>
                <w:szCs w:val="26"/>
              </w:rPr>
            </w:pPr>
            <w:r>
              <w:rPr>
                <w:rFonts w:ascii="Times New Roman" w:hAnsi="Times New Roman" w:cs="Times New Roman"/>
                <w:sz w:val="26"/>
                <w:szCs w:val="26"/>
              </w:rPr>
              <w:t xml:space="preserve">Public Meeting held </w:t>
            </w:r>
            <w:r w:rsidR="00863CFE">
              <w:rPr>
                <w:rFonts w:ascii="Times New Roman" w:hAnsi="Times New Roman" w:cs="Times New Roman"/>
                <w:sz w:val="26"/>
                <w:szCs w:val="26"/>
              </w:rPr>
              <w:t>October 7</w:t>
            </w:r>
            <w:r>
              <w:rPr>
                <w:rFonts w:ascii="Times New Roman" w:hAnsi="Times New Roman" w:cs="Times New Roman"/>
                <w:sz w:val="26"/>
                <w:szCs w:val="26"/>
              </w:rPr>
              <w:t>, 202</w:t>
            </w:r>
            <w:r w:rsidR="002C4F56">
              <w:rPr>
                <w:rFonts w:ascii="Times New Roman" w:hAnsi="Times New Roman" w:cs="Times New Roman"/>
                <w:sz w:val="26"/>
                <w:szCs w:val="26"/>
              </w:rPr>
              <w:t>1</w:t>
            </w:r>
          </w:p>
        </w:tc>
      </w:tr>
      <w:tr w:rsidR="00337FA8" w:rsidRPr="00BC3D6E" w14:paraId="161F0B9A" w14:textId="77777777" w:rsidTr="002C4F56">
        <w:trPr>
          <w:trHeight w:val="83"/>
        </w:trPr>
        <w:tc>
          <w:tcPr>
            <w:tcW w:w="5130" w:type="dxa"/>
          </w:tcPr>
          <w:p w14:paraId="52FC0818" w14:textId="77777777" w:rsidR="005E064A" w:rsidRPr="00BC3D6E" w:rsidRDefault="005E064A" w:rsidP="00074493">
            <w:pPr>
              <w:spacing w:line="240" w:lineRule="auto"/>
              <w:ind w:firstLine="0"/>
              <w:rPr>
                <w:rFonts w:ascii="Times New Roman" w:hAnsi="Times New Roman" w:cs="Times New Roman"/>
                <w:sz w:val="26"/>
                <w:szCs w:val="26"/>
              </w:rPr>
            </w:pPr>
          </w:p>
        </w:tc>
        <w:tc>
          <w:tcPr>
            <w:tcW w:w="4527" w:type="dxa"/>
          </w:tcPr>
          <w:p w14:paraId="29CF7097" w14:textId="77777777" w:rsidR="005E064A" w:rsidRPr="00BC3D6E" w:rsidRDefault="005E064A" w:rsidP="00074493">
            <w:pPr>
              <w:spacing w:line="240" w:lineRule="auto"/>
              <w:ind w:left="-108" w:firstLine="0"/>
              <w:jc w:val="right"/>
              <w:rPr>
                <w:rFonts w:ascii="Times New Roman" w:hAnsi="Times New Roman" w:cs="Times New Roman"/>
                <w:sz w:val="26"/>
                <w:szCs w:val="26"/>
              </w:rPr>
            </w:pPr>
          </w:p>
        </w:tc>
      </w:tr>
      <w:tr w:rsidR="00EA0922" w:rsidRPr="00BC3D6E" w14:paraId="10657A4C" w14:textId="77777777" w:rsidTr="0050746D">
        <w:trPr>
          <w:trHeight w:val="632"/>
        </w:trPr>
        <w:tc>
          <w:tcPr>
            <w:tcW w:w="9657" w:type="dxa"/>
            <w:gridSpan w:val="2"/>
          </w:tcPr>
          <w:p w14:paraId="4413E499" w14:textId="77777777" w:rsidR="00EA0922" w:rsidRDefault="00EA0922" w:rsidP="00074493">
            <w:pPr>
              <w:spacing w:line="240" w:lineRule="auto"/>
              <w:ind w:firstLine="0"/>
              <w:rPr>
                <w:rFonts w:ascii="Times New Roman" w:hAnsi="Times New Roman" w:cs="Times New Roman"/>
                <w:sz w:val="26"/>
                <w:szCs w:val="26"/>
              </w:rPr>
            </w:pPr>
          </w:p>
          <w:p w14:paraId="4A35A337" w14:textId="77777777" w:rsidR="00EA0922" w:rsidRPr="00BC3D6E" w:rsidRDefault="00EA0922" w:rsidP="00074493">
            <w:pPr>
              <w:spacing w:line="240" w:lineRule="auto"/>
              <w:ind w:firstLine="0"/>
              <w:rPr>
                <w:rFonts w:ascii="Times New Roman" w:hAnsi="Times New Roman" w:cs="Times New Roman"/>
                <w:sz w:val="26"/>
                <w:szCs w:val="26"/>
              </w:rPr>
            </w:pPr>
            <w:r w:rsidRPr="00BC3D6E">
              <w:rPr>
                <w:rFonts w:ascii="Times New Roman" w:hAnsi="Times New Roman" w:cs="Times New Roman"/>
                <w:sz w:val="26"/>
                <w:szCs w:val="26"/>
              </w:rPr>
              <w:t>Commissioners Present:</w:t>
            </w:r>
          </w:p>
          <w:p w14:paraId="06C34276" w14:textId="77777777" w:rsidR="00EA0922" w:rsidRPr="00BC3D6E" w:rsidRDefault="00EA0922" w:rsidP="00074493">
            <w:pPr>
              <w:spacing w:line="240" w:lineRule="auto"/>
              <w:ind w:firstLine="0"/>
              <w:rPr>
                <w:rFonts w:ascii="Times New Roman" w:hAnsi="Times New Roman" w:cs="Times New Roman"/>
                <w:sz w:val="26"/>
                <w:szCs w:val="26"/>
              </w:rPr>
            </w:pPr>
          </w:p>
          <w:p w14:paraId="0BD9554E" w14:textId="7D184C41" w:rsidR="00EA0922" w:rsidRPr="00BC3D6E" w:rsidRDefault="00EA0922" w:rsidP="00F75D9F">
            <w:pPr>
              <w:tabs>
                <w:tab w:val="left" w:pos="705"/>
              </w:tabs>
              <w:autoSpaceDE w:val="0"/>
              <w:autoSpaceDN w:val="0"/>
              <w:adjustRightInd w:val="0"/>
              <w:spacing w:line="240" w:lineRule="auto"/>
              <w:ind w:firstLine="720"/>
              <w:contextualSpacing/>
              <w:jc w:val="both"/>
              <w:rPr>
                <w:rFonts w:ascii="Times New Roman" w:hAnsi="Times New Roman" w:cs="Times New Roman"/>
                <w:sz w:val="26"/>
                <w:szCs w:val="26"/>
                <w:lang w:val="en"/>
              </w:rPr>
            </w:pPr>
            <w:r w:rsidRPr="00BC3D6E">
              <w:rPr>
                <w:rFonts w:ascii="Times New Roman" w:hAnsi="Times New Roman" w:cs="Times New Roman"/>
                <w:sz w:val="26"/>
                <w:szCs w:val="26"/>
                <w:lang w:val="en"/>
              </w:rPr>
              <w:t xml:space="preserve">Gladys Brown </w:t>
            </w:r>
            <w:proofErr w:type="spellStart"/>
            <w:r w:rsidRPr="00BC3D6E">
              <w:rPr>
                <w:rFonts w:ascii="Times New Roman" w:hAnsi="Times New Roman" w:cs="Times New Roman"/>
                <w:sz w:val="26"/>
                <w:szCs w:val="26"/>
                <w:lang w:val="en"/>
              </w:rPr>
              <w:t>Dutrieuille</w:t>
            </w:r>
            <w:proofErr w:type="spellEnd"/>
            <w:r w:rsidRPr="00BC3D6E">
              <w:rPr>
                <w:rFonts w:ascii="Times New Roman" w:hAnsi="Times New Roman" w:cs="Times New Roman"/>
                <w:sz w:val="26"/>
                <w:szCs w:val="26"/>
                <w:lang w:val="en"/>
              </w:rPr>
              <w:t>, Chairman</w:t>
            </w:r>
            <w:r>
              <w:rPr>
                <w:rFonts w:ascii="Times New Roman" w:hAnsi="Times New Roman" w:cs="Times New Roman"/>
                <w:sz w:val="26"/>
                <w:szCs w:val="26"/>
                <w:lang w:val="en"/>
              </w:rPr>
              <w:t>, Statement, Dissenting</w:t>
            </w:r>
          </w:p>
          <w:p w14:paraId="2BAA39CC" w14:textId="77777777" w:rsidR="00EA0922" w:rsidRDefault="00EA0922" w:rsidP="00F15858">
            <w:pPr>
              <w:tabs>
                <w:tab w:val="left" w:pos="705"/>
              </w:tabs>
              <w:autoSpaceDE w:val="0"/>
              <w:autoSpaceDN w:val="0"/>
              <w:adjustRightInd w:val="0"/>
              <w:spacing w:line="240" w:lineRule="auto"/>
              <w:ind w:firstLine="720"/>
              <w:contextualSpacing/>
              <w:rPr>
                <w:rFonts w:ascii="Times New Roman" w:hAnsi="Times New Roman" w:cs="Times New Roman"/>
                <w:sz w:val="26"/>
                <w:szCs w:val="26"/>
                <w:lang w:val="en"/>
              </w:rPr>
            </w:pPr>
            <w:r w:rsidRPr="00BC3D6E">
              <w:rPr>
                <w:rFonts w:ascii="Times New Roman" w:hAnsi="Times New Roman" w:cs="Times New Roman"/>
                <w:sz w:val="26"/>
                <w:szCs w:val="26"/>
                <w:lang w:val="en"/>
              </w:rPr>
              <w:t>John F. Coleman, Jr.</w:t>
            </w:r>
            <w:r>
              <w:rPr>
                <w:rFonts w:ascii="Times New Roman" w:hAnsi="Times New Roman" w:cs="Times New Roman"/>
                <w:sz w:val="26"/>
                <w:szCs w:val="26"/>
                <w:lang w:val="en"/>
              </w:rPr>
              <w:t xml:space="preserve"> </w:t>
            </w:r>
          </w:p>
          <w:p w14:paraId="3C78243F" w14:textId="77777777" w:rsidR="00EA0922" w:rsidRPr="00BC3D6E" w:rsidRDefault="00EA0922" w:rsidP="00F15858">
            <w:pPr>
              <w:tabs>
                <w:tab w:val="left" w:pos="705"/>
              </w:tabs>
              <w:autoSpaceDE w:val="0"/>
              <w:autoSpaceDN w:val="0"/>
              <w:adjustRightInd w:val="0"/>
              <w:spacing w:line="240" w:lineRule="auto"/>
              <w:ind w:firstLine="720"/>
              <w:contextualSpacing/>
              <w:rPr>
                <w:rFonts w:ascii="Times New Roman" w:hAnsi="Times New Roman" w:cs="Times New Roman"/>
                <w:sz w:val="26"/>
                <w:szCs w:val="26"/>
                <w:lang w:val="en"/>
              </w:rPr>
            </w:pPr>
            <w:r>
              <w:rPr>
                <w:rFonts w:ascii="Times New Roman" w:hAnsi="Times New Roman" w:cs="Times New Roman"/>
                <w:sz w:val="26"/>
                <w:szCs w:val="26"/>
                <w:lang w:val="en"/>
              </w:rPr>
              <w:t>Ralph V. Yanora</w:t>
            </w:r>
            <w:r w:rsidRPr="00BC3D6E">
              <w:rPr>
                <w:rFonts w:ascii="Times New Roman" w:hAnsi="Times New Roman" w:cs="Times New Roman"/>
                <w:sz w:val="26"/>
                <w:szCs w:val="26"/>
                <w:lang w:val="en"/>
              </w:rPr>
              <w:t xml:space="preserve"> </w:t>
            </w:r>
          </w:p>
          <w:p w14:paraId="68135642" w14:textId="77777777" w:rsidR="00EA0922" w:rsidRDefault="00EA0922" w:rsidP="00074493">
            <w:pPr>
              <w:tabs>
                <w:tab w:val="left" w:pos="705"/>
              </w:tabs>
              <w:autoSpaceDE w:val="0"/>
              <w:autoSpaceDN w:val="0"/>
              <w:adjustRightInd w:val="0"/>
              <w:spacing w:line="240" w:lineRule="auto"/>
              <w:ind w:firstLine="0"/>
              <w:contextualSpacing/>
              <w:rPr>
                <w:rFonts w:ascii="Times New Roman" w:hAnsi="Times New Roman" w:cs="Times New Roman"/>
                <w:sz w:val="26"/>
                <w:szCs w:val="26"/>
              </w:rPr>
            </w:pPr>
          </w:p>
          <w:p w14:paraId="0AF44846" w14:textId="77777777" w:rsidR="00EA0922" w:rsidRPr="00BC3D6E" w:rsidRDefault="00EA0922" w:rsidP="00074493">
            <w:pPr>
              <w:spacing w:line="240" w:lineRule="auto"/>
              <w:ind w:firstLine="0"/>
              <w:jc w:val="right"/>
              <w:rPr>
                <w:rFonts w:ascii="Times New Roman" w:hAnsi="Times New Roman" w:cs="Times New Roman"/>
                <w:sz w:val="26"/>
                <w:szCs w:val="26"/>
              </w:rPr>
            </w:pPr>
          </w:p>
          <w:p w14:paraId="5885644B" w14:textId="77777777" w:rsidR="00EA0922" w:rsidRPr="00BC3D6E" w:rsidRDefault="00EA0922" w:rsidP="00074493">
            <w:pPr>
              <w:spacing w:line="240" w:lineRule="auto"/>
              <w:ind w:firstLine="0"/>
              <w:jc w:val="right"/>
              <w:rPr>
                <w:rFonts w:ascii="Times New Roman" w:hAnsi="Times New Roman" w:cs="Times New Roman"/>
                <w:sz w:val="26"/>
                <w:szCs w:val="26"/>
              </w:rPr>
            </w:pPr>
          </w:p>
        </w:tc>
      </w:tr>
      <w:tr w:rsidR="00337FA8" w:rsidRPr="003621A7" w14:paraId="6EAF1B23" w14:textId="77777777" w:rsidTr="002C4F56">
        <w:trPr>
          <w:trHeight w:val="1098"/>
        </w:trPr>
        <w:tc>
          <w:tcPr>
            <w:tcW w:w="5130" w:type="dxa"/>
          </w:tcPr>
          <w:p w14:paraId="0F48D39C" w14:textId="15A8F3E4" w:rsidR="00F476CB" w:rsidRDefault="00F476CB" w:rsidP="00F75D9F">
            <w:pPr>
              <w:spacing w:line="240" w:lineRule="auto"/>
              <w:ind w:firstLine="0"/>
              <w:rPr>
                <w:rFonts w:ascii="Times New Roman" w:hAnsi="Times New Roman" w:cs="Times New Roman"/>
                <w:sz w:val="26"/>
                <w:szCs w:val="26"/>
              </w:rPr>
            </w:pPr>
            <w:r w:rsidRPr="00BC3D6E">
              <w:rPr>
                <w:rFonts w:ascii="Times New Roman" w:hAnsi="Times New Roman" w:cs="Times New Roman"/>
                <w:sz w:val="26"/>
                <w:szCs w:val="26"/>
              </w:rPr>
              <w:t>Pe</w:t>
            </w:r>
            <w:r>
              <w:rPr>
                <w:rFonts w:ascii="Times New Roman" w:hAnsi="Times New Roman" w:cs="Times New Roman"/>
                <w:sz w:val="26"/>
                <w:szCs w:val="26"/>
              </w:rPr>
              <w:t>nnsylvania Public Utility Commission</w:t>
            </w:r>
            <w:r w:rsidR="00291B5A">
              <w:rPr>
                <w:rFonts w:ascii="Times New Roman" w:hAnsi="Times New Roman" w:cs="Times New Roman"/>
                <w:sz w:val="26"/>
                <w:szCs w:val="26"/>
              </w:rPr>
              <w:t>,</w:t>
            </w:r>
            <w:r w:rsidR="00F75D9F" w:rsidRPr="00BC3D6E">
              <w:rPr>
                <w:rFonts w:ascii="Times New Roman" w:hAnsi="Times New Roman" w:cs="Times New Roman"/>
                <w:sz w:val="26"/>
                <w:szCs w:val="26"/>
              </w:rPr>
              <w:t xml:space="preserve"> </w:t>
            </w:r>
          </w:p>
          <w:p w14:paraId="1BEE83B5" w14:textId="6255EE6F" w:rsidR="00F75D9F" w:rsidRDefault="00291B5A" w:rsidP="00F75D9F">
            <w:pPr>
              <w:spacing w:line="240" w:lineRule="auto"/>
              <w:ind w:firstLine="0"/>
              <w:rPr>
                <w:rFonts w:ascii="Times New Roman" w:hAnsi="Times New Roman" w:cs="Times New Roman"/>
                <w:sz w:val="26"/>
                <w:szCs w:val="26"/>
              </w:rPr>
            </w:pPr>
            <w:r>
              <w:rPr>
                <w:rFonts w:ascii="Times New Roman" w:hAnsi="Times New Roman" w:cs="Times New Roman"/>
                <w:sz w:val="26"/>
                <w:szCs w:val="26"/>
              </w:rPr>
              <w:t>Bureau of Investigation and Enforcement</w:t>
            </w:r>
          </w:p>
          <w:p w14:paraId="2598B710" w14:textId="6EB3A140" w:rsidR="004738CD" w:rsidRDefault="004738CD" w:rsidP="00F75D9F">
            <w:pPr>
              <w:spacing w:line="240" w:lineRule="auto"/>
              <w:ind w:firstLine="0"/>
              <w:rPr>
                <w:rFonts w:ascii="Times New Roman" w:hAnsi="Times New Roman" w:cs="Times New Roman"/>
                <w:sz w:val="26"/>
                <w:szCs w:val="26"/>
              </w:rPr>
            </w:pPr>
          </w:p>
          <w:p w14:paraId="7C3DF62E" w14:textId="2BA3F868" w:rsidR="004738CD" w:rsidRDefault="00DE6B3E" w:rsidP="00014F36">
            <w:pPr>
              <w:spacing w:line="240" w:lineRule="auto"/>
              <w:ind w:left="705" w:firstLine="0"/>
              <w:rPr>
                <w:rFonts w:ascii="Times New Roman" w:hAnsi="Times New Roman" w:cs="Times New Roman"/>
                <w:sz w:val="26"/>
                <w:szCs w:val="26"/>
              </w:rPr>
            </w:pPr>
            <w:r>
              <w:rPr>
                <w:rFonts w:ascii="Times New Roman" w:hAnsi="Times New Roman" w:cs="Times New Roman"/>
                <w:sz w:val="26"/>
                <w:szCs w:val="26"/>
              </w:rPr>
              <w:t>v</w:t>
            </w:r>
            <w:r w:rsidR="004738CD">
              <w:rPr>
                <w:rFonts w:ascii="Times New Roman" w:hAnsi="Times New Roman" w:cs="Times New Roman"/>
                <w:sz w:val="26"/>
                <w:szCs w:val="26"/>
              </w:rPr>
              <w:t xml:space="preserve">. </w:t>
            </w:r>
          </w:p>
          <w:p w14:paraId="77DB068A" w14:textId="2896CD93" w:rsidR="004738CD" w:rsidRDefault="004738CD" w:rsidP="00F75D9F">
            <w:pPr>
              <w:spacing w:line="240" w:lineRule="auto"/>
              <w:ind w:firstLine="0"/>
              <w:rPr>
                <w:rFonts w:ascii="Times New Roman" w:hAnsi="Times New Roman" w:cs="Times New Roman"/>
                <w:sz w:val="26"/>
                <w:szCs w:val="26"/>
              </w:rPr>
            </w:pPr>
          </w:p>
          <w:p w14:paraId="3C595A8B" w14:textId="13D05C8C" w:rsidR="004738CD" w:rsidRDefault="002C4F56" w:rsidP="00F75D9F">
            <w:pPr>
              <w:spacing w:line="240" w:lineRule="auto"/>
              <w:ind w:firstLine="0"/>
              <w:rPr>
                <w:rFonts w:ascii="Times New Roman" w:hAnsi="Times New Roman" w:cs="Times New Roman"/>
                <w:sz w:val="26"/>
                <w:szCs w:val="26"/>
              </w:rPr>
            </w:pPr>
            <w:r>
              <w:rPr>
                <w:rFonts w:ascii="Times New Roman" w:hAnsi="Times New Roman" w:cs="Times New Roman"/>
                <w:sz w:val="26"/>
                <w:szCs w:val="26"/>
              </w:rPr>
              <w:t>Verde</w:t>
            </w:r>
            <w:r w:rsidR="00703767">
              <w:rPr>
                <w:rFonts w:ascii="Times New Roman" w:hAnsi="Times New Roman" w:cs="Times New Roman"/>
                <w:sz w:val="26"/>
                <w:szCs w:val="26"/>
              </w:rPr>
              <w:t xml:space="preserve"> Energy USA, Inc.</w:t>
            </w:r>
          </w:p>
          <w:p w14:paraId="371C0412" w14:textId="77777777" w:rsidR="004738CD" w:rsidRDefault="004738CD" w:rsidP="00F75D9F">
            <w:pPr>
              <w:spacing w:line="240" w:lineRule="auto"/>
              <w:ind w:firstLine="0"/>
              <w:rPr>
                <w:rFonts w:ascii="Times New Roman" w:hAnsi="Times New Roman" w:cs="Times New Roman"/>
                <w:sz w:val="26"/>
                <w:szCs w:val="26"/>
              </w:rPr>
            </w:pPr>
          </w:p>
          <w:p w14:paraId="2011826A" w14:textId="283F75D8" w:rsidR="004738CD" w:rsidRPr="00BC3D6E" w:rsidRDefault="004738CD" w:rsidP="00F75D9F">
            <w:pPr>
              <w:spacing w:line="240" w:lineRule="auto"/>
              <w:ind w:firstLine="0"/>
              <w:rPr>
                <w:rFonts w:ascii="Times New Roman" w:hAnsi="Times New Roman" w:cs="Times New Roman"/>
                <w:sz w:val="26"/>
                <w:szCs w:val="26"/>
              </w:rPr>
            </w:pPr>
          </w:p>
        </w:tc>
        <w:tc>
          <w:tcPr>
            <w:tcW w:w="4527" w:type="dxa"/>
          </w:tcPr>
          <w:p w14:paraId="52A22830" w14:textId="703CAFA7" w:rsidR="004738CD" w:rsidRPr="003621A7" w:rsidRDefault="00291B5A" w:rsidP="002C4F56">
            <w:pPr>
              <w:spacing w:line="240" w:lineRule="auto"/>
              <w:jc w:val="right"/>
              <w:rPr>
                <w:rFonts w:ascii="Times New Roman" w:hAnsi="Times New Roman" w:cs="Times New Roman"/>
                <w:sz w:val="26"/>
                <w:szCs w:val="26"/>
              </w:rPr>
            </w:pPr>
            <w:r>
              <w:rPr>
                <w:rFonts w:ascii="Times New Roman" w:hAnsi="Times New Roman" w:cs="Times New Roman"/>
                <w:spacing w:val="-3"/>
                <w:sz w:val="26"/>
                <w:szCs w:val="26"/>
              </w:rPr>
              <w:t>C</w:t>
            </w:r>
            <w:r w:rsidR="00F75D9F" w:rsidRPr="003621A7">
              <w:rPr>
                <w:rFonts w:ascii="Times New Roman" w:hAnsi="Times New Roman" w:cs="Times New Roman"/>
                <w:spacing w:val="-3"/>
                <w:sz w:val="26"/>
                <w:szCs w:val="26"/>
              </w:rPr>
              <w:t>-20</w:t>
            </w:r>
            <w:r w:rsidR="00F812BB" w:rsidRPr="003621A7">
              <w:rPr>
                <w:rFonts w:ascii="Times New Roman" w:hAnsi="Times New Roman" w:cs="Times New Roman"/>
                <w:spacing w:val="-3"/>
                <w:sz w:val="26"/>
                <w:szCs w:val="26"/>
              </w:rPr>
              <w:t>20</w:t>
            </w:r>
            <w:r w:rsidR="00F75D9F" w:rsidRPr="003621A7">
              <w:rPr>
                <w:rFonts w:ascii="Times New Roman" w:hAnsi="Times New Roman" w:cs="Times New Roman"/>
                <w:spacing w:val="-3"/>
                <w:sz w:val="26"/>
                <w:szCs w:val="26"/>
              </w:rPr>
              <w:t>-</w:t>
            </w:r>
            <w:r>
              <w:rPr>
                <w:rFonts w:ascii="Times New Roman" w:hAnsi="Times New Roman" w:cs="Times New Roman"/>
                <w:spacing w:val="-3"/>
                <w:sz w:val="26"/>
                <w:szCs w:val="26"/>
              </w:rPr>
              <w:t>3017229</w:t>
            </w:r>
          </w:p>
          <w:p w14:paraId="5F61B0FB" w14:textId="00B4B5C1" w:rsidR="004738CD" w:rsidRPr="003621A7" w:rsidRDefault="004738CD" w:rsidP="00074493">
            <w:pPr>
              <w:spacing w:line="240" w:lineRule="auto"/>
              <w:ind w:firstLine="0"/>
              <w:jc w:val="right"/>
              <w:rPr>
                <w:rFonts w:ascii="Times New Roman" w:hAnsi="Times New Roman" w:cs="Times New Roman"/>
                <w:sz w:val="26"/>
                <w:szCs w:val="26"/>
              </w:rPr>
            </w:pPr>
          </w:p>
          <w:p w14:paraId="14BBDF9A" w14:textId="77777777" w:rsidR="005A12EE" w:rsidRPr="003621A7" w:rsidRDefault="005A12EE" w:rsidP="00074493">
            <w:pPr>
              <w:spacing w:line="240" w:lineRule="auto"/>
              <w:ind w:firstLine="0"/>
              <w:jc w:val="right"/>
              <w:rPr>
                <w:rFonts w:ascii="Times New Roman" w:hAnsi="Times New Roman" w:cs="Times New Roman"/>
                <w:sz w:val="26"/>
                <w:szCs w:val="26"/>
              </w:rPr>
            </w:pPr>
          </w:p>
          <w:p w14:paraId="067DE64C" w14:textId="77777777" w:rsidR="005A12EE" w:rsidRPr="003621A7" w:rsidRDefault="005A12EE" w:rsidP="00074493">
            <w:pPr>
              <w:spacing w:line="240" w:lineRule="auto"/>
              <w:jc w:val="right"/>
              <w:rPr>
                <w:rFonts w:ascii="Times New Roman" w:eastAsia="Times New Roman" w:hAnsi="Times New Roman" w:cs="Times New Roman"/>
                <w:sz w:val="26"/>
                <w:szCs w:val="26"/>
              </w:rPr>
            </w:pPr>
          </w:p>
          <w:p w14:paraId="26F8B2CD" w14:textId="77777777" w:rsidR="005A12EE" w:rsidRPr="003621A7" w:rsidRDefault="005A12EE" w:rsidP="00F75D9F">
            <w:pPr>
              <w:spacing w:line="240" w:lineRule="auto"/>
              <w:ind w:firstLine="0"/>
              <w:rPr>
                <w:rFonts w:ascii="Times New Roman" w:hAnsi="Times New Roman" w:cs="Times New Roman"/>
                <w:sz w:val="26"/>
                <w:szCs w:val="26"/>
              </w:rPr>
            </w:pPr>
          </w:p>
          <w:p w14:paraId="2DF01700" w14:textId="77777777" w:rsidR="005A12EE" w:rsidRPr="003621A7" w:rsidRDefault="005A12EE" w:rsidP="00074493">
            <w:pPr>
              <w:spacing w:line="240" w:lineRule="auto"/>
              <w:ind w:firstLine="0"/>
              <w:jc w:val="right"/>
              <w:rPr>
                <w:rFonts w:ascii="Times New Roman" w:hAnsi="Times New Roman" w:cs="Times New Roman"/>
                <w:sz w:val="26"/>
                <w:szCs w:val="26"/>
              </w:rPr>
            </w:pPr>
          </w:p>
        </w:tc>
      </w:tr>
    </w:tbl>
    <w:p w14:paraId="4EB0FA23" w14:textId="77777777" w:rsidR="00E438E3" w:rsidRPr="00BC3D6E" w:rsidRDefault="00E438E3" w:rsidP="00074493">
      <w:pPr>
        <w:keepNext/>
        <w:keepLines/>
        <w:ind w:firstLine="0"/>
        <w:jc w:val="center"/>
        <w:rPr>
          <w:b/>
          <w:sz w:val="26"/>
          <w:szCs w:val="26"/>
        </w:rPr>
      </w:pPr>
      <w:r w:rsidRPr="00BC3D6E">
        <w:rPr>
          <w:b/>
          <w:sz w:val="26"/>
          <w:szCs w:val="26"/>
        </w:rPr>
        <w:t>OPINION AND ORDER</w:t>
      </w:r>
    </w:p>
    <w:p w14:paraId="7678E442" w14:textId="77777777" w:rsidR="00A81530" w:rsidRPr="00BC3D6E" w:rsidRDefault="00A81530" w:rsidP="00074493">
      <w:pPr>
        <w:keepNext/>
        <w:keepLines/>
        <w:ind w:firstLine="0"/>
        <w:jc w:val="center"/>
        <w:rPr>
          <w:sz w:val="26"/>
          <w:szCs w:val="26"/>
        </w:rPr>
      </w:pPr>
    </w:p>
    <w:p w14:paraId="16D9A620" w14:textId="7B71CC1D" w:rsidR="009078DF" w:rsidRPr="00BC3D6E" w:rsidRDefault="009078DF" w:rsidP="00074493">
      <w:pPr>
        <w:keepNext/>
        <w:keepLines/>
        <w:tabs>
          <w:tab w:val="left" w:pos="-720"/>
        </w:tabs>
        <w:suppressAutoHyphens/>
        <w:ind w:firstLine="0"/>
        <w:rPr>
          <w:sz w:val="26"/>
          <w:szCs w:val="26"/>
        </w:rPr>
      </w:pPr>
      <w:r w:rsidRPr="00BC3D6E">
        <w:rPr>
          <w:b/>
          <w:sz w:val="26"/>
          <w:szCs w:val="26"/>
        </w:rPr>
        <w:t>BY THE COMMISSION</w:t>
      </w:r>
      <w:r w:rsidR="00E30E5E">
        <w:rPr>
          <w:b/>
          <w:sz w:val="26"/>
          <w:szCs w:val="26"/>
        </w:rPr>
        <w:t xml:space="preserve">:  </w:t>
      </w:r>
    </w:p>
    <w:p w14:paraId="36C6CDB3" w14:textId="77777777" w:rsidR="009078DF" w:rsidRPr="00BC3D6E" w:rsidRDefault="009078DF" w:rsidP="00074493">
      <w:pPr>
        <w:keepNext/>
        <w:keepLines/>
        <w:ind w:firstLine="0"/>
        <w:rPr>
          <w:sz w:val="26"/>
          <w:szCs w:val="26"/>
        </w:rPr>
      </w:pPr>
    </w:p>
    <w:p w14:paraId="17F1176A" w14:textId="23A07341" w:rsidR="00AF74DD" w:rsidRPr="00BC3D6E" w:rsidRDefault="009078DF" w:rsidP="003A038E">
      <w:pPr>
        <w:rPr>
          <w:sz w:val="26"/>
          <w:szCs w:val="26"/>
        </w:rPr>
      </w:pPr>
      <w:r w:rsidRPr="00BC3D6E">
        <w:rPr>
          <w:sz w:val="26"/>
          <w:szCs w:val="26"/>
        </w:rPr>
        <w:t xml:space="preserve">Before the Pennsylvania Public Utility Commission (Commission) for consideration </w:t>
      </w:r>
      <w:r w:rsidR="00E62493" w:rsidRPr="00BC3D6E">
        <w:rPr>
          <w:sz w:val="26"/>
          <w:szCs w:val="26"/>
        </w:rPr>
        <w:t xml:space="preserve">and disposition </w:t>
      </w:r>
      <w:r w:rsidR="002C4F56">
        <w:rPr>
          <w:sz w:val="26"/>
          <w:szCs w:val="26"/>
        </w:rPr>
        <w:t>is the</w:t>
      </w:r>
      <w:r w:rsidR="00F75D9F" w:rsidRPr="00BC3D6E">
        <w:rPr>
          <w:sz w:val="26"/>
          <w:szCs w:val="26"/>
        </w:rPr>
        <w:t xml:space="preserve"> </w:t>
      </w:r>
      <w:r w:rsidR="000B539F" w:rsidRPr="00BC3D6E">
        <w:rPr>
          <w:sz w:val="26"/>
          <w:szCs w:val="26"/>
        </w:rPr>
        <w:t>Petition for Inte</w:t>
      </w:r>
      <w:r w:rsidR="00B6333B" w:rsidRPr="00BC3D6E">
        <w:rPr>
          <w:sz w:val="26"/>
          <w:szCs w:val="26"/>
        </w:rPr>
        <w:t xml:space="preserve">rlocutory Review and Answer to </w:t>
      </w:r>
      <w:r w:rsidR="000B539F" w:rsidRPr="00BC3D6E">
        <w:rPr>
          <w:sz w:val="26"/>
          <w:szCs w:val="26"/>
        </w:rPr>
        <w:t>Material Question (Petition</w:t>
      </w:r>
      <w:r w:rsidR="00577966" w:rsidRPr="00BC3D6E">
        <w:rPr>
          <w:sz w:val="26"/>
          <w:szCs w:val="26"/>
        </w:rPr>
        <w:t>)</w:t>
      </w:r>
      <w:r w:rsidR="000B539F" w:rsidRPr="00BC3D6E">
        <w:rPr>
          <w:sz w:val="26"/>
          <w:szCs w:val="26"/>
        </w:rPr>
        <w:t xml:space="preserve"> filed on </w:t>
      </w:r>
      <w:r w:rsidR="007E3895">
        <w:rPr>
          <w:sz w:val="26"/>
          <w:szCs w:val="26"/>
        </w:rPr>
        <w:t>January 28</w:t>
      </w:r>
      <w:r w:rsidR="00F15858">
        <w:rPr>
          <w:sz w:val="26"/>
          <w:szCs w:val="26"/>
        </w:rPr>
        <w:t>, 202</w:t>
      </w:r>
      <w:r w:rsidR="007E3895">
        <w:rPr>
          <w:sz w:val="26"/>
          <w:szCs w:val="26"/>
        </w:rPr>
        <w:t>1</w:t>
      </w:r>
      <w:r w:rsidR="0043630F" w:rsidRPr="00BC3D6E">
        <w:rPr>
          <w:sz w:val="26"/>
          <w:szCs w:val="26"/>
        </w:rPr>
        <w:t>,</w:t>
      </w:r>
      <w:r w:rsidR="00CB21BF" w:rsidRPr="00BC3D6E">
        <w:rPr>
          <w:sz w:val="26"/>
          <w:szCs w:val="26"/>
        </w:rPr>
        <w:t xml:space="preserve"> </w:t>
      </w:r>
      <w:r w:rsidR="000B539F" w:rsidRPr="00BC3D6E">
        <w:rPr>
          <w:sz w:val="26"/>
          <w:szCs w:val="26"/>
        </w:rPr>
        <w:t>by</w:t>
      </w:r>
      <w:r w:rsidR="001D68E4" w:rsidRPr="00BC3D6E">
        <w:rPr>
          <w:sz w:val="26"/>
          <w:szCs w:val="26"/>
        </w:rPr>
        <w:t xml:space="preserve"> </w:t>
      </w:r>
      <w:r w:rsidR="00F75D9F" w:rsidRPr="00BC3D6E">
        <w:rPr>
          <w:sz w:val="26"/>
          <w:szCs w:val="26"/>
        </w:rPr>
        <w:t xml:space="preserve">the Office of Consumer </w:t>
      </w:r>
      <w:r w:rsidR="00F75D9F" w:rsidRPr="00BC3D6E">
        <w:rPr>
          <w:sz w:val="26"/>
          <w:szCs w:val="26"/>
        </w:rPr>
        <w:lastRenderedPageBreak/>
        <w:t>Advocate (OCA</w:t>
      </w:r>
      <w:r w:rsidR="007E3895">
        <w:rPr>
          <w:sz w:val="26"/>
          <w:szCs w:val="26"/>
        </w:rPr>
        <w:t xml:space="preserve"> or </w:t>
      </w:r>
      <w:r w:rsidR="00CB21BF" w:rsidRPr="00BC3D6E">
        <w:rPr>
          <w:sz w:val="26"/>
          <w:szCs w:val="26"/>
        </w:rPr>
        <w:t>Petitioner</w:t>
      </w:r>
      <w:r w:rsidR="00337FA8" w:rsidRPr="00BC3D6E">
        <w:rPr>
          <w:sz w:val="26"/>
          <w:szCs w:val="26"/>
        </w:rPr>
        <w:t>)</w:t>
      </w:r>
      <w:r w:rsidR="00D14128">
        <w:rPr>
          <w:sz w:val="26"/>
          <w:szCs w:val="26"/>
        </w:rPr>
        <w:t>,</w:t>
      </w:r>
      <w:r w:rsidR="0045130E">
        <w:rPr>
          <w:rStyle w:val="FootnoteReference"/>
          <w:sz w:val="26"/>
          <w:szCs w:val="26"/>
        </w:rPr>
        <w:footnoteReference w:id="2"/>
      </w:r>
      <w:r w:rsidR="001D68E4" w:rsidRPr="00BC3D6E">
        <w:rPr>
          <w:sz w:val="26"/>
          <w:szCs w:val="26"/>
        </w:rPr>
        <w:t xml:space="preserve"> </w:t>
      </w:r>
      <w:r w:rsidR="007612E5" w:rsidRPr="00BC3D6E">
        <w:rPr>
          <w:sz w:val="26"/>
          <w:szCs w:val="26"/>
        </w:rPr>
        <w:t>in</w:t>
      </w:r>
      <w:r w:rsidR="00AD7DC7" w:rsidRPr="00BC3D6E">
        <w:rPr>
          <w:sz w:val="26"/>
          <w:szCs w:val="26"/>
        </w:rPr>
        <w:t xml:space="preserve"> the above-captioned proceeding</w:t>
      </w:r>
      <w:r w:rsidR="000B539F" w:rsidRPr="00BC3D6E">
        <w:rPr>
          <w:sz w:val="26"/>
          <w:szCs w:val="26"/>
        </w:rPr>
        <w:t>.</w:t>
      </w:r>
      <w:r w:rsidR="00CB21BF" w:rsidRPr="00BC3D6E">
        <w:rPr>
          <w:rStyle w:val="FootnoteReference"/>
          <w:sz w:val="26"/>
          <w:szCs w:val="26"/>
        </w:rPr>
        <w:footnoteReference w:id="3"/>
      </w:r>
      <w:r w:rsidR="000B539F" w:rsidRPr="00BC3D6E">
        <w:rPr>
          <w:sz w:val="26"/>
          <w:szCs w:val="26"/>
        </w:rPr>
        <w:t xml:space="preserve">  </w:t>
      </w:r>
      <w:r w:rsidR="00B855AB">
        <w:rPr>
          <w:sz w:val="26"/>
          <w:szCs w:val="26"/>
        </w:rPr>
        <w:t>On February</w:t>
      </w:r>
      <w:r w:rsidR="002A3BC9">
        <w:rPr>
          <w:sz w:val="26"/>
          <w:szCs w:val="26"/>
        </w:rPr>
        <w:t> </w:t>
      </w:r>
      <w:r w:rsidR="00B855AB">
        <w:rPr>
          <w:sz w:val="26"/>
          <w:szCs w:val="26"/>
        </w:rPr>
        <w:t>5,</w:t>
      </w:r>
      <w:r w:rsidR="002A3BC9">
        <w:rPr>
          <w:sz w:val="26"/>
          <w:szCs w:val="26"/>
        </w:rPr>
        <w:t> </w:t>
      </w:r>
      <w:r w:rsidR="00B855AB">
        <w:rPr>
          <w:sz w:val="26"/>
          <w:szCs w:val="26"/>
        </w:rPr>
        <w:t xml:space="preserve">2021, the Bureau of Investigation &amp; Enforcement (I&amp;E) </w:t>
      </w:r>
      <w:r w:rsidR="00D841A1">
        <w:rPr>
          <w:sz w:val="26"/>
          <w:szCs w:val="26"/>
        </w:rPr>
        <w:t xml:space="preserve">filed a Brief in Opposition to the Petition.  </w:t>
      </w:r>
      <w:r w:rsidR="009C6A12">
        <w:rPr>
          <w:sz w:val="26"/>
          <w:szCs w:val="26"/>
        </w:rPr>
        <w:t>On February 8, 20</w:t>
      </w:r>
      <w:r w:rsidR="00077465">
        <w:rPr>
          <w:sz w:val="26"/>
          <w:szCs w:val="26"/>
        </w:rPr>
        <w:t>21</w:t>
      </w:r>
      <w:r w:rsidR="009C6A12">
        <w:rPr>
          <w:sz w:val="26"/>
          <w:szCs w:val="26"/>
        </w:rPr>
        <w:t>, t</w:t>
      </w:r>
      <w:r w:rsidR="001524EC" w:rsidRPr="00BC3D6E">
        <w:rPr>
          <w:sz w:val="26"/>
          <w:szCs w:val="26"/>
        </w:rPr>
        <w:t xml:space="preserve">he </w:t>
      </w:r>
      <w:r w:rsidR="00337FA8" w:rsidRPr="00BC3D6E">
        <w:rPr>
          <w:sz w:val="26"/>
          <w:szCs w:val="26"/>
        </w:rPr>
        <w:t>Pe</w:t>
      </w:r>
      <w:r w:rsidR="001524EC" w:rsidRPr="00BC3D6E">
        <w:rPr>
          <w:sz w:val="26"/>
          <w:szCs w:val="26"/>
        </w:rPr>
        <w:t>titioner</w:t>
      </w:r>
      <w:r w:rsidR="009C6A12">
        <w:rPr>
          <w:sz w:val="26"/>
          <w:szCs w:val="26"/>
        </w:rPr>
        <w:t xml:space="preserve"> filed a Brief in Support of its Petition.  On that same date, </w:t>
      </w:r>
      <w:r w:rsidR="0050373F">
        <w:rPr>
          <w:sz w:val="26"/>
          <w:szCs w:val="26"/>
        </w:rPr>
        <w:t>Verde Energy USA, Inc. (Verde)</w:t>
      </w:r>
      <w:r w:rsidR="00104CAF" w:rsidRPr="00104CAF">
        <w:rPr>
          <w:rStyle w:val="FootnoteReference"/>
          <w:sz w:val="26"/>
          <w:szCs w:val="26"/>
        </w:rPr>
        <w:t xml:space="preserve"> </w:t>
      </w:r>
      <w:r w:rsidR="00104CAF">
        <w:rPr>
          <w:rStyle w:val="FootnoteReference"/>
          <w:sz w:val="26"/>
          <w:szCs w:val="26"/>
        </w:rPr>
        <w:footnoteReference w:id="4"/>
      </w:r>
      <w:r w:rsidR="00104CAF">
        <w:rPr>
          <w:sz w:val="26"/>
          <w:szCs w:val="26"/>
        </w:rPr>
        <w:t xml:space="preserve"> </w:t>
      </w:r>
      <w:r w:rsidR="00D841A1">
        <w:rPr>
          <w:sz w:val="26"/>
          <w:szCs w:val="26"/>
        </w:rPr>
        <w:t>f</w:t>
      </w:r>
      <w:r w:rsidR="00D375F6" w:rsidRPr="00BC3D6E">
        <w:rPr>
          <w:sz w:val="26"/>
          <w:szCs w:val="26"/>
        </w:rPr>
        <w:t xml:space="preserve">iled </w:t>
      </w:r>
      <w:r w:rsidR="007A667B">
        <w:rPr>
          <w:sz w:val="26"/>
          <w:szCs w:val="26"/>
        </w:rPr>
        <w:t xml:space="preserve">a </w:t>
      </w:r>
      <w:r w:rsidR="00D375F6" w:rsidRPr="00BC3D6E">
        <w:rPr>
          <w:sz w:val="26"/>
          <w:szCs w:val="26"/>
        </w:rPr>
        <w:t xml:space="preserve">Brief in </w:t>
      </w:r>
      <w:r w:rsidR="009C6A12">
        <w:rPr>
          <w:sz w:val="26"/>
          <w:szCs w:val="26"/>
        </w:rPr>
        <w:t>Opposition</w:t>
      </w:r>
      <w:r w:rsidR="00D375F6" w:rsidRPr="00BC3D6E">
        <w:rPr>
          <w:sz w:val="26"/>
          <w:szCs w:val="26"/>
        </w:rPr>
        <w:t xml:space="preserve"> </w:t>
      </w:r>
      <w:r w:rsidR="009C6A12">
        <w:rPr>
          <w:sz w:val="26"/>
          <w:szCs w:val="26"/>
        </w:rPr>
        <w:t>to the OCA’s</w:t>
      </w:r>
      <w:r w:rsidR="00D375F6" w:rsidRPr="00BC3D6E">
        <w:rPr>
          <w:sz w:val="26"/>
          <w:szCs w:val="26"/>
        </w:rPr>
        <w:t xml:space="preserve"> Petition</w:t>
      </w:r>
      <w:r w:rsidR="009C6A12">
        <w:rPr>
          <w:sz w:val="26"/>
          <w:szCs w:val="26"/>
        </w:rPr>
        <w:t>.</w:t>
      </w:r>
    </w:p>
    <w:p w14:paraId="171C0EBC" w14:textId="77777777" w:rsidR="001524EC" w:rsidRPr="00BC3D6E" w:rsidRDefault="001524EC" w:rsidP="00074493">
      <w:pPr>
        <w:rPr>
          <w:sz w:val="26"/>
          <w:szCs w:val="26"/>
        </w:rPr>
      </w:pPr>
    </w:p>
    <w:p w14:paraId="2A6DF1E1" w14:textId="08373285" w:rsidR="00F428CD" w:rsidRDefault="00CB21BF" w:rsidP="00074493">
      <w:pPr>
        <w:rPr>
          <w:sz w:val="26"/>
          <w:szCs w:val="26"/>
        </w:rPr>
      </w:pPr>
      <w:r w:rsidRPr="00BC3D6E">
        <w:rPr>
          <w:sz w:val="26"/>
          <w:szCs w:val="26"/>
        </w:rPr>
        <w:t xml:space="preserve">The </w:t>
      </w:r>
      <w:r w:rsidR="003B2175">
        <w:rPr>
          <w:sz w:val="26"/>
          <w:szCs w:val="26"/>
        </w:rPr>
        <w:t>OCA</w:t>
      </w:r>
      <w:r w:rsidR="00AD7DC7" w:rsidRPr="00BC3D6E">
        <w:rPr>
          <w:sz w:val="26"/>
          <w:szCs w:val="26"/>
        </w:rPr>
        <w:t xml:space="preserve"> s</w:t>
      </w:r>
      <w:r w:rsidR="000B539F" w:rsidRPr="00BC3D6E">
        <w:rPr>
          <w:sz w:val="26"/>
          <w:szCs w:val="26"/>
        </w:rPr>
        <w:t>eek</w:t>
      </w:r>
      <w:r w:rsidR="00DF5CFE">
        <w:rPr>
          <w:sz w:val="26"/>
          <w:szCs w:val="26"/>
        </w:rPr>
        <w:t>s</w:t>
      </w:r>
      <w:r w:rsidR="000B539F" w:rsidRPr="00BC3D6E">
        <w:rPr>
          <w:sz w:val="26"/>
          <w:szCs w:val="26"/>
        </w:rPr>
        <w:t xml:space="preserve"> in</w:t>
      </w:r>
      <w:r w:rsidR="00C0631A" w:rsidRPr="00BC3D6E">
        <w:rPr>
          <w:sz w:val="26"/>
          <w:szCs w:val="26"/>
        </w:rPr>
        <w:t xml:space="preserve">terlocutory </w:t>
      </w:r>
      <w:r w:rsidR="004051EC" w:rsidRPr="00BC3D6E">
        <w:rPr>
          <w:sz w:val="26"/>
          <w:szCs w:val="26"/>
        </w:rPr>
        <w:t>r</w:t>
      </w:r>
      <w:r w:rsidR="00C0631A" w:rsidRPr="00BC3D6E">
        <w:rPr>
          <w:sz w:val="26"/>
          <w:szCs w:val="26"/>
        </w:rPr>
        <w:t>eview</w:t>
      </w:r>
      <w:r w:rsidR="000B539F" w:rsidRPr="00BC3D6E">
        <w:rPr>
          <w:sz w:val="26"/>
          <w:szCs w:val="26"/>
        </w:rPr>
        <w:t xml:space="preserve"> and </w:t>
      </w:r>
      <w:r w:rsidR="00010B37" w:rsidRPr="00BC3D6E">
        <w:rPr>
          <w:sz w:val="26"/>
          <w:szCs w:val="26"/>
        </w:rPr>
        <w:t xml:space="preserve">an </w:t>
      </w:r>
      <w:r w:rsidR="000B539F" w:rsidRPr="00BC3D6E">
        <w:rPr>
          <w:sz w:val="26"/>
          <w:szCs w:val="26"/>
        </w:rPr>
        <w:t xml:space="preserve">answer </w:t>
      </w:r>
      <w:r w:rsidR="004051EC" w:rsidRPr="00BC3D6E">
        <w:rPr>
          <w:sz w:val="26"/>
          <w:szCs w:val="26"/>
        </w:rPr>
        <w:t xml:space="preserve">in the affirmative by the Commission </w:t>
      </w:r>
      <w:r w:rsidR="000B539F" w:rsidRPr="00BC3D6E">
        <w:rPr>
          <w:sz w:val="26"/>
          <w:szCs w:val="26"/>
        </w:rPr>
        <w:t xml:space="preserve">to the </w:t>
      </w:r>
      <w:r w:rsidR="00D01711" w:rsidRPr="00BC3D6E">
        <w:rPr>
          <w:sz w:val="26"/>
          <w:szCs w:val="26"/>
        </w:rPr>
        <w:t>M</w:t>
      </w:r>
      <w:r w:rsidR="000B539F" w:rsidRPr="00BC3D6E">
        <w:rPr>
          <w:sz w:val="26"/>
          <w:szCs w:val="26"/>
        </w:rPr>
        <w:t xml:space="preserve">aterial </w:t>
      </w:r>
      <w:r w:rsidR="00D01711" w:rsidRPr="00BC3D6E">
        <w:rPr>
          <w:sz w:val="26"/>
          <w:szCs w:val="26"/>
        </w:rPr>
        <w:t>Q</w:t>
      </w:r>
      <w:r w:rsidR="00AD7DC7" w:rsidRPr="00BC3D6E">
        <w:rPr>
          <w:sz w:val="26"/>
          <w:szCs w:val="26"/>
        </w:rPr>
        <w:t>uestion</w:t>
      </w:r>
      <w:r w:rsidR="00EB72CA">
        <w:rPr>
          <w:sz w:val="26"/>
          <w:szCs w:val="26"/>
        </w:rPr>
        <w:t>, summarized as follows</w:t>
      </w:r>
      <w:r w:rsidR="00AD7DC7" w:rsidRPr="00BC3D6E">
        <w:rPr>
          <w:sz w:val="26"/>
          <w:szCs w:val="26"/>
        </w:rPr>
        <w:t>:</w:t>
      </w:r>
    </w:p>
    <w:p w14:paraId="5BB85E04" w14:textId="77777777" w:rsidR="004738CD" w:rsidRPr="00BC3D6E" w:rsidRDefault="004738CD" w:rsidP="00487C3A">
      <w:pPr>
        <w:spacing w:line="240" w:lineRule="auto"/>
        <w:rPr>
          <w:sz w:val="26"/>
          <w:szCs w:val="26"/>
        </w:rPr>
      </w:pPr>
    </w:p>
    <w:p w14:paraId="3957ED53" w14:textId="2057D15C" w:rsidR="00EB72CA" w:rsidRPr="00A00BFA" w:rsidRDefault="00EB72CA" w:rsidP="00A00BFA">
      <w:pPr>
        <w:spacing w:line="240" w:lineRule="auto"/>
        <w:ind w:left="1440" w:right="1440" w:firstLine="0"/>
        <w:rPr>
          <w:sz w:val="26"/>
          <w:szCs w:val="26"/>
        </w:rPr>
      </w:pPr>
      <w:r>
        <w:rPr>
          <w:color w:val="000000"/>
          <w:sz w:val="26"/>
          <w:szCs w:val="26"/>
        </w:rPr>
        <w:t xml:space="preserve">Whether </w:t>
      </w:r>
      <w:r w:rsidRPr="00EB72CA">
        <w:rPr>
          <w:color w:val="000000"/>
          <w:sz w:val="26"/>
          <w:szCs w:val="26"/>
        </w:rPr>
        <w:t>the</w:t>
      </w:r>
      <w:r>
        <w:rPr>
          <w:color w:val="000000"/>
          <w:sz w:val="26"/>
          <w:szCs w:val="26"/>
        </w:rPr>
        <w:t xml:space="preserve"> A</w:t>
      </w:r>
      <w:r w:rsidR="00B4085B">
        <w:rPr>
          <w:color w:val="000000"/>
          <w:sz w:val="26"/>
          <w:szCs w:val="26"/>
        </w:rPr>
        <w:t>dministrative Law Judge’s (ALJ</w:t>
      </w:r>
      <w:r>
        <w:rPr>
          <w:color w:val="000000"/>
          <w:sz w:val="26"/>
          <w:szCs w:val="26"/>
        </w:rPr>
        <w:t>’</w:t>
      </w:r>
      <w:r w:rsidR="002B0147">
        <w:rPr>
          <w:color w:val="000000"/>
          <w:sz w:val="26"/>
          <w:szCs w:val="26"/>
        </w:rPr>
        <w:t>s</w:t>
      </w:r>
      <w:r w:rsidR="00B4085B">
        <w:rPr>
          <w:color w:val="000000"/>
          <w:sz w:val="26"/>
          <w:szCs w:val="26"/>
        </w:rPr>
        <w:t>)</w:t>
      </w:r>
      <w:r>
        <w:rPr>
          <w:color w:val="000000"/>
          <w:sz w:val="26"/>
          <w:szCs w:val="26"/>
        </w:rPr>
        <w:t xml:space="preserve"> </w:t>
      </w:r>
      <w:r w:rsidR="001B20B3">
        <w:rPr>
          <w:color w:val="000000"/>
          <w:sz w:val="26"/>
          <w:szCs w:val="26"/>
        </w:rPr>
        <w:t>Interim Order</w:t>
      </w:r>
      <w:r w:rsidR="0088795C" w:rsidRPr="0088795C">
        <w:rPr>
          <w:sz w:val="26"/>
          <w:szCs w:val="26"/>
        </w:rPr>
        <w:t xml:space="preserve"> </w:t>
      </w:r>
      <w:r w:rsidR="0088795C">
        <w:rPr>
          <w:sz w:val="26"/>
          <w:szCs w:val="26"/>
        </w:rPr>
        <w:t>Granting the Motion to Strike of Verde Energy USA, Inc.</w:t>
      </w:r>
      <w:r>
        <w:rPr>
          <w:color w:val="000000"/>
          <w:sz w:val="26"/>
          <w:szCs w:val="26"/>
        </w:rPr>
        <w:t>, dated J</w:t>
      </w:r>
      <w:r w:rsidR="00F21B78">
        <w:rPr>
          <w:color w:val="000000"/>
          <w:sz w:val="26"/>
          <w:szCs w:val="26"/>
        </w:rPr>
        <w:t>anuary 15</w:t>
      </w:r>
      <w:r>
        <w:rPr>
          <w:color w:val="000000"/>
          <w:sz w:val="26"/>
          <w:szCs w:val="26"/>
        </w:rPr>
        <w:t>, 202</w:t>
      </w:r>
      <w:r w:rsidR="00F21B78">
        <w:rPr>
          <w:color w:val="000000"/>
          <w:sz w:val="26"/>
          <w:szCs w:val="26"/>
        </w:rPr>
        <w:t>1</w:t>
      </w:r>
      <w:r w:rsidR="0088795C">
        <w:rPr>
          <w:color w:val="000000"/>
          <w:sz w:val="26"/>
          <w:szCs w:val="26"/>
        </w:rPr>
        <w:t xml:space="preserve"> (</w:t>
      </w:r>
      <w:r w:rsidR="0088795C" w:rsidRPr="000D00D4">
        <w:rPr>
          <w:i/>
          <w:iCs/>
          <w:color w:val="000000"/>
          <w:sz w:val="26"/>
          <w:szCs w:val="26"/>
        </w:rPr>
        <w:t>Interim Order</w:t>
      </w:r>
      <w:r w:rsidR="0088795C">
        <w:rPr>
          <w:color w:val="000000"/>
          <w:sz w:val="26"/>
          <w:szCs w:val="26"/>
        </w:rPr>
        <w:t>)</w:t>
      </w:r>
      <w:r>
        <w:rPr>
          <w:color w:val="000000"/>
          <w:sz w:val="26"/>
          <w:szCs w:val="26"/>
        </w:rPr>
        <w:t xml:space="preserve">, </w:t>
      </w:r>
      <w:r w:rsidR="000E1C85">
        <w:rPr>
          <w:color w:val="000000"/>
          <w:sz w:val="26"/>
          <w:szCs w:val="26"/>
        </w:rPr>
        <w:t>err</w:t>
      </w:r>
      <w:r w:rsidR="0088795C">
        <w:rPr>
          <w:color w:val="000000"/>
          <w:sz w:val="26"/>
          <w:szCs w:val="26"/>
        </w:rPr>
        <w:t>ed</w:t>
      </w:r>
      <w:r w:rsidR="000E1C85">
        <w:rPr>
          <w:color w:val="000000"/>
          <w:sz w:val="26"/>
          <w:szCs w:val="26"/>
        </w:rPr>
        <w:t xml:space="preserve"> as a matter of </w:t>
      </w:r>
      <w:r w:rsidR="000E1C85" w:rsidRPr="00A00BFA">
        <w:rPr>
          <w:color w:val="000000"/>
          <w:sz w:val="26"/>
          <w:szCs w:val="26"/>
        </w:rPr>
        <w:t>law</w:t>
      </w:r>
      <w:r w:rsidR="00462E0B" w:rsidRPr="00A00BFA">
        <w:rPr>
          <w:color w:val="000000"/>
          <w:sz w:val="26"/>
          <w:szCs w:val="26"/>
        </w:rPr>
        <w:t xml:space="preserve">, </w:t>
      </w:r>
      <w:r w:rsidR="000E1C85" w:rsidRPr="00A00BFA">
        <w:rPr>
          <w:color w:val="000000"/>
          <w:sz w:val="26"/>
          <w:szCs w:val="26"/>
        </w:rPr>
        <w:t xml:space="preserve">by granting </w:t>
      </w:r>
      <w:r w:rsidR="00F21B78" w:rsidRPr="00A00BFA">
        <w:rPr>
          <w:color w:val="000000"/>
          <w:sz w:val="26"/>
          <w:szCs w:val="26"/>
        </w:rPr>
        <w:t>Verde’s</w:t>
      </w:r>
      <w:r w:rsidRPr="00A00BFA">
        <w:rPr>
          <w:color w:val="000000"/>
          <w:sz w:val="26"/>
          <w:szCs w:val="26"/>
        </w:rPr>
        <w:t xml:space="preserve"> Motion </w:t>
      </w:r>
      <w:r w:rsidRPr="00A00BFA">
        <w:rPr>
          <w:i/>
          <w:color w:val="000000"/>
          <w:sz w:val="26"/>
          <w:szCs w:val="26"/>
        </w:rPr>
        <w:t xml:space="preserve">In </w:t>
      </w:r>
      <w:proofErr w:type="spellStart"/>
      <w:r w:rsidRPr="00A00BFA">
        <w:rPr>
          <w:i/>
          <w:color w:val="000000"/>
          <w:sz w:val="26"/>
          <w:szCs w:val="26"/>
        </w:rPr>
        <w:t>Limine</w:t>
      </w:r>
      <w:proofErr w:type="spellEnd"/>
      <w:r w:rsidRPr="00A00BFA">
        <w:rPr>
          <w:color w:val="000000"/>
          <w:sz w:val="26"/>
          <w:szCs w:val="26"/>
        </w:rPr>
        <w:t xml:space="preserve"> to </w:t>
      </w:r>
      <w:r w:rsidR="00FC5A41" w:rsidRPr="00A00BFA">
        <w:rPr>
          <w:color w:val="000000"/>
          <w:sz w:val="26"/>
          <w:szCs w:val="26"/>
        </w:rPr>
        <w:t xml:space="preserve">strike the OCA’s factual </w:t>
      </w:r>
      <w:r w:rsidR="00C15118" w:rsidRPr="00A00BFA">
        <w:rPr>
          <w:color w:val="000000"/>
          <w:sz w:val="26"/>
          <w:szCs w:val="26"/>
        </w:rPr>
        <w:t xml:space="preserve">materials </w:t>
      </w:r>
      <w:r w:rsidR="00FC5A41" w:rsidRPr="00A00BFA">
        <w:rPr>
          <w:color w:val="000000"/>
          <w:sz w:val="26"/>
          <w:szCs w:val="26"/>
        </w:rPr>
        <w:t xml:space="preserve">presented in support of the OCA’s </w:t>
      </w:r>
      <w:r w:rsidR="00052BD2" w:rsidRPr="00A00BFA">
        <w:rPr>
          <w:color w:val="000000"/>
          <w:sz w:val="26"/>
          <w:szCs w:val="26"/>
        </w:rPr>
        <w:t xml:space="preserve">substantive </w:t>
      </w:r>
      <w:r w:rsidR="00FC5A41" w:rsidRPr="00A00BFA">
        <w:rPr>
          <w:color w:val="000000"/>
          <w:sz w:val="26"/>
          <w:szCs w:val="26"/>
        </w:rPr>
        <w:t>comments</w:t>
      </w:r>
      <w:r w:rsidR="00052BD2" w:rsidRPr="00A00BFA">
        <w:rPr>
          <w:color w:val="000000"/>
          <w:sz w:val="26"/>
          <w:szCs w:val="26"/>
        </w:rPr>
        <w:t xml:space="preserve"> </w:t>
      </w:r>
      <w:r w:rsidR="00B34D49" w:rsidRPr="00A00BFA">
        <w:rPr>
          <w:color w:val="000000"/>
          <w:sz w:val="26"/>
          <w:szCs w:val="26"/>
        </w:rPr>
        <w:t xml:space="preserve">contesting the settlement </w:t>
      </w:r>
      <w:r w:rsidR="00B34D49" w:rsidRPr="00A00BFA">
        <w:rPr>
          <w:color w:val="000000"/>
          <w:sz w:val="26"/>
          <w:szCs w:val="26"/>
        </w:rPr>
        <w:lastRenderedPageBreak/>
        <w:t>between the I&amp;E and Verde</w:t>
      </w:r>
      <w:r w:rsidR="009A7DBE" w:rsidRPr="00A00BFA">
        <w:rPr>
          <w:color w:val="000000"/>
          <w:sz w:val="26"/>
          <w:szCs w:val="26"/>
        </w:rPr>
        <w:t xml:space="preserve"> in this proceeding</w:t>
      </w:r>
      <w:r w:rsidR="0062509B" w:rsidRPr="00A00BFA">
        <w:rPr>
          <w:sz w:val="26"/>
          <w:szCs w:val="26"/>
        </w:rPr>
        <w:t>, thereby denying the OCA a meaningful opportunity to be heard regarding its objections to the non-unanimous settlement?</w:t>
      </w:r>
    </w:p>
    <w:p w14:paraId="48749BC4" w14:textId="77777777" w:rsidR="001B20B3" w:rsidRPr="00EB72CA" w:rsidRDefault="001B20B3" w:rsidP="00A00BFA">
      <w:pPr>
        <w:ind w:left="1440" w:right="1440" w:firstLine="0"/>
        <w:rPr>
          <w:color w:val="000000"/>
          <w:sz w:val="26"/>
          <w:szCs w:val="26"/>
        </w:rPr>
      </w:pPr>
    </w:p>
    <w:p w14:paraId="2306F2B4" w14:textId="77777777" w:rsidR="00824C39" w:rsidRDefault="00B717B8" w:rsidP="00824C39">
      <w:pPr>
        <w:adjustRightInd w:val="0"/>
        <w:ind w:firstLine="0"/>
        <w:rPr>
          <w:sz w:val="26"/>
          <w:szCs w:val="26"/>
        </w:rPr>
      </w:pPr>
      <w:r w:rsidRPr="000E1C85">
        <w:rPr>
          <w:sz w:val="26"/>
          <w:szCs w:val="26"/>
        </w:rPr>
        <w:t xml:space="preserve">OCA Pet. at </w:t>
      </w:r>
      <w:r w:rsidR="00FD34BF" w:rsidRPr="000E1C85">
        <w:rPr>
          <w:sz w:val="26"/>
          <w:szCs w:val="26"/>
        </w:rPr>
        <w:t>1</w:t>
      </w:r>
      <w:r w:rsidR="00F619DB">
        <w:rPr>
          <w:sz w:val="26"/>
          <w:szCs w:val="26"/>
        </w:rPr>
        <w:t>-2</w:t>
      </w:r>
      <w:r w:rsidR="0062509B">
        <w:rPr>
          <w:sz w:val="26"/>
          <w:szCs w:val="26"/>
        </w:rPr>
        <w:t>; OCA Brief in Support at 3.</w:t>
      </w:r>
    </w:p>
    <w:p w14:paraId="0E28F2B3" w14:textId="77777777" w:rsidR="00824C39" w:rsidRDefault="00824C39" w:rsidP="00824C39">
      <w:pPr>
        <w:adjustRightInd w:val="0"/>
        <w:ind w:firstLine="0"/>
        <w:rPr>
          <w:sz w:val="26"/>
          <w:szCs w:val="26"/>
        </w:rPr>
      </w:pPr>
    </w:p>
    <w:p w14:paraId="7F1EAE7E" w14:textId="0B965A00" w:rsidR="00DF5B60" w:rsidRDefault="001D50D1" w:rsidP="00824C39">
      <w:pPr>
        <w:adjustRightInd w:val="0"/>
        <w:rPr>
          <w:sz w:val="26"/>
          <w:szCs w:val="26"/>
        </w:rPr>
      </w:pPr>
      <w:r w:rsidRPr="00841219">
        <w:rPr>
          <w:sz w:val="26"/>
          <w:szCs w:val="26"/>
        </w:rPr>
        <w:t>For the reasons discussed more fully below,</w:t>
      </w:r>
      <w:r w:rsidR="00995C88" w:rsidRPr="00995C88">
        <w:rPr>
          <w:color w:val="000000"/>
          <w:sz w:val="26"/>
          <w:szCs w:val="26"/>
        </w:rPr>
        <w:t xml:space="preserve"> </w:t>
      </w:r>
      <w:r w:rsidR="00310D2E">
        <w:rPr>
          <w:color w:val="000000"/>
          <w:sz w:val="26"/>
          <w:szCs w:val="26"/>
        </w:rPr>
        <w:t xml:space="preserve">we shall deny </w:t>
      </w:r>
      <w:r w:rsidR="00995C88" w:rsidRPr="00995C88">
        <w:rPr>
          <w:color w:val="000000"/>
          <w:sz w:val="26"/>
          <w:szCs w:val="26"/>
        </w:rPr>
        <w:t>the Petition filed by the O</w:t>
      </w:r>
      <w:r w:rsidR="00995C88">
        <w:rPr>
          <w:color w:val="000000"/>
          <w:sz w:val="26"/>
          <w:szCs w:val="26"/>
        </w:rPr>
        <w:t>CA</w:t>
      </w:r>
      <w:r w:rsidR="00995C88" w:rsidRPr="00995C88">
        <w:rPr>
          <w:color w:val="000000"/>
          <w:sz w:val="26"/>
          <w:szCs w:val="26"/>
        </w:rPr>
        <w:t xml:space="preserve">, in the above-captioned proceeding, and </w:t>
      </w:r>
      <w:r w:rsidR="00310D2E">
        <w:rPr>
          <w:color w:val="000000"/>
          <w:sz w:val="26"/>
          <w:szCs w:val="26"/>
        </w:rPr>
        <w:t xml:space="preserve">answer </w:t>
      </w:r>
      <w:r w:rsidR="00995C88" w:rsidRPr="00995C88">
        <w:rPr>
          <w:color w:val="000000"/>
          <w:sz w:val="26"/>
          <w:szCs w:val="26"/>
        </w:rPr>
        <w:t>the Material Question</w:t>
      </w:r>
      <w:r w:rsidR="00995C88">
        <w:rPr>
          <w:color w:val="000000"/>
          <w:sz w:val="26"/>
          <w:szCs w:val="26"/>
        </w:rPr>
        <w:t xml:space="preserve"> in the negative.  Accordingly, </w:t>
      </w:r>
      <w:r w:rsidR="00224A34">
        <w:rPr>
          <w:color w:val="000000"/>
          <w:sz w:val="26"/>
          <w:szCs w:val="26"/>
        </w:rPr>
        <w:t>we shall</w:t>
      </w:r>
      <w:r w:rsidR="0012523F">
        <w:rPr>
          <w:color w:val="000000"/>
          <w:sz w:val="26"/>
          <w:szCs w:val="26"/>
        </w:rPr>
        <w:t>:</w:t>
      </w:r>
      <w:r w:rsidR="00224A34">
        <w:rPr>
          <w:color w:val="000000"/>
          <w:sz w:val="26"/>
          <w:szCs w:val="26"/>
        </w:rPr>
        <w:t xml:space="preserve"> </w:t>
      </w:r>
      <w:r w:rsidR="003B22A2">
        <w:rPr>
          <w:color w:val="000000"/>
          <w:sz w:val="26"/>
          <w:szCs w:val="26"/>
        </w:rPr>
        <w:t xml:space="preserve"> </w:t>
      </w:r>
      <w:r w:rsidR="001D2A42">
        <w:rPr>
          <w:color w:val="000000"/>
          <w:sz w:val="26"/>
          <w:szCs w:val="26"/>
        </w:rPr>
        <w:t xml:space="preserve">(1) </w:t>
      </w:r>
      <w:r w:rsidR="00B313EF">
        <w:rPr>
          <w:color w:val="000000"/>
          <w:sz w:val="26"/>
          <w:szCs w:val="26"/>
        </w:rPr>
        <w:t>deny the Petition in its entirety</w:t>
      </w:r>
      <w:r w:rsidR="0012523F">
        <w:rPr>
          <w:color w:val="000000"/>
          <w:sz w:val="26"/>
          <w:szCs w:val="26"/>
        </w:rPr>
        <w:t>;</w:t>
      </w:r>
      <w:r w:rsidR="00B313EF">
        <w:rPr>
          <w:color w:val="000000"/>
          <w:sz w:val="26"/>
          <w:szCs w:val="26"/>
        </w:rPr>
        <w:t xml:space="preserve"> </w:t>
      </w:r>
      <w:r w:rsidR="00224A34">
        <w:rPr>
          <w:color w:val="000000"/>
          <w:sz w:val="26"/>
          <w:szCs w:val="26"/>
        </w:rPr>
        <w:t xml:space="preserve">adopt </w:t>
      </w:r>
      <w:r w:rsidRPr="00841219">
        <w:rPr>
          <w:sz w:val="26"/>
          <w:szCs w:val="26"/>
        </w:rPr>
        <w:t>the ALJ’s</w:t>
      </w:r>
      <w:r w:rsidR="00CB511D">
        <w:rPr>
          <w:sz w:val="26"/>
          <w:szCs w:val="26"/>
        </w:rPr>
        <w:t xml:space="preserve"> </w:t>
      </w:r>
      <w:r w:rsidRPr="009A4A95">
        <w:rPr>
          <w:i/>
          <w:iCs/>
          <w:sz w:val="26"/>
          <w:szCs w:val="26"/>
        </w:rPr>
        <w:t>Interim Order</w:t>
      </w:r>
      <w:r w:rsidR="00995C88">
        <w:rPr>
          <w:i/>
          <w:iCs/>
          <w:sz w:val="26"/>
          <w:szCs w:val="26"/>
        </w:rPr>
        <w:t xml:space="preserve"> </w:t>
      </w:r>
      <w:r w:rsidR="00995C88" w:rsidRPr="00995C88">
        <w:rPr>
          <w:sz w:val="26"/>
          <w:szCs w:val="26"/>
        </w:rPr>
        <w:t>granting the Motion to Strike of Verde Energy USA, Inc.</w:t>
      </w:r>
      <w:r w:rsidR="006E5CAC">
        <w:rPr>
          <w:sz w:val="26"/>
          <w:szCs w:val="26"/>
        </w:rPr>
        <w:t>,</w:t>
      </w:r>
      <w:r w:rsidR="00995C88" w:rsidRPr="00995C88">
        <w:rPr>
          <w:sz w:val="26"/>
          <w:szCs w:val="26"/>
        </w:rPr>
        <w:t xml:space="preserve"> dated January</w:t>
      </w:r>
      <w:r w:rsidR="003B22A2">
        <w:rPr>
          <w:sz w:val="26"/>
          <w:szCs w:val="26"/>
        </w:rPr>
        <w:t> </w:t>
      </w:r>
      <w:r w:rsidR="00995C88" w:rsidRPr="00995C88">
        <w:rPr>
          <w:sz w:val="26"/>
          <w:szCs w:val="26"/>
        </w:rPr>
        <w:t xml:space="preserve">15, 2021, issued by ALJ </w:t>
      </w:r>
      <w:r w:rsidR="00995C88">
        <w:rPr>
          <w:sz w:val="26"/>
          <w:szCs w:val="26"/>
        </w:rPr>
        <w:t xml:space="preserve">Christopher J. </w:t>
      </w:r>
      <w:r w:rsidR="00995C88" w:rsidRPr="00995C88">
        <w:rPr>
          <w:sz w:val="26"/>
          <w:szCs w:val="26"/>
        </w:rPr>
        <w:t>Pell in this proceeding</w:t>
      </w:r>
      <w:r w:rsidR="0012523F">
        <w:rPr>
          <w:sz w:val="26"/>
          <w:szCs w:val="26"/>
        </w:rPr>
        <w:t>;</w:t>
      </w:r>
      <w:r w:rsidR="00B313EF">
        <w:rPr>
          <w:sz w:val="26"/>
          <w:szCs w:val="26"/>
        </w:rPr>
        <w:t xml:space="preserve"> and</w:t>
      </w:r>
      <w:r w:rsidR="00995C88">
        <w:rPr>
          <w:sz w:val="26"/>
          <w:szCs w:val="26"/>
        </w:rPr>
        <w:t xml:space="preserve"> </w:t>
      </w:r>
      <w:r w:rsidR="001D2A42">
        <w:rPr>
          <w:sz w:val="26"/>
          <w:szCs w:val="26"/>
        </w:rPr>
        <w:t xml:space="preserve">(2) </w:t>
      </w:r>
      <w:r w:rsidR="00995C88">
        <w:rPr>
          <w:sz w:val="26"/>
          <w:szCs w:val="26"/>
        </w:rPr>
        <w:t>return</w:t>
      </w:r>
      <w:r w:rsidR="005D560B">
        <w:rPr>
          <w:sz w:val="26"/>
          <w:szCs w:val="26"/>
        </w:rPr>
        <w:t xml:space="preserve"> </w:t>
      </w:r>
      <w:r w:rsidR="0012523F">
        <w:rPr>
          <w:sz w:val="26"/>
          <w:szCs w:val="26"/>
        </w:rPr>
        <w:t>the matter</w:t>
      </w:r>
      <w:r w:rsidR="00995C88">
        <w:rPr>
          <w:sz w:val="26"/>
          <w:szCs w:val="26"/>
        </w:rPr>
        <w:t xml:space="preserve"> to </w:t>
      </w:r>
      <w:r w:rsidRPr="00841219">
        <w:rPr>
          <w:sz w:val="26"/>
          <w:szCs w:val="26"/>
        </w:rPr>
        <w:t xml:space="preserve">the </w:t>
      </w:r>
      <w:r w:rsidR="000815C8">
        <w:rPr>
          <w:sz w:val="26"/>
          <w:szCs w:val="26"/>
        </w:rPr>
        <w:t>Office of Administrative Law Judge (</w:t>
      </w:r>
      <w:r w:rsidR="000815C8" w:rsidRPr="00841219">
        <w:rPr>
          <w:sz w:val="26"/>
          <w:szCs w:val="26"/>
        </w:rPr>
        <w:t>OALJ</w:t>
      </w:r>
      <w:r w:rsidR="000815C8">
        <w:rPr>
          <w:sz w:val="26"/>
          <w:szCs w:val="26"/>
        </w:rPr>
        <w:t>)</w:t>
      </w:r>
      <w:r w:rsidR="000815C8" w:rsidRPr="00841219">
        <w:rPr>
          <w:sz w:val="26"/>
          <w:szCs w:val="26"/>
        </w:rPr>
        <w:t xml:space="preserve"> </w:t>
      </w:r>
      <w:r w:rsidRPr="00841219">
        <w:rPr>
          <w:sz w:val="26"/>
          <w:szCs w:val="26"/>
        </w:rPr>
        <w:t xml:space="preserve">for further proceedings </w:t>
      </w:r>
      <w:r w:rsidR="00995C88">
        <w:rPr>
          <w:sz w:val="26"/>
          <w:szCs w:val="26"/>
        </w:rPr>
        <w:t xml:space="preserve">to promptly determine whether the Settlement proposed in this matter should be approved as reasonable and necessary and in the public interest, </w:t>
      </w:r>
      <w:r w:rsidRPr="00841219">
        <w:rPr>
          <w:sz w:val="26"/>
          <w:szCs w:val="26"/>
        </w:rPr>
        <w:t>in accordance with this Opinion and Order.</w:t>
      </w:r>
      <w:r w:rsidR="00667771" w:rsidRPr="00667771">
        <w:rPr>
          <w:sz w:val="26"/>
          <w:szCs w:val="26"/>
        </w:rPr>
        <w:t xml:space="preserve"> </w:t>
      </w:r>
    </w:p>
    <w:p w14:paraId="7528CE77" w14:textId="39859FBF" w:rsidR="00B75F6A" w:rsidRPr="00383CC0" w:rsidRDefault="00B75F6A" w:rsidP="00383CC0">
      <w:pPr>
        <w:adjustRightInd w:val="0"/>
        <w:rPr>
          <w:sz w:val="26"/>
          <w:szCs w:val="26"/>
        </w:rPr>
      </w:pPr>
    </w:p>
    <w:p w14:paraId="392FAED3" w14:textId="7235B16F" w:rsidR="00EB5FEB" w:rsidRDefault="00D8768A" w:rsidP="00D8768A">
      <w:pPr>
        <w:pStyle w:val="Heading1"/>
        <w:tabs>
          <w:tab w:val="left" w:pos="720"/>
        </w:tabs>
        <w:ind w:left="0" w:firstLine="0"/>
      </w:pPr>
      <w:r>
        <w:t xml:space="preserve"> </w:t>
      </w:r>
      <w:r>
        <w:tab/>
      </w:r>
      <w:r w:rsidR="009078DF" w:rsidRPr="00BC3D6E">
        <w:t>History of the Proceeding</w:t>
      </w:r>
    </w:p>
    <w:p w14:paraId="63A13C10" w14:textId="77777777" w:rsidR="006F36AB" w:rsidRPr="006F36AB" w:rsidRDefault="006F36AB" w:rsidP="00FD4FD3">
      <w:pPr>
        <w:pStyle w:val="BodyText2"/>
        <w:keepNext/>
        <w:keepLines/>
        <w:spacing w:after="0" w:line="360" w:lineRule="auto"/>
      </w:pPr>
    </w:p>
    <w:p w14:paraId="0E310B69" w14:textId="2A7DAE57" w:rsidR="003B07BA" w:rsidRPr="009B3E33" w:rsidRDefault="003B07BA" w:rsidP="00DF5B60">
      <w:pPr>
        <w:rPr>
          <w:sz w:val="26"/>
          <w:szCs w:val="26"/>
        </w:rPr>
      </w:pPr>
      <w:r w:rsidRPr="009B3E33">
        <w:rPr>
          <w:sz w:val="26"/>
          <w:szCs w:val="26"/>
        </w:rPr>
        <w:t xml:space="preserve">On January 30, 2020, I&amp;E filed </w:t>
      </w:r>
      <w:r w:rsidR="00FB6E93">
        <w:rPr>
          <w:sz w:val="26"/>
          <w:szCs w:val="26"/>
        </w:rPr>
        <w:t xml:space="preserve">a Formal </w:t>
      </w:r>
      <w:r w:rsidR="00A14705" w:rsidRPr="009B3E33">
        <w:rPr>
          <w:sz w:val="26"/>
          <w:szCs w:val="26"/>
        </w:rPr>
        <w:t>Complaint</w:t>
      </w:r>
      <w:r w:rsidRPr="009B3E33">
        <w:rPr>
          <w:sz w:val="26"/>
          <w:szCs w:val="26"/>
        </w:rPr>
        <w:t xml:space="preserve"> against Verd</w:t>
      </w:r>
      <w:r w:rsidR="00FE3E0E" w:rsidRPr="009B3E33">
        <w:rPr>
          <w:sz w:val="26"/>
          <w:szCs w:val="26"/>
        </w:rPr>
        <w:t>e</w:t>
      </w:r>
      <w:r w:rsidRPr="009B3E33">
        <w:rPr>
          <w:sz w:val="26"/>
          <w:szCs w:val="26"/>
        </w:rPr>
        <w:t xml:space="preserve"> with the Commission</w:t>
      </w:r>
      <w:r w:rsidR="008F0D7E" w:rsidRPr="008F0D7E">
        <w:rPr>
          <w:bCs/>
          <w:sz w:val="26"/>
          <w:szCs w:val="26"/>
        </w:rPr>
        <w:t xml:space="preserve"> </w:t>
      </w:r>
      <w:r w:rsidR="008F0D7E">
        <w:rPr>
          <w:bCs/>
          <w:sz w:val="26"/>
          <w:szCs w:val="26"/>
        </w:rPr>
        <w:t>pursuant to the authority</w:t>
      </w:r>
      <w:r w:rsidR="008F0D7E">
        <w:rPr>
          <w:rStyle w:val="FootnoteReference"/>
          <w:bCs/>
          <w:sz w:val="26"/>
          <w:szCs w:val="26"/>
        </w:rPr>
        <w:footnoteReference w:id="5"/>
      </w:r>
      <w:r w:rsidR="008F0D7E">
        <w:rPr>
          <w:bCs/>
          <w:sz w:val="26"/>
          <w:szCs w:val="26"/>
        </w:rPr>
        <w:t xml:space="preserve"> under Section 701 of the Code, 66 Pa. C.S. § 701</w:t>
      </w:r>
      <w:r w:rsidRPr="009B3E33">
        <w:rPr>
          <w:sz w:val="26"/>
          <w:szCs w:val="26"/>
        </w:rPr>
        <w:t xml:space="preserve">.  </w:t>
      </w:r>
      <w:r w:rsidR="009525E3">
        <w:rPr>
          <w:sz w:val="26"/>
          <w:szCs w:val="26"/>
        </w:rPr>
        <w:t>In</w:t>
      </w:r>
      <w:r w:rsidRPr="009B3E33">
        <w:rPr>
          <w:sz w:val="26"/>
          <w:szCs w:val="26"/>
        </w:rPr>
        <w:t xml:space="preserve"> the Complaint, I&amp;E alleged that Verde, and/or a third-party marketing agent acting on Verde’s behalf, conducted deceptive and misleading sales tactics, enrolled customers without authorization, and accessed customer accounts without authorization while participating in Pennsylvania’s competitive supplier retail market</w:t>
      </w:r>
      <w:r w:rsidR="00E90EF6">
        <w:rPr>
          <w:sz w:val="26"/>
          <w:szCs w:val="26"/>
        </w:rPr>
        <w:t>,</w:t>
      </w:r>
      <w:r w:rsidR="00E90EF6" w:rsidRPr="00E90EF6">
        <w:rPr>
          <w:sz w:val="26"/>
          <w:szCs w:val="26"/>
        </w:rPr>
        <w:t xml:space="preserve"> </w:t>
      </w:r>
      <w:r w:rsidR="00E90EF6" w:rsidRPr="009B3E33">
        <w:rPr>
          <w:sz w:val="26"/>
          <w:szCs w:val="26"/>
        </w:rPr>
        <w:t xml:space="preserve">from </w:t>
      </w:r>
      <w:r w:rsidR="00E90EF6">
        <w:rPr>
          <w:sz w:val="26"/>
          <w:szCs w:val="26"/>
        </w:rPr>
        <w:t xml:space="preserve">the period beginning </w:t>
      </w:r>
      <w:r w:rsidR="00E90EF6" w:rsidRPr="009B3E33">
        <w:rPr>
          <w:sz w:val="26"/>
          <w:szCs w:val="26"/>
        </w:rPr>
        <w:t>February 2017 through the date of the Complaint</w:t>
      </w:r>
      <w:r w:rsidRPr="009B3E33">
        <w:rPr>
          <w:sz w:val="26"/>
          <w:szCs w:val="26"/>
        </w:rPr>
        <w:t xml:space="preserve">.  </w:t>
      </w:r>
    </w:p>
    <w:p w14:paraId="0A8F83D4" w14:textId="77777777" w:rsidR="003B07BA" w:rsidRPr="009B3E33" w:rsidRDefault="003B07BA" w:rsidP="009B3E33">
      <w:pPr>
        <w:rPr>
          <w:sz w:val="26"/>
          <w:szCs w:val="26"/>
        </w:rPr>
      </w:pPr>
    </w:p>
    <w:p w14:paraId="26DED982" w14:textId="0498697C" w:rsidR="00BC2014" w:rsidRDefault="00BC2014" w:rsidP="00BC2014">
      <w:pPr>
        <w:rPr>
          <w:sz w:val="26"/>
          <w:szCs w:val="26"/>
        </w:rPr>
      </w:pPr>
      <w:r>
        <w:rPr>
          <w:sz w:val="26"/>
          <w:szCs w:val="26"/>
        </w:rPr>
        <w:lastRenderedPageBreak/>
        <w:t xml:space="preserve">On February 14, 2020, Verde filed an unopposed Motion seeking </w:t>
      </w:r>
      <w:r w:rsidR="000F4FC3">
        <w:rPr>
          <w:sz w:val="26"/>
          <w:szCs w:val="26"/>
        </w:rPr>
        <w:t xml:space="preserve">an </w:t>
      </w:r>
      <w:r>
        <w:rPr>
          <w:sz w:val="26"/>
          <w:szCs w:val="26"/>
        </w:rPr>
        <w:t>extension</w:t>
      </w:r>
      <w:r w:rsidR="000F4FC3">
        <w:rPr>
          <w:sz w:val="26"/>
          <w:szCs w:val="26"/>
        </w:rPr>
        <w:t xml:space="preserve"> </w:t>
      </w:r>
      <w:r>
        <w:rPr>
          <w:sz w:val="26"/>
          <w:szCs w:val="26"/>
        </w:rPr>
        <w:t>of time to file an Answer to the Complaint, which was granted by the Secretary’s Bureau.</w:t>
      </w:r>
    </w:p>
    <w:p w14:paraId="69F1515D" w14:textId="77777777" w:rsidR="00BC2014" w:rsidRDefault="00BC2014" w:rsidP="00BC2014">
      <w:pPr>
        <w:rPr>
          <w:sz w:val="26"/>
          <w:szCs w:val="26"/>
        </w:rPr>
      </w:pPr>
    </w:p>
    <w:p w14:paraId="118018BB" w14:textId="71A173DB" w:rsidR="003B07BA" w:rsidRDefault="003B07BA" w:rsidP="009B3E33">
      <w:pPr>
        <w:rPr>
          <w:sz w:val="26"/>
          <w:szCs w:val="26"/>
        </w:rPr>
      </w:pPr>
      <w:r w:rsidRPr="009B3E33">
        <w:rPr>
          <w:sz w:val="26"/>
          <w:szCs w:val="26"/>
        </w:rPr>
        <w:t>On February 24, 2020, the OCA filed a Notice of Intervention and Public Statement</w:t>
      </w:r>
      <w:r w:rsidR="00180CFD">
        <w:rPr>
          <w:sz w:val="26"/>
          <w:szCs w:val="26"/>
        </w:rPr>
        <w:t xml:space="preserve"> </w:t>
      </w:r>
      <w:r w:rsidR="00253091">
        <w:rPr>
          <w:sz w:val="26"/>
          <w:szCs w:val="26"/>
        </w:rPr>
        <w:t xml:space="preserve">in this matter </w:t>
      </w:r>
      <w:r w:rsidR="00180CFD">
        <w:rPr>
          <w:sz w:val="26"/>
          <w:szCs w:val="26"/>
        </w:rPr>
        <w:t xml:space="preserve">pursuant to its statutory authority under 71 P.S. </w:t>
      </w:r>
      <w:r w:rsidR="00D061DE">
        <w:rPr>
          <w:sz w:val="26"/>
          <w:szCs w:val="26"/>
        </w:rPr>
        <w:t>§ 309-</w:t>
      </w:r>
      <w:r w:rsidR="00F23F44">
        <w:rPr>
          <w:sz w:val="26"/>
          <w:szCs w:val="26"/>
        </w:rPr>
        <w:t>4.</w:t>
      </w:r>
    </w:p>
    <w:p w14:paraId="5AB32DB7" w14:textId="72AD5BA5" w:rsidR="00007864" w:rsidRDefault="00007864" w:rsidP="009B3E33">
      <w:pPr>
        <w:rPr>
          <w:sz w:val="26"/>
          <w:szCs w:val="26"/>
        </w:rPr>
      </w:pPr>
    </w:p>
    <w:p w14:paraId="79334A47" w14:textId="4F3C5920" w:rsidR="00007864" w:rsidRDefault="00B214F2" w:rsidP="00007864">
      <w:pPr>
        <w:rPr>
          <w:sz w:val="26"/>
          <w:szCs w:val="26"/>
        </w:rPr>
      </w:pPr>
      <w:r>
        <w:rPr>
          <w:sz w:val="26"/>
          <w:szCs w:val="26"/>
        </w:rPr>
        <w:t xml:space="preserve">On March 30, 2020, and May 15, 2020, </w:t>
      </w:r>
      <w:r w:rsidR="00007864">
        <w:rPr>
          <w:sz w:val="26"/>
          <w:szCs w:val="26"/>
        </w:rPr>
        <w:t xml:space="preserve">Verde filed </w:t>
      </w:r>
      <w:r w:rsidR="00BC2014">
        <w:rPr>
          <w:sz w:val="26"/>
          <w:szCs w:val="26"/>
        </w:rPr>
        <w:t>two additional</w:t>
      </w:r>
      <w:r w:rsidR="00007864">
        <w:rPr>
          <w:sz w:val="26"/>
          <w:szCs w:val="26"/>
        </w:rPr>
        <w:t xml:space="preserve"> unopposed Motions seeking extension</w:t>
      </w:r>
      <w:r w:rsidR="009157AC">
        <w:rPr>
          <w:sz w:val="26"/>
          <w:szCs w:val="26"/>
        </w:rPr>
        <w:t>s</w:t>
      </w:r>
      <w:r w:rsidR="00007864">
        <w:rPr>
          <w:sz w:val="26"/>
          <w:szCs w:val="26"/>
        </w:rPr>
        <w:t xml:space="preserve"> of time to file an Answer to the Complaint,</w:t>
      </w:r>
      <w:r w:rsidR="00A42587">
        <w:rPr>
          <w:sz w:val="26"/>
          <w:szCs w:val="26"/>
        </w:rPr>
        <w:t xml:space="preserve"> </w:t>
      </w:r>
      <w:r w:rsidR="00007864">
        <w:rPr>
          <w:sz w:val="26"/>
          <w:szCs w:val="26"/>
        </w:rPr>
        <w:t xml:space="preserve">which were </w:t>
      </w:r>
      <w:r w:rsidR="00A42587">
        <w:rPr>
          <w:sz w:val="26"/>
          <w:szCs w:val="26"/>
        </w:rPr>
        <w:t xml:space="preserve">consecutively </w:t>
      </w:r>
      <w:r w:rsidR="00007864">
        <w:rPr>
          <w:sz w:val="26"/>
          <w:szCs w:val="26"/>
        </w:rPr>
        <w:t>granted by the Secretary’s Bureau</w:t>
      </w:r>
      <w:r w:rsidR="00F174F2">
        <w:rPr>
          <w:sz w:val="26"/>
          <w:szCs w:val="26"/>
        </w:rPr>
        <w:t xml:space="preserve"> </w:t>
      </w:r>
      <w:r w:rsidR="00A42587">
        <w:rPr>
          <w:sz w:val="26"/>
          <w:szCs w:val="26"/>
        </w:rPr>
        <w:t>through and until June 30, 2020.</w:t>
      </w:r>
    </w:p>
    <w:p w14:paraId="7A41717B" w14:textId="77777777" w:rsidR="003B07BA" w:rsidRPr="009B3E33" w:rsidRDefault="003B07BA" w:rsidP="00DF5B60">
      <w:pPr>
        <w:ind w:firstLine="0"/>
        <w:rPr>
          <w:sz w:val="26"/>
          <w:szCs w:val="26"/>
        </w:rPr>
      </w:pPr>
    </w:p>
    <w:p w14:paraId="339807BA" w14:textId="00C64894" w:rsidR="00E46EAC" w:rsidRDefault="005E68BF" w:rsidP="00124D06">
      <w:pPr>
        <w:rPr>
          <w:sz w:val="26"/>
          <w:szCs w:val="26"/>
        </w:rPr>
      </w:pPr>
      <w:r>
        <w:rPr>
          <w:sz w:val="26"/>
          <w:szCs w:val="26"/>
        </w:rPr>
        <w:t>O</w:t>
      </w:r>
      <w:r w:rsidRPr="009B3E33">
        <w:rPr>
          <w:sz w:val="26"/>
          <w:szCs w:val="26"/>
        </w:rPr>
        <w:t>n June 30, 2020, Verde filed an Answer to the Complaint</w:t>
      </w:r>
      <w:r w:rsidR="009157AC">
        <w:rPr>
          <w:sz w:val="26"/>
          <w:szCs w:val="26"/>
        </w:rPr>
        <w:t xml:space="preserve"> </w:t>
      </w:r>
      <w:r w:rsidRPr="009B3E33">
        <w:rPr>
          <w:sz w:val="26"/>
          <w:szCs w:val="26"/>
        </w:rPr>
        <w:t>denying the allegations set forth in the Complain</w:t>
      </w:r>
      <w:r w:rsidR="003D3BDB">
        <w:rPr>
          <w:sz w:val="26"/>
          <w:szCs w:val="26"/>
        </w:rPr>
        <w:t>t</w:t>
      </w:r>
      <w:r w:rsidRPr="009B3E33">
        <w:rPr>
          <w:sz w:val="26"/>
          <w:szCs w:val="26"/>
        </w:rPr>
        <w:t xml:space="preserve">.  </w:t>
      </w:r>
      <w:r>
        <w:rPr>
          <w:sz w:val="26"/>
          <w:szCs w:val="26"/>
        </w:rPr>
        <w:t>On th</w:t>
      </w:r>
      <w:r w:rsidR="009E7B0C">
        <w:rPr>
          <w:sz w:val="26"/>
          <w:szCs w:val="26"/>
        </w:rPr>
        <w:t>at</w:t>
      </w:r>
      <w:r>
        <w:rPr>
          <w:sz w:val="26"/>
          <w:szCs w:val="26"/>
        </w:rPr>
        <w:t xml:space="preserve"> same date,</w:t>
      </w:r>
      <w:r w:rsidR="003B07BA" w:rsidRPr="009B3E33">
        <w:rPr>
          <w:sz w:val="26"/>
          <w:szCs w:val="26"/>
        </w:rPr>
        <w:t xml:space="preserve"> I&amp;E and Verde</w:t>
      </w:r>
      <w:r w:rsidR="00405351">
        <w:rPr>
          <w:sz w:val="26"/>
          <w:szCs w:val="26"/>
        </w:rPr>
        <w:t xml:space="preserve"> (Joint Petitioners)</w:t>
      </w:r>
      <w:r w:rsidR="003B07BA" w:rsidRPr="009B3E33">
        <w:rPr>
          <w:sz w:val="26"/>
          <w:szCs w:val="26"/>
        </w:rPr>
        <w:t xml:space="preserve"> filed </w:t>
      </w:r>
      <w:r w:rsidR="003C17F6">
        <w:rPr>
          <w:sz w:val="26"/>
          <w:szCs w:val="26"/>
        </w:rPr>
        <w:t>a</w:t>
      </w:r>
      <w:r w:rsidR="00AB615F">
        <w:rPr>
          <w:sz w:val="26"/>
          <w:szCs w:val="26"/>
        </w:rPr>
        <w:t xml:space="preserve"> </w:t>
      </w:r>
      <w:r w:rsidR="003B07BA" w:rsidRPr="009B3E33">
        <w:rPr>
          <w:sz w:val="26"/>
          <w:szCs w:val="26"/>
        </w:rPr>
        <w:t>Joint Petition</w:t>
      </w:r>
      <w:r w:rsidR="003C17F6">
        <w:rPr>
          <w:sz w:val="26"/>
          <w:szCs w:val="26"/>
        </w:rPr>
        <w:t xml:space="preserve"> for Settlement (Joint Petition, Joint Petition for Settlement, or Settlement)</w:t>
      </w:r>
      <w:r w:rsidR="0033667C">
        <w:rPr>
          <w:sz w:val="26"/>
          <w:szCs w:val="26"/>
        </w:rPr>
        <w:t>.</w:t>
      </w:r>
    </w:p>
    <w:p w14:paraId="77B45FA5" w14:textId="77777777" w:rsidR="00E46EAC" w:rsidRDefault="00E46EAC" w:rsidP="00E46EAC">
      <w:pPr>
        <w:rPr>
          <w:sz w:val="26"/>
          <w:szCs w:val="26"/>
        </w:rPr>
      </w:pPr>
    </w:p>
    <w:p w14:paraId="77FD0395" w14:textId="5B7429C4" w:rsidR="00E46EAC" w:rsidRDefault="003B07BA" w:rsidP="00123D4C">
      <w:pPr>
        <w:rPr>
          <w:sz w:val="26"/>
          <w:szCs w:val="26"/>
        </w:rPr>
      </w:pPr>
      <w:r w:rsidRPr="009B3E33">
        <w:rPr>
          <w:sz w:val="26"/>
          <w:szCs w:val="26"/>
        </w:rPr>
        <w:t>On July 10, 2020, the OCA filed a letter stating its intention to file a Statement in Opposition to the Joint Petition and request</w:t>
      </w:r>
      <w:r w:rsidR="00C90C7F">
        <w:rPr>
          <w:sz w:val="26"/>
          <w:szCs w:val="26"/>
        </w:rPr>
        <w:t>ing</w:t>
      </w:r>
      <w:r w:rsidRPr="009B3E33">
        <w:rPr>
          <w:sz w:val="26"/>
          <w:szCs w:val="26"/>
        </w:rPr>
        <w:t xml:space="preserve"> that the Commission assign the matter to an ALJ.</w:t>
      </w:r>
      <w:r w:rsidR="00BD5C64">
        <w:rPr>
          <w:rStyle w:val="FootnoteReference"/>
          <w:sz w:val="26"/>
          <w:szCs w:val="26"/>
        </w:rPr>
        <w:footnoteReference w:id="6"/>
      </w:r>
      <w:r w:rsidRPr="009B3E33">
        <w:rPr>
          <w:sz w:val="26"/>
          <w:szCs w:val="26"/>
        </w:rPr>
        <w:t xml:space="preserve">  On July 20, 2020, the OCA filed its Statement in Opposition to the Joint Petition.  </w:t>
      </w:r>
    </w:p>
    <w:p w14:paraId="7228DA5A" w14:textId="77777777" w:rsidR="00E46EAC" w:rsidRDefault="00E46EAC" w:rsidP="00E46EAC">
      <w:pPr>
        <w:rPr>
          <w:sz w:val="26"/>
          <w:szCs w:val="26"/>
        </w:rPr>
      </w:pPr>
    </w:p>
    <w:p w14:paraId="4093092D" w14:textId="776E0866" w:rsidR="00A267BB" w:rsidRDefault="00A771E3" w:rsidP="009B3E33">
      <w:pPr>
        <w:rPr>
          <w:sz w:val="26"/>
          <w:szCs w:val="26"/>
        </w:rPr>
      </w:pPr>
      <w:r>
        <w:rPr>
          <w:sz w:val="26"/>
          <w:szCs w:val="26"/>
        </w:rPr>
        <w:t xml:space="preserve">On July 31, 2020, </w:t>
      </w:r>
      <w:r w:rsidR="00A267BB">
        <w:rPr>
          <w:sz w:val="26"/>
          <w:szCs w:val="26"/>
        </w:rPr>
        <w:t>the matter was assigned to ALJ Christopher P. Pell, who issued a Prehearing Conference Order.  On the same date, a</w:t>
      </w:r>
      <w:r>
        <w:rPr>
          <w:sz w:val="26"/>
          <w:szCs w:val="26"/>
        </w:rPr>
        <w:t xml:space="preserve"> </w:t>
      </w:r>
      <w:r w:rsidR="003B07BA" w:rsidRPr="009B3E33">
        <w:rPr>
          <w:sz w:val="26"/>
          <w:szCs w:val="26"/>
        </w:rPr>
        <w:t xml:space="preserve">Call-In Telephonic Hearing Notice </w:t>
      </w:r>
      <w:r>
        <w:rPr>
          <w:sz w:val="26"/>
          <w:szCs w:val="26"/>
        </w:rPr>
        <w:t>was served on the Parties scheduling an</w:t>
      </w:r>
      <w:r w:rsidR="003B07BA" w:rsidRPr="009B3E33">
        <w:rPr>
          <w:sz w:val="26"/>
          <w:szCs w:val="26"/>
        </w:rPr>
        <w:t xml:space="preserve"> Initial Call-In Telephonic Prehearing Conference for August 27, 2020</w:t>
      </w:r>
      <w:r>
        <w:rPr>
          <w:sz w:val="26"/>
          <w:szCs w:val="26"/>
        </w:rPr>
        <w:t>.</w:t>
      </w:r>
      <w:r w:rsidR="003B07BA" w:rsidRPr="009B3E33">
        <w:rPr>
          <w:sz w:val="26"/>
          <w:szCs w:val="26"/>
        </w:rPr>
        <w:t xml:space="preserve"> </w:t>
      </w:r>
    </w:p>
    <w:p w14:paraId="5326BD1B" w14:textId="77777777" w:rsidR="00A267BB" w:rsidRDefault="00A267BB" w:rsidP="009B3E33">
      <w:pPr>
        <w:rPr>
          <w:sz w:val="26"/>
          <w:szCs w:val="26"/>
        </w:rPr>
      </w:pPr>
    </w:p>
    <w:p w14:paraId="4494C963" w14:textId="0B1DF8F8" w:rsidR="003A5F05" w:rsidRDefault="00A267BB" w:rsidP="003A5F05">
      <w:r>
        <w:rPr>
          <w:sz w:val="26"/>
          <w:szCs w:val="26"/>
        </w:rPr>
        <w:lastRenderedPageBreak/>
        <w:t>O</w:t>
      </w:r>
      <w:r w:rsidRPr="009B3E33">
        <w:rPr>
          <w:sz w:val="26"/>
          <w:szCs w:val="26"/>
        </w:rPr>
        <w:t>n August 21, 2020</w:t>
      </w:r>
      <w:r>
        <w:rPr>
          <w:sz w:val="26"/>
          <w:szCs w:val="26"/>
        </w:rPr>
        <w:t xml:space="preserve">, </w:t>
      </w:r>
      <w:r w:rsidRPr="009B3E33">
        <w:rPr>
          <w:sz w:val="26"/>
          <w:szCs w:val="26"/>
        </w:rPr>
        <w:t xml:space="preserve">Verde, I&amp;E, and the OCA filed Prehearing Memoranda </w:t>
      </w:r>
      <w:r>
        <w:rPr>
          <w:sz w:val="26"/>
          <w:szCs w:val="26"/>
        </w:rPr>
        <w:t>i</w:t>
      </w:r>
      <w:r w:rsidR="003B07BA" w:rsidRPr="009B3E33">
        <w:rPr>
          <w:sz w:val="26"/>
          <w:szCs w:val="26"/>
        </w:rPr>
        <w:t xml:space="preserve">n accordance with </w:t>
      </w:r>
      <w:r w:rsidR="00FD0E5F">
        <w:rPr>
          <w:sz w:val="26"/>
          <w:szCs w:val="26"/>
        </w:rPr>
        <w:t>ALJ Pell’s</w:t>
      </w:r>
      <w:r w:rsidR="003B07BA" w:rsidRPr="009B3E33">
        <w:rPr>
          <w:sz w:val="26"/>
          <w:szCs w:val="26"/>
        </w:rPr>
        <w:t xml:space="preserve"> Prehearing Conference Order issued on July</w:t>
      </w:r>
      <w:r w:rsidR="002A3BC9">
        <w:rPr>
          <w:sz w:val="26"/>
          <w:szCs w:val="26"/>
        </w:rPr>
        <w:t> </w:t>
      </w:r>
      <w:r w:rsidR="003B07BA" w:rsidRPr="009B3E33">
        <w:rPr>
          <w:sz w:val="26"/>
          <w:szCs w:val="26"/>
        </w:rPr>
        <w:t>31, 2020</w:t>
      </w:r>
      <w:r>
        <w:rPr>
          <w:sz w:val="26"/>
          <w:szCs w:val="26"/>
        </w:rPr>
        <w:t>.</w:t>
      </w:r>
      <w:r w:rsidR="003A5F05" w:rsidRPr="003A5F05">
        <w:t xml:space="preserve"> </w:t>
      </w:r>
      <w:r w:rsidR="003A5F05">
        <w:t xml:space="preserve"> </w:t>
      </w:r>
      <w:r w:rsidR="003A5F05" w:rsidRPr="00DD411D">
        <w:rPr>
          <w:sz w:val="26"/>
          <w:szCs w:val="26"/>
        </w:rPr>
        <w:t>The OCA, in its Prehearing Memorandum, identified three issues</w:t>
      </w:r>
      <w:r w:rsidR="00D20EF7">
        <w:rPr>
          <w:sz w:val="26"/>
          <w:szCs w:val="26"/>
        </w:rPr>
        <w:t xml:space="preserve"> and</w:t>
      </w:r>
      <w:r w:rsidR="003A5F05" w:rsidRPr="00DD411D">
        <w:rPr>
          <w:sz w:val="26"/>
          <w:szCs w:val="26"/>
        </w:rPr>
        <w:t xml:space="preserve"> a witness and requested that th</w:t>
      </w:r>
      <w:r w:rsidR="00D20EF7">
        <w:rPr>
          <w:sz w:val="26"/>
          <w:szCs w:val="26"/>
        </w:rPr>
        <w:t>e</w:t>
      </w:r>
      <w:r w:rsidR="003A5F05" w:rsidRPr="00DD411D">
        <w:rPr>
          <w:sz w:val="26"/>
          <w:szCs w:val="26"/>
        </w:rPr>
        <w:t xml:space="preserve"> matter be held in abeyance for </w:t>
      </w:r>
      <w:r w:rsidR="000F5C5E">
        <w:rPr>
          <w:sz w:val="26"/>
          <w:szCs w:val="26"/>
        </w:rPr>
        <w:t>sixty (</w:t>
      </w:r>
      <w:r w:rsidR="003A5F05" w:rsidRPr="00DD411D">
        <w:rPr>
          <w:sz w:val="26"/>
          <w:szCs w:val="26"/>
        </w:rPr>
        <w:t>60</w:t>
      </w:r>
      <w:r w:rsidR="000F5C5E">
        <w:rPr>
          <w:sz w:val="26"/>
          <w:szCs w:val="26"/>
        </w:rPr>
        <w:t>)</w:t>
      </w:r>
      <w:r w:rsidR="003A5F05" w:rsidRPr="00DD411D">
        <w:rPr>
          <w:sz w:val="26"/>
          <w:szCs w:val="26"/>
        </w:rPr>
        <w:t xml:space="preserve"> days in order for the OCA to conduct additional discovery and to engage in further settlement discussions with I&amp;E and Verde to see if there are possible modifications to the settlement that would address </w:t>
      </w:r>
      <w:r w:rsidR="007062D1">
        <w:rPr>
          <w:sz w:val="26"/>
          <w:szCs w:val="26"/>
        </w:rPr>
        <w:t xml:space="preserve">the </w:t>
      </w:r>
      <w:r w:rsidR="003A5F05" w:rsidRPr="00DD411D">
        <w:rPr>
          <w:sz w:val="26"/>
          <w:szCs w:val="26"/>
        </w:rPr>
        <w:t>OCA’s concerns.</w:t>
      </w:r>
      <w:r w:rsidR="001E7D17">
        <w:rPr>
          <w:rStyle w:val="FootnoteReference"/>
          <w:sz w:val="26"/>
          <w:szCs w:val="26"/>
        </w:rPr>
        <w:footnoteReference w:id="7"/>
      </w:r>
      <w:r w:rsidR="003A5F05" w:rsidRPr="00DD411D">
        <w:rPr>
          <w:sz w:val="26"/>
          <w:szCs w:val="26"/>
        </w:rPr>
        <w:t xml:space="preserve">  </w:t>
      </w:r>
      <w:r w:rsidR="00DD411D" w:rsidRPr="00DD411D">
        <w:rPr>
          <w:sz w:val="26"/>
          <w:szCs w:val="26"/>
        </w:rPr>
        <w:t xml:space="preserve">The </w:t>
      </w:r>
      <w:r w:rsidR="003A5F05" w:rsidRPr="00DD411D">
        <w:rPr>
          <w:sz w:val="26"/>
          <w:szCs w:val="26"/>
        </w:rPr>
        <w:t xml:space="preserve">OCA further proposed that at the end of </w:t>
      </w:r>
      <w:r w:rsidR="00FB7B35">
        <w:rPr>
          <w:sz w:val="26"/>
          <w:szCs w:val="26"/>
        </w:rPr>
        <w:t>sixty (</w:t>
      </w:r>
      <w:r w:rsidR="003A5F05" w:rsidRPr="00DD411D">
        <w:rPr>
          <w:sz w:val="26"/>
          <w:szCs w:val="26"/>
        </w:rPr>
        <w:t>60</w:t>
      </w:r>
      <w:r w:rsidR="00FB7B35">
        <w:rPr>
          <w:sz w:val="26"/>
          <w:szCs w:val="26"/>
        </w:rPr>
        <w:t>)</w:t>
      </w:r>
      <w:r w:rsidR="003A5F05" w:rsidRPr="00DD411D">
        <w:rPr>
          <w:sz w:val="26"/>
          <w:szCs w:val="26"/>
        </w:rPr>
        <w:t xml:space="preserve"> days, the </w:t>
      </w:r>
      <w:r w:rsidR="00C90C7F">
        <w:rPr>
          <w:sz w:val="26"/>
          <w:szCs w:val="26"/>
        </w:rPr>
        <w:t>P</w:t>
      </w:r>
      <w:r w:rsidR="003A5F05" w:rsidRPr="00DD411D">
        <w:rPr>
          <w:sz w:val="26"/>
          <w:szCs w:val="26"/>
        </w:rPr>
        <w:t>arties could each evaluate the</w:t>
      </w:r>
      <w:r w:rsidR="007062D1">
        <w:rPr>
          <w:sz w:val="26"/>
          <w:szCs w:val="26"/>
        </w:rPr>
        <w:t>ir</w:t>
      </w:r>
      <w:r w:rsidR="003A5F05" w:rsidRPr="00DD411D">
        <w:rPr>
          <w:sz w:val="26"/>
          <w:szCs w:val="26"/>
        </w:rPr>
        <w:t xml:space="preserve"> respective positions and collectively determine whether there is a need to establish a litigation schedule to address the allegations in I&amp;E’s Complaint, and to determine whether the Settlement signed by Verde and I&amp;E is in the public interest.</w:t>
      </w:r>
      <w:r w:rsidR="003A5F05">
        <w:t xml:space="preserve">  </w:t>
      </w:r>
    </w:p>
    <w:p w14:paraId="5F37852C" w14:textId="77777777" w:rsidR="00495F9B" w:rsidRDefault="00495F9B" w:rsidP="00DD411D">
      <w:pPr>
        <w:ind w:firstLine="0"/>
        <w:rPr>
          <w:sz w:val="26"/>
          <w:szCs w:val="26"/>
        </w:rPr>
      </w:pPr>
    </w:p>
    <w:p w14:paraId="05679C3C" w14:textId="75D88CEB" w:rsidR="003B07BA" w:rsidRPr="009B3E33" w:rsidRDefault="00A267BB" w:rsidP="00495F9B">
      <w:pPr>
        <w:rPr>
          <w:sz w:val="26"/>
          <w:szCs w:val="26"/>
        </w:rPr>
      </w:pPr>
      <w:r>
        <w:rPr>
          <w:sz w:val="26"/>
          <w:szCs w:val="26"/>
        </w:rPr>
        <w:t xml:space="preserve">On </w:t>
      </w:r>
      <w:r w:rsidR="003B07BA" w:rsidRPr="009B3E33">
        <w:rPr>
          <w:sz w:val="26"/>
          <w:szCs w:val="26"/>
        </w:rPr>
        <w:t>August 27, 2020</w:t>
      </w:r>
      <w:r>
        <w:rPr>
          <w:sz w:val="26"/>
          <w:szCs w:val="26"/>
        </w:rPr>
        <w:t>, the Call</w:t>
      </w:r>
      <w:r w:rsidR="006C4781">
        <w:rPr>
          <w:sz w:val="26"/>
          <w:szCs w:val="26"/>
        </w:rPr>
        <w:t>-In</w:t>
      </w:r>
      <w:r w:rsidR="003B07BA" w:rsidRPr="009B3E33">
        <w:rPr>
          <w:sz w:val="26"/>
          <w:szCs w:val="26"/>
        </w:rPr>
        <w:t xml:space="preserve"> Prehearing Conference took place as scheduled</w:t>
      </w:r>
      <w:r w:rsidR="00DF5B60">
        <w:rPr>
          <w:sz w:val="26"/>
          <w:szCs w:val="26"/>
        </w:rPr>
        <w:t>, during which c</w:t>
      </w:r>
      <w:r w:rsidR="003B07BA" w:rsidRPr="009B3E33">
        <w:rPr>
          <w:sz w:val="26"/>
          <w:szCs w:val="26"/>
        </w:rPr>
        <w:t>ounsel for Verde, I&amp;E</w:t>
      </w:r>
      <w:r w:rsidR="006C4781">
        <w:rPr>
          <w:sz w:val="26"/>
          <w:szCs w:val="26"/>
        </w:rPr>
        <w:t>,</w:t>
      </w:r>
      <w:r w:rsidR="003B07BA" w:rsidRPr="009B3E33">
        <w:rPr>
          <w:sz w:val="26"/>
          <w:szCs w:val="26"/>
        </w:rPr>
        <w:t xml:space="preserve"> and </w:t>
      </w:r>
      <w:r w:rsidR="00C90C7F">
        <w:rPr>
          <w:sz w:val="26"/>
          <w:szCs w:val="26"/>
        </w:rPr>
        <w:t xml:space="preserve">the </w:t>
      </w:r>
      <w:r w:rsidR="003B07BA" w:rsidRPr="009B3E33">
        <w:rPr>
          <w:sz w:val="26"/>
          <w:szCs w:val="26"/>
        </w:rPr>
        <w:t xml:space="preserve">OCA </w:t>
      </w:r>
      <w:r w:rsidR="00DF5B60">
        <w:rPr>
          <w:sz w:val="26"/>
          <w:szCs w:val="26"/>
        </w:rPr>
        <w:t>participated and presented the</w:t>
      </w:r>
      <w:r w:rsidR="003B07BA" w:rsidRPr="009B3E33">
        <w:rPr>
          <w:sz w:val="26"/>
          <w:szCs w:val="26"/>
        </w:rPr>
        <w:t xml:space="preserve">ir respective positions as laid out in their Prehearing Memoranda.  </w:t>
      </w:r>
    </w:p>
    <w:p w14:paraId="72E14C56" w14:textId="77777777" w:rsidR="003B07BA" w:rsidRPr="009B3E33" w:rsidRDefault="003B07BA" w:rsidP="009B3E33">
      <w:pPr>
        <w:rPr>
          <w:sz w:val="26"/>
          <w:szCs w:val="26"/>
        </w:rPr>
      </w:pPr>
    </w:p>
    <w:p w14:paraId="483A7554" w14:textId="5771B498" w:rsidR="003B07BA" w:rsidRDefault="00E0660B" w:rsidP="009B3E33">
      <w:pPr>
        <w:rPr>
          <w:sz w:val="26"/>
          <w:szCs w:val="26"/>
        </w:rPr>
      </w:pPr>
      <w:r>
        <w:rPr>
          <w:sz w:val="26"/>
          <w:szCs w:val="26"/>
        </w:rPr>
        <w:t>In the</w:t>
      </w:r>
      <w:r w:rsidR="003C17F6">
        <w:rPr>
          <w:sz w:val="26"/>
          <w:szCs w:val="26"/>
        </w:rPr>
        <w:t xml:space="preserve"> Order Denying the OCA’s Request for Sixty Day Abeyance, </w:t>
      </w:r>
      <w:r w:rsidR="00D14389">
        <w:rPr>
          <w:sz w:val="26"/>
          <w:szCs w:val="26"/>
        </w:rPr>
        <w:t>dated September 25, 2020</w:t>
      </w:r>
      <w:r w:rsidR="003C17F6">
        <w:rPr>
          <w:sz w:val="26"/>
          <w:szCs w:val="26"/>
        </w:rPr>
        <w:t xml:space="preserve"> (</w:t>
      </w:r>
      <w:r w:rsidR="003C17F6" w:rsidRPr="000D00D4">
        <w:rPr>
          <w:i/>
          <w:iCs/>
          <w:sz w:val="26"/>
          <w:szCs w:val="26"/>
        </w:rPr>
        <w:t>Abeyance Order</w:t>
      </w:r>
      <w:r w:rsidR="003C17F6">
        <w:rPr>
          <w:sz w:val="26"/>
          <w:szCs w:val="26"/>
        </w:rPr>
        <w:t>)</w:t>
      </w:r>
      <w:r w:rsidR="003B07BA" w:rsidRPr="009B3E33">
        <w:rPr>
          <w:sz w:val="26"/>
          <w:szCs w:val="26"/>
        </w:rPr>
        <w:t xml:space="preserve">, </w:t>
      </w:r>
      <w:r w:rsidR="006C4781">
        <w:rPr>
          <w:sz w:val="26"/>
          <w:szCs w:val="26"/>
        </w:rPr>
        <w:t>ALJ Pell</w:t>
      </w:r>
      <w:r w:rsidR="003B07BA" w:rsidRPr="009B3E33">
        <w:rPr>
          <w:sz w:val="26"/>
          <w:szCs w:val="26"/>
        </w:rPr>
        <w:t xml:space="preserve"> denied the OCA’s request for a 60-day abeyance.  </w:t>
      </w:r>
      <w:r w:rsidR="006850E8">
        <w:rPr>
          <w:sz w:val="26"/>
          <w:szCs w:val="26"/>
        </w:rPr>
        <w:t>The ALJ explained in detail why the OCA had sufficient time t</w:t>
      </w:r>
      <w:r w:rsidR="003C2DCF">
        <w:rPr>
          <w:sz w:val="26"/>
          <w:szCs w:val="26"/>
        </w:rPr>
        <w:t>o</w:t>
      </w:r>
      <w:r w:rsidR="006850E8">
        <w:rPr>
          <w:sz w:val="26"/>
          <w:szCs w:val="26"/>
        </w:rPr>
        <w:t xml:space="preserve"> conduct </w:t>
      </w:r>
      <w:r w:rsidR="006850E8">
        <w:rPr>
          <w:sz w:val="26"/>
          <w:szCs w:val="26"/>
        </w:rPr>
        <w:lastRenderedPageBreak/>
        <w:t>discover</w:t>
      </w:r>
      <w:r w:rsidR="00223835">
        <w:rPr>
          <w:sz w:val="26"/>
          <w:szCs w:val="26"/>
        </w:rPr>
        <w:t>y</w:t>
      </w:r>
      <w:r w:rsidR="006850E8">
        <w:rPr>
          <w:sz w:val="26"/>
          <w:szCs w:val="26"/>
        </w:rPr>
        <w:t>, totaling a six month period of time and why the request was denied.</w:t>
      </w:r>
      <w:r w:rsidR="00BC68EC">
        <w:rPr>
          <w:rStyle w:val="FootnoteReference"/>
          <w:sz w:val="26"/>
          <w:szCs w:val="26"/>
        </w:rPr>
        <w:footnoteReference w:id="8"/>
      </w:r>
      <w:r w:rsidR="00223835">
        <w:rPr>
          <w:sz w:val="26"/>
          <w:szCs w:val="26"/>
        </w:rPr>
        <w:t xml:space="preserve">  </w:t>
      </w:r>
      <w:r w:rsidR="003B07BA" w:rsidRPr="009B3E33">
        <w:rPr>
          <w:sz w:val="26"/>
          <w:szCs w:val="26"/>
        </w:rPr>
        <w:t xml:space="preserve">In </w:t>
      </w:r>
      <w:r w:rsidR="003B07BA" w:rsidRPr="00A520D0">
        <w:rPr>
          <w:sz w:val="26"/>
          <w:szCs w:val="26"/>
        </w:rPr>
        <w:t>addition</w:t>
      </w:r>
      <w:r w:rsidR="00B02660" w:rsidRPr="00A520D0">
        <w:rPr>
          <w:sz w:val="26"/>
          <w:szCs w:val="26"/>
        </w:rPr>
        <w:t xml:space="preserve">, </w:t>
      </w:r>
      <w:r w:rsidR="00495F9B" w:rsidRPr="00A520D0">
        <w:rPr>
          <w:sz w:val="26"/>
          <w:szCs w:val="26"/>
        </w:rPr>
        <w:t>ALJ Pell</w:t>
      </w:r>
      <w:r w:rsidR="003B07BA" w:rsidRPr="00A520D0">
        <w:rPr>
          <w:sz w:val="26"/>
          <w:szCs w:val="26"/>
        </w:rPr>
        <w:t xml:space="preserve"> directed:</w:t>
      </w:r>
      <w:r w:rsidR="00D1765A">
        <w:rPr>
          <w:sz w:val="26"/>
          <w:szCs w:val="26"/>
        </w:rPr>
        <w:t xml:space="preserve"> </w:t>
      </w:r>
      <w:r w:rsidR="003B07BA" w:rsidRPr="00A520D0">
        <w:rPr>
          <w:sz w:val="26"/>
          <w:szCs w:val="26"/>
        </w:rPr>
        <w:t xml:space="preserve">that </w:t>
      </w:r>
      <w:r w:rsidR="00A520D0">
        <w:rPr>
          <w:sz w:val="26"/>
          <w:szCs w:val="26"/>
        </w:rPr>
        <w:t>I&amp;E and Verde</w:t>
      </w:r>
      <w:r w:rsidR="003B07BA" w:rsidRPr="00A520D0">
        <w:rPr>
          <w:sz w:val="26"/>
          <w:szCs w:val="26"/>
        </w:rPr>
        <w:t xml:space="preserve"> would be permitted to file stipulated facts in support of the Joint Petition for Settlement with the Commission within 20 days of the date of the order</w:t>
      </w:r>
      <w:r w:rsidR="00DB2015" w:rsidRPr="00A520D0">
        <w:rPr>
          <w:sz w:val="26"/>
          <w:szCs w:val="26"/>
        </w:rPr>
        <w:t>;</w:t>
      </w:r>
      <w:r w:rsidR="003B07BA" w:rsidRPr="00A520D0">
        <w:rPr>
          <w:sz w:val="26"/>
          <w:szCs w:val="26"/>
        </w:rPr>
        <w:t xml:space="preserve"> that the OCA would be permitted to file </w:t>
      </w:r>
      <w:r w:rsidR="00B02660" w:rsidRPr="00A520D0">
        <w:rPr>
          <w:sz w:val="26"/>
          <w:szCs w:val="26"/>
        </w:rPr>
        <w:t>substantive c</w:t>
      </w:r>
      <w:r w:rsidR="003B07BA" w:rsidRPr="00A520D0">
        <w:rPr>
          <w:sz w:val="26"/>
          <w:szCs w:val="26"/>
        </w:rPr>
        <w:t xml:space="preserve">omments within 40 days of the date of the order; and that I&amp;E and Verde would be permitted to file </w:t>
      </w:r>
      <w:r w:rsidR="00B02660" w:rsidRPr="00A520D0">
        <w:rPr>
          <w:sz w:val="26"/>
          <w:szCs w:val="26"/>
        </w:rPr>
        <w:t>r</w:t>
      </w:r>
      <w:r w:rsidR="003B07BA" w:rsidRPr="00A520D0">
        <w:rPr>
          <w:sz w:val="26"/>
          <w:szCs w:val="26"/>
        </w:rPr>
        <w:t xml:space="preserve">eply </w:t>
      </w:r>
      <w:r w:rsidR="00B02660" w:rsidRPr="00A520D0">
        <w:rPr>
          <w:sz w:val="26"/>
          <w:szCs w:val="26"/>
        </w:rPr>
        <w:t>c</w:t>
      </w:r>
      <w:r w:rsidR="003B07BA" w:rsidRPr="00A520D0">
        <w:rPr>
          <w:sz w:val="26"/>
          <w:szCs w:val="26"/>
        </w:rPr>
        <w:t>omments within 60 days of the date of the order.</w:t>
      </w:r>
      <w:r w:rsidR="003B07BA" w:rsidRPr="009B3E33">
        <w:rPr>
          <w:sz w:val="26"/>
          <w:szCs w:val="26"/>
        </w:rPr>
        <w:t xml:space="preserve">  </w:t>
      </w:r>
    </w:p>
    <w:p w14:paraId="561AF5C3" w14:textId="635311E1" w:rsidR="00DB20F7" w:rsidRDefault="00DB20F7" w:rsidP="009B3E33">
      <w:pPr>
        <w:rPr>
          <w:sz w:val="26"/>
          <w:szCs w:val="26"/>
        </w:rPr>
      </w:pPr>
    </w:p>
    <w:p w14:paraId="64C5F024" w14:textId="509A90DD" w:rsidR="003B07BA" w:rsidRPr="009B3E33" w:rsidRDefault="00A34AEF" w:rsidP="009B3E33">
      <w:pPr>
        <w:rPr>
          <w:sz w:val="26"/>
          <w:szCs w:val="26"/>
        </w:rPr>
      </w:pPr>
      <w:r>
        <w:rPr>
          <w:sz w:val="26"/>
          <w:szCs w:val="26"/>
        </w:rPr>
        <w:t xml:space="preserve">In accordance with ALJ Pell’s </w:t>
      </w:r>
      <w:r w:rsidRPr="00946CC3">
        <w:rPr>
          <w:i/>
          <w:iCs/>
          <w:sz w:val="26"/>
          <w:szCs w:val="26"/>
        </w:rPr>
        <w:t>Abeyance Order</w:t>
      </w:r>
      <w:r w:rsidR="00740E75">
        <w:rPr>
          <w:sz w:val="26"/>
          <w:szCs w:val="26"/>
        </w:rPr>
        <w:t>:</w:t>
      </w:r>
      <w:r>
        <w:rPr>
          <w:sz w:val="26"/>
          <w:szCs w:val="26"/>
        </w:rPr>
        <w:t xml:space="preserve"> o</w:t>
      </w:r>
      <w:r w:rsidR="00651A14">
        <w:rPr>
          <w:sz w:val="26"/>
          <w:szCs w:val="26"/>
        </w:rPr>
        <w:t xml:space="preserve">n October 19, 2020, </w:t>
      </w:r>
      <w:r w:rsidR="00DB20F7">
        <w:rPr>
          <w:sz w:val="26"/>
          <w:szCs w:val="26"/>
        </w:rPr>
        <w:t xml:space="preserve">I&amp;E and Verde filed </w:t>
      </w:r>
      <w:r w:rsidR="00BC4059">
        <w:rPr>
          <w:sz w:val="26"/>
          <w:szCs w:val="26"/>
        </w:rPr>
        <w:t xml:space="preserve">their </w:t>
      </w:r>
      <w:r w:rsidR="00DB20F7">
        <w:rPr>
          <w:sz w:val="26"/>
          <w:szCs w:val="26"/>
        </w:rPr>
        <w:t>Joint Stipulation of Facts (Joint Stipulation</w:t>
      </w:r>
      <w:r w:rsidR="007E6C8E">
        <w:rPr>
          <w:sz w:val="26"/>
          <w:szCs w:val="26"/>
        </w:rPr>
        <w:t xml:space="preserve"> of Facts</w:t>
      </w:r>
      <w:r w:rsidR="00DB20F7">
        <w:rPr>
          <w:sz w:val="26"/>
          <w:szCs w:val="26"/>
        </w:rPr>
        <w:t>)</w:t>
      </w:r>
      <w:r>
        <w:rPr>
          <w:sz w:val="26"/>
          <w:szCs w:val="26"/>
        </w:rPr>
        <w:t>; o</w:t>
      </w:r>
      <w:r w:rsidR="003B07BA" w:rsidRPr="009B3E33">
        <w:rPr>
          <w:sz w:val="26"/>
          <w:szCs w:val="26"/>
        </w:rPr>
        <w:t>n November</w:t>
      </w:r>
      <w:r w:rsidR="002A3BC9">
        <w:rPr>
          <w:sz w:val="26"/>
          <w:szCs w:val="26"/>
        </w:rPr>
        <w:t> </w:t>
      </w:r>
      <w:r w:rsidR="003B07BA" w:rsidRPr="009B3E33">
        <w:rPr>
          <w:sz w:val="26"/>
          <w:szCs w:val="26"/>
        </w:rPr>
        <w:t>10,</w:t>
      </w:r>
      <w:r w:rsidR="002A3BC9">
        <w:rPr>
          <w:sz w:val="26"/>
          <w:szCs w:val="26"/>
        </w:rPr>
        <w:t> </w:t>
      </w:r>
      <w:r w:rsidR="003B07BA" w:rsidRPr="009B3E33">
        <w:rPr>
          <w:sz w:val="26"/>
          <w:szCs w:val="26"/>
        </w:rPr>
        <w:t>2020, the OCA filed its Comments in Opposition of the Joint Petition</w:t>
      </w:r>
      <w:r w:rsidR="00946CC3">
        <w:rPr>
          <w:sz w:val="26"/>
          <w:szCs w:val="26"/>
        </w:rPr>
        <w:t xml:space="preserve">, including </w:t>
      </w:r>
      <w:r w:rsidR="003B07BA" w:rsidRPr="009B3E33">
        <w:rPr>
          <w:sz w:val="26"/>
          <w:szCs w:val="26"/>
        </w:rPr>
        <w:t>the Affidavit of Barbara R. Alexander and the OCA’s proposed findings of fact</w:t>
      </w:r>
      <w:r>
        <w:rPr>
          <w:sz w:val="26"/>
          <w:szCs w:val="26"/>
        </w:rPr>
        <w:t xml:space="preserve">; </w:t>
      </w:r>
      <w:r w:rsidR="00740E75">
        <w:rPr>
          <w:sz w:val="26"/>
          <w:szCs w:val="26"/>
        </w:rPr>
        <w:t xml:space="preserve">and </w:t>
      </w:r>
      <w:r>
        <w:rPr>
          <w:sz w:val="26"/>
          <w:szCs w:val="26"/>
        </w:rPr>
        <w:t>on November 30, 2020, I&amp;E and Verde each filed Reply Comments to the OCA’s Comments.</w:t>
      </w:r>
    </w:p>
    <w:p w14:paraId="189A7D75" w14:textId="77777777" w:rsidR="003B07BA" w:rsidRPr="009B3E33" w:rsidRDefault="003B07BA" w:rsidP="009B3E33">
      <w:pPr>
        <w:rPr>
          <w:sz w:val="26"/>
          <w:szCs w:val="26"/>
        </w:rPr>
      </w:pPr>
    </w:p>
    <w:p w14:paraId="79CBA5F3" w14:textId="72E079EC" w:rsidR="003B07BA" w:rsidRPr="009B3E33" w:rsidRDefault="003B07BA" w:rsidP="009B3E33">
      <w:pPr>
        <w:rPr>
          <w:sz w:val="26"/>
          <w:szCs w:val="26"/>
        </w:rPr>
      </w:pPr>
      <w:r w:rsidRPr="009B3E33">
        <w:rPr>
          <w:sz w:val="26"/>
          <w:szCs w:val="26"/>
        </w:rPr>
        <w:t>On November 18, 2020, Verde filed with the Commission its Motion to Strike Portions of Comments of the Office of Consumer Advocate (Motion</w:t>
      </w:r>
      <w:r w:rsidR="00C50D2A">
        <w:rPr>
          <w:sz w:val="26"/>
          <w:szCs w:val="26"/>
        </w:rPr>
        <w:t xml:space="preserve"> to Strike</w:t>
      </w:r>
      <w:r w:rsidRPr="009B3E33">
        <w:rPr>
          <w:sz w:val="26"/>
          <w:szCs w:val="26"/>
        </w:rPr>
        <w:t>).</w:t>
      </w:r>
      <w:r w:rsidR="00C50D2A" w:rsidRPr="009B3E33">
        <w:rPr>
          <w:rStyle w:val="FootnoteReference"/>
          <w:sz w:val="26"/>
          <w:szCs w:val="26"/>
        </w:rPr>
        <w:footnoteReference w:id="9"/>
      </w:r>
      <w:r w:rsidR="00C50D2A" w:rsidRPr="009B3E33">
        <w:rPr>
          <w:sz w:val="26"/>
          <w:szCs w:val="26"/>
        </w:rPr>
        <w:t xml:space="preserve"> </w:t>
      </w:r>
      <w:r w:rsidRPr="009B3E33">
        <w:rPr>
          <w:sz w:val="26"/>
          <w:szCs w:val="26"/>
        </w:rPr>
        <w:t xml:space="preserve"> In the Motion</w:t>
      </w:r>
      <w:r w:rsidR="00C50D2A">
        <w:rPr>
          <w:sz w:val="26"/>
          <w:szCs w:val="26"/>
        </w:rPr>
        <w:t xml:space="preserve"> to Strike</w:t>
      </w:r>
      <w:r w:rsidRPr="009B3E33">
        <w:rPr>
          <w:sz w:val="26"/>
          <w:szCs w:val="26"/>
        </w:rPr>
        <w:t>, Verde request</w:t>
      </w:r>
      <w:r w:rsidR="003A1321">
        <w:rPr>
          <w:sz w:val="26"/>
          <w:szCs w:val="26"/>
        </w:rPr>
        <w:t>ed</w:t>
      </w:r>
      <w:r w:rsidRPr="009B3E33">
        <w:rPr>
          <w:sz w:val="26"/>
          <w:szCs w:val="26"/>
        </w:rPr>
        <w:t xml:space="preserve"> that the following portions of the OCA’s Comments be stricken:</w:t>
      </w:r>
    </w:p>
    <w:p w14:paraId="14AA612D" w14:textId="77777777" w:rsidR="003B07BA" w:rsidRPr="009B3E33" w:rsidRDefault="003B07BA" w:rsidP="006E5CAC">
      <w:pPr>
        <w:spacing w:line="240" w:lineRule="auto"/>
        <w:rPr>
          <w:sz w:val="26"/>
          <w:szCs w:val="26"/>
        </w:rPr>
      </w:pPr>
    </w:p>
    <w:p w14:paraId="675EC599" w14:textId="1CD506AA" w:rsidR="003B07BA" w:rsidRDefault="003B07BA" w:rsidP="00D8768A">
      <w:pPr>
        <w:pStyle w:val="ListParagraph"/>
        <w:numPr>
          <w:ilvl w:val="0"/>
          <w:numId w:val="40"/>
        </w:numPr>
        <w:spacing w:line="240" w:lineRule="auto"/>
        <w:ind w:left="2160" w:right="1440" w:hanging="720"/>
        <w:rPr>
          <w:sz w:val="26"/>
          <w:szCs w:val="26"/>
        </w:rPr>
      </w:pPr>
      <w:r w:rsidRPr="00BD5104">
        <w:rPr>
          <w:sz w:val="26"/>
          <w:szCs w:val="26"/>
        </w:rPr>
        <w:t>The affidavit of Barbara Alexander, including Exhibits BA-1 and BA-</w:t>
      </w:r>
      <w:proofErr w:type="gramStart"/>
      <w:r w:rsidRPr="00BD5104">
        <w:rPr>
          <w:sz w:val="26"/>
          <w:szCs w:val="26"/>
        </w:rPr>
        <w:t>2;</w:t>
      </w:r>
      <w:proofErr w:type="gramEnd"/>
    </w:p>
    <w:p w14:paraId="336D5D2F" w14:textId="77777777" w:rsidR="002300E8" w:rsidRPr="00BD5104" w:rsidRDefault="002300E8" w:rsidP="00D8768A">
      <w:pPr>
        <w:pStyle w:val="ListParagraph"/>
        <w:spacing w:line="240" w:lineRule="auto"/>
        <w:ind w:left="2160" w:right="1440" w:hanging="720"/>
        <w:rPr>
          <w:sz w:val="26"/>
          <w:szCs w:val="26"/>
        </w:rPr>
      </w:pPr>
    </w:p>
    <w:p w14:paraId="39CF7F03" w14:textId="2D183F42" w:rsidR="003B07BA" w:rsidRDefault="003B07BA" w:rsidP="00D8768A">
      <w:pPr>
        <w:pStyle w:val="ListParagraph"/>
        <w:numPr>
          <w:ilvl w:val="0"/>
          <w:numId w:val="40"/>
        </w:numPr>
        <w:spacing w:line="240" w:lineRule="auto"/>
        <w:ind w:left="2160" w:right="1440" w:hanging="720"/>
        <w:rPr>
          <w:sz w:val="26"/>
          <w:szCs w:val="26"/>
        </w:rPr>
      </w:pPr>
      <w:r w:rsidRPr="00BD5104">
        <w:rPr>
          <w:sz w:val="26"/>
          <w:szCs w:val="26"/>
        </w:rPr>
        <w:t xml:space="preserve">The OCA’s proposed findings of </w:t>
      </w:r>
      <w:proofErr w:type="gramStart"/>
      <w:r w:rsidRPr="00BD5104">
        <w:rPr>
          <w:sz w:val="26"/>
          <w:szCs w:val="26"/>
        </w:rPr>
        <w:t>fact;</w:t>
      </w:r>
      <w:proofErr w:type="gramEnd"/>
    </w:p>
    <w:p w14:paraId="6848564D" w14:textId="2EA6BDF8" w:rsidR="003B07BA" w:rsidRDefault="003B07BA" w:rsidP="00D8768A">
      <w:pPr>
        <w:pStyle w:val="ListParagraph"/>
        <w:numPr>
          <w:ilvl w:val="0"/>
          <w:numId w:val="40"/>
        </w:numPr>
        <w:spacing w:line="240" w:lineRule="auto"/>
        <w:ind w:left="2160" w:right="1440" w:hanging="720"/>
        <w:rPr>
          <w:sz w:val="26"/>
          <w:szCs w:val="26"/>
        </w:rPr>
      </w:pPr>
      <w:r w:rsidRPr="00BD5104">
        <w:rPr>
          <w:sz w:val="26"/>
          <w:szCs w:val="26"/>
        </w:rPr>
        <w:t xml:space="preserve">The OCA’s discussion of Verde ownership structure, affiliates and operations in other states, and vendors; and </w:t>
      </w:r>
    </w:p>
    <w:p w14:paraId="4DD2963B" w14:textId="77777777" w:rsidR="002300E8" w:rsidRPr="00BD5104" w:rsidRDefault="002300E8" w:rsidP="00D8768A">
      <w:pPr>
        <w:pStyle w:val="ListParagraph"/>
        <w:spacing w:line="240" w:lineRule="auto"/>
        <w:ind w:left="2160" w:right="1440" w:hanging="720"/>
        <w:rPr>
          <w:sz w:val="26"/>
          <w:szCs w:val="26"/>
        </w:rPr>
      </w:pPr>
    </w:p>
    <w:p w14:paraId="3A23BB5D" w14:textId="77777777" w:rsidR="003B07BA" w:rsidRPr="00BD5104" w:rsidRDefault="003B07BA" w:rsidP="00D8768A">
      <w:pPr>
        <w:pStyle w:val="ListParagraph"/>
        <w:numPr>
          <w:ilvl w:val="0"/>
          <w:numId w:val="40"/>
        </w:numPr>
        <w:spacing w:line="240" w:lineRule="auto"/>
        <w:ind w:left="2160" w:right="1440" w:hanging="720"/>
        <w:rPr>
          <w:sz w:val="26"/>
          <w:szCs w:val="26"/>
        </w:rPr>
      </w:pPr>
      <w:r w:rsidRPr="00BD5104">
        <w:rPr>
          <w:sz w:val="26"/>
          <w:szCs w:val="26"/>
        </w:rPr>
        <w:t>All citations to “Affidavit” and/or its Exhibits, and Ms. Alexander’s opinions throughout the comments.</w:t>
      </w:r>
    </w:p>
    <w:p w14:paraId="5260B9CE" w14:textId="72CBD479" w:rsidR="003B07BA" w:rsidRPr="009B3E33" w:rsidRDefault="003B07BA" w:rsidP="002A3BC9">
      <w:pPr>
        <w:spacing w:line="480" w:lineRule="auto"/>
        <w:ind w:firstLine="0"/>
        <w:rPr>
          <w:sz w:val="26"/>
          <w:szCs w:val="26"/>
        </w:rPr>
      </w:pPr>
    </w:p>
    <w:p w14:paraId="7EC1341D" w14:textId="1D78CC47" w:rsidR="003B07BA" w:rsidRPr="009B3E33" w:rsidRDefault="003B07BA" w:rsidP="00950051">
      <w:pPr>
        <w:rPr>
          <w:sz w:val="26"/>
          <w:szCs w:val="26"/>
        </w:rPr>
      </w:pPr>
      <w:r w:rsidRPr="009B3E33">
        <w:rPr>
          <w:sz w:val="26"/>
          <w:szCs w:val="26"/>
        </w:rPr>
        <w:t>On November 19, 2020, I&amp;E filed its Letter in Support of Verde Energy USA Inc.’s Motion to Strike.  On December 3, 2020, the OCA filed its response to Verde’s Motion</w:t>
      </w:r>
      <w:r w:rsidR="007B086B">
        <w:rPr>
          <w:sz w:val="26"/>
          <w:szCs w:val="26"/>
        </w:rPr>
        <w:t xml:space="preserve"> to </w:t>
      </w:r>
      <w:r w:rsidR="00CC0F31">
        <w:rPr>
          <w:sz w:val="26"/>
          <w:szCs w:val="26"/>
        </w:rPr>
        <w:t>S</w:t>
      </w:r>
      <w:r w:rsidR="007B086B">
        <w:rPr>
          <w:sz w:val="26"/>
          <w:szCs w:val="26"/>
        </w:rPr>
        <w:t>trike</w:t>
      </w:r>
      <w:r w:rsidRPr="009B3E33">
        <w:rPr>
          <w:sz w:val="26"/>
          <w:szCs w:val="26"/>
        </w:rPr>
        <w:t>.</w:t>
      </w:r>
    </w:p>
    <w:p w14:paraId="54F94A73" w14:textId="77777777" w:rsidR="003B07BA" w:rsidRPr="009B3E33" w:rsidRDefault="003B07BA" w:rsidP="009B3E33">
      <w:pPr>
        <w:rPr>
          <w:sz w:val="26"/>
          <w:szCs w:val="26"/>
        </w:rPr>
      </w:pPr>
    </w:p>
    <w:p w14:paraId="39A01AB4" w14:textId="181DEFB5" w:rsidR="00710F96" w:rsidRDefault="002F156B" w:rsidP="009B3E33">
      <w:pPr>
        <w:rPr>
          <w:sz w:val="26"/>
          <w:szCs w:val="26"/>
        </w:rPr>
      </w:pPr>
      <w:r>
        <w:rPr>
          <w:sz w:val="26"/>
          <w:szCs w:val="26"/>
        </w:rPr>
        <w:t xml:space="preserve">On January 15, 2021, </w:t>
      </w:r>
      <w:r w:rsidR="00747534">
        <w:rPr>
          <w:sz w:val="26"/>
          <w:szCs w:val="26"/>
        </w:rPr>
        <w:t xml:space="preserve">the </w:t>
      </w:r>
      <w:r>
        <w:rPr>
          <w:sz w:val="26"/>
          <w:szCs w:val="26"/>
        </w:rPr>
        <w:t xml:space="preserve">ALJ issued </w:t>
      </w:r>
      <w:r w:rsidR="006035F8">
        <w:rPr>
          <w:sz w:val="26"/>
          <w:szCs w:val="26"/>
        </w:rPr>
        <w:t>the</w:t>
      </w:r>
      <w:r>
        <w:rPr>
          <w:sz w:val="26"/>
          <w:szCs w:val="26"/>
        </w:rPr>
        <w:t xml:space="preserve"> </w:t>
      </w:r>
      <w:r w:rsidRPr="00D54D13">
        <w:rPr>
          <w:i/>
          <w:iCs/>
          <w:sz w:val="26"/>
          <w:szCs w:val="26"/>
        </w:rPr>
        <w:t>Interim Order</w:t>
      </w:r>
      <w:r>
        <w:rPr>
          <w:sz w:val="26"/>
          <w:szCs w:val="26"/>
        </w:rPr>
        <w:t xml:space="preserve"> granting Verde’s Motion</w:t>
      </w:r>
      <w:r w:rsidR="00B5618E">
        <w:rPr>
          <w:sz w:val="26"/>
          <w:szCs w:val="26"/>
        </w:rPr>
        <w:t xml:space="preserve"> </w:t>
      </w:r>
      <w:r w:rsidR="007B086B">
        <w:rPr>
          <w:sz w:val="26"/>
          <w:szCs w:val="26"/>
        </w:rPr>
        <w:t>to Strike</w:t>
      </w:r>
      <w:r>
        <w:rPr>
          <w:sz w:val="26"/>
          <w:szCs w:val="26"/>
        </w:rPr>
        <w:t xml:space="preserve">. </w:t>
      </w:r>
    </w:p>
    <w:p w14:paraId="0867E13A" w14:textId="77777777" w:rsidR="00150C99" w:rsidRDefault="00150C99" w:rsidP="009B3E33">
      <w:pPr>
        <w:rPr>
          <w:sz w:val="26"/>
          <w:szCs w:val="26"/>
        </w:rPr>
      </w:pPr>
    </w:p>
    <w:p w14:paraId="2A65A429" w14:textId="1396E98C" w:rsidR="00B5618E" w:rsidRDefault="00B5618E" w:rsidP="00897143">
      <w:pPr>
        <w:rPr>
          <w:sz w:val="26"/>
          <w:szCs w:val="26"/>
        </w:rPr>
      </w:pPr>
      <w:r>
        <w:rPr>
          <w:sz w:val="26"/>
          <w:szCs w:val="26"/>
        </w:rPr>
        <w:t>On January 28, 2021, the OCA filed the above-referenced P</w:t>
      </w:r>
      <w:r w:rsidRPr="00BC3D6E">
        <w:rPr>
          <w:sz w:val="26"/>
          <w:szCs w:val="26"/>
        </w:rPr>
        <w:t>etition for Interlocutory Review and Answer to Material Question</w:t>
      </w:r>
      <w:r>
        <w:rPr>
          <w:sz w:val="26"/>
          <w:szCs w:val="26"/>
        </w:rPr>
        <w:t xml:space="preserve">, seeking the Commission’s </w:t>
      </w:r>
      <w:r w:rsidR="007B086B">
        <w:rPr>
          <w:sz w:val="26"/>
          <w:szCs w:val="26"/>
        </w:rPr>
        <w:t xml:space="preserve">interlocutory review of the ALJ’s </w:t>
      </w:r>
      <w:r w:rsidR="007B086B" w:rsidRPr="000D00D4">
        <w:rPr>
          <w:i/>
          <w:iCs/>
          <w:sz w:val="26"/>
          <w:szCs w:val="26"/>
        </w:rPr>
        <w:t>Interim Order</w:t>
      </w:r>
      <w:r w:rsidR="007B086B">
        <w:rPr>
          <w:sz w:val="26"/>
          <w:szCs w:val="26"/>
        </w:rPr>
        <w:t xml:space="preserve">. </w:t>
      </w:r>
      <w:r w:rsidR="003C75EF">
        <w:rPr>
          <w:sz w:val="26"/>
          <w:szCs w:val="26"/>
        </w:rPr>
        <w:t xml:space="preserve"> As noted above, </w:t>
      </w:r>
      <w:r w:rsidR="00D83996">
        <w:rPr>
          <w:sz w:val="26"/>
          <w:szCs w:val="26"/>
        </w:rPr>
        <w:t xml:space="preserve">in accordance with </w:t>
      </w:r>
      <w:r w:rsidR="00D83996" w:rsidRPr="00AC233F">
        <w:rPr>
          <w:sz w:val="26"/>
          <w:szCs w:val="26"/>
          <w:shd w:val="clear" w:color="auto" w:fill="FFFFFF"/>
        </w:rPr>
        <w:t>52</w:t>
      </w:r>
      <w:r w:rsidR="002A3BC9">
        <w:rPr>
          <w:sz w:val="26"/>
          <w:szCs w:val="26"/>
          <w:shd w:val="clear" w:color="auto" w:fill="FFFFFF"/>
        </w:rPr>
        <w:t> </w:t>
      </w:r>
      <w:r w:rsidR="00D83996" w:rsidRPr="00AC233F">
        <w:rPr>
          <w:sz w:val="26"/>
          <w:szCs w:val="26"/>
          <w:shd w:val="clear" w:color="auto" w:fill="FFFFFF"/>
        </w:rPr>
        <w:t>Pa. Code § 5.302(b)</w:t>
      </w:r>
      <w:r w:rsidR="00D83996">
        <w:rPr>
          <w:sz w:val="26"/>
          <w:szCs w:val="26"/>
          <w:shd w:val="clear" w:color="auto" w:fill="FFFFFF"/>
        </w:rPr>
        <w:t xml:space="preserve">, </w:t>
      </w:r>
      <w:r w:rsidR="00A304EF">
        <w:rPr>
          <w:sz w:val="26"/>
          <w:szCs w:val="26"/>
        </w:rPr>
        <w:t>o</w:t>
      </w:r>
      <w:r w:rsidR="003C75EF">
        <w:rPr>
          <w:sz w:val="26"/>
          <w:szCs w:val="26"/>
        </w:rPr>
        <w:t>n</w:t>
      </w:r>
      <w:r w:rsidR="00A304EF">
        <w:rPr>
          <w:sz w:val="26"/>
          <w:szCs w:val="26"/>
        </w:rPr>
        <w:t xml:space="preserve"> or before February 8, 2021, the </w:t>
      </w:r>
      <w:r w:rsidR="00897143">
        <w:rPr>
          <w:sz w:val="26"/>
          <w:szCs w:val="26"/>
        </w:rPr>
        <w:t xml:space="preserve">Parties </w:t>
      </w:r>
      <w:r w:rsidR="00AC233F">
        <w:rPr>
          <w:sz w:val="26"/>
          <w:szCs w:val="26"/>
        </w:rPr>
        <w:t xml:space="preserve">timely </w:t>
      </w:r>
      <w:r w:rsidR="00897143">
        <w:rPr>
          <w:sz w:val="26"/>
          <w:szCs w:val="26"/>
        </w:rPr>
        <w:t xml:space="preserve">filed Briefs in response to the OCA’s Petition.  Specifically, the </w:t>
      </w:r>
      <w:r w:rsidR="00A304EF">
        <w:rPr>
          <w:sz w:val="26"/>
          <w:szCs w:val="26"/>
        </w:rPr>
        <w:t xml:space="preserve">OCA filed a Brief in </w:t>
      </w:r>
      <w:r w:rsidR="00897143">
        <w:rPr>
          <w:sz w:val="26"/>
          <w:szCs w:val="26"/>
        </w:rPr>
        <w:t>S</w:t>
      </w:r>
      <w:r w:rsidR="00A304EF">
        <w:rPr>
          <w:sz w:val="26"/>
          <w:szCs w:val="26"/>
        </w:rPr>
        <w:t xml:space="preserve">upport of its Petition and I&amp;E and Verde each separately filed a Brief in Opposition to the OCA’s Petition.  </w:t>
      </w:r>
    </w:p>
    <w:p w14:paraId="502A3B43" w14:textId="77777777" w:rsidR="007D32CF" w:rsidRPr="009B3E33" w:rsidRDefault="007D32CF" w:rsidP="009B3E33">
      <w:pPr>
        <w:rPr>
          <w:sz w:val="26"/>
          <w:szCs w:val="26"/>
        </w:rPr>
      </w:pPr>
    </w:p>
    <w:p w14:paraId="614413C7" w14:textId="55A20BFA" w:rsidR="00D6672E" w:rsidRPr="00BC3D6E" w:rsidRDefault="00D8768A" w:rsidP="00D8768A">
      <w:pPr>
        <w:pStyle w:val="Heading1"/>
        <w:ind w:left="0" w:firstLine="0"/>
      </w:pPr>
      <w:r>
        <w:t xml:space="preserve"> </w:t>
      </w:r>
      <w:r>
        <w:tab/>
      </w:r>
      <w:r w:rsidR="00710F96">
        <w:t>Di</w:t>
      </w:r>
      <w:r w:rsidR="00736427" w:rsidRPr="00FE3E0E">
        <w:t>scussion</w:t>
      </w:r>
    </w:p>
    <w:p w14:paraId="0BB7B022" w14:textId="77777777" w:rsidR="00F211B8" w:rsidRPr="00BC3D6E" w:rsidRDefault="00F211B8" w:rsidP="00074493">
      <w:pPr>
        <w:keepNext/>
        <w:keepLines/>
        <w:ind w:firstLine="0"/>
        <w:jc w:val="center"/>
        <w:rPr>
          <w:b/>
          <w:sz w:val="26"/>
          <w:szCs w:val="26"/>
        </w:rPr>
      </w:pPr>
    </w:p>
    <w:p w14:paraId="20ECBEFA" w14:textId="00DE1131" w:rsidR="00DD6737" w:rsidRPr="00BC3D6E" w:rsidRDefault="00DD6737" w:rsidP="00C22869">
      <w:pPr>
        <w:pStyle w:val="Heading2"/>
        <w:ind w:left="720" w:hanging="720"/>
      </w:pPr>
      <w:r w:rsidRPr="00BC3D6E">
        <w:t xml:space="preserve">Legal </w:t>
      </w:r>
      <w:r w:rsidRPr="00710F96">
        <w:t>Standards</w:t>
      </w:r>
      <w:r w:rsidRPr="00C22AC7">
        <w:rPr>
          <w:b w:val="0"/>
          <w:bCs/>
        </w:rPr>
        <w:t xml:space="preserve"> </w:t>
      </w:r>
    </w:p>
    <w:p w14:paraId="35674042" w14:textId="77777777" w:rsidR="00DD6737" w:rsidRPr="00BC3D6E" w:rsidRDefault="00DD6737" w:rsidP="00074493">
      <w:pPr>
        <w:keepNext/>
        <w:keepLines/>
        <w:rPr>
          <w:sz w:val="26"/>
          <w:szCs w:val="26"/>
        </w:rPr>
      </w:pPr>
    </w:p>
    <w:p w14:paraId="10501084" w14:textId="344C0B78" w:rsidR="000159E4" w:rsidRDefault="009916BB" w:rsidP="005324CE">
      <w:pPr>
        <w:rPr>
          <w:sz w:val="26"/>
          <w:szCs w:val="26"/>
        </w:rPr>
      </w:pPr>
      <w:r>
        <w:rPr>
          <w:sz w:val="26"/>
          <w:szCs w:val="26"/>
        </w:rPr>
        <w:t>A</w:t>
      </w:r>
      <w:r w:rsidR="00D4069E" w:rsidRPr="00BC3D6E">
        <w:rPr>
          <w:sz w:val="26"/>
          <w:szCs w:val="26"/>
        </w:rPr>
        <w:t xml:space="preserve"> party seeking </w:t>
      </w:r>
      <w:r w:rsidR="00A24C72">
        <w:rPr>
          <w:sz w:val="26"/>
          <w:szCs w:val="26"/>
        </w:rPr>
        <w:t xml:space="preserve">the Commission’s </w:t>
      </w:r>
      <w:r w:rsidR="00D4069E" w:rsidRPr="00BC3D6E">
        <w:rPr>
          <w:sz w:val="26"/>
          <w:szCs w:val="26"/>
        </w:rPr>
        <w:t>interlocutory review of a</w:t>
      </w:r>
      <w:r w:rsidR="00216C40" w:rsidRPr="00BC3D6E">
        <w:rPr>
          <w:sz w:val="26"/>
          <w:szCs w:val="26"/>
        </w:rPr>
        <w:t xml:space="preserve">n issue which </w:t>
      </w:r>
      <w:r w:rsidR="009B43E8">
        <w:rPr>
          <w:sz w:val="26"/>
          <w:szCs w:val="26"/>
        </w:rPr>
        <w:t>has arisen</w:t>
      </w:r>
      <w:r w:rsidR="00216C40" w:rsidRPr="00BC3D6E">
        <w:rPr>
          <w:sz w:val="26"/>
          <w:szCs w:val="26"/>
        </w:rPr>
        <w:t xml:space="preserve"> </w:t>
      </w:r>
      <w:proofErr w:type="gramStart"/>
      <w:r w:rsidR="009672C0">
        <w:rPr>
          <w:sz w:val="26"/>
          <w:szCs w:val="26"/>
        </w:rPr>
        <w:t>during</w:t>
      </w:r>
      <w:r w:rsidR="009B43E8">
        <w:rPr>
          <w:sz w:val="26"/>
          <w:szCs w:val="26"/>
        </w:rPr>
        <w:t xml:space="preserve"> </w:t>
      </w:r>
      <w:r w:rsidR="009672C0">
        <w:rPr>
          <w:sz w:val="26"/>
          <w:szCs w:val="26"/>
        </w:rPr>
        <w:t>the course of</w:t>
      </w:r>
      <w:proofErr w:type="gramEnd"/>
      <w:r w:rsidR="00216C40" w:rsidRPr="00BC3D6E">
        <w:rPr>
          <w:sz w:val="26"/>
          <w:szCs w:val="26"/>
        </w:rPr>
        <w:t xml:space="preserve"> a proceeding may</w:t>
      </w:r>
      <w:r w:rsidR="00D4069E" w:rsidRPr="00BC3D6E">
        <w:rPr>
          <w:sz w:val="26"/>
          <w:szCs w:val="26"/>
        </w:rPr>
        <w:t xml:space="preserve"> file a </w:t>
      </w:r>
      <w:r w:rsidR="009B43E8">
        <w:rPr>
          <w:sz w:val="26"/>
          <w:szCs w:val="26"/>
        </w:rPr>
        <w:t>p</w:t>
      </w:r>
      <w:r w:rsidR="00D4069E" w:rsidRPr="00BC3D6E">
        <w:rPr>
          <w:sz w:val="26"/>
          <w:szCs w:val="26"/>
        </w:rPr>
        <w:t>etition</w:t>
      </w:r>
      <w:r w:rsidR="00B6433F" w:rsidRPr="00BC3D6E">
        <w:rPr>
          <w:sz w:val="26"/>
          <w:szCs w:val="26"/>
        </w:rPr>
        <w:t xml:space="preserve"> </w:t>
      </w:r>
      <w:r w:rsidR="00D4069E" w:rsidRPr="00BC3D6E">
        <w:rPr>
          <w:sz w:val="26"/>
          <w:szCs w:val="26"/>
        </w:rPr>
        <w:t xml:space="preserve">within fifteen days of the </w:t>
      </w:r>
      <w:r w:rsidR="00AF7CB2">
        <w:rPr>
          <w:sz w:val="26"/>
          <w:szCs w:val="26"/>
        </w:rPr>
        <w:t xml:space="preserve">effective </w:t>
      </w:r>
      <w:r w:rsidR="009B43E8">
        <w:rPr>
          <w:sz w:val="26"/>
          <w:szCs w:val="26"/>
        </w:rPr>
        <w:t xml:space="preserve">date </w:t>
      </w:r>
      <w:r w:rsidR="00D4069E" w:rsidRPr="00BC3D6E">
        <w:rPr>
          <w:sz w:val="26"/>
          <w:szCs w:val="26"/>
        </w:rPr>
        <w:t xml:space="preserve">of </w:t>
      </w:r>
      <w:r w:rsidR="000E5771" w:rsidRPr="00BC3D6E">
        <w:rPr>
          <w:sz w:val="26"/>
          <w:szCs w:val="26"/>
        </w:rPr>
        <w:t>an</w:t>
      </w:r>
      <w:r w:rsidR="00D4069E" w:rsidRPr="00BC3D6E">
        <w:rPr>
          <w:sz w:val="26"/>
          <w:szCs w:val="26"/>
        </w:rPr>
        <w:t xml:space="preserve"> order </w:t>
      </w:r>
      <w:r w:rsidR="00A24C72">
        <w:rPr>
          <w:sz w:val="26"/>
          <w:szCs w:val="26"/>
        </w:rPr>
        <w:t>giving rise to the</w:t>
      </w:r>
      <w:r w:rsidR="00D4069E" w:rsidRPr="00BC3D6E">
        <w:rPr>
          <w:sz w:val="26"/>
          <w:szCs w:val="26"/>
        </w:rPr>
        <w:t xml:space="preserve"> issue</w:t>
      </w:r>
      <w:r w:rsidR="00A24C72">
        <w:rPr>
          <w:sz w:val="26"/>
          <w:szCs w:val="26"/>
        </w:rPr>
        <w:t xml:space="preserve">.  </w:t>
      </w:r>
      <w:r w:rsidR="0025639A" w:rsidRPr="00A24C72">
        <w:rPr>
          <w:i/>
          <w:iCs/>
          <w:sz w:val="26"/>
          <w:szCs w:val="26"/>
        </w:rPr>
        <w:t>See</w:t>
      </w:r>
      <w:r w:rsidR="0025639A">
        <w:rPr>
          <w:sz w:val="26"/>
          <w:szCs w:val="26"/>
        </w:rPr>
        <w:t xml:space="preserve"> </w:t>
      </w:r>
      <w:r w:rsidR="0025639A" w:rsidRPr="00BC3D6E">
        <w:rPr>
          <w:sz w:val="26"/>
          <w:szCs w:val="26"/>
        </w:rPr>
        <w:t>52 Pa. Code § 5.302</w:t>
      </w:r>
      <w:r w:rsidR="00C92DB2">
        <w:rPr>
          <w:sz w:val="26"/>
          <w:szCs w:val="26"/>
        </w:rPr>
        <w:t>(a)</w:t>
      </w:r>
      <w:r w:rsidR="0025639A" w:rsidRPr="00BC3D6E">
        <w:rPr>
          <w:sz w:val="26"/>
          <w:szCs w:val="26"/>
        </w:rPr>
        <w:t xml:space="preserve"> (pertaining to petitions for interlocutory review and answer to material question)</w:t>
      </w:r>
      <w:r w:rsidR="0025639A">
        <w:rPr>
          <w:sz w:val="26"/>
          <w:szCs w:val="26"/>
        </w:rPr>
        <w:t xml:space="preserve">; </w:t>
      </w:r>
      <w:r w:rsidR="0025639A" w:rsidRPr="00A24C72">
        <w:rPr>
          <w:i/>
          <w:iCs/>
          <w:sz w:val="26"/>
          <w:szCs w:val="26"/>
        </w:rPr>
        <w:t>see also</w:t>
      </w:r>
      <w:r w:rsidR="0025639A">
        <w:rPr>
          <w:sz w:val="26"/>
          <w:szCs w:val="26"/>
        </w:rPr>
        <w:t xml:space="preserve"> </w:t>
      </w:r>
      <w:r w:rsidR="0025639A" w:rsidRPr="00BC3D6E">
        <w:rPr>
          <w:sz w:val="26"/>
          <w:szCs w:val="26"/>
        </w:rPr>
        <w:t>52</w:t>
      </w:r>
      <w:r w:rsidR="00D8768A">
        <w:rPr>
          <w:sz w:val="26"/>
          <w:szCs w:val="26"/>
        </w:rPr>
        <w:t> </w:t>
      </w:r>
      <w:r w:rsidR="0025639A" w:rsidRPr="00BC3D6E">
        <w:rPr>
          <w:sz w:val="26"/>
          <w:szCs w:val="26"/>
        </w:rPr>
        <w:t>Pa.</w:t>
      </w:r>
      <w:r w:rsidR="00D8768A">
        <w:rPr>
          <w:sz w:val="26"/>
          <w:szCs w:val="26"/>
        </w:rPr>
        <w:t> </w:t>
      </w:r>
      <w:r w:rsidR="0025639A" w:rsidRPr="00BC3D6E">
        <w:rPr>
          <w:sz w:val="26"/>
          <w:szCs w:val="26"/>
        </w:rPr>
        <w:t>Code §</w:t>
      </w:r>
      <w:r w:rsidR="0025639A">
        <w:rPr>
          <w:sz w:val="26"/>
          <w:szCs w:val="26"/>
        </w:rPr>
        <w:t> </w:t>
      </w:r>
      <w:r w:rsidR="0025639A" w:rsidRPr="00BC3D6E">
        <w:rPr>
          <w:sz w:val="26"/>
          <w:szCs w:val="26"/>
        </w:rPr>
        <w:t>5.572(c) (pertaining to petitions for relief).</w:t>
      </w:r>
      <w:r w:rsidR="00A24C72">
        <w:rPr>
          <w:sz w:val="26"/>
          <w:szCs w:val="26"/>
        </w:rPr>
        <w:t xml:space="preserve">  </w:t>
      </w:r>
      <w:r>
        <w:rPr>
          <w:sz w:val="26"/>
          <w:szCs w:val="26"/>
        </w:rPr>
        <w:t>Section 5.302</w:t>
      </w:r>
      <w:r w:rsidR="00964FCA">
        <w:rPr>
          <w:sz w:val="26"/>
          <w:szCs w:val="26"/>
        </w:rPr>
        <w:t>(a)</w:t>
      </w:r>
      <w:r>
        <w:rPr>
          <w:sz w:val="26"/>
          <w:szCs w:val="26"/>
        </w:rPr>
        <w:t xml:space="preserve"> provides as follows:</w:t>
      </w:r>
    </w:p>
    <w:p w14:paraId="443DB07F" w14:textId="77777777" w:rsidR="000159E4" w:rsidRPr="003F30C3" w:rsidRDefault="000159E4" w:rsidP="00B177FA">
      <w:pPr>
        <w:spacing w:line="240" w:lineRule="auto"/>
        <w:ind w:left="1440" w:right="1440"/>
        <w:outlineLvl w:val="3"/>
        <w:rPr>
          <w:b/>
          <w:bCs/>
          <w:sz w:val="26"/>
          <w:szCs w:val="26"/>
        </w:rPr>
      </w:pPr>
    </w:p>
    <w:p w14:paraId="0DA8DC2B" w14:textId="285ACF60" w:rsidR="000159E4" w:rsidRPr="003F30C3" w:rsidRDefault="000159E4" w:rsidP="009916BB">
      <w:pPr>
        <w:spacing w:line="240" w:lineRule="auto"/>
        <w:ind w:left="1440" w:right="1440" w:firstLine="0"/>
        <w:rPr>
          <w:sz w:val="26"/>
          <w:szCs w:val="26"/>
        </w:rPr>
      </w:pPr>
      <w:proofErr w:type="gramStart"/>
      <w:r w:rsidRPr="003F30C3">
        <w:rPr>
          <w:sz w:val="26"/>
          <w:szCs w:val="26"/>
        </w:rPr>
        <w:t>During the course of</w:t>
      </w:r>
      <w:proofErr w:type="gramEnd"/>
      <w:r w:rsidRPr="003F30C3">
        <w:rPr>
          <w:sz w:val="26"/>
          <w:szCs w:val="26"/>
        </w:rPr>
        <w:t xml:space="preserve"> a proceeding, a party may file a </w:t>
      </w:r>
      <w:r w:rsidRPr="00BC0D7A">
        <w:rPr>
          <w:iCs/>
          <w:sz w:val="26"/>
          <w:szCs w:val="26"/>
        </w:rPr>
        <w:t xml:space="preserve">timely </w:t>
      </w:r>
      <w:r w:rsidRPr="003F30C3">
        <w:rPr>
          <w:sz w:val="26"/>
          <w:szCs w:val="26"/>
        </w:rPr>
        <w:t>petition directed to the Commission requesting review and answer to a material question which has arisen or is likely to arise. The petition must be in writing with copies served on all parties and the presiding officer and state, in not more than three pages, the question to be answered and the compelling reasons why interlocutory review will prevent substantial prejudice or expedite the conduct of the proceeding.</w:t>
      </w:r>
    </w:p>
    <w:p w14:paraId="2935CA21" w14:textId="77777777" w:rsidR="00557FA5" w:rsidRDefault="00557FA5" w:rsidP="00BC0D7A">
      <w:pPr>
        <w:ind w:firstLine="0"/>
        <w:jc w:val="both"/>
        <w:rPr>
          <w:sz w:val="26"/>
          <w:szCs w:val="26"/>
        </w:rPr>
      </w:pPr>
    </w:p>
    <w:p w14:paraId="0CD8378E" w14:textId="1EC5E6D9" w:rsidR="000159E4" w:rsidRDefault="00BC0D7A" w:rsidP="00BC0D7A">
      <w:pPr>
        <w:ind w:firstLine="0"/>
        <w:jc w:val="both"/>
        <w:rPr>
          <w:sz w:val="26"/>
          <w:szCs w:val="26"/>
        </w:rPr>
      </w:pPr>
      <w:r>
        <w:rPr>
          <w:sz w:val="26"/>
          <w:szCs w:val="26"/>
        </w:rPr>
        <w:t xml:space="preserve">52 Pa. Code § 5.302(a). </w:t>
      </w:r>
    </w:p>
    <w:p w14:paraId="23514734" w14:textId="77777777" w:rsidR="000159E4" w:rsidRDefault="000159E4" w:rsidP="005324CE">
      <w:pPr>
        <w:rPr>
          <w:sz w:val="26"/>
          <w:szCs w:val="26"/>
        </w:rPr>
      </w:pPr>
    </w:p>
    <w:p w14:paraId="6515D052" w14:textId="6E7AB2B2" w:rsidR="00A81CA7" w:rsidRPr="00E80DF2" w:rsidRDefault="00125842" w:rsidP="00A24C72">
      <w:pPr>
        <w:rPr>
          <w:sz w:val="26"/>
          <w:szCs w:val="26"/>
        </w:rPr>
      </w:pPr>
      <w:r>
        <w:rPr>
          <w:sz w:val="26"/>
          <w:szCs w:val="26"/>
        </w:rPr>
        <w:t>Within 30 days on receipt of</w:t>
      </w:r>
      <w:r w:rsidR="00A81CA7" w:rsidRPr="00E80DF2">
        <w:rPr>
          <w:sz w:val="26"/>
          <w:szCs w:val="26"/>
        </w:rPr>
        <w:t xml:space="preserve"> a petition for interlocutory review and answer to a material question, the Commission may either</w:t>
      </w:r>
      <w:proofErr w:type="gramStart"/>
      <w:r w:rsidR="00A81CA7" w:rsidRPr="00E80DF2">
        <w:rPr>
          <w:sz w:val="26"/>
          <w:szCs w:val="26"/>
        </w:rPr>
        <w:t>:</w:t>
      </w:r>
      <w:r w:rsidR="006E5CAC">
        <w:rPr>
          <w:sz w:val="26"/>
          <w:szCs w:val="26"/>
        </w:rPr>
        <w:t xml:space="preserve"> </w:t>
      </w:r>
      <w:r w:rsidR="000A0263">
        <w:rPr>
          <w:sz w:val="26"/>
          <w:szCs w:val="26"/>
        </w:rPr>
        <w:t xml:space="preserve"> </w:t>
      </w:r>
      <w:r w:rsidR="00A81CA7" w:rsidRPr="00E80DF2">
        <w:rPr>
          <w:sz w:val="26"/>
          <w:szCs w:val="26"/>
        </w:rPr>
        <w:t>(</w:t>
      </w:r>
      <w:proofErr w:type="gramEnd"/>
      <w:r w:rsidR="00A81CA7" w:rsidRPr="00E80DF2">
        <w:rPr>
          <w:sz w:val="26"/>
          <w:szCs w:val="26"/>
        </w:rPr>
        <w:t>1) continue, revoke or grant a stay of the proceedings, if necessary; (2) determine that the petition was improper and return the matter to the presiding officer; (3) decline to answer the question; or (4) answer the question.  52 Pa. Code § 5.303(a)(1)-(4).</w:t>
      </w:r>
    </w:p>
    <w:p w14:paraId="5ADD8E7B" w14:textId="77777777" w:rsidR="00A81CA7" w:rsidRDefault="00A81CA7" w:rsidP="00102D75">
      <w:pPr>
        <w:rPr>
          <w:sz w:val="26"/>
          <w:szCs w:val="26"/>
        </w:rPr>
      </w:pPr>
    </w:p>
    <w:p w14:paraId="5C3FECB9" w14:textId="532285F6" w:rsidR="00335E95" w:rsidRDefault="00305D60" w:rsidP="00102D75">
      <w:pPr>
        <w:rPr>
          <w:sz w:val="26"/>
          <w:szCs w:val="26"/>
        </w:rPr>
      </w:pPr>
      <w:r w:rsidRPr="00BC3D6E">
        <w:rPr>
          <w:sz w:val="26"/>
          <w:szCs w:val="26"/>
        </w:rPr>
        <w:t xml:space="preserve">The </w:t>
      </w:r>
      <w:r>
        <w:rPr>
          <w:sz w:val="26"/>
          <w:szCs w:val="26"/>
        </w:rPr>
        <w:t>standard</w:t>
      </w:r>
      <w:r w:rsidRPr="00BC3D6E">
        <w:rPr>
          <w:sz w:val="26"/>
          <w:szCs w:val="26"/>
        </w:rPr>
        <w:t xml:space="preserve"> for</w:t>
      </w:r>
      <w:r w:rsidR="004A3B8B">
        <w:rPr>
          <w:sz w:val="26"/>
          <w:szCs w:val="26"/>
        </w:rPr>
        <w:t xml:space="preserve"> </w:t>
      </w:r>
      <w:r w:rsidRPr="00BC3D6E">
        <w:rPr>
          <w:sz w:val="26"/>
          <w:szCs w:val="26"/>
        </w:rPr>
        <w:t>interlocutory review and answer to material question raised by a party</w:t>
      </w:r>
      <w:r w:rsidR="008E37F0">
        <w:rPr>
          <w:sz w:val="26"/>
          <w:szCs w:val="26"/>
        </w:rPr>
        <w:t xml:space="preserve"> </w:t>
      </w:r>
      <w:r>
        <w:rPr>
          <w:sz w:val="26"/>
          <w:szCs w:val="26"/>
        </w:rPr>
        <w:t xml:space="preserve">requires </w:t>
      </w:r>
      <w:r w:rsidRPr="00BC3D6E">
        <w:rPr>
          <w:sz w:val="26"/>
          <w:szCs w:val="26"/>
        </w:rPr>
        <w:t xml:space="preserve">the petitioner </w:t>
      </w:r>
      <w:r w:rsidR="00F1372F">
        <w:rPr>
          <w:sz w:val="26"/>
          <w:szCs w:val="26"/>
        </w:rPr>
        <w:t xml:space="preserve">to </w:t>
      </w:r>
      <w:r w:rsidRPr="00BC3D6E">
        <w:rPr>
          <w:sz w:val="26"/>
          <w:szCs w:val="26"/>
        </w:rPr>
        <w:t>“</w:t>
      </w:r>
      <w:r>
        <w:rPr>
          <w:sz w:val="26"/>
          <w:szCs w:val="26"/>
        </w:rPr>
        <w:t>state…</w:t>
      </w:r>
      <w:r w:rsidRPr="00BC3D6E">
        <w:rPr>
          <w:sz w:val="26"/>
          <w:szCs w:val="26"/>
        </w:rPr>
        <w:t xml:space="preserve">the question to be answered and the </w:t>
      </w:r>
      <w:r w:rsidRPr="00F16CD1">
        <w:rPr>
          <w:iCs/>
          <w:sz w:val="26"/>
          <w:szCs w:val="26"/>
        </w:rPr>
        <w:t>compelling reasons</w:t>
      </w:r>
      <w:r w:rsidRPr="00BC3D6E">
        <w:rPr>
          <w:sz w:val="26"/>
          <w:szCs w:val="26"/>
        </w:rPr>
        <w:t xml:space="preserve"> why interlocutory review will prevent substantial prejudice or expedite the conduct of the proceedings.”  52 Pa. Code § 5.302(a)</w:t>
      </w:r>
      <w:r w:rsidR="00102D75">
        <w:rPr>
          <w:sz w:val="26"/>
          <w:szCs w:val="26"/>
        </w:rPr>
        <w:t xml:space="preserve">.  </w:t>
      </w:r>
      <w:r w:rsidR="0074357B" w:rsidRPr="00102D75">
        <w:rPr>
          <w:sz w:val="26"/>
          <w:szCs w:val="26"/>
        </w:rPr>
        <w:t xml:space="preserve">The pertinent consideration is whether such review is </w:t>
      </w:r>
      <w:r w:rsidR="0074357B" w:rsidRPr="00102D75">
        <w:rPr>
          <w:i/>
          <w:sz w:val="26"/>
          <w:szCs w:val="26"/>
        </w:rPr>
        <w:t>necessary</w:t>
      </w:r>
      <w:r w:rsidR="0074357B" w:rsidRPr="00102D75">
        <w:rPr>
          <w:sz w:val="26"/>
          <w:szCs w:val="26"/>
        </w:rPr>
        <w:t xml:space="preserve"> </w:t>
      </w:r>
      <w:proofErr w:type="gramStart"/>
      <w:r w:rsidR="0074357B" w:rsidRPr="00102D75">
        <w:rPr>
          <w:sz w:val="26"/>
          <w:szCs w:val="26"/>
        </w:rPr>
        <w:t>in order to</w:t>
      </w:r>
      <w:proofErr w:type="gramEnd"/>
      <w:r w:rsidR="0074357B" w:rsidRPr="00102D75">
        <w:rPr>
          <w:sz w:val="26"/>
          <w:szCs w:val="26"/>
        </w:rPr>
        <w:t xml:space="preserve"> prevent substantial prejudice</w:t>
      </w:r>
      <w:r w:rsidR="001559BC" w:rsidRPr="001559BC">
        <w:rPr>
          <w:sz w:val="26"/>
          <w:szCs w:val="26"/>
        </w:rPr>
        <w:t xml:space="preserve"> </w:t>
      </w:r>
      <w:r w:rsidR="001559BC" w:rsidRPr="00BC3D6E">
        <w:rPr>
          <w:sz w:val="26"/>
          <w:szCs w:val="26"/>
        </w:rPr>
        <w:t>or expedite the conduct of the proceedings</w:t>
      </w:r>
      <w:r w:rsidR="0074357B" w:rsidRPr="00102D75">
        <w:rPr>
          <w:sz w:val="26"/>
          <w:szCs w:val="26"/>
        </w:rPr>
        <w:t xml:space="preserve">.  </w:t>
      </w:r>
      <w:r w:rsidR="0074357B" w:rsidRPr="00102D75">
        <w:rPr>
          <w:i/>
          <w:iCs/>
          <w:sz w:val="26"/>
          <w:szCs w:val="26"/>
        </w:rPr>
        <w:t>Commonwealth of Pennsylvania, et</w:t>
      </w:r>
      <w:r w:rsidR="002A3BC9">
        <w:rPr>
          <w:i/>
          <w:iCs/>
          <w:sz w:val="26"/>
          <w:szCs w:val="26"/>
        </w:rPr>
        <w:t> </w:t>
      </w:r>
      <w:r w:rsidR="0074357B" w:rsidRPr="00102D75">
        <w:rPr>
          <w:i/>
          <w:iCs/>
          <w:sz w:val="26"/>
          <w:szCs w:val="26"/>
        </w:rPr>
        <w:t>al. v. I</w:t>
      </w:r>
      <w:bookmarkStart w:id="0" w:name="_BA_Cite_983DB3_000033"/>
      <w:bookmarkEnd w:id="0"/>
      <w:r w:rsidR="0074357B" w:rsidRPr="00102D75">
        <w:rPr>
          <w:i/>
          <w:iCs/>
          <w:sz w:val="26"/>
          <w:szCs w:val="26"/>
        </w:rPr>
        <w:t>DT Energy, Inc</w:t>
      </w:r>
      <w:r w:rsidR="0074357B" w:rsidRPr="00102D75">
        <w:rPr>
          <w:sz w:val="26"/>
          <w:szCs w:val="26"/>
        </w:rPr>
        <w:t>., 2014 Pa. PUC LEXIS 715, *16 (Pa. P.U.C. December</w:t>
      </w:r>
      <w:r w:rsidR="002A3BC9">
        <w:rPr>
          <w:sz w:val="26"/>
          <w:szCs w:val="26"/>
        </w:rPr>
        <w:t> </w:t>
      </w:r>
      <w:r w:rsidR="0074357B" w:rsidRPr="00102D75">
        <w:rPr>
          <w:sz w:val="26"/>
          <w:szCs w:val="26"/>
        </w:rPr>
        <w:t>18,</w:t>
      </w:r>
      <w:r w:rsidR="002A3BC9">
        <w:rPr>
          <w:sz w:val="26"/>
          <w:szCs w:val="26"/>
        </w:rPr>
        <w:t> </w:t>
      </w:r>
      <w:r w:rsidR="0074357B" w:rsidRPr="00102D75">
        <w:rPr>
          <w:sz w:val="26"/>
          <w:szCs w:val="26"/>
        </w:rPr>
        <w:t xml:space="preserve">2014). </w:t>
      </w:r>
      <w:r w:rsidR="00667A5A">
        <w:rPr>
          <w:sz w:val="26"/>
          <w:szCs w:val="26"/>
        </w:rPr>
        <w:t xml:space="preserve"> </w:t>
      </w:r>
      <w:r w:rsidR="0074357B" w:rsidRPr="00102D75">
        <w:rPr>
          <w:sz w:val="26"/>
          <w:szCs w:val="26"/>
        </w:rPr>
        <w:t xml:space="preserve">The petitioner must prove that, without such interlocutory review, some harm would result which would not be reparable through the normal Commission review process and, therefore, that the relief sought should be granted now, rather than later.  </w:t>
      </w:r>
      <w:r w:rsidR="0074357B" w:rsidRPr="0021389D">
        <w:rPr>
          <w:i/>
          <w:iCs/>
          <w:sz w:val="26"/>
          <w:szCs w:val="26"/>
        </w:rPr>
        <w:t>Id</w:t>
      </w:r>
      <w:r w:rsidR="0074357B" w:rsidRPr="00102D75">
        <w:rPr>
          <w:sz w:val="26"/>
          <w:szCs w:val="26"/>
        </w:rPr>
        <w:t xml:space="preserve">.; </w:t>
      </w:r>
      <w:r w:rsidR="00102D75" w:rsidRPr="00102D75">
        <w:rPr>
          <w:i/>
          <w:iCs/>
          <w:sz w:val="26"/>
          <w:szCs w:val="26"/>
        </w:rPr>
        <w:t>see also</w:t>
      </w:r>
      <w:r w:rsidR="00102D75" w:rsidRPr="00102D75">
        <w:rPr>
          <w:sz w:val="26"/>
          <w:szCs w:val="26"/>
        </w:rPr>
        <w:t xml:space="preserve"> </w:t>
      </w:r>
      <w:r w:rsidR="00335E95" w:rsidRPr="00102D75">
        <w:rPr>
          <w:bCs/>
          <w:i/>
          <w:iCs/>
          <w:sz w:val="26"/>
          <w:szCs w:val="26"/>
        </w:rPr>
        <w:t xml:space="preserve">Joint </w:t>
      </w:r>
      <w:r w:rsidR="00032DDD" w:rsidRPr="00102D75">
        <w:rPr>
          <w:bCs/>
          <w:i/>
          <w:iCs/>
          <w:sz w:val="26"/>
          <w:szCs w:val="26"/>
        </w:rPr>
        <w:t>Application</w:t>
      </w:r>
      <w:r w:rsidR="00335E95" w:rsidRPr="00102D75">
        <w:rPr>
          <w:bCs/>
          <w:i/>
          <w:iCs/>
          <w:sz w:val="26"/>
          <w:szCs w:val="26"/>
        </w:rPr>
        <w:t xml:space="preserve"> of Bell Atlantic Corp. and GTE Corp.</w:t>
      </w:r>
      <w:r w:rsidR="00335E95" w:rsidRPr="00102D75">
        <w:rPr>
          <w:bCs/>
          <w:sz w:val="26"/>
          <w:szCs w:val="26"/>
        </w:rPr>
        <w:t>, Docket No. A</w:t>
      </w:r>
      <w:r w:rsidR="00906303" w:rsidRPr="00102D75">
        <w:rPr>
          <w:bCs/>
          <w:sz w:val="26"/>
          <w:szCs w:val="26"/>
        </w:rPr>
        <w:noBreakHyphen/>
      </w:r>
      <w:r w:rsidR="00335E95" w:rsidRPr="00102D75">
        <w:rPr>
          <w:bCs/>
          <w:sz w:val="26"/>
          <w:szCs w:val="26"/>
        </w:rPr>
        <w:t xml:space="preserve">310200F0002, </w:t>
      </w:r>
      <w:r w:rsidR="00335E95" w:rsidRPr="00102D75">
        <w:rPr>
          <w:bCs/>
          <w:i/>
          <w:iCs/>
          <w:sz w:val="26"/>
          <w:szCs w:val="26"/>
        </w:rPr>
        <w:t>et al.</w:t>
      </w:r>
      <w:r w:rsidR="00335E95" w:rsidRPr="00102D75">
        <w:rPr>
          <w:bCs/>
          <w:sz w:val="26"/>
          <w:szCs w:val="26"/>
        </w:rPr>
        <w:t xml:space="preserve"> (Order entered June 14, 1999</w:t>
      </w:r>
      <w:r w:rsidR="00335E95" w:rsidRPr="00BC3D6E">
        <w:rPr>
          <w:bCs/>
          <w:sz w:val="26"/>
          <w:szCs w:val="26"/>
        </w:rPr>
        <w:t xml:space="preserve">); </w:t>
      </w:r>
      <w:r w:rsidR="00335E95" w:rsidRPr="00BC3D6E">
        <w:rPr>
          <w:bCs/>
          <w:i/>
          <w:iCs/>
          <w:sz w:val="26"/>
          <w:szCs w:val="26"/>
        </w:rPr>
        <w:t>Pa. PUC v. Frontier Communications of Pa. Inc.</w:t>
      </w:r>
      <w:r w:rsidR="00335E95" w:rsidRPr="00BC3D6E">
        <w:rPr>
          <w:bCs/>
          <w:iCs/>
          <w:sz w:val="26"/>
          <w:szCs w:val="26"/>
        </w:rPr>
        <w:t>,</w:t>
      </w:r>
      <w:r w:rsidR="00335E95" w:rsidRPr="00BC3D6E">
        <w:rPr>
          <w:bCs/>
          <w:sz w:val="26"/>
          <w:szCs w:val="26"/>
        </w:rPr>
        <w:t xml:space="preserve"> Docket No. R</w:t>
      </w:r>
      <w:r w:rsidR="00335E95" w:rsidRPr="00BC3D6E">
        <w:rPr>
          <w:bCs/>
          <w:sz w:val="26"/>
          <w:szCs w:val="26"/>
        </w:rPr>
        <w:noBreakHyphen/>
        <w:t>00984411 (Order entered February 11, 1999)</w:t>
      </w:r>
      <w:r w:rsidR="0088795C">
        <w:rPr>
          <w:bCs/>
          <w:sz w:val="26"/>
          <w:szCs w:val="26"/>
        </w:rPr>
        <w:t>.</w:t>
      </w:r>
    </w:p>
    <w:p w14:paraId="619C8E65" w14:textId="77777777" w:rsidR="00E80DF2" w:rsidRPr="00BC3D6E" w:rsidRDefault="00E80DF2" w:rsidP="00102D75">
      <w:pPr>
        <w:rPr>
          <w:sz w:val="26"/>
          <w:szCs w:val="26"/>
        </w:rPr>
      </w:pPr>
    </w:p>
    <w:p w14:paraId="0EEF08F0" w14:textId="22C3195F" w:rsidR="00E87366" w:rsidRPr="00A74F32" w:rsidRDefault="004A3A43" w:rsidP="00E87366">
      <w:pPr>
        <w:rPr>
          <w:sz w:val="26"/>
          <w:szCs w:val="26"/>
        </w:rPr>
      </w:pPr>
      <w:r>
        <w:rPr>
          <w:sz w:val="26"/>
          <w:szCs w:val="26"/>
        </w:rPr>
        <w:t>P</w:t>
      </w:r>
      <w:r w:rsidR="00E87366" w:rsidRPr="00BC3D6E">
        <w:rPr>
          <w:sz w:val="26"/>
          <w:szCs w:val="26"/>
        </w:rPr>
        <w:t xml:space="preserve">etitions for interlocutory review are allowed </w:t>
      </w:r>
      <w:r w:rsidR="00570F08">
        <w:rPr>
          <w:sz w:val="26"/>
          <w:szCs w:val="26"/>
        </w:rPr>
        <w:t xml:space="preserve">only </w:t>
      </w:r>
      <w:r w:rsidR="00E87366" w:rsidRPr="00BC3D6E">
        <w:rPr>
          <w:sz w:val="26"/>
          <w:szCs w:val="26"/>
        </w:rPr>
        <w:t>in the most extraordinary circumstances</w:t>
      </w:r>
      <w:r w:rsidR="00464EFC">
        <w:rPr>
          <w:sz w:val="26"/>
          <w:szCs w:val="26"/>
        </w:rPr>
        <w:t xml:space="preserve">; the preferred approach being to </w:t>
      </w:r>
      <w:r w:rsidR="00E87366" w:rsidRPr="00BC3D6E">
        <w:rPr>
          <w:sz w:val="26"/>
          <w:szCs w:val="26"/>
        </w:rPr>
        <w:t xml:space="preserve">permit proceedings to move forward in the normal course to provide all parties, the presiding officer, and the Commission, with a full opportunity to develop the record, brief issues, and present arguments at </w:t>
      </w:r>
      <w:r w:rsidR="00E87366" w:rsidRPr="00A74F32">
        <w:rPr>
          <w:sz w:val="26"/>
          <w:szCs w:val="26"/>
        </w:rPr>
        <w:t xml:space="preserve">each stage.  </w:t>
      </w:r>
      <w:r w:rsidR="00E87366" w:rsidRPr="00A74F32">
        <w:rPr>
          <w:i/>
          <w:sz w:val="26"/>
          <w:szCs w:val="26"/>
        </w:rPr>
        <w:t>See</w:t>
      </w:r>
      <w:r w:rsidR="00E87366" w:rsidRPr="00A74F32">
        <w:rPr>
          <w:sz w:val="26"/>
          <w:szCs w:val="26"/>
        </w:rPr>
        <w:t xml:space="preserve"> </w:t>
      </w:r>
      <w:r w:rsidR="00E87366" w:rsidRPr="00A74F32">
        <w:rPr>
          <w:i/>
          <w:sz w:val="26"/>
          <w:szCs w:val="26"/>
        </w:rPr>
        <w:t>Re: Philadelphia Gas Works Universal Service and Energy Conservation Plan</w:t>
      </w:r>
      <w:r w:rsidR="00E87366" w:rsidRPr="00A74F32">
        <w:rPr>
          <w:sz w:val="26"/>
          <w:szCs w:val="26"/>
        </w:rPr>
        <w:t>, Docket No. M-00072021 (Order entered October 23, 2009) at 3.</w:t>
      </w:r>
    </w:p>
    <w:p w14:paraId="31B10CD9" w14:textId="77777777" w:rsidR="00AC233F" w:rsidRPr="00A74F32" w:rsidRDefault="00AC233F" w:rsidP="00E87366">
      <w:pPr>
        <w:rPr>
          <w:sz w:val="26"/>
          <w:szCs w:val="26"/>
        </w:rPr>
      </w:pPr>
    </w:p>
    <w:p w14:paraId="06C0642F" w14:textId="5B33E22F" w:rsidR="00A74F32" w:rsidRPr="00156694" w:rsidRDefault="00A74F32" w:rsidP="00A74F32">
      <w:pPr>
        <w:rPr>
          <w:sz w:val="26"/>
          <w:szCs w:val="26"/>
        </w:rPr>
      </w:pPr>
      <w:r w:rsidRPr="00A74F32">
        <w:rPr>
          <w:sz w:val="26"/>
          <w:szCs w:val="26"/>
        </w:rPr>
        <w:t xml:space="preserve">In a petition for interlocutory review involving the scope and admissibility of evidence in a proceeding, the Commission will consider the presiding ALJ’s authority to oversee and rule on the scope of and admissibility of evidence in a proceeding, as set forth in the statute at Section 331(d)(3) of the Code, 66 Pa. C.S. § 331(d)(3) (pertaining to authority of the presiding officer), and the Commission’s Regulations, including: </w:t>
      </w:r>
      <w:r w:rsidR="000A0263">
        <w:rPr>
          <w:sz w:val="26"/>
          <w:szCs w:val="26"/>
        </w:rPr>
        <w:t xml:space="preserve"> </w:t>
      </w:r>
      <w:r w:rsidRPr="00A74F32">
        <w:rPr>
          <w:sz w:val="26"/>
          <w:szCs w:val="26"/>
        </w:rPr>
        <w:t>at Sections 5.483 (pertaining to authority of presiding officer); 5.403 (pertaining to control of receipt of evidence); 5.103 (pertaining to authority to rule on motions); 5.222 (pertaining to prehearing conference in non-rate proceedings to oversee evidentiary matters for orderly conduct and disposition of the proceeding and furtherance of justice); and 5.223 (pertaining to authority of presiding officer at conferences).  52 Pa. Code §§ 5.483, 5.403, 5.103, 5.222, and 5.223.  The Commission has found that when an ALJ commits a reversible legal error relating to the admission of relevant</w:t>
      </w:r>
      <w:r w:rsidRPr="00604A24">
        <w:rPr>
          <w:sz w:val="26"/>
          <w:szCs w:val="26"/>
        </w:rPr>
        <w:t xml:space="preserve"> evidence, “compelling reasons” exist for interlocutory review if the resulting substantial prejudice to a party’s right to present all relevant evidence cannot be rectified during the normal Commission review process.  </w:t>
      </w:r>
      <w:r w:rsidRPr="00604A24">
        <w:rPr>
          <w:i/>
          <w:iCs/>
          <w:sz w:val="26"/>
          <w:szCs w:val="26"/>
        </w:rPr>
        <w:t>P</w:t>
      </w:r>
      <w:bookmarkStart w:id="1" w:name="_BA_Cite_983DB3_000009"/>
      <w:bookmarkEnd w:id="1"/>
      <w:r w:rsidRPr="00604A24">
        <w:rPr>
          <w:i/>
          <w:iCs/>
          <w:sz w:val="26"/>
          <w:szCs w:val="26"/>
        </w:rPr>
        <w:t>a. PUC v. PGW</w:t>
      </w:r>
      <w:r w:rsidRPr="00604A24">
        <w:rPr>
          <w:sz w:val="26"/>
          <w:szCs w:val="26"/>
        </w:rPr>
        <w:t>, Docket No. R-2020-3017206</w:t>
      </w:r>
      <w:r w:rsidR="009817AB">
        <w:rPr>
          <w:sz w:val="26"/>
          <w:szCs w:val="26"/>
        </w:rPr>
        <w:t>,</w:t>
      </w:r>
      <w:r w:rsidRPr="00604A24">
        <w:rPr>
          <w:sz w:val="26"/>
          <w:szCs w:val="26"/>
        </w:rPr>
        <w:t xml:space="preserve"> </w:t>
      </w:r>
      <w:r w:rsidRPr="009817AB">
        <w:rPr>
          <w:i/>
          <w:iCs/>
          <w:sz w:val="26"/>
          <w:szCs w:val="26"/>
        </w:rPr>
        <w:t>et al</w:t>
      </w:r>
      <w:r w:rsidRPr="00604A24">
        <w:rPr>
          <w:sz w:val="26"/>
          <w:szCs w:val="26"/>
        </w:rPr>
        <w:t>. at</w:t>
      </w:r>
      <w:r w:rsidR="002A3BC9">
        <w:rPr>
          <w:sz w:val="26"/>
          <w:szCs w:val="26"/>
        </w:rPr>
        <w:t> </w:t>
      </w:r>
      <w:r w:rsidRPr="00604A24">
        <w:rPr>
          <w:sz w:val="26"/>
          <w:szCs w:val="26"/>
        </w:rPr>
        <w:t>11</w:t>
      </w:r>
      <w:r w:rsidR="002A3BC9">
        <w:rPr>
          <w:sz w:val="26"/>
          <w:szCs w:val="26"/>
        </w:rPr>
        <w:noBreakHyphen/>
      </w:r>
      <w:r w:rsidRPr="00604A24">
        <w:rPr>
          <w:sz w:val="26"/>
          <w:szCs w:val="26"/>
        </w:rPr>
        <w:t>12 (</w:t>
      </w:r>
      <w:bookmarkStart w:id="2" w:name="_BA_Cite_983DB3_000101"/>
      <w:bookmarkEnd w:id="2"/>
      <w:r w:rsidRPr="00156694">
        <w:rPr>
          <w:sz w:val="26"/>
          <w:szCs w:val="26"/>
        </w:rPr>
        <w:t>Opinion and Order entered Aug. 6, 2020).</w:t>
      </w:r>
    </w:p>
    <w:p w14:paraId="538F6F72" w14:textId="77777777" w:rsidR="00A74F32" w:rsidRDefault="00A74F32" w:rsidP="00E87366">
      <w:pPr>
        <w:rPr>
          <w:sz w:val="26"/>
          <w:szCs w:val="26"/>
        </w:rPr>
      </w:pPr>
    </w:p>
    <w:p w14:paraId="404BF10B" w14:textId="36FEB721" w:rsidR="00AC233F" w:rsidRDefault="00AC233F" w:rsidP="00E87366">
      <w:pPr>
        <w:rPr>
          <w:sz w:val="26"/>
          <w:szCs w:val="26"/>
        </w:rPr>
      </w:pPr>
      <w:r>
        <w:rPr>
          <w:sz w:val="26"/>
          <w:szCs w:val="26"/>
        </w:rPr>
        <w:t>Finally, as a general matter, a</w:t>
      </w:r>
      <w:r w:rsidRPr="00286DF7">
        <w:rPr>
          <w:sz w:val="26"/>
          <w:szCs w:val="26"/>
        </w:rPr>
        <w:t xml:space="preserve">ny issue we do not specifically delineate shall be deemed to have been duly considered and denied without further discussion.  The Commission is not required to consider expressly or at length each contention or argument raised by the parties.  </w:t>
      </w:r>
      <w:hyperlink r:id="rId11" w:history="1">
        <w:r w:rsidRPr="00286DF7">
          <w:rPr>
            <w:i/>
            <w:iCs/>
            <w:color w:val="000000"/>
            <w:sz w:val="26"/>
            <w:szCs w:val="26"/>
          </w:rPr>
          <w:t>Consolidated Rail Corp. v. Pa. PUC</w:t>
        </w:r>
        <w:r w:rsidRPr="00286DF7">
          <w:rPr>
            <w:iCs/>
            <w:color w:val="000000"/>
            <w:sz w:val="26"/>
            <w:szCs w:val="26"/>
          </w:rPr>
          <w:t>,</w:t>
        </w:r>
        <w:r w:rsidRPr="00286DF7">
          <w:rPr>
            <w:i/>
            <w:iCs/>
            <w:color w:val="000000"/>
            <w:sz w:val="26"/>
            <w:szCs w:val="26"/>
          </w:rPr>
          <w:t xml:space="preserve"> </w:t>
        </w:r>
        <w:r w:rsidRPr="00286DF7">
          <w:rPr>
            <w:color w:val="000000"/>
            <w:sz w:val="26"/>
            <w:szCs w:val="26"/>
          </w:rPr>
          <w:t>625 A.2d 741 (Pa.</w:t>
        </w:r>
        <w:r w:rsidR="002A3BC9">
          <w:rPr>
            <w:color w:val="000000"/>
            <w:sz w:val="26"/>
            <w:szCs w:val="26"/>
          </w:rPr>
          <w:t> </w:t>
        </w:r>
        <w:r w:rsidRPr="00286DF7">
          <w:rPr>
            <w:color w:val="000000"/>
            <w:sz w:val="26"/>
            <w:szCs w:val="26"/>
          </w:rPr>
          <w:t>Cmwlth. 1993);</w:t>
        </w:r>
      </w:hyperlink>
      <w:r w:rsidRPr="00286DF7">
        <w:rPr>
          <w:color w:val="000000"/>
          <w:sz w:val="26"/>
          <w:szCs w:val="26"/>
        </w:rPr>
        <w:t xml:space="preserve"> </w:t>
      </w:r>
      <w:r w:rsidRPr="00286DF7">
        <w:rPr>
          <w:i/>
          <w:color w:val="000000"/>
          <w:sz w:val="26"/>
          <w:szCs w:val="26"/>
        </w:rPr>
        <w:t xml:space="preserve">also </w:t>
      </w:r>
      <w:r w:rsidRPr="00286DF7">
        <w:rPr>
          <w:i/>
          <w:iCs/>
          <w:color w:val="000000"/>
          <w:sz w:val="26"/>
          <w:szCs w:val="26"/>
        </w:rPr>
        <w:t xml:space="preserve">see, generally, </w:t>
      </w:r>
      <w:hyperlink r:id="rId12" w:history="1">
        <w:r w:rsidRPr="00286DF7">
          <w:rPr>
            <w:i/>
            <w:iCs/>
            <w:color w:val="000000"/>
            <w:sz w:val="26"/>
            <w:szCs w:val="26"/>
          </w:rPr>
          <w:t>University of Pennsylvania v. Pa. PUC</w:t>
        </w:r>
        <w:r w:rsidRPr="00286DF7">
          <w:rPr>
            <w:color w:val="000000"/>
            <w:sz w:val="26"/>
            <w:szCs w:val="26"/>
          </w:rPr>
          <w:t>, 485</w:t>
        </w:r>
        <w:r w:rsidR="002A3BC9">
          <w:rPr>
            <w:color w:val="000000"/>
            <w:sz w:val="26"/>
            <w:szCs w:val="26"/>
          </w:rPr>
          <w:t> </w:t>
        </w:r>
        <w:r w:rsidRPr="00286DF7">
          <w:rPr>
            <w:color w:val="000000"/>
            <w:sz w:val="26"/>
            <w:szCs w:val="26"/>
          </w:rPr>
          <w:t>A.2d 1217 (Pa. Cmwlth. 1984).</w:t>
        </w:r>
      </w:hyperlink>
    </w:p>
    <w:p w14:paraId="67E7BBF6" w14:textId="77777777" w:rsidR="00710F96" w:rsidRDefault="00710F96" w:rsidP="00710F96">
      <w:pPr>
        <w:ind w:firstLine="0"/>
        <w:rPr>
          <w:sz w:val="26"/>
          <w:szCs w:val="26"/>
        </w:rPr>
      </w:pPr>
    </w:p>
    <w:p w14:paraId="3DA4B12E" w14:textId="13AB7474" w:rsidR="002F156B" w:rsidRPr="001F1848" w:rsidRDefault="002F156B" w:rsidP="002A3BC9">
      <w:pPr>
        <w:pStyle w:val="Heading2"/>
        <w:ind w:left="720" w:hanging="720"/>
      </w:pPr>
      <w:r>
        <w:t xml:space="preserve">ALJ’s </w:t>
      </w:r>
      <w:r w:rsidRPr="001F1848">
        <w:t xml:space="preserve">Interim Order </w:t>
      </w:r>
    </w:p>
    <w:p w14:paraId="59E933D3" w14:textId="77777777" w:rsidR="001F1848" w:rsidRDefault="001F1848" w:rsidP="00782968">
      <w:pPr>
        <w:keepNext/>
        <w:keepLines/>
        <w:rPr>
          <w:sz w:val="26"/>
          <w:szCs w:val="26"/>
        </w:rPr>
      </w:pPr>
    </w:p>
    <w:p w14:paraId="0195F3C0" w14:textId="41A5977D" w:rsidR="001F1848" w:rsidRDefault="00132205" w:rsidP="001F1848">
      <w:pPr>
        <w:rPr>
          <w:sz w:val="26"/>
          <w:szCs w:val="26"/>
        </w:rPr>
      </w:pPr>
      <w:r w:rsidRPr="00832E41">
        <w:rPr>
          <w:sz w:val="26"/>
          <w:szCs w:val="26"/>
          <w:lang w:eastAsia="ja-JP"/>
        </w:rPr>
        <w:t xml:space="preserve">In the </w:t>
      </w:r>
      <w:r w:rsidRPr="00CC4983">
        <w:rPr>
          <w:i/>
          <w:iCs/>
          <w:sz w:val="26"/>
          <w:szCs w:val="26"/>
          <w:lang w:eastAsia="ja-JP"/>
        </w:rPr>
        <w:t>Interim Order</w:t>
      </w:r>
      <w:r w:rsidRPr="00832E41">
        <w:rPr>
          <w:sz w:val="26"/>
          <w:szCs w:val="26"/>
          <w:lang w:eastAsia="ja-JP"/>
        </w:rPr>
        <w:t xml:space="preserve">, </w:t>
      </w:r>
      <w:r w:rsidRPr="00832E41">
        <w:rPr>
          <w:sz w:val="26"/>
          <w:szCs w:val="26"/>
        </w:rPr>
        <w:t xml:space="preserve">ALJ Pell </w:t>
      </w:r>
      <w:r w:rsidR="00CC4983">
        <w:rPr>
          <w:sz w:val="26"/>
          <w:szCs w:val="26"/>
        </w:rPr>
        <w:t>concluded</w:t>
      </w:r>
      <w:r w:rsidRPr="00832E41">
        <w:rPr>
          <w:sz w:val="26"/>
          <w:szCs w:val="26"/>
        </w:rPr>
        <w:t xml:space="preserve"> that the evidence found within the materials he struck was not available to all parties throughout the course of the proceeding and that it would not be proper for him to rely upon these materials or any references to them since I&amp;E and Verde never had the opportunity to cross-examine this </w:t>
      </w:r>
      <w:r w:rsidRPr="00BA508E">
        <w:rPr>
          <w:sz w:val="26"/>
          <w:szCs w:val="26"/>
        </w:rPr>
        <w:t xml:space="preserve">witness or to offer rebuttal testimony. </w:t>
      </w:r>
      <w:r w:rsidR="00C0237C">
        <w:rPr>
          <w:sz w:val="26"/>
          <w:szCs w:val="26"/>
        </w:rPr>
        <w:t xml:space="preserve"> </w:t>
      </w:r>
      <w:r w:rsidRPr="00BA508E">
        <w:rPr>
          <w:i/>
          <w:iCs/>
          <w:sz w:val="26"/>
          <w:szCs w:val="26"/>
        </w:rPr>
        <w:t>Interim Order</w:t>
      </w:r>
      <w:r w:rsidRPr="00BA508E">
        <w:rPr>
          <w:sz w:val="26"/>
          <w:szCs w:val="26"/>
        </w:rPr>
        <w:t xml:space="preserve"> at 13.  ALJ Pell also noted that the OCA’s evidence regarding Verde’s dealings in other states was beyond the scope of this proceeding.  </w:t>
      </w:r>
      <w:r w:rsidRPr="00BA508E">
        <w:rPr>
          <w:i/>
          <w:iCs/>
          <w:sz w:val="26"/>
          <w:szCs w:val="26"/>
        </w:rPr>
        <w:t>Id</w:t>
      </w:r>
      <w:r w:rsidRPr="00BA508E">
        <w:rPr>
          <w:sz w:val="26"/>
          <w:szCs w:val="26"/>
        </w:rPr>
        <w:t>.</w:t>
      </w:r>
    </w:p>
    <w:p w14:paraId="08B15F8B" w14:textId="77777777" w:rsidR="0016241E" w:rsidRPr="00BA508E" w:rsidRDefault="0016241E" w:rsidP="001F1848">
      <w:pPr>
        <w:rPr>
          <w:sz w:val="26"/>
          <w:szCs w:val="26"/>
        </w:rPr>
      </w:pPr>
    </w:p>
    <w:p w14:paraId="099CCA25" w14:textId="3C710FFE" w:rsidR="00EF6BBE" w:rsidRPr="00BA508E" w:rsidRDefault="00FD5EDC" w:rsidP="0090774A">
      <w:pPr>
        <w:rPr>
          <w:sz w:val="26"/>
          <w:szCs w:val="26"/>
        </w:rPr>
      </w:pPr>
      <w:r w:rsidRPr="00BA508E">
        <w:rPr>
          <w:sz w:val="26"/>
          <w:szCs w:val="26"/>
        </w:rPr>
        <w:t xml:space="preserve">In the </w:t>
      </w:r>
      <w:r w:rsidRPr="00991C73">
        <w:rPr>
          <w:i/>
          <w:iCs/>
          <w:sz w:val="26"/>
          <w:szCs w:val="26"/>
        </w:rPr>
        <w:t>Interim Order</w:t>
      </w:r>
      <w:r w:rsidRPr="00BA508E">
        <w:rPr>
          <w:sz w:val="26"/>
          <w:szCs w:val="26"/>
        </w:rPr>
        <w:t xml:space="preserve">, the ALJ explained that in his </w:t>
      </w:r>
      <w:r w:rsidRPr="00991C73">
        <w:rPr>
          <w:i/>
          <w:iCs/>
          <w:sz w:val="26"/>
          <w:szCs w:val="26"/>
        </w:rPr>
        <w:t>Abeyance Order</w:t>
      </w:r>
      <w:r w:rsidRPr="00BA508E">
        <w:rPr>
          <w:sz w:val="26"/>
          <w:szCs w:val="26"/>
        </w:rPr>
        <w:t xml:space="preserve">, </w:t>
      </w:r>
      <w:r w:rsidR="00991C73">
        <w:rPr>
          <w:sz w:val="26"/>
          <w:szCs w:val="26"/>
        </w:rPr>
        <w:t xml:space="preserve">issued on September 25, 2020, </w:t>
      </w:r>
      <w:r w:rsidRPr="00BA508E">
        <w:rPr>
          <w:sz w:val="26"/>
          <w:szCs w:val="26"/>
        </w:rPr>
        <w:t>he</w:t>
      </w:r>
      <w:r w:rsidR="00EF6BBE" w:rsidRPr="00BA508E">
        <w:rPr>
          <w:sz w:val="26"/>
          <w:szCs w:val="26"/>
        </w:rPr>
        <w:t xml:space="preserve"> denied the OCA’s request for a 60-day abeyance</w:t>
      </w:r>
      <w:r w:rsidRPr="00BA508E">
        <w:rPr>
          <w:sz w:val="26"/>
          <w:szCs w:val="26"/>
        </w:rPr>
        <w:t xml:space="preserve"> to conduct further discovery in this matter</w:t>
      </w:r>
      <w:r w:rsidR="00EF6BBE" w:rsidRPr="00BA508E">
        <w:rPr>
          <w:sz w:val="26"/>
          <w:szCs w:val="26"/>
        </w:rPr>
        <w:t xml:space="preserve">. </w:t>
      </w:r>
      <w:r w:rsidR="00991C73">
        <w:rPr>
          <w:sz w:val="26"/>
          <w:szCs w:val="26"/>
        </w:rPr>
        <w:t xml:space="preserve"> He stated that</w:t>
      </w:r>
      <w:r w:rsidR="00EF6BBE" w:rsidRPr="00BA508E">
        <w:rPr>
          <w:sz w:val="26"/>
          <w:szCs w:val="26"/>
        </w:rPr>
        <w:t xml:space="preserve"> the OCA had sufficient time to conduct discovery (a period of six months) and why </w:t>
      </w:r>
      <w:r w:rsidRPr="00BA508E">
        <w:rPr>
          <w:sz w:val="26"/>
          <w:szCs w:val="26"/>
        </w:rPr>
        <w:t>he</w:t>
      </w:r>
      <w:r w:rsidR="00EF6BBE" w:rsidRPr="00BA508E">
        <w:rPr>
          <w:sz w:val="26"/>
          <w:szCs w:val="26"/>
        </w:rPr>
        <w:t xml:space="preserve"> denied the</w:t>
      </w:r>
      <w:r w:rsidR="00E834C7">
        <w:rPr>
          <w:sz w:val="26"/>
          <w:szCs w:val="26"/>
        </w:rPr>
        <w:t xml:space="preserve"> OCA’s</w:t>
      </w:r>
      <w:r w:rsidR="00EF6BBE" w:rsidRPr="00BA508E">
        <w:rPr>
          <w:sz w:val="26"/>
          <w:szCs w:val="26"/>
        </w:rPr>
        <w:t xml:space="preserve"> request.  However, </w:t>
      </w:r>
      <w:r w:rsidRPr="00BA508E">
        <w:rPr>
          <w:sz w:val="26"/>
          <w:szCs w:val="26"/>
        </w:rPr>
        <w:t xml:space="preserve">the ALJ stated that, </w:t>
      </w:r>
      <w:r w:rsidR="00EF6BBE" w:rsidRPr="00BA508E">
        <w:rPr>
          <w:sz w:val="26"/>
          <w:szCs w:val="26"/>
        </w:rPr>
        <w:t xml:space="preserve">in the interest of fairness, </w:t>
      </w:r>
      <w:r w:rsidRPr="00BA508E">
        <w:rPr>
          <w:sz w:val="26"/>
          <w:szCs w:val="26"/>
        </w:rPr>
        <w:t>he</w:t>
      </w:r>
      <w:r w:rsidR="00EF6BBE" w:rsidRPr="00BA508E">
        <w:rPr>
          <w:sz w:val="26"/>
          <w:szCs w:val="26"/>
        </w:rPr>
        <w:t xml:space="preserve"> wanted to provide the OCA with another opportunity to provide substantive comments on the Settlement since the</w:t>
      </w:r>
      <w:r w:rsidR="00E834C7">
        <w:rPr>
          <w:sz w:val="26"/>
          <w:szCs w:val="26"/>
        </w:rPr>
        <w:t xml:space="preserve"> OCA’s</w:t>
      </w:r>
      <w:r w:rsidR="00EF6BBE" w:rsidRPr="00BA508E">
        <w:rPr>
          <w:sz w:val="26"/>
          <w:szCs w:val="26"/>
        </w:rPr>
        <w:t xml:space="preserve"> July</w:t>
      </w:r>
      <w:r w:rsidR="00D8768A">
        <w:rPr>
          <w:sz w:val="26"/>
          <w:szCs w:val="26"/>
        </w:rPr>
        <w:t> </w:t>
      </w:r>
      <w:r w:rsidR="00EF6BBE" w:rsidRPr="00BA508E">
        <w:rPr>
          <w:sz w:val="26"/>
          <w:szCs w:val="26"/>
        </w:rPr>
        <w:t>20,</w:t>
      </w:r>
      <w:r w:rsidR="00D8768A">
        <w:rPr>
          <w:sz w:val="26"/>
          <w:szCs w:val="26"/>
        </w:rPr>
        <w:t> </w:t>
      </w:r>
      <w:proofErr w:type="gramStart"/>
      <w:r w:rsidR="00EF6BBE" w:rsidRPr="00BA508E">
        <w:rPr>
          <w:sz w:val="26"/>
          <w:szCs w:val="26"/>
        </w:rPr>
        <w:t>2020</w:t>
      </w:r>
      <w:proofErr w:type="gramEnd"/>
      <w:r w:rsidR="00EF6BBE" w:rsidRPr="00BA508E">
        <w:rPr>
          <w:sz w:val="26"/>
          <w:szCs w:val="26"/>
        </w:rPr>
        <w:t xml:space="preserve"> Statement in Opposition largely challenged the Settlement on procedural grounds.  With that in mind, </w:t>
      </w:r>
      <w:r w:rsidRPr="00BA508E">
        <w:rPr>
          <w:sz w:val="26"/>
          <w:szCs w:val="26"/>
        </w:rPr>
        <w:t>he stated that he</w:t>
      </w:r>
      <w:r w:rsidR="00EF6BBE" w:rsidRPr="00BA508E">
        <w:rPr>
          <w:sz w:val="26"/>
          <w:szCs w:val="26"/>
        </w:rPr>
        <w:t xml:space="preserve"> </w:t>
      </w:r>
      <w:r w:rsidR="001336DE">
        <w:rPr>
          <w:sz w:val="26"/>
          <w:szCs w:val="26"/>
        </w:rPr>
        <w:t>“</w:t>
      </w:r>
      <w:r w:rsidR="00EF6BBE" w:rsidRPr="00BA508E">
        <w:rPr>
          <w:sz w:val="26"/>
          <w:szCs w:val="26"/>
        </w:rPr>
        <w:t xml:space="preserve">offered the OCA the opportunity to delineate the issues they would raise if the Settlement </w:t>
      </w:r>
      <w:proofErr w:type="gramStart"/>
      <w:r w:rsidR="00EF6BBE" w:rsidRPr="00BA508E">
        <w:rPr>
          <w:sz w:val="26"/>
          <w:szCs w:val="26"/>
        </w:rPr>
        <w:t>is</w:t>
      </w:r>
      <w:proofErr w:type="gramEnd"/>
      <w:r w:rsidR="00EF6BBE" w:rsidRPr="00BA508E">
        <w:rPr>
          <w:sz w:val="26"/>
          <w:szCs w:val="26"/>
        </w:rPr>
        <w:t xml:space="preserve"> rejected, and to outline how the OCA’s interests would be affected if the Settlement is accepted.</w:t>
      </w:r>
      <w:r w:rsidR="001336DE">
        <w:rPr>
          <w:sz w:val="26"/>
          <w:szCs w:val="26"/>
        </w:rPr>
        <w:t>”</w:t>
      </w:r>
      <w:r w:rsidR="00EF6BBE" w:rsidRPr="00BA508E">
        <w:rPr>
          <w:sz w:val="26"/>
          <w:szCs w:val="26"/>
        </w:rPr>
        <w:t xml:space="preserve">  </w:t>
      </w:r>
      <w:r w:rsidR="0090774A" w:rsidRPr="00BA508E">
        <w:rPr>
          <w:sz w:val="26"/>
          <w:szCs w:val="26"/>
        </w:rPr>
        <w:t xml:space="preserve">The ALJ </w:t>
      </w:r>
      <w:r w:rsidR="0034359B">
        <w:rPr>
          <w:sz w:val="26"/>
          <w:szCs w:val="26"/>
        </w:rPr>
        <w:t>explained</w:t>
      </w:r>
      <w:r w:rsidR="0090774A" w:rsidRPr="00BA508E">
        <w:rPr>
          <w:sz w:val="26"/>
          <w:szCs w:val="26"/>
        </w:rPr>
        <w:t xml:space="preserve"> that he “</w:t>
      </w:r>
      <w:r w:rsidR="00EF6BBE" w:rsidRPr="00BA508E">
        <w:rPr>
          <w:sz w:val="26"/>
          <w:szCs w:val="26"/>
        </w:rPr>
        <w:t>did not invite the OCA to provide an affidavit with accompanying exhibits from the witness it proposed in its Prehearing Memorandum, to provide proposed findings of fact, or to attempt to expand the scope of this proceeding.</w:t>
      </w:r>
      <w:r w:rsidR="0090774A" w:rsidRPr="00BA508E">
        <w:rPr>
          <w:sz w:val="26"/>
          <w:szCs w:val="26"/>
        </w:rPr>
        <w:t xml:space="preserve">”  </w:t>
      </w:r>
      <w:r w:rsidR="0090774A" w:rsidRPr="001336DE">
        <w:rPr>
          <w:i/>
          <w:iCs/>
          <w:sz w:val="26"/>
          <w:szCs w:val="26"/>
        </w:rPr>
        <w:t>Interim Order</w:t>
      </w:r>
      <w:r w:rsidR="0090774A" w:rsidRPr="00BA508E">
        <w:rPr>
          <w:sz w:val="26"/>
          <w:szCs w:val="26"/>
        </w:rPr>
        <w:t xml:space="preserve"> at 12</w:t>
      </w:r>
      <w:r w:rsidR="00532285" w:rsidRPr="00BA508E">
        <w:rPr>
          <w:sz w:val="26"/>
          <w:szCs w:val="26"/>
        </w:rPr>
        <w:t>-13</w:t>
      </w:r>
      <w:r w:rsidR="0090774A" w:rsidRPr="00BA508E">
        <w:rPr>
          <w:sz w:val="26"/>
          <w:szCs w:val="26"/>
        </w:rPr>
        <w:t>.</w:t>
      </w:r>
      <w:r w:rsidR="00EF6BBE" w:rsidRPr="00BA508E">
        <w:rPr>
          <w:sz w:val="26"/>
          <w:szCs w:val="26"/>
        </w:rPr>
        <w:t xml:space="preserve">  </w:t>
      </w:r>
    </w:p>
    <w:p w14:paraId="10C6A0F6" w14:textId="2F19C48D" w:rsidR="0090290E" w:rsidRPr="00BA508E" w:rsidRDefault="0090290E" w:rsidP="0090774A">
      <w:pPr>
        <w:rPr>
          <w:sz w:val="26"/>
          <w:szCs w:val="26"/>
        </w:rPr>
      </w:pPr>
    </w:p>
    <w:p w14:paraId="0A961E22" w14:textId="743D56B5" w:rsidR="0090290E" w:rsidRPr="00BA508E" w:rsidRDefault="005B51A2" w:rsidP="0090774A">
      <w:pPr>
        <w:rPr>
          <w:sz w:val="26"/>
          <w:szCs w:val="26"/>
        </w:rPr>
      </w:pPr>
      <w:r>
        <w:rPr>
          <w:sz w:val="26"/>
          <w:szCs w:val="26"/>
        </w:rPr>
        <w:t>Rather</w:t>
      </w:r>
      <w:r w:rsidR="00F142D5">
        <w:rPr>
          <w:sz w:val="26"/>
          <w:szCs w:val="26"/>
        </w:rPr>
        <w:t xml:space="preserve">, the ALJ noted his expectations and explained his intent.  </w:t>
      </w:r>
      <w:r w:rsidR="00425EFA">
        <w:rPr>
          <w:sz w:val="26"/>
          <w:szCs w:val="26"/>
        </w:rPr>
        <w:t>Specifically, t</w:t>
      </w:r>
      <w:r w:rsidR="0090290E" w:rsidRPr="00BA508E">
        <w:rPr>
          <w:sz w:val="26"/>
          <w:szCs w:val="26"/>
        </w:rPr>
        <w:t xml:space="preserve">he ALJ </w:t>
      </w:r>
      <w:r w:rsidR="00BA508E">
        <w:rPr>
          <w:sz w:val="26"/>
          <w:szCs w:val="26"/>
        </w:rPr>
        <w:t xml:space="preserve">explained his intent in directing I&amp;E and Verde to file stipulated facts while directing the OCA to file Comments in the </w:t>
      </w:r>
      <w:r w:rsidR="00BA508E" w:rsidRPr="00BA508E">
        <w:rPr>
          <w:i/>
          <w:iCs/>
          <w:sz w:val="26"/>
          <w:szCs w:val="26"/>
        </w:rPr>
        <w:t>Abeyance Order</w:t>
      </w:r>
      <w:r w:rsidR="0090290E" w:rsidRPr="00BA508E">
        <w:rPr>
          <w:sz w:val="26"/>
          <w:szCs w:val="26"/>
        </w:rPr>
        <w:t xml:space="preserve">: </w:t>
      </w:r>
    </w:p>
    <w:p w14:paraId="5F204B9D" w14:textId="7501A989" w:rsidR="0090290E" w:rsidRPr="00BA508E" w:rsidRDefault="0090290E" w:rsidP="002A3BC9">
      <w:pPr>
        <w:spacing w:line="240" w:lineRule="auto"/>
        <w:rPr>
          <w:sz w:val="26"/>
          <w:szCs w:val="26"/>
        </w:rPr>
      </w:pPr>
    </w:p>
    <w:p w14:paraId="5BD1F55D" w14:textId="4D482468" w:rsidR="0090290E" w:rsidRPr="00BA508E" w:rsidRDefault="0090290E" w:rsidP="000D00D4">
      <w:pPr>
        <w:tabs>
          <w:tab w:val="left" w:pos="720"/>
        </w:tabs>
        <w:spacing w:line="240" w:lineRule="auto"/>
        <w:ind w:left="1440" w:right="1440" w:firstLine="0"/>
        <w:rPr>
          <w:sz w:val="26"/>
          <w:szCs w:val="26"/>
        </w:rPr>
      </w:pPr>
      <w:r w:rsidRPr="00BA508E">
        <w:rPr>
          <w:sz w:val="26"/>
          <w:szCs w:val="26"/>
        </w:rPr>
        <w:t xml:space="preserve">My </w:t>
      </w:r>
      <w:r w:rsidRPr="008C32E7">
        <w:rPr>
          <w:sz w:val="26"/>
          <w:szCs w:val="26"/>
        </w:rPr>
        <w:t>expectation was for the OCA to provide comments based upon the allegations raised by I&amp;E in the Complaint and the information obtained through discovery.  Comments based solely upon this information would have been proper since the comments would have been based upon information available to all parties throughout the course of this proceeding.  It would be improper for me to rely upon this affidavit or the accompanying exhibits, or any information contained within the comments that is derived from or references these materials, since I&amp;E and Verde never had the opportunity to cross examine this witness or to offer rebuttal testimony.  Moreover, I agree that the comments provided by the OCA</w:t>
      </w:r>
      <w:r w:rsidRPr="00BA508E">
        <w:rPr>
          <w:sz w:val="26"/>
          <w:szCs w:val="26"/>
        </w:rPr>
        <w:t xml:space="preserve"> regarding the Company’s dealings in other states is beyond the scope of this proceeding and should be stricken.</w:t>
      </w:r>
    </w:p>
    <w:p w14:paraId="775DEFE9" w14:textId="77777777" w:rsidR="003B26B5" w:rsidRDefault="003B26B5" w:rsidP="0090290E">
      <w:pPr>
        <w:ind w:firstLine="0"/>
        <w:rPr>
          <w:sz w:val="26"/>
          <w:szCs w:val="26"/>
        </w:rPr>
      </w:pPr>
    </w:p>
    <w:p w14:paraId="0657506B" w14:textId="6C403C80" w:rsidR="0090290E" w:rsidRPr="00BA508E" w:rsidRDefault="0090290E" w:rsidP="0090290E">
      <w:pPr>
        <w:ind w:firstLine="0"/>
        <w:rPr>
          <w:sz w:val="26"/>
          <w:szCs w:val="26"/>
        </w:rPr>
      </w:pPr>
      <w:r w:rsidRPr="000D00D4">
        <w:rPr>
          <w:i/>
          <w:iCs/>
          <w:sz w:val="26"/>
          <w:szCs w:val="26"/>
        </w:rPr>
        <w:t>Interim Order</w:t>
      </w:r>
      <w:r w:rsidRPr="00BA508E">
        <w:rPr>
          <w:sz w:val="26"/>
          <w:szCs w:val="26"/>
        </w:rPr>
        <w:t xml:space="preserve"> at 13.</w:t>
      </w:r>
    </w:p>
    <w:p w14:paraId="209D0593" w14:textId="25192799" w:rsidR="00467D64" w:rsidRDefault="00467D64" w:rsidP="001F1848">
      <w:pPr>
        <w:rPr>
          <w:sz w:val="26"/>
          <w:szCs w:val="26"/>
        </w:rPr>
      </w:pPr>
    </w:p>
    <w:p w14:paraId="5110E469" w14:textId="74467F89" w:rsidR="00FE6147" w:rsidRDefault="00FE6147" w:rsidP="001F1848">
      <w:pPr>
        <w:rPr>
          <w:sz w:val="26"/>
          <w:szCs w:val="26"/>
        </w:rPr>
      </w:pPr>
      <w:r>
        <w:rPr>
          <w:sz w:val="26"/>
          <w:szCs w:val="26"/>
        </w:rPr>
        <w:t>The ALJ explained th</w:t>
      </w:r>
      <w:r w:rsidR="00E612A6">
        <w:rPr>
          <w:sz w:val="26"/>
          <w:szCs w:val="26"/>
        </w:rPr>
        <w:t>a</w:t>
      </w:r>
      <w:r>
        <w:rPr>
          <w:sz w:val="26"/>
          <w:szCs w:val="26"/>
        </w:rPr>
        <w:t>t it would be improper t</w:t>
      </w:r>
      <w:r w:rsidR="00E612A6">
        <w:rPr>
          <w:sz w:val="26"/>
          <w:szCs w:val="26"/>
        </w:rPr>
        <w:t>o</w:t>
      </w:r>
      <w:r>
        <w:rPr>
          <w:sz w:val="26"/>
          <w:szCs w:val="26"/>
        </w:rPr>
        <w:t xml:space="preserve"> rely upon the OCA’s affidavit or the accompanying exhibits (or any informatio</w:t>
      </w:r>
      <w:r w:rsidR="00914ECD">
        <w:rPr>
          <w:sz w:val="26"/>
          <w:szCs w:val="26"/>
        </w:rPr>
        <w:t xml:space="preserve">n derived therefrom) since I&amp;E and Verde never had the opportunity to cross examine this witness or </w:t>
      </w:r>
      <w:r w:rsidR="007505B5">
        <w:rPr>
          <w:sz w:val="26"/>
          <w:szCs w:val="26"/>
        </w:rPr>
        <w:t>t</w:t>
      </w:r>
      <w:r w:rsidR="00914ECD">
        <w:rPr>
          <w:sz w:val="26"/>
          <w:szCs w:val="26"/>
        </w:rPr>
        <w:t xml:space="preserve">o offer rebuttal testimony.  </w:t>
      </w:r>
      <w:r w:rsidR="001D636E">
        <w:rPr>
          <w:sz w:val="26"/>
          <w:szCs w:val="26"/>
        </w:rPr>
        <w:t xml:space="preserve">Additionally, the ALJ found that the factual comments provided by </w:t>
      </w:r>
      <w:r w:rsidR="007505B5">
        <w:rPr>
          <w:sz w:val="26"/>
          <w:szCs w:val="26"/>
        </w:rPr>
        <w:t xml:space="preserve">the </w:t>
      </w:r>
      <w:r w:rsidR="001D636E">
        <w:rPr>
          <w:sz w:val="26"/>
          <w:szCs w:val="26"/>
        </w:rPr>
        <w:t xml:space="preserve">OCA regarding Verde’s corporate structure in other states was beyond the scope of this proceeding and should be stricken. </w:t>
      </w:r>
      <w:r w:rsidR="007505B5">
        <w:rPr>
          <w:sz w:val="26"/>
          <w:szCs w:val="26"/>
        </w:rPr>
        <w:t xml:space="preserve"> </w:t>
      </w:r>
      <w:r w:rsidR="000F2AF5" w:rsidRPr="000F2AF5">
        <w:rPr>
          <w:i/>
          <w:iCs/>
          <w:sz w:val="26"/>
          <w:szCs w:val="26"/>
        </w:rPr>
        <w:t>Id.</w:t>
      </w:r>
    </w:p>
    <w:p w14:paraId="43A17BDA" w14:textId="77777777" w:rsidR="00FE6147" w:rsidRPr="00BA508E" w:rsidRDefault="00FE6147" w:rsidP="001F1848">
      <w:pPr>
        <w:rPr>
          <w:sz w:val="26"/>
          <w:szCs w:val="26"/>
        </w:rPr>
      </w:pPr>
    </w:p>
    <w:p w14:paraId="2EB866BE" w14:textId="0D87A45B" w:rsidR="00E10F5A" w:rsidRPr="005A4A22" w:rsidRDefault="00995C88" w:rsidP="00B2500D">
      <w:pPr>
        <w:rPr>
          <w:sz w:val="26"/>
          <w:szCs w:val="26"/>
        </w:rPr>
      </w:pPr>
      <w:r>
        <w:rPr>
          <w:sz w:val="26"/>
          <w:szCs w:val="26"/>
        </w:rPr>
        <w:t xml:space="preserve">The ALJ </w:t>
      </w:r>
      <w:r w:rsidR="00742F36" w:rsidRPr="005A4A22">
        <w:rPr>
          <w:sz w:val="26"/>
          <w:szCs w:val="26"/>
        </w:rPr>
        <w:t xml:space="preserve">reasoned that because I&amp;E and Verde </w:t>
      </w:r>
      <w:r w:rsidR="00E10F5A" w:rsidRPr="005A4A22">
        <w:rPr>
          <w:sz w:val="26"/>
          <w:szCs w:val="26"/>
        </w:rPr>
        <w:t>ask</w:t>
      </w:r>
      <w:r w:rsidR="00742F36" w:rsidRPr="005A4A22">
        <w:rPr>
          <w:sz w:val="26"/>
          <w:szCs w:val="26"/>
        </w:rPr>
        <w:t>ed</w:t>
      </w:r>
      <w:r w:rsidR="00E10F5A" w:rsidRPr="005A4A22">
        <w:rPr>
          <w:sz w:val="26"/>
          <w:szCs w:val="26"/>
        </w:rPr>
        <w:t xml:space="preserve"> for the OCA’s input prior to filing the Settlement with the Commission, and the OCA declined the request</w:t>
      </w:r>
      <w:r w:rsidR="00742F36" w:rsidRPr="005A4A22">
        <w:rPr>
          <w:sz w:val="26"/>
          <w:szCs w:val="26"/>
        </w:rPr>
        <w:t xml:space="preserve">, that the ALJ’s role </w:t>
      </w:r>
      <w:r w:rsidR="00E10F5A" w:rsidRPr="005A4A22">
        <w:rPr>
          <w:sz w:val="26"/>
          <w:szCs w:val="26"/>
        </w:rPr>
        <w:t>at th</w:t>
      </w:r>
      <w:r w:rsidR="00742F36" w:rsidRPr="005A4A22">
        <w:rPr>
          <w:sz w:val="26"/>
          <w:szCs w:val="26"/>
        </w:rPr>
        <w:t>at</w:t>
      </w:r>
      <w:r w:rsidR="00E10F5A" w:rsidRPr="005A4A22">
        <w:rPr>
          <w:sz w:val="26"/>
          <w:szCs w:val="26"/>
        </w:rPr>
        <w:t xml:space="preserve"> point </w:t>
      </w:r>
      <w:r w:rsidR="00742F36" w:rsidRPr="005A4A22">
        <w:rPr>
          <w:sz w:val="26"/>
          <w:szCs w:val="26"/>
        </w:rPr>
        <w:t>wa</w:t>
      </w:r>
      <w:r w:rsidR="00E10F5A" w:rsidRPr="005A4A22">
        <w:rPr>
          <w:sz w:val="26"/>
          <w:szCs w:val="26"/>
        </w:rPr>
        <w:t>s simply to determine whether the Settlement should be approved as being in the public interest</w:t>
      </w:r>
      <w:r w:rsidR="00E10F5A" w:rsidRPr="005A4A22">
        <w:rPr>
          <w:i/>
          <w:iCs/>
          <w:sz w:val="26"/>
          <w:szCs w:val="26"/>
        </w:rPr>
        <w:t xml:space="preserve">.  </w:t>
      </w:r>
      <w:r w:rsidR="00742F36" w:rsidRPr="005A4A22">
        <w:rPr>
          <w:i/>
          <w:iCs/>
          <w:sz w:val="26"/>
          <w:szCs w:val="26"/>
        </w:rPr>
        <w:t>Interim Order</w:t>
      </w:r>
      <w:r w:rsidR="00742F36" w:rsidRPr="005A4A22">
        <w:rPr>
          <w:sz w:val="26"/>
          <w:szCs w:val="26"/>
        </w:rPr>
        <w:t xml:space="preserve"> at 13.</w:t>
      </w:r>
    </w:p>
    <w:p w14:paraId="2829E481" w14:textId="77777777" w:rsidR="005A4A22" w:rsidRPr="005A4A22" w:rsidRDefault="005A4A22" w:rsidP="00B2500D">
      <w:pPr>
        <w:rPr>
          <w:sz w:val="26"/>
          <w:szCs w:val="26"/>
        </w:rPr>
      </w:pPr>
    </w:p>
    <w:p w14:paraId="4F215B89" w14:textId="1F36C7C8" w:rsidR="00265A91" w:rsidRPr="005A4A22" w:rsidRDefault="00742F36" w:rsidP="00265A91">
      <w:pPr>
        <w:rPr>
          <w:sz w:val="26"/>
          <w:szCs w:val="26"/>
        </w:rPr>
      </w:pPr>
      <w:r w:rsidRPr="005A4A22">
        <w:rPr>
          <w:sz w:val="26"/>
          <w:szCs w:val="26"/>
        </w:rPr>
        <w:t>Based on the foregoing, the ALJ granted Verde’s Motion to Strike in its entirety</w:t>
      </w:r>
      <w:r w:rsidR="00265A91" w:rsidRPr="005A4A22">
        <w:rPr>
          <w:sz w:val="26"/>
          <w:szCs w:val="26"/>
        </w:rPr>
        <w:t>, and struck the following portions of the OCA’s Comments from the record:</w:t>
      </w:r>
    </w:p>
    <w:p w14:paraId="68BAB1FC" w14:textId="77777777" w:rsidR="00265A91" w:rsidRPr="005A4A22" w:rsidRDefault="00265A91" w:rsidP="002A3BC9">
      <w:pPr>
        <w:spacing w:line="240" w:lineRule="auto"/>
        <w:rPr>
          <w:sz w:val="26"/>
          <w:szCs w:val="26"/>
        </w:rPr>
      </w:pPr>
    </w:p>
    <w:p w14:paraId="1A154AF3" w14:textId="65D8360B" w:rsidR="00265A91" w:rsidRDefault="00265A91" w:rsidP="00D8768A">
      <w:pPr>
        <w:pStyle w:val="ListParagraph"/>
        <w:numPr>
          <w:ilvl w:val="0"/>
          <w:numId w:val="41"/>
        </w:numPr>
        <w:spacing w:line="240" w:lineRule="auto"/>
        <w:ind w:right="1440" w:hanging="720"/>
        <w:contextualSpacing/>
        <w:rPr>
          <w:sz w:val="26"/>
          <w:szCs w:val="26"/>
        </w:rPr>
      </w:pPr>
      <w:r w:rsidRPr="005A4A22">
        <w:rPr>
          <w:sz w:val="26"/>
          <w:szCs w:val="26"/>
        </w:rPr>
        <w:t>The affidavit of Barbara Alexander, including Exhibits BA-1 and BA-</w:t>
      </w:r>
      <w:proofErr w:type="gramStart"/>
      <w:r w:rsidRPr="005A4A22">
        <w:rPr>
          <w:sz w:val="26"/>
          <w:szCs w:val="26"/>
        </w:rPr>
        <w:t>2;</w:t>
      </w:r>
      <w:proofErr w:type="gramEnd"/>
    </w:p>
    <w:p w14:paraId="329E3A9C" w14:textId="77777777" w:rsidR="002300E8" w:rsidRPr="005A4A22" w:rsidRDefault="002300E8" w:rsidP="00D8768A">
      <w:pPr>
        <w:pStyle w:val="ListParagraph"/>
        <w:spacing w:line="240" w:lineRule="auto"/>
        <w:ind w:left="2160" w:right="1440" w:hanging="720"/>
        <w:contextualSpacing/>
        <w:rPr>
          <w:sz w:val="26"/>
          <w:szCs w:val="26"/>
        </w:rPr>
      </w:pPr>
    </w:p>
    <w:p w14:paraId="3DE91927" w14:textId="0BC14753" w:rsidR="00265A91" w:rsidRDefault="00265A91" w:rsidP="00D8768A">
      <w:pPr>
        <w:pStyle w:val="ListParagraph"/>
        <w:numPr>
          <w:ilvl w:val="0"/>
          <w:numId w:val="41"/>
        </w:numPr>
        <w:spacing w:line="240" w:lineRule="auto"/>
        <w:ind w:right="1440" w:hanging="720"/>
        <w:contextualSpacing/>
        <w:rPr>
          <w:sz w:val="26"/>
          <w:szCs w:val="26"/>
        </w:rPr>
      </w:pPr>
      <w:r w:rsidRPr="005A4A22">
        <w:rPr>
          <w:sz w:val="26"/>
          <w:szCs w:val="26"/>
        </w:rPr>
        <w:t xml:space="preserve">The OCA’s proposed findings of </w:t>
      </w:r>
      <w:proofErr w:type="gramStart"/>
      <w:r w:rsidRPr="005A4A22">
        <w:rPr>
          <w:sz w:val="26"/>
          <w:szCs w:val="26"/>
        </w:rPr>
        <w:t>fact;</w:t>
      </w:r>
      <w:proofErr w:type="gramEnd"/>
    </w:p>
    <w:p w14:paraId="10D9F8AC" w14:textId="77777777" w:rsidR="002300E8" w:rsidRPr="002A3BC9" w:rsidRDefault="002300E8" w:rsidP="00D8768A">
      <w:pPr>
        <w:spacing w:line="240" w:lineRule="auto"/>
        <w:ind w:left="2160" w:right="1440" w:hanging="720"/>
        <w:contextualSpacing/>
        <w:rPr>
          <w:sz w:val="26"/>
          <w:szCs w:val="26"/>
        </w:rPr>
      </w:pPr>
    </w:p>
    <w:p w14:paraId="3276D4F2" w14:textId="36585CE6" w:rsidR="00265A91" w:rsidRDefault="00265A91" w:rsidP="00D8768A">
      <w:pPr>
        <w:pStyle w:val="ListParagraph"/>
        <w:numPr>
          <w:ilvl w:val="0"/>
          <w:numId w:val="41"/>
        </w:numPr>
        <w:spacing w:line="240" w:lineRule="auto"/>
        <w:ind w:right="1440" w:hanging="720"/>
        <w:contextualSpacing/>
        <w:rPr>
          <w:sz w:val="26"/>
          <w:szCs w:val="26"/>
        </w:rPr>
      </w:pPr>
      <w:r w:rsidRPr="005A4A22">
        <w:rPr>
          <w:sz w:val="26"/>
          <w:szCs w:val="26"/>
        </w:rPr>
        <w:t xml:space="preserve">The OCA’s discussion of Verde ownership structure, affiliates and operations in other states, and vendors; and </w:t>
      </w:r>
    </w:p>
    <w:p w14:paraId="76F0B79F" w14:textId="77777777" w:rsidR="002300E8" w:rsidRPr="005A4A22" w:rsidRDefault="002300E8" w:rsidP="00D8768A">
      <w:pPr>
        <w:pStyle w:val="ListParagraph"/>
        <w:spacing w:line="240" w:lineRule="auto"/>
        <w:ind w:left="2160" w:right="1440" w:hanging="720"/>
        <w:contextualSpacing/>
        <w:rPr>
          <w:sz w:val="26"/>
          <w:szCs w:val="26"/>
        </w:rPr>
      </w:pPr>
    </w:p>
    <w:p w14:paraId="0FD9300E" w14:textId="611C59A3" w:rsidR="00265A91" w:rsidRPr="00C92DB2" w:rsidRDefault="00265A91" w:rsidP="00D8768A">
      <w:pPr>
        <w:pStyle w:val="ListParagraph"/>
        <w:keepNext/>
        <w:numPr>
          <w:ilvl w:val="0"/>
          <w:numId w:val="41"/>
        </w:numPr>
        <w:spacing w:line="240" w:lineRule="auto"/>
        <w:ind w:right="1440" w:hanging="720"/>
        <w:contextualSpacing/>
        <w:rPr>
          <w:sz w:val="26"/>
          <w:szCs w:val="26"/>
        </w:rPr>
      </w:pPr>
      <w:r w:rsidRPr="005A4A22">
        <w:rPr>
          <w:sz w:val="26"/>
          <w:szCs w:val="26"/>
        </w:rPr>
        <w:t>All citations to “Affidavit” and/or its Exhibits, and Ms. Alexander’s opinions throughout the comments; and</w:t>
      </w:r>
    </w:p>
    <w:p w14:paraId="7ED51B4C" w14:textId="77777777" w:rsidR="004F0D25" w:rsidRPr="005A4A22" w:rsidRDefault="004F0D25" w:rsidP="00D8768A">
      <w:pPr>
        <w:keepNext/>
        <w:rPr>
          <w:sz w:val="26"/>
          <w:szCs w:val="26"/>
        </w:rPr>
      </w:pPr>
    </w:p>
    <w:p w14:paraId="27AE952E" w14:textId="3A3CBF70" w:rsidR="001F1848" w:rsidRPr="005A4A22" w:rsidRDefault="00265A91" w:rsidP="00A571CE">
      <w:pPr>
        <w:keepNext/>
        <w:ind w:firstLine="0"/>
        <w:rPr>
          <w:sz w:val="26"/>
          <w:szCs w:val="26"/>
        </w:rPr>
      </w:pPr>
      <w:r w:rsidRPr="005A4A22">
        <w:rPr>
          <w:i/>
          <w:iCs/>
          <w:sz w:val="26"/>
          <w:szCs w:val="26"/>
        </w:rPr>
        <w:t>Interim Order</w:t>
      </w:r>
      <w:r w:rsidRPr="005A4A22">
        <w:rPr>
          <w:sz w:val="26"/>
          <w:szCs w:val="26"/>
        </w:rPr>
        <w:t xml:space="preserve"> at 13, 14.</w:t>
      </w:r>
    </w:p>
    <w:p w14:paraId="4789023B" w14:textId="77777777" w:rsidR="00265A91" w:rsidRPr="001F1848" w:rsidRDefault="00265A91" w:rsidP="00A571CE">
      <w:pPr>
        <w:ind w:firstLine="0"/>
        <w:rPr>
          <w:sz w:val="26"/>
          <w:szCs w:val="26"/>
        </w:rPr>
      </w:pPr>
    </w:p>
    <w:p w14:paraId="5CD624F7" w14:textId="5B072F0B" w:rsidR="00983522" w:rsidRPr="001F1848" w:rsidRDefault="00983522" w:rsidP="00A571CE">
      <w:pPr>
        <w:pStyle w:val="Heading2"/>
        <w:ind w:left="720" w:hanging="720"/>
      </w:pPr>
      <w:r w:rsidRPr="001F1848">
        <w:t>Positions of the Parties</w:t>
      </w:r>
    </w:p>
    <w:p w14:paraId="1E55098D" w14:textId="77777777" w:rsidR="00983522" w:rsidRPr="00BC3D6E" w:rsidRDefault="00983522" w:rsidP="00A571CE">
      <w:pPr>
        <w:keepNext/>
        <w:keepLines/>
        <w:ind w:firstLine="0"/>
        <w:rPr>
          <w:b/>
          <w:sz w:val="26"/>
          <w:szCs w:val="26"/>
        </w:rPr>
      </w:pPr>
    </w:p>
    <w:p w14:paraId="3F5C1654" w14:textId="339F3738" w:rsidR="00DD31FF" w:rsidRPr="00BC3D6E" w:rsidRDefault="00983522" w:rsidP="00A571CE">
      <w:pPr>
        <w:keepNext/>
        <w:keepLines/>
        <w:ind w:left="720" w:firstLine="0"/>
        <w:rPr>
          <w:b/>
          <w:sz w:val="26"/>
          <w:szCs w:val="26"/>
        </w:rPr>
      </w:pPr>
      <w:r w:rsidRPr="00BC3D6E">
        <w:rPr>
          <w:b/>
          <w:sz w:val="26"/>
          <w:szCs w:val="26"/>
        </w:rPr>
        <w:t>1.</w:t>
      </w:r>
      <w:r w:rsidRPr="00BC3D6E">
        <w:rPr>
          <w:b/>
          <w:sz w:val="26"/>
          <w:szCs w:val="26"/>
        </w:rPr>
        <w:tab/>
      </w:r>
      <w:r w:rsidR="0052046C">
        <w:rPr>
          <w:b/>
          <w:sz w:val="26"/>
          <w:szCs w:val="26"/>
        </w:rPr>
        <w:t>OCA</w:t>
      </w:r>
    </w:p>
    <w:p w14:paraId="4AD15F85" w14:textId="77777777" w:rsidR="00521391" w:rsidRPr="00BC3D6E" w:rsidRDefault="00521391" w:rsidP="00A571CE">
      <w:pPr>
        <w:keepNext/>
        <w:keepLines/>
        <w:ind w:firstLine="0"/>
        <w:rPr>
          <w:b/>
          <w:sz w:val="26"/>
          <w:szCs w:val="26"/>
        </w:rPr>
      </w:pPr>
    </w:p>
    <w:p w14:paraId="5C0364A2" w14:textId="0FE91238" w:rsidR="00C131E7" w:rsidRDefault="0052046C" w:rsidP="00A571CE">
      <w:pPr>
        <w:rPr>
          <w:sz w:val="26"/>
          <w:szCs w:val="26"/>
        </w:rPr>
      </w:pPr>
      <w:r w:rsidRPr="004A61D5">
        <w:rPr>
          <w:sz w:val="26"/>
          <w:szCs w:val="26"/>
        </w:rPr>
        <w:t>The OCA</w:t>
      </w:r>
      <w:r w:rsidR="00444203" w:rsidRPr="004A61D5">
        <w:rPr>
          <w:sz w:val="26"/>
          <w:szCs w:val="26"/>
        </w:rPr>
        <w:t xml:space="preserve"> </w:t>
      </w:r>
      <w:r w:rsidR="00CC5D02" w:rsidRPr="004A61D5">
        <w:rPr>
          <w:sz w:val="26"/>
          <w:szCs w:val="26"/>
        </w:rPr>
        <w:t>argue</w:t>
      </w:r>
      <w:r w:rsidR="00405351" w:rsidRPr="004A61D5">
        <w:rPr>
          <w:sz w:val="26"/>
          <w:szCs w:val="26"/>
        </w:rPr>
        <w:t>s</w:t>
      </w:r>
      <w:r w:rsidR="00CC5D02" w:rsidRPr="004A61D5">
        <w:rPr>
          <w:sz w:val="26"/>
          <w:szCs w:val="26"/>
        </w:rPr>
        <w:t xml:space="preserve"> </w:t>
      </w:r>
      <w:r w:rsidR="00B72089" w:rsidRPr="004A61D5">
        <w:rPr>
          <w:sz w:val="26"/>
          <w:szCs w:val="26"/>
        </w:rPr>
        <w:t xml:space="preserve">that it was reversable legal error for the ALJ to </w:t>
      </w:r>
      <w:r w:rsidR="00DD5BC3" w:rsidRPr="004A61D5">
        <w:rPr>
          <w:sz w:val="26"/>
          <w:szCs w:val="26"/>
        </w:rPr>
        <w:t xml:space="preserve">grant Verde’s Motion to Strike.  The OCA submits that its Comments referencing Ms. Alexander’s Affidavit, attachments, and the OCA’s Findings of Facts are relevant and admissible in this proceeding and due process requires the evidence to go before the ALJ and the Commission for consideration in determining whether the proposed Settlement should be approved.  </w:t>
      </w:r>
      <w:r w:rsidR="005C606A">
        <w:rPr>
          <w:sz w:val="26"/>
          <w:szCs w:val="26"/>
        </w:rPr>
        <w:t>T</w:t>
      </w:r>
      <w:r w:rsidR="00DD5BC3" w:rsidRPr="004A61D5">
        <w:rPr>
          <w:sz w:val="26"/>
          <w:szCs w:val="26"/>
        </w:rPr>
        <w:t xml:space="preserve">he </w:t>
      </w:r>
      <w:r w:rsidR="005C606A">
        <w:rPr>
          <w:sz w:val="26"/>
          <w:szCs w:val="26"/>
        </w:rPr>
        <w:t xml:space="preserve">OCA’s witness Barbara Alexander’s written and </w:t>
      </w:r>
      <w:proofErr w:type="gramStart"/>
      <w:r w:rsidR="005C606A">
        <w:rPr>
          <w:sz w:val="26"/>
          <w:szCs w:val="26"/>
        </w:rPr>
        <w:t xml:space="preserve">sworn </w:t>
      </w:r>
      <w:r w:rsidR="00DD5BC3" w:rsidRPr="004A61D5">
        <w:rPr>
          <w:sz w:val="26"/>
          <w:szCs w:val="26"/>
        </w:rPr>
        <w:t>Affidavit</w:t>
      </w:r>
      <w:proofErr w:type="gramEnd"/>
      <w:r w:rsidR="00DD5BC3" w:rsidRPr="004A61D5">
        <w:rPr>
          <w:sz w:val="26"/>
          <w:szCs w:val="26"/>
        </w:rPr>
        <w:t xml:space="preserve"> contains facts and findings developed by the OCA during discovery and are based on</w:t>
      </w:r>
      <w:r w:rsidR="002E08B5">
        <w:rPr>
          <w:sz w:val="26"/>
          <w:szCs w:val="26"/>
        </w:rPr>
        <w:t>:</w:t>
      </w:r>
      <w:r w:rsidR="005C414B">
        <w:rPr>
          <w:sz w:val="26"/>
          <w:szCs w:val="26"/>
        </w:rPr>
        <w:t xml:space="preserve"> </w:t>
      </w:r>
      <w:r w:rsidR="002E08B5">
        <w:rPr>
          <w:sz w:val="26"/>
          <w:szCs w:val="26"/>
        </w:rPr>
        <w:t>(1)</w:t>
      </w:r>
      <w:r w:rsidR="00DD5BC3" w:rsidRPr="004A61D5">
        <w:rPr>
          <w:sz w:val="26"/>
          <w:szCs w:val="26"/>
        </w:rPr>
        <w:t xml:space="preserve"> discovery responses provided by Verde</w:t>
      </w:r>
      <w:r w:rsidR="002E08B5">
        <w:rPr>
          <w:sz w:val="26"/>
          <w:szCs w:val="26"/>
        </w:rPr>
        <w:t>; (2)</w:t>
      </w:r>
      <w:r w:rsidR="00DD5BC3" w:rsidRPr="004A61D5">
        <w:rPr>
          <w:sz w:val="26"/>
          <w:szCs w:val="26"/>
        </w:rPr>
        <w:t xml:space="preserve"> the information obtained by I&amp;E that formed the basis of the Formal Complaint</w:t>
      </w:r>
      <w:r w:rsidR="002E08B5">
        <w:rPr>
          <w:sz w:val="26"/>
          <w:szCs w:val="26"/>
        </w:rPr>
        <w:t>;</w:t>
      </w:r>
      <w:r w:rsidR="00DD5BC3" w:rsidRPr="004A61D5">
        <w:rPr>
          <w:sz w:val="26"/>
          <w:szCs w:val="26"/>
        </w:rPr>
        <w:t xml:space="preserve"> or</w:t>
      </w:r>
      <w:r w:rsidR="002E08B5">
        <w:rPr>
          <w:sz w:val="26"/>
          <w:szCs w:val="26"/>
        </w:rPr>
        <w:t xml:space="preserve"> (3)</w:t>
      </w:r>
      <w:r w:rsidR="00DD5BC3" w:rsidRPr="004A61D5">
        <w:rPr>
          <w:sz w:val="26"/>
          <w:szCs w:val="26"/>
        </w:rPr>
        <w:t xml:space="preserve"> public documents concerning Verde, its parent</w:t>
      </w:r>
      <w:r w:rsidR="00256793">
        <w:rPr>
          <w:sz w:val="26"/>
          <w:szCs w:val="26"/>
        </w:rPr>
        <w:t>,</w:t>
      </w:r>
      <w:r w:rsidR="00DD5BC3" w:rsidRPr="004A61D5">
        <w:rPr>
          <w:sz w:val="26"/>
          <w:szCs w:val="26"/>
        </w:rPr>
        <w:t xml:space="preserve"> and </w:t>
      </w:r>
      <w:r w:rsidR="00256793">
        <w:rPr>
          <w:sz w:val="26"/>
          <w:szCs w:val="26"/>
        </w:rPr>
        <w:t xml:space="preserve">its </w:t>
      </w:r>
      <w:r w:rsidR="00DD5BC3" w:rsidRPr="004A61D5">
        <w:rPr>
          <w:sz w:val="26"/>
          <w:szCs w:val="26"/>
        </w:rPr>
        <w:t>affiliates.</w:t>
      </w:r>
      <w:r w:rsidR="00A44052">
        <w:rPr>
          <w:sz w:val="26"/>
          <w:szCs w:val="26"/>
        </w:rPr>
        <w:t xml:space="preserve"> </w:t>
      </w:r>
      <w:r w:rsidR="002E08B5">
        <w:rPr>
          <w:sz w:val="26"/>
          <w:szCs w:val="26"/>
        </w:rPr>
        <w:t xml:space="preserve"> </w:t>
      </w:r>
      <w:r w:rsidR="002A4CA5" w:rsidRPr="00A44052">
        <w:rPr>
          <w:sz w:val="26"/>
          <w:szCs w:val="26"/>
        </w:rPr>
        <w:t>OCA Brief in Support at 1-2</w:t>
      </w:r>
      <w:r w:rsidR="002A6D2E">
        <w:rPr>
          <w:sz w:val="26"/>
          <w:szCs w:val="26"/>
        </w:rPr>
        <w:t>, 6-12</w:t>
      </w:r>
      <w:r w:rsidR="002A4CA5" w:rsidRPr="00A44052">
        <w:rPr>
          <w:sz w:val="26"/>
          <w:szCs w:val="26"/>
        </w:rPr>
        <w:t>.</w:t>
      </w:r>
      <w:r w:rsidR="00A44052">
        <w:rPr>
          <w:sz w:val="26"/>
          <w:szCs w:val="26"/>
        </w:rPr>
        <w:t xml:space="preserve"> </w:t>
      </w:r>
      <w:r w:rsidR="008E42F8">
        <w:rPr>
          <w:sz w:val="26"/>
          <w:szCs w:val="26"/>
        </w:rPr>
        <w:t xml:space="preserve"> </w:t>
      </w:r>
      <w:proofErr w:type="gramStart"/>
      <w:r w:rsidR="008E42F8">
        <w:rPr>
          <w:sz w:val="26"/>
          <w:szCs w:val="26"/>
        </w:rPr>
        <w:t>All of</w:t>
      </w:r>
      <w:proofErr w:type="gramEnd"/>
      <w:r w:rsidR="008E42F8">
        <w:rPr>
          <w:sz w:val="26"/>
          <w:szCs w:val="26"/>
        </w:rPr>
        <w:t xml:space="preserve"> the information was available to Verde and I&amp;E. </w:t>
      </w:r>
    </w:p>
    <w:p w14:paraId="596DD31B" w14:textId="77777777" w:rsidR="00C131E7" w:rsidRDefault="00C131E7" w:rsidP="00DD5BC3">
      <w:pPr>
        <w:rPr>
          <w:sz w:val="26"/>
          <w:szCs w:val="26"/>
        </w:rPr>
      </w:pPr>
    </w:p>
    <w:p w14:paraId="3A2B0300" w14:textId="310A7DE8" w:rsidR="00C131E7" w:rsidRDefault="00DD5BC3" w:rsidP="00DD5BC3">
      <w:pPr>
        <w:rPr>
          <w:sz w:val="26"/>
          <w:szCs w:val="26"/>
        </w:rPr>
      </w:pPr>
      <w:r w:rsidRPr="004A61D5">
        <w:rPr>
          <w:sz w:val="26"/>
          <w:szCs w:val="26"/>
        </w:rPr>
        <w:t xml:space="preserve">The </w:t>
      </w:r>
      <w:r w:rsidR="00C131E7">
        <w:rPr>
          <w:sz w:val="26"/>
          <w:szCs w:val="26"/>
        </w:rPr>
        <w:t xml:space="preserve">OCA submits that the </w:t>
      </w:r>
      <w:r w:rsidRPr="004A61D5">
        <w:rPr>
          <w:sz w:val="26"/>
          <w:szCs w:val="26"/>
        </w:rPr>
        <w:t>information</w:t>
      </w:r>
      <w:r w:rsidR="00C131E7">
        <w:rPr>
          <w:sz w:val="26"/>
          <w:szCs w:val="26"/>
        </w:rPr>
        <w:t xml:space="preserve"> it</w:t>
      </w:r>
      <w:r w:rsidRPr="004A61D5">
        <w:rPr>
          <w:sz w:val="26"/>
          <w:szCs w:val="26"/>
        </w:rPr>
        <w:t xml:space="preserve"> presented supports the OCA’s substantive opposition to the proposed Settlement and provides the necessary information for the Commission to conduct a full and complete analysis of the proposed Settlement, and whether the proposed Settlement serves the public interest. </w:t>
      </w:r>
      <w:r w:rsidR="007F5F3E">
        <w:rPr>
          <w:sz w:val="26"/>
          <w:szCs w:val="26"/>
        </w:rPr>
        <w:t xml:space="preserve"> </w:t>
      </w:r>
      <w:r w:rsidRPr="004A61D5">
        <w:rPr>
          <w:sz w:val="26"/>
          <w:szCs w:val="26"/>
        </w:rPr>
        <w:t xml:space="preserve">Specifically, the Affidavit and the Findings of Fact, provide relevant background information, </w:t>
      </w:r>
      <w:r w:rsidRPr="004A61D5">
        <w:rPr>
          <w:i/>
          <w:sz w:val="26"/>
          <w:szCs w:val="26"/>
        </w:rPr>
        <w:t>inter alia</w:t>
      </w:r>
      <w:r w:rsidRPr="004A61D5">
        <w:rPr>
          <w:sz w:val="26"/>
          <w:szCs w:val="26"/>
        </w:rPr>
        <w:t>, on Verde’s ownership structure, Verde’s and its affiliate’s history of similar allegations and proceedings in other jurisdictions, and Verde’s use and management of third-party vendors in Pennsylvania.  Th</w:t>
      </w:r>
      <w:r w:rsidR="00C131E7">
        <w:rPr>
          <w:sz w:val="26"/>
          <w:szCs w:val="26"/>
        </w:rPr>
        <w:t>e OCA submits that this</w:t>
      </w:r>
      <w:r w:rsidRPr="004A61D5">
        <w:rPr>
          <w:sz w:val="26"/>
          <w:szCs w:val="26"/>
        </w:rPr>
        <w:t xml:space="preserve"> information is necessary to understanding the OCA’s substantive issues with the Settlement and its potential implementation. </w:t>
      </w:r>
      <w:r w:rsidR="00730724">
        <w:rPr>
          <w:sz w:val="26"/>
          <w:szCs w:val="26"/>
        </w:rPr>
        <w:t xml:space="preserve"> </w:t>
      </w:r>
      <w:r w:rsidRPr="004A61D5">
        <w:rPr>
          <w:sz w:val="26"/>
          <w:szCs w:val="26"/>
        </w:rPr>
        <w:t xml:space="preserve">Importantly, the OCA’s </w:t>
      </w:r>
      <w:r w:rsidRPr="00A44052">
        <w:rPr>
          <w:sz w:val="26"/>
          <w:szCs w:val="26"/>
        </w:rPr>
        <w:t xml:space="preserve">identification of </w:t>
      </w:r>
      <w:r w:rsidRPr="00C76DA1">
        <w:rPr>
          <w:sz w:val="26"/>
          <w:szCs w:val="26"/>
        </w:rPr>
        <w:t>specific deficiencies in the Settlement in S</w:t>
      </w:r>
      <w:bookmarkStart w:id="3" w:name="_BA_Cite_983DB3_000119"/>
      <w:bookmarkEnd w:id="3"/>
      <w:r w:rsidRPr="00C76DA1">
        <w:rPr>
          <w:sz w:val="26"/>
          <w:szCs w:val="26"/>
        </w:rPr>
        <w:t>ection V of its Comments is supported by the facts</w:t>
      </w:r>
      <w:r w:rsidRPr="00A44052">
        <w:rPr>
          <w:sz w:val="26"/>
          <w:szCs w:val="26"/>
        </w:rPr>
        <w:t xml:space="preserve"> it was able to develop in the limited discovery it was able to conduct.  </w:t>
      </w:r>
      <w:r w:rsidR="002A4CA5" w:rsidRPr="00A44052">
        <w:rPr>
          <w:sz w:val="26"/>
          <w:szCs w:val="26"/>
        </w:rPr>
        <w:t>OCA Brief in Support at 1-2</w:t>
      </w:r>
      <w:r w:rsidR="002A6D2E">
        <w:rPr>
          <w:sz w:val="26"/>
          <w:szCs w:val="26"/>
        </w:rPr>
        <w:t>, 6-12</w:t>
      </w:r>
      <w:r w:rsidR="002A4CA5" w:rsidRPr="00A44052">
        <w:rPr>
          <w:sz w:val="26"/>
          <w:szCs w:val="26"/>
        </w:rPr>
        <w:t>.</w:t>
      </w:r>
    </w:p>
    <w:p w14:paraId="017D349C" w14:textId="77777777" w:rsidR="00C131E7" w:rsidRDefault="00C131E7" w:rsidP="00DD5BC3">
      <w:pPr>
        <w:rPr>
          <w:sz w:val="26"/>
          <w:szCs w:val="26"/>
        </w:rPr>
      </w:pPr>
    </w:p>
    <w:p w14:paraId="705EE06B" w14:textId="5E138BF5" w:rsidR="00DD5BC3" w:rsidRDefault="00C131E7" w:rsidP="00DD5BC3">
      <w:pPr>
        <w:rPr>
          <w:sz w:val="26"/>
          <w:szCs w:val="26"/>
        </w:rPr>
      </w:pPr>
      <w:r>
        <w:rPr>
          <w:sz w:val="26"/>
          <w:szCs w:val="26"/>
        </w:rPr>
        <w:t>The OCA submits that t</w:t>
      </w:r>
      <w:r w:rsidR="00DD5BC3" w:rsidRPr="00A44052">
        <w:rPr>
          <w:sz w:val="26"/>
          <w:szCs w:val="26"/>
        </w:rPr>
        <w:t xml:space="preserve">he Stipulation of Facts jointly filed by I&amp;E and Verde did not contain many of the pertinent facts which the OCA included with its Comments to demonstrate why the proposed Settlement falls short of serving the public interest or misstated other facts relating to this proceeding.  Without the ability to present substantive Comments on the contested proposed settlement and the facts and evidence supporting those substantive comments, the OCA is not provided a meaningful opportunity to be heard in this proceeding in violation of its due process rights.  The substantial prejudice stemming from the ALJ’s legal error </w:t>
      </w:r>
      <w:proofErr w:type="gramStart"/>
      <w:r w:rsidR="00DD5BC3" w:rsidRPr="00A44052">
        <w:rPr>
          <w:sz w:val="26"/>
          <w:szCs w:val="26"/>
        </w:rPr>
        <w:t>in regard to</w:t>
      </w:r>
      <w:proofErr w:type="gramEnd"/>
      <w:r w:rsidR="00DD5BC3" w:rsidRPr="00A44052">
        <w:rPr>
          <w:sz w:val="26"/>
          <w:szCs w:val="26"/>
        </w:rPr>
        <w:t xml:space="preserve"> the OCA’s stricken evidence cannot be cured during the normal Commission review process in the proceeding.</w:t>
      </w:r>
      <w:r w:rsidR="00164961" w:rsidRPr="00A44052">
        <w:rPr>
          <w:sz w:val="26"/>
          <w:szCs w:val="26"/>
        </w:rPr>
        <w:t xml:space="preserve">  OCA Brief in Support at </w:t>
      </w:r>
      <w:r w:rsidR="004A61D5" w:rsidRPr="00A44052">
        <w:rPr>
          <w:sz w:val="26"/>
          <w:szCs w:val="26"/>
        </w:rPr>
        <w:t>1-2</w:t>
      </w:r>
      <w:r w:rsidR="002A6D2E">
        <w:rPr>
          <w:sz w:val="26"/>
          <w:szCs w:val="26"/>
        </w:rPr>
        <w:t>, 6-12</w:t>
      </w:r>
      <w:r w:rsidR="004A61D5" w:rsidRPr="00A44052">
        <w:rPr>
          <w:sz w:val="26"/>
          <w:szCs w:val="26"/>
        </w:rPr>
        <w:t>.</w:t>
      </w:r>
    </w:p>
    <w:p w14:paraId="742AB46A" w14:textId="25583ED8" w:rsidR="00317491" w:rsidRDefault="00317491" w:rsidP="00DD5BC3">
      <w:pPr>
        <w:rPr>
          <w:sz w:val="26"/>
          <w:szCs w:val="26"/>
        </w:rPr>
      </w:pPr>
    </w:p>
    <w:p w14:paraId="67BF74DF" w14:textId="3C7B659E" w:rsidR="002A4CA5" w:rsidRDefault="00317491" w:rsidP="002A4CA5">
      <w:pPr>
        <w:rPr>
          <w:sz w:val="26"/>
          <w:szCs w:val="26"/>
        </w:rPr>
      </w:pPr>
      <w:r w:rsidRPr="002A4CA5">
        <w:rPr>
          <w:sz w:val="26"/>
          <w:szCs w:val="26"/>
        </w:rPr>
        <w:t xml:space="preserve">The OCA </w:t>
      </w:r>
      <w:r w:rsidR="002A4CA5" w:rsidRPr="002A4CA5">
        <w:rPr>
          <w:sz w:val="26"/>
          <w:szCs w:val="26"/>
        </w:rPr>
        <w:t>argues that in</w:t>
      </w:r>
      <w:r w:rsidRPr="002A4CA5">
        <w:rPr>
          <w:sz w:val="26"/>
          <w:szCs w:val="26"/>
        </w:rPr>
        <w:t xml:space="preserve"> </w:t>
      </w:r>
      <w:r w:rsidR="002A4CA5" w:rsidRPr="002A4CA5">
        <w:rPr>
          <w:i/>
          <w:iCs/>
          <w:sz w:val="26"/>
          <w:szCs w:val="26"/>
        </w:rPr>
        <w:t>P</w:t>
      </w:r>
      <w:bookmarkStart w:id="4" w:name="_BA_Cite_983DB3_000025"/>
      <w:bookmarkEnd w:id="4"/>
      <w:r w:rsidR="002A4CA5" w:rsidRPr="002A4CA5">
        <w:rPr>
          <w:i/>
          <w:iCs/>
          <w:sz w:val="26"/>
          <w:szCs w:val="26"/>
        </w:rPr>
        <w:t>opowsky v. Pa. PUC</w:t>
      </w:r>
      <w:r w:rsidR="002A4CA5" w:rsidRPr="002A4CA5">
        <w:rPr>
          <w:sz w:val="26"/>
          <w:szCs w:val="26"/>
        </w:rPr>
        <w:t>, 805 A.2d 637, 643 (Pa.</w:t>
      </w:r>
      <w:r w:rsidR="002A3BC9">
        <w:rPr>
          <w:sz w:val="26"/>
          <w:szCs w:val="26"/>
        </w:rPr>
        <w:t> </w:t>
      </w:r>
      <w:r w:rsidR="002A4CA5" w:rsidRPr="002A4CA5">
        <w:rPr>
          <w:sz w:val="26"/>
          <w:szCs w:val="26"/>
        </w:rPr>
        <w:t>C</w:t>
      </w:r>
      <w:r w:rsidR="002A3BC9">
        <w:rPr>
          <w:sz w:val="26"/>
          <w:szCs w:val="26"/>
        </w:rPr>
        <w:t>mwlth.</w:t>
      </w:r>
      <w:r w:rsidR="002A4CA5" w:rsidRPr="002A4CA5">
        <w:rPr>
          <w:sz w:val="26"/>
          <w:szCs w:val="26"/>
        </w:rPr>
        <w:t xml:space="preserve"> 2002) (</w:t>
      </w:r>
      <w:r w:rsidR="002A4CA5" w:rsidRPr="002A4CA5">
        <w:rPr>
          <w:i/>
          <w:iCs/>
          <w:sz w:val="26"/>
          <w:szCs w:val="26"/>
        </w:rPr>
        <w:t>Popowsky</w:t>
      </w:r>
      <w:r w:rsidR="002A4CA5" w:rsidRPr="002A4CA5">
        <w:rPr>
          <w:sz w:val="26"/>
          <w:szCs w:val="26"/>
        </w:rPr>
        <w:t>), the Commonwealth Court found that the provisions of S</w:t>
      </w:r>
      <w:bookmarkStart w:id="5" w:name="_BA_Cite_983DB3_000123"/>
      <w:bookmarkEnd w:id="5"/>
      <w:r w:rsidR="002A4CA5" w:rsidRPr="002A4CA5">
        <w:rPr>
          <w:sz w:val="26"/>
          <w:szCs w:val="26"/>
        </w:rPr>
        <w:t>ection 703 “clearly envisioned a full hearing, including the development of a record and a decision by the Commission based on that hearing with full findings” and that “the allowance by the Commission to submit comments without the opportunity to present evidence or cross-examine witnesses did not constitute a meaningful opportunity to be heard as provided in C</w:t>
      </w:r>
      <w:bookmarkStart w:id="6" w:name="_BA_Cite_983DB3_000125"/>
      <w:bookmarkEnd w:id="6"/>
      <w:r w:rsidR="002A4CA5" w:rsidRPr="002A4CA5">
        <w:rPr>
          <w:sz w:val="26"/>
          <w:szCs w:val="26"/>
        </w:rPr>
        <w:t xml:space="preserve">hapter 7 of the Public Utility Code or due process.”  The OCA submits that although </w:t>
      </w:r>
      <w:r w:rsidR="002A4CA5" w:rsidRPr="002A4CA5">
        <w:rPr>
          <w:i/>
          <w:iCs/>
          <w:sz w:val="26"/>
          <w:szCs w:val="26"/>
        </w:rPr>
        <w:t>P</w:t>
      </w:r>
      <w:bookmarkStart w:id="7" w:name="_BA_Cite_983DB3_000083"/>
      <w:bookmarkEnd w:id="7"/>
      <w:r w:rsidR="002A4CA5" w:rsidRPr="002A4CA5">
        <w:rPr>
          <w:i/>
          <w:iCs/>
          <w:sz w:val="26"/>
          <w:szCs w:val="26"/>
        </w:rPr>
        <w:t>opowsky</w:t>
      </w:r>
      <w:r w:rsidR="002A4CA5" w:rsidRPr="002A4CA5">
        <w:rPr>
          <w:sz w:val="26"/>
          <w:szCs w:val="26"/>
        </w:rPr>
        <w:t xml:space="preserve"> involved S</w:t>
      </w:r>
      <w:bookmarkStart w:id="8" w:name="_BA_Cite_983DB3_000127"/>
      <w:bookmarkEnd w:id="8"/>
      <w:r w:rsidR="002A4CA5" w:rsidRPr="002A4CA5">
        <w:rPr>
          <w:sz w:val="26"/>
          <w:szCs w:val="26"/>
        </w:rPr>
        <w:t>ection 703(g) of the Code regarding the rescission and amendment of orders, the provision refers to the “notice and opportunity to be heard” safeguard as provided in C</w:t>
      </w:r>
      <w:bookmarkStart w:id="9" w:name="_BA_Cite_983DB3_000129"/>
      <w:bookmarkEnd w:id="9"/>
      <w:r w:rsidR="002A4CA5" w:rsidRPr="002A4CA5">
        <w:rPr>
          <w:sz w:val="26"/>
          <w:szCs w:val="26"/>
        </w:rPr>
        <w:t>hapter 7 entirely implying that the safeguard applies to all Complaints under C</w:t>
      </w:r>
      <w:bookmarkStart w:id="10" w:name="_BA_Cite_983DB3_000131"/>
      <w:bookmarkEnd w:id="10"/>
      <w:r w:rsidR="002A4CA5" w:rsidRPr="002A4CA5">
        <w:rPr>
          <w:sz w:val="26"/>
          <w:szCs w:val="26"/>
        </w:rPr>
        <w:t xml:space="preserve">hapter 7.  OCA Brief in Support at 6. </w:t>
      </w:r>
    </w:p>
    <w:p w14:paraId="64F635D6" w14:textId="77777777" w:rsidR="006934AE" w:rsidRPr="002A4CA5" w:rsidRDefault="006934AE" w:rsidP="002A4CA5">
      <w:pPr>
        <w:rPr>
          <w:sz w:val="26"/>
          <w:szCs w:val="26"/>
        </w:rPr>
      </w:pPr>
    </w:p>
    <w:p w14:paraId="07F58DD3" w14:textId="6232EFD2" w:rsidR="00C1568D" w:rsidRPr="00BC3D6E" w:rsidRDefault="00DB55F0" w:rsidP="00CD025A">
      <w:pPr>
        <w:adjustRightInd w:val="0"/>
        <w:rPr>
          <w:sz w:val="26"/>
          <w:szCs w:val="26"/>
        </w:rPr>
      </w:pPr>
      <w:r w:rsidRPr="004C2C12">
        <w:rPr>
          <w:sz w:val="26"/>
          <w:szCs w:val="26"/>
        </w:rPr>
        <w:t xml:space="preserve">The </w:t>
      </w:r>
      <w:r w:rsidR="00BF0B3F">
        <w:rPr>
          <w:sz w:val="26"/>
          <w:szCs w:val="26"/>
        </w:rPr>
        <w:t>OCA</w:t>
      </w:r>
      <w:r w:rsidR="00E33A20">
        <w:rPr>
          <w:sz w:val="26"/>
          <w:szCs w:val="26"/>
        </w:rPr>
        <w:t xml:space="preserve"> </w:t>
      </w:r>
      <w:r w:rsidR="00A329DA" w:rsidRPr="004C2C12">
        <w:rPr>
          <w:sz w:val="26"/>
          <w:szCs w:val="26"/>
        </w:rPr>
        <w:t>assert</w:t>
      </w:r>
      <w:r w:rsidR="00E33A20">
        <w:rPr>
          <w:sz w:val="26"/>
          <w:szCs w:val="26"/>
        </w:rPr>
        <w:t>s</w:t>
      </w:r>
      <w:r w:rsidR="00A329DA" w:rsidRPr="004C2C12">
        <w:rPr>
          <w:sz w:val="26"/>
          <w:szCs w:val="26"/>
        </w:rPr>
        <w:t xml:space="preserve"> </w:t>
      </w:r>
      <w:r w:rsidR="00280CAD" w:rsidRPr="00CD025A">
        <w:rPr>
          <w:sz w:val="26"/>
          <w:szCs w:val="26"/>
        </w:rPr>
        <w:t xml:space="preserve">that </w:t>
      </w:r>
      <w:r w:rsidR="00A329DA" w:rsidRPr="00CD025A">
        <w:rPr>
          <w:sz w:val="26"/>
          <w:szCs w:val="26"/>
        </w:rPr>
        <w:t xml:space="preserve">the </w:t>
      </w:r>
      <w:r w:rsidR="00F55644" w:rsidRPr="00CD025A">
        <w:rPr>
          <w:sz w:val="26"/>
          <w:szCs w:val="26"/>
        </w:rPr>
        <w:t>Commission</w:t>
      </w:r>
      <w:r w:rsidR="00434034" w:rsidRPr="00CD025A">
        <w:rPr>
          <w:sz w:val="26"/>
          <w:szCs w:val="26"/>
        </w:rPr>
        <w:t>’</w:t>
      </w:r>
      <w:r w:rsidR="00F55644" w:rsidRPr="00CD025A">
        <w:rPr>
          <w:sz w:val="26"/>
          <w:szCs w:val="26"/>
        </w:rPr>
        <w:t xml:space="preserve">s interlocutory review and </w:t>
      </w:r>
      <w:r w:rsidR="000E5771" w:rsidRPr="00CD025A">
        <w:rPr>
          <w:sz w:val="26"/>
          <w:szCs w:val="26"/>
        </w:rPr>
        <w:t xml:space="preserve">Answer in the Affirmative </w:t>
      </w:r>
      <w:r w:rsidR="00280CAD" w:rsidRPr="00CD025A">
        <w:rPr>
          <w:sz w:val="26"/>
          <w:szCs w:val="26"/>
        </w:rPr>
        <w:t xml:space="preserve">to </w:t>
      </w:r>
      <w:r w:rsidR="000E5771" w:rsidRPr="00CD025A">
        <w:rPr>
          <w:sz w:val="26"/>
          <w:szCs w:val="26"/>
        </w:rPr>
        <w:t>the Material Question</w:t>
      </w:r>
      <w:r w:rsidR="00876956" w:rsidRPr="00CD025A">
        <w:rPr>
          <w:sz w:val="26"/>
          <w:szCs w:val="26"/>
        </w:rPr>
        <w:t xml:space="preserve"> is</w:t>
      </w:r>
      <w:r w:rsidR="00280CAD" w:rsidRPr="00CD025A">
        <w:rPr>
          <w:sz w:val="26"/>
          <w:szCs w:val="26"/>
        </w:rPr>
        <w:t xml:space="preserve"> </w:t>
      </w:r>
      <w:r w:rsidR="00F55644" w:rsidRPr="00CD025A">
        <w:rPr>
          <w:sz w:val="26"/>
          <w:szCs w:val="26"/>
        </w:rPr>
        <w:t xml:space="preserve">necessary to </w:t>
      </w:r>
      <w:r w:rsidR="00AB4CB3" w:rsidRPr="00CD025A">
        <w:rPr>
          <w:sz w:val="26"/>
          <w:szCs w:val="26"/>
        </w:rPr>
        <w:t xml:space="preserve">address this matter </w:t>
      </w:r>
      <w:proofErr w:type="gramStart"/>
      <w:r w:rsidR="00AB4CB3" w:rsidRPr="00CD025A">
        <w:rPr>
          <w:sz w:val="26"/>
          <w:szCs w:val="26"/>
        </w:rPr>
        <w:t>at this time</w:t>
      </w:r>
      <w:proofErr w:type="gramEnd"/>
      <w:r w:rsidR="00AB4CB3" w:rsidRPr="00CD025A">
        <w:rPr>
          <w:sz w:val="26"/>
          <w:szCs w:val="26"/>
        </w:rPr>
        <w:t xml:space="preserve"> as adequate due process is fundamental to all Commission decisions.  If the Commission renders a decision without full consideration of the facts, the public interest will not be served</w:t>
      </w:r>
      <w:r w:rsidR="00AC07E5">
        <w:rPr>
          <w:sz w:val="26"/>
          <w:szCs w:val="26"/>
        </w:rPr>
        <w:t>,</w:t>
      </w:r>
      <w:r w:rsidR="00AB4CB3" w:rsidRPr="00CD025A">
        <w:rPr>
          <w:sz w:val="26"/>
          <w:szCs w:val="26"/>
        </w:rPr>
        <w:t xml:space="preserve"> and the OCA will be substantially prejudiced in its representation of consumers.  </w:t>
      </w:r>
      <w:r w:rsidR="00E33A20" w:rsidRPr="00CD025A">
        <w:rPr>
          <w:sz w:val="26"/>
          <w:szCs w:val="26"/>
        </w:rPr>
        <w:t xml:space="preserve">OCA Brief in Support at </w:t>
      </w:r>
      <w:r w:rsidR="00AB4CB3" w:rsidRPr="00CD025A">
        <w:rPr>
          <w:sz w:val="26"/>
          <w:szCs w:val="26"/>
        </w:rPr>
        <w:t>12, 13</w:t>
      </w:r>
      <w:r w:rsidR="00E33A20" w:rsidRPr="00CD025A">
        <w:rPr>
          <w:sz w:val="26"/>
          <w:szCs w:val="26"/>
        </w:rPr>
        <w:t>.</w:t>
      </w:r>
    </w:p>
    <w:p w14:paraId="28E9090B" w14:textId="77777777" w:rsidR="00DC11CA" w:rsidRPr="002B496E" w:rsidRDefault="00DC11CA" w:rsidP="002B496E">
      <w:pPr>
        <w:keepNext/>
        <w:keepLines/>
        <w:ind w:firstLine="0"/>
        <w:rPr>
          <w:b/>
          <w:sz w:val="26"/>
          <w:szCs w:val="26"/>
        </w:rPr>
      </w:pPr>
    </w:p>
    <w:p w14:paraId="4C80E889" w14:textId="11E1B657" w:rsidR="0073072D" w:rsidRPr="00BC3D6E" w:rsidRDefault="002A138D" w:rsidP="002B496E">
      <w:pPr>
        <w:pStyle w:val="ListParagraph"/>
        <w:keepNext/>
        <w:keepLines/>
        <w:ind w:firstLine="0"/>
        <w:rPr>
          <w:b/>
          <w:sz w:val="26"/>
          <w:szCs w:val="26"/>
        </w:rPr>
      </w:pPr>
      <w:r w:rsidRPr="00BC3D6E">
        <w:rPr>
          <w:b/>
          <w:sz w:val="26"/>
          <w:szCs w:val="26"/>
        </w:rPr>
        <w:t>2</w:t>
      </w:r>
      <w:r w:rsidR="00C81E50" w:rsidRPr="00BC3D6E">
        <w:rPr>
          <w:b/>
          <w:sz w:val="26"/>
          <w:szCs w:val="26"/>
        </w:rPr>
        <w:t>.</w:t>
      </w:r>
      <w:r w:rsidR="00C81E50" w:rsidRPr="00BC3D6E">
        <w:rPr>
          <w:b/>
          <w:sz w:val="26"/>
          <w:szCs w:val="26"/>
        </w:rPr>
        <w:tab/>
      </w:r>
      <w:r w:rsidR="00A46DA8">
        <w:rPr>
          <w:b/>
          <w:sz w:val="26"/>
          <w:szCs w:val="26"/>
        </w:rPr>
        <w:t>I&amp;E</w:t>
      </w:r>
    </w:p>
    <w:p w14:paraId="0865B4B4" w14:textId="77777777" w:rsidR="00F1061D" w:rsidRPr="00BC3D6E" w:rsidRDefault="00F1061D" w:rsidP="002B496E">
      <w:pPr>
        <w:keepNext/>
        <w:keepLines/>
        <w:ind w:firstLine="0"/>
        <w:rPr>
          <w:sz w:val="26"/>
          <w:szCs w:val="26"/>
          <w:highlight w:val="yellow"/>
        </w:rPr>
      </w:pPr>
    </w:p>
    <w:p w14:paraId="7D7CED27" w14:textId="7E163835" w:rsidR="003E2955" w:rsidRDefault="00EA3B78" w:rsidP="003E2955">
      <w:pPr>
        <w:rPr>
          <w:color w:val="000000"/>
          <w:sz w:val="26"/>
          <w:szCs w:val="26"/>
        </w:rPr>
      </w:pPr>
      <w:r>
        <w:rPr>
          <w:sz w:val="26"/>
          <w:szCs w:val="26"/>
        </w:rPr>
        <w:t>I&amp;E</w:t>
      </w:r>
      <w:r w:rsidR="002A138D" w:rsidRPr="005B584F">
        <w:rPr>
          <w:sz w:val="26"/>
          <w:szCs w:val="26"/>
        </w:rPr>
        <w:t xml:space="preserve"> opposes the Petition and </w:t>
      </w:r>
      <w:r w:rsidR="000D5B37" w:rsidRPr="005B584F">
        <w:rPr>
          <w:sz w:val="26"/>
          <w:szCs w:val="26"/>
        </w:rPr>
        <w:t xml:space="preserve">argues </w:t>
      </w:r>
      <w:r w:rsidR="0079432B" w:rsidRPr="005B584F">
        <w:rPr>
          <w:sz w:val="26"/>
          <w:szCs w:val="26"/>
        </w:rPr>
        <w:t>that the</w:t>
      </w:r>
      <w:r w:rsidR="001D5B2C">
        <w:rPr>
          <w:sz w:val="26"/>
          <w:szCs w:val="26"/>
        </w:rPr>
        <w:t xml:space="preserve"> Commission should decline to answer the OCA’s</w:t>
      </w:r>
      <w:r w:rsidR="0079432B" w:rsidRPr="005B584F">
        <w:rPr>
          <w:sz w:val="26"/>
          <w:szCs w:val="26"/>
        </w:rPr>
        <w:t xml:space="preserve"> Material Question </w:t>
      </w:r>
      <w:r w:rsidR="00EE3070">
        <w:rPr>
          <w:color w:val="000000"/>
          <w:sz w:val="26"/>
          <w:szCs w:val="26"/>
        </w:rPr>
        <w:t xml:space="preserve">because the OCA has failed to provide a necessary and compelling reason why interlocutory review is required to prevent substantial prejudice or expediate the conduct of the proceeding. </w:t>
      </w:r>
      <w:r w:rsidR="005312EA">
        <w:rPr>
          <w:color w:val="000000"/>
          <w:sz w:val="26"/>
          <w:szCs w:val="26"/>
        </w:rPr>
        <w:t xml:space="preserve"> </w:t>
      </w:r>
      <w:r w:rsidR="00EE3070">
        <w:rPr>
          <w:color w:val="000000"/>
          <w:sz w:val="26"/>
          <w:szCs w:val="26"/>
        </w:rPr>
        <w:t xml:space="preserve">Notably, </w:t>
      </w:r>
      <w:r w:rsidR="005312EA">
        <w:rPr>
          <w:color w:val="000000"/>
          <w:sz w:val="26"/>
          <w:szCs w:val="26"/>
        </w:rPr>
        <w:t xml:space="preserve">according to I&amp;E, </w:t>
      </w:r>
      <w:r w:rsidR="00EE3070">
        <w:rPr>
          <w:color w:val="000000"/>
          <w:sz w:val="26"/>
          <w:szCs w:val="26"/>
        </w:rPr>
        <w:t xml:space="preserve">the OCA’s Petition for Interlocutory Review will unnecessarily delay the current proceeding, which is ripe for a decision. </w:t>
      </w:r>
      <w:r w:rsidR="005312EA">
        <w:rPr>
          <w:color w:val="000000"/>
          <w:sz w:val="26"/>
          <w:szCs w:val="26"/>
        </w:rPr>
        <w:t xml:space="preserve"> I&amp;E Brief in Opposition at 6.</w:t>
      </w:r>
    </w:p>
    <w:p w14:paraId="5334EE1F" w14:textId="77777777" w:rsidR="003E2955" w:rsidRDefault="003E2955" w:rsidP="003E2955">
      <w:pPr>
        <w:rPr>
          <w:color w:val="000000"/>
          <w:sz w:val="26"/>
          <w:szCs w:val="26"/>
        </w:rPr>
      </w:pPr>
    </w:p>
    <w:p w14:paraId="54F00831" w14:textId="65172268" w:rsidR="009E0E02" w:rsidRPr="005312EA" w:rsidRDefault="00EE3070" w:rsidP="009E0E02">
      <w:pPr>
        <w:rPr>
          <w:color w:val="000000"/>
          <w:sz w:val="26"/>
          <w:szCs w:val="26"/>
        </w:rPr>
      </w:pPr>
      <w:r w:rsidRPr="005312EA">
        <w:rPr>
          <w:color w:val="000000"/>
          <w:sz w:val="26"/>
          <w:szCs w:val="26"/>
        </w:rPr>
        <w:t>In the alternative, the Commission could answer the OCA’s material question in the negative and find that ALJ Pell did not err in striking the OCA’s so</w:t>
      </w:r>
      <w:r w:rsidR="002829AF" w:rsidRPr="005312EA">
        <w:rPr>
          <w:color w:val="000000"/>
          <w:sz w:val="26"/>
          <w:szCs w:val="26"/>
        </w:rPr>
        <w:t>-</w:t>
      </w:r>
      <w:r w:rsidRPr="005312EA">
        <w:rPr>
          <w:color w:val="000000"/>
          <w:sz w:val="26"/>
          <w:szCs w:val="26"/>
        </w:rPr>
        <w:t xml:space="preserve">called “evidence” from the record. </w:t>
      </w:r>
      <w:r w:rsidR="003E2955" w:rsidRPr="005312EA">
        <w:rPr>
          <w:color w:val="000000"/>
          <w:sz w:val="26"/>
          <w:szCs w:val="26"/>
        </w:rPr>
        <w:t xml:space="preserve"> </w:t>
      </w:r>
      <w:r w:rsidR="003E2955" w:rsidRPr="005312EA">
        <w:rPr>
          <w:sz w:val="26"/>
          <w:szCs w:val="26"/>
        </w:rPr>
        <w:t xml:space="preserve">I&amp;E argues that the affidavit and attachments are not evidence, especially since the Complaint has been resolved through </w:t>
      </w:r>
      <w:r w:rsidR="003C17F6">
        <w:rPr>
          <w:sz w:val="26"/>
          <w:szCs w:val="26"/>
        </w:rPr>
        <w:t>the</w:t>
      </w:r>
      <w:r w:rsidR="003E2955" w:rsidRPr="005312EA">
        <w:rPr>
          <w:sz w:val="26"/>
          <w:szCs w:val="26"/>
        </w:rPr>
        <w:t xml:space="preserve"> Joint Petition for Settlement and is fully supported by </w:t>
      </w:r>
      <w:r w:rsidR="003C17F6">
        <w:rPr>
          <w:sz w:val="26"/>
          <w:szCs w:val="26"/>
        </w:rPr>
        <w:t>the</w:t>
      </w:r>
      <w:r w:rsidR="003E2955" w:rsidRPr="005312EA">
        <w:rPr>
          <w:sz w:val="26"/>
          <w:szCs w:val="26"/>
        </w:rPr>
        <w:t xml:space="preserve"> Joint Stipulation of Facts.  According to I&amp;E, the OCA’s attempt to introduce the affidavit and attachments as evidence further showcases the OCA’s inability to accept that the Complaint has been settled and is not being litigated. </w:t>
      </w:r>
      <w:r w:rsidR="005312EA">
        <w:rPr>
          <w:sz w:val="26"/>
          <w:szCs w:val="26"/>
        </w:rPr>
        <w:t xml:space="preserve"> </w:t>
      </w:r>
      <w:r w:rsidR="003E2955" w:rsidRPr="005312EA">
        <w:rPr>
          <w:sz w:val="26"/>
          <w:szCs w:val="26"/>
        </w:rPr>
        <w:t xml:space="preserve">Further, </w:t>
      </w:r>
      <w:r w:rsidR="005312EA">
        <w:rPr>
          <w:sz w:val="26"/>
          <w:szCs w:val="26"/>
        </w:rPr>
        <w:t xml:space="preserve">I&amp;E argues </w:t>
      </w:r>
      <w:r w:rsidR="003C7EAA">
        <w:rPr>
          <w:sz w:val="26"/>
          <w:szCs w:val="26"/>
        </w:rPr>
        <w:t xml:space="preserve">it </w:t>
      </w:r>
      <w:r w:rsidR="003E2955" w:rsidRPr="005312EA">
        <w:rPr>
          <w:sz w:val="26"/>
          <w:szCs w:val="26"/>
        </w:rPr>
        <w:t xml:space="preserve">shows the OCA’s lack of understanding of the standard in settled matters, </w:t>
      </w:r>
      <w:r w:rsidR="003E2955" w:rsidRPr="005312EA">
        <w:rPr>
          <w:i/>
          <w:iCs/>
          <w:sz w:val="26"/>
          <w:szCs w:val="26"/>
        </w:rPr>
        <w:t>i.e.,</w:t>
      </w:r>
      <w:r w:rsidR="003E2955" w:rsidRPr="005312EA">
        <w:rPr>
          <w:sz w:val="26"/>
          <w:szCs w:val="26"/>
        </w:rPr>
        <w:t xml:space="preserve"> whether the </w:t>
      </w:r>
      <w:r w:rsidR="003C17F6">
        <w:rPr>
          <w:sz w:val="26"/>
          <w:szCs w:val="26"/>
        </w:rPr>
        <w:t>S</w:t>
      </w:r>
      <w:r w:rsidR="003E2955" w:rsidRPr="005312EA">
        <w:rPr>
          <w:sz w:val="26"/>
          <w:szCs w:val="26"/>
        </w:rPr>
        <w:t xml:space="preserve">ettlement is in the public interest, and a continued lack of compliance regarding ALJ Pell’s Orders. </w:t>
      </w:r>
      <w:r w:rsidR="003E2955" w:rsidRPr="005312EA">
        <w:rPr>
          <w:color w:val="000000"/>
          <w:sz w:val="26"/>
          <w:szCs w:val="26"/>
        </w:rPr>
        <w:t xml:space="preserve"> I&amp;E submits that </w:t>
      </w:r>
      <w:r w:rsidRPr="005312EA">
        <w:rPr>
          <w:color w:val="000000"/>
          <w:sz w:val="26"/>
          <w:szCs w:val="26"/>
        </w:rPr>
        <w:t>ALJ</w:t>
      </w:r>
      <w:r w:rsidR="00FA1489">
        <w:rPr>
          <w:color w:val="000000"/>
          <w:sz w:val="26"/>
          <w:szCs w:val="26"/>
        </w:rPr>
        <w:t>s</w:t>
      </w:r>
      <w:r w:rsidR="003E2955" w:rsidRPr="005312EA">
        <w:rPr>
          <w:color w:val="000000"/>
          <w:sz w:val="26"/>
          <w:szCs w:val="26"/>
        </w:rPr>
        <w:t xml:space="preserve"> ha</w:t>
      </w:r>
      <w:r w:rsidR="00FA1489">
        <w:rPr>
          <w:color w:val="000000"/>
          <w:sz w:val="26"/>
          <w:szCs w:val="26"/>
        </w:rPr>
        <w:t>ve</w:t>
      </w:r>
      <w:r w:rsidRPr="005312EA">
        <w:rPr>
          <w:color w:val="000000"/>
          <w:sz w:val="26"/>
          <w:szCs w:val="26"/>
        </w:rPr>
        <w:t xml:space="preserve"> procedural avenues at their disposal to focus or narrow the issues in their cases, if necessary, including settlement, motions made by the </w:t>
      </w:r>
      <w:r w:rsidR="00735289">
        <w:rPr>
          <w:color w:val="000000"/>
          <w:sz w:val="26"/>
          <w:szCs w:val="26"/>
        </w:rPr>
        <w:t>p</w:t>
      </w:r>
      <w:r w:rsidRPr="005312EA">
        <w:rPr>
          <w:color w:val="000000"/>
          <w:sz w:val="26"/>
          <w:szCs w:val="26"/>
        </w:rPr>
        <w:t>arties, and the authority to exclude irrelevant or immaterial evidence and otherwise regulate the course of the proceeding pursuant to 52 Pa. Code § 5.483(a) and to control the receipt of evidence pursuant to 52 Pa. Code §</w:t>
      </w:r>
      <w:r w:rsidR="00FB0D93">
        <w:rPr>
          <w:color w:val="000000"/>
          <w:sz w:val="26"/>
          <w:szCs w:val="26"/>
        </w:rPr>
        <w:t> </w:t>
      </w:r>
      <w:r w:rsidRPr="005312EA">
        <w:rPr>
          <w:color w:val="000000"/>
          <w:sz w:val="26"/>
          <w:szCs w:val="26"/>
        </w:rPr>
        <w:t>5.403(a).</w:t>
      </w:r>
      <w:r w:rsidR="00485118">
        <w:rPr>
          <w:color w:val="000000"/>
          <w:sz w:val="26"/>
          <w:szCs w:val="26"/>
        </w:rPr>
        <w:t xml:space="preserve"> </w:t>
      </w:r>
      <w:r w:rsidRPr="005312EA">
        <w:rPr>
          <w:color w:val="000000"/>
          <w:sz w:val="26"/>
          <w:szCs w:val="26"/>
        </w:rPr>
        <w:t xml:space="preserve"> Thus, </w:t>
      </w:r>
      <w:r w:rsidR="003E2955" w:rsidRPr="005312EA">
        <w:rPr>
          <w:color w:val="000000"/>
          <w:sz w:val="26"/>
          <w:szCs w:val="26"/>
        </w:rPr>
        <w:t xml:space="preserve">according to I&amp;E, </w:t>
      </w:r>
      <w:r w:rsidRPr="005312EA">
        <w:rPr>
          <w:color w:val="000000"/>
          <w:sz w:val="26"/>
          <w:szCs w:val="26"/>
        </w:rPr>
        <w:t>ALJ Pell properly granted Verde’s Motion to Strike and removed the OCA’s inappropriate “evidence” from the record.</w:t>
      </w:r>
      <w:r w:rsidR="003E2955" w:rsidRPr="005312EA">
        <w:rPr>
          <w:color w:val="000000"/>
          <w:sz w:val="26"/>
          <w:szCs w:val="26"/>
        </w:rPr>
        <w:t xml:space="preserve">  I&amp;E Brief in Opposition at 6</w:t>
      </w:r>
      <w:r w:rsidR="009E0E02" w:rsidRPr="005312EA">
        <w:rPr>
          <w:color w:val="000000"/>
          <w:sz w:val="26"/>
          <w:szCs w:val="26"/>
        </w:rPr>
        <w:t>.</w:t>
      </w:r>
    </w:p>
    <w:p w14:paraId="5180DED5" w14:textId="77777777" w:rsidR="009E0E02" w:rsidRPr="005312EA" w:rsidRDefault="009E0E02" w:rsidP="009E0E02">
      <w:pPr>
        <w:rPr>
          <w:color w:val="000000"/>
          <w:sz w:val="26"/>
          <w:szCs w:val="26"/>
        </w:rPr>
      </w:pPr>
    </w:p>
    <w:p w14:paraId="1694134E" w14:textId="7E3F4A0B" w:rsidR="00950051" w:rsidRDefault="009E0E02" w:rsidP="003C7EAA">
      <w:pPr>
        <w:rPr>
          <w:color w:val="000000"/>
          <w:sz w:val="26"/>
          <w:szCs w:val="26"/>
        </w:rPr>
      </w:pPr>
      <w:r w:rsidRPr="005312EA">
        <w:rPr>
          <w:color w:val="000000"/>
          <w:sz w:val="26"/>
          <w:szCs w:val="26"/>
        </w:rPr>
        <w:t xml:space="preserve">I&amp;E submits that the OCA, as an intervenor, does not have the right or ability to force I&amp;E and Verde to litigate a settled matter.  </w:t>
      </w:r>
      <w:r w:rsidRPr="009E0E02">
        <w:rPr>
          <w:color w:val="000000"/>
          <w:sz w:val="26"/>
          <w:szCs w:val="26"/>
        </w:rPr>
        <w:t xml:space="preserve">I&amp;E Brief in Opposition (citing </w:t>
      </w:r>
      <w:r w:rsidR="003730E1">
        <w:rPr>
          <w:i/>
          <w:iCs/>
          <w:color w:val="000000"/>
          <w:sz w:val="26"/>
          <w:szCs w:val="26"/>
        </w:rPr>
        <w:t>Sun</w:t>
      </w:r>
      <w:r w:rsidR="00F00CE4">
        <w:rPr>
          <w:i/>
          <w:iCs/>
          <w:color w:val="000000"/>
          <w:sz w:val="26"/>
          <w:szCs w:val="26"/>
        </w:rPr>
        <w:t>o</w:t>
      </w:r>
      <w:r w:rsidR="003730E1">
        <w:rPr>
          <w:i/>
          <w:iCs/>
          <w:color w:val="000000"/>
          <w:sz w:val="26"/>
          <w:szCs w:val="26"/>
        </w:rPr>
        <w:t>co End-of-Emergency Order</w:t>
      </w:r>
      <w:r w:rsidRPr="009E0E02">
        <w:rPr>
          <w:color w:val="000000"/>
          <w:sz w:val="26"/>
          <w:szCs w:val="26"/>
        </w:rPr>
        <w:t xml:space="preserve"> at 10).  According to I&amp;E, the intent of the comment period in the </w:t>
      </w:r>
      <w:r w:rsidRPr="000D00D4">
        <w:rPr>
          <w:i/>
          <w:iCs/>
          <w:color w:val="000000"/>
          <w:sz w:val="26"/>
          <w:szCs w:val="26"/>
        </w:rPr>
        <w:t>Abeyance Order</w:t>
      </w:r>
      <w:r w:rsidRPr="009E0E02">
        <w:rPr>
          <w:color w:val="000000"/>
          <w:sz w:val="26"/>
          <w:szCs w:val="26"/>
        </w:rPr>
        <w:t xml:space="preserve"> is for the interested party to provide its position on the settlement or the settlement’s impact on that party, not attempt to litigate through the comment by attaching affidavits and documents or including references to alleged facts outside the scope of the proceeding. </w:t>
      </w:r>
      <w:r>
        <w:rPr>
          <w:color w:val="000000"/>
          <w:sz w:val="26"/>
          <w:szCs w:val="26"/>
        </w:rPr>
        <w:t xml:space="preserve"> </w:t>
      </w:r>
      <w:r w:rsidRPr="009E0E02">
        <w:rPr>
          <w:color w:val="000000"/>
          <w:sz w:val="26"/>
          <w:szCs w:val="26"/>
        </w:rPr>
        <w:t xml:space="preserve">Thus, </w:t>
      </w:r>
      <w:r>
        <w:rPr>
          <w:color w:val="000000"/>
          <w:sz w:val="26"/>
          <w:szCs w:val="26"/>
        </w:rPr>
        <w:t xml:space="preserve">I&amp;E argues </w:t>
      </w:r>
      <w:r w:rsidRPr="009E0E02">
        <w:rPr>
          <w:color w:val="000000"/>
          <w:sz w:val="26"/>
          <w:szCs w:val="26"/>
        </w:rPr>
        <w:t>the OCA overstepped its role as an intervenor by attaching the affidavit, findings of fact, and various refences to Verde that are unrelated and outside the scope of this proceeding to their comments.</w:t>
      </w:r>
      <w:r>
        <w:rPr>
          <w:color w:val="000000"/>
          <w:sz w:val="26"/>
          <w:szCs w:val="26"/>
        </w:rPr>
        <w:t xml:space="preserve">  I&amp;E</w:t>
      </w:r>
      <w:r w:rsidR="00FB0D93">
        <w:rPr>
          <w:color w:val="000000"/>
          <w:sz w:val="26"/>
          <w:szCs w:val="26"/>
        </w:rPr>
        <w:t> </w:t>
      </w:r>
      <w:r>
        <w:rPr>
          <w:color w:val="000000"/>
          <w:sz w:val="26"/>
          <w:szCs w:val="26"/>
        </w:rPr>
        <w:t>Brief in Opposition at 8-9.</w:t>
      </w:r>
    </w:p>
    <w:p w14:paraId="645EEAE4" w14:textId="28661BF3" w:rsidR="00EA3B78" w:rsidRDefault="00EA3B78" w:rsidP="00F35D67">
      <w:pPr>
        <w:ind w:left="-5" w:right="12"/>
        <w:contextualSpacing/>
        <w:rPr>
          <w:color w:val="000000"/>
          <w:sz w:val="26"/>
          <w:szCs w:val="26"/>
        </w:rPr>
      </w:pPr>
    </w:p>
    <w:p w14:paraId="704AFB10" w14:textId="320D5E1E" w:rsidR="00EA3B78" w:rsidRPr="00EA3B78" w:rsidRDefault="00EA3B78" w:rsidP="002A3BC9">
      <w:pPr>
        <w:ind w:left="-5" w:right="12" w:firstLine="725"/>
        <w:contextualSpacing/>
        <w:rPr>
          <w:b/>
          <w:bCs/>
          <w:color w:val="000000"/>
          <w:sz w:val="26"/>
          <w:szCs w:val="26"/>
        </w:rPr>
      </w:pPr>
      <w:r w:rsidRPr="00EA3B78">
        <w:rPr>
          <w:b/>
          <w:bCs/>
          <w:color w:val="000000"/>
          <w:sz w:val="26"/>
          <w:szCs w:val="26"/>
        </w:rPr>
        <w:t>3.</w:t>
      </w:r>
      <w:r w:rsidRPr="00EA3B78">
        <w:rPr>
          <w:b/>
          <w:bCs/>
          <w:color w:val="000000"/>
          <w:sz w:val="26"/>
          <w:szCs w:val="26"/>
        </w:rPr>
        <w:tab/>
        <w:t>Verde</w:t>
      </w:r>
    </w:p>
    <w:p w14:paraId="45E07034" w14:textId="5D6603FC" w:rsidR="00EA3B78" w:rsidRPr="00C94A1F" w:rsidRDefault="00EA3B78" w:rsidP="00C94A1F">
      <w:pPr>
        <w:ind w:right="12"/>
        <w:rPr>
          <w:color w:val="000000"/>
          <w:sz w:val="26"/>
          <w:szCs w:val="26"/>
        </w:rPr>
      </w:pPr>
    </w:p>
    <w:p w14:paraId="26176148" w14:textId="3D43ED72" w:rsidR="0035407A" w:rsidRPr="00C14585" w:rsidRDefault="00EA3B78" w:rsidP="0035407A">
      <w:pPr>
        <w:widowControl w:val="0"/>
        <w:autoSpaceDE w:val="0"/>
        <w:autoSpaceDN w:val="0"/>
        <w:adjustRightInd w:val="0"/>
        <w:rPr>
          <w:bCs/>
          <w:color w:val="000000"/>
          <w:sz w:val="26"/>
          <w:szCs w:val="26"/>
        </w:rPr>
      </w:pPr>
      <w:r w:rsidRPr="00C94A1F">
        <w:rPr>
          <w:sz w:val="26"/>
          <w:szCs w:val="26"/>
        </w:rPr>
        <w:t xml:space="preserve">Verde opposes the Petition and argues that the Material Question should be answered in the negative.  </w:t>
      </w:r>
      <w:r w:rsidR="00E5623C" w:rsidRPr="00C94A1F">
        <w:rPr>
          <w:sz w:val="26"/>
          <w:szCs w:val="26"/>
        </w:rPr>
        <w:t>According to Verde, t</w:t>
      </w:r>
      <w:r w:rsidR="00E5623C" w:rsidRPr="00C94A1F">
        <w:rPr>
          <w:bCs/>
          <w:color w:val="000000"/>
          <w:sz w:val="26"/>
          <w:szCs w:val="26"/>
        </w:rPr>
        <w:t>he ALJ correctly struck the additional materials included by the OCA in its Comments because the materials were not part of the evidentiary record in the case</w:t>
      </w:r>
      <w:r w:rsidR="00124CCB">
        <w:rPr>
          <w:bCs/>
          <w:color w:val="000000"/>
          <w:sz w:val="26"/>
          <w:szCs w:val="26"/>
        </w:rPr>
        <w:t>.</w:t>
      </w:r>
      <w:r w:rsidR="00E5623C" w:rsidRPr="00C94A1F">
        <w:rPr>
          <w:bCs/>
          <w:color w:val="000000"/>
          <w:sz w:val="26"/>
          <w:szCs w:val="26"/>
        </w:rPr>
        <w:t xml:space="preserve"> </w:t>
      </w:r>
      <w:r w:rsidR="00124CCB">
        <w:rPr>
          <w:bCs/>
          <w:color w:val="000000"/>
          <w:sz w:val="26"/>
          <w:szCs w:val="26"/>
        </w:rPr>
        <w:t xml:space="preserve"> Verde argues the OCA’s inclusion of the materials in its Comments</w:t>
      </w:r>
      <w:r w:rsidR="00124CCB" w:rsidRPr="00C94A1F">
        <w:rPr>
          <w:bCs/>
          <w:color w:val="000000"/>
          <w:sz w:val="26"/>
          <w:szCs w:val="26"/>
        </w:rPr>
        <w:t xml:space="preserve"> </w:t>
      </w:r>
      <w:r w:rsidR="00E5623C" w:rsidRPr="00C94A1F">
        <w:rPr>
          <w:bCs/>
          <w:color w:val="000000"/>
          <w:sz w:val="26"/>
          <w:szCs w:val="26"/>
        </w:rPr>
        <w:t xml:space="preserve">went beyond the scope of the proceeding and the scope of allowable comments, and they raised serious due process concerns.  Verde Brief in Opposition at 6.  </w:t>
      </w:r>
      <w:r w:rsidR="0035407A" w:rsidRPr="00C14585">
        <w:rPr>
          <w:bCs/>
          <w:color w:val="000000"/>
          <w:sz w:val="26"/>
          <w:szCs w:val="26"/>
        </w:rPr>
        <w:t xml:space="preserve">Verde argues that the Commission has made it clear that the role of an intervenor in a proceeding before the Commission “is on a non-party basis, meaning that the initiating and responding parties can drive the outcome without regard to the alleged interests of would-be intervenors.”  Verde Brief in Opposition </w:t>
      </w:r>
      <w:r w:rsidR="00D50F6A">
        <w:rPr>
          <w:bCs/>
          <w:color w:val="000000"/>
          <w:sz w:val="26"/>
          <w:szCs w:val="26"/>
        </w:rPr>
        <w:t>at 8</w:t>
      </w:r>
      <w:r w:rsidR="00166080">
        <w:rPr>
          <w:bCs/>
          <w:color w:val="000000"/>
          <w:sz w:val="26"/>
          <w:szCs w:val="26"/>
        </w:rPr>
        <w:t xml:space="preserve"> </w:t>
      </w:r>
      <w:r w:rsidR="0035407A" w:rsidRPr="00C14585">
        <w:rPr>
          <w:bCs/>
          <w:color w:val="000000"/>
          <w:sz w:val="26"/>
          <w:szCs w:val="26"/>
        </w:rPr>
        <w:t xml:space="preserve">(citing </w:t>
      </w:r>
      <w:r w:rsidR="003730E1">
        <w:rPr>
          <w:bCs/>
          <w:i/>
          <w:iCs/>
          <w:color w:val="000000"/>
          <w:sz w:val="26"/>
          <w:szCs w:val="26"/>
        </w:rPr>
        <w:t>Sun</w:t>
      </w:r>
      <w:r w:rsidR="00545B1E">
        <w:rPr>
          <w:bCs/>
          <w:i/>
          <w:iCs/>
          <w:color w:val="000000"/>
          <w:sz w:val="26"/>
          <w:szCs w:val="26"/>
        </w:rPr>
        <w:t>o</w:t>
      </w:r>
      <w:r w:rsidR="003730E1">
        <w:rPr>
          <w:bCs/>
          <w:i/>
          <w:iCs/>
          <w:color w:val="000000"/>
          <w:sz w:val="26"/>
          <w:szCs w:val="26"/>
        </w:rPr>
        <w:t>co End-of-Emergency Order</w:t>
      </w:r>
      <w:r w:rsidR="00C14585" w:rsidRPr="00C14585">
        <w:rPr>
          <w:bCs/>
          <w:color w:val="000000"/>
          <w:sz w:val="26"/>
          <w:szCs w:val="26"/>
        </w:rPr>
        <w:t xml:space="preserve"> at 10).  Verde argues the OCA is simply d</w:t>
      </w:r>
      <w:r w:rsidR="0035407A" w:rsidRPr="00C14585">
        <w:rPr>
          <w:bCs/>
          <w:color w:val="000000"/>
          <w:sz w:val="26"/>
          <w:szCs w:val="26"/>
        </w:rPr>
        <w:t>isregarding the Commission’s policy to encourage settlements</w:t>
      </w:r>
      <w:r w:rsidR="00C14585" w:rsidRPr="00C14585">
        <w:rPr>
          <w:bCs/>
          <w:color w:val="000000"/>
          <w:sz w:val="26"/>
          <w:szCs w:val="26"/>
        </w:rPr>
        <w:t xml:space="preserve"> and</w:t>
      </w:r>
      <w:r w:rsidR="0035407A" w:rsidRPr="00C14585">
        <w:rPr>
          <w:bCs/>
          <w:color w:val="000000"/>
          <w:sz w:val="26"/>
          <w:szCs w:val="26"/>
        </w:rPr>
        <w:t xml:space="preserve"> has instead taken the formal position that the Complaint should be litigated despite that the Complainant and Respondent reached a full settlement of the Complaint.  </w:t>
      </w:r>
      <w:r w:rsidR="001B3FF2">
        <w:rPr>
          <w:bCs/>
          <w:color w:val="000000"/>
          <w:sz w:val="26"/>
          <w:szCs w:val="26"/>
        </w:rPr>
        <w:t>Verde Brief in Opposition at 8.</w:t>
      </w:r>
    </w:p>
    <w:p w14:paraId="704CE785" w14:textId="77777777" w:rsidR="008C558C" w:rsidRPr="00C14585" w:rsidRDefault="008C558C" w:rsidP="00C94A1F">
      <w:pPr>
        <w:widowControl w:val="0"/>
        <w:autoSpaceDE w:val="0"/>
        <w:autoSpaceDN w:val="0"/>
        <w:adjustRightInd w:val="0"/>
        <w:rPr>
          <w:bCs/>
          <w:color w:val="000000"/>
          <w:sz w:val="26"/>
          <w:szCs w:val="26"/>
        </w:rPr>
      </w:pPr>
    </w:p>
    <w:p w14:paraId="6CEC1DB8" w14:textId="3EB68029" w:rsidR="0035407A" w:rsidRPr="00C14585" w:rsidRDefault="008C558C" w:rsidP="00C14585">
      <w:pPr>
        <w:widowControl w:val="0"/>
        <w:autoSpaceDE w:val="0"/>
        <w:autoSpaceDN w:val="0"/>
        <w:adjustRightInd w:val="0"/>
        <w:rPr>
          <w:bCs/>
          <w:color w:val="000000"/>
          <w:sz w:val="26"/>
          <w:szCs w:val="26"/>
        </w:rPr>
      </w:pPr>
      <w:r w:rsidRPr="00C14585">
        <w:rPr>
          <w:bCs/>
          <w:color w:val="000000"/>
          <w:sz w:val="26"/>
          <w:szCs w:val="26"/>
        </w:rPr>
        <w:t>Verde argues that the premise of the OCA’s Material Question as stated is flawed.  According to Verde, the OCA was in no way denied any meaningful opportunity to be heard regarding its objections to the Settlement</w:t>
      </w:r>
      <w:r w:rsidR="00790FF7">
        <w:rPr>
          <w:bCs/>
          <w:color w:val="000000"/>
          <w:sz w:val="26"/>
          <w:szCs w:val="26"/>
        </w:rPr>
        <w:t>.</w:t>
      </w:r>
      <w:r w:rsidRPr="00C14585">
        <w:rPr>
          <w:bCs/>
          <w:color w:val="000000"/>
          <w:sz w:val="26"/>
          <w:szCs w:val="26"/>
        </w:rPr>
        <w:t xml:space="preserve">  To the contrary, after the Settlement was filed, the OCA was given the opportunity to serve three sets of discovery requests, advocate its position at a </w:t>
      </w:r>
      <w:r w:rsidR="0076368D">
        <w:rPr>
          <w:bCs/>
          <w:color w:val="000000"/>
          <w:sz w:val="26"/>
          <w:szCs w:val="26"/>
        </w:rPr>
        <w:t>Prehearing</w:t>
      </w:r>
      <w:r w:rsidRPr="00C14585">
        <w:rPr>
          <w:bCs/>
          <w:color w:val="000000"/>
          <w:sz w:val="26"/>
          <w:szCs w:val="26"/>
        </w:rPr>
        <w:t xml:space="preserve"> Conference, and submit written comments explaining its position on the Settlement</w:t>
      </w:r>
      <w:r w:rsidR="00790FF7">
        <w:rPr>
          <w:bCs/>
          <w:color w:val="000000"/>
          <w:sz w:val="26"/>
          <w:szCs w:val="26"/>
        </w:rPr>
        <w:t xml:space="preserve">. </w:t>
      </w:r>
      <w:r w:rsidRPr="00C14585">
        <w:rPr>
          <w:bCs/>
          <w:color w:val="000000"/>
          <w:sz w:val="26"/>
          <w:szCs w:val="26"/>
        </w:rPr>
        <w:t xml:space="preserve"> According to Verde, the OCA’s true position </w:t>
      </w:r>
      <w:r w:rsidRPr="00C14585">
        <w:rPr>
          <w:bCs/>
          <w:i/>
          <w:color w:val="000000"/>
          <w:sz w:val="26"/>
          <w:szCs w:val="26"/>
        </w:rPr>
        <w:t>is not</w:t>
      </w:r>
      <w:r w:rsidRPr="00C14585">
        <w:rPr>
          <w:bCs/>
          <w:color w:val="000000"/>
          <w:sz w:val="26"/>
          <w:szCs w:val="26"/>
        </w:rPr>
        <w:t xml:space="preserve"> that i</w:t>
      </w:r>
      <w:r w:rsidR="00E83544">
        <w:rPr>
          <w:bCs/>
          <w:color w:val="000000"/>
          <w:sz w:val="26"/>
          <w:szCs w:val="26"/>
        </w:rPr>
        <w:t>t</w:t>
      </w:r>
      <w:r w:rsidRPr="00C14585">
        <w:rPr>
          <w:bCs/>
          <w:color w:val="000000"/>
          <w:sz w:val="26"/>
          <w:szCs w:val="26"/>
        </w:rPr>
        <w:t xml:space="preserve"> was denied an opportunity to be heard.  Rather, the OCA’s true position, as it has stated explicitly, is that the OCA should be permitted to force a Complainant and a Respondent to litigate a case that they had already fully settled.  </w:t>
      </w:r>
      <w:r w:rsidR="0035407A" w:rsidRPr="00C14585">
        <w:rPr>
          <w:bCs/>
          <w:color w:val="000000"/>
          <w:sz w:val="26"/>
          <w:szCs w:val="26"/>
        </w:rPr>
        <w:t>Verde Brief in Opposition at 6, 8-9.</w:t>
      </w:r>
      <w:r w:rsidR="00C14585" w:rsidRPr="00C14585">
        <w:rPr>
          <w:bCs/>
          <w:color w:val="000000"/>
          <w:sz w:val="26"/>
          <w:szCs w:val="26"/>
        </w:rPr>
        <w:t xml:space="preserve">  </w:t>
      </w:r>
      <w:r w:rsidR="0035407A" w:rsidRPr="00C14585">
        <w:rPr>
          <w:bCs/>
          <w:color w:val="000000"/>
          <w:sz w:val="26"/>
          <w:szCs w:val="26"/>
        </w:rPr>
        <w:t>Verde argues that the OCA</w:t>
      </w:r>
      <w:r w:rsidR="000219EC">
        <w:rPr>
          <w:bCs/>
          <w:color w:val="000000"/>
          <w:sz w:val="26"/>
          <w:szCs w:val="26"/>
        </w:rPr>
        <w:t xml:space="preserve">, </w:t>
      </w:r>
      <w:r w:rsidR="0035407A" w:rsidRPr="00C14585">
        <w:rPr>
          <w:bCs/>
          <w:color w:val="000000"/>
          <w:sz w:val="26"/>
          <w:szCs w:val="26"/>
        </w:rPr>
        <w:t>having been provided the opportunity to provide input on the Settlement Petition and refusing to do so, and then having the opportunity to submit comments on the Settlement</w:t>
      </w:r>
      <w:r w:rsidR="000219EC">
        <w:rPr>
          <w:bCs/>
          <w:color w:val="000000"/>
          <w:sz w:val="26"/>
          <w:szCs w:val="26"/>
        </w:rPr>
        <w:t>,</w:t>
      </w:r>
      <w:r w:rsidR="0035407A" w:rsidRPr="00C14585">
        <w:rPr>
          <w:bCs/>
          <w:color w:val="000000"/>
          <w:sz w:val="26"/>
          <w:szCs w:val="26"/>
        </w:rPr>
        <w:t xml:space="preserve"> cannot reasonably argue that it was not given an opportunity to be heard regarding the Settlement</w:t>
      </w:r>
      <w:r w:rsidR="0076368D">
        <w:rPr>
          <w:bCs/>
          <w:color w:val="000000"/>
          <w:sz w:val="26"/>
          <w:szCs w:val="26"/>
        </w:rPr>
        <w:t>.</w:t>
      </w:r>
      <w:r w:rsidR="0035407A" w:rsidRPr="00C14585">
        <w:rPr>
          <w:bCs/>
          <w:color w:val="000000"/>
          <w:sz w:val="26"/>
          <w:szCs w:val="26"/>
        </w:rPr>
        <w:t xml:space="preserve"> </w:t>
      </w:r>
      <w:r w:rsidR="000219EC">
        <w:rPr>
          <w:bCs/>
          <w:color w:val="000000"/>
          <w:sz w:val="26"/>
          <w:szCs w:val="26"/>
        </w:rPr>
        <w:t xml:space="preserve"> </w:t>
      </w:r>
      <w:r w:rsidR="0035407A" w:rsidRPr="00C14585">
        <w:rPr>
          <w:bCs/>
          <w:color w:val="000000"/>
          <w:sz w:val="26"/>
          <w:szCs w:val="26"/>
        </w:rPr>
        <w:t xml:space="preserve">Verde Brief in Opposition at 9. </w:t>
      </w:r>
      <w:r w:rsidR="001B3FF2">
        <w:rPr>
          <w:bCs/>
          <w:color w:val="000000"/>
          <w:sz w:val="26"/>
          <w:szCs w:val="26"/>
        </w:rPr>
        <w:t xml:space="preserve"> </w:t>
      </w:r>
      <w:proofErr w:type="gramStart"/>
      <w:r w:rsidR="0035407A" w:rsidRPr="00C14585">
        <w:rPr>
          <w:bCs/>
          <w:color w:val="000000"/>
          <w:sz w:val="26"/>
          <w:szCs w:val="26"/>
        </w:rPr>
        <w:t>In light of</w:t>
      </w:r>
      <w:proofErr w:type="gramEnd"/>
      <w:r w:rsidR="0035407A" w:rsidRPr="00C14585">
        <w:rPr>
          <w:bCs/>
          <w:color w:val="000000"/>
          <w:sz w:val="26"/>
          <w:szCs w:val="26"/>
        </w:rPr>
        <w:t xml:space="preserve"> this, </w:t>
      </w:r>
      <w:r w:rsidR="00C14585" w:rsidRPr="00C14585">
        <w:rPr>
          <w:bCs/>
          <w:color w:val="000000"/>
          <w:sz w:val="26"/>
          <w:szCs w:val="26"/>
        </w:rPr>
        <w:t xml:space="preserve">Verde submits that the </w:t>
      </w:r>
      <w:r w:rsidR="0035407A" w:rsidRPr="00C14585">
        <w:rPr>
          <w:bCs/>
          <w:color w:val="000000"/>
          <w:sz w:val="26"/>
          <w:szCs w:val="26"/>
        </w:rPr>
        <w:t xml:space="preserve">OCA has not demonstrated any substantial prejudice to its interests as an intervenor, and therefore there is no compelling reason for the Commission to grant </w:t>
      </w:r>
      <w:r w:rsidR="00030397">
        <w:rPr>
          <w:bCs/>
          <w:color w:val="000000"/>
          <w:sz w:val="26"/>
          <w:szCs w:val="26"/>
        </w:rPr>
        <w:t xml:space="preserve">the </w:t>
      </w:r>
      <w:r w:rsidR="0035407A" w:rsidRPr="00C14585">
        <w:rPr>
          <w:bCs/>
          <w:color w:val="000000"/>
          <w:sz w:val="26"/>
          <w:szCs w:val="26"/>
        </w:rPr>
        <w:t>OCA’s request for interlocutory review.</w:t>
      </w:r>
      <w:r w:rsidR="0035407A" w:rsidRPr="00C14585">
        <w:rPr>
          <w:sz w:val="26"/>
          <w:szCs w:val="26"/>
        </w:rPr>
        <w:t xml:space="preserve"> </w:t>
      </w:r>
      <w:r w:rsidR="00C14585" w:rsidRPr="00C14585">
        <w:rPr>
          <w:sz w:val="26"/>
          <w:szCs w:val="26"/>
        </w:rPr>
        <w:t xml:space="preserve"> </w:t>
      </w:r>
      <w:r w:rsidR="0035407A" w:rsidRPr="00C14585">
        <w:rPr>
          <w:sz w:val="26"/>
          <w:szCs w:val="26"/>
        </w:rPr>
        <w:t xml:space="preserve">Furthermore, </w:t>
      </w:r>
      <w:r w:rsidR="00C14585" w:rsidRPr="00C14585">
        <w:rPr>
          <w:sz w:val="26"/>
          <w:szCs w:val="26"/>
        </w:rPr>
        <w:t xml:space="preserve">Verde argues that </w:t>
      </w:r>
      <w:r w:rsidR="0035407A" w:rsidRPr="00C14585">
        <w:rPr>
          <w:sz w:val="26"/>
          <w:szCs w:val="26"/>
        </w:rPr>
        <w:t>addressing the OCA’s Material Question will not expedite the conduct of the proceeding, and in fact it will do just the opposite – it will delay the review of a full settlement that is fully supported by both the Complainant and the Respondent and that is ripe for review and disposition.</w:t>
      </w:r>
      <w:r w:rsidR="00C14585" w:rsidRPr="00C14585">
        <w:rPr>
          <w:sz w:val="26"/>
          <w:szCs w:val="26"/>
        </w:rPr>
        <w:t xml:space="preserve">  </w:t>
      </w:r>
      <w:r w:rsidR="00C14585" w:rsidRPr="00C14585">
        <w:rPr>
          <w:bCs/>
          <w:color w:val="000000"/>
          <w:sz w:val="26"/>
          <w:szCs w:val="26"/>
        </w:rPr>
        <w:t>Verde Brief in Opposition at 9.</w:t>
      </w:r>
    </w:p>
    <w:p w14:paraId="279EEEDA" w14:textId="77777777" w:rsidR="003B7653" w:rsidRPr="00C94A1F" w:rsidRDefault="003B7653" w:rsidP="00C94A1F">
      <w:pPr>
        <w:widowControl w:val="0"/>
        <w:autoSpaceDE w:val="0"/>
        <w:autoSpaceDN w:val="0"/>
        <w:adjustRightInd w:val="0"/>
        <w:rPr>
          <w:bCs/>
          <w:color w:val="000000"/>
          <w:sz w:val="26"/>
          <w:szCs w:val="26"/>
        </w:rPr>
      </w:pPr>
    </w:p>
    <w:p w14:paraId="736A9F87" w14:textId="2CEDDA0E" w:rsidR="008C558C" w:rsidRDefault="003B7653" w:rsidP="002A3BC9">
      <w:pPr>
        <w:autoSpaceDE w:val="0"/>
        <w:autoSpaceDN w:val="0"/>
        <w:adjustRightInd w:val="0"/>
        <w:rPr>
          <w:rFonts w:eastAsia="Calibri"/>
          <w:sz w:val="26"/>
          <w:szCs w:val="26"/>
        </w:rPr>
      </w:pPr>
      <w:r w:rsidRPr="00C94A1F">
        <w:rPr>
          <w:bCs/>
          <w:color w:val="000000"/>
          <w:sz w:val="26"/>
          <w:szCs w:val="26"/>
        </w:rPr>
        <w:t xml:space="preserve">According to Verde, </w:t>
      </w:r>
      <w:r w:rsidR="008C558C" w:rsidRPr="00C94A1F">
        <w:rPr>
          <w:bCs/>
          <w:color w:val="000000"/>
          <w:sz w:val="26"/>
          <w:szCs w:val="26"/>
        </w:rPr>
        <w:t xml:space="preserve">ALJ Pell’s </w:t>
      </w:r>
      <w:r w:rsidRPr="00C94A1F">
        <w:rPr>
          <w:bCs/>
          <w:i/>
          <w:iCs/>
          <w:color w:val="000000"/>
          <w:sz w:val="26"/>
          <w:szCs w:val="26"/>
        </w:rPr>
        <w:t xml:space="preserve">Abeyance </w:t>
      </w:r>
      <w:r w:rsidR="008C558C" w:rsidRPr="00C94A1F">
        <w:rPr>
          <w:rFonts w:eastAsia="Calibri"/>
          <w:i/>
          <w:iCs/>
          <w:sz w:val="26"/>
          <w:szCs w:val="26"/>
        </w:rPr>
        <w:t>Order</w:t>
      </w:r>
      <w:r w:rsidR="008C558C" w:rsidRPr="00C94A1F">
        <w:rPr>
          <w:rFonts w:eastAsia="Calibri"/>
          <w:sz w:val="26"/>
          <w:szCs w:val="26"/>
        </w:rPr>
        <w:t xml:space="preserve"> explicitly permitted </w:t>
      </w:r>
      <w:r w:rsidRPr="00C94A1F">
        <w:rPr>
          <w:rFonts w:eastAsia="Calibri"/>
          <w:sz w:val="26"/>
          <w:szCs w:val="26"/>
        </w:rPr>
        <w:t xml:space="preserve">the </w:t>
      </w:r>
      <w:r w:rsidR="008C558C" w:rsidRPr="00C94A1F">
        <w:rPr>
          <w:rFonts w:eastAsia="Calibri"/>
          <w:sz w:val="26"/>
          <w:szCs w:val="26"/>
        </w:rPr>
        <w:t xml:space="preserve">OCA an opportunity “to provide substantive comments on the Settlement and to delineate the issues they would raise if the Settlement </w:t>
      </w:r>
      <w:proofErr w:type="gramStart"/>
      <w:r w:rsidR="008C558C" w:rsidRPr="00C94A1F">
        <w:rPr>
          <w:rFonts w:eastAsia="Calibri"/>
          <w:sz w:val="26"/>
          <w:szCs w:val="26"/>
        </w:rPr>
        <w:t>is</w:t>
      </w:r>
      <w:proofErr w:type="gramEnd"/>
      <w:r w:rsidR="008C558C" w:rsidRPr="00C94A1F">
        <w:rPr>
          <w:rFonts w:eastAsia="Calibri"/>
          <w:sz w:val="26"/>
          <w:szCs w:val="26"/>
        </w:rPr>
        <w:t xml:space="preserve"> rejected and to outline how the OCA’s interests would be affected if the Settlement is accepted.”  </w:t>
      </w:r>
      <w:r w:rsidRPr="00C94A1F">
        <w:rPr>
          <w:rFonts w:eastAsia="Calibri"/>
          <w:sz w:val="26"/>
          <w:szCs w:val="26"/>
        </w:rPr>
        <w:t>Verde submits that w</w:t>
      </w:r>
      <w:r w:rsidR="008C558C" w:rsidRPr="00C94A1F">
        <w:rPr>
          <w:rFonts w:eastAsia="Calibri"/>
          <w:sz w:val="26"/>
          <w:szCs w:val="26"/>
        </w:rPr>
        <w:t xml:space="preserve">hile </w:t>
      </w:r>
      <w:r w:rsidRPr="00C94A1F">
        <w:rPr>
          <w:rFonts w:eastAsia="Calibri"/>
          <w:sz w:val="26"/>
          <w:szCs w:val="26"/>
        </w:rPr>
        <w:t xml:space="preserve">the </w:t>
      </w:r>
      <w:r w:rsidR="008C558C" w:rsidRPr="00C94A1F">
        <w:rPr>
          <w:rFonts w:eastAsia="Calibri"/>
          <w:sz w:val="26"/>
          <w:szCs w:val="26"/>
        </w:rPr>
        <w:t xml:space="preserve">OCA did provide some substantive comments on </w:t>
      </w:r>
      <w:r w:rsidRPr="00C94A1F">
        <w:rPr>
          <w:rFonts w:eastAsia="Calibri"/>
          <w:sz w:val="26"/>
          <w:szCs w:val="26"/>
        </w:rPr>
        <w:t xml:space="preserve">the </w:t>
      </w:r>
      <w:r w:rsidR="008C558C" w:rsidRPr="00C94A1F">
        <w:rPr>
          <w:rFonts w:eastAsia="Calibri"/>
          <w:sz w:val="26"/>
          <w:szCs w:val="26"/>
        </w:rPr>
        <w:t xml:space="preserve">Settlement in its Comments in Opposition to the Joint Petition, the OCA’s “Comments” mostly attempted to interject additional proposed facts and evidence that went far beyond the scope of Comments permitted by ALJ Pell in his </w:t>
      </w:r>
      <w:r w:rsidR="00C94A1F" w:rsidRPr="00C94A1F">
        <w:rPr>
          <w:rFonts w:eastAsia="Calibri"/>
          <w:i/>
          <w:iCs/>
          <w:sz w:val="26"/>
          <w:szCs w:val="26"/>
        </w:rPr>
        <w:t>Abeyance</w:t>
      </w:r>
      <w:r w:rsidR="008C558C" w:rsidRPr="00C94A1F">
        <w:rPr>
          <w:rFonts w:eastAsia="Calibri"/>
          <w:i/>
          <w:iCs/>
          <w:sz w:val="26"/>
          <w:szCs w:val="26"/>
        </w:rPr>
        <w:t xml:space="preserve"> Order</w:t>
      </w:r>
      <w:r w:rsidR="008C558C" w:rsidRPr="00C94A1F">
        <w:rPr>
          <w:rFonts w:eastAsia="Calibri"/>
          <w:sz w:val="26"/>
          <w:szCs w:val="26"/>
        </w:rPr>
        <w:t xml:space="preserve">.  The filing that </w:t>
      </w:r>
      <w:r w:rsidR="00481985">
        <w:rPr>
          <w:rFonts w:eastAsia="Calibri"/>
          <w:sz w:val="26"/>
          <w:szCs w:val="26"/>
        </w:rPr>
        <w:t xml:space="preserve">the </w:t>
      </w:r>
      <w:r w:rsidR="008C558C" w:rsidRPr="00C94A1F">
        <w:rPr>
          <w:rFonts w:eastAsia="Calibri"/>
          <w:sz w:val="26"/>
          <w:szCs w:val="26"/>
        </w:rPr>
        <w:t xml:space="preserve">OCA refers to as its “Comments” is tantamount to a hybrid of a legal brief, with impermissible written testimony, unauthenticated exhibits consisting entirely of hearsay, discussion of matters that are far outside the scope of the Complaint and the Settlement, and “Findings of Fact” that were based almost entirely on information that is not in the record in the proceeding.  </w:t>
      </w:r>
      <w:r w:rsidR="00567808">
        <w:rPr>
          <w:rFonts w:eastAsia="Calibri"/>
          <w:sz w:val="26"/>
          <w:szCs w:val="26"/>
        </w:rPr>
        <w:t>Verde contends t</w:t>
      </w:r>
      <w:r w:rsidR="00567808" w:rsidRPr="00C94A1F">
        <w:rPr>
          <w:rFonts w:eastAsia="Calibri"/>
          <w:sz w:val="26"/>
          <w:szCs w:val="26"/>
        </w:rPr>
        <w:t xml:space="preserve">he </w:t>
      </w:r>
      <w:r w:rsidR="008C558C" w:rsidRPr="00C94A1F">
        <w:rPr>
          <w:rFonts w:eastAsia="Calibri"/>
          <w:sz w:val="26"/>
          <w:szCs w:val="26"/>
        </w:rPr>
        <w:t xml:space="preserve">ALJ was entirely correct in striking those improper portions of the OCA’s Comments, and the striking of those improper portions did not deny the OCA any opportunity to be heard regarding the Settlement’s terms. </w:t>
      </w:r>
      <w:r w:rsidR="00C14585">
        <w:rPr>
          <w:rFonts w:eastAsia="Calibri"/>
          <w:sz w:val="26"/>
          <w:szCs w:val="26"/>
        </w:rPr>
        <w:t xml:space="preserve"> Verde Brief in Opposition at </w:t>
      </w:r>
      <w:r w:rsidR="00EB2D25">
        <w:rPr>
          <w:rFonts w:eastAsia="Calibri"/>
          <w:sz w:val="26"/>
          <w:szCs w:val="26"/>
        </w:rPr>
        <w:t>7, 9-15.</w:t>
      </w:r>
    </w:p>
    <w:p w14:paraId="3BD3277A" w14:textId="77777777" w:rsidR="007E6D36" w:rsidRDefault="007E6D36" w:rsidP="002A3BC9">
      <w:pPr>
        <w:autoSpaceDE w:val="0"/>
        <w:autoSpaceDN w:val="0"/>
        <w:adjustRightInd w:val="0"/>
        <w:rPr>
          <w:rFonts w:eastAsia="Calibri"/>
          <w:sz w:val="26"/>
          <w:szCs w:val="26"/>
        </w:rPr>
      </w:pPr>
    </w:p>
    <w:p w14:paraId="06F49DB7" w14:textId="2457EBB2" w:rsidR="009F067E" w:rsidRPr="00BC3D6E" w:rsidRDefault="006F6ADC" w:rsidP="00D54D13">
      <w:pPr>
        <w:pStyle w:val="ListParagraph"/>
        <w:keepNext/>
        <w:keepLines/>
        <w:ind w:left="0" w:firstLine="0"/>
        <w:rPr>
          <w:b/>
          <w:sz w:val="26"/>
          <w:szCs w:val="26"/>
        </w:rPr>
      </w:pPr>
      <w:r>
        <w:rPr>
          <w:b/>
          <w:sz w:val="26"/>
          <w:szCs w:val="26"/>
        </w:rPr>
        <w:t>D.</w:t>
      </w:r>
      <w:r w:rsidR="00C81E50" w:rsidRPr="00BC3D6E">
        <w:rPr>
          <w:b/>
          <w:sz w:val="26"/>
          <w:szCs w:val="26"/>
        </w:rPr>
        <w:tab/>
      </w:r>
      <w:r w:rsidR="0097174A" w:rsidRPr="00BC3D6E">
        <w:rPr>
          <w:b/>
          <w:sz w:val="26"/>
          <w:szCs w:val="26"/>
        </w:rPr>
        <w:t>Disposition</w:t>
      </w:r>
    </w:p>
    <w:p w14:paraId="715339D0" w14:textId="77777777" w:rsidR="009F067E" w:rsidRPr="00BC3D6E" w:rsidRDefault="009F067E" w:rsidP="00D54D13">
      <w:pPr>
        <w:keepNext/>
        <w:keepLines/>
        <w:ind w:firstLine="0"/>
        <w:rPr>
          <w:sz w:val="26"/>
          <w:szCs w:val="26"/>
        </w:rPr>
      </w:pPr>
    </w:p>
    <w:p w14:paraId="708DA73A" w14:textId="36409BCA" w:rsidR="006E5329" w:rsidRDefault="006E5329" w:rsidP="006E5329">
      <w:pPr>
        <w:adjustRightInd w:val="0"/>
        <w:rPr>
          <w:sz w:val="26"/>
          <w:szCs w:val="26"/>
        </w:rPr>
      </w:pPr>
      <w:r w:rsidRPr="00841219">
        <w:rPr>
          <w:sz w:val="26"/>
          <w:szCs w:val="26"/>
        </w:rPr>
        <w:t>For the reasons discussed more fully below,</w:t>
      </w:r>
      <w:r w:rsidR="00360BF2" w:rsidRPr="00841219">
        <w:rPr>
          <w:sz w:val="26"/>
          <w:szCs w:val="26"/>
        </w:rPr>
        <w:t xml:space="preserve"> </w:t>
      </w:r>
      <w:r w:rsidR="00297085">
        <w:rPr>
          <w:sz w:val="26"/>
          <w:szCs w:val="26"/>
        </w:rPr>
        <w:t>w</w:t>
      </w:r>
      <w:r w:rsidRPr="00841219">
        <w:rPr>
          <w:sz w:val="26"/>
          <w:szCs w:val="26"/>
        </w:rPr>
        <w:t xml:space="preserve">e shall </w:t>
      </w:r>
      <w:r w:rsidR="0011468D">
        <w:rPr>
          <w:sz w:val="26"/>
          <w:szCs w:val="26"/>
        </w:rPr>
        <w:t xml:space="preserve">deny </w:t>
      </w:r>
      <w:r w:rsidRPr="00841219">
        <w:rPr>
          <w:sz w:val="26"/>
          <w:szCs w:val="26"/>
        </w:rPr>
        <w:t xml:space="preserve">the Petition, answer the Material Question in the </w:t>
      </w:r>
      <w:r w:rsidR="0011468D">
        <w:rPr>
          <w:sz w:val="26"/>
          <w:szCs w:val="26"/>
        </w:rPr>
        <w:t>negative</w:t>
      </w:r>
      <w:r w:rsidRPr="00841219">
        <w:rPr>
          <w:sz w:val="26"/>
          <w:szCs w:val="26"/>
        </w:rPr>
        <w:t xml:space="preserve">, </w:t>
      </w:r>
      <w:r w:rsidR="0011468D">
        <w:rPr>
          <w:sz w:val="26"/>
          <w:szCs w:val="26"/>
        </w:rPr>
        <w:t xml:space="preserve">adopt </w:t>
      </w:r>
      <w:r w:rsidRPr="00841219">
        <w:rPr>
          <w:sz w:val="26"/>
          <w:szCs w:val="26"/>
        </w:rPr>
        <w:t>the ALJ’s</w:t>
      </w:r>
      <w:r>
        <w:rPr>
          <w:sz w:val="26"/>
          <w:szCs w:val="26"/>
        </w:rPr>
        <w:t xml:space="preserve"> </w:t>
      </w:r>
      <w:r w:rsidRPr="00D6190F">
        <w:rPr>
          <w:i/>
          <w:iCs/>
          <w:sz w:val="26"/>
          <w:szCs w:val="26"/>
        </w:rPr>
        <w:t>Interim Order</w:t>
      </w:r>
      <w:r>
        <w:rPr>
          <w:sz w:val="26"/>
          <w:szCs w:val="26"/>
        </w:rPr>
        <w:t>,</w:t>
      </w:r>
      <w:r w:rsidR="00360BF2">
        <w:rPr>
          <w:sz w:val="26"/>
          <w:szCs w:val="26"/>
        </w:rPr>
        <w:t xml:space="preserve"> </w:t>
      </w:r>
      <w:r>
        <w:rPr>
          <w:sz w:val="26"/>
          <w:szCs w:val="26"/>
        </w:rPr>
        <w:t xml:space="preserve">and </w:t>
      </w:r>
      <w:r w:rsidRPr="00841219">
        <w:rPr>
          <w:sz w:val="26"/>
          <w:szCs w:val="26"/>
        </w:rPr>
        <w:t xml:space="preserve">return the matter to the OALJ for further proceedings </w:t>
      </w:r>
      <w:r w:rsidR="0011468D">
        <w:rPr>
          <w:sz w:val="26"/>
          <w:szCs w:val="26"/>
        </w:rPr>
        <w:t>to determine whether the proposed Settlement is reasonable</w:t>
      </w:r>
      <w:r w:rsidR="00466269">
        <w:rPr>
          <w:rStyle w:val="FootnoteReference"/>
          <w:sz w:val="26"/>
          <w:szCs w:val="26"/>
        </w:rPr>
        <w:footnoteReference w:id="10"/>
      </w:r>
      <w:r w:rsidR="00EA394B">
        <w:rPr>
          <w:sz w:val="26"/>
          <w:szCs w:val="26"/>
        </w:rPr>
        <w:t xml:space="preserve"> </w:t>
      </w:r>
      <w:r w:rsidR="0011468D">
        <w:rPr>
          <w:sz w:val="26"/>
          <w:szCs w:val="26"/>
        </w:rPr>
        <w:t>and necessary and in the public interest</w:t>
      </w:r>
      <w:r w:rsidR="00B97404" w:rsidRPr="00841219">
        <w:rPr>
          <w:rStyle w:val="FootnoteReference"/>
          <w:sz w:val="26"/>
          <w:szCs w:val="26"/>
        </w:rPr>
        <w:footnoteReference w:id="11"/>
      </w:r>
      <w:r w:rsidRPr="00841219">
        <w:rPr>
          <w:sz w:val="26"/>
          <w:szCs w:val="26"/>
        </w:rPr>
        <w:t>, as appropriate, in accordance with this Opinion and Order.</w:t>
      </w:r>
      <w:r w:rsidRPr="00667771">
        <w:rPr>
          <w:sz w:val="26"/>
          <w:szCs w:val="26"/>
        </w:rPr>
        <w:t xml:space="preserve"> </w:t>
      </w:r>
    </w:p>
    <w:p w14:paraId="236B6DF9" w14:textId="6B669E6E" w:rsidR="00D41507" w:rsidRDefault="00D41507" w:rsidP="00D54D13">
      <w:pPr>
        <w:autoSpaceDE w:val="0"/>
        <w:autoSpaceDN w:val="0"/>
        <w:adjustRightInd w:val="0"/>
        <w:rPr>
          <w:sz w:val="26"/>
          <w:szCs w:val="26"/>
        </w:rPr>
      </w:pPr>
    </w:p>
    <w:p w14:paraId="4A137D7D" w14:textId="1D0214FB" w:rsidR="00D41507" w:rsidRPr="00FF733F" w:rsidRDefault="00FF733F" w:rsidP="00FF733F">
      <w:pPr>
        <w:ind w:firstLine="720"/>
        <w:rPr>
          <w:sz w:val="26"/>
          <w:szCs w:val="26"/>
        </w:rPr>
      </w:pPr>
      <w:r>
        <w:rPr>
          <w:sz w:val="26"/>
          <w:szCs w:val="26"/>
        </w:rPr>
        <w:t xml:space="preserve">As previously noted, </w:t>
      </w:r>
      <w:r w:rsidRPr="00FF733F">
        <w:rPr>
          <w:sz w:val="26"/>
          <w:szCs w:val="26"/>
        </w:rPr>
        <w:t xml:space="preserve">the ALJ explained </w:t>
      </w:r>
      <w:r>
        <w:rPr>
          <w:sz w:val="26"/>
          <w:szCs w:val="26"/>
        </w:rPr>
        <w:t xml:space="preserve">in his </w:t>
      </w:r>
      <w:r w:rsidRPr="00FF733F">
        <w:rPr>
          <w:i/>
          <w:iCs/>
          <w:sz w:val="26"/>
          <w:szCs w:val="26"/>
        </w:rPr>
        <w:t>Interim Order</w:t>
      </w:r>
      <w:r>
        <w:rPr>
          <w:sz w:val="26"/>
          <w:szCs w:val="26"/>
        </w:rPr>
        <w:t xml:space="preserve"> </w:t>
      </w:r>
      <w:r w:rsidRPr="00FF733F">
        <w:rPr>
          <w:sz w:val="26"/>
          <w:szCs w:val="26"/>
        </w:rPr>
        <w:t>that he “did not invite the OCA to provide an affidavit with accompanying exhibits from the witness it proposed in its Prehearing Memorandum, to provide proposed findings of fact, or to attempt to expand the scope of this proceeding.”</w:t>
      </w:r>
      <w:r w:rsidR="00954EA0" w:rsidRPr="00954EA0">
        <w:rPr>
          <w:rStyle w:val="FootnoteReference"/>
          <w:sz w:val="26"/>
          <w:szCs w:val="26"/>
        </w:rPr>
        <w:t xml:space="preserve"> </w:t>
      </w:r>
      <w:r w:rsidR="00954EA0" w:rsidRPr="00FF733F">
        <w:rPr>
          <w:rStyle w:val="FootnoteReference"/>
          <w:sz w:val="26"/>
          <w:szCs w:val="26"/>
        </w:rPr>
        <w:footnoteReference w:id="12"/>
      </w:r>
      <w:r w:rsidRPr="00FF733F">
        <w:rPr>
          <w:sz w:val="26"/>
          <w:szCs w:val="26"/>
        </w:rPr>
        <w:t xml:space="preserve">  Rather, the ALJ noted that his “expectation was for the OCA to provide comments based upon the allegations raised by I&amp;E in the Complaint and the information obtained through discovery.”</w:t>
      </w:r>
      <w:r w:rsidRPr="00FF733F">
        <w:rPr>
          <w:rStyle w:val="FootnoteReference"/>
          <w:sz w:val="26"/>
          <w:szCs w:val="26"/>
        </w:rPr>
        <w:footnoteReference w:id="13"/>
      </w:r>
      <w:r w:rsidRPr="00FF733F">
        <w:rPr>
          <w:sz w:val="26"/>
          <w:szCs w:val="26"/>
        </w:rPr>
        <w:t xml:space="preserve">  </w:t>
      </w:r>
      <w:r w:rsidR="00D41507" w:rsidRPr="00FF733F">
        <w:rPr>
          <w:sz w:val="26"/>
          <w:szCs w:val="26"/>
        </w:rPr>
        <w:t>The ALJ explained that it would be improper to rely upon the OCA’s affidavit or the accompanying exhibits (or any information derived therefrom) since I&amp;E and Verde never had the opportunity to cross examine this witness or to offer rebuttal testimony.  Additionally, the ALJ found that the factual comments provided by the OCA regarding Verde’s corporate structure in other states was beyond the scope of this proceeding and should be stricken.</w:t>
      </w:r>
    </w:p>
    <w:p w14:paraId="5AD8CBE9" w14:textId="77777777" w:rsidR="00D41507" w:rsidRDefault="00D41507" w:rsidP="00D54D13">
      <w:pPr>
        <w:autoSpaceDE w:val="0"/>
        <w:autoSpaceDN w:val="0"/>
        <w:adjustRightInd w:val="0"/>
        <w:rPr>
          <w:sz w:val="26"/>
          <w:szCs w:val="26"/>
        </w:rPr>
      </w:pPr>
    </w:p>
    <w:p w14:paraId="526A111B" w14:textId="77777777" w:rsidR="007E0DD5" w:rsidRDefault="007E0DD5" w:rsidP="00D54D13">
      <w:pPr>
        <w:autoSpaceDE w:val="0"/>
        <w:autoSpaceDN w:val="0"/>
        <w:adjustRightInd w:val="0"/>
        <w:rPr>
          <w:sz w:val="26"/>
          <w:szCs w:val="26"/>
        </w:rPr>
      </w:pPr>
    </w:p>
    <w:p w14:paraId="51F77FD5" w14:textId="6FE49219" w:rsidR="006F3002" w:rsidRDefault="00AA6BC5" w:rsidP="00A0758C">
      <w:pPr>
        <w:rPr>
          <w:sz w:val="26"/>
          <w:szCs w:val="26"/>
        </w:rPr>
      </w:pPr>
      <w:r w:rsidRPr="00841219">
        <w:rPr>
          <w:sz w:val="26"/>
          <w:szCs w:val="26"/>
        </w:rPr>
        <w:t xml:space="preserve">We have considered the opposing arguments and rationale </w:t>
      </w:r>
      <w:r w:rsidR="008424BF">
        <w:rPr>
          <w:sz w:val="26"/>
          <w:szCs w:val="26"/>
        </w:rPr>
        <w:t xml:space="preserve">to </w:t>
      </w:r>
      <w:r w:rsidRPr="00841219">
        <w:rPr>
          <w:sz w:val="26"/>
          <w:szCs w:val="26"/>
        </w:rPr>
        <w:t xml:space="preserve">the ALJ’s </w:t>
      </w:r>
      <w:r w:rsidRPr="00970AD1">
        <w:rPr>
          <w:i/>
          <w:iCs/>
          <w:sz w:val="26"/>
          <w:szCs w:val="26"/>
        </w:rPr>
        <w:t>Interim Order</w:t>
      </w:r>
      <w:r w:rsidRPr="00841219">
        <w:rPr>
          <w:sz w:val="26"/>
          <w:szCs w:val="26"/>
        </w:rPr>
        <w:t xml:space="preserve"> </w:t>
      </w:r>
      <w:r w:rsidR="0095374B">
        <w:rPr>
          <w:sz w:val="26"/>
          <w:szCs w:val="26"/>
        </w:rPr>
        <w:t>presented in the OCA’s Petition</w:t>
      </w:r>
      <w:r w:rsidR="00A609D9">
        <w:rPr>
          <w:sz w:val="26"/>
          <w:szCs w:val="26"/>
        </w:rPr>
        <w:t>, which we reject.</w:t>
      </w:r>
      <w:r w:rsidR="00A0758C">
        <w:rPr>
          <w:sz w:val="26"/>
          <w:szCs w:val="26"/>
        </w:rPr>
        <w:t xml:space="preserve">  </w:t>
      </w:r>
      <w:r w:rsidR="006F3002">
        <w:rPr>
          <w:sz w:val="26"/>
          <w:szCs w:val="26"/>
        </w:rPr>
        <w:t>We recognize that I&amp;E and Verde have worked hard in negotiating and reaching a Settlement.  We also recognize that the</w:t>
      </w:r>
      <w:r w:rsidR="006F3002" w:rsidRPr="00C14585">
        <w:rPr>
          <w:sz w:val="26"/>
          <w:szCs w:val="26"/>
        </w:rPr>
        <w:t xml:space="preserve"> Commission has a long-standing policy to encourage settlements.</w:t>
      </w:r>
      <w:r w:rsidR="006F3002" w:rsidRPr="00C14585">
        <w:rPr>
          <w:rStyle w:val="FootnoteReference"/>
          <w:sz w:val="26"/>
          <w:szCs w:val="26"/>
        </w:rPr>
        <w:footnoteReference w:id="14"/>
      </w:r>
      <w:r w:rsidR="006F3002">
        <w:rPr>
          <w:sz w:val="26"/>
          <w:szCs w:val="26"/>
        </w:rPr>
        <w:t xml:space="preserve"> </w:t>
      </w:r>
      <w:r w:rsidR="006F3002" w:rsidRPr="00C14585">
        <w:rPr>
          <w:sz w:val="26"/>
          <w:szCs w:val="26"/>
        </w:rPr>
        <w:t xml:space="preserve"> 52</w:t>
      </w:r>
      <w:r w:rsidR="00F76872">
        <w:rPr>
          <w:sz w:val="26"/>
          <w:szCs w:val="26"/>
        </w:rPr>
        <w:t> </w:t>
      </w:r>
      <w:r w:rsidR="006F3002" w:rsidRPr="00C14585">
        <w:rPr>
          <w:sz w:val="26"/>
          <w:szCs w:val="26"/>
        </w:rPr>
        <w:t>Pa. Code § 5.231(a)</w:t>
      </w:r>
      <w:r w:rsidR="006F3002" w:rsidRPr="00C14585">
        <w:rPr>
          <w:i/>
          <w:sz w:val="26"/>
          <w:szCs w:val="26"/>
        </w:rPr>
        <w:t xml:space="preserve"> see also</w:t>
      </w:r>
      <w:r w:rsidR="006F3002" w:rsidRPr="00C14585">
        <w:rPr>
          <w:sz w:val="26"/>
          <w:szCs w:val="26"/>
        </w:rPr>
        <w:t xml:space="preserve"> 52 Pa. Code § 69.401</w:t>
      </w:r>
      <w:r w:rsidR="006F3002">
        <w:rPr>
          <w:sz w:val="26"/>
          <w:szCs w:val="26"/>
        </w:rPr>
        <w:t>.</w:t>
      </w:r>
      <w:r w:rsidR="00A0758C">
        <w:rPr>
          <w:sz w:val="26"/>
          <w:szCs w:val="26"/>
        </w:rPr>
        <w:t xml:space="preserve">  </w:t>
      </w:r>
      <w:r w:rsidR="006F3002">
        <w:rPr>
          <w:sz w:val="26"/>
          <w:szCs w:val="26"/>
        </w:rPr>
        <w:t xml:space="preserve">We conclude that the OCA’s due process rights are protected by the opportunity to file comments. </w:t>
      </w:r>
      <w:r w:rsidR="001B4D9B">
        <w:rPr>
          <w:sz w:val="26"/>
          <w:szCs w:val="26"/>
        </w:rPr>
        <w:t xml:space="preserve"> </w:t>
      </w:r>
      <w:r w:rsidR="006F3002" w:rsidRPr="002641AF">
        <w:rPr>
          <w:i/>
          <w:iCs/>
          <w:sz w:val="26"/>
          <w:szCs w:val="26"/>
        </w:rPr>
        <w:t>See</w:t>
      </w:r>
      <w:r w:rsidR="006F3002">
        <w:rPr>
          <w:sz w:val="26"/>
          <w:szCs w:val="26"/>
        </w:rPr>
        <w:t>,</w:t>
      </w:r>
      <w:r w:rsidR="008B2CFD">
        <w:rPr>
          <w:sz w:val="26"/>
          <w:szCs w:val="26"/>
        </w:rPr>
        <w:t xml:space="preserve"> </w:t>
      </w:r>
      <w:r w:rsidR="008B2CFD" w:rsidRPr="008B2CFD">
        <w:rPr>
          <w:i/>
          <w:iCs/>
          <w:sz w:val="26"/>
          <w:szCs w:val="26"/>
        </w:rPr>
        <w:t>i.e</w:t>
      </w:r>
      <w:r w:rsidR="008B2CFD">
        <w:rPr>
          <w:sz w:val="26"/>
          <w:szCs w:val="26"/>
        </w:rPr>
        <w:t>.,</w:t>
      </w:r>
      <w:r w:rsidR="006F3002">
        <w:rPr>
          <w:sz w:val="26"/>
          <w:szCs w:val="26"/>
        </w:rPr>
        <w:t xml:space="preserve"> </w:t>
      </w:r>
      <w:r w:rsidR="006F3002" w:rsidRPr="00E229E7">
        <w:rPr>
          <w:i/>
          <w:iCs/>
          <w:sz w:val="26"/>
          <w:szCs w:val="26"/>
        </w:rPr>
        <w:t>ARIPPA v. Pa.</w:t>
      </w:r>
      <w:r w:rsidR="00F76872">
        <w:rPr>
          <w:i/>
          <w:iCs/>
          <w:sz w:val="26"/>
          <w:szCs w:val="26"/>
        </w:rPr>
        <w:t> </w:t>
      </w:r>
      <w:r w:rsidR="006F3002" w:rsidRPr="00E229E7">
        <w:rPr>
          <w:i/>
          <w:iCs/>
          <w:sz w:val="26"/>
          <w:szCs w:val="26"/>
        </w:rPr>
        <w:t>PUC</w:t>
      </w:r>
      <w:r w:rsidR="006F3002">
        <w:rPr>
          <w:sz w:val="26"/>
          <w:szCs w:val="26"/>
        </w:rPr>
        <w:t>, 792 A.2d 636, 661 (Pa. Cmwlth. 2002).</w:t>
      </w:r>
    </w:p>
    <w:p w14:paraId="745C592A" w14:textId="77777777" w:rsidR="006F3002" w:rsidRDefault="006F3002" w:rsidP="004C1A81">
      <w:pPr>
        <w:rPr>
          <w:color w:val="000000"/>
          <w:sz w:val="26"/>
          <w:szCs w:val="26"/>
        </w:rPr>
      </w:pPr>
    </w:p>
    <w:p w14:paraId="2325F721" w14:textId="02C2C8A7" w:rsidR="004C1A81" w:rsidRPr="004C1A81" w:rsidRDefault="00A609D9" w:rsidP="00CA3750">
      <w:pPr>
        <w:rPr>
          <w:color w:val="000000"/>
          <w:sz w:val="26"/>
          <w:szCs w:val="26"/>
        </w:rPr>
      </w:pPr>
      <w:r>
        <w:rPr>
          <w:color w:val="000000"/>
          <w:sz w:val="26"/>
          <w:szCs w:val="26"/>
        </w:rPr>
        <w:t>We</w:t>
      </w:r>
      <w:r w:rsidR="004C1A81" w:rsidRPr="004C1A81">
        <w:rPr>
          <w:color w:val="000000"/>
          <w:sz w:val="26"/>
          <w:szCs w:val="26"/>
        </w:rPr>
        <w:t xml:space="preserve"> agree with the ALJ that it would be improper to rely on the additional factual materials included in the OCA’s substantive comments for the reasons set forth in the </w:t>
      </w:r>
      <w:r w:rsidR="004C1A81" w:rsidRPr="004C1A81">
        <w:rPr>
          <w:i/>
          <w:color w:val="000000"/>
          <w:sz w:val="26"/>
          <w:szCs w:val="26"/>
        </w:rPr>
        <w:t>Interim Order</w:t>
      </w:r>
      <w:r w:rsidR="004C1A81" w:rsidRPr="004C1A81">
        <w:rPr>
          <w:color w:val="000000"/>
          <w:sz w:val="26"/>
          <w:szCs w:val="26"/>
        </w:rPr>
        <w:t xml:space="preserve">.  Additionally, </w:t>
      </w:r>
      <w:r w:rsidR="00CA3750">
        <w:rPr>
          <w:color w:val="000000"/>
          <w:sz w:val="26"/>
          <w:szCs w:val="26"/>
        </w:rPr>
        <w:t>we</w:t>
      </w:r>
      <w:r w:rsidR="004C1A81" w:rsidRPr="004C1A81">
        <w:rPr>
          <w:color w:val="000000"/>
          <w:sz w:val="26"/>
          <w:szCs w:val="26"/>
        </w:rPr>
        <w:t xml:space="preserve"> point out that the OCA, because of its choice to proceed as an intervenor, does not have the ability to require I&amp;E and Verde to litigate this matter.  The Commission has determined that “[a]n intervenor’s role in proceedings before this Commission is on a non-party basis, meaning that the initiating and responding parties can drive the outcome without regard to the alleged interests of would-be intervenors.”</w:t>
      </w:r>
      <w:r w:rsidR="004C1A81" w:rsidRPr="004C1A81">
        <w:rPr>
          <w:color w:val="000000"/>
          <w:sz w:val="26"/>
          <w:szCs w:val="26"/>
          <w:vertAlign w:val="superscript"/>
        </w:rPr>
        <w:footnoteReference w:id="15"/>
      </w:r>
      <w:r w:rsidR="004C1A81" w:rsidRPr="004C1A81">
        <w:rPr>
          <w:color w:val="000000"/>
          <w:sz w:val="26"/>
          <w:szCs w:val="26"/>
        </w:rPr>
        <w:t xml:space="preserve">  I&amp;E and Verde acted properly by engaging in settlement discussions and ultimately settling the Complaint.  In fact, I&amp;E and Verde asked for the OCA’s input prior to filing the Settlement, but the OCA declined this request.  </w:t>
      </w:r>
      <w:r w:rsidR="00CA3750">
        <w:rPr>
          <w:color w:val="000000"/>
          <w:sz w:val="26"/>
          <w:szCs w:val="26"/>
        </w:rPr>
        <w:t>We conclude th</w:t>
      </w:r>
      <w:r w:rsidR="004C1A81" w:rsidRPr="004C1A81">
        <w:rPr>
          <w:color w:val="000000"/>
          <w:sz w:val="26"/>
          <w:szCs w:val="26"/>
        </w:rPr>
        <w:t>e OCA then improperly attempted to use its role as an intervenor to introduce additional factual materials in its substantive comments.</w:t>
      </w:r>
      <w:r w:rsidR="00817455">
        <w:rPr>
          <w:rStyle w:val="FootnoteReference"/>
          <w:color w:val="000000"/>
          <w:sz w:val="26"/>
          <w:szCs w:val="26"/>
        </w:rPr>
        <w:footnoteReference w:id="16"/>
      </w:r>
      <w:r w:rsidR="00CA3750">
        <w:rPr>
          <w:color w:val="000000"/>
          <w:sz w:val="26"/>
          <w:szCs w:val="26"/>
          <w:vertAlign w:val="superscript"/>
        </w:rPr>
        <w:t xml:space="preserve"> </w:t>
      </w:r>
      <w:r w:rsidR="009135FD">
        <w:rPr>
          <w:color w:val="000000"/>
          <w:sz w:val="26"/>
          <w:szCs w:val="26"/>
          <w:vertAlign w:val="superscript"/>
        </w:rPr>
        <w:t xml:space="preserve"> </w:t>
      </w:r>
      <w:r w:rsidR="00CA3750">
        <w:rPr>
          <w:color w:val="000000"/>
          <w:sz w:val="26"/>
          <w:szCs w:val="26"/>
          <w:vertAlign w:val="superscript"/>
        </w:rPr>
        <w:t xml:space="preserve"> </w:t>
      </w:r>
      <w:r w:rsidR="004C1A81" w:rsidRPr="004C1A81">
        <w:rPr>
          <w:color w:val="000000"/>
          <w:sz w:val="26"/>
          <w:szCs w:val="26"/>
        </w:rPr>
        <w:t xml:space="preserve">For these reasons, the Motion to Strike was properly granted by the ALJ and the Material Question presented in the OCA’s Petition should be answered in the negative.     </w:t>
      </w:r>
    </w:p>
    <w:p w14:paraId="02867E70" w14:textId="77777777" w:rsidR="004C1A81" w:rsidRPr="004C1A81" w:rsidRDefault="004C1A81" w:rsidP="004C1A81">
      <w:pPr>
        <w:rPr>
          <w:color w:val="000000"/>
          <w:sz w:val="26"/>
          <w:szCs w:val="26"/>
        </w:rPr>
      </w:pPr>
      <w:r w:rsidRPr="004C1A81">
        <w:rPr>
          <w:color w:val="000000"/>
          <w:sz w:val="26"/>
          <w:szCs w:val="26"/>
        </w:rPr>
        <w:t xml:space="preserve"> </w:t>
      </w:r>
    </w:p>
    <w:p w14:paraId="7CAD532B" w14:textId="38EFE11E" w:rsidR="004C1A81" w:rsidRPr="004C1A81" w:rsidRDefault="004C1A81" w:rsidP="007E6D36">
      <w:pPr>
        <w:rPr>
          <w:color w:val="000000"/>
          <w:sz w:val="26"/>
          <w:szCs w:val="26"/>
        </w:rPr>
      </w:pPr>
      <w:r w:rsidRPr="004C1A81">
        <w:rPr>
          <w:color w:val="000000"/>
          <w:sz w:val="26"/>
          <w:szCs w:val="26"/>
        </w:rPr>
        <w:t xml:space="preserve">In addition, </w:t>
      </w:r>
      <w:r w:rsidR="00D54A20">
        <w:rPr>
          <w:color w:val="000000"/>
          <w:sz w:val="26"/>
          <w:szCs w:val="26"/>
        </w:rPr>
        <w:t>we</w:t>
      </w:r>
      <w:r w:rsidRPr="004C1A81">
        <w:rPr>
          <w:color w:val="000000"/>
          <w:sz w:val="26"/>
          <w:szCs w:val="26"/>
        </w:rPr>
        <w:t xml:space="preserve"> agree with I&amp;E that we should answer the Material Question in the negative so that the current proceeding is not unnecessarily delayed.  It is important to note that the Settlement before us today includes terms for the payment by Verde of refunds to affected customers.  As such, the OCA’s Petition should be denied in its entirety and the matter should be returned to the ALJ to promptly determine whether the Settlement proposed in this matter should be approved as being in the public interest.  </w:t>
      </w:r>
    </w:p>
    <w:p w14:paraId="205C9994" w14:textId="77777777" w:rsidR="004C1A81" w:rsidRPr="004C1A81" w:rsidRDefault="004C1A81" w:rsidP="007E6D36">
      <w:pPr>
        <w:ind w:left="1440" w:firstLine="0"/>
        <w:rPr>
          <w:color w:val="000000"/>
          <w:sz w:val="26"/>
          <w:szCs w:val="26"/>
        </w:rPr>
      </w:pPr>
      <w:r w:rsidRPr="004C1A81">
        <w:rPr>
          <w:color w:val="000000"/>
          <w:sz w:val="26"/>
          <w:szCs w:val="26"/>
        </w:rPr>
        <w:t xml:space="preserve"> </w:t>
      </w:r>
    </w:p>
    <w:p w14:paraId="469ADB56" w14:textId="6C514595" w:rsidR="00AA4577" w:rsidRPr="00BC3D6E" w:rsidRDefault="00786047" w:rsidP="007E6D36">
      <w:pPr>
        <w:keepNext/>
        <w:keepLines/>
        <w:ind w:firstLine="0"/>
        <w:jc w:val="center"/>
        <w:rPr>
          <w:b/>
          <w:sz w:val="26"/>
          <w:szCs w:val="26"/>
        </w:rPr>
      </w:pPr>
      <w:r w:rsidRPr="00BC3D6E">
        <w:rPr>
          <w:b/>
          <w:sz w:val="26"/>
          <w:szCs w:val="26"/>
        </w:rPr>
        <w:t>I</w:t>
      </w:r>
      <w:r w:rsidR="00D052AA">
        <w:rPr>
          <w:b/>
          <w:sz w:val="26"/>
          <w:szCs w:val="26"/>
        </w:rPr>
        <w:t>II</w:t>
      </w:r>
      <w:r w:rsidRPr="00BC3D6E">
        <w:rPr>
          <w:b/>
          <w:sz w:val="26"/>
          <w:szCs w:val="26"/>
        </w:rPr>
        <w:t>.</w:t>
      </w:r>
      <w:r w:rsidRPr="00BC3D6E">
        <w:rPr>
          <w:b/>
          <w:sz w:val="26"/>
          <w:szCs w:val="26"/>
        </w:rPr>
        <w:tab/>
      </w:r>
      <w:r w:rsidR="00AA4577" w:rsidRPr="00BC3D6E">
        <w:rPr>
          <w:b/>
          <w:sz w:val="26"/>
          <w:szCs w:val="26"/>
        </w:rPr>
        <w:t>Conclusion</w:t>
      </w:r>
    </w:p>
    <w:p w14:paraId="3DDD4BB5" w14:textId="77777777" w:rsidR="00130D9D" w:rsidRPr="00BC3D6E" w:rsidRDefault="00130D9D" w:rsidP="007E6D36">
      <w:pPr>
        <w:keepNext/>
        <w:keepLines/>
        <w:ind w:firstLine="0"/>
        <w:jc w:val="center"/>
        <w:rPr>
          <w:sz w:val="26"/>
          <w:szCs w:val="26"/>
        </w:rPr>
      </w:pPr>
    </w:p>
    <w:p w14:paraId="6DAE33F2" w14:textId="2D763C2E" w:rsidR="00AA4577" w:rsidRPr="00BC3D6E" w:rsidRDefault="00D26E6B" w:rsidP="007E6D36">
      <w:pPr>
        <w:keepNext/>
        <w:keepLines/>
        <w:autoSpaceDE w:val="0"/>
        <w:autoSpaceDN w:val="0"/>
        <w:rPr>
          <w:sz w:val="26"/>
          <w:szCs w:val="26"/>
        </w:rPr>
      </w:pPr>
      <w:r w:rsidRPr="00BC3D6E">
        <w:rPr>
          <w:sz w:val="26"/>
          <w:szCs w:val="26"/>
        </w:rPr>
        <w:t xml:space="preserve">Based on our review of the Petition, the </w:t>
      </w:r>
      <w:r w:rsidR="00192708">
        <w:rPr>
          <w:sz w:val="26"/>
          <w:szCs w:val="26"/>
        </w:rPr>
        <w:t>P</w:t>
      </w:r>
      <w:r w:rsidRPr="00BC3D6E">
        <w:rPr>
          <w:sz w:val="26"/>
          <w:szCs w:val="26"/>
        </w:rPr>
        <w:t>ositions of the Parties, and the a</w:t>
      </w:r>
      <w:r w:rsidR="00876956">
        <w:rPr>
          <w:sz w:val="26"/>
          <w:szCs w:val="26"/>
        </w:rPr>
        <w:t>pplicable</w:t>
      </w:r>
      <w:r w:rsidRPr="00BC3D6E">
        <w:rPr>
          <w:sz w:val="26"/>
          <w:szCs w:val="26"/>
        </w:rPr>
        <w:t xml:space="preserve"> law, we </w:t>
      </w:r>
      <w:r w:rsidR="00A96510">
        <w:rPr>
          <w:sz w:val="26"/>
          <w:szCs w:val="26"/>
        </w:rPr>
        <w:t xml:space="preserve">shall </w:t>
      </w:r>
      <w:r w:rsidR="000D254E">
        <w:rPr>
          <w:sz w:val="26"/>
          <w:szCs w:val="26"/>
        </w:rPr>
        <w:t xml:space="preserve">deny </w:t>
      </w:r>
      <w:r w:rsidRPr="00BC3D6E">
        <w:rPr>
          <w:sz w:val="26"/>
          <w:szCs w:val="26"/>
        </w:rPr>
        <w:t>the Pe</w:t>
      </w:r>
      <w:r w:rsidR="00F533E3" w:rsidRPr="00BC3D6E">
        <w:rPr>
          <w:sz w:val="26"/>
          <w:szCs w:val="26"/>
        </w:rPr>
        <w:t>tition</w:t>
      </w:r>
      <w:r w:rsidR="00B2066A">
        <w:rPr>
          <w:sz w:val="26"/>
          <w:szCs w:val="26"/>
        </w:rPr>
        <w:t xml:space="preserve"> </w:t>
      </w:r>
      <w:r w:rsidR="00852977" w:rsidRPr="00BC3D6E">
        <w:rPr>
          <w:sz w:val="26"/>
          <w:szCs w:val="26"/>
        </w:rPr>
        <w:t>and return th</w:t>
      </w:r>
      <w:r w:rsidR="00D424E5" w:rsidRPr="00BC3D6E">
        <w:rPr>
          <w:sz w:val="26"/>
          <w:szCs w:val="26"/>
        </w:rPr>
        <w:t xml:space="preserve">is matter to </w:t>
      </w:r>
      <w:r w:rsidR="00D4093B" w:rsidRPr="00BC3D6E">
        <w:rPr>
          <w:sz w:val="26"/>
          <w:szCs w:val="26"/>
        </w:rPr>
        <w:t xml:space="preserve">the </w:t>
      </w:r>
      <w:r w:rsidR="002C5404" w:rsidRPr="00BC3D6E">
        <w:rPr>
          <w:sz w:val="26"/>
          <w:szCs w:val="26"/>
        </w:rPr>
        <w:t xml:space="preserve">presiding </w:t>
      </w:r>
      <w:r w:rsidR="00D4093B" w:rsidRPr="00BC3D6E">
        <w:rPr>
          <w:sz w:val="26"/>
          <w:szCs w:val="26"/>
        </w:rPr>
        <w:t>ALJ</w:t>
      </w:r>
      <w:r w:rsidR="00CB6343">
        <w:rPr>
          <w:sz w:val="26"/>
          <w:szCs w:val="26"/>
        </w:rPr>
        <w:t>,</w:t>
      </w:r>
      <w:r w:rsidR="00D4093B" w:rsidRPr="00BC3D6E">
        <w:rPr>
          <w:sz w:val="26"/>
          <w:szCs w:val="26"/>
        </w:rPr>
        <w:t xml:space="preserve"> </w:t>
      </w:r>
      <w:r w:rsidR="00531B93" w:rsidRPr="00BC3D6E">
        <w:rPr>
          <w:sz w:val="26"/>
          <w:szCs w:val="26"/>
        </w:rPr>
        <w:t>consistent with this Opinion and Order</w:t>
      </w:r>
      <w:r w:rsidR="00AA4577" w:rsidRPr="00BC3D6E">
        <w:rPr>
          <w:sz w:val="26"/>
          <w:szCs w:val="26"/>
        </w:rPr>
        <w:t xml:space="preserve">; </w:t>
      </w:r>
      <w:r w:rsidR="00AA4577" w:rsidRPr="00BC3D6E">
        <w:rPr>
          <w:b/>
          <w:sz w:val="26"/>
          <w:szCs w:val="26"/>
        </w:rPr>
        <w:t>THEREFORE,</w:t>
      </w:r>
    </w:p>
    <w:p w14:paraId="4F0BB8E8" w14:textId="77777777" w:rsidR="007246C2" w:rsidRPr="00BC3D6E" w:rsidRDefault="007246C2" w:rsidP="006702FA">
      <w:pPr>
        <w:ind w:firstLine="0"/>
        <w:outlineLvl w:val="0"/>
        <w:rPr>
          <w:b/>
          <w:sz w:val="26"/>
          <w:szCs w:val="26"/>
        </w:rPr>
      </w:pPr>
    </w:p>
    <w:p w14:paraId="486181EA" w14:textId="62788752" w:rsidR="00AA4577" w:rsidRDefault="007246C2" w:rsidP="006702FA">
      <w:pPr>
        <w:ind w:firstLine="0"/>
        <w:outlineLvl w:val="0"/>
        <w:rPr>
          <w:b/>
          <w:sz w:val="26"/>
          <w:szCs w:val="26"/>
        </w:rPr>
      </w:pPr>
      <w:r w:rsidRPr="00BC3D6E">
        <w:rPr>
          <w:b/>
          <w:sz w:val="26"/>
          <w:szCs w:val="26"/>
        </w:rPr>
        <w:tab/>
      </w:r>
      <w:r w:rsidRPr="00BC3D6E">
        <w:rPr>
          <w:b/>
          <w:sz w:val="26"/>
          <w:szCs w:val="26"/>
        </w:rPr>
        <w:tab/>
      </w:r>
      <w:r w:rsidR="00AA4577" w:rsidRPr="00BC3D6E">
        <w:rPr>
          <w:b/>
          <w:sz w:val="26"/>
          <w:szCs w:val="26"/>
        </w:rPr>
        <w:t>IT IS ORDERED:</w:t>
      </w:r>
    </w:p>
    <w:p w14:paraId="44EC379F" w14:textId="77777777" w:rsidR="00002EF5" w:rsidRPr="00BC3D6E" w:rsidRDefault="00002EF5" w:rsidP="006702FA">
      <w:pPr>
        <w:ind w:firstLine="0"/>
        <w:outlineLvl w:val="0"/>
        <w:rPr>
          <w:b/>
          <w:sz w:val="26"/>
          <w:szCs w:val="26"/>
        </w:rPr>
      </w:pPr>
    </w:p>
    <w:p w14:paraId="2AD175F0" w14:textId="548D6E8B" w:rsidR="00B2066A" w:rsidRDefault="005D6BDF" w:rsidP="006702FA">
      <w:pPr>
        <w:rPr>
          <w:sz w:val="26"/>
          <w:szCs w:val="26"/>
        </w:rPr>
      </w:pPr>
      <w:r w:rsidRPr="00BC3D6E">
        <w:rPr>
          <w:sz w:val="26"/>
          <w:szCs w:val="26"/>
        </w:rPr>
        <w:t>l.</w:t>
      </w:r>
      <w:r w:rsidRPr="00BC3D6E">
        <w:rPr>
          <w:sz w:val="26"/>
          <w:szCs w:val="26"/>
        </w:rPr>
        <w:tab/>
        <w:t xml:space="preserve">That the Petition for Interlocutory Review and Answer to Material Question filed </w:t>
      </w:r>
      <w:r w:rsidR="00F476CB">
        <w:rPr>
          <w:sz w:val="26"/>
          <w:szCs w:val="26"/>
        </w:rPr>
        <w:t xml:space="preserve">on </w:t>
      </w:r>
      <w:r w:rsidR="00EF71F2">
        <w:rPr>
          <w:sz w:val="26"/>
          <w:szCs w:val="26"/>
        </w:rPr>
        <w:t>January 28, 2021, by</w:t>
      </w:r>
      <w:r w:rsidR="00F476CB">
        <w:rPr>
          <w:sz w:val="26"/>
          <w:szCs w:val="26"/>
        </w:rPr>
        <w:t xml:space="preserve"> </w:t>
      </w:r>
      <w:r w:rsidR="00F476CB" w:rsidRPr="00BC3D6E">
        <w:rPr>
          <w:sz w:val="26"/>
          <w:szCs w:val="26"/>
        </w:rPr>
        <w:t>the Office of Consumer Advocate</w:t>
      </w:r>
      <w:r w:rsidR="00F476CB">
        <w:rPr>
          <w:sz w:val="26"/>
          <w:szCs w:val="26"/>
        </w:rPr>
        <w:t>,</w:t>
      </w:r>
      <w:r w:rsidR="00F476CB" w:rsidRPr="00BC3D6E">
        <w:rPr>
          <w:sz w:val="26"/>
          <w:szCs w:val="26"/>
        </w:rPr>
        <w:t xml:space="preserve"> in the above-captioned proceedin</w:t>
      </w:r>
      <w:r w:rsidR="00EF71F2">
        <w:rPr>
          <w:sz w:val="26"/>
          <w:szCs w:val="26"/>
        </w:rPr>
        <w:t>g is</w:t>
      </w:r>
      <w:r w:rsidR="00B2066A">
        <w:rPr>
          <w:sz w:val="26"/>
          <w:szCs w:val="26"/>
        </w:rPr>
        <w:t xml:space="preserve"> </w:t>
      </w:r>
      <w:r w:rsidR="000D254E">
        <w:rPr>
          <w:sz w:val="26"/>
          <w:szCs w:val="26"/>
        </w:rPr>
        <w:t>denied</w:t>
      </w:r>
      <w:r w:rsidR="00027C72">
        <w:rPr>
          <w:sz w:val="26"/>
          <w:szCs w:val="26"/>
        </w:rPr>
        <w:t>,</w:t>
      </w:r>
      <w:r w:rsidR="00B2066A">
        <w:rPr>
          <w:sz w:val="26"/>
          <w:szCs w:val="26"/>
        </w:rPr>
        <w:t xml:space="preserve"> and the Material Question: </w:t>
      </w:r>
    </w:p>
    <w:p w14:paraId="471E8E4B" w14:textId="77777777" w:rsidR="00B2066A" w:rsidRDefault="00B2066A" w:rsidP="00F76872">
      <w:pPr>
        <w:spacing w:line="240" w:lineRule="auto"/>
        <w:rPr>
          <w:sz w:val="26"/>
          <w:szCs w:val="26"/>
        </w:rPr>
      </w:pPr>
    </w:p>
    <w:p w14:paraId="624941B4" w14:textId="0A1A383D" w:rsidR="00EF71F2" w:rsidRPr="00A00BFA" w:rsidRDefault="00EF71F2" w:rsidP="00EF71F2">
      <w:pPr>
        <w:spacing w:line="240" w:lineRule="auto"/>
        <w:ind w:left="1440" w:right="1440" w:firstLine="0"/>
        <w:rPr>
          <w:sz w:val="26"/>
          <w:szCs w:val="26"/>
        </w:rPr>
      </w:pPr>
      <w:r>
        <w:rPr>
          <w:color w:val="000000"/>
          <w:sz w:val="26"/>
          <w:szCs w:val="26"/>
        </w:rPr>
        <w:t xml:space="preserve">Whether </w:t>
      </w:r>
      <w:r w:rsidRPr="00EB72CA">
        <w:rPr>
          <w:color w:val="000000"/>
          <w:sz w:val="26"/>
          <w:szCs w:val="26"/>
        </w:rPr>
        <w:t>the</w:t>
      </w:r>
      <w:r>
        <w:rPr>
          <w:color w:val="000000"/>
          <w:sz w:val="26"/>
          <w:szCs w:val="26"/>
        </w:rPr>
        <w:t xml:space="preserve"> A</w:t>
      </w:r>
      <w:r w:rsidR="0088795C">
        <w:rPr>
          <w:color w:val="000000"/>
          <w:sz w:val="26"/>
          <w:szCs w:val="26"/>
        </w:rPr>
        <w:t>dministrative Law Judge’s</w:t>
      </w:r>
      <w:r>
        <w:rPr>
          <w:color w:val="000000"/>
          <w:sz w:val="26"/>
          <w:szCs w:val="26"/>
        </w:rPr>
        <w:t xml:space="preserve"> Interim Order</w:t>
      </w:r>
      <w:r w:rsidR="0088795C" w:rsidRPr="0088795C">
        <w:rPr>
          <w:sz w:val="26"/>
          <w:szCs w:val="26"/>
        </w:rPr>
        <w:t xml:space="preserve"> </w:t>
      </w:r>
      <w:r w:rsidR="0088795C">
        <w:rPr>
          <w:sz w:val="26"/>
          <w:szCs w:val="26"/>
        </w:rPr>
        <w:t>Granting the Motion to Strike of Verde Energy USA, Inc.</w:t>
      </w:r>
      <w:r>
        <w:rPr>
          <w:color w:val="000000"/>
          <w:sz w:val="26"/>
          <w:szCs w:val="26"/>
        </w:rPr>
        <w:t>, dated January 15, 2021, err</w:t>
      </w:r>
      <w:r w:rsidR="0088795C">
        <w:rPr>
          <w:color w:val="000000"/>
          <w:sz w:val="26"/>
          <w:szCs w:val="26"/>
        </w:rPr>
        <w:t>ed</w:t>
      </w:r>
      <w:r>
        <w:rPr>
          <w:color w:val="000000"/>
          <w:sz w:val="26"/>
          <w:szCs w:val="26"/>
        </w:rPr>
        <w:t xml:space="preserve"> as a matter of </w:t>
      </w:r>
      <w:r w:rsidRPr="00A00BFA">
        <w:rPr>
          <w:color w:val="000000"/>
          <w:sz w:val="26"/>
          <w:szCs w:val="26"/>
        </w:rPr>
        <w:t xml:space="preserve">law, by granting Verde’s Motion </w:t>
      </w:r>
      <w:proofErr w:type="gramStart"/>
      <w:r w:rsidRPr="00A00BFA">
        <w:rPr>
          <w:i/>
          <w:color w:val="000000"/>
          <w:sz w:val="26"/>
          <w:szCs w:val="26"/>
        </w:rPr>
        <w:t>In</w:t>
      </w:r>
      <w:proofErr w:type="gramEnd"/>
      <w:r w:rsidRPr="00A00BFA">
        <w:rPr>
          <w:i/>
          <w:color w:val="000000"/>
          <w:sz w:val="26"/>
          <w:szCs w:val="26"/>
        </w:rPr>
        <w:t xml:space="preserve"> </w:t>
      </w:r>
      <w:proofErr w:type="spellStart"/>
      <w:r w:rsidRPr="00A00BFA">
        <w:rPr>
          <w:i/>
          <w:color w:val="000000"/>
          <w:sz w:val="26"/>
          <w:szCs w:val="26"/>
        </w:rPr>
        <w:t>Limine</w:t>
      </w:r>
      <w:proofErr w:type="spellEnd"/>
      <w:r w:rsidRPr="00A00BFA">
        <w:rPr>
          <w:color w:val="000000"/>
          <w:sz w:val="26"/>
          <w:szCs w:val="26"/>
        </w:rPr>
        <w:t xml:space="preserve"> to strike the OCA’s factual materials presented in support of the OCA’s substantive comments contesting the settlement between the I&amp;E and Verde in this proceeding</w:t>
      </w:r>
      <w:r w:rsidRPr="00A00BFA">
        <w:rPr>
          <w:sz w:val="26"/>
          <w:szCs w:val="26"/>
        </w:rPr>
        <w:t>, thereby denying the OCA a meaningful opportunity to be heard regarding its objections to the non-unanimous settlement?</w:t>
      </w:r>
    </w:p>
    <w:p w14:paraId="2F6A8596" w14:textId="77777777" w:rsidR="00EF71F2" w:rsidRPr="00EB72CA" w:rsidRDefault="00EF71F2" w:rsidP="00EF71F2">
      <w:pPr>
        <w:ind w:left="1440" w:right="1440" w:firstLine="0"/>
        <w:rPr>
          <w:color w:val="000000"/>
          <w:sz w:val="26"/>
          <w:szCs w:val="26"/>
        </w:rPr>
      </w:pPr>
    </w:p>
    <w:p w14:paraId="2A94BB2A" w14:textId="7191D126" w:rsidR="00B2066A" w:rsidRDefault="00B2066A" w:rsidP="00FD3135">
      <w:pPr>
        <w:ind w:firstLine="0"/>
        <w:rPr>
          <w:sz w:val="26"/>
          <w:szCs w:val="26"/>
        </w:rPr>
      </w:pPr>
      <w:r>
        <w:rPr>
          <w:sz w:val="26"/>
          <w:szCs w:val="26"/>
        </w:rPr>
        <w:t xml:space="preserve">is answered in the </w:t>
      </w:r>
      <w:r w:rsidR="006365DB">
        <w:rPr>
          <w:sz w:val="26"/>
          <w:szCs w:val="26"/>
        </w:rPr>
        <w:t>negative</w:t>
      </w:r>
      <w:r w:rsidR="00027C72">
        <w:rPr>
          <w:sz w:val="26"/>
          <w:szCs w:val="26"/>
        </w:rPr>
        <w:t>.</w:t>
      </w:r>
    </w:p>
    <w:p w14:paraId="33D379D3" w14:textId="44E38D29" w:rsidR="00027C72" w:rsidRDefault="00027C72" w:rsidP="00FD3135">
      <w:pPr>
        <w:rPr>
          <w:sz w:val="26"/>
          <w:szCs w:val="26"/>
        </w:rPr>
      </w:pPr>
    </w:p>
    <w:p w14:paraId="6906AFD7" w14:textId="5197C8DE" w:rsidR="005513BE" w:rsidRDefault="00C639D5" w:rsidP="00FD3135">
      <w:pPr>
        <w:rPr>
          <w:sz w:val="26"/>
          <w:szCs w:val="26"/>
        </w:rPr>
      </w:pPr>
      <w:r>
        <w:rPr>
          <w:sz w:val="26"/>
          <w:szCs w:val="26"/>
        </w:rPr>
        <w:t>2.</w:t>
      </w:r>
      <w:r w:rsidRPr="00C639D5">
        <w:rPr>
          <w:sz w:val="26"/>
          <w:szCs w:val="26"/>
        </w:rPr>
        <w:t xml:space="preserve"> </w:t>
      </w:r>
      <w:r>
        <w:rPr>
          <w:sz w:val="26"/>
          <w:szCs w:val="26"/>
        </w:rPr>
        <w:tab/>
        <w:t xml:space="preserve">That </w:t>
      </w:r>
      <w:r w:rsidRPr="00841219">
        <w:rPr>
          <w:sz w:val="26"/>
          <w:szCs w:val="26"/>
        </w:rPr>
        <w:t xml:space="preserve">the </w:t>
      </w:r>
      <w:r>
        <w:rPr>
          <w:sz w:val="26"/>
          <w:szCs w:val="26"/>
        </w:rPr>
        <w:t xml:space="preserve">Interim Order Granting the Motion to Strike of Verde Energy USA, Inc., dated January 15, 2021, issued by Administrative Law Judge Christopher P. Pell in this proceeding, is </w:t>
      </w:r>
      <w:r w:rsidR="006365DB">
        <w:rPr>
          <w:sz w:val="26"/>
          <w:szCs w:val="26"/>
        </w:rPr>
        <w:t>adopted</w:t>
      </w:r>
      <w:r>
        <w:rPr>
          <w:sz w:val="26"/>
          <w:szCs w:val="26"/>
        </w:rPr>
        <w:t xml:space="preserve">, consistent with this Opinion and Order. </w:t>
      </w:r>
    </w:p>
    <w:p w14:paraId="1E437D96" w14:textId="77777777" w:rsidR="00C639D5" w:rsidRDefault="00C639D5" w:rsidP="00FD3135">
      <w:pPr>
        <w:rPr>
          <w:sz w:val="26"/>
          <w:szCs w:val="26"/>
        </w:rPr>
      </w:pPr>
    </w:p>
    <w:p w14:paraId="27C38584" w14:textId="6015A0EB" w:rsidR="005D6BDF" w:rsidRDefault="00C639D5" w:rsidP="00FD3135">
      <w:pPr>
        <w:keepNext/>
        <w:keepLines/>
        <w:rPr>
          <w:sz w:val="26"/>
          <w:szCs w:val="26"/>
        </w:rPr>
      </w:pPr>
      <w:r>
        <w:rPr>
          <w:sz w:val="26"/>
          <w:szCs w:val="26"/>
        </w:rPr>
        <w:t>3.</w:t>
      </w:r>
      <w:r>
        <w:rPr>
          <w:sz w:val="26"/>
          <w:szCs w:val="26"/>
        </w:rPr>
        <w:tab/>
      </w:r>
      <w:r w:rsidR="00027C72">
        <w:rPr>
          <w:sz w:val="26"/>
          <w:szCs w:val="26"/>
        </w:rPr>
        <w:t xml:space="preserve">That this matter </w:t>
      </w:r>
      <w:r w:rsidR="00315304" w:rsidRPr="00BC3D6E">
        <w:rPr>
          <w:sz w:val="26"/>
          <w:szCs w:val="26"/>
        </w:rPr>
        <w:t xml:space="preserve">shall be </w:t>
      </w:r>
      <w:r w:rsidR="00852977" w:rsidRPr="00BC3D6E">
        <w:rPr>
          <w:sz w:val="26"/>
          <w:szCs w:val="26"/>
        </w:rPr>
        <w:t>return</w:t>
      </w:r>
      <w:r w:rsidR="00315304" w:rsidRPr="00BC3D6E">
        <w:rPr>
          <w:sz w:val="26"/>
          <w:szCs w:val="26"/>
        </w:rPr>
        <w:t>ed</w:t>
      </w:r>
      <w:r w:rsidR="00852977" w:rsidRPr="00BC3D6E">
        <w:rPr>
          <w:sz w:val="26"/>
          <w:szCs w:val="26"/>
        </w:rPr>
        <w:t xml:space="preserve"> to the </w:t>
      </w:r>
      <w:r w:rsidR="003C17F6">
        <w:rPr>
          <w:sz w:val="26"/>
          <w:szCs w:val="26"/>
        </w:rPr>
        <w:t xml:space="preserve">Office of </w:t>
      </w:r>
      <w:r w:rsidR="00852977" w:rsidRPr="00BC3D6E">
        <w:rPr>
          <w:sz w:val="26"/>
          <w:szCs w:val="26"/>
        </w:rPr>
        <w:t xml:space="preserve">Administrative Law Judge, </w:t>
      </w:r>
      <w:r w:rsidR="00F476CB">
        <w:rPr>
          <w:sz w:val="26"/>
          <w:szCs w:val="26"/>
        </w:rPr>
        <w:t>for further proceedings</w:t>
      </w:r>
      <w:r w:rsidR="003B4B05">
        <w:rPr>
          <w:sz w:val="26"/>
          <w:szCs w:val="26"/>
        </w:rPr>
        <w:t>, as deemed necessary,</w:t>
      </w:r>
      <w:r w:rsidR="00F476CB">
        <w:rPr>
          <w:sz w:val="26"/>
          <w:szCs w:val="26"/>
        </w:rPr>
        <w:t xml:space="preserve"> </w:t>
      </w:r>
      <w:r w:rsidR="00852977" w:rsidRPr="00BC3D6E">
        <w:rPr>
          <w:sz w:val="26"/>
          <w:szCs w:val="26"/>
        </w:rPr>
        <w:t>consistent with this Opinion and Order</w:t>
      </w:r>
      <w:r w:rsidR="00315304" w:rsidRPr="00BC3D6E">
        <w:rPr>
          <w:sz w:val="26"/>
          <w:szCs w:val="26"/>
        </w:rPr>
        <w:t>.</w:t>
      </w:r>
    </w:p>
    <w:p w14:paraId="699C2F41" w14:textId="08D91946" w:rsidR="001D4D64" w:rsidRPr="00BC3D6E" w:rsidRDefault="001D4D64" w:rsidP="00F76872">
      <w:pPr>
        <w:keepNext/>
        <w:keepLines/>
        <w:ind w:firstLine="0"/>
        <w:rPr>
          <w:sz w:val="26"/>
          <w:szCs w:val="26"/>
        </w:rPr>
      </w:pPr>
    </w:p>
    <w:p w14:paraId="53970942" w14:textId="0BAB51F9" w:rsidR="00BC3D6E" w:rsidRDefault="00EA0922" w:rsidP="00002EF5">
      <w:pPr>
        <w:keepNext/>
        <w:keepLines/>
        <w:spacing w:line="240" w:lineRule="auto"/>
        <w:ind w:left="3600"/>
        <w:rPr>
          <w:b/>
          <w:sz w:val="26"/>
          <w:szCs w:val="26"/>
        </w:rPr>
      </w:pPr>
      <w:r>
        <w:rPr>
          <w:noProof/>
        </w:rPr>
        <w:drawing>
          <wp:anchor distT="0" distB="0" distL="114300" distR="114300" simplePos="0" relativeHeight="251659264" behindDoc="1" locked="0" layoutInCell="1" allowOverlap="1" wp14:anchorId="6ECCB0A2" wp14:editId="2111671D">
            <wp:simplePos x="0" y="0"/>
            <wp:positionH relativeFrom="column">
              <wp:posOffset>3190875</wp:posOffset>
            </wp:positionH>
            <wp:positionV relativeFrom="paragraph">
              <wp:posOffset>153035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81D43" w:rsidRPr="00BC3D6E">
        <w:rPr>
          <w:b/>
          <w:sz w:val="26"/>
          <w:szCs w:val="26"/>
        </w:rPr>
        <w:t>BY THE COMMISSION</w:t>
      </w:r>
    </w:p>
    <w:p w14:paraId="3AE1627F" w14:textId="738C7B60" w:rsidR="001D4D64" w:rsidRDefault="001D4D64" w:rsidP="00002EF5">
      <w:pPr>
        <w:keepNext/>
        <w:keepLines/>
        <w:spacing w:line="240" w:lineRule="auto"/>
        <w:ind w:left="3600"/>
        <w:rPr>
          <w:b/>
          <w:sz w:val="26"/>
          <w:szCs w:val="26"/>
        </w:rPr>
      </w:pPr>
    </w:p>
    <w:p w14:paraId="6F65F886" w14:textId="1017150D" w:rsidR="001D4D64" w:rsidRDefault="001D4D64" w:rsidP="00002EF5">
      <w:pPr>
        <w:keepNext/>
        <w:keepLines/>
        <w:spacing w:line="240" w:lineRule="auto"/>
        <w:ind w:left="3600"/>
        <w:rPr>
          <w:b/>
          <w:sz w:val="26"/>
          <w:szCs w:val="26"/>
        </w:rPr>
      </w:pPr>
    </w:p>
    <w:p w14:paraId="608F42DA" w14:textId="77777777" w:rsidR="00EA4E79" w:rsidRDefault="00EA4E79" w:rsidP="00002EF5">
      <w:pPr>
        <w:keepNext/>
        <w:keepLines/>
        <w:spacing w:line="240" w:lineRule="auto"/>
        <w:ind w:left="3600"/>
        <w:rPr>
          <w:b/>
          <w:sz w:val="26"/>
          <w:szCs w:val="26"/>
        </w:rPr>
      </w:pPr>
    </w:p>
    <w:p w14:paraId="257835AE" w14:textId="0FB01481" w:rsidR="001D4D64" w:rsidRDefault="001D4D64" w:rsidP="00002EF5">
      <w:pPr>
        <w:keepNext/>
        <w:keepLines/>
        <w:spacing w:line="240" w:lineRule="auto"/>
        <w:ind w:left="3600"/>
        <w:rPr>
          <w:b/>
          <w:sz w:val="26"/>
          <w:szCs w:val="26"/>
        </w:rPr>
      </w:pPr>
    </w:p>
    <w:p w14:paraId="7210415D" w14:textId="77777777" w:rsidR="001D4D64" w:rsidRPr="00BC3D6E" w:rsidRDefault="001D4D64" w:rsidP="00002EF5">
      <w:pPr>
        <w:keepNext/>
        <w:keepLines/>
        <w:spacing w:line="240" w:lineRule="auto"/>
        <w:ind w:left="3600"/>
        <w:rPr>
          <w:sz w:val="26"/>
          <w:szCs w:val="26"/>
        </w:rPr>
      </w:pPr>
      <w:r w:rsidRPr="00BC3D6E">
        <w:rPr>
          <w:sz w:val="26"/>
          <w:szCs w:val="26"/>
        </w:rPr>
        <w:t>Rosemary Chiavetta</w:t>
      </w:r>
    </w:p>
    <w:p w14:paraId="74A874B5" w14:textId="77777777" w:rsidR="001D4D64" w:rsidRPr="00BC3D6E" w:rsidRDefault="001D4D64" w:rsidP="00002EF5">
      <w:pPr>
        <w:keepNext/>
        <w:keepLines/>
        <w:spacing w:line="240" w:lineRule="auto"/>
        <w:ind w:left="3600"/>
        <w:rPr>
          <w:sz w:val="26"/>
          <w:szCs w:val="26"/>
        </w:rPr>
      </w:pPr>
      <w:r w:rsidRPr="00BC3D6E">
        <w:rPr>
          <w:sz w:val="26"/>
          <w:szCs w:val="26"/>
        </w:rPr>
        <w:t>Secretary</w:t>
      </w:r>
    </w:p>
    <w:p w14:paraId="7D92418E" w14:textId="77777777" w:rsidR="001D4D64" w:rsidRPr="00BC3D6E" w:rsidRDefault="001D4D64" w:rsidP="00002EF5">
      <w:pPr>
        <w:keepNext/>
        <w:keepLines/>
        <w:spacing w:line="240" w:lineRule="auto"/>
        <w:ind w:firstLine="0"/>
        <w:rPr>
          <w:sz w:val="26"/>
          <w:szCs w:val="26"/>
        </w:rPr>
      </w:pPr>
    </w:p>
    <w:p w14:paraId="704B181E" w14:textId="53F791B1" w:rsidR="009078DF" w:rsidRPr="00BC3D6E" w:rsidRDefault="00071FC6" w:rsidP="00002EF5">
      <w:pPr>
        <w:keepNext/>
        <w:keepLines/>
        <w:tabs>
          <w:tab w:val="left" w:pos="-720"/>
        </w:tabs>
        <w:spacing w:line="240" w:lineRule="auto"/>
        <w:ind w:firstLine="0"/>
        <w:rPr>
          <w:sz w:val="26"/>
          <w:szCs w:val="26"/>
        </w:rPr>
      </w:pPr>
      <w:r w:rsidRPr="00BC3D6E">
        <w:rPr>
          <w:sz w:val="26"/>
          <w:szCs w:val="26"/>
        </w:rPr>
        <w:t>(SEAL)</w:t>
      </w:r>
    </w:p>
    <w:p w14:paraId="19E32076" w14:textId="77777777" w:rsidR="00B55A9E" w:rsidRPr="00BC3D6E" w:rsidRDefault="00B55A9E" w:rsidP="00002EF5">
      <w:pPr>
        <w:keepNext/>
        <w:keepLines/>
        <w:spacing w:line="240" w:lineRule="auto"/>
        <w:ind w:firstLine="0"/>
        <w:rPr>
          <w:sz w:val="26"/>
          <w:szCs w:val="26"/>
        </w:rPr>
      </w:pPr>
    </w:p>
    <w:p w14:paraId="4759A6AA" w14:textId="5B380A44" w:rsidR="009041C3" w:rsidRDefault="009078DF" w:rsidP="00002EF5">
      <w:pPr>
        <w:keepNext/>
        <w:keepLines/>
        <w:spacing w:line="240" w:lineRule="auto"/>
        <w:ind w:firstLine="0"/>
        <w:rPr>
          <w:sz w:val="26"/>
          <w:szCs w:val="26"/>
        </w:rPr>
      </w:pPr>
      <w:r w:rsidRPr="00BC3D6E">
        <w:rPr>
          <w:sz w:val="26"/>
          <w:szCs w:val="26"/>
        </w:rPr>
        <w:t xml:space="preserve">ORDER </w:t>
      </w:r>
      <w:r w:rsidR="009041C3">
        <w:rPr>
          <w:sz w:val="26"/>
          <w:szCs w:val="26"/>
        </w:rPr>
        <w:t xml:space="preserve">ADOPTED: </w:t>
      </w:r>
      <w:r w:rsidR="00877A5B">
        <w:rPr>
          <w:sz w:val="26"/>
          <w:szCs w:val="26"/>
        </w:rPr>
        <w:t xml:space="preserve"> </w:t>
      </w:r>
      <w:r w:rsidR="00863CFE" w:rsidRPr="00F76872">
        <w:rPr>
          <w:sz w:val="26"/>
          <w:szCs w:val="26"/>
        </w:rPr>
        <w:t>October 7</w:t>
      </w:r>
      <w:r w:rsidR="00274F62" w:rsidRPr="00F76872">
        <w:rPr>
          <w:sz w:val="26"/>
          <w:szCs w:val="26"/>
        </w:rPr>
        <w:t>, 2021</w:t>
      </w:r>
    </w:p>
    <w:p w14:paraId="437B9938" w14:textId="77777777" w:rsidR="009041C3" w:rsidRDefault="009041C3" w:rsidP="00002EF5">
      <w:pPr>
        <w:keepNext/>
        <w:keepLines/>
        <w:spacing w:line="240" w:lineRule="auto"/>
        <w:ind w:firstLine="0"/>
        <w:rPr>
          <w:sz w:val="26"/>
          <w:szCs w:val="26"/>
        </w:rPr>
      </w:pPr>
    </w:p>
    <w:p w14:paraId="09C916AA" w14:textId="5AAA6049" w:rsidR="009078DF" w:rsidRPr="00BC3D6E" w:rsidRDefault="009041C3" w:rsidP="00002EF5">
      <w:pPr>
        <w:keepNext/>
        <w:keepLines/>
        <w:spacing w:line="240" w:lineRule="auto"/>
        <w:ind w:firstLine="0"/>
        <w:rPr>
          <w:sz w:val="26"/>
          <w:szCs w:val="26"/>
        </w:rPr>
      </w:pPr>
      <w:r>
        <w:rPr>
          <w:sz w:val="26"/>
          <w:szCs w:val="26"/>
        </w:rPr>
        <w:t xml:space="preserve">ORDER </w:t>
      </w:r>
      <w:r w:rsidR="009078DF" w:rsidRPr="00BC3D6E">
        <w:rPr>
          <w:sz w:val="26"/>
          <w:szCs w:val="26"/>
        </w:rPr>
        <w:t xml:space="preserve">ENTERED:  </w:t>
      </w:r>
      <w:r w:rsidR="00EA0922">
        <w:rPr>
          <w:sz w:val="26"/>
          <w:szCs w:val="26"/>
        </w:rPr>
        <w:t>October 26, 2021</w:t>
      </w:r>
    </w:p>
    <w:sectPr w:rsidR="009078DF" w:rsidRPr="00BC3D6E" w:rsidSect="00A41491">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B1FE" w14:textId="77777777" w:rsidR="0048110A" w:rsidRDefault="0048110A">
      <w:r>
        <w:separator/>
      </w:r>
    </w:p>
  </w:endnote>
  <w:endnote w:type="continuationSeparator" w:id="0">
    <w:p w14:paraId="47C66FBA" w14:textId="77777777" w:rsidR="0048110A" w:rsidRDefault="0048110A">
      <w:r>
        <w:continuationSeparator/>
      </w:r>
    </w:p>
  </w:endnote>
  <w:endnote w:type="continuationNotice" w:id="1">
    <w:p w14:paraId="30AC3374" w14:textId="77777777" w:rsidR="0048110A" w:rsidRDefault="004811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6EEF" w14:textId="77777777" w:rsidR="00A45DB9" w:rsidRDefault="00A45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DB438" w14:textId="77777777" w:rsidR="00A45DB9" w:rsidRDefault="00A4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29CF" w14:textId="5D7735A4" w:rsidR="00A45DB9" w:rsidRPr="004914F8" w:rsidRDefault="00A45DB9" w:rsidP="00D8768A">
    <w:pPr>
      <w:pStyle w:val="Footer"/>
      <w:tabs>
        <w:tab w:val="clear" w:pos="4320"/>
        <w:tab w:val="clear" w:pos="8640"/>
      </w:tabs>
      <w:spacing w:line="240" w:lineRule="auto"/>
      <w:ind w:firstLine="0"/>
      <w:jc w:val="center"/>
      <w:rPr>
        <w:rStyle w:val="PageNumber"/>
        <w:sz w:val="26"/>
        <w:szCs w:val="26"/>
      </w:rPr>
    </w:pPr>
    <w:r w:rsidRPr="004914F8">
      <w:rPr>
        <w:rStyle w:val="PageNumber"/>
        <w:sz w:val="26"/>
        <w:szCs w:val="26"/>
      </w:rPr>
      <w:fldChar w:fldCharType="begin"/>
    </w:r>
    <w:r w:rsidRPr="004914F8">
      <w:rPr>
        <w:rStyle w:val="PageNumber"/>
        <w:sz w:val="26"/>
        <w:szCs w:val="26"/>
      </w:rPr>
      <w:instrText xml:space="preserve">PAGE  </w:instrText>
    </w:r>
    <w:r w:rsidRPr="004914F8">
      <w:rPr>
        <w:rStyle w:val="PageNumber"/>
        <w:sz w:val="26"/>
        <w:szCs w:val="26"/>
      </w:rPr>
      <w:fldChar w:fldCharType="separate"/>
    </w:r>
    <w:r w:rsidR="009041C3">
      <w:rPr>
        <w:rStyle w:val="PageNumber"/>
        <w:noProof/>
        <w:sz w:val="26"/>
        <w:szCs w:val="26"/>
      </w:rPr>
      <w:t>16</w:t>
    </w:r>
    <w:r w:rsidRPr="004914F8">
      <w:rPr>
        <w:rStyle w:val="PageNumbe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FC22" w14:textId="77777777" w:rsidR="0048110A" w:rsidRDefault="0048110A" w:rsidP="004914F8">
      <w:pPr>
        <w:spacing w:line="240" w:lineRule="auto"/>
        <w:ind w:firstLine="0"/>
      </w:pPr>
      <w:r>
        <w:separator/>
      </w:r>
    </w:p>
  </w:footnote>
  <w:footnote w:type="continuationSeparator" w:id="0">
    <w:p w14:paraId="16A988F0" w14:textId="77777777" w:rsidR="0048110A" w:rsidRDefault="0048110A" w:rsidP="004914F8">
      <w:pPr>
        <w:ind w:firstLine="0"/>
      </w:pPr>
      <w:r>
        <w:continuationSeparator/>
      </w:r>
    </w:p>
  </w:footnote>
  <w:footnote w:type="continuationNotice" w:id="1">
    <w:p w14:paraId="217156FC" w14:textId="77777777" w:rsidR="0048110A" w:rsidRDefault="0048110A">
      <w:pPr>
        <w:spacing w:line="240" w:lineRule="auto"/>
      </w:pPr>
    </w:p>
  </w:footnote>
  <w:footnote w:id="2">
    <w:p w14:paraId="5D723F81" w14:textId="03494522" w:rsidR="0045130E" w:rsidRPr="0059250F" w:rsidRDefault="0045130E" w:rsidP="0059250F">
      <w:pPr>
        <w:tabs>
          <w:tab w:val="left" w:pos="720"/>
        </w:tabs>
        <w:spacing w:after="120" w:line="240" w:lineRule="auto"/>
        <w:ind w:firstLine="720"/>
        <w:rPr>
          <w:sz w:val="26"/>
          <w:szCs w:val="26"/>
        </w:rPr>
      </w:pPr>
      <w:r w:rsidRPr="0059250F">
        <w:rPr>
          <w:rStyle w:val="FootnoteReference"/>
          <w:sz w:val="26"/>
          <w:szCs w:val="26"/>
        </w:rPr>
        <w:footnoteRef/>
      </w:r>
      <w:r w:rsidRPr="0059250F">
        <w:rPr>
          <w:sz w:val="26"/>
          <w:szCs w:val="26"/>
        </w:rPr>
        <w:t xml:space="preserve"> </w:t>
      </w:r>
      <w:r w:rsidR="00283219" w:rsidRPr="0059250F">
        <w:rPr>
          <w:sz w:val="26"/>
          <w:szCs w:val="26"/>
        </w:rPr>
        <w:tab/>
      </w:r>
      <w:r w:rsidR="00283219" w:rsidRPr="003D1610">
        <w:rPr>
          <w:sz w:val="26"/>
          <w:szCs w:val="26"/>
        </w:rPr>
        <w:t xml:space="preserve">The OCA is a statutory intervenor in this </w:t>
      </w:r>
      <w:r w:rsidR="00C21C47">
        <w:rPr>
          <w:sz w:val="26"/>
          <w:szCs w:val="26"/>
        </w:rPr>
        <w:t>Formal Complaint</w:t>
      </w:r>
      <w:r w:rsidR="00283219" w:rsidRPr="003D1610">
        <w:rPr>
          <w:sz w:val="26"/>
          <w:szCs w:val="26"/>
        </w:rPr>
        <w:t xml:space="preserve"> </w:t>
      </w:r>
      <w:r w:rsidR="00283219" w:rsidRPr="00C21C47">
        <w:rPr>
          <w:sz w:val="26"/>
          <w:szCs w:val="26"/>
        </w:rPr>
        <w:t xml:space="preserve">proceeding representing the interest of consumers.  </w:t>
      </w:r>
      <w:r w:rsidR="00283219" w:rsidRPr="00C21C47">
        <w:rPr>
          <w:i/>
          <w:iCs/>
          <w:sz w:val="26"/>
          <w:szCs w:val="26"/>
        </w:rPr>
        <w:t>See</w:t>
      </w:r>
      <w:r w:rsidR="00283219" w:rsidRPr="00C21C47">
        <w:rPr>
          <w:sz w:val="26"/>
          <w:szCs w:val="26"/>
        </w:rPr>
        <w:t xml:space="preserve"> 52 Pa. Code §§ 5.72(a)(1), 5.74(b)(4); </w:t>
      </w:r>
      <w:r w:rsidR="00283219" w:rsidRPr="00C21C47">
        <w:rPr>
          <w:i/>
          <w:iCs/>
          <w:sz w:val="26"/>
          <w:szCs w:val="26"/>
        </w:rPr>
        <w:t>see also</w:t>
      </w:r>
      <w:r w:rsidR="0059250F">
        <w:rPr>
          <w:sz w:val="26"/>
          <w:szCs w:val="26"/>
        </w:rPr>
        <w:t xml:space="preserve">, </w:t>
      </w:r>
      <w:r w:rsidR="00283219" w:rsidRPr="00C21C47">
        <w:rPr>
          <w:sz w:val="26"/>
          <w:szCs w:val="26"/>
        </w:rPr>
        <w:t xml:space="preserve">71 P.S. § 309-4 (“[T]he Consumer Advocate is authorized, and it shall be his duty, in carrying out his responsibilities under this act, to represent the interest of consumers as a party, or otherwise participate for the purpose of representing an interest of consumers, before the commission in any matter properly before the commission…”).  Although the Commission regulates in the public interest which includes, among other things, the interests of consumers, and while the Commission </w:t>
      </w:r>
      <w:r w:rsidR="00283219" w:rsidRPr="00C21C47">
        <w:rPr>
          <w:color w:val="000000"/>
          <w:sz w:val="26"/>
          <w:szCs w:val="26"/>
        </w:rPr>
        <w:t xml:space="preserve">has entrusted I&amp;E, its independent </w:t>
      </w:r>
      <w:proofErr w:type="spellStart"/>
      <w:r w:rsidR="00283219" w:rsidRPr="00C21C47">
        <w:rPr>
          <w:color w:val="000000"/>
          <w:sz w:val="26"/>
          <w:szCs w:val="26"/>
        </w:rPr>
        <w:t>prosecutory</w:t>
      </w:r>
      <w:proofErr w:type="spellEnd"/>
      <w:r w:rsidR="00283219" w:rsidRPr="00C21C47">
        <w:rPr>
          <w:color w:val="000000"/>
          <w:sz w:val="26"/>
          <w:szCs w:val="26"/>
        </w:rPr>
        <w:t xml:space="preserve"> arm, with a degree of discretion in how it litigates and negotiates resolution of violations of the </w:t>
      </w:r>
      <w:r w:rsidR="00726F17">
        <w:rPr>
          <w:color w:val="000000"/>
          <w:sz w:val="26"/>
          <w:szCs w:val="26"/>
        </w:rPr>
        <w:t>Public Utility Code (</w:t>
      </w:r>
      <w:r w:rsidR="00283219" w:rsidRPr="00726F17">
        <w:rPr>
          <w:color w:val="000000"/>
          <w:sz w:val="26"/>
          <w:szCs w:val="26"/>
        </w:rPr>
        <w:t>Code</w:t>
      </w:r>
      <w:r w:rsidR="00726F17">
        <w:rPr>
          <w:color w:val="000000"/>
          <w:sz w:val="26"/>
          <w:szCs w:val="26"/>
        </w:rPr>
        <w:t>)</w:t>
      </w:r>
      <w:r w:rsidR="00283219" w:rsidRPr="00726F17">
        <w:rPr>
          <w:color w:val="000000"/>
          <w:sz w:val="26"/>
          <w:szCs w:val="26"/>
        </w:rPr>
        <w:t xml:space="preserve"> and Commission Regulations and Orders,</w:t>
      </w:r>
      <w:r w:rsidR="00283219" w:rsidRPr="00726F17">
        <w:rPr>
          <w:sz w:val="26"/>
          <w:szCs w:val="26"/>
        </w:rPr>
        <w:t xml:space="preserve"> the General Assembly nevertheless has statutorily enabl</w:t>
      </w:r>
      <w:r w:rsidR="00283219" w:rsidRPr="00C21C47">
        <w:rPr>
          <w:sz w:val="26"/>
          <w:szCs w:val="26"/>
        </w:rPr>
        <w:t xml:space="preserve">ed the OCA to specifically represent the interest of consumers in Commission proceedings.  </w:t>
      </w:r>
    </w:p>
  </w:footnote>
  <w:footnote w:id="3">
    <w:p w14:paraId="2307A0D7" w14:textId="49187D3A" w:rsidR="00A45DB9" w:rsidRPr="003D1610" w:rsidRDefault="00A45DB9" w:rsidP="0059250F">
      <w:pPr>
        <w:pStyle w:val="FootnoteText"/>
        <w:keepNext/>
        <w:keepLines/>
        <w:spacing w:after="120" w:line="240" w:lineRule="auto"/>
        <w:ind w:firstLine="720"/>
        <w:rPr>
          <w:sz w:val="26"/>
          <w:szCs w:val="26"/>
        </w:rPr>
      </w:pPr>
      <w:r w:rsidRPr="003D1610">
        <w:rPr>
          <w:rStyle w:val="FootnoteReference"/>
          <w:sz w:val="26"/>
          <w:szCs w:val="26"/>
        </w:rPr>
        <w:footnoteRef/>
      </w:r>
      <w:r w:rsidRPr="003D1610">
        <w:rPr>
          <w:sz w:val="26"/>
          <w:szCs w:val="26"/>
        </w:rPr>
        <w:tab/>
      </w:r>
      <w:r w:rsidRPr="00726F17">
        <w:rPr>
          <w:sz w:val="26"/>
          <w:szCs w:val="26"/>
        </w:rPr>
        <w:t>Procedurally, the material question</w:t>
      </w:r>
      <w:r w:rsidR="007E3895" w:rsidRPr="00726F17">
        <w:rPr>
          <w:sz w:val="26"/>
          <w:szCs w:val="26"/>
        </w:rPr>
        <w:t xml:space="preserve"> is</w:t>
      </w:r>
      <w:r w:rsidRPr="00726F17">
        <w:rPr>
          <w:sz w:val="26"/>
          <w:szCs w:val="26"/>
        </w:rPr>
        <w:t xml:space="preserve"> asserted by </w:t>
      </w:r>
      <w:r w:rsidR="00FF4EAE" w:rsidRPr="00726F17">
        <w:rPr>
          <w:sz w:val="26"/>
          <w:szCs w:val="26"/>
        </w:rPr>
        <w:t xml:space="preserve">the </w:t>
      </w:r>
      <w:r w:rsidRPr="00726F17">
        <w:rPr>
          <w:sz w:val="26"/>
          <w:szCs w:val="26"/>
        </w:rPr>
        <w:t>Petitioner pursuant to a party</w:t>
      </w:r>
      <w:r w:rsidRPr="0034295E">
        <w:rPr>
          <w:sz w:val="26"/>
          <w:szCs w:val="26"/>
        </w:rPr>
        <w:t>’</w:t>
      </w:r>
      <w:r w:rsidRPr="003D1610">
        <w:rPr>
          <w:sz w:val="26"/>
          <w:szCs w:val="26"/>
        </w:rPr>
        <w:t>s right to seek interlocutory review and answer to a material question, under Section 5.302 of Commission Regulations</w:t>
      </w:r>
      <w:r w:rsidR="000B10C1" w:rsidRPr="003D1610">
        <w:rPr>
          <w:sz w:val="26"/>
          <w:szCs w:val="26"/>
        </w:rPr>
        <w:t>.</w:t>
      </w:r>
      <w:r w:rsidRPr="003D1610">
        <w:rPr>
          <w:sz w:val="26"/>
          <w:szCs w:val="26"/>
        </w:rPr>
        <w:t xml:space="preserve"> </w:t>
      </w:r>
      <w:r w:rsidRPr="006E08E6">
        <w:rPr>
          <w:sz w:val="26"/>
          <w:szCs w:val="26"/>
        </w:rPr>
        <w:t>52 Pa. Code § 5.302</w:t>
      </w:r>
      <w:r w:rsidRPr="003D1610">
        <w:rPr>
          <w:sz w:val="26"/>
          <w:szCs w:val="26"/>
        </w:rPr>
        <w:t>.</w:t>
      </w:r>
    </w:p>
  </w:footnote>
  <w:footnote w:id="4">
    <w:p w14:paraId="159144F8" w14:textId="657BDB73" w:rsidR="00104CAF" w:rsidRPr="003D1610" w:rsidRDefault="00104CAF" w:rsidP="00104CAF">
      <w:pPr>
        <w:pStyle w:val="FootnoteText"/>
        <w:spacing w:line="240" w:lineRule="auto"/>
        <w:ind w:firstLine="720"/>
        <w:rPr>
          <w:sz w:val="26"/>
          <w:szCs w:val="26"/>
        </w:rPr>
      </w:pPr>
      <w:r w:rsidRPr="003D1610">
        <w:rPr>
          <w:rStyle w:val="FootnoteReference"/>
          <w:sz w:val="26"/>
          <w:szCs w:val="26"/>
        </w:rPr>
        <w:footnoteRef/>
      </w:r>
      <w:r w:rsidRPr="003D1610">
        <w:rPr>
          <w:sz w:val="26"/>
          <w:szCs w:val="26"/>
        </w:rPr>
        <w:t xml:space="preserve"> </w:t>
      </w:r>
      <w:r w:rsidRPr="003D1610">
        <w:rPr>
          <w:sz w:val="26"/>
          <w:szCs w:val="26"/>
        </w:rPr>
        <w:tab/>
      </w:r>
      <w:r w:rsidRPr="00726F17">
        <w:rPr>
          <w:sz w:val="26"/>
          <w:szCs w:val="26"/>
        </w:rPr>
        <w:t xml:space="preserve">Verde is a Commission-licensed electric generation supplier (EGS), at Docket No. A-2010-2151038, authorized to operate in various service territories of Pennsylvania electric distribution companies (EDCs).  The </w:t>
      </w:r>
      <w:r w:rsidRPr="0034295E">
        <w:rPr>
          <w:sz w:val="26"/>
          <w:szCs w:val="26"/>
        </w:rPr>
        <w:t>EDC service territories in which Verde is aut</w:t>
      </w:r>
      <w:r w:rsidRPr="003D1610">
        <w:rPr>
          <w:sz w:val="26"/>
          <w:szCs w:val="26"/>
        </w:rPr>
        <w:t>horized to operate as an EGS include Allegheny Power, Duquesne Light Company, Metropolitan Edison Company, Pennsylvania Electric Company, Pennsylvania Power Company, PPL Electric Utilities, Inc. (PPL), PECO Energy Company, and UGI Utilities, Inc.</w:t>
      </w:r>
    </w:p>
  </w:footnote>
  <w:footnote w:id="5">
    <w:p w14:paraId="6065254F" w14:textId="5A522942" w:rsidR="008F0D7E" w:rsidRDefault="008F0D7E" w:rsidP="008F0D7E">
      <w:pPr>
        <w:pStyle w:val="FootnoteText"/>
        <w:spacing w:line="240" w:lineRule="auto"/>
        <w:ind w:firstLine="720"/>
      </w:pPr>
      <w:r w:rsidRPr="00D530BC">
        <w:rPr>
          <w:rStyle w:val="FootnoteReference"/>
          <w:sz w:val="26"/>
          <w:szCs w:val="26"/>
        </w:rPr>
        <w:footnoteRef/>
      </w:r>
      <w:r w:rsidRPr="00D530BC">
        <w:rPr>
          <w:sz w:val="26"/>
          <w:szCs w:val="26"/>
        </w:rPr>
        <w:t xml:space="preserve"> </w:t>
      </w:r>
      <w:r w:rsidRPr="00D530BC">
        <w:rPr>
          <w:sz w:val="26"/>
          <w:szCs w:val="26"/>
        </w:rPr>
        <w:tab/>
      </w:r>
      <w:r w:rsidRPr="00D530BC">
        <w:rPr>
          <w:bCs/>
          <w:sz w:val="26"/>
          <w:szCs w:val="26"/>
        </w:rPr>
        <w:t>The Commission</w:t>
      </w:r>
      <w:r>
        <w:rPr>
          <w:bCs/>
          <w:sz w:val="26"/>
          <w:szCs w:val="26"/>
        </w:rPr>
        <w:t xml:space="preserve"> has dele</w:t>
      </w:r>
      <w:r w:rsidR="00A41491">
        <w:rPr>
          <w:bCs/>
          <w:sz w:val="26"/>
          <w:szCs w:val="26"/>
        </w:rPr>
        <w:t>ga</w:t>
      </w:r>
      <w:r>
        <w:rPr>
          <w:bCs/>
          <w:sz w:val="26"/>
          <w:szCs w:val="26"/>
        </w:rPr>
        <w:t xml:space="preserve">ted its authority to initiate proceedings that are </w:t>
      </w:r>
      <w:proofErr w:type="spellStart"/>
      <w:r>
        <w:rPr>
          <w:bCs/>
          <w:sz w:val="26"/>
          <w:szCs w:val="26"/>
        </w:rPr>
        <w:t>prosecutor</w:t>
      </w:r>
      <w:r w:rsidR="007E5A1B">
        <w:rPr>
          <w:bCs/>
          <w:sz w:val="26"/>
          <w:szCs w:val="26"/>
        </w:rPr>
        <w:t>y</w:t>
      </w:r>
      <w:proofErr w:type="spellEnd"/>
      <w:r>
        <w:rPr>
          <w:bCs/>
          <w:sz w:val="26"/>
          <w:szCs w:val="26"/>
        </w:rPr>
        <w:t xml:space="preserve"> in nature to I&amp;E and other bureaus with enforcement responsibilities.  </w:t>
      </w:r>
      <w:r w:rsidRPr="00E81F36">
        <w:rPr>
          <w:bCs/>
          <w:i/>
          <w:iCs/>
          <w:sz w:val="26"/>
          <w:szCs w:val="26"/>
        </w:rPr>
        <w:t xml:space="preserve">See Delegation of </w:t>
      </w:r>
      <w:proofErr w:type="spellStart"/>
      <w:r w:rsidRPr="00E81F36">
        <w:rPr>
          <w:bCs/>
          <w:i/>
          <w:iCs/>
          <w:sz w:val="26"/>
          <w:szCs w:val="26"/>
        </w:rPr>
        <w:t>Prosecutory</w:t>
      </w:r>
      <w:proofErr w:type="spellEnd"/>
      <w:r w:rsidRPr="00E81F36">
        <w:rPr>
          <w:bCs/>
          <w:i/>
          <w:iCs/>
          <w:sz w:val="26"/>
          <w:szCs w:val="26"/>
        </w:rPr>
        <w:t xml:space="preserve"> Authority to Bureaus with Enforcement Responsibilities</w:t>
      </w:r>
      <w:r>
        <w:rPr>
          <w:bCs/>
          <w:sz w:val="26"/>
          <w:szCs w:val="26"/>
        </w:rPr>
        <w:t>, Docket No. M-00940593 (Order entered September 2, 1994), as amended by Act 129 of</w:t>
      </w:r>
      <w:r w:rsidR="002A3BC9">
        <w:rPr>
          <w:bCs/>
          <w:sz w:val="26"/>
          <w:szCs w:val="26"/>
        </w:rPr>
        <w:t> </w:t>
      </w:r>
      <w:r>
        <w:rPr>
          <w:bCs/>
          <w:sz w:val="26"/>
          <w:szCs w:val="26"/>
        </w:rPr>
        <w:t xml:space="preserve">2008, 66 Pa. C.S.§ 308.2(11).  </w:t>
      </w:r>
    </w:p>
  </w:footnote>
  <w:footnote w:id="6">
    <w:p w14:paraId="1C831090" w14:textId="20A5CF7F" w:rsidR="00BD5C64" w:rsidRPr="00D54D13" w:rsidRDefault="00BD5C64" w:rsidP="00D54D13">
      <w:pPr>
        <w:pStyle w:val="FootnoteText"/>
        <w:spacing w:line="240" w:lineRule="auto"/>
        <w:ind w:firstLine="720"/>
        <w:rPr>
          <w:sz w:val="26"/>
          <w:szCs w:val="26"/>
        </w:rPr>
      </w:pPr>
      <w:r w:rsidRPr="00D54D13">
        <w:rPr>
          <w:rStyle w:val="FootnoteReference"/>
          <w:sz w:val="26"/>
          <w:szCs w:val="26"/>
        </w:rPr>
        <w:footnoteRef/>
      </w:r>
      <w:r w:rsidRPr="00D54D13">
        <w:rPr>
          <w:sz w:val="26"/>
          <w:szCs w:val="26"/>
        </w:rPr>
        <w:t xml:space="preserve"> </w:t>
      </w:r>
      <w:r w:rsidRPr="00D54D13">
        <w:rPr>
          <w:sz w:val="26"/>
          <w:szCs w:val="26"/>
        </w:rPr>
        <w:tab/>
      </w:r>
      <w:r w:rsidR="00A7477B" w:rsidRPr="00D54D13">
        <w:rPr>
          <w:sz w:val="26"/>
          <w:szCs w:val="26"/>
        </w:rPr>
        <w:t>As noted earlier</w:t>
      </w:r>
      <w:r w:rsidR="00314EBF">
        <w:rPr>
          <w:sz w:val="26"/>
          <w:szCs w:val="26"/>
        </w:rPr>
        <w:t xml:space="preserve">, </w:t>
      </w:r>
      <w:r w:rsidR="00A7477B" w:rsidRPr="00D54D13">
        <w:rPr>
          <w:sz w:val="26"/>
          <w:szCs w:val="26"/>
        </w:rPr>
        <w:t xml:space="preserve">once </w:t>
      </w:r>
      <w:r w:rsidR="009A36FC">
        <w:rPr>
          <w:sz w:val="26"/>
          <w:szCs w:val="26"/>
        </w:rPr>
        <w:t>an</w:t>
      </w:r>
      <w:r w:rsidR="00A7477B" w:rsidRPr="00D54D13">
        <w:rPr>
          <w:sz w:val="26"/>
          <w:szCs w:val="26"/>
        </w:rPr>
        <w:t xml:space="preserve"> Answer is filed</w:t>
      </w:r>
      <w:r w:rsidR="002D45D1">
        <w:rPr>
          <w:sz w:val="26"/>
          <w:szCs w:val="26"/>
        </w:rPr>
        <w:t xml:space="preserve"> disputing the allegations</w:t>
      </w:r>
      <w:r w:rsidR="00D150B3">
        <w:rPr>
          <w:sz w:val="26"/>
          <w:szCs w:val="26"/>
        </w:rPr>
        <w:t>,</w:t>
      </w:r>
      <w:r w:rsidR="00A7477B" w:rsidRPr="00D54D13">
        <w:rPr>
          <w:sz w:val="26"/>
          <w:szCs w:val="26"/>
        </w:rPr>
        <w:t xml:space="preserve"> the matter bec</w:t>
      </w:r>
      <w:r w:rsidR="009A36FC">
        <w:rPr>
          <w:sz w:val="26"/>
          <w:szCs w:val="26"/>
        </w:rPr>
        <w:t>o</w:t>
      </w:r>
      <w:r w:rsidR="00A7477B" w:rsidRPr="00D54D13">
        <w:rPr>
          <w:sz w:val="26"/>
          <w:szCs w:val="26"/>
        </w:rPr>
        <w:t>me</w:t>
      </w:r>
      <w:r w:rsidR="009A36FC">
        <w:rPr>
          <w:sz w:val="26"/>
          <w:szCs w:val="26"/>
        </w:rPr>
        <w:t xml:space="preserve">s </w:t>
      </w:r>
      <w:r w:rsidR="00A7477B" w:rsidRPr="00D54D13">
        <w:rPr>
          <w:sz w:val="26"/>
          <w:szCs w:val="26"/>
        </w:rPr>
        <w:t>a</w:t>
      </w:r>
      <w:r w:rsidR="0095351D">
        <w:rPr>
          <w:sz w:val="26"/>
          <w:szCs w:val="26"/>
        </w:rPr>
        <w:t xml:space="preserve">n adversarial </w:t>
      </w:r>
      <w:r w:rsidR="00A7477B" w:rsidRPr="00D54D13">
        <w:rPr>
          <w:sz w:val="26"/>
          <w:szCs w:val="26"/>
        </w:rPr>
        <w:t xml:space="preserve">proceeding and should </w:t>
      </w:r>
      <w:r w:rsidR="002D45D1">
        <w:rPr>
          <w:sz w:val="26"/>
          <w:szCs w:val="26"/>
        </w:rPr>
        <w:t xml:space="preserve">be </w:t>
      </w:r>
      <w:r w:rsidR="00A7477B" w:rsidRPr="00D54D13">
        <w:rPr>
          <w:sz w:val="26"/>
          <w:szCs w:val="26"/>
        </w:rPr>
        <w:t xml:space="preserve">assigned </w:t>
      </w:r>
      <w:r w:rsidR="008D21F8" w:rsidRPr="00D54D13">
        <w:rPr>
          <w:sz w:val="26"/>
          <w:szCs w:val="26"/>
        </w:rPr>
        <w:t>to the O</w:t>
      </w:r>
      <w:r w:rsidR="00314EBF">
        <w:rPr>
          <w:sz w:val="26"/>
          <w:szCs w:val="26"/>
        </w:rPr>
        <w:t>ALJ</w:t>
      </w:r>
      <w:r w:rsidR="008D21F8" w:rsidRPr="00D54D13">
        <w:rPr>
          <w:sz w:val="26"/>
          <w:szCs w:val="26"/>
        </w:rPr>
        <w:t xml:space="preserve"> for the purpose of </w:t>
      </w:r>
      <w:r w:rsidR="009A36FC">
        <w:rPr>
          <w:sz w:val="26"/>
          <w:szCs w:val="26"/>
        </w:rPr>
        <w:t xml:space="preserve">fixing a </w:t>
      </w:r>
      <w:r w:rsidR="001E0C3D" w:rsidRPr="00D54D13">
        <w:rPr>
          <w:sz w:val="26"/>
          <w:szCs w:val="26"/>
        </w:rPr>
        <w:t>hearing</w:t>
      </w:r>
      <w:r w:rsidR="001E0C3D">
        <w:rPr>
          <w:sz w:val="26"/>
          <w:szCs w:val="26"/>
        </w:rPr>
        <w:t xml:space="preserve"> or other proceeding</w:t>
      </w:r>
      <w:r w:rsidR="008D21F8" w:rsidRPr="00D54D13">
        <w:rPr>
          <w:sz w:val="26"/>
          <w:szCs w:val="26"/>
        </w:rPr>
        <w:t xml:space="preserve"> </w:t>
      </w:r>
      <w:r w:rsidR="009A36FC">
        <w:rPr>
          <w:sz w:val="26"/>
          <w:szCs w:val="26"/>
        </w:rPr>
        <w:t xml:space="preserve">as </w:t>
      </w:r>
      <w:r w:rsidR="007B2994">
        <w:rPr>
          <w:sz w:val="26"/>
          <w:szCs w:val="26"/>
        </w:rPr>
        <w:t>necessary</w:t>
      </w:r>
      <w:r w:rsidR="009A36FC">
        <w:rPr>
          <w:sz w:val="26"/>
          <w:szCs w:val="26"/>
        </w:rPr>
        <w:t xml:space="preserve">. </w:t>
      </w:r>
      <w:r w:rsidR="002A3BC9">
        <w:rPr>
          <w:sz w:val="26"/>
          <w:szCs w:val="26"/>
        </w:rPr>
        <w:t xml:space="preserve"> </w:t>
      </w:r>
      <w:r w:rsidR="0095351D">
        <w:rPr>
          <w:sz w:val="26"/>
          <w:szCs w:val="26"/>
        </w:rPr>
        <w:t xml:space="preserve">66 Pa. C.S. </w:t>
      </w:r>
      <w:r w:rsidR="001E0C3D">
        <w:rPr>
          <w:sz w:val="26"/>
          <w:szCs w:val="26"/>
        </w:rPr>
        <w:t>§</w:t>
      </w:r>
      <w:r w:rsidR="0095351D">
        <w:rPr>
          <w:sz w:val="26"/>
          <w:szCs w:val="26"/>
        </w:rPr>
        <w:t>§ 703</w:t>
      </w:r>
      <w:r w:rsidR="001E0C3D">
        <w:rPr>
          <w:sz w:val="26"/>
          <w:szCs w:val="26"/>
        </w:rPr>
        <w:t>(b)-(c)</w:t>
      </w:r>
      <w:r w:rsidR="0095351D">
        <w:rPr>
          <w:sz w:val="26"/>
          <w:szCs w:val="26"/>
        </w:rPr>
        <w:t>.</w:t>
      </w:r>
    </w:p>
  </w:footnote>
  <w:footnote w:id="7">
    <w:p w14:paraId="0A21B311" w14:textId="32C32BD1" w:rsidR="001E7D17" w:rsidRPr="002A3BC9" w:rsidRDefault="001E7D17" w:rsidP="00A23220">
      <w:pPr>
        <w:keepNext/>
        <w:keepLines/>
        <w:spacing w:line="240" w:lineRule="auto"/>
        <w:ind w:firstLine="720"/>
        <w:rPr>
          <w:sz w:val="26"/>
          <w:szCs w:val="26"/>
        </w:rPr>
      </w:pPr>
      <w:r w:rsidRPr="001E7D17">
        <w:rPr>
          <w:rStyle w:val="FootnoteReference"/>
          <w:sz w:val="26"/>
          <w:szCs w:val="26"/>
        </w:rPr>
        <w:footnoteRef/>
      </w:r>
      <w:r w:rsidRPr="001E7D17">
        <w:rPr>
          <w:sz w:val="26"/>
          <w:szCs w:val="26"/>
        </w:rPr>
        <w:t xml:space="preserve"> </w:t>
      </w:r>
      <w:r>
        <w:tab/>
      </w:r>
      <w:r w:rsidRPr="009B3E33">
        <w:rPr>
          <w:sz w:val="26"/>
          <w:szCs w:val="26"/>
        </w:rPr>
        <w:t xml:space="preserve">On May 20, 2020, the OCA contacted I&amp;E about accessing the confidential data requests and responses in this matter </w:t>
      </w:r>
      <w:proofErr w:type="gramStart"/>
      <w:r w:rsidRPr="009B3E33">
        <w:rPr>
          <w:sz w:val="26"/>
          <w:szCs w:val="26"/>
        </w:rPr>
        <w:t>in order to</w:t>
      </w:r>
      <w:proofErr w:type="gramEnd"/>
      <w:r w:rsidRPr="009B3E33">
        <w:rPr>
          <w:sz w:val="26"/>
          <w:szCs w:val="26"/>
        </w:rPr>
        <w:t xml:space="preserve"> initiate its review of the available information and to begin drafting its own discovery.</w:t>
      </w:r>
      <w:r>
        <w:rPr>
          <w:sz w:val="26"/>
          <w:szCs w:val="26"/>
        </w:rPr>
        <w:t xml:space="preserve">  </w:t>
      </w:r>
      <w:r w:rsidRPr="009B3E33">
        <w:rPr>
          <w:sz w:val="26"/>
          <w:szCs w:val="26"/>
        </w:rPr>
        <w:t>On May 22, 2020, the OCA received the confidential responses to I&amp;E data requests.</w:t>
      </w:r>
      <w:r>
        <w:rPr>
          <w:sz w:val="26"/>
          <w:szCs w:val="26"/>
        </w:rPr>
        <w:t xml:space="preserve">  </w:t>
      </w:r>
      <w:r w:rsidRPr="009B3E33">
        <w:rPr>
          <w:sz w:val="26"/>
          <w:szCs w:val="26"/>
        </w:rPr>
        <w:t>On May 26, 2020, the OCA learned that Verde and I&amp;E had been engaged in settlement negotiations</w:t>
      </w:r>
      <w:r w:rsidR="00C61835">
        <w:rPr>
          <w:sz w:val="26"/>
          <w:szCs w:val="26"/>
        </w:rPr>
        <w:t>.</w:t>
      </w:r>
      <w:r w:rsidRPr="009B3E33">
        <w:rPr>
          <w:sz w:val="26"/>
          <w:szCs w:val="26"/>
        </w:rPr>
        <w:t xml:space="preserve">  </w:t>
      </w:r>
      <w:r w:rsidR="00037336">
        <w:rPr>
          <w:sz w:val="26"/>
          <w:szCs w:val="26"/>
        </w:rPr>
        <w:t xml:space="preserve">The </w:t>
      </w:r>
      <w:r w:rsidRPr="009B3E33">
        <w:rPr>
          <w:sz w:val="26"/>
          <w:szCs w:val="26"/>
        </w:rPr>
        <w:t>OCA maintain</w:t>
      </w:r>
      <w:r w:rsidR="00037336">
        <w:rPr>
          <w:sz w:val="26"/>
          <w:szCs w:val="26"/>
        </w:rPr>
        <w:t>ed</w:t>
      </w:r>
      <w:r w:rsidRPr="009B3E33">
        <w:rPr>
          <w:sz w:val="26"/>
          <w:szCs w:val="26"/>
        </w:rPr>
        <w:t xml:space="preserve"> that the settlement was premature and negotiated before the OCA was able to conduct discovery into the allegations in the Complaint.</w:t>
      </w:r>
      <w:r>
        <w:rPr>
          <w:sz w:val="26"/>
          <w:szCs w:val="26"/>
        </w:rPr>
        <w:t xml:space="preserve">  </w:t>
      </w:r>
      <w:r w:rsidRPr="009B3E33">
        <w:rPr>
          <w:sz w:val="26"/>
          <w:szCs w:val="26"/>
        </w:rPr>
        <w:t xml:space="preserve">On May 27, 2020, Verde’s counsel provided the OCA with a </w:t>
      </w:r>
      <w:r>
        <w:rPr>
          <w:sz w:val="26"/>
          <w:szCs w:val="26"/>
        </w:rPr>
        <w:t xml:space="preserve">written </w:t>
      </w:r>
      <w:r w:rsidRPr="009B3E33">
        <w:rPr>
          <w:sz w:val="26"/>
          <w:szCs w:val="26"/>
        </w:rPr>
        <w:t>draft of the settlement and requested that the OCA provide its position and any input on the settlement.  On June 1, 2020, the OCA served interrogatories to Verde</w:t>
      </w:r>
      <w:r>
        <w:rPr>
          <w:sz w:val="26"/>
          <w:szCs w:val="26"/>
        </w:rPr>
        <w:t xml:space="preserve"> (OCA</w:t>
      </w:r>
      <w:r w:rsidR="002A3BC9">
        <w:rPr>
          <w:sz w:val="26"/>
          <w:szCs w:val="26"/>
        </w:rPr>
        <w:t> </w:t>
      </w:r>
      <w:r>
        <w:rPr>
          <w:sz w:val="26"/>
          <w:szCs w:val="26"/>
        </w:rPr>
        <w:t>Set I)</w:t>
      </w:r>
      <w:r w:rsidRPr="009B3E33">
        <w:rPr>
          <w:sz w:val="26"/>
          <w:szCs w:val="26"/>
        </w:rPr>
        <w:t>.  The OCA served follow</w:t>
      </w:r>
      <w:r>
        <w:rPr>
          <w:sz w:val="26"/>
          <w:szCs w:val="26"/>
        </w:rPr>
        <w:t>-</w:t>
      </w:r>
      <w:r w:rsidRPr="009B3E33">
        <w:rPr>
          <w:sz w:val="26"/>
          <w:szCs w:val="26"/>
        </w:rPr>
        <w:t>up discovery on Verde on July 6, 2020 (OCA</w:t>
      </w:r>
      <w:r w:rsidR="002A3BC9">
        <w:rPr>
          <w:sz w:val="26"/>
          <w:szCs w:val="26"/>
        </w:rPr>
        <w:t> </w:t>
      </w:r>
      <w:r w:rsidRPr="009B3E33">
        <w:rPr>
          <w:sz w:val="26"/>
          <w:szCs w:val="26"/>
        </w:rPr>
        <w:t>Set</w:t>
      </w:r>
      <w:r w:rsidR="002A3BC9">
        <w:rPr>
          <w:sz w:val="26"/>
          <w:szCs w:val="26"/>
        </w:rPr>
        <w:t> </w:t>
      </w:r>
      <w:r w:rsidRPr="009B3E33">
        <w:rPr>
          <w:sz w:val="26"/>
          <w:szCs w:val="26"/>
        </w:rPr>
        <w:t>II) and on August 3, 2020,</w:t>
      </w:r>
      <w:r>
        <w:rPr>
          <w:sz w:val="26"/>
          <w:szCs w:val="26"/>
        </w:rPr>
        <w:t xml:space="preserve"> </w:t>
      </w:r>
      <w:r w:rsidRPr="009B3E33">
        <w:rPr>
          <w:sz w:val="26"/>
          <w:szCs w:val="26"/>
        </w:rPr>
        <w:t xml:space="preserve">(OCA Set III).  </w:t>
      </w:r>
    </w:p>
  </w:footnote>
  <w:footnote w:id="8">
    <w:p w14:paraId="7585667B" w14:textId="4B88E6CC" w:rsidR="00BC68EC" w:rsidRPr="0059250F" w:rsidRDefault="00BC68EC" w:rsidP="0059250F">
      <w:pPr>
        <w:pStyle w:val="FootnoteText"/>
        <w:spacing w:after="120" w:line="240" w:lineRule="auto"/>
        <w:ind w:firstLine="720"/>
        <w:rPr>
          <w:sz w:val="26"/>
          <w:szCs w:val="26"/>
        </w:rPr>
      </w:pPr>
      <w:r w:rsidRPr="0059250F">
        <w:rPr>
          <w:rStyle w:val="FootnoteReference"/>
          <w:sz w:val="26"/>
          <w:szCs w:val="26"/>
        </w:rPr>
        <w:footnoteRef/>
      </w:r>
      <w:r w:rsidRPr="0059250F">
        <w:rPr>
          <w:sz w:val="26"/>
          <w:szCs w:val="26"/>
        </w:rPr>
        <w:t xml:space="preserve"> </w:t>
      </w:r>
      <w:r w:rsidRPr="0059250F">
        <w:rPr>
          <w:sz w:val="26"/>
          <w:szCs w:val="26"/>
        </w:rPr>
        <w:tab/>
        <w:t xml:space="preserve">The ALJ cited to the Commission </w:t>
      </w:r>
      <w:r w:rsidR="002F090F">
        <w:rPr>
          <w:sz w:val="26"/>
          <w:szCs w:val="26"/>
        </w:rPr>
        <w:t>R</w:t>
      </w:r>
      <w:r w:rsidRPr="0059250F">
        <w:rPr>
          <w:sz w:val="26"/>
          <w:szCs w:val="26"/>
        </w:rPr>
        <w:t xml:space="preserve">egulations, which provide that “[a] party shall initiate discovery as early in the proceedings as reasonably possible,” and that “the right to discovery commences when a complaint, protest or other adverse pleading is filed.” </w:t>
      </w:r>
      <w:r>
        <w:rPr>
          <w:sz w:val="26"/>
          <w:szCs w:val="26"/>
        </w:rPr>
        <w:t xml:space="preserve"> </w:t>
      </w:r>
      <w:r w:rsidRPr="0059250F">
        <w:rPr>
          <w:sz w:val="26"/>
          <w:szCs w:val="26"/>
        </w:rPr>
        <w:t>52 Pa. Code § 5.331(b).</w:t>
      </w:r>
    </w:p>
  </w:footnote>
  <w:footnote w:id="9">
    <w:p w14:paraId="7ED896F1" w14:textId="141BF0EC" w:rsidR="00C50D2A" w:rsidRPr="00415BAB" w:rsidRDefault="00C50D2A" w:rsidP="00C50D2A">
      <w:pPr>
        <w:pStyle w:val="FootnoteText"/>
        <w:spacing w:line="240" w:lineRule="auto"/>
        <w:ind w:firstLine="720"/>
        <w:rPr>
          <w:sz w:val="26"/>
          <w:szCs w:val="26"/>
        </w:rPr>
      </w:pPr>
      <w:r w:rsidRPr="00415BAB">
        <w:rPr>
          <w:rStyle w:val="FootnoteReference"/>
          <w:sz w:val="26"/>
          <w:szCs w:val="26"/>
        </w:rPr>
        <w:footnoteRef/>
      </w:r>
      <w:r w:rsidRPr="00415BAB">
        <w:rPr>
          <w:sz w:val="26"/>
          <w:szCs w:val="26"/>
        </w:rPr>
        <w:t xml:space="preserve"> </w:t>
      </w:r>
      <w:r w:rsidRPr="00415BAB">
        <w:rPr>
          <w:sz w:val="26"/>
          <w:szCs w:val="26"/>
        </w:rPr>
        <w:tab/>
      </w:r>
      <w:r w:rsidRPr="009B3E33">
        <w:rPr>
          <w:sz w:val="26"/>
          <w:szCs w:val="26"/>
        </w:rPr>
        <w:t>Verde endorsed its Motion</w:t>
      </w:r>
      <w:r>
        <w:rPr>
          <w:sz w:val="26"/>
          <w:szCs w:val="26"/>
        </w:rPr>
        <w:t xml:space="preserve"> to Strike</w:t>
      </w:r>
      <w:r w:rsidRPr="009B3E33">
        <w:rPr>
          <w:sz w:val="26"/>
          <w:szCs w:val="26"/>
        </w:rPr>
        <w:t xml:space="preserve"> with a Notice to Plead advising the OCA that it had twenty days to file a written response to the Motion</w:t>
      </w:r>
      <w:r>
        <w:rPr>
          <w:sz w:val="26"/>
          <w:szCs w:val="26"/>
        </w:rPr>
        <w:t xml:space="preserve">.  </w:t>
      </w:r>
      <w:r w:rsidRPr="00415BAB">
        <w:rPr>
          <w:sz w:val="26"/>
          <w:szCs w:val="26"/>
        </w:rPr>
        <w:t xml:space="preserve">A party has 20 days from the date of service within which to answer or object to a motion unless the </w:t>
      </w:r>
      <w:proofErr w:type="gramStart"/>
      <w:r w:rsidRPr="00415BAB">
        <w:rPr>
          <w:sz w:val="26"/>
          <w:szCs w:val="26"/>
        </w:rPr>
        <w:t>period of time</w:t>
      </w:r>
      <w:proofErr w:type="gramEnd"/>
      <w:r w:rsidRPr="00415BAB">
        <w:rPr>
          <w:sz w:val="26"/>
          <w:szCs w:val="26"/>
        </w:rPr>
        <w:t xml:space="preserve"> is otherwise fixed by the Commission or the presiding off</w:t>
      </w:r>
      <w:r>
        <w:rPr>
          <w:sz w:val="26"/>
          <w:szCs w:val="26"/>
        </w:rPr>
        <w:t>i</w:t>
      </w:r>
      <w:r w:rsidRPr="00415BAB">
        <w:rPr>
          <w:sz w:val="26"/>
          <w:szCs w:val="26"/>
        </w:rPr>
        <w:t>cer.  52 Pa.</w:t>
      </w:r>
      <w:r>
        <w:rPr>
          <w:sz w:val="26"/>
          <w:szCs w:val="26"/>
        </w:rPr>
        <w:t xml:space="preserve"> </w:t>
      </w:r>
      <w:r w:rsidRPr="00415BAB">
        <w:rPr>
          <w:sz w:val="26"/>
          <w:szCs w:val="26"/>
        </w:rPr>
        <w:t xml:space="preserve">Code </w:t>
      </w:r>
      <w:r w:rsidRPr="00415BAB">
        <w:rPr>
          <w:spacing w:val="-3"/>
          <w:sz w:val="26"/>
          <w:szCs w:val="26"/>
        </w:rPr>
        <w:t>§</w:t>
      </w:r>
      <w:r w:rsidR="00557FA5">
        <w:rPr>
          <w:spacing w:val="-3"/>
          <w:sz w:val="26"/>
          <w:szCs w:val="26"/>
        </w:rPr>
        <w:t> </w:t>
      </w:r>
      <w:r w:rsidRPr="00415BAB">
        <w:rPr>
          <w:spacing w:val="-3"/>
          <w:sz w:val="26"/>
          <w:szCs w:val="26"/>
        </w:rPr>
        <w:t>5.103(c).</w:t>
      </w:r>
    </w:p>
  </w:footnote>
  <w:footnote w:id="10">
    <w:p w14:paraId="3BEEF175" w14:textId="77777777" w:rsidR="00466269" w:rsidRPr="007E6D36" w:rsidRDefault="00466269" w:rsidP="0059250F">
      <w:pPr>
        <w:pStyle w:val="FootnoteText"/>
        <w:spacing w:after="120" w:line="240" w:lineRule="auto"/>
        <w:ind w:firstLine="720"/>
        <w:rPr>
          <w:sz w:val="26"/>
          <w:szCs w:val="26"/>
        </w:rPr>
      </w:pPr>
      <w:r w:rsidRPr="007E6D36">
        <w:rPr>
          <w:rStyle w:val="FootnoteReference"/>
          <w:sz w:val="26"/>
          <w:szCs w:val="26"/>
        </w:rPr>
        <w:footnoteRef/>
      </w:r>
      <w:r w:rsidRPr="007E6D36">
        <w:rPr>
          <w:sz w:val="26"/>
          <w:szCs w:val="26"/>
        </w:rPr>
        <w:t xml:space="preserve"> </w:t>
      </w:r>
      <w:r w:rsidRPr="007E6D36">
        <w:rPr>
          <w:sz w:val="26"/>
          <w:szCs w:val="26"/>
        </w:rPr>
        <w:tab/>
        <w:t xml:space="preserve">The Commission will consider certain factors to determine whether a proposed settlement for a violation of Commission order, regulation, or statute is reasonable.  52 Pa. Code § 62.1201.  </w:t>
      </w:r>
    </w:p>
  </w:footnote>
  <w:footnote w:id="11">
    <w:p w14:paraId="79994FDF" w14:textId="77777777" w:rsidR="00B97404" w:rsidRPr="007E6D36" w:rsidRDefault="00B97404" w:rsidP="00B97404">
      <w:pPr>
        <w:spacing w:after="120" w:line="240" w:lineRule="auto"/>
        <w:ind w:firstLine="720"/>
        <w:rPr>
          <w:sz w:val="26"/>
          <w:szCs w:val="26"/>
        </w:rPr>
      </w:pPr>
      <w:r w:rsidRPr="007E6D36">
        <w:rPr>
          <w:rStyle w:val="FootnoteReference"/>
          <w:sz w:val="26"/>
          <w:szCs w:val="26"/>
        </w:rPr>
        <w:footnoteRef/>
      </w:r>
      <w:r w:rsidRPr="007E6D36">
        <w:rPr>
          <w:sz w:val="26"/>
          <w:szCs w:val="26"/>
        </w:rPr>
        <w:t xml:space="preserve"> </w:t>
      </w:r>
      <w:r w:rsidRPr="007E6D36">
        <w:rPr>
          <w:sz w:val="26"/>
          <w:szCs w:val="26"/>
        </w:rPr>
        <w:tab/>
        <w:t xml:space="preserve">For a settlement to be approved by the Commission, it must serve the public interest and it must be supported by “substantial evidence.”  </w:t>
      </w:r>
      <w:r w:rsidRPr="007E6D36">
        <w:rPr>
          <w:i/>
          <w:iCs/>
          <w:sz w:val="26"/>
          <w:szCs w:val="26"/>
        </w:rPr>
        <w:t>Pa. PUC v. PGW</w:t>
      </w:r>
      <w:r w:rsidRPr="007E6D36">
        <w:rPr>
          <w:sz w:val="26"/>
          <w:szCs w:val="26"/>
        </w:rPr>
        <w:t xml:space="preserve">, Docket No. R-2020-3017206 at 13-15 (Opinion and Order entered Nov. 19, 2020).  Substantial evidence is such relevant evidence that a reasonable mind might accept as adequate to support a conclusion.  </w:t>
      </w:r>
      <w:r w:rsidRPr="007E6D36">
        <w:rPr>
          <w:i/>
          <w:iCs/>
          <w:sz w:val="26"/>
          <w:szCs w:val="26"/>
        </w:rPr>
        <w:t>Consolidated Edison Company of New York v. National Labor Relations Board</w:t>
      </w:r>
      <w:r w:rsidRPr="007E6D36">
        <w:rPr>
          <w:sz w:val="26"/>
          <w:szCs w:val="26"/>
        </w:rPr>
        <w:t xml:space="preserve">, 305 U.S. 197, 229, 59 </w:t>
      </w:r>
      <w:proofErr w:type="spellStart"/>
      <w:r w:rsidRPr="007E6D36">
        <w:rPr>
          <w:sz w:val="26"/>
          <w:szCs w:val="26"/>
        </w:rPr>
        <w:t>S.Ct</w:t>
      </w:r>
      <w:proofErr w:type="spellEnd"/>
      <w:r w:rsidRPr="007E6D36">
        <w:rPr>
          <w:sz w:val="26"/>
          <w:szCs w:val="26"/>
        </w:rPr>
        <w:t xml:space="preserve">. 206, 217.  In the event of a non-unanimous settlement, the Commission’s standards for review are the same as those for deciding a fully contested case.  </w:t>
      </w:r>
      <w:r w:rsidRPr="007E6D36">
        <w:rPr>
          <w:i/>
          <w:iCs/>
          <w:sz w:val="26"/>
          <w:szCs w:val="26"/>
        </w:rPr>
        <w:t>Joint Application of West Penn Power Company d/b/a Allegheny Power, Trans-Allegheny Interstate Line Company and FirstEnergy Corp.</w:t>
      </w:r>
      <w:r w:rsidRPr="007E6D36">
        <w:rPr>
          <w:sz w:val="26"/>
          <w:szCs w:val="26"/>
        </w:rPr>
        <w:t xml:space="preserve">, Docket Nos. A-2010-2176520, and A-2010-2176732 (Opinion and Order entered March 8, 2011).  </w:t>
      </w:r>
    </w:p>
  </w:footnote>
  <w:footnote w:id="12">
    <w:p w14:paraId="3698BFC7" w14:textId="0AC524E7" w:rsidR="00954EA0" w:rsidRPr="007E6D36" w:rsidRDefault="00A53E7A" w:rsidP="007E6D36">
      <w:pPr>
        <w:pStyle w:val="FootnoteText"/>
        <w:ind w:firstLine="720"/>
        <w:rPr>
          <w:sz w:val="26"/>
          <w:szCs w:val="26"/>
        </w:rPr>
      </w:pPr>
      <w:r w:rsidRPr="007E6D36">
        <w:rPr>
          <w:rStyle w:val="FootnoteReference"/>
          <w:sz w:val="26"/>
          <w:szCs w:val="26"/>
        </w:rPr>
        <w:footnoteRef/>
      </w:r>
      <w:r w:rsidR="00954EA0" w:rsidRPr="007E6D36">
        <w:rPr>
          <w:sz w:val="26"/>
          <w:szCs w:val="26"/>
        </w:rPr>
        <w:t xml:space="preserve"> </w:t>
      </w:r>
      <w:r w:rsidR="007E6D36">
        <w:rPr>
          <w:sz w:val="26"/>
          <w:szCs w:val="26"/>
        </w:rPr>
        <w:tab/>
      </w:r>
      <w:r w:rsidR="00954EA0" w:rsidRPr="007E6D36">
        <w:rPr>
          <w:i/>
          <w:iCs/>
          <w:sz w:val="26"/>
          <w:szCs w:val="26"/>
        </w:rPr>
        <w:t>Interim Order</w:t>
      </w:r>
      <w:r w:rsidR="00954EA0" w:rsidRPr="007E6D36">
        <w:rPr>
          <w:sz w:val="26"/>
          <w:szCs w:val="26"/>
        </w:rPr>
        <w:t xml:space="preserve"> at 13.</w:t>
      </w:r>
    </w:p>
  </w:footnote>
  <w:footnote w:id="13">
    <w:p w14:paraId="74E47F7F" w14:textId="48255FEC" w:rsidR="00FF733F" w:rsidRPr="008645AF" w:rsidRDefault="00FF733F" w:rsidP="007E6D36">
      <w:pPr>
        <w:pStyle w:val="FootnoteText"/>
        <w:ind w:firstLine="720"/>
        <w:rPr>
          <w:sz w:val="22"/>
          <w:szCs w:val="22"/>
        </w:rPr>
      </w:pPr>
      <w:r w:rsidRPr="007E6D36">
        <w:rPr>
          <w:rStyle w:val="FootnoteReference"/>
          <w:sz w:val="26"/>
          <w:szCs w:val="26"/>
        </w:rPr>
        <w:footnoteRef/>
      </w:r>
      <w:r w:rsidRPr="007E6D36">
        <w:rPr>
          <w:sz w:val="26"/>
          <w:szCs w:val="26"/>
        </w:rPr>
        <w:t xml:space="preserve"> </w:t>
      </w:r>
      <w:r w:rsidR="007E6D36">
        <w:rPr>
          <w:sz w:val="26"/>
          <w:szCs w:val="26"/>
        </w:rPr>
        <w:tab/>
      </w:r>
      <w:r w:rsidRPr="007E6D36">
        <w:rPr>
          <w:i/>
          <w:iCs/>
          <w:sz w:val="26"/>
          <w:szCs w:val="26"/>
        </w:rPr>
        <w:t>Id</w:t>
      </w:r>
      <w:r w:rsidRPr="007E6D36">
        <w:rPr>
          <w:sz w:val="26"/>
          <w:szCs w:val="26"/>
        </w:rPr>
        <w:t>.</w:t>
      </w:r>
    </w:p>
  </w:footnote>
  <w:footnote w:id="14">
    <w:p w14:paraId="1EEFE765" w14:textId="20B15838" w:rsidR="006F3002" w:rsidRPr="00D44740" w:rsidRDefault="006F3002" w:rsidP="006F3002">
      <w:pPr>
        <w:pStyle w:val="FootnoteText"/>
        <w:keepLines/>
        <w:spacing w:after="120" w:line="240" w:lineRule="auto"/>
        <w:ind w:firstLine="720"/>
        <w:rPr>
          <w:sz w:val="26"/>
          <w:szCs w:val="26"/>
        </w:rPr>
      </w:pPr>
      <w:r w:rsidRPr="00D44740">
        <w:rPr>
          <w:rStyle w:val="FootnoteReference"/>
          <w:sz w:val="26"/>
          <w:szCs w:val="26"/>
        </w:rPr>
        <w:footnoteRef/>
      </w:r>
      <w:r w:rsidRPr="00D44740">
        <w:rPr>
          <w:sz w:val="26"/>
          <w:szCs w:val="26"/>
        </w:rPr>
        <w:t xml:space="preserve"> </w:t>
      </w:r>
      <w:r w:rsidRPr="00D44740">
        <w:rPr>
          <w:sz w:val="26"/>
          <w:szCs w:val="26"/>
        </w:rPr>
        <w:tab/>
        <w:t>“</w:t>
      </w:r>
      <w:r w:rsidRPr="00D44740">
        <w:rPr>
          <w:color w:val="000000"/>
          <w:sz w:val="26"/>
          <w:szCs w:val="26"/>
        </w:rPr>
        <w:t xml:space="preserve">The settlement of a case may reduce the expense of litigation, resolve regulatory uncertainty, and facilitate the prompt implementation of remedial measures intended to improve the safety, quality, or reliability of public utility service. The Commission has entrusted I&amp;E, its independent </w:t>
      </w:r>
      <w:proofErr w:type="spellStart"/>
      <w:r w:rsidRPr="00D44740">
        <w:rPr>
          <w:color w:val="000000"/>
          <w:sz w:val="26"/>
          <w:szCs w:val="26"/>
        </w:rPr>
        <w:t>prosecutory</w:t>
      </w:r>
      <w:proofErr w:type="spellEnd"/>
      <w:r w:rsidRPr="00D44740">
        <w:rPr>
          <w:color w:val="000000"/>
          <w:sz w:val="26"/>
          <w:szCs w:val="26"/>
        </w:rPr>
        <w:t xml:space="preserve"> arm, with a degree of discretion in how it litigates and negotiates resolution of pending matters. It is common for I&amp;E to agree to extensions of time to the filing of Answers to permit early resolution of cases. It is not uncommon for I&amp;E to engage in lengthy settlement negotiations even after Answers in opposition to its Formal Complaint are file</w:t>
      </w:r>
      <w:r>
        <w:rPr>
          <w:color w:val="000000"/>
          <w:sz w:val="26"/>
          <w:szCs w:val="26"/>
        </w:rPr>
        <w:t xml:space="preserve">d, which convert the matter to an adversarial proceeding.”  </w:t>
      </w:r>
      <w:r w:rsidRPr="000024F7">
        <w:rPr>
          <w:i/>
          <w:iCs/>
          <w:color w:val="000000"/>
          <w:sz w:val="26"/>
          <w:szCs w:val="26"/>
        </w:rPr>
        <w:t>Sunoco Complaint Order</w:t>
      </w:r>
      <w:r>
        <w:rPr>
          <w:color w:val="000000"/>
          <w:sz w:val="26"/>
          <w:szCs w:val="26"/>
        </w:rPr>
        <w:t xml:space="preserve"> at 16.</w:t>
      </w:r>
    </w:p>
  </w:footnote>
  <w:footnote w:id="15">
    <w:p w14:paraId="11FBECC0" w14:textId="60140048" w:rsidR="004C1A81" w:rsidRPr="00D61612" w:rsidRDefault="004C1A81" w:rsidP="00D61612">
      <w:pPr>
        <w:pStyle w:val="footnotedescription"/>
        <w:spacing w:after="3"/>
        <w:ind w:firstLine="720"/>
        <w:rPr>
          <w:sz w:val="26"/>
          <w:szCs w:val="26"/>
        </w:rPr>
      </w:pPr>
      <w:r w:rsidRPr="00D61612">
        <w:rPr>
          <w:rStyle w:val="footnotemark"/>
          <w:sz w:val="26"/>
          <w:szCs w:val="26"/>
        </w:rPr>
        <w:footnoteRef/>
      </w:r>
      <w:r w:rsidRPr="00D61612">
        <w:rPr>
          <w:sz w:val="26"/>
          <w:szCs w:val="26"/>
        </w:rPr>
        <w:t xml:space="preserve"> </w:t>
      </w:r>
      <w:r w:rsidR="00D61612">
        <w:rPr>
          <w:sz w:val="26"/>
          <w:szCs w:val="26"/>
        </w:rPr>
        <w:tab/>
      </w:r>
      <w:r w:rsidRPr="00D61612">
        <w:rPr>
          <w:i/>
          <w:sz w:val="26"/>
          <w:szCs w:val="26"/>
        </w:rPr>
        <w:t xml:space="preserve">Petition of the Bureau of Investigation and Enforcement of The Pennsylvania Public Utility Commission for the Issuance of an Ex </w:t>
      </w:r>
      <w:proofErr w:type="spellStart"/>
      <w:r w:rsidRPr="00D61612">
        <w:rPr>
          <w:i/>
          <w:sz w:val="26"/>
          <w:szCs w:val="26"/>
        </w:rPr>
        <w:t>Parte</w:t>
      </w:r>
      <w:proofErr w:type="spellEnd"/>
      <w:r w:rsidRPr="00D61612">
        <w:rPr>
          <w:i/>
          <w:sz w:val="26"/>
          <w:szCs w:val="26"/>
        </w:rPr>
        <w:t xml:space="preserve"> Emergency Order</w:t>
      </w:r>
      <w:r w:rsidRPr="00D61612">
        <w:rPr>
          <w:sz w:val="26"/>
          <w:szCs w:val="26"/>
        </w:rPr>
        <w:t>, Docket No. P-2018-3000281 at 10 (Order entered May 3, 2018) (citing 52</w:t>
      </w:r>
      <w:r w:rsidR="00FD3135">
        <w:rPr>
          <w:sz w:val="26"/>
          <w:szCs w:val="26"/>
        </w:rPr>
        <w:t> </w:t>
      </w:r>
      <w:r w:rsidRPr="00D61612">
        <w:rPr>
          <w:sz w:val="26"/>
          <w:szCs w:val="26"/>
        </w:rPr>
        <w:t>Pa.</w:t>
      </w:r>
      <w:r w:rsidR="00FD3135">
        <w:rPr>
          <w:sz w:val="26"/>
          <w:szCs w:val="26"/>
        </w:rPr>
        <w:t> </w:t>
      </w:r>
      <w:r w:rsidRPr="00D61612">
        <w:rPr>
          <w:sz w:val="26"/>
          <w:szCs w:val="26"/>
        </w:rPr>
        <w:t xml:space="preserve">Code § 5.75(c)) (“Rights upon grant of petition. Admission as an intervenor will not be construed as recognition by the Commission that the intervenor has a direct interest in the proceeding or might be aggrieved by an order of the Commission in the proceeding. Intervenors are granted no rights which survive discontinuance of a case.”). </w:t>
      </w:r>
    </w:p>
  </w:footnote>
  <w:footnote w:id="16">
    <w:p w14:paraId="7DC7D533" w14:textId="1C2F736D" w:rsidR="00817455" w:rsidRPr="007E6D36" w:rsidRDefault="00817455" w:rsidP="00F76872">
      <w:pPr>
        <w:pStyle w:val="footnotedescription"/>
        <w:ind w:firstLine="720"/>
        <w:rPr>
          <w:sz w:val="26"/>
          <w:szCs w:val="26"/>
        </w:rPr>
      </w:pPr>
      <w:r w:rsidRPr="007E6D36">
        <w:rPr>
          <w:rStyle w:val="FootnoteReference"/>
          <w:sz w:val="26"/>
          <w:szCs w:val="26"/>
        </w:rPr>
        <w:footnoteRef/>
      </w:r>
      <w:r w:rsidRPr="007E6D36">
        <w:rPr>
          <w:sz w:val="26"/>
          <w:szCs w:val="26"/>
        </w:rPr>
        <w:t xml:space="preserve"> </w:t>
      </w:r>
      <w:r w:rsidRPr="007E6D36">
        <w:rPr>
          <w:sz w:val="26"/>
          <w:szCs w:val="26"/>
        </w:rPr>
        <w:tab/>
        <w:t xml:space="preserve">We note that the Settlement does not preclude the OCA from filing its own formal complaint against Verde.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07664CD"/>
    <w:multiLevelType w:val="hybridMultilevel"/>
    <w:tmpl w:val="686C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1548"/>
    <w:multiLevelType w:val="hybridMultilevel"/>
    <w:tmpl w:val="1190300E"/>
    <w:lvl w:ilvl="0" w:tplc="74F0A7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09633A"/>
    <w:multiLevelType w:val="hybridMultilevel"/>
    <w:tmpl w:val="6F4A02F4"/>
    <w:lvl w:ilvl="0" w:tplc="78E68A20">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B0F76"/>
    <w:multiLevelType w:val="hybridMultilevel"/>
    <w:tmpl w:val="A5FAF794"/>
    <w:lvl w:ilvl="0" w:tplc="69766CB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3AB9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A93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4E49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7EEB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FEB7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F2CF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6E6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87F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665673E"/>
    <w:multiLevelType w:val="hybridMultilevel"/>
    <w:tmpl w:val="F8BE5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8F124C"/>
    <w:multiLevelType w:val="hybridMultilevel"/>
    <w:tmpl w:val="4358009A"/>
    <w:lvl w:ilvl="0" w:tplc="18A000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AD7DE2"/>
    <w:multiLevelType w:val="hybridMultilevel"/>
    <w:tmpl w:val="54AA5F2E"/>
    <w:lvl w:ilvl="0" w:tplc="F9A4D0AA">
      <w:start w:val="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AF870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87057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A726A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74C4B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0BEE0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6207B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02826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DD80A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18A23647"/>
    <w:multiLevelType w:val="hybridMultilevel"/>
    <w:tmpl w:val="F29CCFC2"/>
    <w:lvl w:ilvl="0" w:tplc="69460BF0">
      <w:start w:val="1"/>
      <w:numFmt w:val="upperRoman"/>
      <w:pStyle w:val="Heading1"/>
      <w:lvlText w:val="%1."/>
      <w:lvlJc w:val="right"/>
      <w:pPr>
        <w:ind w:left="3600" w:hanging="360"/>
      </w:pPr>
    </w:lvl>
    <w:lvl w:ilvl="1" w:tplc="EFF29E22">
      <w:start w:val="1"/>
      <w:numFmt w:val="upperLetter"/>
      <w:lvlText w:val="%2."/>
      <w:lvlJc w:val="left"/>
      <w:pPr>
        <w:ind w:left="4680" w:hanging="72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9D11449"/>
    <w:multiLevelType w:val="hybridMultilevel"/>
    <w:tmpl w:val="C8B2E5E4"/>
    <w:lvl w:ilvl="0" w:tplc="214CB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008A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0AD74">
      <w:start w:val="1"/>
      <w:numFmt w:val="lowerRoman"/>
      <w:lvlText w:val="%3"/>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26E44">
      <w:start w:val="1"/>
      <w:numFmt w:val="decimal"/>
      <w:lvlText w:val="%4"/>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EBC3C">
      <w:start w:val="1"/>
      <w:numFmt w:val="lowerLetter"/>
      <w:lvlText w:val="%5"/>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E1FFA">
      <w:start w:val="1"/>
      <w:numFmt w:val="lowerRoman"/>
      <w:lvlText w:val="%6"/>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CD55C">
      <w:start w:val="1"/>
      <w:numFmt w:val="decimal"/>
      <w:lvlText w:val="%7"/>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C6076">
      <w:start w:val="1"/>
      <w:numFmt w:val="lowerLetter"/>
      <w:lvlText w:val="%8"/>
      <w:lvlJc w:val="left"/>
      <w:pPr>
        <w:ind w:left="7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DB26">
      <w:start w:val="1"/>
      <w:numFmt w:val="lowerRoman"/>
      <w:lvlText w:val="%9"/>
      <w:lvlJc w:val="left"/>
      <w:pPr>
        <w:ind w:left="7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963D1"/>
    <w:multiLevelType w:val="hybridMultilevel"/>
    <w:tmpl w:val="FA0425AA"/>
    <w:lvl w:ilvl="0" w:tplc="F15851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925733"/>
    <w:multiLevelType w:val="hybridMultilevel"/>
    <w:tmpl w:val="DE168CFA"/>
    <w:lvl w:ilvl="0" w:tplc="53F687DE">
      <w:start w:val="1"/>
      <w:numFmt w:val="decimal"/>
      <w:lvlText w:val="%1)"/>
      <w:lvlJc w:val="left"/>
      <w:pPr>
        <w:ind w:left="1661" w:hanging="360"/>
      </w:pPr>
      <w:rPr>
        <w:rFonts w:hint="default"/>
      </w:r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16"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5C5217E"/>
    <w:multiLevelType w:val="hybridMultilevel"/>
    <w:tmpl w:val="65EA5522"/>
    <w:lvl w:ilvl="0" w:tplc="41469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9"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F337E0"/>
    <w:multiLevelType w:val="hybridMultilevel"/>
    <w:tmpl w:val="11D2EB1C"/>
    <w:lvl w:ilvl="0" w:tplc="350A4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22"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24"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1E7BF7"/>
    <w:multiLevelType w:val="hybridMultilevel"/>
    <w:tmpl w:val="EC866234"/>
    <w:lvl w:ilvl="0" w:tplc="D9AC1340">
      <w:start w:val="6"/>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03CA0">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04516">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AF96E">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E410A">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980">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A6CE0">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BAF2">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AC222">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867926"/>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7" w15:restartNumberingAfterBreak="0">
    <w:nsid w:val="464A4EF3"/>
    <w:multiLevelType w:val="hybridMultilevel"/>
    <w:tmpl w:val="060EA6D4"/>
    <w:lvl w:ilvl="0" w:tplc="F96E7A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2314CF"/>
    <w:multiLevelType w:val="hybridMultilevel"/>
    <w:tmpl w:val="2424DE60"/>
    <w:lvl w:ilvl="0" w:tplc="82B2847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26557C"/>
    <w:multiLevelType w:val="hybridMultilevel"/>
    <w:tmpl w:val="89142724"/>
    <w:lvl w:ilvl="0" w:tplc="24A40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7E1B65"/>
    <w:multiLevelType w:val="hybridMultilevel"/>
    <w:tmpl w:val="8A403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C5D1B"/>
    <w:multiLevelType w:val="hybridMultilevel"/>
    <w:tmpl w:val="55D644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E5313"/>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34" w15:restartNumberingAfterBreak="0">
    <w:nsid w:val="591E230C"/>
    <w:multiLevelType w:val="hybridMultilevel"/>
    <w:tmpl w:val="AEA0DB08"/>
    <w:lvl w:ilvl="0" w:tplc="DA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A757CD"/>
    <w:multiLevelType w:val="hybridMultilevel"/>
    <w:tmpl w:val="B6A2E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6022AAD"/>
    <w:multiLevelType w:val="hybridMultilevel"/>
    <w:tmpl w:val="3B940CE4"/>
    <w:lvl w:ilvl="0" w:tplc="0B0630DC">
      <w:start w:val="1"/>
      <w:numFmt w:val="upperRoman"/>
      <w:pStyle w:val="CustomStyl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74184"/>
    <w:multiLevelType w:val="hybridMultilevel"/>
    <w:tmpl w:val="4686F8BA"/>
    <w:lvl w:ilvl="0" w:tplc="73EA5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336ADE"/>
    <w:multiLevelType w:val="hybridMultilevel"/>
    <w:tmpl w:val="21BA22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63A6F56"/>
    <w:multiLevelType w:val="hybridMultilevel"/>
    <w:tmpl w:val="3C6C6E42"/>
    <w:lvl w:ilvl="0" w:tplc="0C9AB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9391C"/>
    <w:multiLevelType w:val="hybridMultilevel"/>
    <w:tmpl w:val="BA04A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3"/>
  </w:num>
  <w:num w:numId="4">
    <w:abstractNumId w:val="5"/>
  </w:num>
  <w:num w:numId="5">
    <w:abstractNumId w:val="19"/>
  </w:num>
  <w:num w:numId="6">
    <w:abstractNumId w:val="22"/>
  </w:num>
  <w:num w:numId="7">
    <w:abstractNumId w:val="24"/>
  </w:num>
  <w:num w:numId="8">
    <w:abstractNumId w:val="13"/>
  </w:num>
  <w:num w:numId="9">
    <w:abstractNumId w:val="36"/>
  </w:num>
  <w:num w:numId="10">
    <w:abstractNumId w:val="21"/>
  </w:num>
  <w:num w:numId="11">
    <w:abstractNumId w:val="2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33"/>
  </w:num>
  <w:num w:numId="16">
    <w:abstractNumId w:val="26"/>
  </w:num>
  <w:num w:numId="17">
    <w:abstractNumId w:val="39"/>
  </w:num>
  <w:num w:numId="18">
    <w:abstractNumId w:val="12"/>
  </w:num>
  <w:num w:numId="19">
    <w:abstractNumId w:val="30"/>
  </w:num>
  <w:num w:numId="20">
    <w:abstractNumId w:val="15"/>
  </w:num>
  <w:num w:numId="21">
    <w:abstractNumId w:val="25"/>
  </w:num>
  <w:num w:numId="22">
    <w:abstractNumId w:val="31"/>
  </w:num>
  <w:num w:numId="23">
    <w:abstractNumId w:val="34"/>
  </w:num>
  <w:num w:numId="24">
    <w:abstractNumId w:val="17"/>
  </w:num>
  <w:num w:numId="25">
    <w:abstractNumId w:val="20"/>
  </w:num>
  <w:num w:numId="26">
    <w:abstractNumId w:val="4"/>
  </w:num>
  <w:num w:numId="27">
    <w:abstractNumId w:val="35"/>
  </w:num>
  <w:num w:numId="28">
    <w:abstractNumId w:val="38"/>
  </w:num>
  <w:num w:numId="29">
    <w:abstractNumId w:val="9"/>
  </w:num>
  <w:num w:numId="30">
    <w:abstractNumId w:val="27"/>
  </w:num>
  <w:num w:numId="31">
    <w:abstractNumId w:val="6"/>
  </w:num>
  <w:num w:numId="32">
    <w:abstractNumId w:val="41"/>
  </w:num>
  <w:num w:numId="33">
    <w:abstractNumId w:val="2"/>
  </w:num>
  <w:num w:numId="34">
    <w:abstractNumId w:val="10"/>
  </w:num>
  <w:num w:numId="35">
    <w:abstractNumId w:val="1"/>
  </w:num>
  <w:num w:numId="36">
    <w:abstractNumId w:val="11"/>
  </w:num>
  <w:num w:numId="37">
    <w:abstractNumId w:val="40"/>
  </w:num>
  <w:num w:numId="38">
    <w:abstractNumId w:val="32"/>
  </w:num>
  <w:num w:numId="39">
    <w:abstractNumId w:val="29"/>
  </w:num>
  <w:num w:numId="40">
    <w:abstractNumId w:val="8"/>
  </w:num>
  <w:num w:numId="41">
    <w:abstractNumId w:val="1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6"/>
    <w:rsid w:val="00000490"/>
    <w:rsid w:val="00001119"/>
    <w:rsid w:val="000021A8"/>
    <w:rsid w:val="000024F7"/>
    <w:rsid w:val="00002EF5"/>
    <w:rsid w:val="00003714"/>
    <w:rsid w:val="000042F9"/>
    <w:rsid w:val="000043B7"/>
    <w:rsid w:val="0000469F"/>
    <w:rsid w:val="00004994"/>
    <w:rsid w:val="00005332"/>
    <w:rsid w:val="000057CC"/>
    <w:rsid w:val="00005F3D"/>
    <w:rsid w:val="000063E8"/>
    <w:rsid w:val="00006A1D"/>
    <w:rsid w:val="00006A6C"/>
    <w:rsid w:val="00007864"/>
    <w:rsid w:val="00007E10"/>
    <w:rsid w:val="00010B37"/>
    <w:rsid w:val="00010C2C"/>
    <w:rsid w:val="000112A6"/>
    <w:rsid w:val="0001178F"/>
    <w:rsid w:val="000125AB"/>
    <w:rsid w:val="00012F7B"/>
    <w:rsid w:val="00013AC5"/>
    <w:rsid w:val="00014B15"/>
    <w:rsid w:val="00014F36"/>
    <w:rsid w:val="000159E4"/>
    <w:rsid w:val="00016A5B"/>
    <w:rsid w:val="00017985"/>
    <w:rsid w:val="000204CC"/>
    <w:rsid w:val="000209D2"/>
    <w:rsid w:val="00020ADC"/>
    <w:rsid w:val="000214D6"/>
    <w:rsid w:val="00021836"/>
    <w:rsid w:val="000219EC"/>
    <w:rsid w:val="00021EBA"/>
    <w:rsid w:val="0002259C"/>
    <w:rsid w:val="00022981"/>
    <w:rsid w:val="00023481"/>
    <w:rsid w:val="000235D8"/>
    <w:rsid w:val="00023D23"/>
    <w:rsid w:val="00025865"/>
    <w:rsid w:val="00026208"/>
    <w:rsid w:val="00027C72"/>
    <w:rsid w:val="00027CC4"/>
    <w:rsid w:val="0003028A"/>
    <w:rsid w:val="00030397"/>
    <w:rsid w:val="00030995"/>
    <w:rsid w:val="00031717"/>
    <w:rsid w:val="00032DDD"/>
    <w:rsid w:val="00034529"/>
    <w:rsid w:val="000346E4"/>
    <w:rsid w:val="000352A6"/>
    <w:rsid w:val="000360EE"/>
    <w:rsid w:val="00036A3B"/>
    <w:rsid w:val="00036A86"/>
    <w:rsid w:val="00037336"/>
    <w:rsid w:val="00037F8C"/>
    <w:rsid w:val="00040250"/>
    <w:rsid w:val="0004057B"/>
    <w:rsid w:val="0004091C"/>
    <w:rsid w:val="00040C2C"/>
    <w:rsid w:val="00040F76"/>
    <w:rsid w:val="00041E8E"/>
    <w:rsid w:val="00043279"/>
    <w:rsid w:val="00043ABA"/>
    <w:rsid w:val="00043AE1"/>
    <w:rsid w:val="00044DF9"/>
    <w:rsid w:val="00045C9C"/>
    <w:rsid w:val="00046C24"/>
    <w:rsid w:val="00046D2C"/>
    <w:rsid w:val="00047550"/>
    <w:rsid w:val="0005059E"/>
    <w:rsid w:val="00051048"/>
    <w:rsid w:val="00051080"/>
    <w:rsid w:val="000514BE"/>
    <w:rsid w:val="00051844"/>
    <w:rsid w:val="00051A92"/>
    <w:rsid w:val="0005215F"/>
    <w:rsid w:val="00052BD2"/>
    <w:rsid w:val="00053335"/>
    <w:rsid w:val="0005398F"/>
    <w:rsid w:val="00053BD5"/>
    <w:rsid w:val="00054306"/>
    <w:rsid w:val="000546F8"/>
    <w:rsid w:val="00055006"/>
    <w:rsid w:val="000553E5"/>
    <w:rsid w:val="00056184"/>
    <w:rsid w:val="00057038"/>
    <w:rsid w:val="00057BD9"/>
    <w:rsid w:val="00057C86"/>
    <w:rsid w:val="000607A4"/>
    <w:rsid w:val="00060DBC"/>
    <w:rsid w:val="0006128B"/>
    <w:rsid w:val="00061434"/>
    <w:rsid w:val="00061F18"/>
    <w:rsid w:val="00062DA5"/>
    <w:rsid w:val="000635DA"/>
    <w:rsid w:val="0006382D"/>
    <w:rsid w:val="00063D9D"/>
    <w:rsid w:val="000643E2"/>
    <w:rsid w:val="00064989"/>
    <w:rsid w:val="00066B79"/>
    <w:rsid w:val="000706D0"/>
    <w:rsid w:val="00071196"/>
    <w:rsid w:val="000719AA"/>
    <w:rsid w:val="000719D6"/>
    <w:rsid w:val="00071FC6"/>
    <w:rsid w:val="0007343A"/>
    <w:rsid w:val="00074493"/>
    <w:rsid w:val="00074DC9"/>
    <w:rsid w:val="000761CE"/>
    <w:rsid w:val="000762A8"/>
    <w:rsid w:val="000763E3"/>
    <w:rsid w:val="00076836"/>
    <w:rsid w:val="00077465"/>
    <w:rsid w:val="00077E3A"/>
    <w:rsid w:val="000815C8"/>
    <w:rsid w:val="000822E5"/>
    <w:rsid w:val="000831BD"/>
    <w:rsid w:val="000831E0"/>
    <w:rsid w:val="00083A09"/>
    <w:rsid w:val="000849F7"/>
    <w:rsid w:val="00084E47"/>
    <w:rsid w:val="000867DF"/>
    <w:rsid w:val="0008727C"/>
    <w:rsid w:val="0008767C"/>
    <w:rsid w:val="000913E6"/>
    <w:rsid w:val="00091DD0"/>
    <w:rsid w:val="00094203"/>
    <w:rsid w:val="0009456E"/>
    <w:rsid w:val="0009519D"/>
    <w:rsid w:val="000953EF"/>
    <w:rsid w:val="000964AB"/>
    <w:rsid w:val="00096BCB"/>
    <w:rsid w:val="00097699"/>
    <w:rsid w:val="000A0263"/>
    <w:rsid w:val="000A0CF8"/>
    <w:rsid w:val="000A101B"/>
    <w:rsid w:val="000A1375"/>
    <w:rsid w:val="000A2658"/>
    <w:rsid w:val="000A297C"/>
    <w:rsid w:val="000A2B83"/>
    <w:rsid w:val="000A2D75"/>
    <w:rsid w:val="000A2F95"/>
    <w:rsid w:val="000A38A9"/>
    <w:rsid w:val="000A45DA"/>
    <w:rsid w:val="000A569F"/>
    <w:rsid w:val="000A5C32"/>
    <w:rsid w:val="000A5F3C"/>
    <w:rsid w:val="000A728D"/>
    <w:rsid w:val="000A777B"/>
    <w:rsid w:val="000B0377"/>
    <w:rsid w:val="000B07E6"/>
    <w:rsid w:val="000B0C3A"/>
    <w:rsid w:val="000B10C1"/>
    <w:rsid w:val="000B1693"/>
    <w:rsid w:val="000B3A84"/>
    <w:rsid w:val="000B3BA4"/>
    <w:rsid w:val="000B3BE9"/>
    <w:rsid w:val="000B4595"/>
    <w:rsid w:val="000B5207"/>
    <w:rsid w:val="000B539F"/>
    <w:rsid w:val="000B582D"/>
    <w:rsid w:val="000B59C3"/>
    <w:rsid w:val="000B5E09"/>
    <w:rsid w:val="000B5F13"/>
    <w:rsid w:val="000B761B"/>
    <w:rsid w:val="000C0A57"/>
    <w:rsid w:val="000C1F3F"/>
    <w:rsid w:val="000C22C0"/>
    <w:rsid w:val="000C2859"/>
    <w:rsid w:val="000C46BF"/>
    <w:rsid w:val="000C5552"/>
    <w:rsid w:val="000C5680"/>
    <w:rsid w:val="000C66F8"/>
    <w:rsid w:val="000C678A"/>
    <w:rsid w:val="000C6C41"/>
    <w:rsid w:val="000C7DF9"/>
    <w:rsid w:val="000D00D4"/>
    <w:rsid w:val="000D06A4"/>
    <w:rsid w:val="000D0CB7"/>
    <w:rsid w:val="000D1206"/>
    <w:rsid w:val="000D180A"/>
    <w:rsid w:val="000D1B01"/>
    <w:rsid w:val="000D1B79"/>
    <w:rsid w:val="000D1DA9"/>
    <w:rsid w:val="000D1F80"/>
    <w:rsid w:val="000D239D"/>
    <w:rsid w:val="000D254E"/>
    <w:rsid w:val="000D2D6A"/>
    <w:rsid w:val="000D3196"/>
    <w:rsid w:val="000D4B21"/>
    <w:rsid w:val="000D4FF5"/>
    <w:rsid w:val="000D52BA"/>
    <w:rsid w:val="000D5B37"/>
    <w:rsid w:val="000D6E5C"/>
    <w:rsid w:val="000D74E8"/>
    <w:rsid w:val="000D7614"/>
    <w:rsid w:val="000D7FFD"/>
    <w:rsid w:val="000E02FE"/>
    <w:rsid w:val="000E056F"/>
    <w:rsid w:val="000E0B17"/>
    <w:rsid w:val="000E1BEA"/>
    <w:rsid w:val="000E1C85"/>
    <w:rsid w:val="000E1F33"/>
    <w:rsid w:val="000E2129"/>
    <w:rsid w:val="000E365C"/>
    <w:rsid w:val="000E380E"/>
    <w:rsid w:val="000E3BCA"/>
    <w:rsid w:val="000E41EC"/>
    <w:rsid w:val="000E4E3B"/>
    <w:rsid w:val="000E4FBA"/>
    <w:rsid w:val="000E5232"/>
    <w:rsid w:val="000E5771"/>
    <w:rsid w:val="000E57F9"/>
    <w:rsid w:val="000E60E3"/>
    <w:rsid w:val="000E694E"/>
    <w:rsid w:val="000E6AC9"/>
    <w:rsid w:val="000E6E0A"/>
    <w:rsid w:val="000E6E5C"/>
    <w:rsid w:val="000F00D3"/>
    <w:rsid w:val="000F1337"/>
    <w:rsid w:val="000F1902"/>
    <w:rsid w:val="000F1B49"/>
    <w:rsid w:val="000F1ED3"/>
    <w:rsid w:val="000F2534"/>
    <w:rsid w:val="000F25D6"/>
    <w:rsid w:val="000F2A03"/>
    <w:rsid w:val="000F2AF5"/>
    <w:rsid w:val="000F4D86"/>
    <w:rsid w:val="000F4FC3"/>
    <w:rsid w:val="000F515E"/>
    <w:rsid w:val="000F5465"/>
    <w:rsid w:val="000F5C5E"/>
    <w:rsid w:val="000F6366"/>
    <w:rsid w:val="000F6C0E"/>
    <w:rsid w:val="000F6DF9"/>
    <w:rsid w:val="00100450"/>
    <w:rsid w:val="00100508"/>
    <w:rsid w:val="00100A69"/>
    <w:rsid w:val="001015AD"/>
    <w:rsid w:val="0010176D"/>
    <w:rsid w:val="00101836"/>
    <w:rsid w:val="00102D75"/>
    <w:rsid w:val="0010376A"/>
    <w:rsid w:val="00103965"/>
    <w:rsid w:val="00103D94"/>
    <w:rsid w:val="00104CAF"/>
    <w:rsid w:val="00104D37"/>
    <w:rsid w:val="00104EA0"/>
    <w:rsid w:val="00105828"/>
    <w:rsid w:val="001060D5"/>
    <w:rsid w:val="00106160"/>
    <w:rsid w:val="0010631A"/>
    <w:rsid w:val="00106A2F"/>
    <w:rsid w:val="00106C7F"/>
    <w:rsid w:val="001077EF"/>
    <w:rsid w:val="001117A0"/>
    <w:rsid w:val="001126F1"/>
    <w:rsid w:val="00112AFE"/>
    <w:rsid w:val="00113195"/>
    <w:rsid w:val="00113E36"/>
    <w:rsid w:val="00114294"/>
    <w:rsid w:val="0011468D"/>
    <w:rsid w:val="00114E0D"/>
    <w:rsid w:val="001152AC"/>
    <w:rsid w:val="00116785"/>
    <w:rsid w:val="0011770B"/>
    <w:rsid w:val="00117CAB"/>
    <w:rsid w:val="00120076"/>
    <w:rsid w:val="00121A5F"/>
    <w:rsid w:val="001221C4"/>
    <w:rsid w:val="001225B2"/>
    <w:rsid w:val="00122D9F"/>
    <w:rsid w:val="001237A6"/>
    <w:rsid w:val="00123D4C"/>
    <w:rsid w:val="00124CCB"/>
    <w:rsid w:val="00124D06"/>
    <w:rsid w:val="0012523F"/>
    <w:rsid w:val="00125613"/>
    <w:rsid w:val="00125764"/>
    <w:rsid w:val="00125842"/>
    <w:rsid w:val="00125D50"/>
    <w:rsid w:val="00125F28"/>
    <w:rsid w:val="0012601C"/>
    <w:rsid w:val="001266B8"/>
    <w:rsid w:val="001268C9"/>
    <w:rsid w:val="00127179"/>
    <w:rsid w:val="00127981"/>
    <w:rsid w:val="001279E0"/>
    <w:rsid w:val="00130D9D"/>
    <w:rsid w:val="0013172D"/>
    <w:rsid w:val="00132205"/>
    <w:rsid w:val="001325B1"/>
    <w:rsid w:val="001325C4"/>
    <w:rsid w:val="00133174"/>
    <w:rsid w:val="001336DE"/>
    <w:rsid w:val="001359EA"/>
    <w:rsid w:val="001360A0"/>
    <w:rsid w:val="0013650C"/>
    <w:rsid w:val="001365D1"/>
    <w:rsid w:val="001365D8"/>
    <w:rsid w:val="00136F64"/>
    <w:rsid w:val="0013730E"/>
    <w:rsid w:val="00137A08"/>
    <w:rsid w:val="00140359"/>
    <w:rsid w:val="0014154D"/>
    <w:rsid w:val="00141810"/>
    <w:rsid w:val="00142044"/>
    <w:rsid w:val="00143A1D"/>
    <w:rsid w:val="0014595C"/>
    <w:rsid w:val="00145C08"/>
    <w:rsid w:val="001460B5"/>
    <w:rsid w:val="00146BCE"/>
    <w:rsid w:val="00147245"/>
    <w:rsid w:val="00150344"/>
    <w:rsid w:val="0015037D"/>
    <w:rsid w:val="00150C99"/>
    <w:rsid w:val="00151B5D"/>
    <w:rsid w:val="00151F4E"/>
    <w:rsid w:val="0015228D"/>
    <w:rsid w:val="001524EC"/>
    <w:rsid w:val="00152C82"/>
    <w:rsid w:val="00152EFC"/>
    <w:rsid w:val="00153B53"/>
    <w:rsid w:val="00154916"/>
    <w:rsid w:val="00154B3C"/>
    <w:rsid w:val="00154E2E"/>
    <w:rsid w:val="00155803"/>
    <w:rsid w:val="001559BC"/>
    <w:rsid w:val="00155DC7"/>
    <w:rsid w:val="00156694"/>
    <w:rsid w:val="00160408"/>
    <w:rsid w:val="00160AC1"/>
    <w:rsid w:val="00160ECC"/>
    <w:rsid w:val="0016112F"/>
    <w:rsid w:val="00161BFF"/>
    <w:rsid w:val="0016241E"/>
    <w:rsid w:val="00162718"/>
    <w:rsid w:val="0016303C"/>
    <w:rsid w:val="00163279"/>
    <w:rsid w:val="00163638"/>
    <w:rsid w:val="00164961"/>
    <w:rsid w:val="001654CA"/>
    <w:rsid w:val="00165DFF"/>
    <w:rsid w:val="00166080"/>
    <w:rsid w:val="00166A23"/>
    <w:rsid w:val="0016750C"/>
    <w:rsid w:val="001675F1"/>
    <w:rsid w:val="001676D4"/>
    <w:rsid w:val="00167AF1"/>
    <w:rsid w:val="00167EDF"/>
    <w:rsid w:val="00167F9A"/>
    <w:rsid w:val="00171BB3"/>
    <w:rsid w:val="00171BE0"/>
    <w:rsid w:val="00171D79"/>
    <w:rsid w:val="00171E46"/>
    <w:rsid w:val="00172BD2"/>
    <w:rsid w:val="00172CBA"/>
    <w:rsid w:val="001732A1"/>
    <w:rsid w:val="001732B4"/>
    <w:rsid w:val="001746EE"/>
    <w:rsid w:val="001747A1"/>
    <w:rsid w:val="0017488D"/>
    <w:rsid w:val="00174982"/>
    <w:rsid w:val="00174C55"/>
    <w:rsid w:val="00174CF0"/>
    <w:rsid w:val="0017612D"/>
    <w:rsid w:val="00176751"/>
    <w:rsid w:val="0017754B"/>
    <w:rsid w:val="00180842"/>
    <w:rsid w:val="00180C64"/>
    <w:rsid w:val="00180CFD"/>
    <w:rsid w:val="00181213"/>
    <w:rsid w:val="001821E7"/>
    <w:rsid w:val="001831A9"/>
    <w:rsid w:val="00183567"/>
    <w:rsid w:val="0018365F"/>
    <w:rsid w:val="0018387E"/>
    <w:rsid w:val="001840C2"/>
    <w:rsid w:val="001846D9"/>
    <w:rsid w:val="00185400"/>
    <w:rsid w:val="001861C3"/>
    <w:rsid w:val="00190476"/>
    <w:rsid w:val="001904E3"/>
    <w:rsid w:val="00190880"/>
    <w:rsid w:val="001910DD"/>
    <w:rsid w:val="00191311"/>
    <w:rsid w:val="001913B0"/>
    <w:rsid w:val="00191905"/>
    <w:rsid w:val="00191B52"/>
    <w:rsid w:val="0019210B"/>
    <w:rsid w:val="00192708"/>
    <w:rsid w:val="0019281A"/>
    <w:rsid w:val="00192CDA"/>
    <w:rsid w:val="0019307C"/>
    <w:rsid w:val="00193F12"/>
    <w:rsid w:val="00194FDC"/>
    <w:rsid w:val="001950F0"/>
    <w:rsid w:val="001953D5"/>
    <w:rsid w:val="0019580A"/>
    <w:rsid w:val="001966BE"/>
    <w:rsid w:val="00197DD1"/>
    <w:rsid w:val="001A03E9"/>
    <w:rsid w:val="001A0CAC"/>
    <w:rsid w:val="001A1611"/>
    <w:rsid w:val="001A1A42"/>
    <w:rsid w:val="001A2158"/>
    <w:rsid w:val="001A25F1"/>
    <w:rsid w:val="001A371F"/>
    <w:rsid w:val="001A402D"/>
    <w:rsid w:val="001A427D"/>
    <w:rsid w:val="001A49F5"/>
    <w:rsid w:val="001A5F0C"/>
    <w:rsid w:val="001A6F64"/>
    <w:rsid w:val="001B05C7"/>
    <w:rsid w:val="001B1607"/>
    <w:rsid w:val="001B1715"/>
    <w:rsid w:val="001B19BD"/>
    <w:rsid w:val="001B20B3"/>
    <w:rsid w:val="001B2461"/>
    <w:rsid w:val="001B312B"/>
    <w:rsid w:val="001B3FF2"/>
    <w:rsid w:val="001B4C58"/>
    <w:rsid w:val="001B4D9B"/>
    <w:rsid w:val="001B5170"/>
    <w:rsid w:val="001B5725"/>
    <w:rsid w:val="001B5A49"/>
    <w:rsid w:val="001B5DB5"/>
    <w:rsid w:val="001B5FE2"/>
    <w:rsid w:val="001B625E"/>
    <w:rsid w:val="001B6594"/>
    <w:rsid w:val="001B6A5F"/>
    <w:rsid w:val="001B6F07"/>
    <w:rsid w:val="001B714A"/>
    <w:rsid w:val="001B7700"/>
    <w:rsid w:val="001C008B"/>
    <w:rsid w:val="001C02C3"/>
    <w:rsid w:val="001C0946"/>
    <w:rsid w:val="001C0F96"/>
    <w:rsid w:val="001C1708"/>
    <w:rsid w:val="001C3CF1"/>
    <w:rsid w:val="001C3D3D"/>
    <w:rsid w:val="001C3F4B"/>
    <w:rsid w:val="001C4774"/>
    <w:rsid w:val="001C4EE3"/>
    <w:rsid w:val="001C5418"/>
    <w:rsid w:val="001C5EEE"/>
    <w:rsid w:val="001C6A26"/>
    <w:rsid w:val="001C6D3F"/>
    <w:rsid w:val="001C6ED1"/>
    <w:rsid w:val="001C7262"/>
    <w:rsid w:val="001C7342"/>
    <w:rsid w:val="001C7AC9"/>
    <w:rsid w:val="001D2A42"/>
    <w:rsid w:val="001D3DCD"/>
    <w:rsid w:val="001D4045"/>
    <w:rsid w:val="001D45E0"/>
    <w:rsid w:val="001D49CA"/>
    <w:rsid w:val="001D4D64"/>
    <w:rsid w:val="001D4FFF"/>
    <w:rsid w:val="001D50D1"/>
    <w:rsid w:val="001D5B2C"/>
    <w:rsid w:val="001D5B8B"/>
    <w:rsid w:val="001D636E"/>
    <w:rsid w:val="001D68E4"/>
    <w:rsid w:val="001D7E82"/>
    <w:rsid w:val="001E080E"/>
    <w:rsid w:val="001E0C3D"/>
    <w:rsid w:val="001E298E"/>
    <w:rsid w:val="001E2AC0"/>
    <w:rsid w:val="001E36C2"/>
    <w:rsid w:val="001E5250"/>
    <w:rsid w:val="001E5D33"/>
    <w:rsid w:val="001E609E"/>
    <w:rsid w:val="001E6F3A"/>
    <w:rsid w:val="001E726C"/>
    <w:rsid w:val="001E7A72"/>
    <w:rsid w:val="001E7D17"/>
    <w:rsid w:val="001F0430"/>
    <w:rsid w:val="001F07C6"/>
    <w:rsid w:val="001F0C12"/>
    <w:rsid w:val="001F11D6"/>
    <w:rsid w:val="001F1848"/>
    <w:rsid w:val="001F208E"/>
    <w:rsid w:val="001F26A4"/>
    <w:rsid w:val="001F2F15"/>
    <w:rsid w:val="001F3CB7"/>
    <w:rsid w:val="001F42FE"/>
    <w:rsid w:val="001F476E"/>
    <w:rsid w:val="001F4835"/>
    <w:rsid w:val="001F498D"/>
    <w:rsid w:val="001F4A8E"/>
    <w:rsid w:val="001F607D"/>
    <w:rsid w:val="001F6294"/>
    <w:rsid w:val="001F665F"/>
    <w:rsid w:val="001F72EA"/>
    <w:rsid w:val="001F77AE"/>
    <w:rsid w:val="001F78C1"/>
    <w:rsid w:val="001F7DDB"/>
    <w:rsid w:val="0020010E"/>
    <w:rsid w:val="002003A6"/>
    <w:rsid w:val="00200955"/>
    <w:rsid w:val="00200F12"/>
    <w:rsid w:val="00202DBC"/>
    <w:rsid w:val="00202E86"/>
    <w:rsid w:val="002030B5"/>
    <w:rsid w:val="0020323E"/>
    <w:rsid w:val="00203344"/>
    <w:rsid w:val="00203645"/>
    <w:rsid w:val="00203D15"/>
    <w:rsid w:val="0020417A"/>
    <w:rsid w:val="00204492"/>
    <w:rsid w:val="00204A50"/>
    <w:rsid w:val="00204CE5"/>
    <w:rsid w:val="00204E8B"/>
    <w:rsid w:val="00204F06"/>
    <w:rsid w:val="00205463"/>
    <w:rsid w:val="002057B2"/>
    <w:rsid w:val="0020588D"/>
    <w:rsid w:val="00205B36"/>
    <w:rsid w:val="00206089"/>
    <w:rsid w:val="00206A06"/>
    <w:rsid w:val="00206A0B"/>
    <w:rsid w:val="002075FB"/>
    <w:rsid w:val="00207606"/>
    <w:rsid w:val="00207AD5"/>
    <w:rsid w:val="00207B28"/>
    <w:rsid w:val="00207C51"/>
    <w:rsid w:val="00207F5C"/>
    <w:rsid w:val="002102FC"/>
    <w:rsid w:val="00211571"/>
    <w:rsid w:val="00211581"/>
    <w:rsid w:val="00211584"/>
    <w:rsid w:val="002116BB"/>
    <w:rsid w:val="00211DEB"/>
    <w:rsid w:val="0021224A"/>
    <w:rsid w:val="00212B04"/>
    <w:rsid w:val="00213457"/>
    <w:rsid w:val="0021389D"/>
    <w:rsid w:val="00213921"/>
    <w:rsid w:val="002139E1"/>
    <w:rsid w:val="00214D94"/>
    <w:rsid w:val="00214E7F"/>
    <w:rsid w:val="00215502"/>
    <w:rsid w:val="00215892"/>
    <w:rsid w:val="002158EE"/>
    <w:rsid w:val="0021679D"/>
    <w:rsid w:val="00216C40"/>
    <w:rsid w:val="0021721B"/>
    <w:rsid w:val="0022102B"/>
    <w:rsid w:val="002210A7"/>
    <w:rsid w:val="002211DD"/>
    <w:rsid w:val="002219F9"/>
    <w:rsid w:val="00221E58"/>
    <w:rsid w:val="00223835"/>
    <w:rsid w:val="00223A8C"/>
    <w:rsid w:val="00224A34"/>
    <w:rsid w:val="002252F3"/>
    <w:rsid w:val="00225311"/>
    <w:rsid w:val="0022553E"/>
    <w:rsid w:val="002261D9"/>
    <w:rsid w:val="00226731"/>
    <w:rsid w:val="00226CAC"/>
    <w:rsid w:val="002275F4"/>
    <w:rsid w:val="00230054"/>
    <w:rsid w:val="002300E8"/>
    <w:rsid w:val="00230281"/>
    <w:rsid w:val="0023069C"/>
    <w:rsid w:val="002317B7"/>
    <w:rsid w:val="002326CF"/>
    <w:rsid w:val="002338EF"/>
    <w:rsid w:val="00234577"/>
    <w:rsid w:val="00234E91"/>
    <w:rsid w:val="002353D5"/>
    <w:rsid w:val="00235981"/>
    <w:rsid w:val="00235C29"/>
    <w:rsid w:val="00236483"/>
    <w:rsid w:val="002373CD"/>
    <w:rsid w:val="002401CA"/>
    <w:rsid w:val="002402BB"/>
    <w:rsid w:val="00240367"/>
    <w:rsid w:val="00240C64"/>
    <w:rsid w:val="002413F7"/>
    <w:rsid w:val="00241903"/>
    <w:rsid w:val="0024198E"/>
    <w:rsid w:val="0024276C"/>
    <w:rsid w:val="002429C5"/>
    <w:rsid w:val="00243E20"/>
    <w:rsid w:val="002447A1"/>
    <w:rsid w:val="00245415"/>
    <w:rsid w:val="0024569A"/>
    <w:rsid w:val="00246B66"/>
    <w:rsid w:val="00246D1E"/>
    <w:rsid w:val="00247193"/>
    <w:rsid w:val="00247293"/>
    <w:rsid w:val="00247B3C"/>
    <w:rsid w:val="00250A4A"/>
    <w:rsid w:val="002518DA"/>
    <w:rsid w:val="00251BC5"/>
    <w:rsid w:val="00252C16"/>
    <w:rsid w:val="00253091"/>
    <w:rsid w:val="0025559B"/>
    <w:rsid w:val="0025639A"/>
    <w:rsid w:val="00256793"/>
    <w:rsid w:val="00257620"/>
    <w:rsid w:val="00257DCD"/>
    <w:rsid w:val="00260520"/>
    <w:rsid w:val="0026062F"/>
    <w:rsid w:val="00260679"/>
    <w:rsid w:val="002609F3"/>
    <w:rsid w:val="00260D30"/>
    <w:rsid w:val="002611C2"/>
    <w:rsid w:val="0026156F"/>
    <w:rsid w:val="00261E8E"/>
    <w:rsid w:val="00262232"/>
    <w:rsid w:val="0026237F"/>
    <w:rsid w:val="00263C3F"/>
    <w:rsid w:val="002641AF"/>
    <w:rsid w:val="0026420B"/>
    <w:rsid w:val="002644B5"/>
    <w:rsid w:val="002648FA"/>
    <w:rsid w:val="002653DC"/>
    <w:rsid w:val="00265A91"/>
    <w:rsid w:val="002665C9"/>
    <w:rsid w:val="002667C0"/>
    <w:rsid w:val="0026756D"/>
    <w:rsid w:val="002702B3"/>
    <w:rsid w:val="002707C9"/>
    <w:rsid w:val="00271A34"/>
    <w:rsid w:val="00271B4C"/>
    <w:rsid w:val="0027232D"/>
    <w:rsid w:val="00272E98"/>
    <w:rsid w:val="00272F18"/>
    <w:rsid w:val="00273A7B"/>
    <w:rsid w:val="0027442F"/>
    <w:rsid w:val="00274BAD"/>
    <w:rsid w:val="00274E87"/>
    <w:rsid w:val="00274F62"/>
    <w:rsid w:val="0027558B"/>
    <w:rsid w:val="00275C1B"/>
    <w:rsid w:val="00276496"/>
    <w:rsid w:val="002767B3"/>
    <w:rsid w:val="00276A6F"/>
    <w:rsid w:val="002778CA"/>
    <w:rsid w:val="002779FC"/>
    <w:rsid w:val="00280A6D"/>
    <w:rsid w:val="00280CAD"/>
    <w:rsid w:val="00280E23"/>
    <w:rsid w:val="00280E7A"/>
    <w:rsid w:val="0028270A"/>
    <w:rsid w:val="002827E4"/>
    <w:rsid w:val="002829A0"/>
    <w:rsid w:val="002829AF"/>
    <w:rsid w:val="00282C0D"/>
    <w:rsid w:val="00282F9C"/>
    <w:rsid w:val="00283160"/>
    <w:rsid w:val="00283219"/>
    <w:rsid w:val="002837FF"/>
    <w:rsid w:val="00285E63"/>
    <w:rsid w:val="00285E7E"/>
    <w:rsid w:val="00285F0C"/>
    <w:rsid w:val="00286332"/>
    <w:rsid w:val="00286DF7"/>
    <w:rsid w:val="00286EF2"/>
    <w:rsid w:val="00287048"/>
    <w:rsid w:val="00287413"/>
    <w:rsid w:val="00287A59"/>
    <w:rsid w:val="0029131E"/>
    <w:rsid w:val="00291380"/>
    <w:rsid w:val="00291B5A"/>
    <w:rsid w:val="002924CD"/>
    <w:rsid w:val="00293A48"/>
    <w:rsid w:val="00294DA7"/>
    <w:rsid w:val="002953B2"/>
    <w:rsid w:val="002958D5"/>
    <w:rsid w:val="00295973"/>
    <w:rsid w:val="00295B19"/>
    <w:rsid w:val="00296112"/>
    <w:rsid w:val="00297085"/>
    <w:rsid w:val="00297158"/>
    <w:rsid w:val="00297710"/>
    <w:rsid w:val="00297DA2"/>
    <w:rsid w:val="002A069E"/>
    <w:rsid w:val="002A1096"/>
    <w:rsid w:val="002A138D"/>
    <w:rsid w:val="002A13EA"/>
    <w:rsid w:val="002A1CB7"/>
    <w:rsid w:val="002A2B3E"/>
    <w:rsid w:val="002A3231"/>
    <w:rsid w:val="002A3234"/>
    <w:rsid w:val="002A3A39"/>
    <w:rsid w:val="002A3BC9"/>
    <w:rsid w:val="002A3F6D"/>
    <w:rsid w:val="002A4B28"/>
    <w:rsid w:val="002A4CA5"/>
    <w:rsid w:val="002A56D1"/>
    <w:rsid w:val="002A57FB"/>
    <w:rsid w:val="002A67BD"/>
    <w:rsid w:val="002A6CBC"/>
    <w:rsid w:val="002A6D2E"/>
    <w:rsid w:val="002B0147"/>
    <w:rsid w:val="002B1A85"/>
    <w:rsid w:val="002B1D8D"/>
    <w:rsid w:val="002B253B"/>
    <w:rsid w:val="002B25FC"/>
    <w:rsid w:val="002B26BB"/>
    <w:rsid w:val="002B369B"/>
    <w:rsid w:val="002B3A72"/>
    <w:rsid w:val="002B3B80"/>
    <w:rsid w:val="002B3C73"/>
    <w:rsid w:val="002B496E"/>
    <w:rsid w:val="002B5011"/>
    <w:rsid w:val="002B54C8"/>
    <w:rsid w:val="002B5ABB"/>
    <w:rsid w:val="002B5C4F"/>
    <w:rsid w:val="002B66AC"/>
    <w:rsid w:val="002C24F1"/>
    <w:rsid w:val="002C2FF6"/>
    <w:rsid w:val="002C39FD"/>
    <w:rsid w:val="002C4D48"/>
    <w:rsid w:val="002C4F56"/>
    <w:rsid w:val="002C51DE"/>
    <w:rsid w:val="002C5404"/>
    <w:rsid w:val="002C5763"/>
    <w:rsid w:val="002C5CDB"/>
    <w:rsid w:val="002C63B5"/>
    <w:rsid w:val="002C7171"/>
    <w:rsid w:val="002C7EE6"/>
    <w:rsid w:val="002D02B3"/>
    <w:rsid w:val="002D11A4"/>
    <w:rsid w:val="002D1455"/>
    <w:rsid w:val="002D186E"/>
    <w:rsid w:val="002D243B"/>
    <w:rsid w:val="002D4137"/>
    <w:rsid w:val="002D441E"/>
    <w:rsid w:val="002D45D1"/>
    <w:rsid w:val="002D4853"/>
    <w:rsid w:val="002D4F75"/>
    <w:rsid w:val="002D527D"/>
    <w:rsid w:val="002D5E1D"/>
    <w:rsid w:val="002D7F99"/>
    <w:rsid w:val="002E0502"/>
    <w:rsid w:val="002E08B5"/>
    <w:rsid w:val="002E0B0E"/>
    <w:rsid w:val="002E0E5D"/>
    <w:rsid w:val="002E1082"/>
    <w:rsid w:val="002E126F"/>
    <w:rsid w:val="002E1308"/>
    <w:rsid w:val="002E151E"/>
    <w:rsid w:val="002E29ED"/>
    <w:rsid w:val="002E2CD7"/>
    <w:rsid w:val="002E3250"/>
    <w:rsid w:val="002E3847"/>
    <w:rsid w:val="002E42C7"/>
    <w:rsid w:val="002E44EB"/>
    <w:rsid w:val="002E4E2A"/>
    <w:rsid w:val="002E5599"/>
    <w:rsid w:val="002E64DA"/>
    <w:rsid w:val="002E7B90"/>
    <w:rsid w:val="002F090F"/>
    <w:rsid w:val="002F156B"/>
    <w:rsid w:val="002F2DD7"/>
    <w:rsid w:val="002F38A3"/>
    <w:rsid w:val="002F4467"/>
    <w:rsid w:val="002F5211"/>
    <w:rsid w:val="002F5DC1"/>
    <w:rsid w:val="002F6312"/>
    <w:rsid w:val="002F6EB2"/>
    <w:rsid w:val="002F7498"/>
    <w:rsid w:val="002F7614"/>
    <w:rsid w:val="00301459"/>
    <w:rsid w:val="00301491"/>
    <w:rsid w:val="003016CC"/>
    <w:rsid w:val="00301DAD"/>
    <w:rsid w:val="0030247F"/>
    <w:rsid w:val="00303300"/>
    <w:rsid w:val="00303483"/>
    <w:rsid w:val="00303A18"/>
    <w:rsid w:val="003043D6"/>
    <w:rsid w:val="00304896"/>
    <w:rsid w:val="003059E2"/>
    <w:rsid w:val="00305D60"/>
    <w:rsid w:val="00305EE1"/>
    <w:rsid w:val="003069F9"/>
    <w:rsid w:val="0030733B"/>
    <w:rsid w:val="00310038"/>
    <w:rsid w:val="003101E5"/>
    <w:rsid w:val="00310D2E"/>
    <w:rsid w:val="00311E8F"/>
    <w:rsid w:val="00312827"/>
    <w:rsid w:val="0031368C"/>
    <w:rsid w:val="003137A0"/>
    <w:rsid w:val="00314DA9"/>
    <w:rsid w:val="00314EBF"/>
    <w:rsid w:val="00315304"/>
    <w:rsid w:val="00315A37"/>
    <w:rsid w:val="0031636D"/>
    <w:rsid w:val="0031670D"/>
    <w:rsid w:val="003170E5"/>
    <w:rsid w:val="003170EA"/>
    <w:rsid w:val="003172DF"/>
    <w:rsid w:val="00317491"/>
    <w:rsid w:val="003177EF"/>
    <w:rsid w:val="00320557"/>
    <w:rsid w:val="00320897"/>
    <w:rsid w:val="00320F56"/>
    <w:rsid w:val="00321EB6"/>
    <w:rsid w:val="00322022"/>
    <w:rsid w:val="003222CE"/>
    <w:rsid w:val="00322385"/>
    <w:rsid w:val="0032302A"/>
    <w:rsid w:val="003232D0"/>
    <w:rsid w:val="00323518"/>
    <w:rsid w:val="00323801"/>
    <w:rsid w:val="00323885"/>
    <w:rsid w:val="00325466"/>
    <w:rsid w:val="00325BD3"/>
    <w:rsid w:val="00325F1C"/>
    <w:rsid w:val="00326850"/>
    <w:rsid w:val="00326918"/>
    <w:rsid w:val="00327BC5"/>
    <w:rsid w:val="003336A3"/>
    <w:rsid w:val="00333CF8"/>
    <w:rsid w:val="00333FAF"/>
    <w:rsid w:val="00334476"/>
    <w:rsid w:val="00335E95"/>
    <w:rsid w:val="00336002"/>
    <w:rsid w:val="0033667C"/>
    <w:rsid w:val="00336847"/>
    <w:rsid w:val="003369EB"/>
    <w:rsid w:val="00337FA8"/>
    <w:rsid w:val="003400D9"/>
    <w:rsid w:val="00340E2E"/>
    <w:rsid w:val="003410F9"/>
    <w:rsid w:val="003411F8"/>
    <w:rsid w:val="003413D1"/>
    <w:rsid w:val="003415C5"/>
    <w:rsid w:val="00341936"/>
    <w:rsid w:val="00341BD5"/>
    <w:rsid w:val="003423C3"/>
    <w:rsid w:val="003424AD"/>
    <w:rsid w:val="0034295E"/>
    <w:rsid w:val="00342C3A"/>
    <w:rsid w:val="0034359B"/>
    <w:rsid w:val="0034417A"/>
    <w:rsid w:val="003449E8"/>
    <w:rsid w:val="00344C1D"/>
    <w:rsid w:val="0034575C"/>
    <w:rsid w:val="003461E0"/>
    <w:rsid w:val="00347113"/>
    <w:rsid w:val="003471DA"/>
    <w:rsid w:val="00347441"/>
    <w:rsid w:val="00347603"/>
    <w:rsid w:val="00350198"/>
    <w:rsid w:val="0035047A"/>
    <w:rsid w:val="003518E4"/>
    <w:rsid w:val="00351ABC"/>
    <w:rsid w:val="00351EAC"/>
    <w:rsid w:val="0035265D"/>
    <w:rsid w:val="0035330B"/>
    <w:rsid w:val="00353461"/>
    <w:rsid w:val="00353F28"/>
    <w:rsid w:val="00353F43"/>
    <w:rsid w:val="0035407A"/>
    <w:rsid w:val="003545AB"/>
    <w:rsid w:val="00354C5C"/>
    <w:rsid w:val="003556A7"/>
    <w:rsid w:val="00355A86"/>
    <w:rsid w:val="00357AD2"/>
    <w:rsid w:val="00360991"/>
    <w:rsid w:val="00360B8B"/>
    <w:rsid w:val="00360BF2"/>
    <w:rsid w:val="003612A3"/>
    <w:rsid w:val="00361C0F"/>
    <w:rsid w:val="003621A7"/>
    <w:rsid w:val="003628E6"/>
    <w:rsid w:val="00362BDD"/>
    <w:rsid w:val="00362C8C"/>
    <w:rsid w:val="00362DCD"/>
    <w:rsid w:val="00363D81"/>
    <w:rsid w:val="003640FB"/>
    <w:rsid w:val="00365C3C"/>
    <w:rsid w:val="00366441"/>
    <w:rsid w:val="003665D0"/>
    <w:rsid w:val="00366B67"/>
    <w:rsid w:val="00366CB8"/>
    <w:rsid w:val="00370041"/>
    <w:rsid w:val="00371A47"/>
    <w:rsid w:val="00371C22"/>
    <w:rsid w:val="00372137"/>
    <w:rsid w:val="00372162"/>
    <w:rsid w:val="003730E1"/>
    <w:rsid w:val="0037346D"/>
    <w:rsid w:val="0037370D"/>
    <w:rsid w:val="0037424C"/>
    <w:rsid w:val="00374391"/>
    <w:rsid w:val="0037462F"/>
    <w:rsid w:val="0037486D"/>
    <w:rsid w:val="003748E4"/>
    <w:rsid w:val="00375043"/>
    <w:rsid w:val="00375567"/>
    <w:rsid w:val="0037622C"/>
    <w:rsid w:val="00376ACA"/>
    <w:rsid w:val="00376C32"/>
    <w:rsid w:val="00377C5F"/>
    <w:rsid w:val="00377D4B"/>
    <w:rsid w:val="00377EFA"/>
    <w:rsid w:val="003810FA"/>
    <w:rsid w:val="00381E92"/>
    <w:rsid w:val="00381FA3"/>
    <w:rsid w:val="00382113"/>
    <w:rsid w:val="00383627"/>
    <w:rsid w:val="00383A58"/>
    <w:rsid w:val="00383C11"/>
    <w:rsid w:val="00383CC0"/>
    <w:rsid w:val="003850A7"/>
    <w:rsid w:val="003866DA"/>
    <w:rsid w:val="003879A6"/>
    <w:rsid w:val="00390421"/>
    <w:rsid w:val="00392B40"/>
    <w:rsid w:val="00393909"/>
    <w:rsid w:val="0039452F"/>
    <w:rsid w:val="00394869"/>
    <w:rsid w:val="00394FD8"/>
    <w:rsid w:val="00395189"/>
    <w:rsid w:val="003960B8"/>
    <w:rsid w:val="0039666C"/>
    <w:rsid w:val="00396D40"/>
    <w:rsid w:val="00396E53"/>
    <w:rsid w:val="00396EB0"/>
    <w:rsid w:val="0039704B"/>
    <w:rsid w:val="003A038E"/>
    <w:rsid w:val="003A11AE"/>
    <w:rsid w:val="003A1321"/>
    <w:rsid w:val="003A2171"/>
    <w:rsid w:val="003A235B"/>
    <w:rsid w:val="003A2638"/>
    <w:rsid w:val="003A2B1B"/>
    <w:rsid w:val="003A2C4B"/>
    <w:rsid w:val="003A31A3"/>
    <w:rsid w:val="003A3B7E"/>
    <w:rsid w:val="003A4225"/>
    <w:rsid w:val="003A440B"/>
    <w:rsid w:val="003A4825"/>
    <w:rsid w:val="003A5BDE"/>
    <w:rsid w:val="003A5EDD"/>
    <w:rsid w:val="003A5F05"/>
    <w:rsid w:val="003A6583"/>
    <w:rsid w:val="003A6686"/>
    <w:rsid w:val="003A6801"/>
    <w:rsid w:val="003A7638"/>
    <w:rsid w:val="003A7642"/>
    <w:rsid w:val="003A7C79"/>
    <w:rsid w:val="003B055B"/>
    <w:rsid w:val="003B05C9"/>
    <w:rsid w:val="003B068C"/>
    <w:rsid w:val="003B0791"/>
    <w:rsid w:val="003B07BA"/>
    <w:rsid w:val="003B2175"/>
    <w:rsid w:val="003B22A2"/>
    <w:rsid w:val="003B2594"/>
    <w:rsid w:val="003B26B5"/>
    <w:rsid w:val="003B31F2"/>
    <w:rsid w:val="003B48F2"/>
    <w:rsid w:val="003B4B05"/>
    <w:rsid w:val="003B51C3"/>
    <w:rsid w:val="003B5699"/>
    <w:rsid w:val="003B68F3"/>
    <w:rsid w:val="003B7653"/>
    <w:rsid w:val="003B785C"/>
    <w:rsid w:val="003B7D11"/>
    <w:rsid w:val="003C0714"/>
    <w:rsid w:val="003C0AD8"/>
    <w:rsid w:val="003C17F6"/>
    <w:rsid w:val="003C21D0"/>
    <w:rsid w:val="003C2DCF"/>
    <w:rsid w:val="003C305C"/>
    <w:rsid w:val="003C3168"/>
    <w:rsid w:val="003C383F"/>
    <w:rsid w:val="003C4CD1"/>
    <w:rsid w:val="003C56D5"/>
    <w:rsid w:val="003C5B5C"/>
    <w:rsid w:val="003C5F34"/>
    <w:rsid w:val="003C67AD"/>
    <w:rsid w:val="003C6A62"/>
    <w:rsid w:val="003C75EF"/>
    <w:rsid w:val="003C7EAA"/>
    <w:rsid w:val="003D02F8"/>
    <w:rsid w:val="003D0EC5"/>
    <w:rsid w:val="003D1610"/>
    <w:rsid w:val="003D1F8F"/>
    <w:rsid w:val="003D312D"/>
    <w:rsid w:val="003D368A"/>
    <w:rsid w:val="003D3BDB"/>
    <w:rsid w:val="003D4C38"/>
    <w:rsid w:val="003D4D43"/>
    <w:rsid w:val="003D5762"/>
    <w:rsid w:val="003D7303"/>
    <w:rsid w:val="003D7DF5"/>
    <w:rsid w:val="003E053E"/>
    <w:rsid w:val="003E090E"/>
    <w:rsid w:val="003E194C"/>
    <w:rsid w:val="003E1E0F"/>
    <w:rsid w:val="003E2955"/>
    <w:rsid w:val="003E33F2"/>
    <w:rsid w:val="003E3B4E"/>
    <w:rsid w:val="003E4A2A"/>
    <w:rsid w:val="003E5573"/>
    <w:rsid w:val="003E571E"/>
    <w:rsid w:val="003E64FF"/>
    <w:rsid w:val="003E6607"/>
    <w:rsid w:val="003E6D96"/>
    <w:rsid w:val="003E703B"/>
    <w:rsid w:val="003E7C67"/>
    <w:rsid w:val="003E7CBC"/>
    <w:rsid w:val="003F09CD"/>
    <w:rsid w:val="003F1BB2"/>
    <w:rsid w:val="003F2D02"/>
    <w:rsid w:val="003F30C3"/>
    <w:rsid w:val="003F32C1"/>
    <w:rsid w:val="003F3596"/>
    <w:rsid w:val="003F3BBB"/>
    <w:rsid w:val="003F3C95"/>
    <w:rsid w:val="003F3E00"/>
    <w:rsid w:val="003F4035"/>
    <w:rsid w:val="003F423C"/>
    <w:rsid w:val="003F4393"/>
    <w:rsid w:val="003F46D2"/>
    <w:rsid w:val="003F4AEA"/>
    <w:rsid w:val="003F4B18"/>
    <w:rsid w:val="003F4BFD"/>
    <w:rsid w:val="003F4CC3"/>
    <w:rsid w:val="003F53FA"/>
    <w:rsid w:val="003F57FB"/>
    <w:rsid w:val="003F5EC0"/>
    <w:rsid w:val="003F60CC"/>
    <w:rsid w:val="003F6B7F"/>
    <w:rsid w:val="003F74BF"/>
    <w:rsid w:val="0040011F"/>
    <w:rsid w:val="00400D1A"/>
    <w:rsid w:val="004011CF"/>
    <w:rsid w:val="004022D2"/>
    <w:rsid w:val="004029D4"/>
    <w:rsid w:val="00402B3D"/>
    <w:rsid w:val="00405083"/>
    <w:rsid w:val="004051EC"/>
    <w:rsid w:val="00405351"/>
    <w:rsid w:val="00405429"/>
    <w:rsid w:val="00406373"/>
    <w:rsid w:val="00406602"/>
    <w:rsid w:val="004079AE"/>
    <w:rsid w:val="00407C6D"/>
    <w:rsid w:val="00407CE7"/>
    <w:rsid w:val="004102C1"/>
    <w:rsid w:val="00410A43"/>
    <w:rsid w:val="004118B7"/>
    <w:rsid w:val="00411A40"/>
    <w:rsid w:val="00411EF6"/>
    <w:rsid w:val="004136B4"/>
    <w:rsid w:val="0041401A"/>
    <w:rsid w:val="00414978"/>
    <w:rsid w:val="00415ACE"/>
    <w:rsid w:val="00415BAB"/>
    <w:rsid w:val="0041665B"/>
    <w:rsid w:val="004166BE"/>
    <w:rsid w:val="004166DE"/>
    <w:rsid w:val="00416C15"/>
    <w:rsid w:val="004171B0"/>
    <w:rsid w:val="00417997"/>
    <w:rsid w:val="0042350D"/>
    <w:rsid w:val="00423C60"/>
    <w:rsid w:val="0042436A"/>
    <w:rsid w:val="004244FB"/>
    <w:rsid w:val="004245F3"/>
    <w:rsid w:val="00424783"/>
    <w:rsid w:val="00424DCC"/>
    <w:rsid w:val="00424E48"/>
    <w:rsid w:val="00424E6C"/>
    <w:rsid w:val="00424EC3"/>
    <w:rsid w:val="00425312"/>
    <w:rsid w:val="00425A6A"/>
    <w:rsid w:val="00425AB6"/>
    <w:rsid w:val="00425BD7"/>
    <w:rsid w:val="00425DD9"/>
    <w:rsid w:val="00425EFA"/>
    <w:rsid w:val="00426023"/>
    <w:rsid w:val="00426142"/>
    <w:rsid w:val="004261DD"/>
    <w:rsid w:val="00426E08"/>
    <w:rsid w:val="00430310"/>
    <w:rsid w:val="00430910"/>
    <w:rsid w:val="00431359"/>
    <w:rsid w:val="00431A02"/>
    <w:rsid w:val="00432195"/>
    <w:rsid w:val="00432204"/>
    <w:rsid w:val="004328A5"/>
    <w:rsid w:val="00433BC6"/>
    <w:rsid w:val="00433DE7"/>
    <w:rsid w:val="00434034"/>
    <w:rsid w:val="004346E8"/>
    <w:rsid w:val="00435ADA"/>
    <w:rsid w:val="00436175"/>
    <w:rsid w:val="0043630F"/>
    <w:rsid w:val="00436DC0"/>
    <w:rsid w:val="004372F0"/>
    <w:rsid w:val="00437FB5"/>
    <w:rsid w:val="0044013A"/>
    <w:rsid w:val="004407A8"/>
    <w:rsid w:val="00440BD7"/>
    <w:rsid w:val="00440F85"/>
    <w:rsid w:val="00441390"/>
    <w:rsid w:val="004413F9"/>
    <w:rsid w:val="0044143E"/>
    <w:rsid w:val="004414EE"/>
    <w:rsid w:val="00441B2C"/>
    <w:rsid w:val="00441B84"/>
    <w:rsid w:val="00441F48"/>
    <w:rsid w:val="00443A4C"/>
    <w:rsid w:val="00443D43"/>
    <w:rsid w:val="00443EEF"/>
    <w:rsid w:val="00444203"/>
    <w:rsid w:val="00444766"/>
    <w:rsid w:val="004456B5"/>
    <w:rsid w:val="00445F6F"/>
    <w:rsid w:val="004467E3"/>
    <w:rsid w:val="00447BAA"/>
    <w:rsid w:val="00447C51"/>
    <w:rsid w:val="00447C84"/>
    <w:rsid w:val="00447CF8"/>
    <w:rsid w:val="00447DB6"/>
    <w:rsid w:val="00450F12"/>
    <w:rsid w:val="0045130E"/>
    <w:rsid w:val="00451532"/>
    <w:rsid w:val="00452A97"/>
    <w:rsid w:val="00452AA2"/>
    <w:rsid w:val="00454843"/>
    <w:rsid w:val="00454D4C"/>
    <w:rsid w:val="00454E58"/>
    <w:rsid w:val="00455298"/>
    <w:rsid w:val="0045588C"/>
    <w:rsid w:val="00455B43"/>
    <w:rsid w:val="00455E6B"/>
    <w:rsid w:val="00456B20"/>
    <w:rsid w:val="00457249"/>
    <w:rsid w:val="00457FB6"/>
    <w:rsid w:val="00460184"/>
    <w:rsid w:val="004605F5"/>
    <w:rsid w:val="004607DC"/>
    <w:rsid w:val="00460988"/>
    <w:rsid w:val="00461070"/>
    <w:rsid w:val="004619D2"/>
    <w:rsid w:val="00461BF2"/>
    <w:rsid w:val="004624F6"/>
    <w:rsid w:val="004626CA"/>
    <w:rsid w:val="00462861"/>
    <w:rsid w:val="00462B01"/>
    <w:rsid w:val="00462E0B"/>
    <w:rsid w:val="004640E0"/>
    <w:rsid w:val="0046446C"/>
    <w:rsid w:val="0046455A"/>
    <w:rsid w:val="00464EFC"/>
    <w:rsid w:val="00466269"/>
    <w:rsid w:val="004669EE"/>
    <w:rsid w:val="00467D64"/>
    <w:rsid w:val="0047112C"/>
    <w:rsid w:val="0047136A"/>
    <w:rsid w:val="00472331"/>
    <w:rsid w:val="0047325F"/>
    <w:rsid w:val="00473504"/>
    <w:rsid w:val="004738CD"/>
    <w:rsid w:val="00473D17"/>
    <w:rsid w:val="004740AD"/>
    <w:rsid w:val="00474D00"/>
    <w:rsid w:val="00476E5A"/>
    <w:rsid w:val="00476FB3"/>
    <w:rsid w:val="0047783E"/>
    <w:rsid w:val="0047795C"/>
    <w:rsid w:val="00477AF0"/>
    <w:rsid w:val="00480A56"/>
    <w:rsid w:val="00480DBE"/>
    <w:rsid w:val="00480E72"/>
    <w:rsid w:val="0048107C"/>
    <w:rsid w:val="004810A6"/>
    <w:rsid w:val="0048110A"/>
    <w:rsid w:val="0048116F"/>
    <w:rsid w:val="004812CC"/>
    <w:rsid w:val="004818BA"/>
    <w:rsid w:val="00481985"/>
    <w:rsid w:val="00481D78"/>
    <w:rsid w:val="00482CA2"/>
    <w:rsid w:val="00483C93"/>
    <w:rsid w:val="0048439F"/>
    <w:rsid w:val="00485118"/>
    <w:rsid w:val="00485378"/>
    <w:rsid w:val="0048558E"/>
    <w:rsid w:val="0048559E"/>
    <w:rsid w:val="0048640F"/>
    <w:rsid w:val="0048655D"/>
    <w:rsid w:val="004875BD"/>
    <w:rsid w:val="004875F4"/>
    <w:rsid w:val="00487C3A"/>
    <w:rsid w:val="00487F53"/>
    <w:rsid w:val="004901E9"/>
    <w:rsid w:val="004911E1"/>
    <w:rsid w:val="004914F8"/>
    <w:rsid w:val="00491E25"/>
    <w:rsid w:val="00492717"/>
    <w:rsid w:val="004937D3"/>
    <w:rsid w:val="00493ADF"/>
    <w:rsid w:val="0049475A"/>
    <w:rsid w:val="00495E2C"/>
    <w:rsid w:val="00495F9B"/>
    <w:rsid w:val="004966A7"/>
    <w:rsid w:val="00497470"/>
    <w:rsid w:val="00497D70"/>
    <w:rsid w:val="00497D85"/>
    <w:rsid w:val="00497FFA"/>
    <w:rsid w:val="004A03FF"/>
    <w:rsid w:val="004A04C4"/>
    <w:rsid w:val="004A07B6"/>
    <w:rsid w:val="004A0C01"/>
    <w:rsid w:val="004A1125"/>
    <w:rsid w:val="004A1D20"/>
    <w:rsid w:val="004A2A08"/>
    <w:rsid w:val="004A2F8D"/>
    <w:rsid w:val="004A3A43"/>
    <w:rsid w:val="004A3B8B"/>
    <w:rsid w:val="004A412A"/>
    <w:rsid w:val="004A4859"/>
    <w:rsid w:val="004A4908"/>
    <w:rsid w:val="004A584E"/>
    <w:rsid w:val="004A5BBA"/>
    <w:rsid w:val="004A5FB9"/>
    <w:rsid w:val="004A61D5"/>
    <w:rsid w:val="004A6E99"/>
    <w:rsid w:val="004A7455"/>
    <w:rsid w:val="004A75DD"/>
    <w:rsid w:val="004A7F60"/>
    <w:rsid w:val="004B0725"/>
    <w:rsid w:val="004B1119"/>
    <w:rsid w:val="004B16F4"/>
    <w:rsid w:val="004B2574"/>
    <w:rsid w:val="004B2DC8"/>
    <w:rsid w:val="004B31C8"/>
    <w:rsid w:val="004B4127"/>
    <w:rsid w:val="004B4F34"/>
    <w:rsid w:val="004B52FD"/>
    <w:rsid w:val="004B5656"/>
    <w:rsid w:val="004B57CA"/>
    <w:rsid w:val="004B6ABC"/>
    <w:rsid w:val="004B700A"/>
    <w:rsid w:val="004B76E6"/>
    <w:rsid w:val="004C04CF"/>
    <w:rsid w:val="004C0672"/>
    <w:rsid w:val="004C0816"/>
    <w:rsid w:val="004C08F6"/>
    <w:rsid w:val="004C119F"/>
    <w:rsid w:val="004C1498"/>
    <w:rsid w:val="004C181B"/>
    <w:rsid w:val="004C1A81"/>
    <w:rsid w:val="004C216E"/>
    <w:rsid w:val="004C2C12"/>
    <w:rsid w:val="004C31BA"/>
    <w:rsid w:val="004C33CF"/>
    <w:rsid w:val="004C3441"/>
    <w:rsid w:val="004C3850"/>
    <w:rsid w:val="004C415A"/>
    <w:rsid w:val="004C49AC"/>
    <w:rsid w:val="004C57A8"/>
    <w:rsid w:val="004C5A1B"/>
    <w:rsid w:val="004C5ADD"/>
    <w:rsid w:val="004C5CEA"/>
    <w:rsid w:val="004C5EF2"/>
    <w:rsid w:val="004C61FE"/>
    <w:rsid w:val="004C68E5"/>
    <w:rsid w:val="004C7075"/>
    <w:rsid w:val="004C7FCA"/>
    <w:rsid w:val="004D0387"/>
    <w:rsid w:val="004D06C3"/>
    <w:rsid w:val="004D0785"/>
    <w:rsid w:val="004D096F"/>
    <w:rsid w:val="004D0B74"/>
    <w:rsid w:val="004D1344"/>
    <w:rsid w:val="004D2F45"/>
    <w:rsid w:val="004D3394"/>
    <w:rsid w:val="004D459F"/>
    <w:rsid w:val="004D4CCD"/>
    <w:rsid w:val="004D586B"/>
    <w:rsid w:val="004D6082"/>
    <w:rsid w:val="004D6BFE"/>
    <w:rsid w:val="004D79CC"/>
    <w:rsid w:val="004D7C58"/>
    <w:rsid w:val="004E031E"/>
    <w:rsid w:val="004E038B"/>
    <w:rsid w:val="004E0495"/>
    <w:rsid w:val="004E3CC9"/>
    <w:rsid w:val="004E3FEA"/>
    <w:rsid w:val="004E4310"/>
    <w:rsid w:val="004E45FA"/>
    <w:rsid w:val="004E477E"/>
    <w:rsid w:val="004E4E3D"/>
    <w:rsid w:val="004E5121"/>
    <w:rsid w:val="004E56AF"/>
    <w:rsid w:val="004E605E"/>
    <w:rsid w:val="004E6E76"/>
    <w:rsid w:val="004E781D"/>
    <w:rsid w:val="004F0D25"/>
    <w:rsid w:val="004F110F"/>
    <w:rsid w:val="004F1C20"/>
    <w:rsid w:val="004F2D39"/>
    <w:rsid w:val="004F4230"/>
    <w:rsid w:val="004F44DF"/>
    <w:rsid w:val="004F4934"/>
    <w:rsid w:val="004F4AE6"/>
    <w:rsid w:val="004F5BAB"/>
    <w:rsid w:val="004F6480"/>
    <w:rsid w:val="004F6C5D"/>
    <w:rsid w:val="004F7FC9"/>
    <w:rsid w:val="00500120"/>
    <w:rsid w:val="005007EA"/>
    <w:rsid w:val="00500E93"/>
    <w:rsid w:val="00500EFC"/>
    <w:rsid w:val="00500FAE"/>
    <w:rsid w:val="0050187B"/>
    <w:rsid w:val="00502423"/>
    <w:rsid w:val="0050257B"/>
    <w:rsid w:val="005028F7"/>
    <w:rsid w:val="00502BD1"/>
    <w:rsid w:val="00503242"/>
    <w:rsid w:val="0050337B"/>
    <w:rsid w:val="0050373F"/>
    <w:rsid w:val="0050398E"/>
    <w:rsid w:val="005047ED"/>
    <w:rsid w:val="00505790"/>
    <w:rsid w:val="00505A9F"/>
    <w:rsid w:val="00505B95"/>
    <w:rsid w:val="005062F9"/>
    <w:rsid w:val="00507002"/>
    <w:rsid w:val="00507065"/>
    <w:rsid w:val="005079DC"/>
    <w:rsid w:val="00507F0F"/>
    <w:rsid w:val="005107B5"/>
    <w:rsid w:val="00510FF3"/>
    <w:rsid w:val="00512E35"/>
    <w:rsid w:val="00513759"/>
    <w:rsid w:val="005139A3"/>
    <w:rsid w:val="005142A2"/>
    <w:rsid w:val="00514842"/>
    <w:rsid w:val="00515923"/>
    <w:rsid w:val="00516535"/>
    <w:rsid w:val="005168C4"/>
    <w:rsid w:val="00516D4A"/>
    <w:rsid w:val="005174BD"/>
    <w:rsid w:val="00517DC3"/>
    <w:rsid w:val="0052046C"/>
    <w:rsid w:val="00521391"/>
    <w:rsid w:val="005217F8"/>
    <w:rsid w:val="005220FB"/>
    <w:rsid w:val="00523B77"/>
    <w:rsid w:val="005245C2"/>
    <w:rsid w:val="00524871"/>
    <w:rsid w:val="00525CCB"/>
    <w:rsid w:val="005268C7"/>
    <w:rsid w:val="00526C16"/>
    <w:rsid w:val="00527924"/>
    <w:rsid w:val="00527D0E"/>
    <w:rsid w:val="00527E3D"/>
    <w:rsid w:val="00530423"/>
    <w:rsid w:val="005312EA"/>
    <w:rsid w:val="00531B93"/>
    <w:rsid w:val="0053223A"/>
    <w:rsid w:val="00532285"/>
    <w:rsid w:val="005324CE"/>
    <w:rsid w:val="0053426B"/>
    <w:rsid w:val="005342B1"/>
    <w:rsid w:val="00534E0E"/>
    <w:rsid w:val="00535343"/>
    <w:rsid w:val="00535784"/>
    <w:rsid w:val="00535E97"/>
    <w:rsid w:val="005362A8"/>
    <w:rsid w:val="005364CC"/>
    <w:rsid w:val="005367FD"/>
    <w:rsid w:val="00536BCF"/>
    <w:rsid w:val="00537499"/>
    <w:rsid w:val="00537687"/>
    <w:rsid w:val="00540001"/>
    <w:rsid w:val="0054111C"/>
    <w:rsid w:val="00541427"/>
    <w:rsid w:val="00541559"/>
    <w:rsid w:val="005420AB"/>
    <w:rsid w:val="0054230B"/>
    <w:rsid w:val="00543589"/>
    <w:rsid w:val="005448CB"/>
    <w:rsid w:val="00544BC2"/>
    <w:rsid w:val="00545347"/>
    <w:rsid w:val="00545596"/>
    <w:rsid w:val="00545B1E"/>
    <w:rsid w:val="00546D51"/>
    <w:rsid w:val="00546ED8"/>
    <w:rsid w:val="005513BE"/>
    <w:rsid w:val="00552674"/>
    <w:rsid w:val="005528C4"/>
    <w:rsid w:val="00552F03"/>
    <w:rsid w:val="00553B02"/>
    <w:rsid w:val="00553D47"/>
    <w:rsid w:val="00554094"/>
    <w:rsid w:val="0055508B"/>
    <w:rsid w:val="00555470"/>
    <w:rsid w:val="005554D9"/>
    <w:rsid w:val="005556E4"/>
    <w:rsid w:val="005557F0"/>
    <w:rsid w:val="00556952"/>
    <w:rsid w:val="00557FA5"/>
    <w:rsid w:val="00560CE5"/>
    <w:rsid w:val="00561BA3"/>
    <w:rsid w:val="00561EB0"/>
    <w:rsid w:val="005627A7"/>
    <w:rsid w:val="0056329A"/>
    <w:rsid w:val="00563B36"/>
    <w:rsid w:val="00563CD4"/>
    <w:rsid w:val="005645E6"/>
    <w:rsid w:val="00564BF9"/>
    <w:rsid w:val="00564E7E"/>
    <w:rsid w:val="0056503A"/>
    <w:rsid w:val="005659CE"/>
    <w:rsid w:val="00565E4E"/>
    <w:rsid w:val="005660DF"/>
    <w:rsid w:val="005663F6"/>
    <w:rsid w:val="00567808"/>
    <w:rsid w:val="00570F08"/>
    <w:rsid w:val="00571432"/>
    <w:rsid w:val="005717C1"/>
    <w:rsid w:val="005718AB"/>
    <w:rsid w:val="00572261"/>
    <w:rsid w:val="005724A8"/>
    <w:rsid w:val="00572610"/>
    <w:rsid w:val="00572891"/>
    <w:rsid w:val="0057298B"/>
    <w:rsid w:val="00572CFA"/>
    <w:rsid w:val="005738B7"/>
    <w:rsid w:val="00573E5B"/>
    <w:rsid w:val="0057421D"/>
    <w:rsid w:val="00574F42"/>
    <w:rsid w:val="00575BF5"/>
    <w:rsid w:val="00576021"/>
    <w:rsid w:val="00576280"/>
    <w:rsid w:val="005764B4"/>
    <w:rsid w:val="005769E2"/>
    <w:rsid w:val="00577191"/>
    <w:rsid w:val="0057733D"/>
    <w:rsid w:val="00577966"/>
    <w:rsid w:val="0058046E"/>
    <w:rsid w:val="005808CA"/>
    <w:rsid w:val="00580F3D"/>
    <w:rsid w:val="00582B84"/>
    <w:rsid w:val="00582CB1"/>
    <w:rsid w:val="00583646"/>
    <w:rsid w:val="0058378E"/>
    <w:rsid w:val="00584539"/>
    <w:rsid w:val="0058516B"/>
    <w:rsid w:val="00585A95"/>
    <w:rsid w:val="00586323"/>
    <w:rsid w:val="00586BCA"/>
    <w:rsid w:val="00586D10"/>
    <w:rsid w:val="00586E9B"/>
    <w:rsid w:val="0059093B"/>
    <w:rsid w:val="00590985"/>
    <w:rsid w:val="005911B5"/>
    <w:rsid w:val="005915BF"/>
    <w:rsid w:val="005916E9"/>
    <w:rsid w:val="0059234C"/>
    <w:rsid w:val="0059250F"/>
    <w:rsid w:val="00592753"/>
    <w:rsid w:val="00592A89"/>
    <w:rsid w:val="00595992"/>
    <w:rsid w:val="00597030"/>
    <w:rsid w:val="00597A7F"/>
    <w:rsid w:val="005A048D"/>
    <w:rsid w:val="005A093C"/>
    <w:rsid w:val="005A0B0F"/>
    <w:rsid w:val="005A12EE"/>
    <w:rsid w:val="005A1C45"/>
    <w:rsid w:val="005A233E"/>
    <w:rsid w:val="005A2361"/>
    <w:rsid w:val="005A2762"/>
    <w:rsid w:val="005A283C"/>
    <w:rsid w:val="005A29E6"/>
    <w:rsid w:val="005A2C68"/>
    <w:rsid w:val="005A2CC8"/>
    <w:rsid w:val="005A349E"/>
    <w:rsid w:val="005A4537"/>
    <w:rsid w:val="005A4A22"/>
    <w:rsid w:val="005A4F9B"/>
    <w:rsid w:val="005A516E"/>
    <w:rsid w:val="005A57A3"/>
    <w:rsid w:val="005A6161"/>
    <w:rsid w:val="005B0379"/>
    <w:rsid w:val="005B11F9"/>
    <w:rsid w:val="005B16CC"/>
    <w:rsid w:val="005B17A3"/>
    <w:rsid w:val="005B1AA1"/>
    <w:rsid w:val="005B1D53"/>
    <w:rsid w:val="005B2069"/>
    <w:rsid w:val="005B259E"/>
    <w:rsid w:val="005B3C9C"/>
    <w:rsid w:val="005B4235"/>
    <w:rsid w:val="005B4568"/>
    <w:rsid w:val="005B4D83"/>
    <w:rsid w:val="005B509D"/>
    <w:rsid w:val="005B51A2"/>
    <w:rsid w:val="005B584F"/>
    <w:rsid w:val="005B5B26"/>
    <w:rsid w:val="005B5FB6"/>
    <w:rsid w:val="005B6859"/>
    <w:rsid w:val="005B6D42"/>
    <w:rsid w:val="005B6F1E"/>
    <w:rsid w:val="005B7081"/>
    <w:rsid w:val="005C0069"/>
    <w:rsid w:val="005C0630"/>
    <w:rsid w:val="005C08D6"/>
    <w:rsid w:val="005C109C"/>
    <w:rsid w:val="005C2151"/>
    <w:rsid w:val="005C21B2"/>
    <w:rsid w:val="005C2BB3"/>
    <w:rsid w:val="005C3517"/>
    <w:rsid w:val="005C414B"/>
    <w:rsid w:val="005C436C"/>
    <w:rsid w:val="005C4415"/>
    <w:rsid w:val="005C5416"/>
    <w:rsid w:val="005C606A"/>
    <w:rsid w:val="005C60E8"/>
    <w:rsid w:val="005C614C"/>
    <w:rsid w:val="005C62B4"/>
    <w:rsid w:val="005C6C58"/>
    <w:rsid w:val="005C7DCB"/>
    <w:rsid w:val="005C7F30"/>
    <w:rsid w:val="005D2902"/>
    <w:rsid w:val="005D30F2"/>
    <w:rsid w:val="005D3B5A"/>
    <w:rsid w:val="005D3E0B"/>
    <w:rsid w:val="005D4476"/>
    <w:rsid w:val="005D46D8"/>
    <w:rsid w:val="005D4D71"/>
    <w:rsid w:val="005D51ED"/>
    <w:rsid w:val="005D560B"/>
    <w:rsid w:val="005D5BF6"/>
    <w:rsid w:val="005D63CE"/>
    <w:rsid w:val="005D6B6F"/>
    <w:rsid w:val="005D6B9A"/>
    <w:rsid w:val="005D6BDF"/>
    <w:rsid w:val="005D7C44"/>
    <w:rsid w:val="005E064A"/>
    <w:rsid w:val="005E08CC"/>
    <w:rsid w:val="005E23DE"/>
    <w:rsid w:val="005E3267"/>
    <w:rsid w:val="005E3C7C"/>
    <w:rsid w:val="005E4A14"/>
    <w:rsid w:val="005E53B6"/>
    <w:rsid w:val="005E56AC"/>
    <w:rsid w:val="005E583B"/>
    <w:rsid w:val="005E68BF"/>
    <w:rsid w:val="005E6DB4"/>
    <w:rsid w:val="005E73AB"/>
    <w:rsid w:val="005E7823"/>
    <w:rsid w:val="005E7EB5"/>
    <w:rsid w:val="005F0FB7"/>
    <w:rsid w:val="005F1906"/>
    <w:rsid w:val="005F1ED5"/>
    <w:rsid w:val="005F2267"/>
    <w:rsid w:val="005F275F"/>
    <w:rsid w:val="005F4463"/>
    <w:rsid w:val="005F4682"/>
    <w:rsid w:val="005F488D"/>
    <w:rsid w:val="005F5A99"/>
    <w:rsid w:val="005F5DF8"/>
    <w:rsid w:val="005F762C"/>
    <w:rsid w:val="005F7A49"/>
    <w:rsid w:val="0060148C"/>
    <w:rsid w:val="00601A09"/>
    <w:rsid w:val="00602B2E"/>
    <w:rsid w:val="0060326C"/>
    <w:rsid w:val="006035F8"/>
    <w:rsid w:val="00604546"/>
    <w:rsid w:val="00604686"/>
    <w:rsid w:val="00604A24"/>
    <w:rsid w:val="00604A3A"/>
    <w:rsid w:val="00605DBD"/>
    <w:rsid w:val="00607421"/>
    <w:rsid w:val="0060754E"/>
    <w:rsid w:val="00607E6E"/>
    <w:rsid w:val="00607FBD"/>
    <w:rsid w:val="006111A9"/>
    <w:rsid w:val="00612205"/>
    <w:rsid w:val="00612968"/>
    <w:rsid w:val="0061320F"/>
    <w:rsid w:val="00613489"/>
    <w:rsid w:val="00613539"/>
    <w:rsid w:val="00613B45"/>
    <w:rsid w:val="00614483"/>
    <w:rsid w:val="00614722"/>
    <w:rsid w:val="00614B8B"/>
    <w:rsid w:val="006152A9"/>
    <w:rsid w:val="00615386"/>
    <w:rsid w:val="006154CD"/>
    <w:rsid w:val="00615CCD"/>
    <w:rsid w:val="00615F9F"/>
    <w:rsid w:val="0061704B"/>
    <w:rsid w:val="006175CE"/>
    <w:rsid w:val="006178A2"/>
    <w:rsid w:val="006202CE"/>
    <w:rsid w:val="0062136B"/>
    <w:rsid w:val="00621AD2"/>
    <w:rsid w:val="0062226A"/>
    <w:rsid w:val="0062289E"/>
    <w:rsid w:val="00622E46"/>
    <w:rsid w:val="0062380E"/>
    <w:rsid w:val="00623CCE"/>
    <w:rsid w:val="00624B9D"/>
    <w:rsid w:val="00624F34"/>
    <w:rsid w:val="0062509B"/>
    <w:rsid w:val="00625258"/>
    <w:rsid w:val="006266C0"/>
    <w:rsid w:val="00626CDD"/>
    <w:rsid w:val="00627D0B"/>
    <w:rsid w:val="00634AAA"/>
    <w:rsid w:val="00634D5E"/>
    <w:rsid w:val="00634E4E"/>
    <w:rsid w:val="00635041"/>
    <w:rsid w:val="00635A07"/>
    <w:rsid w:val="006365DB"/>
    <w:rsid w:val="0063705E"/>
    <w:rsid w:val="00637B4B"/>
    <w:rsid w:val="00637C4D"/>
    <w:rsid w:val="00641C56"/>
    <w:rsid w:val="006426DD"/>
    <w:rsid w:val="0064323B"/>
    <w:rsid w:val="006432D8"/>
    <w:rsid w:val="0064355B"/>
    <w:rsid w:val="00644AC2"/>
    <w:rsid w:val="00644C12"/>
    <w:rsid w:val="006465B9"/>
    <w:rsid w:val="00646A8C"/>
    <w:rsid w:val="00646E66"/>
    <w:rsid w:val="00647004"/>
    <w:rsid w:val="006477C4"/>
    <w:rsid w:val="006477CE"/>
    <w:rsid w:val="0064787F"/>
    <w:rsid w:val="0065034A"/>
    <w:rsid w:val="00651633"/>
    <w:rsid w:val="00651A14"/>
    <w:rsid w:val="00651C99"/>
    <w:rsid w:val="00652712"/>
    <w:rsid w:val="006533BD"/>
    <w:rsid w:val="006540F4"/>
    <w:rsid w:val="0065531A"/>
    <w:rsid w:val="00655701"/>
    <w:rsid w:val="00655FB9"/>
    <w:rsid w:val="00657516"/>
    <w:rsid w:val="006612F4"/>
    <w:rsid w:val="00661956"/>
    <w:rsid w:val="00661AEA"/>
    <w:rsid w:val="0066276F"/>
    <w:rsid w:val="00662A3E"/>
    <w:rsid w:val="00662AC9"/>
    <w:rsid w:val="00662F02"/>
    <w:rsid w:val="006639AC"/>
    <w:rsid w:val="00663CCD"/>
    <w:rsid w:val="00664126"/>
    <w:rsid w:val="006643AC"/>
    <w:rsid w:val="0066452E"/>
    <w:rsid w:val="00665584"/>
    <w:rsid w:val="00665BB7"/>
    <w:rsid w:val="006669C5"/>
    <w:rsid w:val="00667005"/>
    <w:rsid w:val="00667771"/>
    <w:rsid w:val="00667A5A"/>
    <w:rsid w:val="00667B97"/>
    <w:rsid w:val="006702FA"/>
    <w:rsid w:val="006704C4"/>
    <w:rsid w:val="00671BE3"/>
    <w:rsid w:val="00671C06"/>
    <w:rsid w:val="00671F2C"/>
    <w:rsid w:val="00672118"/>
    <w:rsid w:val="00672423"/>
    <w:rsid w:val="00673E67"/>
    <w:rsid w:val="006744A9"/>
    <w:rsid w:val="006757D0"/>
    <w:rsid w:val="00675B07"/>
    <w:rsid w:val="00675EC5"/>
    <w:rsid w:val="00676724"/>
    <w:rsid w:val="00676934"/>
    <w:rsid w:val="00677389"/>
    <w:rsid w:val="00677CA1"/>
    <w:rsid w:val="00680554"/>
    <w:rsid w:val="00680D5B"/>
    <w:rsid w:val="00680D81"/>
    <w:rsid w:val="00681647"/>
    <w:rsid w:val="00681CF5"/>
    <w:rsid w:val="00683AA1"/>
    <w:rsid w:val="00683E22"/>
    <w:rsid w:val="006850E8"/>
    <w:rsid w:val="0068553C"/>
    <w:rsid w:val="006856DF"/>
    <w:rsid w:val="00685E19"/>
    <w:rsid w:val="00685E47"/>
    <w:rsid w:val="00687CDC"/>
    <w:rsid w:val="00690509"/>
    <w:rsid w:val="00691400"/>
    <w:rsid w:val="00692097"/>
    <w:rsid w:val="00692E63"/>
    <w:rsid w:val="006933EA"/>
    <w:rsid w:val="006934AE"/>
    <w:rsid w:val="00693853"/>
    <w:rsid w:val="00693A0A"/>
    <w:rsid w:val="00694268"/>
    <w:rsid w:val="0069449B"/>
    <w:rsid w:val="00694561"/>
    <w:rsid w:val="00695C85"/>
    <w:rsid w:val="00696254"/>
    <w:rsid w:val="00697774"/>
    <w:rsid w:val="00697A43"/>
    <w:rsid w:val="006A0FD8"/>
    <w:rsid w:val="006A154A"/>
    <w:rsid w:val="006A1AC6"/>
    <w:rsid w:val="006A1CB1"/>
    <w:rsid w:val="006A24FF"/>
    <w:rsid w:val="006A27AB"/>
    <w:rsid w:val="006A29D9"/>
    <w:rsid w:val="006A3614"/>
    <w:rsid w:val="006A371A"/>
    <w:rsid w:val="006A386F"/>
    <w:rsid w:val="006A442E"/>
    <w:rsid w:val="006A452E"/>
    <w:rsid w:val="006A5383"/>
    <w:rsid w:val="006A5D44"/>
    <w:rsid w:val="006A5D5F"/>
    <w:rsid w:val="006A5D77"/>
    <w:rsid w:val="006A5DB0"/>
    <w:rsid w:val="006A6CD9"/>
    <w:rsid w:val="006A6EFC"/>
    <w:rsid w:val="006A7118"/>
    <w:rsid w:val="006A781F"/>
    <w:rsid w:val="006A7B35"/>
    <w:rsid w:val="006A7CD0"/>
    <w:rsid w:val="006A7CF8"/>
    <w:rsid w:val="006B0558"/>
    <w:rsid w:val="006B0B19"/>
    <w:rsid w:val="006B11F9"/>
    <w:rsid w:val="006B21E0"/>
    <w:rsid w:val="006B29D9"/>
    <w:rsid w:val="006B2BC5"/>
    <w:rsid w:val="006B3D9E"/>
    <w:rsid w:val="006B4433"/>
    <w:rsid w:val="006B49CF"/>
    <w:rsid w:val="006B5A53"/>
    <w:rsid w:val="006B5C75"/>
    <w:rsid w:val="006B66E1"/>
    <w:rsid w:val="006C15BE"/>
    <w:rsid w:val="006C1DAB"/>
    <w:rsid w:val="006C2D98"/>
    <w:rsid w:val="006C3338"/>
    <w:rsid w:val="006C41EF"/>
    <w:rsid w:val="006C44E6"/>
    <w:rsid w:val="006C4781"/>
    <w:rsid w:val="006C486B"/>
    <w:rsid w:val="006C5315"/>
    <w:rsid w:val="006C586E"/>
    <w:rsid w:val="006C622B"/>
    <w:rsid w:val="006C623F"/>
    <w:rsid w:val="006C65D2"/>
    <w:rsid w:val="006C6A2B"/>
    <w:rsid w:val="006C6ACC"/>
    <w:rsid w:val="006C7784"/>
    <w:rsid w:val="006C7859"/>
    <w:rsid w:val="006D128F"/>
    <w:rsid w:val="006D24EB"/>
    <w:rsid w:val="006D25AC"/>
    <w:rsid w:val="006D38C3"/>
    <w:rsid w:val="006D468D"/>
    <w:rsid w:val="006D47AC"/>
    <w:rsid w:val="006D4F02"/>
    <w:rsid w:val="006D4F8E"/>
    <w:rsid w:val="006D52E6"/>
    <w:rsid w:val="006D55F5"/>
    <w:rsid w:val="006D5650"/>
    <w:rsid w:val="006D63E8"/>
    <w:rsid w:val="006D67CC"/>
    <w:rsid w:val="006D735C"/>
    <w:rsid w:val="006D7857"/>
    <w:rsid w:val="006E0171"/>
    <w:rsid w:val="006E08E6"/>
    <w:rsid w:val="006E13A0"/>
    <w:rsid w:val="006E223A"/>
    <w:rsid w:val="006E2532"/>
    <w:rsid w:val="006E2957"/>
    <w:rsid w:val="006E2D40"/>
    <w:rsid w:val="006E419F"/>
    <w:rsid w:val="006E4D90"/>
    <w:rsid w:val="006E5257"/>
    <w:rsid w:val="006E5329"/>
    <w:rsid w:val="006E5CAC"/>
    <w:rsid w:val="006E5DD7"/>
    <w:rsid w:val="006E6ACB"/>
    <w:rsid w:val="006E6DD8"/>
    <w:rsid w:val="006E7BC3"/>
    <w:rsid w:val="006F0822"/>
    <w:rsid w:val="006F0831"/>
    <w:rsid w:val="006F18B4"/>
    <w:rsid w:val="006F2C21"/>
    <w:rsid w:val="006F3002"/>
    <w:rsid w:val="006F3369"/>
    <w:rsid w:val="006F36AB"/>
    <w:rsid w:val="006F4722"/>
    <w:rsid w:val="006F5151"/>
    <w:rsid w:val="006F59A0"/>
    <w:rsid w:val="006F6A49"/>
    <w:rsid w:val="006F6ADC"/>
    <w:rsid w:val="006F6BD4"/>
    <w:rsid w:val="006F6D21"/>
    <w:rsid w:val="006F6E44"/>
    <w:rsid w:val="006F7B2E"/>
    <w:rsid w:val="006F7DC9"/>
    <w:rsid w:val="007000C5"/>
    <w:rsid w:val="00700266"/>
    <w:rsid w:val="007002E6"/>
    <w:rsid w:val="007007D1"/>
    <w:rsid w:val="00701236"/>
    <w:rsid w:val="007034D8"/>
    <w:rsid w:val="00703687"/>
    <w:rsid w:val="00703767"/>
    <w:rsid w:val="00704381"/>
    <w:rsid w:val="00704DE8"/>
    <w:rsid w:val="00705322"/>
    <w:rsid w:val="0070606A"/>
    <w:rsid w:val="007060A8"/>
    <w:rsid w:val="007061C1"/>
    <w:rsid w:val="007062D1"/>
    <w:rsid w:val="00706BCE"/>
    <w:rsid w:val="00707A65"/>
    <w:rsid w:val="00707B62"/>
    <w:rsid w:val="00710184"/>
    <w:rsid w:val="00710CBE"/>
    <w:rsid w:val="00710F96"/>
    <w:rsid w:val="007116DE"/>
    <w:rsid w:val="00711BEF"/>
    <w:rsid w:val="00711C8B"/>
    <w:rsid w:val="00712556"/>
    <w:rsid w:val="007126B8"/>
    <w:rsid w:val="0071327E"/>
    <w:rsid w:val="00715FDF"/>
    <w:rsid w:val="00716039"/>
    <w:rsid w:val="0071626B"/>
    <w:rsid w:val="00716A51"/>
    <w:rsid w:val="00716B28"/>
    <w:rsid w:val="0071792B"/>
    <w:rsid w:val="00717C5F"/>
    <w:rsid w:val="00720353"/>
    <w:rsid w:val="00720B7C"/>
    <w:rsid w:val="0072105D"/>
    <w:rsid w:val="007211F4"/>
    <w:rsid w:val="00723E16"/>
    <w:rsid w:val="00724136"/>
    <w:rsid w:val="007246C2"/>
    <w:rsid w:val="00724859"/>
    <w:rsid w:val="0072519D"/>
    <w:rsid w:val="007251A4"/>
    <w:rsid w:val="00726E2C"/>
    <w:rsid w:val="00726F17"/>
    <w:rsid w:val="00727D1B"/>
    <w:rsid w:val="00727DEA"/>
    <w:rsid w:val="00730724"/>
    <w:rsid w:val="0073072D"/>
    <w:rsid w:val="00730BD4"/>
    <w:rsid w:val="00730F1E"/>
    <w:rsid w:val="00731ED6"/>
    <w:rsid w:val="007324A7"/>
    <w:rsid w:val="00732DA0"/>
    <w:rsid w:val="007334A2"/>
    <w:rsid w:val="007338C8"/>
    <w:rsid w:val="007343ED"/>
    <w:rsid w:val="00734559"/>
    <w:rsid w:val="00734C6D"/>
    <w:rsid w:val="0073505C"/>
    <w:rsid w:val="00735289"/>
    <w:rsid w:val="00735320"/>
    <w:rsid w:val="00735920"/>
    <w:rsid w:val="00735E96"/>
    <w:rsid w:val="007361CD"/>
    <w:rsid w:val="00736427"/>
    <w:rsid w:val="00740273"/>
    <w:rsid w:val="00740549"/>
    <w:rsid w:val="00740986"/>
    <w:rsid w:val="00740E75"/>
    <w:rsid w:val="00742F36"/>
    <w:rsid w:val="0074357B"/>
    <w:rsid w:val="007443C2"/>
    <w:rsid w:val="00744794"/>
    <w:rsid w:val="007448FC"/>
    <w:rsid w:val="007449FE"/>
    <w:rsid w:val="00744A45"/>
    <w:rsid w:val="00745382"/>
    <w:rsid w:val="00745827"/>
    <w:rsid w:val="0074608A"/>
    <w:rsid w:val="0074674B"/>
    <w:rsid w:val="00747534"/>
    <w:rsid w:val="007505B5"/>
    <w:rsid w:val="0075096F"/>
    <w:rsid w:val="00750B01"/>
    <w:rsid w:val="00750D9F"/>
    <w:rsid w:val="00752625"/>
    <w:rsid w:val="00752F3D"/>
    <w:rsid w:val="0075384B"/>
    <w:rsid w:val="00753DB6"/>
    <w:rsid w:val="0075475D"/>
    <w:rsid w:val="00755086"/>
    <w:rsid w:val="00755815"/>
    <w:rsid w:val="0075605D"/>
    <w:rsid w:val="007562F3"/>
    <w:rsid w:val="007566B8"/>
    <w:rsid w:val="007574DD"/>
    <w:rsid w:val="00757AB2"/>
    <w:rsid w:val="007609A4"/>
    <w:rsid w:val="00760B48"/>
    <w:rsid w:val="007612E5"/>
    <w:rsid w:val="00761A46"/>
    <w:rsid w:val="00761B31"/>
    <w:rsid w:val="00761EC6"/>
    <w:rsid w:val="0076222F"/>
    <w:rsid w:val="007622D9"/>
    <w:rsid w:val="0076283B"/>
    <w:rsid w:val="0076289E"/>
    <w:rsid w:val="0076368D"/>
    <w:rsid w:val="00763918"/>
    <w:rsid w:val="00763959"/>
    <w:rsid w:val="0076484B"/>
    <w:rsid w:val="00764D76"/>
    <w:rsid w:val="00764F1E"/>
    <w:rsid w:val="0076516C"/>
    <w:rsid w:val="00765D3B"/>
    <w:rsid w:val="0076670B"/>
    <w:rsid w:val="007670B3"/>
    <w:rsid w:val="007672D1"/>
    <w:rsid w:val="00771D33"/>
    <w:rsid w:val="00771DA8"/>
    <w:rsid w:val="00771F3E"/>
    <w:rsid w:val="007723BD"/>
    <w:rsid w:val="00772459"/>
    <w:rsid w:val="00772931"/>
    <w:rsid w:val="00772CBE"/>
    <w:rsid w:val="00772D96"/>
    <w:rsid w:val="0077330F"/>
    <w:rsid w:val="007734E4"/>
    <w:rsid w:val="00773C39"/>
    <w:rsid w:val="00773E09"/>
    <w:rsid w:val="00774145"/>
    <w:rsid w:val="00774279"/>
    <w:rsid w:val="00774E8A"/>
    <w:rsid w:val="00774F62"/>
    <w:rsid w:val="00774FE4"/>
    <w:rsid w:val="00775A0C"/>
    <w:rsid w:val="00776E33"/>
    <w:rsid w:val="00776F73"/>
    <w:rsid w:val="00777215"/>
    <w:rsid w:val="007772DA"/>
    <w:rsid w:val="00777362"/>
    <w:rsid w:val="00777616"/>
    <w:rsid w:val="00777BA3"/>
    <w:rsid w:val="0078074F"/>
    <w:rsid w:val="0078111B"/>
    <w:rsid w:val="00781464"/>
    <w:rsid w:val="0078257E"/>
    <w:rsid w:val="00782968"/>
    <w:rsid w:val="00782A1A"/>
    <w:rsid w:val="00782E3F"/>
    <w:rsid w:val="00783369"/>
    <w:rsid w:val="0078383C"/>
    <w:rsid w:val="00785E15"/>
    <w:rsid w:val="0078602D"/>
    <w:rsid w:val="00786047"/>
    <w:rsid w:val="00786AC7"/>
    <w:rsid w:val="00786B0E"/>
    <w:rsid w:val="007901C8"/>
    <w:rsid w:val="00790FF7"/>
    <w:rsid w:val="007941A3"/>
    <w:rsid w:val="0079432B"/>
    <w:rsid w:val="00795184"/>
    <w:rsid w:val="0079542C"/>
    <w:rsid w:val="00795BBC"/>
    <w:rsid w:val="00795CA6"/>
    <w:rsid w:val="00795EED"/>
    <w:rsid w:val="00796C34"/>
    <w:rsid w:val="00797042"/>
    <w:rsid w:val="007979DE"/>
    <w:rsid w:val="00797F97"/>
    <w:rsid w:val="007A07A4"/>
    <w:rsid w:val="007A0910"/>
    <w:rsid w:val="007A2854"/>
    <w:rsid w:val="007A2AAF"/>
    <w:rsid w:val="007A399D"/>
    <w:rsid w:val="007A3B85"/>
    <w:rsid w:val="007A48F9"/>
    <w:rsid w:val="007A49A0"/>
    <w:rsid w:val="007A5259"/>
    <w:rsid w:val="007A64CF"/>
    <w:rsid w:val="007A667B"/>
    <w:rsid w:val="007A7626"/>
    <w:rsid w:val="007A78BE"/>
    <w:rsid w:val="007A7D86"/>
    <w:rsid w:val="007B086B"/>
    <w:rsid w:val="007B0F9C"/>
    <w:rsid w:val="007B144C"/>
    <w:rsid w:val="007B2994"/>
    <w:rsid w:val="007B2AFE"/>
    <w:rsid w:val="007B31E6"/>
    <w:rsid w:val="007B497B"/>
    <w:rsid w:val="007B6C6F"/>
    <w:rsid w:val="007C06D0"/>
    <w:rsid w:val="007C0849"/>
    <w:rsid w:val="007C0B77"/>
    <w:rsid w:val="007C0EF5"/>
    <w:rsid w:val="007C1AD9"/>
    <w:rsid w:val="007C1FB1"/>
    <w:rsid w:val="007C2DC4"/>
    <w:rsid w:val="007C312F"/>
    <w:rsid w:val="007C3F38"/>
    <w:rsid w:val="007C4715"/>
    <w:rsid w:val="007C4EBB"/>
    <w:rsid w:val="007C5040"/>
    <w:rsid w:val="007C5715"/>
    <w:rsid w:val="007C5A95"/>
    <w:rsid w:val="007C5D1E"/>
    <w:rsid w:val="007C6430"/>
    <w:rsid w:val="007D0186"/>
    <w:rsid w:val="007D134D"/>
    <w:rsid w:val="007D1ECB"/>
    <w:rsid w:val="007D32CF"/>
    <w:rsid w:val="007D368B"/>
    <w:rsid w:val="007D3E03"/>
    <w:rsid w:val="007D4708"/>
    <w:rsid w:val="007D4F5F"/>
    <w:rsid w:val="007D505F"/>
    <w:rsid w:val="007D5326"/>
    <w:rsid w:val="007D5808"/>
    <w:rsid w:val="007D59F5"/>
    <w:rsid w:val="007D5CFD"/>
    <w:rsid w:val="007D7505"/>
    <w:rsid w:val="007D7DC3"/>
    <w:rsid w:val="007E0655"/>
    <w:rsid w:val="007E0B08"/>
    <w:rsid w:val="007E0DD5"/>
    <w:rsid w:val="007E1693"/>
    <w:rsid w:val="007E16EC"/>
    <w:rsid w:val="007E2331"/>
    <w:rsid w:val="007E35F9"/>
    <w:rsid w:val="007E3681"/>
    <w:rsid w:val="007E36B2"/>
    <w:rsid w:val="007E3895"/>
    <w:rsid w:val="007E44CB"/>
    <w:rsid w:val="007E5A1B"/>
    <w:rsid w:val="007E6210"/>
    <w:rsid w:val="007E6C8E"/>
    <w:rsid w:val="007E6D36"/>
    <w:rsid w:val="007F125C"/>
    <w:rsid w:val="007F2097"/>
    <w:rsid w:val="007F27D6"/>
    <w:rsid w:val="007F2FF5"/>
    <w:rsid w:val="007F3021"/>
    <w:rsid w:val="007F37BD"/>
    <w:rsid w:val="007F4456"/>
    <w:rsid w:val="007F5F3E"/>
    <w:rsid w:val="007F60AF"/>
    <w:rsid w:val="007F6420"/>
    <w:rsid w:val="007F6DE8"/>
    <w:rsid w:val="007F74F6"/>
    <w:rsid w:val="007F79A7"/>
    <w:rsid w:val="00801DD4"/>
    <w:rsid w:val="00802649"/>
    <w:rsid w:val="00802A34"/>
    <w:rsid w:val="00803019"/>
    <w:rsid w:val="00803745"/>
    <w:rsid w:val="008038AD"/>
    <w:rsid w:val="00803AB7"/>
    <w:rsid w:val="008048F2"/>
    <w:rsid w:val="00804B2B"/>
    <w:rsid w:val="00804E4C"/>
    <w:rsid w:val="00804F70"/>
    <w:rsid w:val="00805351"/>
    <w:rsid w:val="008053D9"/>
    <w:rsid w:val="008059B3"/>
    <w:rsid w:val="008059BB"/>
    <w:rsid w:val="00806C62"/>
    <w:rsid w:val="00807508"/>
    <w:rsid w:val="00811065"/>
    <w:rsid w:val="00811836"/>
    <w:rsid w:val="00812584"/>
    <w:rsid w:val="00813DD4"/>
    <w:rsid w:val="008148E6"/>
    <w:rsid w:val="0081534F"/>
    <w:rsid w:val="00815512"/>
    <w:rsid w:val="00815EF2"/>
    <w:rsid w:val="00815F14"/>
    <w:rsid w:val="008160D0"/>
    <w:rsid w:val="0081696E"/>
    <w:rsid w:val="00816BAB"/>
    <w:rsid w:val="00817455"/>
    <w:rsid w:val="00817729"/>
    <w:rsid w:val="00817BE6"/>
    <w:rsid w:val="00820CB4"/>
    <w:rsid w:val="00821120"/>
    <w:rsid w:val="00821402"/>
    <w:rsid w:val="00822617"/>
    <w:rsid w:val="00822679"/>
    <w:rsid w:val="008230B2"/>
    <w:rsid w:val="00823459"/>
    <w:rsid w:val="00823599"/>
    <w:rsid w:val="00823894"/>
    <w:rsid w:val="00823BF9"/>
    <w:rsid w:val="00824C39"/>
    <w:rsid w:val="00825116"/>
    <w:rsid w:val="00825A00"/>
    <w:rsid w:val="0082608D"/>
    <w:rsid w:val="008264F9"/>
    <w:rsid w:val="008268F6"/>
    <w:rsid w:val="008269B2"/>
    <w:rsid w:val="00827387"/>
    <w:rsid w:val="00827990"/>
    <w:rsid w:val="008279C4"/>
    <w:rsid w:val="00830721"/>
    <w:rsid w:val="00830A85"/>
    <w:rsid w:val="00830C79"/>
    <w:rsid w:val="00830CBD"/>
    <w:rsid w:val="008320FA"/>
    <w:rsid w:val="00832E41"/>
    <w:rsid w:val="0083346C"/>
    <w:rsid w:val="00833D81"/>
    <w:rsid w:val="0083452A"/>
    <w:rsid w:val="00834E4A"/>
    <w:rsid w:val="00835492"/>
    <w:rsid w:val="00836359"/>
    <w:rsid w:val="00836C19"/>
    <w:rsid w:val="00840649"/>
    <w:rsid w:val="00841219"/>
    <w:rsid w:val="008424BF"/>
    <w:rsid w:val="00842E74"/>
    <w:rsid w:val="0084373C"/>
    <w:rsid w:val="00843DD5"/>
    <w:rsid w:val="00844F62"/>
    <w:rsid w:val="00845224"/>
    <w:rsid w:val="008454F7"/>
    <w:rsid w:val="008456D3"/>
    <w:rsid w:val="008458BC"/>
    <w:rsid w:val="00845B00"/>
    <w:rsid w:val="00845DE1"/>
    <w:rsid w:val="00847697"/>
    <w:rsid w:val="00847E98"/>
    <w:rsid w:val="00850C5E"/>
    <w:rsid w:val="0085112D"/>
    <w:rsid w:val="00851377"/>
    <w:rsid w:val="00851C1C"/>
    <w:rsid w:val="00852075"/>
    <w:rsid w:val="00852977"/>
    <w:rsid w:val="00852C9D"/>
    <w:rsid w:val="008531D0"/>
    <w:rsid w:val="00853297"/>
    <w:rsid w:val="008533A3"/>
    <w:rsid w:val="00853618"/>
    <w:rsid w:val="00853C68"/>
    <w:rsid w:val="008540A5"/>
    <w:rsid w:val="00854CA1"/>
    <w:rsid w:val="00855030"/>
    <w:rsid w:val="0085605D"/>
    <w:rsid w:val="00856437"/>
    <w:rsid w:val="0085681D"/>
    <w:rsid w:val="00856C89"/>
    <w:rsid w:val="00857AD7"/>
    <w:rsid w:val="0086095A"/>
    <w:rsid w:val="00860C6F"/>
    <w:rsid w:val="008610DA"/>
    <w:rsid w:val="00862A39"/>
    <w:rsid w:val="00862F42"/>
    <w:rsid w:val="0086306D"/>
    <w:rsid w:val="00863BD9"/>
    <w:rsid w:val="00863CFE"/>
    <w:rsid w:val="008642CB"/>
    <w:rsid w:val="0086441F"/>
    <w:rsid w:val="008647EC"/>
    <w:rsid w:val="00864EE5"/>
    <w:rsid w:val="00865346"/>
    <w:rsid w:val="008657ED"/>
    <w:rsid w:val="00865C16"/>
    <w:rsid w:val="00866EAE"/>
    <w:rsid w:val="008675E5"/>
    <w:rsid w:val="00867771"/>
    <w:rsid w:val="00870209"/>
    <w:rsid w:val="008711BB"/>
    <w:rsid w:val="00873D29"/>
    <w:rsid w:val="008742A7"/>
    <w:rsid w:val="0087545E"/>
    <w:rsid w:val="008755F7"/>
    <w:rsid w:val="0087578A"/>
    <w:rsid w:val="00876956"/>
    <w:rsid w:val="00876C95"/>
    <w:rsid w:val="00876DF7"/>
    <w:rsid w:val="00877291"/>
    <w:rsid w:val="008779DF"/>
    <w:rsid w:val="00877A5B"/>
    <w:rsid w:val="00881181"/>
    <w:rsid w:val="00881935"/>
    <w:rsid w:val="0088287D"/>
    <w:rsid w:val="00882E24"/>
    <w:rsid w:val="00883B2E"/>
    <w:rsid w:val="008840FF"/>
    <w:rsid w:val="00884717"/>
    <w:rsid w:val="00884906"/>
    <w:rsid w:val="00885BDA"/>
    <w:rsid w:val="008862D2"/>
    <w:rsid w:val="0088727B"/>
    <w:rsid w:val="0088731C"/>
    <w:rsid w:val="0088795C"/>
    <w:rsid w:val="00887F51"/>
    <w:rsid w:val="00891043"/>
    <w:rsid w:val="0089169A"/>
    <w:rsid w:val="00891726"/>
    <w:rsid w:val="00891A21"/>
    <w:rsid w:val="00891FE8"/>
    <w:rsid w:val="00892D58"/>
    <w:rsid w:val="00892D8F"/>
    <w:rsid w:val="0089527E"/>
    <w:rsid w:val="008957E2"/>
    <w:rsid w:val="0089585A"/>
    <w:rsid w:val="00895B28"/>
    <w:rsid w:val="008966E6"/>
    <w:rsid w:val="00896E2A"/>
    <w:rsid w:val="00897143"/>
    <w:rsid w:val="00897621"/>
    <w:rsid w:val="008A0219"/>
    <w:rsid w:val="008A06C2"/>
    <w:rsid w:val="008A1099"/>
    <w:rsid w:val="008A17E1"/>
    <w:rsid w:val="008A2E70"/>
    <w:rsid w:val="008A3C74"/>
    <w:rsid w:val="008A3F85"/>
    <w:rsid w:val="008A42FC"/>
    <w:rsid w:val="008A49A5"/>
    <w:rsid w:val="008A4E7A"/>
    <w:rsid w:val="008A5717"/>
    <w:rsid w:val="008A5740"/>
    <w:rsid w:val="008A5CEE"/>
    <w:rsid w:val="008A645E"/>
    <w:rsid w:val="008A6FBA"/>
    <w:rsid w:val="008A721A"/>
    <w:rsid w:val="008A74AB"/>
    <w:rsid w:val="008A77EE"/>
    <w:rsid w:val="008B0066"/>
    <w:rsid w:val="008B0B77"/>
    <w:rsid w:val="008B1FE2"/>
    <w:rsid w:val="008B24FD"/>
    <w:rsid w:val="008B2CFD"/>
    <w:rsid w:val="008B42A8"/>
    <w:rsid w:val="008B7058"/>
    <w:rsid w:val="008B737C"/>
    <w:rsid w:val="008B7693"/>
    <w:rsid w:val="008B7FC5"/>
    <w:rsid w:val="008C010A"/>
    <w:rsid w:val="008C014F"/>
    <w:rsid w:val="008C053E"/>
    <w:rsid w:val="008C0D3E"/>
    <w:rsid w:val="008C11E0"/>
    <w:rsid w:val="008C1219"/>
    <w:rsid w:val="008C170E"/>
    <w:rsid w:val="008C195B"/>
    <w:rsid w:val="008C22C8"/>
    <w:rsid w:val="008C2508"/>
    <w:rsid w:val="008C2EF9"/>
    <w:rsid w:val="008C32E7"/>
    <w:rsid w:val="008C3400"/>
    <w:rsid w:val="008C3461"/>
    <w:rsid w:val="008C4DB3"/>
    <w:rsid w:val="008C5167"/>
    <w:rsid w:val="008C52CB"/>
    <w:rsid w:val="008C558C"/>
    <w:rsid w:val="008C5C6D"/>
    <w:rsid w:val="008C5DE4"/>
    <w:rsid w:val="008C6CEB"/>
    <w:rsid w:val="008C79D2"/>
    <w:rsid w:val="008D0276"/>
    <w:rsid w:val="008D02CA"/>
    <w:rsid w:val="008D044F"/>
    <w:rsid w:val="008D0577"/>
    <w:rsid w:val="008D0636"/>
    <w:rsid w:val="008D20B0"/>
    <w:rsid w:val="008D21F8"/>
    <w:rsid w:val="008D3F6E"/>
    <w:rsid w:val="008D41C6"/>
    <w:rsid w:val="008D4F14"/>
    <w:rsid w:val="008D58A5"/>
    <w:rsid w:val="008D594D"/>
    <w:rsid w:val="008D5FD7"/>
    <w:rsid w:val="008D64BD"/>
    <w:rsid w:val="008D6694"/>
    <w:rsid w:val="008D714F"/>
    <w:rsid w:val="008E0189"/>
    <w:rsid w:val="008E0E87"/>
    <w:rsid w:val="008E1921"/>
    <w:rsid w:val="008E1FE0"/>
    <w:rsid w:val="008E278B"/>
    <w:rsid w:val="008E299E"/>
    <w:rsid w:val="008E2C5C"/>
    <w:rsid w:val="008E2CD8"/>
    <w:rsid w:val="008E2E7E"/>
    <w:rsid w:val="008E343B"/>
    <w:rsid w:val="008E37F0"/>
    <w:rsid w:val="008E4181"/>
    <w:rsid w:val="008E42F8"/>
    <w:rsid w:val="008E484E"/>
    <w:rsid w:val="008E4C22"/>
    <w:rsid w:val="008E5109"/>
    <w:rsid w:val="008E5C87"/>
    <w:rsid w:val="008E7491"/>
    <w:rsid w:val="008F03C1"/>
    <w:rsid w:val="008F09C1"/>
    <w:rsid w:val="008F0C2C"/>
    <w:rsid w:val="008F0D7E"/>
    <w:rsid w:val="008F13CC"/>
    <w:rsid w:val="008F18FE"/>
    <w:rsid w:val="008F1931"/>
    <w:rsid w:val="008F1934"/>
    <w:rsid w:val="008F1CE9"/>
    <w:rsid w:val="008F2CD6"/>
    <w:rsid w:val="008F3320"/>
    <w:rsid w:val="008F552A"/>
    <w:rsid w:val="008F5D48"/>
    <w:rsid w:val="008F5F50"/>
    <w:rsid w:val="008F637D"/>
    <w:rsid w:val="008F64C7"/>
    <w:rsid w:val="008F6CCF"/>
    <w:rsid w:val="008F6D83"/>
    <w:rsid w:val="008F7038"/>
    <w:rsid w:val="008F703C"/>
    <w:rsid w:val="008F7244"/>
    <w:rsid w:val="008F742F"/>
    <w:rsid w:val="008F7823"/>
    <w:rsid w:val="00900576"/>
    <w:rsid w:val="00901C59"/>
    <w:rsid w:val="0090290E"/>
    <w:rsid w:val="009029F8"/>
    <w:rsid w:val="009030CA"/>
    <w:rsid w:val="00903A1E"/>
    <w:rsid w:val="009041C3"/>
    <w:rsid w:val="0090581C"/>
    <w:rsid w:val="00905DF4"/>
    <w:rsid w:val="00905E8D"/>
    <w:rsid w:val="00906166"/>
    <w:rsid w:val="0090626C"/>
    <w:rsid w:val="00906303"/>
    <w:rsid w:val="009065CE"/>
    <w:rsid w:val="00906644"/>
    <w:rsid w:val="00906D35"/>
    <w:rsid w:val="00906F21"/>
    <w:rsid w:val="0090774A"/>
    <w:rsid w:val="009078DF"/>
    <w:rsid w:val="009102A6"/>
    <w:rsid w:val="0091054A"/>
    <w:rsid w:val="009107D6"/>
    <w:rsid w:val="00910BFE"/>
    <w:rsid w:val="00910F30"/>
    <w:rsid w:val="00911135"/>
    <w:rsid w:val="00911344"/>
    <w:rsid w:val="00912448"/>
    <w:rsid w:val="00912C73"/>
    <w:rsid w:val="009135FD"/>
    <w:rsid w:val="00914188"/>
    <w:rsid w:val="00914759"/>
    <w:rsid w:val="00914ECD"/>
    <w:rsid w:val="0091522F"/>
    <w:rsid w:val="00915234"/>
    <w:rsid w:val="009157AC"/>
    <w:rsid w:val="0091681A"/>
    <w:rsid w:val="00917D05"/>
    <w:rsid w:val="00917DAD"/>
    <w:rsid w:val="009206D1"/>
    <w:rsid w:val="00920AEF"/>
    <w:rsid w:val="00920DED"/>
    <w:rsid w:val="00921AF7"/>
    <w:rsid w:val="00921D30"/>
    <w:rsid w:val="009224A9"/>
    <w:rsid w:val="009227A3"/>
    <w:rsid w:val="00922DE0"/>
    <w:rsid w:val="009238A9"/>
    <w:rsid w:val="00923F27"/>
    <w:rsid w:val="00924131"/>
    <w:rsid w:val="0092441A"/>
    <w:rsid w:val="009249C6"/>
    <w:rsid w:val="009250A7"/>
    <w:rsid w:val="009251A2"/>
    <w:rsid w:val="00925AB0"/>
    <w:rsid w:val="00927177"/>
    <w:rsid w:val="009279E4"/>
    <w:rsid w:val="00931084"/>
    <w:rsid w:val="0093119D"/>
    <w:rsid w:val="009316C6"/>
    <w:rsid w:val="00932513"/>
    <w:rsid w:val="00933131"/>
    <w:rsid w:val="00934715"/>
    <w:rsid w:val="00934D60"/>
    <w:rsid w:val="0093527A"/>
    <w:rsid w:val="00935559"/>
    <w:rsid w:val="00935989"/>
    <w:rsid w:val="00935CED"/>
    <w:rsid w:val="009367D6"/>
    <w:rsid w:val="00936805"/>
    <w:rsid w:val="00936A5D"/>
    <w:rsid w:val="00936BEA"/>
    <w:rsid w:val="009370D6"/>
    <w:rsid w:val="00943505"/>
    <w:rsid w:val="00943521"/>
    <w:rsid w:val="00945EC8"/>
    <w:rsid w:val="00945F58"/>
    <w:rsid w:val="0094636A"/>
    <w:rsid w:val="00946A91"/>
    <w:rsid w:val="00946C52"/>
    <w:rsid w:val="00946CC3"/>
    <w:rsid w:val="009471D6"/>
    <w:rsid w:val="009475CD"/>
    <w:rsid w:val="009479C4"/>
    <w:rsid w:val="00947CBF"/>
    <w:rsid w:val="00950051"/>
    <w:rsid w:val="00950415"/>
    <w:rsid w:val="00950667"/>
    <w:rsid w:val="009506DA"/>
    <w:rsid w:val="00951BB3"/>
    <w:rsid w:val="00951C09"/>
    <w:rsid w:val="00952156"/>
    <w:rsid w:val="009525E3"/>
    <w:rsid w:val="00952A16"/>
    <w:rsid w:val="00952C71"/>
    <w:rsid w:val="0095351D"/>
    <w:rsid w:val="0095374B"/>
    <w:rsid w:val="00953C00"/>
    <w:rsid w:val="00954C7D"/>
    <w:rsid w:val="00954EA0"/>
    <w:rsid w:val="009551C2"/>
    <w:rsid w:val="009569B3"/>
    <w:rsid w:val="00957222"/>
    <w:rsid w:val="00961FB7"/>
    <w:rsid w:val="00962586"/>
    <w:rsid w:val="00964FCA"/>
    <w:rsid w:val="00965B6C"/>
    <w:rsid w:val="0096619D"/>
    <w:rsid w:val="009672C0"/>
    <w:rsid w:val="009674BD"/>
    <w:rsid w:val="009675A1"/>
    <w:rsid w:val="00967818"/>
    <w:rsid w:val="00970A8E"/>
    <w:rsid w:val="00970AD1"/>
    <w:rsid w:val="009710BF"/>
    <w:rsid w:val="0097143A"/>
    <w:rsid w:val="00971644"/>
    <w:rsid w:val="0097174A"/>
    <w:rsid w:val="00971895"/>
    <w:rsid w:val="00971FF2"/>
    <w:rsid w:val="009733B6"/>
    <w:rsid w:val="0097384B"/>
    <w:rsid w:val="00973952"/>
    <w:rsid w:val="00974CB9"/>
    <w:rsid w:val="009761F4"/>
    <w:rsid w:val="009773EA"/>
    <w:rsid w:val="009775C6"/>
    <w:rsid w:val="0097769F"/>
    <w:rsid w:val="00977918"/>
    <w:rsid w:val="00977924"/>
    <w:rsid w:val="00977956"/>
    <w:rsid w:val="00977BA1"/>
    <w:rsid w:val="009801D9"/>
    <w:rsid w:val="00980804"/>
    <w:rsid w:val="009817AB"/>
    <w:rsid w:val="00981D43"/>
    <w:rsid w:val="00982395"/>
    <w:rsid w:val="009829D1"/>
    <w:rsid w:val="00983522"/>
    <w:rsid w:val="009835C6"/>
    <w:rsid w:val="00983F83"/>
    <w:rsid w:val="009849B9"/>
    <w:rsid w:val="0098609F"/>
    <w:rsid w:val="009862F7"/>
    <w:rsid w:val="00986EFE"/>
    <w:rsid w:val="00987293"/>
    <w:rsid w:val="00990A80"/>
    <w:rsid w:val="00990AD5"/>
    <w:rsid w:val="00990EDB"/>
    <w:rsid w:val="009916BB"/>
    <w:rsid w:val="00991C73"/>
    <w:rsid w:val="009922A9"/>
    <w:rsid w:val="009922AD"/>
    <w:rsid w:val="00992A0F"/>
    <w:rsid w:val="00992FB8"/>
    <w:rsid w:val="00993417"/>
    <w:rsid w:val="0099350D"/>
    <w:rsid w:val="00993D79"/>
    <w:rsid w:val="009942B2"/>
    <w:rsid w:val="0099509F"/>
    <w:rsid w:val="00995C88"/>
    <w:rsid w:val="009967BD"/>
    <w:rsid w:val="009968B7"/>
    <w:rsid w:val="00997392"/>
    <w:rsid w:val="00997564"/>
    <w:rsid w:val="00997B01"/>
    <w:rsid w:val="00997EF5"/>
    <w:rsid w:val="009A0A44"/>
    <w:rsid w:val="009A0C09"/>
    <w:rsid w:val="009A0C59"/>
    <w:rsid w:val="009A0C8E"/>
    <w:rsid w:val="009A161F"/>
    <w:rsid w:val="009A19A5"/>
    <w:rsid w:val="009A23FD"/>
    <w:rsid w:val="009A28FD"/>
    <w:rsid w:val="009A2B63"/>
    <w:rsid w:val="009A36FC"/>
    <w:rsid w:val="009A46C0"/>
    <w:rsid w:val="009A48E6"/>
    <w:rsid w:val="009A49A2"/>
    <w:rsid w:val="009A4A95"/>
    <w:rsid w:val="009A527C"/>
    <w:rsid w:val="009A54C5"/>
    <w:rsid w:val="009A5EA6"/>
    <w:rsid w:val="009A6AF0"/>
    <w:rsid w:val="009A71BD"/>
    <w:rsid w:val="009A768D"/>
    <w:rsid w:val="009A7DBE"/>
    <w:rsid w:val="009B146D"/>
    <w:rsid w:val="009B1CE8"/>
    <w:rsid w:val="009B2A73"/>
    <w:rsid w:val="009B3E33"/>
    <w:rsid w:val="009B4033"/>
    <w:rsid w:val="009B41DA"/>
    <w:rsid w:val="009B43E8"/>
    <w:rsid w:val="009B4476"/>
    <w:rsid w:val="009B5FE1"/>
    <w:rsid w:val="009B60E8"/>
    <w:rsid w:val="009B6752"/>
    <w:rsid w:val="009B690E"/>
    <w:rsid w:val="009B6D83"/>
    <w:rsid w:val="009B7A28"/>
    <w:rsid w:val="009B7C05"/>
    <w:rsid w:val="009C0605"/>
    <w:rsid w:val="009C14BB"/>
    <w:rsid w:val="009C190F"/>
    <w:rsid w:val="009C3219"/>
    <w:rsid w:val="009C3B3D"/>
    <w:rsid w:val="009C4F6C"/>
    <w:rsid w:val="009C4F9E"/>
    <w:rsid w:val="009C5776"/>
    <w:rsid w:val="009C59C7"/>
    <w:rsid w:val="009C6A12"/>
    <w:rsid w:val="009C7835"/>
    <w:rsid w:val="009D1730"/>
    <w:rsid w:val="009D1B05"/>
    <w:rsid w:val="009D1CB1"/>
    <w:rsid w:val="009D1D01"/>
    <w:rsid w:val="009D205B"/>
    <w:rsid w:val="009D2B78"/>
    <w:rsid w:val="009D2B7B"/>
    <w:rsid w:val="009D2C46"/>
    <w:rsid w:val="009D3999"/>
    <w:rsid w:val="009D3E4E"/>
    <w:rsid w:val="009D434E"/>
    <w:rsid w:val="009D4380"/>
    <w:rsid w:val="009D48B1"/>
    <w:rsid w:val="009D5138"/>
    <w:rsid w:val="009D569F"/>
    <w:rsid w:val="009D68EE"/>
    <w:rsid w:val="009D6AE8"/>
    <w:rsid w:val="009D6D4A"/>
    <w:rsid w:val="009D70F3"/>
    <w:rsid w:val="009E00EC"/>
    <w:rsid w:val="009E07F3"/>
    <w:rsid w:val="009E07F6"/>
    <w:rsid w:val="009E0E02"/>
    <w:rsid w:val="009E1419"/>
    <w:rsid w:val="009E1D8D"/>
    <w:rsid w:val="009E20C9"/>
    <w:rsid w:val="009E248D"/>
    <w:rsid w:val="009E3070"/>
    <w:rsid w:val="009E3295"/>
    <w:rsid w:val="009E4CCD"/>
    <w:rsid w:val="009E51EF"/>
    <w:rsid w:val="009E53BB"/>
    <w:rsid w:val="009E65B4"/>
    <w:rsid w:val="009E6639"/>
    <w:rsid w:val="009E669E"/>
    <w:rsid w:val="009E7470"/>
    <w:rsid w:val="009E7B0C"/>
    <w:rsid w:val="009F0583"/>
    <w:rsid w:val="009F067E"/>
    <w:rsid w:val="009F09E2"/>
    <w:rsid w:val="009F0AB4"/>
    <w:rsid w:val="009F1033"/>
    <w:rsid w:val="009F1189"/>
    <w:rsid w:val="009F2C05"/>
    <w:rsid w:val="009F4629"/>
    <w:rsid w:val="009F4636"/>
    <w:rsid w:val="009F468A"/>
    <w:rsid w:val="009F4833"/>
    <w:rsid w:val="009F4955"/>
    <w:rsid w:val="009F54BB"/>
    <w:rsid w:val="009F5776"/>
    <w:rsid w:val="009F5FD6"/>
    <w:rsid w:val="009F606E"/>
    <w:rsid w:val="009F73C4"/>
    <w:rsid w:val="009F74EF"/>
    <w:rsid w:val="009F7537"/>
    <w:rsid w:val="00A00874"/>
    <w:rsid w:val="00A00BFA"/>
    <w:rsid w:val="00A00FB9"/>
    <w:rsid w:val="00A012A2"/>
    <w:rsid w:val="00A01C1A"/>
    <w:rsid w:val="00A025C6"/>
    <w:rsid w:val="00A02F4D"/>
    <w:rsid w:val="00A0392A"/>
    <w:rsid w:val="00A03B94"/>
    <w:rsid w:val="00A03DE6"/>
    <w:rsid w:val="00A05002"/>
    <w:rsid w:val="00A069A9"/>
    <w:rsid w:val="00A0758C"/>
    <w:rsid w:val="00A10EBB"/>
    <w:rsid w:val="00A116B2"/>
    <w:rsid w:val="00A12AF3"/>
    <w:rsid w:val="00A13DBF"/>
    <w:rsid w:val="00A14705"/>
    <w:rsid w:val="00A15A0E"/>
    <w:rsid w:val="00A16637"/>
    <w:rsid w:val="00A16C10"/>
    <w:rsid w:val="00A179FF"/>
    <w:rsid w:val="00A20377"/>
    <w:rsid w:val="00A2079C"/>
    <w:rsid w:val="00A20F19"/>
    <w:rsid w:val="00A2217C"/>
    <w:rsid w:val="00A2264B"/>
    <w:rsid w:val="00A229A2"/>
    <w:rsid w:val="00A22EF5"/>
    <w:rsid w:val="00A23220"/>
    <w:rsid w:val="00A24242"/>
    <w:rsid w:val="00A24C72"/>
    <w:rsid w:val="00A24EF0"/>
    <w:rsid w:val="00A255B5"/>
    <w:rsid w:val="00A259BC"/>
    <w:rsid w:val="00A26562"/>
    <w:rsid w:val="00A267BB"/>
    <w:rsid w:val="00A26BFF"/>
    <w:rsid w:val="00A27E16"/>
    <w:rsid w:val="00A304EF"/>
    <w:rsid w:val="00A318B2"/>
    <w:rsid w:val="00A31AFA"/>
    <w:rsid w:val="00A31B84"/>
    <w:rsid w:val="00A3203A"/>
    <w:rsid w:val="00A3258A"/>
    <w:rsid w:val="00A326B3"/>
    <w:rsid w:val="00A329DA"/>
    <w:rsid w:val="00A32D35"/>
    <w:rsid w:val="00A32DA0"/>
    <w:rsid w:val="00A3362D"/>
    <w:rsid w:val="00A33A2D"/>
    <w:rsid w:val="00A34131"/>
    <w:rsid w:val="00A34AEF"/>
    <w:rsid w:val="00A35490"/>
    <w:rsid w:val="00A35DB3"/>
    <w:rsid w:val="00A3690B"/>
    <w:rsid w:val="00A37D57"/>
    <w:rsid w:val="00A4045F"/>
    <w:rsid w:val="00A40763"/>
    <w:rsid w:val="00A40FD9"/>
    <w:rsid w:val="00A41201"/>
    <w:rsid w:val="00A413BA"/>
    <w:rsid w:val="00A41491"/>
    <w:rsid w:val="00A42488"/>
    <w:rsid w:val="00A42587"/>
    <w:rsid w:val="00A44052"/>
    <w:rsid w:val="00A4405F"/>
    <w:rsid w:val="00A44E47"/>
    <w:rsid w:val="00A451D8"/>
    <w:rsid w:val="00A45455"/>
    <w:rsid w:val="00A455C3"/>
    <w:rsid w:val="00A45DB9"/>
    <w:rsid w:val="00A45DD7"/>
    <w:rsid w:val="00A45F91"/>
    <w:rsid w:val="00A461E3"/>
    <w:rsid w:val="00A467FD"/>
    <w:rsid w:val="00A46DA8"/>
    <w:rsid w:val="00A47463"/>
    <w:rsid w:val="00A476C2"/>
    <w:rsid w:val="00A47D09"/>
    <w:rsid w:val="00A511B1"/>
    <w:rsid w:val="00A520D0"/>
    <w:rsid w:val="00A521C3"/>
    <w:rsid w:val="00A526C9"/>
    <w:rsid w:val="00A52715"/>
    <w:rsid w:val="00A5296C"/>
    <w:rsid w:val="00A53CA0"/>
    <w:rsid w:val="00A53D07"/>
    <w:rsid w:val="00A53E7A"/>
    <w:rsid w:val="00A541B0"/>
    <w:rsid w:val="00A54381"/>
    <w:rsid w:val="00A54395"/>
    <w:rsid w:val="00A54652"/>
    <w:rsid w:val="00A559C6"/>
    <w:rsid w:val="00A568CF"/>
    <w:rsid w:val="00A56C8B"/>
    <w:rsid w:val="00A571CE"/>
    <w:rsid w:val="00A573B6"/>
    <w:rsid w:val="00A57B86"/>
    <w:rsid w:val="00A609D9"/>
    <w:rsid w:val="00A615EE"/>
    <w:rsid w:val="00A61E47"/>
    <w:rsid w:val="00A624D6"/>
    <w:rsid w:val="00A62B57"/>
    <w:rsid w:val="00A62BE5"/>
    <w:rsid w:val="00A63B77"/>
    <w:rsid w:val="00A64DF8"/>
    <w:rsid w:val="00A66A07"/>
    <w:rsid w:val="00A70451"/>
    <w:rsid w:val="00A70661"/>
    <w:rsid w:val="00A713C7"/>
    <w:rsid w:val="00A716CB"/>
    <w:rsid w:val="00A721CC"/>
    <w:rsid w:val="00A73626"/>
    <w:rsid w:val="00A73F0D"/>
    <w:rsid w:val="00A7477B"/>
    <w:rsid w:val="00A747D5"/>
    <w:rsid w:val="00A74F32"/>
    <w:rsid w:val="00A75597"/>
    <w:rsid w:val="00A7559C"/>
    <w:rsid w:val="00A759C5"/>
    <w:rsid w:val="00A75E07"/>
    <w:rsid w:val="00A771E3"/>
    <w:rsid w:val="00A77CA4"/>
    <w:rsid w:val="00A81271"/>
    <w:rsid w:val="00A81530"/>
    <w:rsid w:val="00A81CA7"/>
    <w:rsid w:val="00A81F31"/>
    <w:rsid w:val="00A81F74"/>
    <w:rsid w:val="00A82887"/>
    <w:rsid w:val="00A83733"/>
    <w:rsid w:val="00A8468A"/>
    <w:rsid w:val="00A84D13"/>
    <w:rsid w:val="00A84DF8"/>
    <w:rsid w:val="00A85AA6"/>
    <w:rsid w:val="00A860B3"/>
    <w:rsid w:val="00A86523"/>
    <w:rsid w:val="00A8693B"/>
    <w:rsid w:val="00A870CC"/>
    <w:rsid w:val="00A9062E"/>
    <w:rsid w:val="00A90E42"/>
    <w:rsid w:val="00A90FAC"/>
    <w:rsid w:val="00A9269B"/>
    <w:rsid w:val="00A92E42"/>
    <w:rsid w:val="00A935ED"/>
    <w:rsid w:val="00A94A27"/>
    <w:rsid w:val="00A95BE3"/>
    <w:rsid w:val="00A95D42"/>
    <w:rsid w:val="00A96056"/>
    <w:rsid w:val="00A9606A"/>
    <w:rsid w:val="00A96510"/>
    <w:rsid w:val="00A966D0"/>
    <w:rsid w:val="00A968A2"/>
    <w:rsid w:val="00A96A98"/>
    <w:rsid w:val="00A9750F"/>
    <w:rsid w:val="00A97C41"/>
    <w:rsid w:val="00A97F32"/>
    <w:rsid w:val="00AA0AE4"/>
    <w:rsid w:val="00AA16F8"/>
    <w:rsid w:val="00AA186A"/>
    <w:rsid w:val="00AA2589"/>
    <w:rsid w:val="00AA3213"/>
    <w:rsid w:val="00AA343F"/>
    <w:rsid w:val="00AA4577"/>
    <w:rsid w:val="00AA4DB7"/>
    <w:rsid w:val="00AA50C1"/>
    <w:rsid w:val="00AA52A2"/>
    <w:rsid w:val="00AA5F7B"/>
    <w:rsid w:val="00AA65CC"/>
    <w:rsid w:val="00AA6BC5"/>
    <w:rsid w:val="00AA7484"/>
    <w:rsid w:val="00AB0A02"/>
    <w:rsid w:val="00AB0C0A"/>
    <w:rsid w:val="00AB0E3B"/>
    <w:rsid w:val="00AB229A"/>
    <w:rsid w:val="00AB4118"/>
    <w:rsid w:val="00AB4867"/>
    <w:rsid w:val="00AB4CB3"/>
    <w:rsid w:val="00AB5D48"/>
    <w:rsid w:val="00AB615F"/>
    <w:rsid w:val="00AB64FD"/>
    <w:rsid w:val="00AB709C"/>
    <w:rsid w:val="00AB71DD"/>
    <w:rsid w:val="00AB79B2"/>
    <w:rsid w:val="00AB7BAB"/>
    <w:rsid w:val="00AC07E5"/>
    <w:rsid w:val="00AC1288"/>
    <w:rsid w:val="00AC13D7"/>
    <w:rsid w:val="00AC1503"/>
    <w:rsid w:val="00AC163A"/>
    <w:rsid w:val="00AC16B6"/>
    <w:rsid w:val="00AC1B5F"/>
    <w:rsid w:val="00AC22D6"/>
    <w:rsid w:val="00AC233F"/>
    <w:rsid w:val="00AC292C"/>
    <w:rsid w:val="00AC3156"/>
    <w:rsid w:val="00AC31D6"/>
    <w:rsid w:val="00AC3B64"/>
    <w:rsid w:val="00AC3EB3"/>
    <w:rsid w:val="00AC44AE"/>
    <w:rsid w:val="00AC4D55"/>
    <w:rsid w:val="00AC4D78"/>
    <w:rsid w:val="00AC4DC9"/>
    <w:rsid w:val="00AC53E1"/>
    <w:rsid w:val="00AC64D7"/>
    <w:rsid w:val="00AC6FFE"/>
    <w:rsid w:val="00AC7479"/>
    <w:rsid w:val="00AC7568"/>
    <w:rsid w:val="00AD0087"/>
    <w:rsid w:val="00AD04FC"/>
    <w:rsid w:val="00AD0F64"/>
    <w:rsid w:val="00AD10FF"/>
    <w:rsid w:val="00AD222E"/>
    <w:rsid w:val="00AD4344"/>
    <w:rsid w:val="00AD4AE9"/>
    <w:rsid w:val="00AD5C3D"/>
    <w:rsid w:val="00AD72F7"/>
    <w:rsid w:val="00AD73A6"/>
    <w:rsid w:val="00AD7DC7"/>
    <w:rsid w:val="00AE026B"/>
    <w:rsid w:val="00AE1D65"/>
    <w:rsid w:val="00AE22DC"/>
    <w:rsid w:val="00AE2530"/>
    <w:rsid w:val="00AE2539"/>
    <w:rsid w:val="00AE2F2E"/>
    <w:rsid w:val="00AE398C"/>
    <w:rsid w:val="00AE461B"/>
    <w:rsid w:val="00AE53C9"/>
    <w:rsid w:val="00AE5CB1"/>
    <w:rsid w:val="00AE5D6A"/>
    <w:rsid w:val="00AE5E92"/>
    <w:rsid w:val="00AE60E1"/>
    <w:rsid w:val="00AE620F"/>
    <w:rsid w:val="00AE6E1C"/>
    <w:rsid w:val="00AF01CD"/>
    <w:rsid w:val="00AF0BD6"/>
    <w:rsid w:val="00AF1140"/>
    <w:rsid w:val="00AF12AF"/>
    <w:rsid w:val="00AF12E5"/>
    <w:rsid w:val="00AF21F6"/>
    <w:rsid w:val="00AF2211"/>
    <w:rsid w:val="00AF323B"/>
    <w:rsid w:val="00AF479C"/>
    <w:rsid w:val="00AF508E"/>
    <w:rsid w:val="00AF59FD"/>
    <w:rsid w:val="00AF5ACF"/>
    <w:rsid w:val="00AF5E07"/>
    <w:rsid w:val="00AF613E"/>
    <w:rsid w:val="00AF6293"/>
    <w:rsid w:val="00AF74DD"/>
    <w:rsid w:val="00AF7CB2"/>
    <w:rsid w:val="00AF7F51"/>
    <w:rsid w:val="00B007D4"/>
    <w:rsid w:val="00B00A26"/>
    <w:rsid w:val="00B010A2"/>
    <w:rsid w:val="00B01D0C"/>
    <w:rsid w:val="00B021D4"/>
    <w:rsid w:val="00B02660"/>
    <w:rsid w:val="00B03879"/>
    <w:rsid w:val="00B03DCC"/>
    <w:rsid w:val="00B041BF"/>
    <w:rsid w:val="00B04274"/>
    <w:rsid w:val="00B049D6"/>
    <w:rsid w:val="00B054A3"/>
    <w:rsid w:val="00B0593C"/>
    <w:rsid w:val="00B06030"/>
    <w:rsid w:val="00B0634F"/>
    <w:rsid w:val="00B06B6F"/>
    <w:rsid w:val="00B06C31"/>
    <w:rsid w:val="00B07F7C"/>
    <w:rsid w:val="00B10AC5"/>
    <w:rsid w:val="00B114BE"/>
    <w:rsid w:val="00B116F2"/>
    <w:rsid w:val="00B11E3C"/>
    <w:rsid w:val="00B13399"/>
    <w:rsid w:val="00B14533"/>
    <w:rsid w:val="00B147DF"/>
    <w:rsid w:val="00B15275"/>
    <w:rsid w:val="00B168C3"/>
    <w:rsid w:val="00B16BEA"/>
    <w:rsid w:val="00B16D02"/>
    <w:rsid w:val="00B170CE"/>
    <w:rsid w:val="00B1725D"/>
    <w:rsid w:val="00B177FA"/>
    <w:rsid w:val="00B178D1"/>
    <w:rsid w:val="00B17DBD"/>
    <w:rsid w:val="00B17EE0"/>
    <w:rsid w:val="00B17F9D"/>
    <w:rsid w:val="00B2066A"/>
    <w:rsid w:val="00B20EEF"/>
    <w:rsid w:val="00B214F2"/>
    <w:rsid w:val="00B22886"/>
    <w:rsid w:val="00B238A7"/>
    <w:rsid w:val="00B23DA9"/>
    <w:rsid w:val="00B23F88"/>
    <w:rsid w:val="00B2500D"/>
    <w:rsid w:val="00B25CFD"/>
    <w:rsid w:val="00B25FC1"/>
    <w:rsid w:val="00B268E0"/>
    <w:rsid w:val="00B27776"/>
    <w:rsid w:val="00B27F48"/>
    <w:rsid w:val="00B30595"/>
    <w:rsid w:val="00B313EF"/>
    <w:rsid w:val="00B31772"/>
    <w:rsid w:val="00B322BA"/>
    <w:rsid w:val="00B34D49"/>
    <w:rsid w:val="00B3548B"/>
    <w:rsid w:val="00B35498"/>
    <w:rsid w:val="00B35E4C"/>
    <w:rsid w:val="00B362A8"/>
    <w:rsid w:val="00B364A4"/>
    <w:rsid w:val="00B37D8D"/>
    <w:rsid w:val="00B405E9"/>
    <w:rsid w:val="00B4085B"/>
    <w:rsid w:val="00B40D9F"/>
    <w:rsid w:val="00B4109D"/>
    <w:rsid w:val="00B415C6"/>
    <w:rsid w:val="00B4180C"/>
    <w:rsid w:val="00B41F8D"/>
    <w:rsid w:val="00B42514"/>
    <w:rsid w:val="00B42BA4"/>
    <w:rsid w:val="00B439AE"/>
    <w:rsid w:val="00B43E02"/>
    <w:rsid w:val="00B4541E"/>
    <w:rsid w:val="00B45448"/>
    <w:rsid w:val="00B45AFE"/>
    <w:rsid w:val="00B46954"/>
    <w:rsid w:val="00B47556"/>
    <w:rsid w:val="00B50393"/>
    <w:rsid w:val="00B50F1E"/>
    <w:rsid w:val="00B51145"/>
    <w:rsid w:val="00B51C72"/>
    <w:rsid w:val="00B51D96"/>
    <w:rsid w:val="00B520C3"/>
    <w:rsid w:val="00B52157"/>
    <w:rsid w:val="00B5329D"/>
    <w:rsid w:val="00B55A9E"/>
    <w:rsid w:val="00B55DF9"/>
    <w:rsid w:val="00B5618E"/>
    <w:rsid w:val="00B56C97"/>
    <w:rsid w:val="00B6028F"/>
    <w:rsid w:val="00B60FB4"/>
    <w:rsid w:val="00B615CD"/>
    <w:rsid w:val="00B61F63"/>
    <w:rsid w:val="00B62689"/>
    <w:rsid w:val="00B62890"/>
    <w:rsid w:val="00B6333B"/>
    <w:rsid w:val="00B63B97"/>
    <w:rsid w:val="00B6433F"/>
    <w:rsid w:val="00B6481E"/>
    <w:rsid w:val="00B64DAB"/>
    <w:rsid w:val="00B65823"/>
    <w:rsid w:val="00B6745B"/>
    <w:rsid w:val="00B70FEB"/>
    <w:rsid w:val="00B7117B"/>
    <w:rsid w:val="00B717B8"/>
    <w:rsid w:val="00B72089"/>
    <w:rsid w:val="00B721AF"/>
    <w:rsid w:val="00B7242F"/>
    <w:rsid w:val="00B7243F"/>
    <w:rsid w:val="00B72908"/>
    <w:rsid w:val="00B72BED"/>
    <w:rsid w:val="00B72D7A"/>
    <w:rsid w:val="00B74403"/>
    <w:rsid w:val="00B75309"/>
    <w:rsid w:val="00B75592"/>
    <w:rsid w:val="00B75622"/>
    <w:rsid w:val="00B7582E"/>
    <w:rsid w:val="00B75DCB"/>
    <w:rsid w:val="00B75F6A"/>
    <w:rsid w:val="00B7632B"/>
    <w:rsid w:val="00B7762F"/>
    <w:rsid w:val="00B77B51"/>
    <w:rsid w:val="00B77CFF"/>
    <w:rsid w:val="00B80EBF"/>
    <w:rsid w:val="00B81C5F"/>
    <w:rsid w:val="00B81D4F"/>
    <w:rsid w:val="00B81E1F"/>
    <w:rsid w:val="00B823B3"/>
    <w:rsid w:val="00B82429"/>
    <w:rsid w:val="00B82759"/>
    <w:rsid w:val="00B8314B"/>
    <w:rsid w:val="00B834C5"/>
    <w:rsid w:val="00B83502"/>
    <w:rsid w:val="00B83E69"/>
    <w:rsid w:val="00B84240"/>
    <w:rsid w:val="00B855AB"/>
    <w:rsid w:val="00B855CE"/>
    <w:rsid w:val="00B85BA2"/>
    <w:rsid w:val="00B86CE0"/>
    <w:rsid w:val="00B86E41"/>
    <w:rsid w:val="00B87751"/>
    <w:rsid w:val="00B90A51"/>
    <w:rsid w:val="00B91935"/>
    <w:rsid w:val="00B91B88"/>
    <w:rsid w:val="00B91BD7"/>
    <w:rsid w:val="00B92191"/>
    <w:rsid w:val="00B92995"/>
    <w:rsid w:val="00B92E64"/>
    <w:rsid w:val="00B92F31"/>
    <w:rsid w:val="00B94499"/>
    <w:rsid w:val="00B953C2"/>
    <w:rsid w:val="00B95EFA"/>
    <w:rsid w:val="00B9623F"/>
    <w:rsid w:val="00B966AC"/>
    <w:rsid w:val="00B96E8B"/>
    <w:rsid w:val="00B96FD0"/>
    <w:rsid w:val="00B970FC"/>
    <w:rsid w:val="00B970FE"/>
    <w:rsid w:val="00B97377"/>
    <w:rsid w:val="00B97404"/>
    <w:rsid w:val="00B97B09"/>
    <w:rsid w:val="00B97C29"/>
    <w:rsid w:val="00B97CD9"/>
    <w:rsid w:val="00BA0873"/>
    <w:rsid w:val="00BA0C31"/>
    <w:rsid w:val="00BA1750"/>
    <w:rsid w:val="00BA18E0"/>
    <w:rsid w:val="00BA192A"/>
    <w:rsid w:val="00BA1D1B"/>
    <w:rsid w:val="00BA21B7"/>
    <w:rsid w:val="00BA24EE"/>
    <w:rsid w:val="00BA27DB"/>
    <w:rsid w:val="00BA2BAB"/>
    <w:rsid w:val="00BA32A8"/>
    <w:rsid w:val="00BA439F"/>
    <w:rsid w:val="00BA459F"/>
    <w:rsid w:val="00BA508E"/>
    <w:rsid w:val="00BA564E"/>
    <w:rsid w:val="00BA684A"/>
    <w:rsid w:val="00BA6D9F"/>
    <w:rsid w:val="00BA7E72"/>
    <w:rsid w:val="00BB1845"/>
    <w:rsid w:val="00BB3B2C"/>
    <w:rsid w:val="00BB3B89"/>
    <w:rsid w:val="00BB40AE"/>
    <w:rsid w:val="00BB42D6"/>
    <w:rsid w:val="00BB4DF6"/>
    <w:rsid w:val="00BB51A1"/>
    <w:rsid w:val="00BB58D3"/>
    <w:rsid w:val="00BB69D6"/>
    <w:rsid w:val="00BB7597"/>
    <w:rsid w:val="00BC0BBB"/>
    <w:rsid w:val="00BC0D7A"/>
    <w:rsid w:val="00BC11EB"/>
    <w:rsid w:val="00BC1A68"/>
    <w:rsid w:val="00BC1D51"/>
    <w:rsid w:val="00BC2014"/>
    <w:rsid w:val="00BC278B"/>
    <w:rsid w:val="00BC2D55"/>
    <w:rsid w:val="00BC3749"/>
    <w:rsid w:val="00BC3D6E"/>
    <w:rsid w:val="00BC4059"/>
    <w:rsid w:val="00BC4139"/>
    <w:rsid w:val="00BC4615"/>
    <w:rsid w:val="00BC476D"/>
    <w:rsid w:val="00BC4B8A"/>
    <w:rsid w:val="00BC51B4"/>
    <w:rsid w:val="00BC68EC"/>
    <w:rsid w:val="00BC6DDB"/>
    <w:rsid w:val="00BC7A2E"/>
    <w:rsid w:val="00BC7F2B"/>
    <w:rsid w:val="00BD04EE"/>
    <w:rsid w:val="00BD058A"/>
    <w:rsid w:val="00BD0B87"/>
    <w:rsid w:val="00BD1ECE"/>
    <w:rsid w:val="00BD2003"/>
    <w:rsid w:val="00BD2B39"/>
    <w:rsid w:val="00BD2BE1"/>
    <w:rsid w:val="00BD2CC3"/>
    <w:rsid w:val="00BD36D3"/>
    <w:rsid w:val="00BD4B27"/>
    <w:rsid w:val="00BD4BBA"/>
    <w:rsid w:val="00BD4C8D"/>
    <w:rsid w:val="00BD4E22"/>
    <w:rsid w:val="00BD5104"/>
    <w:rsid w:val="00BD5C64"/>
    <w:rsid w:val="00BD631F"/>
    <w:rsid w:val="00BD6BDA"/>
    <w:rsid w:val="00BD77C0"/>
    <w:rsid w:val="00BD7C37"/>
    <w:rsid w:val="00BE0818"/>
    <w:rsid w:val="00BE09FA"/>
    <w:rsid w:val="00BE0CFC"/>
    <w:rsid w:val="00BE0EC2"/>
    <w:rsid w:val="00BE12AC"/>
    <w:rsid w:val="00BE16C0"/>
    <w:rsid w:val="00BE19FD"/>
    <w:rsid w:val="00BE1A4E"/>
    <w:rsid w:val="00BE2452"/>
    <w:rsid w:val="00BE2714"/>
    <w:rsid w:val="00BE2A05"/>
    <w:rsid w:val="00BE38CB"/>
    <w:rsid w:val="00BE573D"/>
    <w:rsid w:val="00BE5741"/>
    <w:rsid w:val="00BE5E1F"/>
    <w:rsid w:val="00BE67D7"/>
    <w:rsid w:val="00BE7536"/>
    <w:rsid w:val="00BF0B3F"/>
    <w:rsid w:val="00BF0DA0"/>
    <w:rsid w:val="00BF1069"/>
    <w:rsid w:val="00BF1113"/>
    <w:rsid w:val="00BF13DF"/>
    <w:rsid w:val="00BF1544"/>
    <w:rsid w:val="00BF1750"/>
    <w:rsid w:val="00BF205B"/>
    <w:rsid w:val="00BF2750"/>
    <w:rsid w:val="00BF292D"/>
    <w:rsid w:val="00BF30DB"/>
    <w:rsid w:val="00BF35D0"/>
    <w:rsid w:val="00BF39C6"/>
    <w:rsid w:val="00BF442F"/>
    <w:rsid w:val="00BF48BF"/>
    <w:rsid w:val="00BF5980"/>
    <w:rsid w:val="00BF5C74"/>
    <w:rsid w:val="00BF62E4"/>
    <w:rsid w:val="00BF6C30"/>
    <w:rsid w:val="00BF6FC2"/>
    <w:rsid w:val="00C004B0"/>
    <w:rsid w:val="00C00F76"/>
    <w:rsid w:val="00C0237C"/>
    <w:rsid w:val="00C02E8C"/>
    <w:rsid w:val="00C02EA9"/>
    <w:rsid w:val="00C03742"/>
    <w:rsid w:val="00C04B0A"/>
    <w:rsid w:val="00C04D26"/>
    <w:rsid w:val="00C055A3"/>
    <w:rsid w:val="00C0631A"/>
    <w:rsid w:val="00C0678A"/>
    <w:rsid w:val="00C06E7B"/>
    <w:rsid w:val="00C10FDD"/>
    <w:rsid w:val="00C11027"/>
    <w:rsid w:val="00C117E5"/>
    <w:rsid w:val="00C11AFF"/>
    <w:rsid w:val="00C12B9B"/>
    <w:rsid w:val="00C131E7"/>
    <w:rsid w:val="00C13C30"/>
    <w:rsid w:val="00C13DC5"/>
    <w:rsid w:val="00C14585"/>
    <w:rsid w:val="00C1483E"/>
    <w:rsid w:val="00C14B25"/>
    <w:rsid w:val="00C15118"/>
    <w:rsid w:val="00C154F6"/>
    <w:rsid w:val="00C1568D"/>
    <w:rsid w:val="00C158AD"/>
    <w:rsid w:val="00C15A00"/>
    <w:rsid w:val="00C160F3"/>
    <w:rsid w:val="00C16547"/>
    <w:rsid w:val="00C167FB"/>
    <w:rsid w:val="00C16FF0"/>
    <w:rsid w:val="00C203DC"/>
    <w:rsid w:val="00C2043D"/>
    <w:rsid w:val="00C204D6"/>
    <w:rsid w:val="00C20527"/>
    <w:rsid w:val="00C207CB"/>
    <w:rsid w:val="00C21417"/>
    <w:rsid w:val="00C21C47"/>
    <w:rsid w:val="00C22124"/>
    <w:rsid w:val="00C22869"/>
    <w:rsid w:val="00C22AC7"/>
    <w:rsid w:val="00C22EEA"/>
    <w:rsid w:val="00C24268"/>
    <w:rsid w:val="00C244E1"/>
    <w:rsid w:val="00C24796"/>
    <w:rsid w:val="00C251B4"/>
    <w:rsid w:val="00C256F2"/>
    <w:rsid w:val="00C25EB2"/>
    <w:rsid w:val="00C2637E"/>
    <w:rsid w:val="00C27A73"/>
    <w:rsid w:val="00C27DA8"/>
    <w:rsid w:val="00C27F6A"/>
    <w:rsid w:val="00C30537"/>
    <w:rsid w:val="00C3218D"/>
    <w:rsid w:val="00C32271"/>
    <w:rsid w:val="00C326D9"/>
    <w:rsid w:val="00C33301"/>
    <w:rsid w:val="00C33A1E"/>
    <w:rsid w:val="00C33FF5"/>
    <w:rsid w:val="00C34E8B"/>
    <w:rsid w:val="00C36531"/>
    <w:rsid w:val="00C36866"/>
    <w:rsid w:val="00C375D4"/>
    <w:rsid w:val="00C40074"/>
    <w:rsid w:val="00C4070B"/>
    <w:rsid w:val="00C409BA"/>
    <w:rsid w:val="00C413BD"/>
    <w:rsid w:val="00C41596"/>
    <w:rsid w:val="00C4197C"/>
    <w:rsid w:val="00C41C24"/>
    <w:rsid w:val="00C424C1"/>
    <w:rsid w:val="00C440B2"/>
    <w:rsid w:val="00C445C7"/>
    <w:rsid w:val="00C448BF"/>
    <w:rsid w:val="00C45AA7"/>
    <w:rsid w:val="00C4631E"/>
    <w:rsid w:val="00C463AD"/>
    <w:rsid w:val="00C46C5C"/>
    <w:rsid w:val="00C46FFA"/>
    <w:rsid w:val="00C47D71"/>
    <w:rsid w:val="00C50D2A"/>
    <w:rsid w:val="00C5391C"/>
    <w:rsid w:val="00C53E01"/>
    <w:rsid w:val="00C5425B"/>
    <w:rsid w:val="00C54441"/>
    <w:rsid w:val="00C551DC"/>
    <w:rsid w:val="00C55D3E"/>
    <w:rsid w:val="00C56A33"/>
    <w:rsid w:val="00C56CAA"/>
    <w:rsid w:val="00C5738A"/>
    <w:rsid w:val="00C573D6"/>
    <w:rsid w:val="00C5773A"/>
    <w:rsid w:val="00C60304"/>
    <w:rsid w:val="00C60D60"/>
    <w:rsid w:val="00C61193"/>
    <w:rsid w:val="00C6120D"/>
    <w:rsid w:val="00C61835"/>
    <w:rsid w:val="00C62DD6"/>
    <w:rsid w:val="00C639D5"/>
    <w:rsid w:val="00C63E25"/>
    <w:rsid w:val="00C644FF"/>
    <w:rsid w:val="00C64FB5"/>
    <w:rsid w:val="00C658FF"/>
    <w:rsid w:val="00C66BA1"/>
    <w:rsid w:val="00C66FB1"/>
    <w:rsid w:val="00C67652"/>
    <w:rsid w:val="00C67C17"/>
    <w:rsid w:val="00C67E80"/>
    <w:rsid w:val="00C705AA"/>
    <w:rsid w:val="00C70B7B"/>
    <w:rsid w:val="00C71724"/>
    <w:rsid w:val="00C718A2"/>
    <w:rsid w:val="00C72A45"/>
    <w:rsid w:val="00C73713"/>
    <w:rsid w:val="00C73B45"/>
    <w:rsid w:val="00C75614"/>
    <w:rsid w:val="00C75DC7"/>
    <w:rsid w:val="00C765F1"/>
    <w:rsid w:val="00C76C6F"/>
    <w:rsid w:val="00C76DA1"/>
    <w:rsid w:val="00C7707D"/>
    <w:rsid w:val="00C776D8"/>
    <w:rsid w:val="00C77811"/>
    <w:rsid w:val="00C77F86"/>
    <w:rsid w:val="00C802D7"/>
    <w:rsid w:val="00C80590"/>
    <w:rsid w:val="00C80755"/>
    <w:rsid w:val="00C808FE"/>
    <w:rsid w:val="00C811BA"/>
    <w:rsid w:val="00C814FA"/>
    <w:rsid w:val="00C8157D"/>
    <w:rsid w:val="00C8179E"/>
    <w:rsid w:val="00C81B09"/>
    <w:rsid w:val="00C81D4B"/>
    <w:rsid w:val="00C81E50"/>
    <w:rsid w:val="00C82323"/>
    <w:rsid w:val="00C82800"/>
    <w:rsid w:val="00C82F2D"/>
    <w:rsid w:val="00C83633"/>
    <w:rsid w:val="00C83B0E"/>
    <w:rsid w:val="00C84B7C"/>
    <w:rsid w:val="00C876F9"/>
    <w:rsid w:val="00C87994"/>
    <w:rsid w:val="00C87E5B"/>
    <w:rsid w:val="00C90C7F"/>
    <w:rsid w:val="00C91439"/>
    <w:rsid w:val="00C920E7"/>
    <w:rsid w:val="00C92664"/>
    <w:rsid w:val="00C92B31"/>
    <w:rsid w:val="00C92DB2"/>
    <w:rsid w:val="00C938BA"/>
    <w:rsid w:val="00C93B68"/>
    <w:rsid w:val="00C94A1F"/>
    <w:rsid w:val="00C95AFE"/>
    <w:rsid w:val="00C95E80"/>
    <w:rsid w:val="00C96146"/>
    <w:rsid w:val="00C96175"/>
    <w:rsid w:val="00C96178"/>
    <w:rsid w:val="00C96766"/>
    <w:rsid w:val="00C96DAA"/>
    <w:rsid w:val="00C96EEA"/>
    <w:rsid w:val="00C9788C"/>
    <w:rsid w:val="00C97C7D"/>
    <w:rsid w:val="00CA0384"/>
    <w:rsid w:val="00CA1713"/>
    <w:rsid w:val="00CA2356"/>
    <w:rsid w:val="00CA243A"/>
    <w:rsid w:val="00CA29FB"/>
    <w:rsid w:val="00CA3681"/>
    <w:rsid w:val="00CA370B"/>
    <w:rsid w:val="00CA3750"/>
    <w:rsid w:val="00CA39DD"/>
    <w:rsid w:val="00CA3CC2"/>
    <w:rsid w:val="00CA6360"/>
    <w:rsid w:val="00CA6485"/>
    <w:rsid w:val="00CA739E"/>
    <w:rsid w:val="00CA7813"/>
    <w:rsid w:val="00CA7985"/>
    <w:rsid w:val="00CB08F1"/>
    <w:rsid w:val="00CB0A94"/>
    <w:rsid w:val="00CB12E8"/>
    <w:rsid w:val="00CB176D"/>
    <w:rsid w:val="00CB18E0"/>
    <w:rsid w:val="00CB21BF"/>
    <w:rsid w:val="00CB2A3C"/>
    <w:rsid w:val="00CB3471"/>
    <w:rsid w:val="00CB3C63"/>
    <w:rsid w:val="00CB41EC"/>
    <w:rsid w:val="00CB496D"/>
    <w:rsid w:val="00CB4AED"/>
    <w:rsid w:val="00CB4DAA"/>
    <w:rsid w:val="00CB511D"/>
    <w:rsid w:val="00CB55F8"/>
    <w:rsid w:val="00CB5D16"/>
    <w:rsid w:val="00CB6343"/>
    <w:rsid w:val="00CB6590"/>
    <w:rsid w:val="00CB69DB"/>
    <w:rsid w:val="00CB7A83"/>
    <w:rsid w:val="00CB7C2E"/>
    <w:rsid w:val="00CC0B1C"/>
    <w:rsid w:val="00CC0F31"/>
    <w:rsid w:val="00CC1A43"/>
    <w:rsid w:val="00CC1B12"/>
    <w:rsid w:val="00CC23FD"/>
    <w:rsid w:val="00CC2AE0"/>
    <w:rsid w:val="00CC3221"/>
    <w:rsid w:val="00CC327C"/>
    <w:rsid w:val="00CC34EC"/>
    <w:rsid w:val="00CC3653"/>
    <w:rsid w:val="00CC4983"/>
    <w:rsid w:val="00CC5D02"/>
    <w:rsid w:val="00CC5E9B"/>
    <w:rsid w:val="00CC67C2"/>
    <w:rsid w:val="00CC7DDD"/>
    <w:rsid w:val="00CC7F0E"/>
    <w:rsid w:val="00CD025A"/>
    <w:rsid w:val="00CD2E44"/>
    <w:rsid w:val="00CD2E55"/>
    <w:rsid w:val="00CD32BB"/>
    <w:rsid w:val="00CD35B9"/>
    <w:rsid w:val="00CD3C8C"/>
    <w:rsid w:val="00CD4C93"/>
    <w:rsid w:val="00CD582F"/>
    <w:rsid w:val="00CD5B62"/>
    <w:rsid w:val="00CD6301"/>
    <w:rsid w:val="00CD647B"/>
    <w:rsid w:val="00CD6D84"/>
    <w:rsid w:val="00CD717C"/>
    <w:rsid w:val="00CD72D7"/>
    <w:rsid w:val="00CD75B1"/>
    <w:rsid w:val="00CD77FF"/>
    <w:rsid w:val="00CE104E"/>
    <w:rsid w:val="00CE16C4"/>
    <w:rsid w:val="00CE1703"/>
    <w:rsid w:val="00CE1C15"/>
    <w:rsid w:val="00CE431A"/>
    <w:rsid w:val="00CE4555"/>
    <w:rsid w:val="00CE4598"/>
    <w:rsid w:val="00CE48FA"/>
    <w:rsid w:val="00CE4BD1"/>
    <w:rsid w:val="00CE583A"/>
    <w:rsid w:val="00CE591B"/>
    <w:rsid w:val="00CE592E"/>
    <w:rsid w:val="00CE5D53"/>
    <w:rsid w:val="00CE635D"/>
    <w:rsid w:val="00CE658B"/>
    <w:rsid w:val="00CE72A6"/>
    <w:rsid w:val="00CF2552"/>
    <w:rsid w:val="00CF2EE6"/>
    <w:rsid w:val="00CF2F30"/>
    <w:rsid w:val="00CF3534"/>
    <w:rsid w:val="00CF3EEB"/>
    <w:rsid w:val="00CF4217"/>
    <w:rsid w:val="00CF4277"/>
    <w:rsid w:val="00CF583C"/>
    <w:rsid w:val="00CF61E0"/>
    <w:rsid w:val="00CF6331"/>
    <w:rsid w:val="00CF6A1A"/>
    <w:rsid w:val="00CF78EE"/>
    <w:rsid w:val="00CF7905"/>
    <w:rsid w:val="00CF79C8"/>
    <w:rsid w:val="00D00113"/>
    <w:rsid w:val="00D00AC5"/>
    <w:rsid w:val="00D00CAC"/>
    <w:rsid w:val="00D00D0C"/>
    <w:rsid w:val="00D01711"/>
    <w:rsid w:val="00D01729"/>
    <w:rsid w:val="00D01984"/>
    <w:rsid w:val="00D01D18"/>
    <w:rsid w:val="00D0204E"/>
    <w:rsid w:val="00D032C0"/>
    <w:rsid w:val="00D03B08"/>
    <w:rsid w:val="00D04B2E"/>
    <w:rsid w:val="00D052AA"/>
    <w:rsid w:val="00D0589E"/>
    <w:rsid w:val="00D061DE"/>
    <w:rsid w:val="00D06C62"/>
    <w:rsid w:val="00D10573"/>
    <w:rsid w:val="00D106F1"/>
    <w:rsid w:val="00D117D7"/>
    <w:rsid w:val="00D1275F"/>
    <w:rsid w:val="00D12E24"/>
    <w:rsid w:val="00D1355C"/>
    <w:rsid w:val="00D13BE6"/>
    <w:rsid w:val="00D14128"/>
    <w:rsid w:val="00D14389"/>
    <w:rsid w:val="00D14587"/>
    <w:rsid w:val="00D14914"/>
    <w:rsid w:val="00D14CEB"/>
    <w:rsid w:val="00D150B3"/>
    <w:rsid w:val="00D154BE"/>
    <w:rsid w:val="00D161DE"/>
    <w:rsid w:val="00D16B25"/>
    <w:rsid w:val="00D16C46"/>
    <w:rsid w:val="00D17448"/>
    <w:rsid w:val="00D1765A"/>
    <w:rsid w:val="00D2050F"/>
    <w:rsid w:val="00D208E4"/>
    <w:rsid w:val="00D209CD"/>
    <w:rsid w:val="00D20EF7"/>
    <w:rsid w:val="00D224F2"/>
    <w:rsid w:val="00D22EA2"/>
    <w:rsid w:val="00D234D2"/>
    <w:rsid w:val="00D2389F"/>
    <w:rsid w:val="00D23BE3"/>
    <w:rsid w:val="00D24064"/>
    <w:rsid w:val="00D2429C"/>
    <w:rsid w:val="00D24F62"/>
    <w:rsid w:val="00D252A3"/>
    <w:rsid w:val="00D25F8C"/>
    <w:rsid w:val="00D26E6B"/>
    <w:rsid w:val="00D302ED"/>
    <w:rsid w:val="00D30815"/>
    <w:rsid w:val="00D31DF5"/>
    <w:rsid w:val="00D31EF8"/>
    <w:rsid w:val="00D31FFE"/>
    <w:rsid w:val="00D324C0"/>
    <w:rsid w:val="00D327D9"/>
    <w:rsid w:val="00D327EC"/>
    <w:rsid w:val="00D3291D"/>
    <w:rsid w:val="00D3306D"/>
    <w:rsid w:val="00D33978"/>
    <w:rsid w:val="00D34542"/>
    <w:rsid w:val="00D3461F"/>
    <w:rsid w:val="00D34938"/>
    <w:rsid w:val="00D34E06"/>
    <w:rsid w:val="00D3557F"/>
    <w:rsid w:val="00D35F88"/>
    <w:rsid w:val="00D36C8B"/>
    <w:rsid w:val="00D375F6"/>
    <w:rsid w:val="00D37BD6"/>
    <w:rsid w:val="00D4061D"/>
    <w:rsid w:val="00D40676"/>
    <w:rsid w:val="00D4069E"/>
    <w:rsid w:val="00D4093B"/>
    <w:rsid w:val="00D411D1"/>
    <w:rsid w:val="00D41507"/>
    <w:rsid w:val="00D424E5"/>
    <w:rsid w:val="00D42EEC"/>
    <w:rsid w:val="00D43B30"/>
    <w:rsid w:val="00D44740"/>
    <w:rsid w:val="00D44CF1"/>
    <w:rsid w:val="00D45024"/>
    <w:rsid w:val="00D45851"/>
    <w:rsid w:val="00D4604F"/>
    <w:rsid w:val="00D47C69"/>
    <w:rsid w:val="00D5047D"/>
    <w:rsid w:val="00D50F6A"/>
    <w:rsid w:val="00D530BC"/>
    <w:rsid w:val="00D5427B"/>
    <w:rsid w:val="00D547F0"/>
    <w:rsid w:val="00D5485B"/>
    <w:rsid w:val="00D54A20"/>
    <w:rsid w:val="00D54D13"/>
    <w:rsid w:val="00D55C87"/>
    <w:rsid w:val="00D55CE1"/>
    <w:rsid w:val="00D57586"/>
    <w:rsid w:val="00D5773D"/>
    <w:rsid w:val="00D604D0"/>
    <w:rsid w:val="00D6051A"/>
    <w:rsid w:val="00D610F0"/>
    <w:rsid w:val="00D61612"/>
    <w:rsid w:val="00D6190F"/>
    <w:rsid w:val="00D63324"/>
    <w:rsid w:val="00D6338D"/>
    <w:rsid w:val="00D63DE0"/>
    <w:rsid w:val="00D6424C"/>
    <w:rsid w:val="00D649C4"/>
    <w:rsid w:val="00D64A8B"/>
    <w:rsid w:val="00D652DC"/>
    <w:rsid w:val="00D6650F"/>
    <w:rsid w:val="00D6672E"/>
    <w:rsid w:val="00D7046C"/>
    <w:rsid w:val="00D708FD"/>
    <w:rsid w:val="00D72074"/>
    <w:rsid w:val="00D7380A"/>
    <w:rsid w:val="00D73E4E"/>
    <w:rsid w:val="00D74487"/>
    <w:rsid w:val="00D74747"/>
    <w:rsid w:val="00D74A4B"/>
    <w:rsid w:val="00D74B19"/>
    <w:rsid w:val="00D74D68"/>
    <w:rsid w:val="00D75212"/>
    <w:rsid w:val="00D75320"/>
    <w:rsid w:val="00D7540B"/>
    <w:rsid w:val="00D75BE4"/>
    <w:rsid w:val="00D75F9F"/>
    <w:rsid w:val="00D7654D"/>
    <w:rsid w:val="00D76764"/>
    <w:rsid w:val="00D77713"/>
    <w:rsid w:val="00D81A13"/>
    <w:rsid w:val="00D83996"/>
    <w:rsid w:val="00D83D07"/>
    <w:rsid w:val="00D841A1"/>
    <w:rsid w:val="00D84291"/>
    <w:rsid w:val="00D84B97"/>
    <w:rsid w:val="00D851A5"/>
    <w:rsid w:val="00D851CF"/>
    <w:rsid w:val="00D85683"/>
    <w:rsid w:val="00D869AC"/>
    <w:rsid w:val="00D8768A"/>
    <w:rsid w:val="00D87A3E"/>
    <w:rsid w:val="00D9039C"/>
    <w:rsid w:val="00D90C73"/>
    <w:rsid w:val="00D9136A"/>
    <w:rsid w:val="00D91D26"/>
    <w:rsid w:val="00D92836"/>
    <w:rsid w:val="00D930A8"/>
    <w:rsid w:val="00D94633"/>
    <w:rsid w:val="00D95CBC"/>
    <w:rsid w:val="00D9604C"/>
    <w:rsid w:val="00D96294"/>
    <w:rsid w:val="00D969E9"/>
    <w:rsid w:val="00DA04CC"/>
    <w:rsid w:val="00DA08F4"/>
    <w:rsid w:val="00DA0C61"/>
    <w:rsid w:val="00DA10BA"/>
    <w:rsid w:val="00DA26F6"/>
    <w:rsid w:val="00DA2C8A"/>
    <w:rsid w:val="00DA36F8"/>
    <w:rsid w:val="00DA3848"/>
    <w:rsid w:val="00DA49CA"/>
    <w:rsid w:val="00DA4B2D"/>
    <w:rsid w:val="00DA5F6B"/>
    <w:rsid w:val="00DA678D"/>
    <w:rsid w:val="00DA6E6B"/>
    <w:rsid w:val="00DB074B"/>
    <w:rsid w:val="00DB1736"/>
    <w:rsid w:val="00DB197A"/>
    <w:rsid w:val="00DB1D16"/>
    <w:rsid w:val="00DB2015"/>
    <w:rsid w:val="00DB20F7"/>
    <w:rsid w:val="00DB3DA1"/>
    <w:rsid w:val="00DB3F38"/>
    <w:rsid w:val="00DB4A10"/>
    <w:rsid w:val="00DB4DC1"/>
    <w:rsid w:val="00DB4F03"/>
    <w:rsid w:val="00DB53E9"/>
    <w:rsid w:val="00DB5435"/>
    <w:rsid w:val="00DB5477"/>
    <w:rsid w:val="00DB55F0"/>
    <w:rsid w:val="00DB6461"/>
    <w:rsid w:val="00DB6C64"/>
    <w:rsid w:val="00DB6E46"/>
    <w:rsid w:val="00DB7077"/>
    <w:rsid w:val="00DB75E3"/>
    <w:rsid w:val="00DB7B98"/>
    <w:rsid w:val="00DC0010"/>
    <w:rsid w:val="00DC04C0"/>
    <w:rsid w:val="00DC05AC"/>
    <w:rsid w:val="00DC1061"/>
    <w:rsid w:val="00DC11CA"/>
    <w:rsid w:val="00DC2AE7"/>
    <w:rsid w:val="00DC35A0"/>
    <w:rsid w:val="00DC36D0"/>
    <w:rsid w:val="00DC377C"/>
    <w:rsid w:val="00DC3C4C"/>
    <w:rsid w:val="00DC3D5E"/>
    <w:rsid w:val="00DC502E"/>
    <w:rsid w:val="00DC53B9"/>
    <w:rsid w:val="00DC546D"/>
    <w:rsid w:val="00DC58C2"/>
    <w:rsid w:val="00DC59B6"/>
    <w:rsid w:val="00DC5B05"/>
    <w:rsid w:val="00DC6E8C"/>
    <w:rsid w:val="00DC75E6"/>
    <w:rsid w:val="00DD0269"/>
    <w:rsid w:val="00DD1E22"/>
    <w:rsid w:val="00DD20EE"/>
    <w:rsid w:val="00DD2469"/>
    <w:rsid w:val="00DD31FF"/>
    <w:rsid w:val="00DD3260"/>
    <w:rsid w:val="00DD32BA"/>
    <w:rsid w:val="00DD3471"/>
    <w:rsid w:val="00DD34A6"/>
    <w:rsid w:val="00DD3C07"/>
    <w:rsid w:val="00DD411D"/>
    <w:rsid w:val="00DD48A5"/>
    <w:rsid w:val="00DD5BC3"/>
    <w:rsid w:val="00DD62E9"/>
    <w:rsid w:val="00DD6733"/>
    <w:rsid w:val="00DD6737"/>
    <w:rsid w:val="00DD7825"/>
    <w:rsid w:val="00DD7C23"/>
    <w:rsid w:val="00DD7D31"/>
    <w:rsid w:val="00DE02D4"/>
    <w:rsid w:val="00DE176B"/>
    <w:rsid w:val="00DE2581"/>
    <w:rsid w:val="00DE2B9F"/>
    <w:rsid w:val="00DE357C"/>
    <w:rsid w:val="00DE39E7"/>
    <w:rsid w:val="00DE4147"/>
    <w:rsid w:val="00DE4DE1"/>
    <w:rsid w:val="00DE4F31"/>
    <w:rsid w:val="00DE519D"/>
    <w:rsid w:val="00DE56D1"/>
    <w:rsid w:val="00DE5F4A"/>
    <w:rsid w:val="00DE62FD"/>
    <w:rsid w:val="00DE6A10"/>
    <w:rsid w:val="00DE6B3E"/>
    <w:rsid w:val="00DE7132"/>
    <w:rsid w:val="00DE756D"/>
    <w:rsid w:val="00DE79B1"/>
    <w:rsid w:val="00DF05C9"/>
    <w:rsid w:val="00DF12FD"/>
    <w:rsid w:val="00DF1BF5"/>
    <w:rsid w:val="00DF1E36"/>
    <w:rsid w:val="00DF2774"/>
    <w:rsid w:val="00DF2915"/>
    <w:rsid w:val="00DF2C4D"/>
    <w:rsid w:val="00DF3541"/>
    <w:rsid w:val="00DF3872"/>
    <w:rsid w:val="00DF3CFB"/>
    <w:rsid w:val="00DF3F84"/>
    <w:rsid w:val="00DF4366"/>
    <w:rsid w:val="00DF47B1"/>
    <w:rsid w:val="00DF511B"/>
    <w:rsid w:val="00DF5895"/>
    <w:rsid w:val="00DF5B0B"/>
    <w:rsid w:val="00DF5B60"/>
    <w:rsid w:val="00DF5CFE"/>
    <w:rsid w:val="00DF6206"/>
    <w:rsid w:val="00DF65EC"/>
    <w:rsid w:val="00DF6E4E"/>
    <w:rsid w:val="00DF7049"/>
    <w:rsid w:val="00DF74AD"/>
    <w:rsid w:val="00E001CE"/>
    <w:rsid w:val="00E00C66"/>
    <w:rsid w:val="00E018BB"/>
    <w:rsid w:val="00E0228E"/>
    <w:rsid w:val="00E02DB2"/>
    <w:rsid w:val="00E0495D"/>
    <w:rsid w:val="00E053C0"/>
    <w:rsid w:val="00E056F4"/>
    <w:rsid w:val="00E05E3E"/>
    <w:rsid w:val="00E064E3"/>
    <w:rsid w:val="00E0660B"/>
    <w:rsid w:val="00E0670B"/>
    <w:rsid w:val="00E071A3"/>
    <w:rsid w:val="00E07B11"/>
    <w:rsid w:val="00E10321"/>
    <w:rsid w:val="00E10CD9"/>
    <w:rsid w:val="00E10F5A"/>
    <w:rsid w:val="00E11EC2"/>
    <w:rsid w:val="00E11F2C"/>
    <w:rsid w:val="00E122D7"/>
    <w:rsid w:val="00E12C93"/>
    <w:rsid w:val="00E13A33"/>
    <w:rsid w:val="00E13F31"/>
    <w:rsid w:val="00E1448A"/>
    <w:rsid w:val="00E14D49"/>
    <w:rsid w:val="00E15328"/>
    <w:rsid w:val="00E154F5"/>
    <w:rsid w:val="00E15E97"/>
    <w:rsid w:val="00E16C64"/>
    <w:rsid w:val="00E16CB0"/>
    <w:rsid w:val="00E16EBA"/>
    <w:rsid w:val="00E2044C"/>
    <w:rsid w:val="00E20A36"/>
    <w:rsid w:val="00E20BD7"/>
    <w:rsid w:val="00E215A4"/>
    <w:rsid w:val="00E21970"/>
    <w:rsid w:val="00E22311"/>
    <w:rsid w:val="00E227A5"/>
    <w:rsid w:val="00E229E7"/>
    <w:rsid w:val="00E23A82"/>
    <w:rsid w:val="00E23AB2"/>
    <w:rsid w:val="00E23F7C"/>
    <w:rsid w:val="00E24439"/>
    <w:rsid w:val="00E24B69"/>
    <w:rsid w:val="00E258B0"/>
    <w:rsid w:val="00E267A5"/>
    <w:rsid w:val="00E267A7"/>
    <w:rsid w:val="00E26BBF"/>
    <w:rsid w:val="00E27FEA"/>
    <w:rsid w:val="00E30295"/>
    <w:rsid w:val="00E30793"/>
    <w:rsid w:val="00E30E5E"/>
    <w:rsid w:val="00E314BA"/>
    <w:rsid w:val="00E3162F"/>
    <w:rsid w:val="00E31EC2"/>
    <w:rsid w:val="00E320D4"/>
    <w:rsid w:val="00E3345E"/>
    <w:rsid w:val="00E33979"/>
    <w:rsid w:val="00E339F5"/>
    <w:rsid w:val="00E33A20"/>
    <w:rsid w:val="00E33BB4"/>
    <w:rsid w:val="00E34567"/>
    <w:rsid w:val="00E36237"/>
    <w:rsid w:val="00E37E6D"/>
    <w:rsid w:val="00E409C1"/>
    <w:rsid w:val="00E415F9"/>
    <w:rsid w:val="00E41E07"/>
    <w:rsid w:val="00E41FF9"/>
    <w:rsid w:val="00E4209B"/>
    <w:rsid w:val="00E42654"/>
    <w:rsid w:val="00E4281D"/>
    <w:rsid w:val="00E43128"/>
    <w:rsid w:val="00E434CC"/>
    <w:rsid w:val="00E438E3"/>
    <w:rsid w:val="00E43A21"/>
    <w:rsid w:val="00E44305"/>
    <w:rsid w:val="00E44A6E"/>
    <w:rsid w:val="00E44E9A"/>
    <w:rsid w:val="00E450CC"/>
    <w:rsid w:val="00E451FD"/>
    <w:rsid w:val="00E45211"/>
    <w:rsid w:val="00E45C85"/>
    <w:rsid w:val="00E45FAE"/>
    <w:rsid w:val="00E46816"/>
    <w:rsid w:val="00E46B0A"/>
    <w:rsid w:val="00E46EAC"/>
    <w:rsid w:val="00E47098"/>
    <w:rsid w:val="00E4767A"/>
    <w:rsid w:val="00E477EB"/>
    <w:rsid w:val="00E50498"/>
    <w:rsid w:val="00E51CB4"/>
    <w:rsid w:val="00E522CC"/>
    <w:rsid w:val="00E52F90"/>
    <w:rsid w:val="00E53F0F"/>
    <w:rsid w:val="00E5495F"/>
    <w:rsid w:val="00E54F0B"/>
    <w:rsid w:val="00E55119"/>
    <w:rsid w:val="00E551CC"/>
    <w:rsid w:val="00E55BE9"/>
    <w:rsid w:val="00E5623C"/>
    <w:rsid w:val="00E56771"/>
    <w:rsid w:val="00E56DC2"/>
    <w:rsid w:val="00E56E69"/>
    <w:rsid w:val="00E57C04"/>
    <w:rsid w:val="00E612A6"/>
    <w:rsid w:val="00E615E0"/>
    <w:rsid w:val="00E6248A"/>
    <w:rsid w:val="00E62493"/>
    <w:rsid w:val="00E62616"/>
    <w:rsid w:val="00E629F9"/>
    <w:rsid w:val="00E62A49"/>
    <w:rsid w:val="00E62A82"/>
    <w:rsid w:val="00E6302C"/>
    <w:rsid w:val="00E63868"/>
    <w:rsid w:val="00E63E04"/>
    <w:rsid w:val="00E64AC2"/>
    <w:rsid w:val="00E65ACA"/>
    <w:rsid w:val="00E65F77"/>
    <w:rsid w:val="00E663F9"/>
    <w:rsid w:val="00E665B9"/>
    <w:rsid w:val="00E677B2"/>
    <w:rsid w:val="00E7039E"/>
    <w:rsid w:val="00E703DB"/>
    <w:rsid w:val="00E704DD"/>
    <w:rsid w:val="00E7088E"/>
    <w:rsid w:val="00E709AB"/>
    <w:rsid w:val="00E70C6A"/>
    <w:rsid w:val="00E71168"/>
    <w:rsid w:val="00E71D37"/>
    <w:rsid w:val="00E72B09"/>
    <w:rsid w:val="00E72B99"/>
    <w:rsid w:val="00E743F7"/>
    <w:rsid w:val="00E7482F"/>
    <w:rsid w:val="00E7487F"/>
    <w:rsid w:val="00E751FD"/>
    <w:rsid w:val="00E7674F"/>
    <w:rsid w:val="00E7685E"/>
    <w:rsid w:val="00E76F04"/>
    <w:rsid w:val="00E76F2C"/>
    <w:rsid w:val="00E773C8"/>
    <w:rsid w:val="00E77751"/>
    <w:rsid w:val="00E77AE1"/>
    <w:rsid w:val="00E806A2"/>
    <w:rsid w:val="00E80DF2"/>
    <w:rsid w:val="00E80FC4"/>
    <w:rsid w:val="00E81F36"/>
    <w:rsid w:val="00E828F7"/>
    <w:rsid w:val="00E834C7"/>
    <w:rsid w:val="00E83544"/>
    <w:rsid w:val="00E83F67"/>
    <w:rsid w:val="00E845E7"/>
    <w:rsid w:val="00E8597B"/>
    <w:rsid w:val="00E86717"/>
    <w:rsid w:val="00E87366"/>
    <w:rsid w:val="00E904D6"/>
    <w:rsid w:val="00E90EF6"/>
    <w:rsid w:val="00E92B0A"/>
    <w:rsid w:val="00E92DB3"/>
    <w:rsid w:val="00E93285"/>
    <w:rsid w:val="00E93988"/>
    <w:rsid w:val="00E944F2"/>
    <w:rsid w:val="00E9481C"/>
    <w:rsid w:val="00E94A55"/>
    <w:rsid w:val="00E94BC4"/>
    <w:rsid w:val="00E95357"/>
    <w:rsid w:val="00E95700"/>
    <w:rsid w:val="00E96B56"/>
    <w:rsid w:val="00E972CF"/>
    <w:rsid w:val="00E9778B"/>
    <w:rsid w:val="00E97E72"/>
    <w:rsid w:val="00EA0077"/>
    <w:rsid w:val="00EA0544"/>
    <w:rsid w:val="00EA07F5"/>
    <w:rsid w:val="00EA0922"/>
    <w:rsid w:val="00EA0C50"/>
    <w:rsid w:val="00EA11B7"/>
    <w:rsid w:val="00EA183D"/>
    <w:rsid w:val="00EA1AD4"/>
    <w:rsid w:val="00EA1DE7"/>
    <w:rsid w:val="00EA21C5"/>
    <w:rsid w:val="00EA2B0B"/>
    <w:rsid w:val="00EA352C"/>
    <w:rsid w:val="00EA394B"/>
    <w:rsid w:val="00EA3B78"/>
    <w:rsid w:val="00EA4455"/>
    <w:rsid w:val="00EA46C6"/>
    <w:rsid w:val="00EA4933"/>
    <w:rsid w:val="00EA4A10"/>
    <w:rsid w:val="00EA4E79"/>
    <w:rsid w:val="00EA4FC0"/>
    <w:rsid w:val="00EA5767"/>
    <w:rsid w:val="00EA57E1"/>
    <w:rsid w:val="00EA6EED"/>
    <w:rsid w:val="00EA7C35"/>
    <w:rsid w:val="00EB0456"/>
    <w:rsid w:val="00EB0659"/>
    <w:rsid w:val="00EB0A10"/>
    <w:rsid w:val="00EB0B29"/>
    <w:rsid w:val="00EB1A80"/>
    <w:rsid w:val="00EB2269"/>
    <w:rsid w:val="00EB2415"/>
    <w:rsid w:val="00EB2BB5"/>
    <w:rsid w:val="00EB2D25"/>
    <w:rsid w:val="00EB34B5"/>
    <w:rsid w:val="00EB3DC7"/>
    <w:rsid w:val="00EB46BD"/>
    <w:rsid w:val="00EB5151"/>
    <w:rsid w:val="00EB5800"/>
    <w:rsid w:val="00EB582C"/>
    <w:rsid w:val="00EB5FEB"/>
    <w:rsid w:val="00EB665B"/>
    <w:rsid w:val="00EB6777"/>
    <w:rsid w:val="00EB6AA7"/>
    <w:rsid w:val="00EB6D44"/>
    <w:rsid w:val="00EB72CA"/>
    <w:rsid w:val="00EB7326"/>
    <w:rsid w:val="00EB7A73"/>
    <w:rsid w:val="00EB7BE5"/>
    <w:rsid w:val="00EB7FC3"/>
    <w:rsid w:val="00EC0568"/>
    <w:rsid w:val="00EC0AAD"/>
    <w:rsid w:val="00EC0F9F"/>
    <w:rsid w:val="00EC1FD5"/>
    <w:rsid w:val="00EC38F7"/>
    <w:rsid w:val="00EC4724"/>
    <w:rsid w:val="00EC481D"/>
    <w:rsid w:val="00EC5305"/>
    <w:rsid w:val="00EC53B7"/>
    <w:rsid w:val="00EC5E53"/>
    <w:rsid w:val="00EC610D"/>
    <w:rsid w:val="00EC67CF"/>
    <w:rsid w:val="00EC73AF"/>
    <w:rsid w:val="00EC7BEF"/>
    <w:rsid w:val="00ED0999"/>
    <w:rsid w:val="00ED120F"/>
    <w:rsid w:val="00ED20EE"/>
    <w:rsid w:val="00ED25EE"/>
    <w:rsid w:val="00ED28F2"/>
    <w:rsid w:val="00ED30FE"/>
    <w:rsid w:val="00ED4661"/>
    <w:rsid w:val="00ED4BEB"/>
    <w:rsid w:val="00ED528F"/>
    <w:rsid w:val="00ED5EE0"/>
    <w:rsid w:val="00ED6A58"/>
    <w:rsid w:val="00ED7483"/>
    <w:rsid w:val="00ED7595"/>
    <w:rsid w:val="00EE0A8D"/>
    <w:rsid w:val="00EE18AA"/>
    <w:rsid w:val="00EE3070"/>
    <w:rsid w:val="00EE371E"/>
    <w:rsid w:val="00EE5544"/>
    <w:rsid w:val="00EE5CCA"/>
    <w:rsid w:val="00EE6496"/>
    <w:rsid w:val="00EE679B"/>
    <w:rsid w:val="00EE6888"/>
    <w:rsid w:val="00EE68B2"/>
    <w:rsid w:val="00EE6DCD"/>
    <w:rsid w:val="00EE7B65"/>
    <w:rsid w:val="00EE7F94"/>
    <w:rsid w:val="00EF07D2"/>
    <w:rsid w:val="00EF126F"/>
    <w:rsid w:val="00EF15F0"/>
    <w:rsid w:val="00EF1E55"/>
    <w:rsid w:val="00EF213C"/>
    <w:rsid w:val="00EF2E4B"/>
    <w:rsid w:val="00EF41D2"/>
    <w:rsid w:val="00EF4F28"/>
    <w:rsid w:val="00EF52D5"/>
    <w:rsid w:val="00EF570B"/>
    <w:rsid w:val="00EF6BBE"/>
    <w:rsid w:val="00EF7162"/>
    <w:rsid w:val="00EF71F2"/>
    <w:rsid w:val="00EF7247"/>
    <w:rsid w:val="00EF7BD3"/>
    <w:rsid w:val="00F00CE4"/>
    <w:rsid w:val="00F011E4"/>
    <w:rsid w:val="00F01534"/>
    <w:rsid w:val="00F02505"/>
    <w:rsid w:val="00F02A7F"/>
    <w:rsid w:val="00F02E74"/>
    <w:rsid w:val="00F03290"/>
    <w:rsid w:val="00F040DE"/>
    <w:rsid w:val="00F04A2B"/>
    <w:rsid w:val="00F065A4"/>
    <w:rsid w:val="00F06D0E"/>
    <w:rsid w:val="00F1061D"/>
    <w:rsid w:val="00F114C3"/>
    <w:rsid w:val="00F121CD"/>
    <w:rsid w:val="00F12403"/>
    <w:rsid w:val="00F12D26"/>
    <w:rsid w:val="00F13600"/>
    <w:rsid w:val="00F1372F"/>
    <w:rsid w:val="00F142D5"/>
    <w:rsid w:val="00F1439E"/>
    <w:rsid w:val="00F147AF"/>
    <w:rsid w:val="00F14D9B"/>
    <w:rsid w:val="00F153EE"/>
    <w:rsid w:val="00F157D6"/>
    <w:rsid w:val="00F15858"/>
    <w:rsid w:val="00F15D8C"/>
    <w:rsid w:val="00F15DF5"/>
    <w:rsid w:val="00F162EB"/>
    <w:rsid w:val="00F1633D"/>
    <w:rsid w:val="00F16CD1"/>
    <w:rsid w:val="00F174F2"/>
    <w:rsid w:val="00F2064F"/>
    <w:rsid w:val="00F211B8"/>
    <w:rsid w:val="00F21B78"/>
    <w:rsid w:val="00F21D86"/>
    <w:rsid w:val="00F238C2"/>
    <w:rsid w:val="00F239A8"/>
    <w:rsid w:val="00F23F44"/>
    <w:rsid w:val="00F24546"/>
    <w:rsid w:val="00F24D17"/>
    <w:rsid w:val="00F24D67"/>
    <w:rsid w:val="00F2559A"/>
    <w:rsid w:val="00F26248"/>
    <w:rsid w:val="00F2691F"/>
    <w:rsid w:val="00F27D64"/>
    <w:rsid w:val="00F314AE"/>
    <w:rsid w:val="00F31905"/>
    <w:rsid w:val="00F3192B"/>
    <w:rsid w:val="00F31CFB"/>
    <w:rsid w:val="00F32E3D"/>
    <w:rsid w:val="00F333C5"/>
    <w:rsid w:val="00F340C4"/>
    <w:rsid w:val="00F35283"/>
    <w:rsid w:val="00F3571E"/>
    <w:rsid w:val="00F35D67"/>
    <w:rsid w:val="00F35DBC"/>
    <w:rsid w:val="00F3633F"/>
    <w:rsid w:val="00F36557"/>
    <w:rsid w:val="00F37604"/>
    <w:rsid w:val="00F37673"/>
    <w:rsid w:val="00F37F3B"/>
    <w:rsid w:val="00F40823"/>
    <w:rsid w:val="00F41717"/>
    <w:rsid w:val="00F428CD"/>
    <w:rsid w:val="00F42FB0"/>
    <w:rsid w:val="00F439DD"/>
    <w:rsid w:val="00F43D52"/>
    <w:rsid w:val="00F43FA8"/>
    <w:rsid w:val="00F443A8"/>
    <w:rsid w:val="00F45860"/>
    <w:rsid w:val="00F4602B"/>
    <w:rsid w:val="00F460E0"/>
    <w:rsid w:val="00F467CC"/>
    <w:rsid w:val="00F46D2E"/>
    <w:rsid w:val="00F46E83"/>
    <w:rsid w:val="00F471CA"/>
    <w:rsid w:val="00F476CB"/>
    <w:rsid w:val="00F501F9"/>
    <w:rsid w:val="00F51243"/>
    <w:rsid w:val="00F51740"/>
    <w:rsid w:val="00F519C8"/>
    <w:rsid w:val="00F51A2D"/>
    <w:rsid w:val="00F51F6D"/>
    <w:rsid w:val="00F527D6"/>
    <w:rsid w:val="00F533E3"/>
    <w:rsid w:val="00F538ED"/>
    <w:rsid w:val="00F54284"/>
    <w:rsid w:val="00F544B2"/>
    <w:rsid w:val="00F54EED"/>
    <w:rsid w:val="00F5520A"/>
    <w:rsid w:val="00F55644"/>
    <w:rsid w:val="00F556B4"/>
    <w:rsid w:val="00F559D7"/>
    <w:rsid w:val="00F55AE2"/>
    <w:rsid w:val="00F566D2"/>
    <w:rsid w:val="00F568C2"/>
    <w:rsid w:val="00F57B67"/>
    <w:rsid w:val="00F612DB"/>
    <w:rsid w:val="00F61856"/>
    <w:rsid w:val="00F619DB"/>
    <w:rsid w:val="00F6229F"/>
    <w:rsid w:val="00F622F1"/>
    <w:rsid w:val="00F6583E"/>
    <w:rsid w:val="00F669EE"/>
    <w:rsid w:val="00F6765C"/>
    <w:rsid w:val="00F67EA3"/>
    <w:rsid w:val="00F70027"/>
    <w:rsid w:val="00F70D06"/>
    <w:rsid w:val="00F7112B"/>
    <w:rsid w:val="00F717EF"/>
    <w:rsid w:val="00F72846"/>
    <w:rsid w:val="00F72CC2"/>
    <w:rsid w:val="00F72DF3"/>
    <w:rsid w:val="00F73AD7"/>
    <w:rsid w:val="00F757D2"/>
    <w:rsid w:val="00F75D9F"/>
    <w:rsid w:val="00F7636E"/>
    <w:rsid w:val="00F76872"/>
    <w:rsid w:val="00F77292"/>
    <w:rsid w:val="00F77A29"/>
    <w:rsid w:val="00F80993"/>
    <w:rsid w:val="00F80CE7"/>
    <w:rsid w:val="00F812BB"/>
    <w:rsid w:val="00F813AF"/>
    <w:rsid w:val="00F81C7F"/>
    <w:rsid w:val="00F8219F"/>
    <w:rsid w:val="00F82301"/>
    <w:rsid w:val="00F82B15"/>
    <w:rsid w:val="00F832A2"/>
    <w:rsid w:val="00F83D5A"/>
    <w:rsid w:val="00F84367"/>
    <w:rsid w:val="00F84378"/>
    <w:rsid w:val="00F84EB1"/>
    <w:rsid w:val="00F84F1C"/>
    <w:rsid w:val="00F85655"/>
    <w:rsid w:val="00F85BD6"/>
    <w:rsid w:val="00F85C87"/>
    <w:rsid w:val="00F85F4A"/>
    <w:rsid w:val="00F873F0"/>
    <w:rsid w:val="00F87D23"/>
    <w:rsid w:val="00F9033E"/>
    <w:rsid w:val="00F90F3F"/>
    <w:rsid w:val="00F92ABD"/>
    <w:rsid w:val="00F93682"/>
    <w:rsid w:val="00F9380E"/>
    <w:rsid w:val="00F9567E"/>
    <w:rsid w:val="00F95754"/>
    <w:rsid w:val="00F96D61"/>
    <w:rsid w:val="00F96E44"/>
    <w:rsid w:val="00FA03F5"/>
    <w:rsid w:val="00FA045D"/>
    <w:rsid w:val="00FA0A4E"/>
    <w:rsid w:val="00FA0CBF"/>
    <w:rsid w:val="00FA1489"/>
    <w:rsid w:val="00FA2CC4"/>
    <w:rsid w:val="00FA2FDD"/>
    <w:rsid w:val="00FA358D"/>
    <w:rsid w:val="00FA401B"/>
    <w:rsid w:val="00FA47A3"/>
    <w:rsid w:val="00FA47BF"/>
    <w:rsid w:val="00FA6608"/>
    <w:rsid w:val="00FA6637"/>
    <w:rsid w:val="00FA6F2E"/>
    <w:rsid w:val="00FA7806"/>
    <w:rsid w:val="00FA7CC5"/>
    <w:rsid w:val="00FB0BF6"/>
    <w:rsid w:val="00FB0D93"/>
    <w:rsid w:val="00FB124F"/>
    <w:rsid w:val="00FB13AB"/>
    <w:rsid w:val="00FB14D6"/>
    <w:rsid w:val="00FB14D9"/>
    <w:rsid w:val="00FB15F2"/>
    <w:rsid w:val="00FB2343"/>
    <w:rsid w:val="00FB23A9"/>
    <w:rsid w:val="00FB31B9"/>
    <w:rsid w:val="00FB531C"/>
    <w:rsid w:val="00FB5962"/>
    <w:rsid w:val="00FB6E93"/>
    <w:rsid w:val="00FB7B35"/>
    <w:rsid w:val="00FB7CFC"/>
    <w:rsid w:val="00FC01B6"/>
    <w:rsid w:val="00FC0908"/>
    <w:rsid w:val="00FC1040"/>
    <w:rsid w:val="00FC162E"/>
    <w:rsid w:val="00FC2078"/>
    <w:rsid w:val="00FC21B6"/>
    <w:rsid w:val="00FC2D0A"/>
    <w:rsid w:val="00FC3460"/>
    <w:rsid w:val="00FC3A6F"/>
    <w:rsid w:val="00FC45DC"/>
    <w:rsid w:val="00FC48FD"/>
    <w:rsid w:val="00FC5A41"/>
    <w:rsid w:val="00FC5AA5"/>
    <w:rsid w:val="00FC5CAC"/>
    <w:rsid w:val="00FC661D"/>
    <w:rsid w:val="00FC6F74"/>
    <w:rsid w:val="00FC742C"/>
    <w:rsid w:val="00FC7759"/>
    <w:rsid w:val="00FC777E"/>
    <w:rsid w:val="00FD0683"/>
    <w:rsid w:val="00FD0A33"/>
    <w:rsid w:val="00FD0C08"/>
    <w:rsid w:val="00FD0E5F"/>
    <w:rsid w:val="00FD116A"/>
    <w:rsid w:val="00FD14B2"/>
    <w:rsid w:val="00FD1511"/>
    <w:rsid w:val="00FD153A"/>
    <w:rsid w:val="00FD3135"/>
    <w:rsid w:val="00FD328E"/>
    <w:rsid w:val="00FD34BF"/>
    <w:rsid w:val="00FD391B"/>
    <w:rsid w:val="00FD3D81"/>
    <w:rsid w:val="00FD421B"/>
    <w:rsid w:val="00FD45B4"/>
    <w:rsid w:val="00FD4FD3"/>
    <w:rsid w:val="00FD5EDC"/>
    <w:rsid w:val="00FD6033"/>
    <w:rsid w:val="00FD60D4"/>
    <w:rsid w:val="00FD7F12"/>
    <w:rsid w:val="00FD7F72"/>
    <w:rsid w:val="00FE11D6"/>
    <w:rsid w:val="00FE1328"/>
    <w:rsid w:val="00FE16AD"/>
    <w:rsid w:val="00FE17ED"/>
    <w:rsid w:val="00FE1B32"/>
    <w:rsid w:val="00FE1C43"/>
    <w:rsid w:val="00FE2B0D"/>
    <w:rsid w:val="00FE381A"/>
    <w:rsid w:val="00FE3E0E"/>
    <w:rsid w:val="00FE424E"/>
    <w:rsid w:val="00FE4253"/>
    <w:rsid w:val="00FE4B71"/>
    <w:rsid w:val="00FE5FAD"/>
    <w:rsid w:val="00FE6147"/>
    <w:rsid w:val="00FE6AAF"/>
    <w:rsid w:val="00FF0907"/>
    <w:rsid w:val="00FF10CA"/>
    <w:rsid w:val="00FF1BFF"/>
    <w:rsid w:val="00FF2259"/>
    <w:rsid w:val="00FF2ED0"/>
    <w:rsid w:val="00FF37E4"/>
    <w:rsid w:val="00FF3AF8"/>
    <w:rsid w:val="00FF4EAE"/>
    <w:rsid w:val="00FF558D"/>
    <w:rsid w:val="00FF5D1F"/>
    <w:rsid w:val="00FF60F3"/>
    <w:rsid w:val="00FF636A"/>
    <w:rsid w:val="00FF6EA0"/>
    <w:rsid w:val="00FF733F"/>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32D2C"/>
  <w15:docId w15:val="{97871BC2-DFA5-4A8B-AB3E-C0CEEA36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FE3E0E"/>
    <w:pPr>
      <w:keepNext/>
      <w:keepLines/>
      <w:numPr>
        <w:numId w:val="36"/>
      </w:numPr>
      <w:jc w:val="center"/>
      <w:outlineLvl w:val="0"/>
    </w:pPr>
    <w:rPr>
      <w:b/>
      <w:sz w:val="26"/>
      <w:szCs w:val="26"/>
    </w:rPr>
  </w:style>
  <w:style w:type="paragraph" w:styleId="Heading2">
    <w:name w:val="heading 2"/>
    <w:basedOn w:val="Normal"/>
    <w:next w:val="Normal"/>
    <w:qFormat/>
    <w:rsid w:val="00710F96"/>
    <w:pPr>
      <w:keepNext/>
      <w:keepLines/>
      <w:numPr>
        <w:numId w:val="39"/>
      </w:numPr>
      <w:outlineLvl w:val="1"/>
    </w:pPr>
    <w:rPr>
      <w:b/>
      <w:sz w:val="26"/>
      <w:szCs w:val="26"/>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aliases w:val="fn,ALTS FOOTNOTE,Footnote Text 2,FOOTNOTE,fn Char Char,fn Char,Footnote Text Char1,Footnote Text Char Char,Footnote Text Char1 Char Char,Footnote Text Char Char Char Char,Footnote Text Char1 Char Char Char Char,Car"/>
    <w:basedOn w:val="Normal"/>
    <w:link w:val="FootnoteTextChar"/>
    <w:qFormat/>
    <w:rsid w:val="00921AF7"/>
    <w:rPr>
      <w:sz w:val="20"/>
      <w:szCs w:val="20"/>
    </w:rPr>
  </w:style>
  <w:style w:type="character" w:styleId="FootnoteReference">
    <w:name w:val="footnote reference"/>
    <w:aliases w:val="o,fr,Style 6,Style 20,Appel note de bas de p,Style 8,Style 7,Style 3,Style 17,Style 19,Style 12,(NECG) Footnote Reference,Style 124,Style 13,FR,Footnote Reference/"/>
    <w:basedOn w:val="DefaultParagraphFont"/>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uiPriority w:val="20"/>
    <w:qFormat/>
    <w:rsid w:val="00E434CC"/>
    <w:rPr>
      <w:i/>
      <w:iCs/>
    </w:rPr>
  </w:style>
  <w:style w:type="character" w:customStyle="1" w:styleId="FootnoteTextChar">
    <w:name w:val="Footnote Text Char"/>
    <w:aliases w:val="fn Char1,ALTS FOOTNOTE Char,Footnote Text 2 Char,FOOTNOTE Char,fn Char Char Char,fn Char Char1,Footnote Text Char1 Char,Footnote Text Char Char Char,Footnote Text Char1 Char Char Char,Footnote Text Char Char Char Char Char,Car Char"/>
    <w:basedOn w:val="DefaultParagraphFont"/>
    <w:link w:val="FootnoteText"/>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32302A"/>
    <w:pPr>
      <w:tabs>
        <w:tab w:val="left" w:pos="1440"/>
      </w:tabs>
    </w:pPr>
    <w:rPr>
      <w:sz w:val="24"/>
    </w:rPr>
  </w:style>
  <w:style w:type="character" w:styleId="Strong">
    <w:name w:val="Strong"/>
    <w:basedOn w:val="DefaultParagraphFont"/>
    <w:uiPriority w:val="22"/>
    <w:qFormat/>
    <w:rsid w:val="001F42FE"/>
    <w:rPr>
      <w:b/>
      <w:bCs/>
    </w:rPr>
  </w:style>
  <w:style w:type="character" w:styleId="Hyperlink">
    <w:name w:val="Hyperlink"/>
    <w:basedOn w:val="DefaultParagraphFont"/>
    <w:unhideWhenUsed/>
    <w:rsid w:val="004C1498"/>
    <w:rPr>
      <w:color w:val="0000FF" w:themeColor="hyperlink"/>
      <w:u w:val="single"/>
    </w:rPr>
  </w:style>
  <w:style w:type="character" w:customStyle="1" w:styleId="UnresolvedMention1">
    <w:name w:val="Unresolved Mention1"/>
    <w:basedOn w:val="DefaultParagraphFont"/>
    <w:uiPriority w:val="99"/>
    <w:semiHidden/>
    <w:unhideWhenUsed/>
    <w:rsid w:val="004914F8"/>
    <w:rPr>
      <w:color w:val="605E5C"/>
      <w:shd w:val="clear" w:color="auto" w:fill="E1DFDD"/>
    </w:rPr>
  </w:style>
  <w:style w:type="character" w:customStyle="1" w:styleId="cosearchterm">
    <w:name w:val="co_searchterm"/>
    <w:basedOn w:val="DefaultParagraphFont"/>
    <w:rsid w:val="006426DD"/>
  </w:style>
  <w:style w:type="paragraph" w:customStyle="1" w:styleId="CustomStyle1">
    <w:name w:val="Custom Style 1"/>
    <w:basedOn w:val="Normal"/>
    <w:link w:val="CustomStyle1Char"/>
    <w:qFormat/>
    <w:rsid w:val="006D52E6"/>
    <w:pPr>
      <w:numPr>
        <w:numId w:val="42"/>
      </w:numPr>
      <w:jc w:val="center"/>
      <w:outlineLvl w:val="0"/>
    </w:pPr>
    <w:rPr>
      <w:rFonts w:eastAsiaTheme="minorHAnsi" w:cstheme="minorBidi"/>
      <w:sz w:val="26"/>
      <w:szCs w:val="22"/>
    </w:rPr>
  </w:style>
  <w:style w:type="character" w:customStyle="1" w:styleId="CustomStyle1Char">
    <w:name w:val="Custom Style 1 Char"/>
    <w:basedOn w:val="DefaultParagraphFont"/>
    <w:link w:val="CustomStyle1"/>
    <w:rsid w:val="006D52E6"/>
    <w:rPr>
      <w:rFonts w:eastAsiaTheme="minorHAnsi" w:cstheme="minorBidi"/>
      <w:sz w:val="26"/>
      <w:szCs w:val="22"/>
    </w:rPr>
  </w:style>
  <w:style w:type="paragraph" w:customStyle="1" w:styleId="footnotedescription">
    <w:name w:val="footnote description"/>
    <w:next w:val="Normal"/>
    <w:link w:val="footnotedescriptionChar"/>
    <w:hidden/>
    <w:rsid w:val="004C1A81"/>
    <w:pPr>
      <w:spacing w:line="259" w:lineRule="auto"/>
    </w:pPr>
    <w:rPr>
      <w:color w:val="000000"/>
      <w:sz w:val="22"/>
      <w:szCs w:val="22"/>
    </w:rPr>
  </w:style>
  <w:style w:type="character" w:customStyle="1" w:styleId="footnotedescriptionChar">
    <w:name w:val="footnote description Char"/>
    <w:link w:val="footnotedescription"/>
    <w:rsid w:val="004C1A81"/>
    <w:rPr>
      <w:color w:val="000000"/>
      <w:sz w:val="22"/>
      <w:szCs w:val="22"/>
    </w:rPr>
  </w:style>
  <w:style w:type="character" w:customStyle="1" w:styleId="footnotemark">
    <w:name w:val="footnote mark"/>
    <w:hidden/>
    <w:rsid w:val="004C1A81"/>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BE5D9-3509-47B7-912B-9A6D34AFDF3F}">
  <ds:schemaRefs>
    <ds:schemaRef ds:uri="http://schemas.openxmlformats.org/officeDocument/2006/bibliography"/>
  </ds:schemaRefs>
</ds:datastoreItem>
</file>

<file path=customXml/itemProps2.xml><?xml version="1.0" encoding="utf-8"?>
<ds:datastoreItem xmlns:ds="http://schemas.openxmlformats.org/officeDocument/2006/customXml" ds:itemID="{D3603E7D-559F-4CDE-9C0C-0EBF15777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FC279-BA5C-4148-8F46-FD5F15CE0F0D}">
  <ds:schemaRefs>
    <ds:schemaRef ds:uri="http://schemas.microsoft.com/sharepoint/v3/contenttype/forms"/>
  </ds:schemaRefs>
</ds:datastoreItem>
</file>

<file path=customXml/itemProps4.xml><?xml version="1.0" encoding="utf-8"?>
<ds:datastoreItem xmlns:ds="http://schemas.openxmlformats.org/officeDocument/2006/customXml" ds:itemID="{68FBC267-6D0D-45E6-AD8E-757E7A6F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5225</Words>
  <Characters>28317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2</cp:revision>
  <cp:lastPrinted>2019-10-04T00:21:00Z</cp:lastPrinted>
  <dcterms:created xsi:type="dcterms:W3CDTF">2021-10-26T11:56:00Z</dcterms:created>
  <dcterms:modified xsi:type="dcterms:W3CDTF">2021-10-26T11:56:00Z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