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C64A" w14:textId="77777777" w:rsidR="00F514FB" w:rsidRPr="008F78A8" w:rsidRDefault="00F514FB" w:rsidP="009F0FBD">
      <w:pPr>
        <w:tabs>
          <w:tab w:val="center" w:pos="4680"/>
        </w:tabs>
        <w:suppressAutoHyphens/>
        <w:contextualSpacing/>
        <w:jc w:val="center"/>
        <w:rPr>
          <w:b/>
          <w:sz w:val="26"/>
          <w:szCs w:val="26"/>
        </w:rPr>
      </w:pPr>
      <w:r w:rsidRPr="008F78A8">
        <w:rPr>
          <w:b/>
          <w:sz w:val="26"/>
          <w:szCs w:val="26"/>
        </w:rPr>
        <w:t>PENNSYLVANIA</w:t>
      </w:r>
    </w:p>
    <w:p w14:paraId="4BC2D6EE" w14:textId="77777777" w:rsidR="00F514FB" w:rsidRPr="008F78A8" w:rsidRDefault="00F514FB" w:rsidP="009F0FBD">
      <w:pPr>
        <w:tabs>
          <w:tab w:val="center" w:pos="4680"/>
        </w:tabs>
        <w:suppressAutoHyphens/>
        <w:contextualSpacing/>
        <w:jc w:val="center"/>
        <w:rPr>
          <w:sz w:val="26"/>
          <w:szCs w:val="26"/>
        </w:rPr>
      </w:pPr>
      <w:r w:rsidRPr="008F78A8">
        <w:rPr>
          <w:b/>
          <w:sz w:val="26"/>
          <w:szCs w:val="26"/>
        </w:rPr>
        <w:t>PUBLIC UTILITY COMMISSION</w:t>
      </w:r>
    </w:p>
    <w:p w14:paraId="0CBC3E55" w14:textId="0711533B" w:rsidR="00F514FB" w:rsidRPr="008F78A8" w:rsidRDefault="00F514FB" w:rsidP="009F0FBD">
      <w:pPr>
        <w:tabs>
          <w:tab w:val="center" w:pos="4680"/>
        </w:tabs>
        <w:suppressAutoHyphens/>
        <w:contextualSpacing/>
        <w:jc w:val="center"/>
        <w:rPr>
          <w:sz w:val="26"/>
          <w:szCs w:val="26"/>
        </w:rPr>
      </w:pPr>
      <w:r w:rsidRPr="008F78A8">
        <w:rPr>
          <w:b/>
          <w:sz w:val="26"/>
          <w:szCs w:val="26"/>
        </w:rPr>
        <w:t xml:space="preserve">Harrisburg, PA </w:t>
      </w:r>
      <w:r w:rsidR="00867689">
        <w:rPr>
          <w:b/>
          <w:sz w:val="26"/>
          <w:szCs w:val="26"/>
        </w:rPr>
        <w:t xml:space="preserve"> </w:t>
      </w:r>
      <w:r w:rsidR="000B2FBB" w:rsidRPr="000B2FBB">
        <w:rPr>
          <w:b/>
          <w:sz w:val="26"/>
          <w:szCs w:val="26"/>
        </w:rPr>
        <w:t>17120</w:t>
      </w:r>
    </w:p>
    <w:p w14:paraId="2CAFFC80" w14:textId="77777777" w:rsidR="00F514FB" w:rsidRPr="008F78A8" w:rsidRDefault="00F514FB" w:rsidP="000250EC">
      <w:pPr>
        <w:tabs>
          <w:tab w:val="left" w:pos="-720"/>
        </w:tabs>
        <w:suppressAutoHyphens/>
        <w:spacing w:after="0" w:line="240" w:lineRule="auto"/>
        <w:contextualSpacing/>
        <w:rPr>
          <w:sz w:val="26"/>
          <w:szCs w:val="26"/>
        </w:rPr>
      </w:pPr>
    </w:p>
    <w:p w14:paraId="7676881F" w14:textId="77777777" w:rsidR="00F514FB" w:rsidRPr="008F78A8" w:rsidRDefault="00F514FB" w:rsidP="000250EC">
      <w:pPr>
        <w:spacing w:after="0" w:line="240" w:lineRule="auto"/>
        <w:contextualSpacing/>
        <w:rPr>
          <w:sz w:val="26"/>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8F78A8" w:rsidRPr="008F78A8" w14:paraId="7264E3FF" w14:textId="77777777" w:rsidTr="000250EC">
        <w:tc>
          <w:tcPr>
            <w:tcW w:w="4860" w:type="dxa"/>
          </w:tcPr>
          <w:p w14:paraId="3C51145C" w14:textId="77777777" w:rsidR="00F514FB" w:rsidRPr="008F78A8" w:rsidRDefault="00F514FB" w:rsidP="000250EC">
            <w:pPr>
              <w:contextualSpacing/>
              <w:rPr>
                <w:sz w:val="26"/>
                <w:szCs w:val="26"/>
              </w:rPr>
            </w:pPr>
          </w:p>
        </w:tc>
        <w:tc>
          <w:tcPr>
            <w:tcW w:w="4680" w:type="dxa"/>
          </w:tcPr>
          <w:p w14:paraId="0D86D415" w14:textId="73FB1C76" w:rsidR="00F514FB" w:rsidRPr="008F78A8" w:rsidRDefault="00F514FB" w:rsidP="000250EC">
            <w:pPr>
              <w:contextualSpacing/>
              <w:jc w:val="right"/>
              <w:rPr>
                <w:sz w:val="26"/>
                <w:szCs w:val="26"/>
              </w:rPr>
            </w:pPr>
            <w:r w:rsidRPr="008F78A8">
              <w:rPr>
                <w:sz w:val="26"/>
                <w:szCs w:val="26"/>
              </w:rPr>
              <w:t>Public Meeting held</w:t>
            </w:r>
            <w:r w:rsidR="000D4288">
              <w:rPr>
                <w:sz w:val="26"/>
                <w:szCs w:val="26"/>
              </w:rPr>
              <w:t xml:space="preserve"> </w:t>
            </w:r>
            <w:r w:rsidR="000D000B">
              <w:rPr>
                <w:sz w:val="26"/>
                <w:szCs w:val="26"/>
              </w:rPr>
              <w:t>October 28, 2021</w:t>
            </w:r>
          </w:p>
          <w:p w14:paraId="4FA2A782" w14:textId="77777777" w:rsidR="00F514FB" w:rsidRDefault="00F514FB" w:rsidP="000250EC">
            <w:pPr>
              <w:contextualSpacing/>
              <w:rPr>
                <w:sz w:val="26"/>
                <w:szCs w:val="26"/>
              </w:rPr>
            </w:pPr>
          </w:p>
          <w:p w14:paraId="210FB379" w14:textId="2E00F3C7" w:rsidR="006B01EF" w:rsidRPr="008F78A8" w:rsidRDefault="006B01EF" w:rsidP="000250EC">
            <w:pPr>
              <w:contextualSpacing/>
              <w:rPr>
                <w:sz w:val="26"/>
                <w:szCs w:val="26"/>
              </w:rPr>
            </w:pPr>
          </w:p>
        </w:tc>
      </w:tr>
      <w:tr w:rsidR="008F78A8" w:rsidRPr="008F78A8" w14:paraId="69A6ADE9" w14:textId="77777777" w:rsidTr="000250EC">
        <w:tc>
          <w:tcPr>
            <w:tcW w:w="4860" w:type="dxa"/>
          </w:tcPr>
          <w:p w14:paraId="238BB2F0" w14:textId="77777777" w:rsidR="00580F43" w:rsidRPr="009D4A74" w:rsidRDefault="00580F43" w:rsidP="000250EC">
            <w:pPr>
              <w:contextualSpacing/>
              <w:rPr>
                <w:sz w:val="26"/>
                <w:szCs w:val="26"/>
              </w:rPr>
            </w:pPr>
            <w:r w:rsidRPr="009D4A74">
              <w:rPr>
                <w:sz w:val="26"/>
                <w:szCs w:val="26"/>
              </w:rPr>
              <w:t>Commissioners Present:</w:t>
            </w:r>
          </w:p>
          <w:p w14:paraId="415C5A0F" w14:textId="77777777" w:rsidR="00580F43" w:rsidRPr="009D4A74" w:rsidRDefault="00580F43" w:rsidP="000250EC">
            <w:pPr>
              <w:contextualSpacing/>
              <w:rPr>
                <w:sz w:val="26"/>
                <w:szCs w:val="26"/>
              </w:rPr>
            </w:pPr>
          </w:p>
          <w:p w14:paraId="75CA9A28" w14:textId="37C09171" w:rsidR="00620F36" w:rsidRPr="00620F36" w:rsidRDefault="00620F36" w:rsidP="000250EC">
            <w:pPr>
              <w:tabs>
                <w:tab w:val="left" w:pos="705"/>
              </w:tabs>
              <w:ind w:firstLine="720"/>
              <w:contextualSpacing/>
              <w:jc w:val="both"/>
              <w:rPr>
                <w:sz w:val="26"/>
                <w:szCs w:val="26"/>
              </w:rPr>
            </w:pPr>
            <w:r w:rsidRPr="00620F36">
              <w:rPr>
                <w:sz w:val="26"/>
                <w:szCs w:val="26"/>
              </w:rPr>
              <w:t>Gladys Brown Dutrieuille, Chairman</w:t>
            </w:r>
          </w:p>
          <w:p w14:paraId="5A42660E" w14:textId="2A702590" w:rsidR="0097038B" w:rsidRPr="00665B4A" w:rsidRDefault="00620F36" w:rsidP="000250EC">
            <w:pPr>
              <w:tabs>
                <w:tab w:val="left" w:pos="705"/>
              </w:tabs>
              <w:ind w:firstLine="720"/>
              <w:contextualSpacing/>
              <w:rPr>
                <w:sz w:val="26"/>
                <w:szCs w:val="26"/>
              </w:rPr>
            </w:pPr>
            <w:r w:rsidRPr="00620F36">
              <w:rPr>
                <w:sz w:val="26"/>
                <w:szCs w:val="26"/>
              </w:rPr>
              <w:t>John F. Coleman, Jr.</w:t>
            </w:r>
            <w:r w:rsidR="004C3B68">
              <w:rPr>
                <w:sz w:val="26"/>
                <w:szCs w:val="26"/>
              </w:rPr>
              <w:t>, Vice Chairman</w:t>
            </w:r>
          </w:p>
          <w:p w14:paraId="4051FFBA" w14:textId="3887B722" w:rsidR="00F514FB" w:rsidRPr="008F78A8" w:rsidRDefault="00795483" w:rsidP="000250EC">
            <w:pPr>
              <w:tabs>
                <w:tab w:val="left" w:pos="705"/>
              </w:tabs>
              <w:ind w:firstLine="720"/>
              <w:contextualSpacing/>
              <w:rPr>
                <w:sz w:val="26"/>
                <w:szCs w:val="26"/>
              </w:rPr>
            </w:pPr>
            <w:r w:rsidRPr="00795483">
              <w:rPr>
                <w:sz w:val="26"/>
                <w:szCs w:val="26"/>
              </w:rPr>
              <w:t>Ralph V. Yanora</w:t>
            </w:r>
          </w:p>
          <w:p w14:paraId="24CC57D7" w14:textId="77777777" w:rsidR="00F514FB" w:rsidRPr="008F78A8" w:rsidRDefault="00F514FB" w:rsidP="000250EC">
            <w:pPr>
              <w:contextualSpacing/>
              <w:rPr>
                <w:sz w:val="26"/>
                <w:szCs w:val="26"/>
              </w:rPr>
            </w:pPr>
          </w:p>
          <w:p w14:paraId="4E52A1B4" w14:textId="77777777" w:rsidR="00F514FB" w:rsidRPr="008F78A8" w:rsidRDefault="00F514FB" w:rsidP="000250EC">
            <w:pPr>
              <w:contextualSpacing/>
              <w:rPr>
                <w:sz w:val="26"/>
                <w:szCs w:val="26"/>
              </w:rPr>
            </w:pPr>
          </w:p>
        </w:tc>
        <w:tc>
          <w:tcPr>
            <w:tcW w:w="4680" w:type="dxa"/>
          </w:tcPr>
          <w:p w14:paraId="531264FC" w14:textId="77777777" w:rsidR="00F514FB" w:rsidRPr="008F78A8" w:rsidRDefault="00F514FB" w:rsidP="000250EC">
            <w:pPr>
              <w:contextualSpacing/>
              <w:jc w:val="right"/>
              <w:rPr>
                <w:sz w:val="26"/>
                <w:szCs w:val="26"/>
              </w:rPr>
            </w:pPr>
          </w:p>
          <w:p w14:paraId="03B8F549" w14:textId="77777777" w:rsidR="00F514FB" w:rsidRPr="008F78A8" w:rsidRDefault="00F514FB" w:rsidP="000250EC">
            <w:pPr>
              <w:contextualSpacing/>
              <w:jc w:val="right"/>
              <w:rPr>
                <w:sz w:val="26"/>
                <w:szCs w:val="26"/>
              </w:rPr>
            </w:pPr>
          </w:p>
        </w:tc>
      </w:tr>
      <w:tr w:rsidR="008F78A8" w:rsidRPr="008F78A8" w14:paraId="09E7B8CC" w14:textId="77777777" w:rsidTr="000250EC">
        <w:tc>
          <w:tcPr>
            <w:tcW w:w="4860" w:type="dxa"/>
          </w:tcPr>
          <w:p w14:paraId="4C4F9678" w14:textId="0B4562B6" w:rsidR="00F534B6" w:rsidRPr="00F534B6" w:rsidRDefault="006B01EF" w:rsidP="00F534B6">
            <w:pPr>
              <w:contextualSpacing/>
              <w:rPr>
                <w:sz w:val="26"/>
                <w:szCs w:val="26"/>
              </w:rPr>
            </w:pPr>
            <w:r>
              <w:rPr>
                <w:sz w:val="26"/>
                <w:szCs w:val="26"/>
              </w:rPr>
              <w:t>Helen Leung</w:t>
            </w:r>
          </w:p>
          <w:p w14:paraId="29789514" w14:textId="77777777" w:rsidR="00F514FB" w:rsidRPr="008F78A8" w:rsidRDefault="00F514FB" w:rsidP="009F0FBD">
            <w:pPr>
              <w:contextualSpacing/>
              <w:rPr>
                <w:sz w:val="26"/>
                <w:szCs w:val="26"/>
              </w:rPr>
            </w:pPr>
          </w:p>
        </w:tc>
        <w:tc>
          <w:tcPr>
            <w:tcW w:w="4680" w:type="dxa"/>
          </w:tcPr>
          <w:p w14:paraId="11FBF4B7" w14:textId="5B6BA256" w:rsidR="00F514FB" w:rsidRPr="008F78A8" w:rsidRDefault="00AA11ED" w:rsidP="009F0FBD">
            <w:pPr>
              <w:contextualSpacing/>
              <w:jc w:val="right"/>
              <w:rPr>
                <w:sz w:val="26"/>
                <w:szCs w:val="26"/>
              </w:rPr>
            </w:pPr>
            <w:r w:rsidRPr="00AA11ED">
              <w:rPr>
                <w:sz w:val="26"/>
                <w:szCs w:val="26"/>
              </w:rPr>
              <w:t>F-20</w:t>
            </w:r>
            <w:r w:rsidR="006B01EF">
              <w:rPr>
                <w:sz w:val="26"/>
                <w:szCs w:val="26"/>
              </w:rPr>
              <w:t>20-3020041</w:t>
            </w:r>
          </w:p>
        </w:tc>
      </w:tr>
      <w:tr w:rsidR="008F78A8" w:rsidRPr="008F78A8" w14:paraId="0BE582BE" w14:textId="77777777" w:rsidTr="000250EC">
        <w:tc>
          <w:tcPr>
            <w:tcW w:w="4860" w:type="dxa"/>
          </w:tcPr>
          <w:p w14:paraId="19A912F3" w14:textId="77777777" w:rsidR="00F514FB" w:rsidRPr="008F78A8" w:rsidRDefault="00F514FB" w:rsidP="00A2479D">
            <w:pPr>
              <w:ind w:firstLine="705"/>
              <w:contextualSpacing/>
              <w:rPr>
                <w:sz w:val="26"/>
                <w:szCs w:val="26"/>
              </w:rPr>
            </w:pPr>
            <w:r w:rsidRPr="008F78A8">
              <w:rPr>
                <w:sz w:val="26"/>
                <w:szCs w:val="26"/>
              </w:rPr>
              <w:t>v.</w:t>
            </w:r>
          </w:p>
          <w:p w14:paraId="0648A788" w14:textId="77777777" w:rsidR="00F514FB" w:rsidRPr="008F78A8" w:rsidRDefault="00F514FB" w:rsidP="009F0FBD">
            <w:pPr>
              <w:ind w:firstLine="1440"/>
              <w:contextualSpacing/>
              <w:rPr>
                <w:sz w:val="26"/>
                <w:szCs w:val="26"/>
              </w:rPr>
            </w:pPr>
          </w:p>
        </w:tc>
        <w:tc>
          <w:tcPr>
            <w:tcW w:w="4680" w:type="dxa"/>
          </w:tcPr>
          <w:p w14:paraId="2C4FC92D" w14:textId="77777777" w:rsidR="00F514FB" w:rsidRPr="008F78A8" w:rsidRDefault="00F514FB" w:rsidP="009F0FBD">
            <w:pPr>
              <w:contextualSpacing/>
              <w:rPr>
                <w:sz w:val="26"/>
                <w:szCs w:val="26"/>
              </w:rPr>
            </w:pPr>
          </w:p>
        </w:tc>
      </w:tr>
      <w:tr w:rsidR="008F78A8" w:rsidRPr="008F78A8" w14:paraId="36CC35F6" w14:textId="77777777" w:rsidTr="000250EC">
        <w:trPr>
          <w:trHeight w:val="378"/>
        </w:trPr>
        <w:tc>
          <w:tcPr>
            <w:tcW w:w="4860" w:type="dxa"/>
          </w:tcPr>
          <w:p w14:paraId="7ED559C2" w14:textId="70EAE69E" w:rsidR="00F514FB" w:rsidRPr="008F78A8" w:rsidRDefault="002271D2" w:rsidP="009F0FBD">
            <w:pPr>
              <w:contextualSpacing/>
              <w:rPr>
                <w:sz w:val="26"/>
                <w:szCs w:val="26"/>
              </w:rPr>
            </w:pPr>
            <w:r w:rsidRPr="002271D2">
              <w:rPr>
                <w:sz w:val="26"/>
                <w:szCs w:val="26"/>
              </w:rPr>
              <w:t>P</w:t>
            </w:r>
            <w:r w:rsidR="006B01EF">
              <w:rPr>
                <w:sz w:val="26"/>
                <w:szCs w:val="26"/>
              </w:rPr>
              <w:t>hiladelphia Gas Works</w:t>
            </w:r>
          </w:p>
        </w:tc>
        <w:tc>
          <w:tcPr>
            <w:tcW w:w="4680" w:type="dxa"/>
          </w:tcPr>
          <w:p w14:paraId="59E16428" w14:textId="77777777" w:rsidR="00F514FB" w:rsidRPr="008F78A8" w:rsidRDefault="00F514FB" w:rsidP="009F0FBD">
            <w:pPr>
              <w:contextualSpacing/>
              <w:rPr>
                <w:sz w:val="26"/>
                <w:szCs w:val="26"/>
              </w:rPr>
            </w:pPr>
          </w:p>
        </w:tc>
      </w:tr>
    </w:tbl>
    <w:p w14:paraId="533EF9A1" w14:textId="77777777" w:rsidR="00F514FB" w:rsidRPr="008F78A8" w:rsidRDefault="00F514FB" w:rsidP="009F0FBD">
      <w:pPr>
        <w:contextualSpacing/>
        <w:rPr>
          <w:sz w:val="26"/>
          <w:szCs w:val="26"/>
        </w:rPr>
      </w:pPr>
    </w:p>
    <w:p w14:paraId="31FB7878" w14:textId="77777777" w:rsidR="00F514FB" w:rsidRPr="008F78A8" w:rsidRDefault="00F514FB" w:rsidP="006B01EF">
      <w:pPr>
        <w:spacing w:after="0" w:line="360" w:lineRule="auto"/>
        <w:contextualSpacing/>
        <w:rPr>
          <w:sz w:val="26"/>
          <w:szCs w:val="26"/>
        </w:rPr>
      </w:pPr>
    </w:p>
    <w:p w14:paraId="76AA707C" w14:textId="25E75789" w:rsidR="00F514FB" w:rsidRPr="008F78A8" w:rsidRDefault="00F514FB" w:rsidP="006B01EF">
      <w:pPr>
        <w:spacing w:after="0" w:line="360" w:lineRule="auto"/>
        <w:contextualSpacing/>
        <w:jc w:val="center"/>
        <w:rPr>
          <w:b/>
          <w:sz w:val="26"/>
          <w:szCs w:val="26"/>
        </w:rPr>
      </w:pPr>
      <w:r w:rsidRPr="008F78A8">
        <w:rPr>
          <w:b/>
          <w:sz w:val="26"/>
          <w:szCs w:val="26"/>
        </w:rPr>
        <w:t>OPINION AND ORDER</w:t>
      </w:r>
    </w:p>
    <w:p w14:paraId="03AA40FB" w14:textId="77777777" w:rsidR="00F514FB" w:rsidRPr="008F78A8" w:rsidRDefault="00F514FB" w:rsidP="006B01EF">
      <w:pPr>
        <w:spacing w:after="0" w:line="360" w:lineRule="auto"/>
        <w:contextualSpacing/>
        <w:jc w:val="center"/>
        <w:rPr>
          <w:b/>
          <w:sz w:val="26"/>
          <w:szCs w:val="26"/>
        </w:rPr>
      </w:pPr>
    </w:p>
    <w:p w14:paraId="48BD5819" w14:textId="3715EFCC" w:rsidR="00F514FB" w:rsidRPr="008F78A8" w:rsidRDefault="00F514FB" w:rsidP="006B01EF">
      <w:pPr>
        <w:spacing w:after="0" w:line="360" w:lineRule="auto"/>
        <w:contextualSpacing/>
        <w:rPr>
          <w:sz w:val="26"/>
          <w:szCs w:val="26"/>
        </w:rPr>
      </w:pPr>
      <w:r w:rsidRPr="008F78A8">
        <w:rPr>
          <w:b/>
          <w:sz w:val="26"/>
          <w:szCs w:val="26"/>
        </w:rPr>
        <w:t>BY THE COMMISSION:</w:t>
      </w:r>
    </w:p>
    <w:p w14:paraId="22E98E13" w14:textId="77777777" w:rsidR="00F514FB" w:rsidRPr="008F78A8" w:rsidRDefault="00F514FB" w:rsidP="000250EC">
      <w:pPr>
        <w:spacing w:after="0" w:line="240" w:lineRule="auto"/>
        <w:contextualSpacing/>
        <w:rPr>
          <w:sz w:val="26"/>
          <w:szCs w:val="26"/>
        </w:rPr>
      </w:pPr>
    </w:p>
    <w:p w14:paraId="2F4BE7F4" w14:textId="5B62C118" w:rsidR="00746152" w:rsidRPr="00746152" w:rsidRDefault="00746152" w:rsidP="002E0C11">
      <w:pPr>
        <w:spacing w:line="360" w:lineRule="auto"/>
        <w:ind w:firstLine="1440"/>
        <w:contextualSpacing/>
        <w:rPr>
          <w:sz w:val="26"/>
          <w:szCs w:val="26"/>
        </w:rPr>
      </w:pPr>
      <w:r w:rsidRPr="00746152">
        <w:rPr>
          <w:sz w:val="26"/>
          <w:szCs w:val="26"/>
        </w:rPr>
        <w:t xml:space="preserve">Before the Pennsylvania Public Utility Commission (Commission) for consideration and disposition are the Exceptions filed by Helen Leung (the Complainant or Ms. Leung) on January 10, 2021, in response to the Initial Decision (I.D.) of Administrative Law Judge (ALJ) Eranda Vero, issued on December 23, 2020, in the </w:t>
      </w:r>
      <w:r w:rsidRPr="00746152">
        <w:rPr>
          <w:sz w:val="26"/>
          <w:szCs w:val="26"/>
        </w:rPr>
        <w:lastRenderedPageBreak/>
        <w:t>above-captioned proceeding.</w:t>
      </w:r>
      <w:r w:rsidR="002E0C11" w:rsidRPr="002E0C11">
        <w:rPr>
          <w:sz w:val="26"/>
          <w:szCs w:val="26"/>
          <w:vertAlign w:val="superscript"/>
        </w:rPr>
        <w:footnoteReference w:id="1"/>
      </w:r>
      <w:r w:rsidRPr="00746152">
        <w:rPr>
          <w:sz w:val="26"/>
          <w:szCs w:val="26"/>
        </w:rPr>
        <w:t xml:space="preserve">  </w:t>
      </w:r>
      <w:r w:rsidR="002E0C11">
        <w:rPr>
          <w:sz w:val="26"/>
          <w:szCs w:val="26"/>
        </w:rPr>
        <w:t xml:space="preserve">The Initial Decision dismissed the Formal Complaint (Complaint) filed by the Complainant on April 7, 2020.  </w:t>
      </w:r>
      <w:r w:rsidRPr="00746152">
        <w:rPr>
          <w:sz w:val="26"/>
          <w:szCs w:val="26"/>
        </w:rPr>
        <w:t>Replies to Exceptions were filed by Philadelphia Gas Works (PGW or the Company) on January 25, 2021.  For the reasons discussed below, we shall deny the Complainant’s Exceptions and adopt the ALJ’s Initial Decision, consistent with this Opinion and Order.</w:t>
      </w:r>
    </w:p>
    <w:p w14:paraId="53710040" w14:textId="77777777" w:rsidR="001221E4" w:rsidRPr="00620F36" w:rsidRDefault="001221E4" w:rsidP="004C60FC">
      <w:pPr>
        <w:spacing w:line="360" w:lineRule="auto"/>
        <w:ind w:firstLine="1440"/>
        <w:contextualSpacing/>
        <w:rPr>
          <w:sz w:val="26"/>
        </w:rPr>
      </w:pPr>
    </w:p>
    <w:p w14:paraId="03258895" w14:textId="78787E03" w:rsidR="00CA43A5" w:rsidRPr="008F78A8" w:rsidRDefault="001E57CD" w:rsidP="008B0E22">
      <w:pPr>
        <w:spacing w:after="0" w:line="360" w:lineRule="auto"/>
        <w:contextualSpacing/>
        <w:jc w:val="center"/>
        <w:rPr>
          <w:b/>
          <w:sz w:val="26"/>
          <w:szCs w:val="26"/>
        </w:rPr>
      </w:pPr>
      <w:bookmarkStart w:id="0" w:name="OLE_LINK1"/>
      <w:bookmarkStart w:id="1" w:name="OLE_LINK2"/>
      <w:r>
        <w:rPr>
          <w:b/>
          <w:sz w:val="26"/>
          <w:szCs w:val="26"/>
        </w:rPr>
        <w:t>History of Proceeding</w:t>
      </w:r>
    </w:p>
    <w:bookmarkEnd w:id="0"/>
    <w:bookmarkEnd w:id="1"/>
    <w:p w14:paraId="3680514A" w14:textId="77777777" w:rsidR="00C340EE" w:rsidRDefault="00C340EE" w:rsidP="009F7517">
      <w:pPr>
        <w:spacing w:after="0" w:line="360" w:lineRule="auto"/>
        <w:contextualSpacing/>
        <w:rPr>
          <w:sz w:val="26"/>
          <w:szCs w:val="26"/>
        </w:rPr>
      </w:pPr>
    </w:p>
    <w:p w14:paraId="17495F92" w14:textId="65504EEE" w:rsidR="00D91757" w:rsidRDefault="002E0C11" w:rsidP="002F7F6B">
      <w:pPr>
        <w:spacing w:after="0" w:line="360" w:lineRule="auto"/>
        <w:ind w:firstLine="1440"/>
        <w:contextualSpacing/>
        <w:rPr>
          <w:sz w:val="26"/>
          <w:szCs w:val="26"/>
        </w:rPr>
      </w:pPr>
      <w:r w:rsidRPr="002E0C11">
        <w:rPr>
          <w:sz w:val="26"/>
          <w:szCs w:val="26"/>
        </w:rPr>
        <w:t xml:space="preserve">On </w:t>
      </w:r>
      <w:r w:rsidR="0062424F">
        <w:rPr>
          <w:sz w:val="26"/>
          <w:szCs w:val="26"/>
        </w:rPr>
        <w:t>April 7, 2020</w:t>
      </w:r>
      <w:r w:rsidRPr="002E0C11">
        <w:rPr>
          <w:sz w:val="26"/>
          <w:szCs w:val="26"/>
        </w:rPr>
        <w:t>, M</w:t>
      </w:r>
      <w:r w:rsidR="0062424F">
        <w:rPr>
          <w:sz w:val="26"/>
          <w:szCs w:val="26"/>
        </w:rPr>
        <w:t>s. Leung</w:t>
      </w:r>
      <w:r w:rsidRPr="002E0C11">
        <w:rPr>
          <w:sz w:val="26"/>
          <w:szCs w:val="26"/>
        </w:rPr>
        <w:t xml:space="preserve"> filed the instant Complaint with the Commission, alleging</w:t>
      </w:r>
      <w:r w:rsidR="008B0E22">
        <w:rPr>
          <w:sz w:val="26"/>
          <w:szCs w:val="26"/>
        </w:rPr>
        <w:t xml:space="preserve">: </w:t>
      </w:r>
      <w:r w:rsidR="00867689">
        <w:rPr>
          <w:sz w:val="26"/>
          <w:szCs w:val="26"/>
        </w:rPr>
        <w:t xml:space="preserve"> </w:t>
      </w:r>
      <w:r w:rsidR="008B0E22">
        <w:rPr>
          <w:sz w:val="26"/>
          <w:szCs w:val="26"/>
        </w:rPr>
        <w:t xml:space="preserve">(1) that PGW improperly opened an account in her name for </w:t>
      </w:r>
      <w:r w:rsidR="00C80891">
        <w:rPr>
          <w:sz w:val="26"/>
          <w:szCs w:val="26"/>
        </w:rPr>
        <w:t xml:space="preserve">service at </w:t>
      </w:r>
      <w:r w:rsidR="008B0E22">
        <w:rPr>
          <w:sz w:val="26"/>
          <w:szCs w:val="26"/>
        </w:rPr>
        <w:t>her rental property</w:t>
      </w:r>
      <w:r w:rsidR="00BA0AAF">
        <w:rPr>
          <w:sz w:val="26"/>
          <w:szCs w:val="26"/>
        </w:rPr>
        <w:t xml:space="preserve"> (Service </w:t>
      </w:r>
      <w:r w:rsidR="00C80891">
        <w:rPr>
          <w:sz w:val="26"/>
          <w:szCs w:val="26"/>
        </w:rPr>
        <w:t>Address</w:t>
      </w:r>
      <w:r w:rsidR="00BA0AAF">
        <w:rPr>
          <w:sz w:val="26"/>
          <w:szCs w:val="26"/>
        </w:rPr>
        <w:t>)</w:t>
      </w:r>
      <w:r w:rsidR="008B0E22">
        <w:rPr>
          <w:sz w:val="26"/>
          <w:szCs w:val="26"/>
        </w:rPr>
        <w:t xml:space="preserve"> without her knowledge on October</w:t>
      </w:r>
      <w:r w:rsidR="000250EC">
        <w:rPr>
          <w:sz w:val="26"/>
          <w:szCs w:val="26"/>
        </w:rPr>
        <w:t> </w:t>
      </w:r>
      <w:r w:rsidR="008B0E22">
        <w:rPr>
          <w:sz w:val="26"/>
          <w:szCs w:val="26"/>
        </w:rPr>
        <w:t>17,</w:t>
      </w:r>
      <w:r w:rsidR="000250EC">
        <w:rPr>
          <w:sz w:val="26"/>
          <w:szCs w:val="26"/>
        </w:rPr>
        <w:t> </w:t>
      </w:r>
      <w:r w:rsidR="008B0E22">
        <w:rPr>
          <w:sz w:val="26"/>
          <w:szCs w:val="26"/>
        </w:rPr>
        <w:t>2016;</w:t>
      </w:r>
      <w:r w:rsidR="00CC7504">
        <w:rPr>
          <w:sz w:val="26"/>
          <w:szCs w:val="26"/>
        </w:rPr>
        <w:t xml:space="preserve"> and</w:t>
      </w:r>
      <w:r w:rsidR="008B0E22">
        <w:rPr>
          <w:sz w:val="26"/>
          <w:szCs w:val="26"/>
        </w:rPr>
        <w:t xml:space="preserve"> (2)</w:t>
      </w:r>
      <w:r w:rsidR="00BA0AAF" w:rsidRPr="00BA0AAF">
        <w:rPr>
          <w:sz w:val="26"/>
          <w:szCs w:val="26"/>
        </w:rPr>
        <w:t xml:space="preserve"> that P</w:t>
      </w:r>
      <w:r w:rsidR="00BA0AAF">
        <w:rPr>
          <w:sz w:val="26"/>
          <w:szCs w:val="26"/>
        </w:rPr>
        <w:t>GW</w:t>
      </w:r>
      <w:r w:rsidR="00BA0AAF" w:rsidRPr="00BA0AAF">
        <w:rPr>
          <w:sz w:val="26"/>
          <w:szCs w:val="26"/>
        </w:rPr>
        <w:t xml:space="preserve"> improperly attempted to collect </w:t>
      </w:r>
      <w:r w:rsidR="0023505F">
        <w:rPr>
          <w:sz w:val="26"/>
          <w:szCs w:val="26"/>
        </w:rPr>
        <w:t xml:space="preserve">an outstanding account </w:t>
      </w:r>
      <w:r w:rsidR="00BA0AAF" w:rsidRPr="00BA0AAF">
        <w:rPr>
          <w:sz w:val="26"/>
          <w:szCs w:val="26"/>
        </w:rPr>
        <w:t>balance</w:t>
      </w:r>
      <w:r w:rsidR="0023505F">
        <w:rPr>
          <w:sz w:val="26"/>
          <w:szCs w:val="26"/>
        </w:rPr>
        <w:t xml:space="preserve"> of $2,012.40</w:t>
      </w:r>
      <w:r w:rsidR="00BA0AAF" w:rsidRPr="00BA0AAF">
        <w:rPr>
          <w:sz w:val="26"/>
          <w:szCs w:val="26"/>
        </w:rPr>
        <w:t xml:space="preserve"> </w:t>
      </w:r>
      <w:r w:rsidR="00CC7504">
        <w:rPr>
          <w:sz w:val="26"/>
          <w:szCs w:val="26"/>
        </w:rPr>
        <w:t xml:space="preserve">three years later.  Complaint at ¶ 4-5.  </w:t>
      </w:r>
      <w:r w:rsidR="002F7F6B">
        <w:rPr>
          <w:sz w:val="26"/>
          <w:szCs w:val="26"/>
        </w:rPr>
        <w:t xml:space="preserve">As relief, </w:t>
      </w:r>
      <w:r w:rsidR="00D91757" w:rsidRPr="00D91757">
        <w:rPr>
          <w:sz w:val="26"/>
          <w:szCs w:val="26"/>
        </w:rPr>
        <w:t xml:space="preserve">Ms. </w:t>
      </w:r>
      <w:r w:rsidR="00D91757">
        <w:rPr>
          <w:sz w:val="26"/>
          <w:szCs w:val="26"/>
        </w:rPr>
        <w:t>Leung</w:t>
      </w:r>
      <w:r w:rsidR="00D91757" w:rsidRPr="00D91757">
        <w:rPr>
          <w:sz w:val="26"/>
          <w:szCs w:val="26"/>
        </w:rPr>
        <w:t xml:space="preserve"> requested to be relieved of the $</w:t>
      </w:r>
      <w:r w:rsidR="00D91757">
        <w:rPr>
          <w:sz w:val="26"/>
          <w:szCs w:val="26"/>
        </w:rPr>
        <w:t>2,012.40</w:t>
      </w:r>
      <w:r w:rsidR="00D91757" w:rsidRPr="00D91757">
        <w:rPr>
          <w:sz w:val="26"/>
          <w:szCs w:val="26"/>
        </w:rPr>
        <w:t xml:space="preserve"> account arrearage, which PGW billed in her name, and asserted that </w:t>
      </w:r>
      <w:r w:rsidR="002F7F6B">
        <w:rPr>
          <w:sz w:val="26"/>
          <w:szCs w:val="26"/>
        </w:rPr>
        <w:t>her tenant</w:t>
      </w:r>
      <w:r w:rsidR="009F7517">
        <w:rPr>
          <w:sz w:val="26"/>
          <w:szCs w:val="26"/>
        </w:rPr>
        <w:t>s</w:t>
      </w:r>
      <w:r w:rsidR="002F7F6B">
        <w:rPr>
          <w:sz w:val="26"/>
          <w:szCs w:val="26"/>
        </w:rPr>
        <w:t xml:space="preserve"> at the time</w:t>
      </w:r>
      <w:r w:rsidR="00D91757" w:rsidRPr="00D91757">
        <w:rPr>
          <w:sz w:val="26"/>
          <w:szCs w:val="26"/>
        </w:rPr>
        <w:t xml:space="preserve"> </w:t>
      </w:r>
      <w:r w:rsidR="009F7517">
        <w:rPr>
          <w:sz w:val="26"/>
          <w:szCs w:val="26"/>
        </w:rPr>
        <w:t>are</w:t>
      </w:r>
      <w:r w:rsidR="00D91757" w:rsidRPr="00D91757">
        <w:rPr>
          <w:sz w:val="26"/>
          <w:szCs w:val="26"/>
        </w:rPr>
        <w:t xml:space="preserve"> responsible for payment of the charges on the account.</w:t>
      </w:r>
      <w:r w:rsidR="00615C98">
        <w:rPr>
          <w:rStyle w:val="FootnoteReference"/>
          <w:sz w:val="26"/>
          <w:szCs w:val="26"/>
        </w:rPr>
        <w:footnoteReference w:id="2"/>
      </w:r>
      <w:r w:rsidR="005F1343">
        <w:rPr>
          <w:sz w:val="26"/>
          <w:szCs w:val="26"/>
        </w:rPr>
        <w:t xml:space="preserve">  Complaint at ¶ 5.</w:t>
      </w:r>
      <w:r w:rsidR="007F7833">
        <w:rPr>
          <w:sz w:val="26"/>
          <w:szCs w:val="26"/>
        </w:rPr>
        <w:t xml:space="preserve">  Ms. Leung also expressed her view that PGW bears some culpability in permitting the unpaid balance on the account to reach such a large amount.  </w:t>
      </w:r>
      <w:r w:rsidR="007F7833" w:rsidRPr="007F7833">
        <w:rPr>
          <w:i/>
          <w:iCs/>
          <w:sz w:val="26"/>
          <w:szCs w:val="26"/>
        </w:rPr>
        <w:t>Id</w:t>
      </w:r>
      <w:r w:rsidR="007F7833">
        <w:rPr>
          <w:sz w:val="26"/>
          <w:szCs w:val="26"/>
        </w:rPr>
        <w:t>.</w:t>
      </w:r>
    </w:p>
    <w:p w14:paraId="2F0A6794" w14:textId="4BCDBC2F" w:rsidR="002E0C11" w:rsidRPr="002E0C11" w:rsidRDefault="002E0C11" w:rsidP="002F7F6B">
      <w:pPr>
        <w:spacing w:after="0" w:line="360" w:lineRule="auto"/>
        <w:contextualSpacing/>
        <w:rPr>
          <w:sz w:val="26"/>
          <w:szCs w:val="26"/>
        </w:rPr>
      </w:pPr>
    </w:p>
    <w:p w14:paraId="40F24321" w14:textId="0C2DED18" w:rsidR="002F7F6B" w:rsidRDefault="002F7F6B" w:rsidP="002F7F6B">
      <w:pPr>
        <w:spacing w:after="0" w:line="360" w:lineRule="auto"/>
        <w:ind w:firstLine="1440"/>
        <w:contextualSpacing/>
        <w:rPr>
          <w:sz w:val="26"/>
          <w:szCs w:val="26"/>
        </w:rPr>
      </w:pPr>
      <w:r w:rsidRPr="002F7F6B">
        <w:rPr>
          <w:sz w:val="26"/>
          <w:szCs w:val="26"/>
        </w:rPr>
        <w:t xml:space="preserve">On </w:t>
      </w:r>
      <w:r>
        <w:rPr>
          <w:sz w:val="26"/>
          <w:szCs w:val="26"/>
        </w:rPr>
        <w:t>July 7, 2020</w:t>
      </w:r>
      <w:r w:rsidRPr="002F7F6B">
        <w:rPr>
          <w:sz w:val="26"/>
          <w:szCs w:val="26"/>
        </w:rPr>
        <w:t>, PGW filed an Answer denying all material allegations of fact</w:t>
      </w:r>
      <w:r w:rsidR="00C12E53">
        <w:rPr>
          <w:sz w:val="26"/>
          <w:szCs w:val="26"/>
        </w:rPr>
        <w:t xml:space="preserve"> and conclusions of law</w:t>
      </w:r>
      <w:r w:rsidRPr="002F7F6B">
        <w:rPr>
          <w:sz w:val="26"/>
          <w:szCs w:val="26"/>
        </w:rPr>
        <w:t xml:space="preserve"> in the Complain</w:t>
      </w:r>
      <w:r>
        <w:rPr>
          <w:sz w:val="26"/>
          <w:szCs w:val="26"/>
        </w:rPr>
        <w:t>t (Answer)</w:t>
      </w:r>
      <w:r w:rsidRPr="002F7F6B">
        <w:rPr>
          <w:sz w:val="26"/>
          <w:szCs w:val="26"/>
        </w:rPr>
        <w:t xml:space="preserve">.  </w:t>
      </w:r>
      <w:r w:rsidR="00C72629">
        <w:rPr>
          <w:sz w:val="26"/>
          <w:szCs w:val="26"/>
        </w:rPr>
        <w:t>In particular, PGW indicated that the Complainant established service at the Service Address on October 17, 2016</w:t>
      </w:r>
      <w:r w:rsidR="00466FBA">
        <w:rPr>
          <w:sz w:val="26"/>
          <w:szCs w:val="26"/>
        </w:rPr>
        <w:t xml:space="preserve">, and </w:t>
      </w:r>
      <w:r w:rsidR="00466FBA">
        <w:rPr>
          <w:sz w:val="26"/>
          <w:szCs w:val="26"/>
        </w:rPr>
        <w:lastRenderedPageBreak/>
        <w:t xml:space="preserve">therefore, as reflected in the attached BCS decision, gas service for the Service Address was correctly registered in the Complainant’s name from October 17, 2016 through August 4, 2017 </w:t>
      </w:r>
      <w:bookmarkStart w:id="2" w:name="_Hlk83892418"/>
      <w:r w:rsidR="00466FBA">
        <w:rPr>
          <w:sz w:val="26"/>
          <w:szCs w:val="26"/>
        </w:rPr>
        <w:t>when another customer had requested service at the Service Address</w:t>
      </w:r>
      <w:bookmarkEnd w:id="2"/>
      <w:r w:rsidR="004C3B68">
        <w:rPr>
          <w:sz w:val="26"/>
          <w:szCs w:val="26"/>
        </w:rPr>
        <w:t xml:space="preserve"> in that customer’s name</w:t>
      </w:r>
      <w:r w:rsidR="00466FBA">
        <w:rPr>
          <w:sz w:val="26"/>
          <w:szCs w:val="26"/>
        </w:rPr>
        <w:t>.  Answer at 1.</w:t>
      </w:r>
      <w:r w:rsidR="00072858">
        <w:rPr>
          <w:sz w:val="26"/>
          <w:szCs w:val="26"/>
        </w:rPr>
        <w:t xml:space="preserve">  PGW denied that there were incorrect charges on Ms. Leung’s bill and replied that the service to the</w:t>
      </w:r>
      <w:r w:rsidR="00C678B8">
        <w:rPr>
          <w:sz w:val="26"/>
          <w:szCs w:val="26"/>
        </w:rPr>
        <w:t xml:space="preserve"> Service Address was in Ms. Leung’s name and that Ms. Leung is, therefore, responsible for the unpaid balance.  PGW requested that Ms. Leung’s Complaint be dismissed.  Answer at 1-2.</w:t>
      </w:r>
    </w:p>
    <w:p w14:paraId="1E8B0817" w14:textId="186E298F" w:rsidR="002E0C11" w:rsidRDefault="002E0C11" w:rsidP="008B0E22">
      <w:pPr>
        <w:spacing w:after="0" w:line="360" w:lineRule="auto"/>
        <w:contextualSpacing/>
        <w:rPr>
          <w:sz w:val="26"/>
          <w:szCs w:val="26"/>
        </w:rPr>
      </w:pPr>
    </w:p>
    <w:p w14:paraId="65BF1598" w14:textId="7EC9C9B4" w:rsidR="00D30342" w:rsidRDefault="001A6FE6" w:rsidP="00D30342">
      <w:pPr>
        <w:spacing w:after="0" w:line="360" w:lineRule="auto"/>
        <w:ind w:firstLine="1440"/>
        <w:contextualSpacing/>
        <w:rPr>
          <w:sz w:val="26"/>
          <w:szCs w:val="26"/>
        </w:rPr>
      </w:pPr>
      <w:r>
        <w:rPr>
          <w:sz w:val="26"/>
          <w:szCs w:val="26"/>
        </w:rPr>
        <w:t>On August 13, 2020, a telephonic hearing was held in this matter</w:t>
      </w:r>
      <w:r w:rsidR="00B1291C">
        <w:rPr>
          <w:sz w:val="26"/>
          <w:szCs w:val="26"/>
        </w:rPr>
        <w:t xml:space="preserve">.  The Complainant appeared </w:t>
      </w:r>
      <w:r w:rsidR="00B1291C" w:rsidRPr="00B1291C">
        <w:rPr>
          <w:i/>
          <w:iCs/>
          <w:sz w:val="26"/>
          <w:szCs w:val="26"/>
        </w:rPr>
        <w:t>pro se</w:t>
      </w:r>
      <w:r w:rsidR="00B1291C">
        <w:rPr>
          <w:sz w:val="26"/>
          <w:szCs w:val="26"/>
        </w:rPr>
        <w:t xml:space="preserve"> and testified in support of </w:t>
      </w:r>
      <w:r w:rsidR="00EA53C6">
        <w:rPr>
          <w:sz w:val="26"/>
          <w:szCs w:val="26"/>
        </w:rPr>
        <w:t>her</w:t>
      </w:r>
      <w:r w:rsidR="00B1291C">
        <w:rPr>
          <w:sz w:val="26"/>
          <w:szCs w:val="26"/>
        </w:rPr>
        <w:t xml:space="preserve"> Complaint.  </w:t>
      </w:r>
      <w:r w:rsidR="00BC0D51" w:rsidRPr="00BC0D51">
        <w:rPr>
          <w:sz w:val="26"/>
          <w:szCs w:val="26"/>
        </w:rPr>
        <w:t xml:space="preserve">The Complainant offered </w:t>
      </w:r>
      <w:r w:rsidR="00BC0D51">
        <w:rPr>
          <w:sz w:val="26"/>
          <w:szCs w:val="26"/>
        </w:rPr>
        <w:t>one</w:t>
      </w:r>
      <w:r w:rsidR="00BC0D51" w:rsidRPr="00BC0D51">
        <w:rPr>
          <w:sz w:val="26"/>
          <w:szCs w:val="26"/>
        </w:rPr>
        <w:t xml:space="preserve"> exhibit (Complainant Exhibit</w:t>
      </w:r>
      <w:r w:rsidR="00BC0D51">
        <w:rPr>
          <w:sz w:val="26"/>
          <w:szCs w:val="26"/>
        </w:rPr>
        <w:t xml:space="preserve"> No.</w:t>
      </w:r>
      <w:r w:rsidR="00BC0D51" w:rsidRPr="00BC0D51">
        <w:rPr>
          <w:sz w:val="26"/>
          <w:szCs w:val="26"/>
        </w:rPr>
        <w:t xml:space="preserve"> 1), which </w:t>
      </w:r>
      <w:r w:rsidR="00BC0D51">
        <w:rPr>
          <w:sz w:val="26"/>
          <w:szCs w:val="26"/>
        </w:rPr>
        <w:t>was</w:t>
      </w:r>
      <w:r w:rsidR="00BC0D51" w:rsidRPr="00BC0D51">
        <w:rPr>
          <w:sz w:val="26"/>
          <w:szCs w:val="26"/>
        </w:rPr>
        <w:t xml:space="preserve"> admitted into the record</w:t>
      </w:r>
      <w:r w:rsidR="00BC0D51">
        <w:rPr>
          <w:sz w:val="26"/>
          <w:szCs w:val="26"/>
        </w:rPr>
        <w:t xml:space="preserve">.  </w:t>
      </w:r>
      <w:r w:rsidR="00BC0D51" w:rsidRPr="00BC0D51">
        <w:rPr>
          <w:sz w:val="26"/>
          <w:szCs w:val="26"/>
        </w:rPr>
        <w:t xml:space="preserve">PGW appeared and was represented by counsel, who presented the testimony of one witness.  PGW also offered </w:t>
      </w:r>
      <w:r w:rsidR="00BC0D51">
        <w:rPr>
          <w:sz w:val="26"/>
          <w:szCs w:val="26"/>
        </w:rPr>
        <w:t>four</w:t>
      </w:r>
      <w:r w:rsidR="00BC0D51" w:rsidRPr="00BC0D51">
        <w:rPr>
          <w:sz w:val="26"/>
          <w:szCs w:val="26"/>
        </w:rPr>
        <w:t xml:space="preserve"> exhibits (PGW Exhibit</w:t>
      </w:r>
      <w:r w:rsidR="00BC0D51">
        <w:rPr>
          <w:sz w:val="26"/>
          <w:szCs w:val="26"/>
        </w:rPr>
        <w:t xml:space="preserve"> Nos.</w:t>
      </w:r>
      <w:r w:rsidR="00BC0D51" w:rsidRPr="00BC0D51">
        <w:rPr>
          <w:sz w:val="26"/>
          <w:szCs w:val="26"/>
        </w:rPr>
        <w:t xml:space="preserve"> 1</w:t>
      </w:r>
      <w:r w:rsidR="0048765B">
        <w:rPr>
          <w:sz w:val="26"/>
          <w:szCs w:val="26"/>
        </w:rPr>
        <w:t>-</w:t>
      </w:r>
      <w:r w:rsidR="00BC0D51">
        <w:rPr>
          <w:sz w:val="26"/>
          <w:szCs w:val="26"/>
        </w:rPr>
        <w:t>4</w:t>
      </w:r>
      <w:r w:rsidR="00BC0D51" w:rsidRPr="00BC0D51">
        <w:rPr>
          <w:sz w:val="26"/>
          <w:szCs w:val="26"/>
        </w:rPr>
        <w:t>) during the hearing, which were all admitted into the record.</w:t>
      </w:r>
      <w:r w:rsidR="00D30342" w:rsidRPr="00D30342">
        <w:rPr>
          <w:sz w:val="26"/>
          <w:szCs w:val="26"/>
        </w:rPr>
        <w:t xml:space="preserve"> </w:t>
      </w:r>
      <w:r w:rsidR="00B339B0">
        <w:rPr>
          <w:sz w:val="26"/>
          <w:szCs w:val="26"/>
        </w:rPr>
        <w:t xml:space="preserve"> </w:t>
      </w:r>
      <w:r w:rsidR="00D30342" w:rsidRPr="00D30342">
        <w:rPr>
          <w:sz w:val="26"/>
          <w:szCs w:val="26"/>
        </w:rPr>
        <w:t>The record also contained a s</w:t>
      </w:r>
      <w:r w:rsidR="00D30342">
        <w:rPr>
          <w:sz w:val="26"/>
          <w:szCs w:val="26"/>
        </w:rPr>
        <w:t>eventy</w:t>
      </w:r>
      <w:r w:rsidR="00D30342" w:rsidRPr="00D30342">
        <w:rPr>
          <w:sz w:val="26"/>
          <w:szCs w:val="26"/>
        </w:rPr>
        <w:t xml:space="preserve">-page transcript.  The record was closed on </w:t>
      </w:r>
      <w:r w:rsidR="00D30342">
        <w:rPr>
          <w:sz w:val="26"/>
          <w:szCs w:val="26"/>
        </w:rPr>
        <w:t>September 12, 2020</w:t>
      </w:r>
      <w:r w:rsidR="00D30342" w:rsidRPr="00D30342">
        <w:rPr>
          <w:sz w:val="26"/>
          <w:szCs w:val="26"/>
        </w:rPr>
        <w:t>.  I.D. at 2.</w:t>
      </w:r>
    </w:p>
    <w:p w14:paraId="1E4BEF76" w14:textId="41872E94" w:rsidR="009F7517" w:rsidRDefault="009F7517" w:rsidP="00D30342">
      <w:pPr>
        <w:spacing w:after="0" w:line="360" w:lineRule="auto"/>
        <w:ind w:firstLine="1440"/>
        <w:contextualSpacing/>
        <w:rPr>
          <w:sz w:val="26"/>
          <w:szCs w:val="26"/>
        </w:rPr>
      </w:pPr>
    </w:p>
    <w:p w14:paraId="117A7522" w14:textId="7CA58A66" w:rsidR="001E57CD" w:rsidRPr="001E57CD" w:rsidRDefault="001E57CD" w:rsidP="001E57CD">
      <w:pPr>
        <w:spacing w:after="0" w:line="360" w:lineRule="auto"/>
        <w:ind w:firstLine="1440"/>
        <w:contextualSpacing/>
        <w:rPr>
          <w:sz w:val="26"/>
          <w:szCs w:val="26"/>
        </w:rPr>
      </w:pPr>
      <w:r w:rsidRPr="001E57CD">
        <w:rPr>
          <w:sz w:val="26"/>
          <w:szCs w:val="26"/>
        </w:rPr>
        <w:t xml:space="preserve">On December 23, 2020, the Commission issued ALJ Vero’s Initial Decision, which denied the Complaint for failure of the Complainant to meet her burden of proving that PGW violated a statute or a Commission Order or Regulation when it held her responsible for gas service at the Service Address.  I.D. at 1, 11-12.  </w:t>
      </w:r>
      <w:r w:rsidR="007F61BC" w:rsidRPr="00081322">
        <w:rPr>
          <w:sz w:val="26"/>
          <w:szCs w:val="26"/>
        </w:rPr>
        <w:t>As previously noted, the Complainant filed Exceptions to the I</w:t>
      </w:r>
      <w:r w:rsidR="007F61BC">
        <w:rPr>
          <w:sz w:val="26"/>
          <w:szCs w:val="26"/>
        </w:rPr>
        <w:t>nitial Decision</w:t>
      </w:r>
      <w:r w:rsidR="007F61BC" w:rsidRPr="00081322">
        <w:rPr>
          <w:sz w:val="26"/>
          <w:szCs w:val="26"/>
        </w:rPr>
        <w:t xml:space="preserve"> on </w:t>
      </w:r>
      <w:r w:rsidR="007F61BC">
        <w:rPr>
          <w:sz w:val="26"/>
          <w:szCs w:val="26"/>
        </w:rPr>
        <w:t>January</w:t>
      </w:r>
      <w:r w:rsidR="000250EC">
        <w:rPr>
          <w:sz w:val="26"/>
          <w:szCs w:val="26"/>
        </w:rPr>
        <w:t> </w:t>
      </w:r>
      <w:r w:rsidR="007F61BC">
        <w:rPr>
          <w:sz w:val="26"/>
          <w:szCs w:val="26"/>
        </w:rPr>
        <w:t>10,</w:t>
      </w:r>
      <w:r w:rsidR="000250EC">
        <w:rPr>
          <w:sz w:val="26"/>
          <w:szCs w:val="26"/>
        </w:rPr>
        <w:t> </w:t>
      </w:r>
      <w:r w:rsidR="007F61BC">
        <w:rPr>
          <w:sz w:val="26"/>
          <w:szCs w:val="26"/>
        </w:rPr>
        <w:t>2021.  PGW filed Replies to</w:t>
      </w:r>
      <w:r w:rsidR="007F61BC" w:rsidRPr="00081322">
        <w:rPr>
          <w:sz w:val="26"/>
          <w:szCs w:val="26"/>
        </w:rPr>
        <w:t xml:space="preserve"> Exceptions on </w:t>
      </w:r>
      <w:r w:rsidR="007F61BC">
        <w:rPr>
          <w:sz w:val="26"/>
          <w:szCs w:val="26"/>
        </w:rPr>
        <w:t>January 25, 2021</w:t>
      </w:r>
      <w:r w:rsidR="007F61BC" w:rsidRPr="00081322">
        <w:rPr>
          <w:sz w:val="26"/>
          <w:szCs w:val="26"/>
        </w:rPr>
        <w:t>.</w:t>
      </w:r>
    </w:p>
    <w:p w14:paraId="3C32808B" w14:textId="77777777" w:rsidR="007F61BC" w:rsidRDefault="007F61BC" w:rsidP="007F61BC">
      <w:pPr>
        <w:spacing w:after="0" w:line="360" w:lineRule="auto"/>
        <w:contextualSpacing/>
        <w:rPr>
          <w:sz w:val="26"/>
          <w:szCs w:val="26"/>
        </w:rPr>
      </w:pPr>
    </w:p>
    <w:p w14:paraId="6AEAAEC0" w14:textId="6A9EDE75" w:rsidR="001E57CD" w:rsidRPr="001E57CD" w:rsidRDefault="001E57CD" w:rsidP="001E57CD">
      <w:pPr>
        <w:spacing w:after="0" w:line="360" w:lineRule="auto"/>
        <w:contextualSpacing/>
        <w:jc w:val="center"/>
        <w:rPr>
          <w:b/>
          <w:sz w:val="26"/>
          <w:szCs w:val="26"/>
        </w:rPr>
      </w:pPr>
      <w:r>
        <w:rPr>
          <w:b/>
          <w:sz w:val="26"/>
          <w:szCs w:val="26"/>
        </w:rPr>
        <w:t>Background</w:t>
      </w:r>
    </w:p>
    <w:p w14:paraId="07051EA0" w14:textId="77777777" w:rsidR="001E57CD" w:rsidRDefault="001E57CD" w:rsidP="001E57CD">
      <w:pPr>
        <w:spacing w:after="0" w:line="360" w:lineRule="auto"/>
        <w:contextualSpacing/>
        <w:rPr>
          <w:sz w:val="26"/>
          <w:szCs w:val="26"/>
        </w:rPr>
      </w:pPr>
    </w:p>
    <w:p w14:paraId="4A9F2BEA" w14:textId="04724CB8" w:rsidR="00A4061E" w:rsidRDefault="009F7517" w:rsidP="009F7517">
      <w:pPr>
        <w:spacing w:after="0" w:line="360" w:lineRule="auto"/>
        <w:ind w:firstLine="1440"/>
        <w:contextualSpacing/>
        <w:rPr>
          <w:sz w:val="26"/>
          <w:szCs w:val="26"/>
        </w:rPr>
      </w:pPr>
      <w:r w:rsidRPr="009F7517">
        <w:rPr>
          <w:sz w:val="26"/>
          <w:szCs w:val="26"/>
        </w:rPr>
        <w:t xml:space="preserve">Ms. Leung testified that she owns the Service </w:t>
      </w:r>
      <w:r w:rsidR="006944EE">
        <w:rPr>
          <w:sz w:val="26"/>
          <w:szCs w:val="26"/>
        </w:rPr>
        <w:t>A</w:t>
      </w:r>
      <w:r w:rsidRPr="009F7517">
        <w:rPr>
          <w:sz w:val="26"/>
          <w:szCs w:val="26"/>
        </w:rPr>
        <w:t>ddress</w:t>
      </w:r>
      <w:r>
        <w:rPr>
          <w:sz w:val="26"/>
          <w:szCs w:val="26"/>
        </w:rPr>
        <w:t>, which she purchased in 2003 as a rental property.</w:t>
      </w:r>
      <w:r w:rsidR="00DA309C">
        <w:rPr>
          <w:sz w:val="26"/>
          <w:szCs w:val="26"/>
        </w:rPr>
        <w:t xml:space="preserve">  I.D. at 7 (citing, Tr. at 7-9).</w:t>
      </w:r>
      <w:r w:rsidR="00A4061E">
        <w:rPr>
          <w:sz w:val="26"/>
          <w:szCs w:val="26"/>
        </w:rPr>
        <w:t xml:space="preserve">  Ms. Leung explained that she usually places electric and water service in her name when the Service Address is </w:t>
      </w:r>
      <w:r w:rsidR="00A4061E">
        <w:rPr>
          <w:sz w:val="26"/>
          <w:szCs w:val="26"/>
        </w:rPr>
        <w:lastRenderedPageBreak/>
        <w:t xml:space="preserve">unoccupied or between tenants; however, she stated that she does not always do the same for gas service since she has no use for the service herself.  Tr. at 16-17.  </w:t>
      </w:r>
    </w:p>
    <w:p w14:paraId="489B8966" w14:textId="77777777" w:rsidR="00A4061E" w:rsidRDefault="00A4061E" w:rsidP="009F7517">
      <w:pPr>
        <w:spacing w:after="0" w:line="360" w:lineRule="auto"/>
        <w:ind w:firstLine="1440"/>
        <w:contextualSpacing/>
        <w:rPr>
          <w:sz w:val="26"/>
          <w:szCs w:val="26"/>
        </w:rPr>
      </w:pPr>
    </w:p>
    <w:p w14:paraId="41EE53FE" w14:textId="164DA4DF" w:rsidR="009F7517" w:rsidRDefault="00DA309C" w:rsidP="009F7517">
      <w:pPr>
        <w:spacing w:after="0" w:line="360" w:lineRule="auto"/>
        <w:ind w:firstLine="1440"/>
        <w:contextualSpacing/>
        <w:rPr>
          <w:sz w:val="26"/>
          <w:szCs w:val="26"/>
        </w:rPr>
      </w:pPr>
      <w:r>
        <w:rPr>
          <w:sz w:val="26"/>
          <w:szCs w:val="26"/>
        </w:rPr>
        <w:t>Ms. Leung, as property owner, leased the Service Address to</w:t>
      </w:r>
      <w:r w:rsidR="00070655">
        <w:rPr>
          <w:sz w:val="26"/>
          <w:szCs w:val="26"/>
        </w:rPr>
        <w:t xml:space="preserve"> Christina Allen and Hamzah Yusuf, beginning November 1, </w:t>
      </w:r>
      <w:proofErr w:type="gramStart"/>
      <w:r w:rsidR="00070655">
        <w:rPr>
          <w:sz w:val="26"/>
          <w:szCs w:val="26"/>
        </w:rPr>
        <w:t>2016</w:t>
      </w:r>
      <w:proofErr w:type="gramEnd"/>
      <w:r w:rsidR="00070655">
        <w:rPr>
          <w:sz w:val="26"/>
          <w:szCs w:val="26"/>
        </w:rPr>
        <w:t xml:space="preserve"> through July 2017</w:t>
      </w:r>
      <w:r w:rsidR="00E43AE9">
        <w:rPr>
          <w:sz w:val="26"/>
          <w:szCs w:val="26"/>
        </w:rPr>
        <w:t xml:space="preserve">, where, pursuant to the </w:t>
      </w:r>
      <w:r w:rsidR="001800A0">
        <w:rPr>
          <w:sz w:val="26"/>
          <w:szCs w:val="26"/>
        </w:rPr>
        <w:t>Rental</w:t>
      </w:r>
      <w:r w:rsidR="00E43AE9">
        <w:rPr>
          <w:sz w:val="26"/>
          <w:szCs w:val="26"/>
        </w:rPr>
        <w:t xml:space="preserve"> </w:t>
      </w:r>
      <w:r w:rsidR="001800A0">
        <w:rPr>
          <w:sz w:val="26"/>
          <w:szCs w:val="26"/>
        </w:rPr>
        <w:t>A</w:t>
      </w:r>
      <w:r w:rsidR="00E43AE9">
        <w:rPr>
          <w:sz w:val="26"/>
          <w:szCs w:val="26"/>
        </w:rPr>
        <w:t xml:space="preserve">greement, Ms. Allen and Mr. </w:t>
      </w:r>
      <w:r w:rsidR="00F15D27">
        <w:rPr>
          <w:sz w:val="26"/>
          <w:szCs w:val="26"/>
        </w:rPr>
        <w:t>Yusuf</w:t>
      </w:r>
      <w:r w:rsidR="00E43AE9">
        <w:rPr>
          <w:sz w:val="26"/>
          <w:szCs w:val="26"/>
        </w:rPr>
        <w:t>, as tenants, are responsible for the utility service at the Service Address.</w:t>
      </w:r>
      <w:r w:rsidR="00070655">
        <w:rPr>
          <w:sz w:val="26"/>
          <w:szCs w:val="26"/>
        </w:rPr>
        <w:t xml:space="preserve">  </w:t>
      </w:r>
      <w:r w:rsidR="00E43AE9" w:rsidRPr="00E43AE9">
        <w:rPr>
          <w:i/>
          <w:iCs/>
          <w:sz w:val="26"/>
          <w:szCs w:val="26"/>
        </w:rPr>
        <w:t>See</w:t>
      </w:r>
      <w:r w:rsidR="00E43AE9">
        <w:rPr>
          <w:sz w:val="26"/>
          <w:szCs w:val="26"/>
        </w:rPr>
        <w:t xml:space="preserve"> </w:t>
      </w:r>
      <w:r w:rsidR="00070655">
        <w:rPr>
          <w:sz w:val="26"/>
          <w:szCs w:val="26"/>
        </w:rPr>
        <w:t>Tr. at 10, 22</w:t>
      </w:r>
      <w:r w:rsidR="00E43AE9">
        <w:rPr>
          <w:sz w:val="26"/>
          <w:szCs w:val="26"/>
        </w:rPr>
        <w:t xml:space="preserve">; </w:t>
      </w:r>
      <w:r w:rsidR="00E43AE9" w:rsidRPr="00E43AE9">
        <w:rPr>
          <w:i/>
          <w:iCs/>
          <w:sz w:val="26"/>
          <w:szCs w:val="26"/>
        </w:rPr>
        <w:t>See also</w:t>
      </w:r>
      <w:r w:rsidR="00E43AE9">
        <w:rPr>
          <w:sz w:val="26"/>
          <w:szCs w:val="26"/>
        </w:rPr>
        <w:t xml:space="preserve"> Complainant Exh. No. 1, Rental Agreement.</w:t>
      </w:r>
    </w:p>
    <w:p w14:paraId="709574F2" w14:textId="7CA997F7" w:rsidR="001E57CD" w:rsidRDefault="001E57CD" w:rsidP="009F7517">
      <w:pPr>
        <w:spacing w:after="0" w:line="360" w:lineRule="auto"/>
        <w:ind w:firstLine="1440"/>
        <w:contextualSpacing/>
        <w:rPr>
          <w:sz w:val="26"/>
          <w:szCs w:val="26"/>
        </w:rPr>
      </w:pPr>
    </w:p>
    <w:p w14:paraId="1137C9E2" w14:textId="16419D08" w:rsidR="005C68F6" w:rsidRDefault="005C68F6" w:rsidP="009F7517">
      <w:pPr>
        <w:spacing w:after="0" w:line="360" w:lineRule="auto"/>
        <w:ind w:firstLine="1440"/>
        <w:contextualSpacing/>
        <w:rPr>
          <w:sz w:val="26"/>
          <w:szCs w:val="26"/>
        </w:rPr>
      </w:pPr>
      <w:r w:rsidRPr="005C68F6">
        <w:rPr>
          <w:sz w:val="26"/>
          <w:szCs w:val="26"/>
        </w:rPr>
        <w:t xml:space="preserve">On November 26, 2016, Ms. Leung attempted to access her account with PGW’s </w:t>
      </w:r>
      <w:r>
        <w:rPr>
          <w:sz w:val="26"/>
          <w:szCs w:val="26"/>
        </w:rPr>
        <w:t>Landlord Cooperation Program (</w:t>
      </w:r>
      <w:r w:rsidRPr="005C68F6">
        <w:rPr>
          <w:sz w:val="26"/>
          <w:szCs w:val="26"/>
        </w:rPr>
        <w:t>LCP</w:t>
      </w:r>
      <w:r>
        <w:rPr>
          <w:sz w:val="26"/>
          <w:szCs w:val="26"/>
        </w:rPr>
        <w:t>)</w:t>
      </w:r>
      <w:r w:rsidRPr="005C68F6">
        <w:rPr>
          <w:sz w:val="26"/>
          <w:szCs w:val="26"/>
        </w:rPr>
        <w:t>.</w:t>
      </w:r>
      <w:r>
        <w:rPr>
          <w:sz w:val="26"/>
          <w:szCs w:val="26"/>
        </w:rPr>
        <w:t xml:space="preserve"> </w:t>
      </w:r>
      <w:r w:rsidRPr="005C68F6">
        <w:rPr>
          <w:sz w:val="26"/>
          <w:szCs w:val="26"/>
        </w:rPr>
        <w:t xml:space="preserve"> </w:t>
      </w:r>
      <w:r w:rsidRPr="005C68F6">
        <w:rPr>
          <w:i/>
          <w:iCs/>
          <w:sz w:val="26"/>
          <w:szCs w:val="26"/>
        </w:rPr>
        <w:t>See</w:t>
      </w:r>
      <w:r>
        <w:rPr>
          <w:sz w:val="26"/>
          <w:szCs w:val="26"/>
        </w:rPr>
        <w:t xml:space="preserve"> </w:t>
      </w:r>
      <w:r w:rsidRPr="005C68F6">
        <w:rPr>
          <w:sz w:val="26"/>
          <w:szCs w:val="26"/>
        </w:rPr>
        <w:t>Complainant Exh</w:t>
      </w:r>
      <w:r>
        <w:rPr>
          <w:sz w:val="26"/>
          <w:szCs w:val="26"/>
        </w:rPr>
        <w:t>. No.</w:t>
      </w:r>
      <w:r w:rsidRPr="005C68F6">
        <w:rPr>
          <w:sz w:val="26"/>
          <w:szCs w:val="26"/>
        </w:rPr>
        <w:t xml:space="preserve"> 1. </w:t>
      </w:r>
      <w:r>
        <w:rPr>
          <w:sz w:val="26"/>
          <w:szCs w:val="26"/>
        </w:rPr>
        <w:t xml:space="preserve"> </w:t>
      </w:r>
      <w:r w:rsidRPr="005C68F6">
        <w:rPr>
          <w:sz w:val="26"/>
          <w:szCs w:val="26"/>
        </w:rPr>
        <w:t xml:space="preserve">Soon after, she received an e-mail from PGW’s LCP assisting her with her log-in information and asking her whether she had a new tenant at the Service Address. </w:t>
      </w:r>
      <w:r>
        <w:rPr>
          <w:sz w:val="26"/>
          <w:szCs w:val="26"/>
        </w:rPr>
        <w:t xml:space="preserve"> </w:t>
      </w:r>
      <w:r w:rsidRPr="005C68F6">
        <w:rPr>
          <w:sz w:val="26"/>
          <w:szCs w:val="26"/>
        </w:rPr>
        <w:t xml:space="preserve">Tr. </w:t>
      </w:r>
      <w:r>
        <w:rPr>
          <w:sz w:val="26"/>
          <w:szCs w:val="26"/>
        </w:rPr>
        <w:t xml:space="preserve">at </w:t>
      </w:r>
      <w:r w:rsidRPr="005C68F6">
        <w:rPr>
          <w:sz w:val="26"/>
          <w:szCs w:val="26"/>
        </w:rPr>
        <w:t>13-14</w:t>
      </w:r>
      <w:r>
        <w:rPr>
          <w:sz w:val="26"/>
          <w:szCs w:val="26"/>
        </w:rPr>
        <w:t>;</w:t>
      </w:r>
      <w:r w:rsidRPr="005C68F6">
        <w:rPr>
          <w:sz w:val="26"/>
          <w:szCs w:val="26"/>
        </w:rPr>
        <w:t xml:space="preserve"> Complainant Ex</w:t>
      </w:r>
      <w:r>
        <w:rPr>
          <w:sz w:val="26"/>
          <w:szCs w:val="26"/>
        </w:rPr>
        <w:t>h. No.</w:t>
      </w:r>
      <w:r w:rsidRPr="005C68F6">
        <w:rPr>
          <w:sz w:val="26"/>
          <w:szCs w:val="26"/>
        </w:rPr>
        <w:t xml:space="preserve"> 1. </w:t>
      </w:r>
      <w:r>
        <w:rPr>
          <w:sz w:val="26"/>
          <w:szCs w:val="26"/>
        </w:rPr>
        <w:t xml:space="preserve"> </w:t>
      </w:r>
      <w:r w:rsidRPr="005C68F6">
        <w:rPr>
          <w:sz w:val="26"/>
          <w:szCs w:val="26"/>
        </w:rPr>
        <w:t xml:space="preserve">Ms. Leung e-mailed back to PGW’s LCP informing them that she did have new tenants at the Service Address and that she had informed them to place gas service in their name. </w:t>
      </w:r>
      <w:r>
        <w:rPr>
          <w:sz w:val="26"/>
          <w:szCs w:val="26"/>
        </w:rPr>
        <w:t xml:space="preserve"> </w:t>
      </w:r>
      <w:r w:rsidRPr="005C68F6">
        <w:rPr>
          <w:sz w:val="26"/>
          <w:szCs w:val="26"/>
        </w:rPr>
        <w:t>Tr.</w:t>
      </w:r>
      <w:r>
        <w:rPr>
          <w:sz w:val="26"/>
          <w:szCs w:val="26"/>
        </w:rPr>
        <w:t xml:space="preserve"> at</w:t>
      </w:r>
      <w:r w:rsidRPr="005C68F6">
        <w:rPr>
          <w:sz w:val="26"/>
          <w:szCs w:val="26"/>
        </w:rPr>
        <w:t xml:space="preserve"> 13-15</w:t>
      </w:r>
      <w:r>
        <w:rPr>
          <w:sz w:val="26"/>
          <w:szCs w:val="26"/>
        </w:rPr>
        <w:t>;</w:t>
      </w:r>
      <w:r w:rsidRPr="005C68F6">
        <w:rPr>
          <w:sz w:val="26"/>
          <w:szCs w:val="26"/>
        </w:rPr>
        <w:t xml:space="preserve"> Complainant Exh</w:t>
      </w:r>
      <w:r>
        <w:rPr>
          <w:sz w:val="26"/>
          <w:szCs w:val="26"/>
        </w:rPr>
        <w:t>. No.</w:t>
      </w:r>
      <w:r w:rsidRPr="005C68F6">
        <w:rPr>
          <w:sz w:val="26"/>
          <w:szCs w:val="26"/>
        </w:rPr>
        <w:t xml:space="preserve"> 1.</w:t>
      </w:r>
    </w:p>
    <w:p w14:paraId="0E558DFF" w14:textId="03351913" w:rsidR="005C68F6" w:rsidRDefault="005C68F6" w:rsidP="009F7517">
      <w:pPr>
        <w:spacing w:after="0" w:line="360" w:lineRule="auto"/>
        <w:ind w:firstLine="1440"/>
        <w:contextualSpacing/>
        <w:rPr>
          <w:sz w:val="26"/>
          <w:szCs w:val="26"/>
        </w:rPr>
      </w:pPr>
    </w:p>
    <w:p w14:paraId="270FB28A" w14:textId="14EFDEDC" w:rsidR="005C68F6" w:rsidRDefault="009002A5" w:rsidP="009F7517">
      <w:pPr>
        <w:spacing w:after="0" w:line="360" w:lineRule="auto"/>
        <w:ind w:firstLine="1440"/>
        <w:contextualSpacing/>
        <w:rPr>
          <w:sz w:val="26"/>
          <w:szCs w:val="26"/>
        </w:rPr>
      </w:pPr>
      <w:r w:rsidRPr="009002A5">
        <w:rPr>
          <w:sz w:val="26"/>
          <w:szCs w:val="26"/>
        </w:rPr>
        <w:t xml:space="preserve">By e-mail dated November 29, 2016, PGW’s LCP instructed Ms. Leung to have her tenants contact PGW’s Service Department so that they could apply for the service to be placed into their name. </w:t>
      </w:r>
      <w:r>
        <w:rPr>
          <w:sz w:val="26"/>
          <w:szCs w:val="26"/>
        </w:rPr>
        <w:t xml:space="preserve"> </w:t>
      </w:r>
      <w:r w:rsidRPr="009002A5">
        <w:rPr>
          <w:sz w:val="26"/>
          <w:szCs w:val="26"/>
        </w:rPr>
        <w:t xml:space="preserve">Tr. </w:t>
      </w:r>
      <w:r>
        <w:rPr>
          <w:sz w:val="26"/>
          <w:szCs w:val="26"/>
        </w:rPr>
        <w:t xml:space="preserve">at </w:t>
      </w:r>
      <w:r w:rsidRPr="009002A5">
        <w:rPr>
          <w:sz w:val="26"/>
          <w:szCs w:val="26"/>
        </w:rPr>
        <w:t>13-15</w:t>
      </w:r>
      <w:r>
        <w:rPr>
          <w:sz w:val="26"/>
          <w:szCs w:val="26"/>
        </w:rPr>
        <w:t>;</w:t>
      </w:r>
      <w:r w:rsidRPr="009002A5">
        <w:rPr>
          <w:sz w:val="26"/>
          <w:szCs w:val="26"/>
        </w:rPr>
        <w:t xml:space="preserve"> Complainant Exh</w:t>
      </w:r>
      <w:r>
        <w:rPr>
          <w:sz w:val="26"/>
          <w:szCs w:val="26"/>
        </w:rPr>
        <w:t>. No.</w:t>
      </w:r>
      <w:r w:rsidRPr="009002A5">
        <w:rPr>
          <w:sz w:val="26"/>
          <w:szCs w:val="26"/>
        </w:rPr>
        <w:t xml:space="preserve"> 1.</w:t>
      </w:r>
      <w:r w:rsidR="00BE0427">
        <w:rPr>
          <w:sz w:val="26"/>
          <w:szCs w:val="26"/>
        </w:rPr>
        <w:t xml:space="preserve">  </w:t>
      </w:r>
      <w:r w:rsidR="00BE0427" w:rsidRPr="00BE0427">
        <w:rPr>
          <w:sz w:val="26"/>
          <w:szCs w:val="26"/>
        </w:rPr>
        <w:t xml:space="preserve">Ms. Leung testified that she forwarded the November 29, 2016 e-mail from LCP to her tenants. </w:t>
      </w:r>
      <w:r w:rsidR="00BE0427">
        <w:rPr>
          <w:sz w:val="26"/>
          <w:szCs w:val="26"/>
        </w:rPr>
        <w:t xml:space="preserve"> </w:t>
      </w:r>
      <w:r w:rsidR="00BE0427" w:rsidRPr="00BE0427">
        <w:rPr>
          <w:sz w:val="26"/>
          <w:szCs w:val="26"/>
        </w:rPr>
        <w:t xml:space="preserve">By e-mail dated December 27, 2016, Ms. Allen informed Ms. Leung that she had placed gas, electric and water service in her name. </w:t>
      </w:r>
      <w:r w:rsidR="00BE0427">
        <w:rPr>
          <w:sz w:val="26"/>
          <w:szCs w:val="26"/>
        </w:rPr>
        <w:t xml:space="preserve"> </w:t>
      </w:r>
      <w:r w:rsidR="00BE0427" w:rsidRPr="00BE0427">
        <w:rPr>
          <w:sz w:val="26"/>
          <w:szCs w:val="26"/>
        </w:rPr>
        <w:t>Tr.</w:t>
      </w:r>
      <w:r w:rsidR="00BE0427">
        <w:rPr>
          <w:sz w:val="26"/>
          <w:szCs w:val="26"/>
        </w:rPr>
        <w:t xml:space="preserve"> at</w:t>
      </w:r>
      <w:r w:rsidR="00BE0427" w:rsidRPr="00BE0427">
        <w:rPr>
          <w:sz w:val="26"/>
          <w:szCs w:val="26"/>
        </w:rPr>
        <w:t xml:space="preserve"> 13</w:t>
      </w:r>
      <w:r w:rsidR="00BE0427">
        <w:rPr>
          <w:sz w:val="26"/>
          <w:szCs w:val="26"/>
        </w:rPr>
        <w:t>;</w:t>
      </w:r>
      <w:r w:rsidR="00BE0427" w:rsidRPr="00BE0427">
        <w:rPr>
          <w:sz w:val="26"/>
          <w:szCs w:val="26"/>
        </w:rPr>
        <w:t xml:space="preserve"> Complainant Exh</w:t>
      </w:r>
      <w:r w:rsidR="00BE0427">
        <w:rPr>
          <w:sz w:val="26"/>
          <w:szCs w:val="26"/>
        </w:rPr>
        <w:t>. No.</w:t>
      </w:r>
      <w:r w:rsidR="00BE0427" w:rsidRPr="00BE0427">
        <w:rPr>
          <w:sz w:val="26"/>
          <w:szCs w:val="26"/>
        </w:rPr>
        <w:t xml:space="preserve"> 1.</w:t>
      </w:r>
      <w:r w:rsidR="00BE0427">
        <w:rPr>
          <w:sz w:val="26"/>
          <w:szCs w:val="26"/>
        </w:rPr>
        <w:t xml:space="preserve">  </w:t>
      </w:r>
    </w:p>
    <w:p w14:paraId="2250FC2D" w14:textId="07506BDA" w:rsidR="009F7517" w:rsidRDefault="009F7517" w:rsidP="00D30342">
      <w:pPr>
        <w:spacing w:after="0" w:line="360" w:lineRule="auto"/>
        <w:ind w:firstLine="1440"/>
        <w:contextualSpacing/>
        <w:rPr>
          <w:sz w:val="26"/>
          <w:szCs w:val="26"/>
        </w:rPr>
      </w:pPr>
    </w:p>
    <w:p w14:paraId="1730B076" w14:textId="292C9C94" w:rsidR="009F7517" w:rsidRDefault="000051ED" w:rsidP="007F61BC">
      <w:pPr>
        <w:spacing w:after="0" w:line="360" w:lineRule="auto"/>
        <w:ind w:firstLine="1440"/>
        <w:contextualSpacing/>
        <w:rPr>
          <w:sz w:val="26"/>
          <w:szCs w:val="26"/>
        </w:rPr>
      </w:pPr>
      <w:r w:rsidRPr="000051ED">
        <w:rPr>
          <w:sz w:val="26"/>
          <w:szCs w:val="26"/>
        </w:rPr>
        <w:t xml:space="preserve">Despite Ms. Allen’s assurances to the contrary, electric service at the Service Address remained in Ms. Leung’s name until April 2017. </w:t>
      </w:r>
      <w:r>
        <w:rPr>
          <w:sz w:val="26"/>
          <w:szCs w:val="26"/>
        </w:rPr>
        <w:t xml:space="preserve"> </w:t>
      </w:r>
      <w:r w:rsidRPr="000051ED">
        <w:rPr>
          <w:sz w:val="26"/>
          <w:szCs w:val="26"/>
        </w:rPr>
        <w:t>Tr.</w:t>
      </w:r>
      <w:r>
        <w:rPr>
          <w:sz w:val="26"/>
          <w:szCs w:val="26"/>
        </w:rPr>
        <w:t xml:space="preserve"> at</w:t>
      </w:r>
      <w:r w:rsidRPr="000051ED">
        <w:rPr>
          <w:sz w:val="26"/>
          <w:szCs w:val="26"/>
        </w:rPr>
        <w:t xml:space="preserve"> 10-11</w:t>
      </w:r>
      <w:r>
        <w:rPr>
          <w:sz w:val="26"/>
          <w:szCs w:val="26"/>
        </w:rPr>
        <w:t>;</w:t>
      </w:r>
      <w:r w:rsidRPr="000051ED">
        <w:rPr>
          <w:sz w:val="26"/>
          <w:szCs w:val="26"/>
        </w:rPr>
        <w:t xml:space="preserve"> Complainant Exh</w:t>
      </w:r>
      <w:r>
        <w:rPr>
          <w:sz w:val="26"/>
          <w:szCs w:val="26"/>
        </w:rPr>
        <w:t>. No.</w:t>
      </w:r>
      <w:r w:rsidRPr="000051ED">
        <w:rPr>
          <w:sz w:val="26"/>
          <w:szCs w:val="26"/>
        </w:rPr>
        <w:t xml:space="preserve"> 1.</w:t>
      </w:r>
      <w:r>
        <w:rPr>
          <w:sz w:val="26"/>
          <w:szCs w:val="26"/>
        </w:rPr>
        <w:t xml:space="preserve"> </w:t>
      </w:r>
      <w:r w:rsidRPr="000051ED">
        <w:rPr>
          <w:sz w:val="26"/>
          <w:szCs w:val="26"/>
        </w:rPr>
        <w:t xml:space="preserve"> Ms. Leung testified that the electric bills for the Service Address were mailed to her residence. </w:t>
      </w:r>
      <w:r>
        <w:rPr>
          <w:sz w:val="26"/>
          <w:szCs w:val="26"/>
        </w:rPr>
        <w:t xml:space="preserve"> </w:t>
      </w:r>
      <w:r w:rsidRPr="000051ED">
        <w:rPr>
          <w:sz w:val="26"/>
          <w:szCs w:val="26"/>
        </w:rPr>
        <w:t xml:space="preserve">Tr. </w:t>
      </w:r>
      <w:r>
        <w:rPr>
          <w:sz w:val="26"/>
          <w:szCs w:val="26"/>
        </w:rPr>
        <w:t xml:space="preserve">at </w:t>
      </w:r>
      <w:r w:rsidRPr="000051ED">
        <w:rPr>
          <w:sz w:val="26"/>
          <w:szCs w:val="26"/>
        </w:rPr>
        <w:t>10-11</w:t>
      </w:r>
      <w:r>
        <w:rPr>
          <w:sz w:val="26"/>
          <w:szCs w:val="26"/>
        </w:rPr>
        <w:t xml:space="preserve">; </w:t>
      </w:r>
      <w:r w:rsidRPr="000051ED">
        <w:rPr>
          <w:sz w:val="26"/>
          <w:szCs w:val="26"/>
        </w:rPr>
        <w:t>Complainant Exh</w:t>
      </w:r>
      <w:r>
        <w:rPr>
          <w:sz w:val="26"/>
          <w:szCs w:val="26"/>
        </w:rPr>
        <w:t>. No.</w:t>
      </w:r>
      <w:r w:rsidRPr="000051ED">
        <w:rPr>
          <w:sz w:val="26"/>
          <w:szCs w:val="26"/>
        </w:rPr>
        <w:t xml:space="preserve"> 1. </w:t>
      </w:r>
      <w:r>
        <w:rPr>
          <w:sz w:val="26"/>
          <w:szCs w:val="26"/>
        </w:rPr>
        <w:t xml:space="preserve"> </w:t>
      </w:r>
      <w:r w:rsidRPr="000051ED">
        <w:rPr>
          <w:sz w:val="26"/>
          <w:szCs w:val="26"/>
        </w:rPr>
        <w:t>On or before April of 2017, Ms. Leung opened a billing dispute with PECO</w:t>
      </w:r>
      <w:r w:rsidR="004C3B68">
        <w:rPr>
          <w:sz w:val="26"/>
          <w:szCs w:val="26"/>
        </w:rPr>
        <w:t xml:space="preserve"> Energy Company </w:t>
      </w:r>
      <w:r w:rsidR="004C3B68">
        <w:rPr>
          <w:sz w:val="26"/>
          <w:szCs w:val="26"/>
        </w:rPr>
        <w:lastRenderedPageBreak/>
        <w:t>(PECO)</w:t>
      </w:r>
      <w:r w:rsidRPr="000051ED">
        <w:rPr>
          <w:sz w:val="26"/>
          <w:szCs w:val="26"/>
        </w:rPr>
        <w:t xml:space="preserve"> because she was being billed for service at the Service Address and requested that PECO place electric service for the Service Address in Ms. Allen’s name.</w:t>
      </w:r>
      <w:r>
        <w:rPr>
          <w:sz w:val="26"/>
          <w:szCs w:val="26"/>
        </w:rPr>
        <w:t xml:space="preserve"> </w:t>
      </w:r>
      <w:r w:rsidRPr="000051ED">
        <w:rPr>
          <w:sz w:val="26"/>
          <w:szCs w:val="26"/>
        </w:rPr>
        <w:t xml:space="preserve"> Tr.</w:t>
      </w:r>
      <w:r w:rsidR="00020152">
        <w:rPr>
          <w:sz w:val="26"/>
          <w:szCs w:val="26"/>
        </w:rPr>
        <w:t> </w:t>
      </w:r>
      <w:r>
        <w:rPr>
          <w:sz w:val="26"/>
          <w:szCs w:val="26"/>
        </w:rPr>
        <w:t>at</w:t>
      </w:r>
      <w:r w:rsidR="00020152">
        <w:rPr>
          <w:sz w:val="26"/>
          <w:szCs w:val="26"/>
        </w:rPr>
        <w:t> </w:t>
      </w:r>
      <w:r w:rsidRPr="000051ED">
        <w:rPr>
          <w:sz w:val="26"/>
          <w:szCs w:val="26"/>
        </w:rPr>
        <w:t>11</w:t>
      </w:r>
      <w:r w:rsidR="00020152">
        <w:rPr>
          <w:sz w:val="26"/>
          <w:szCs w:val="26"/>
        </w:rPr>
        <w:noBreakHyphen/>
      </w:r>
      <w:r w:rsidRPr="000051ED">
        <w:rPr>
          <w:sz w:val="26"/>
          <w:szCs w:val="26"/>
        </w:rPr>
        <w:t>13</w:t>
      </w:r>
      <w:r>
        <w:rPr>
          <w:sz w:val="26"/>
          <w:szCs w:val="26"/>
        </w:rPr>
        <w:t>;</w:t>
      </w:r>
      <w:r w:rsidRPr="000051ED">
        <w:rPr>
          <w:sz w:val="26"/>
          <w:szCs w:val="26"/>
        </w:rPr>
        <w:t xml:space="preserve"> Complainant </w:t>
      </w:r>
      <w:proofErr w:type="spellStart"/>
      <w:r w:rsidRPr="000051ED">
        <w:rPr>
          <w:sz w:val="26"/>
          <w:szCs w:val="26"/>
        </w:rPr>
        <w:t>Exh</w:t>
      </w:r>
      <w:proofErr w:type="spellEnd"/>
      <w:r>
        <w:rPr>
          <w:sz w:val="26"/>
          <w:szCs w:val="26"/>
        </w:rPr>
        <w:t>. No.</w:t>
      </w:r>
      <w:r w:rsidRPr="000051ED">
        <w:rPr>
          <w:sz w:val="26"/>
          <w:szCs w:val="26"/>
        </w:rPr>
        <w:t xml:space="preserve"> 1.</w:t>
      </w:r>
    </w:p>
    <w:p w14:paraId="6B9B3081" w14:textId="77777777" w:rsidR="004C3B68" w:rsidRDefault="004C3B68" w:rsidP="007F61BC">
      <w:pPr>
        <w:spacing w:after="0" w:line="360" w:lineRule="auto"/>
        <w:ind w:firstLine="1440"/>
        <w:contextualSpacing/>
        <w:rPr>
          <w:sz w:val="26"/>
          <w:szCs w:val="26"/>
        </w:rPr>
      </w:pPr>
    </w:p>
    <w:p w14:paraId="0E192EAD" w14:textId="4A38AD1C" w:rsidR="00320DB2" w:rsidRPr="00D30342" w:rsidRDefault="00320DB2" w:rsidP="00D30342">
      <w:pPr>
        <w:spacing w:after="0" w:line="360" w:lineRule="auto"/>
        <w:ind w:firstLine="1440"/>
        <w:contextualSpacing/>
        <w:rPr>
          <w:sz w:val="26"/>
          <w:szCs w:val="26"/>
        </w:rPr>
      </w:pPr>
      <w:r w:rsidRPr="00320DB2">
        <w:rPr>
          <w:sz w:val="26"/>
          <w:szCs w:val="26"/>
        </w:rPr>
        <w:t xml:space="preserve">According to Ms. Leung, Ms. Allen and Mr. Yusuf moved out of the Service Address in July 2017. </w:t>
      </w:r>
      <w:r>
        <w:rPr>
          <w:sz w:val="26"/>
          <w:szCs w:val="26"/>
        </w:rPr>
        <w:t xml:space="preserve"> </w:t>
      </w:r>
      <w:r w:rsidRPr="00320DB2">
        <w:rPr>
          <w:sz w:val="26"/>
          <w:szCs w:val="26"/>
        </w:rPr>
        <w:t xml:space="preserve">Tr. </w:t>
      </w:r>
      <w:r>
        <w:rPr>
          <w:sz w:val="26"/>
          <w:szCs w:val="26"/>
        </w:rPr>
        <w:t xml:space="preserve">at </w:t>
      </w:r>
      <w:r w:rsidRPr="00320DB2">
        <w:rPr>
          <w:sz w:val="26"/>
          <w:szCs w:val="26"/>
        </w:rPr>
        <w:t xml:space="preserve">22. </w:t>
      </w:r>
      <w:r>
        <w:rPr>
          <w:sz w:val="26"/>
          <w:szCs w:val="26"/>
        </w:rPr>
        <w:t xml:space="preserve"> </w:t>
      </w:r>
      <w:r w:rsidRPr="00320DB2">
        <w:rPr>
          <w:sz w:val="26"/>
          <w:szCs w:val="26"/>
        </w:rPr>
        <w:t>She admitted that after they moved out, she did not contact PGW</w:t>
      </w:r>
      <w:r w:rsidRPr="00320DB2">
        <w:rPr>
          <w:rFonts w:eastAsiaTheme="minorHAnsi"/>
          <w:color w:val="000000"/>
          <w:sz w:val="23"/>
          <w:szCs w:val="23"/>
        </w:rPr>
        <w:t xml:space="preserve"> </w:t>
      </w:r>
      <w:r w:rsidRPr="00320DB2">
        <w:rPr>
          <w:sz w:val="26"/>
          <w:szCs w:val="26"/>
        </w:rPr>
        <w:t xml:space="preserve">to have the service at the Service Address terminated or placed in her name. </w:t>
      </w:r>
      <w:r>
        <w:rPr>
          <w:sz w:val="26"/>
          <w:szCs w:val="26"/>
        </w:rPr>
        <w:t xml:space="preserve"> </w:t>
      </w:r>
      <w:r w:rsidRPr="00320DB2">
        <w:rPr>
          <w:sz w:val="26"/>
          <w:szCs w:val="26"/>
        </w:rPr>
        <w:t>Tr.</w:t>
      </w:r>
      <w:r>
        <w:rPr>
          <w:sz w:val="26"/>
          <w:szCs w:val="26"/>
        </w:rPr>
        <w:t xml:space="preserve"> at</w:t>
      </w:r>
      <w:r w:rsidRPr="00320DB2">
        <w:rPr>
          <w:sz w:val="26"/>
          <w:szCs w:val="26"/>
        </w:rPr>
        <w:t xml:space="preserve"> 21.</w:t>
      </w:r>
      <w:r>
        <w:rPr>
          <w:sz w:val="26"/>
          <w:szCs w:val="26"/>
        </w:rPr>
        <w:t xml:space="preserve"> </w:t>
      </w:r>
      <w:r w:rsidRPr="00320DB2">
        <w:rPr>
          <w:sz w:val="26"/>
          <w:szCs w:val="26"/>
        </w:rPr>
        <w:t xml:space="preserve"> On February 17, 2019, Mr. Leung was contacted by a collection agency that informed her of the outstanding balance with PGW for the Service Address. </w:t>
      </w:r>
      <w:r>
        <w:rPr>
          <w:sz w:val="26"/>
          <w:szCs w:val="26"/>
        </w:rPr>
        <w:t xml:space="preserve"> </w:t>
      </w:r>
      <w:r w:rsidRPr="00320DB2">
        <w:rPr>
          <w:sz w:val="26"/>
          <w:szCs w:val="26"/>
        </w:rPr>
        <w:t>Tr.</w:t>
      </w:r>
      <w:r w:rsidR="00020152">
        <w:rPr>
          <w:sz w:val="26"/>
          <w:szCs w:val="26"/>
        </w:rPr>
        <w:t> a</w:t>
      </w:r>
      <w:r>
        <w:rPr>
          <w:sz w:val="26"/>
          <w:szCs w:val="26"/>
        </w:rPr>
        <w:t>t</w:t>
      </w:r>
      <w:r w:rsidR="00A2479D">
        <w:rPr>
          <w:sz w:val="26"/>
          <w:szCs w:val="26"/>
        </w:rPr>
        <w:t> </w:t>
      </w:r>
      <w:r w:rsidRPr="00320DB2">
        <w:rPr>
          <w:sz w:val="26"/>
          <w:szCs w:val="26"/>
        </w:rPr>
        <w:t>28.</w:t>
      </w:r>
    </w:p>
    <w:p w14:paraId="553D13E9" w14:textId="6EAC66FF" w:rsidR="001A6FE6" w:rsidRDefault="001A6FE6" w:rsidP="001A6FE6">
      <w:pPr>
        <w:spacing w:after="0" w:line="360" w:lineRule="auto"/>
        <w:ind w:firstLine="1440"/>
        <w:contextualSpacing/>
        <w:rPr>
          <w:sz w:val="26"/>
          <w:szCs w:val="26"/>
        </w:rPr>
      </w:pPr>
    </w:p>
    <w:p w14:paraId="6723A61A" w14:textId="1F8D8E15" w:rsidR="004723DB" w:rsidRDefault="00ED0D6C" w:rsidP="00BE31C0">
      <w:pPr>
        <w:spacing w:after="0" w:line="360" w:lineRule="auto"/>
        <w:ind w:firstLine="1440"/>
        <w:contextualSpacing/>
        <w:rPr>
          <w:sz w:val="26"/>
          <w:szCs w:val="26"/>
        </w:rPr>
      </w:pPr>
      <w:r w:rsidRPr="00ED0D6C">
        <w:rPr>
          <w:sz w:val="26"/>
          <w:szCs w:val="26"/>
        </w:rPr>
        <w:t xml:space="preserve">In response to Ms. Leung’s testimony, PGW presented the testimony of Jessica Glace. </w:t>
      </w:r>
      <w:r>
        <w:rPr>
          <w:sz w:val="26"/>
          <w:szCs w:val="26"/>
        </w:rPr>
        <w:t xml:space="preserve"> </w:t>
      </w:r>
      <w:r w:rsidRPr="00ED0D6C">
        <w:rPr>
          <w:sz w:val="26"/>
          <w:szCs w:val="26"/>
        </w:rPr>
        <w:t xml:space="preserve">Ms. Glace testified that </w:t>
      </w:r>
      <w:r>
        <w:rPr>
          <w:sz w:val="26"/>
          <w:szCs w:val="26"/>
        </w:rPr>
        <w:t>the Complainant</w:t>
      </w:r>
      <w:r w:rsidRPr="00ED0D6C">
        <w:rPr>
          <w:sz w:val="26"/>
          <w:szCs w:val="26"/>
        </w:rPr>
        <w:t xml:space="preserve"> contacted PGW via telephone on October 17, 2016 and requested to place the gas service for the Service Address in her name.</w:t>
      </w:r>
      <w:r>
        <w:rPr>
          <w:sz w:val="26"/>
          <w:szCs w:val="26"/>
        </w:rPr>
        <w:t xml:space="preserve"> </w:t>
      </w:r>
      <w:r w:rsidRPr="00ED0D6C">
        <w:rPr>
          <w:sz w:val="26"/>
          <w:szCs w:val="26"/>
        </w:rPr>
        <w:t xml:space="preserve"> Tr. </w:t>
      </w:r>
      <w:r>
        <w:rPr>
          <w:sz w:val="26"/>
          <w:szCs w:val="26"/>
        </w:rPr>
        <w:t xml:space="preserve">at </w:t>
      </w:r>
      <w:r w:rsidRPr="00ED0D6C">
        <w:rPr>
          <w:sz w:val="26"/>
          <w:szCs w:val="26"/>
        </w:rPr>
        <w:t>37</w:t>
      </w:r>
      <w:r>
        <w:rPr>
          <w:sz w:val="26"/>
          <w:szCs w:val="26"/>
        </w:rPr>
        <w:t>;</w:t>
      </w:r>
      <w:r w:rsidRPr="00ED0D6C">
        <w:rPr>
          <w:sz w:val="26"/>
          <w:szCs w:val="26"/>
        </w:rPr>
        <w:t xml:space="preserve"> PGW Exh</w:t>
      </w:r>
      <w:r>
        <w:rPr>
          <w:sz w:val="26"/>
          <w:szCs w:val="26"/>
        </w:rPr>
        <w:t>. No.</w:t>
      </w:r>
      <w:r w:rsidRPr="00ED0D6C">
        <w:rPr>
          <w:sz w:val="26"/>
          <w:szCs w:val="26"/>
        </w:rPr>
        <w:t xml:space="preserve"> 1.</w:t>
      </w:r>
      <w:r>
        <w:rPr>
          <w:sz w:val="26"/>
          <w:szCs w:val="26"/>
        </w:rPr>
        <w:t xml:space="preserve"> </w:t>
      </w:r>
      <w:r w:rsidRPr="00ED0D6C">
        <w:rPr>
          <w:sz w:val="26"/>
          <w:szCs w:val="26"/>
        </w:rPr>
        <w:t xml:space="preserve"> During this phone call Ms. Leung did not provide or request that an address different from the Service Address be used for billing purposes. </w:t>
      </w:r>
      <w:r>
        <w:rPr>
          <w:sz w:val="26"/>
          <w:szCs w:val="26"/>
        </w:rPr>
        <w:t xml:space="preserve"> </w:t>
      </w:r>
      <w:r w:rsidRPr="00ED0D6C">
        <w:rPr>
          <w:sz w:val="26"/>
          <w:szCs w:val="26"/>
        </w:rPr>
        <w:t>Tr.</w:t>
      </w:r>
      <w:r>
        <w:rPr>
          <w:sz w:val="26"/>
          <w:szCs w:val="26"/>
        </w:rPr>
        <w:t xml:space="preserve"> at</w:t>
      </w:r>
      <w:r w:rsidRPr="00ED0D6C">
        <w:rPr>
          <w:sz w:val="26"/>
          <w:szCs w:val="26"/>
        </w:rPr>
        <w:t xml:space="preserve"> 38, 48</w:t>
      </w:r>
      <w:r>
        <w:rPr>
          <w:sz w:val="26"/>
          <w:szCs w:val="26"/>
        </w:rPr>
        <w:t>;</w:t>
      </w:r>
      <w:r w:rsidRPr="00ED0D6C">
        <w:rPr>
          <w:sz w:val="26"/>
          <w:szCs w:val="26"/>
        </w:rPr>
        <w:t xml:space="preserve"> PGW Exh</w:t>
      </w:r>
      <w:r>
        <w:rPr>
          <w:sz w:val="26"/>
          <w:szCs w:val="26"/>
        </w:rPr>
        <w:t>. No.</w:t>
      </w:r>
      <w:r w:rsidRPr="00ED0D6C">
        <w:rPr>
          <w:sz w:val="26"/>
          <w:szCs w:val="26"/>
        </w:rPr>
        <w:t xml:space="preserve"> 1. </w:t>
      </w:r>
      <w:r>
        <w:rPr>
          <w:sz w:val="26"/>
          <w:szCs w:val="26"/>
        </w:rPr>
        <w:t xml:space="preserve"> </w:t>
      </w:r>
      <w:r w:rsidRPr="00ED0D6C">
        <w:rPr>
          <w:sz w:val="26"/>
          <w:szCs w:val="26"/>
        </w:rPr>
        <w:t>PGW ran a credit check on Ms. Leung after collecting her date of birth, telephone number and the last four digits of her Social Security Number as identifying information.</w:t>
      </w:r>
      <w:r>
        <w:rPr>
          <w:sz w:val="26"/>
          <w:szCs w:val="26"/>
        </w:rPr>
        <w:t xml:space="preserve"> </w:t>
      </w:r>
      <w:r w:rsidRPr="00ED0D6C">
        <w:rPr>
          <w:sz w:val="26"/>
          <w:szCs w:val="26"/>
        </w:rPr>
        <w:t xml:space="preserve"> Tr. </w:t>
      </w:r>
      <w:r>
        <w:rPr>
          <w:sz w:val="26"/>
          <w:szCs w:val="26"/>
        </w:rPr>
        <w:t xml:space="preserve">at </w:t>
      </w:r>
      <w:r w:rsidRPr="00ED0D6C">
        <w:rPr>
          <w:sz w:val="26"/>
          <w:szCs w:val="26"/>
        </w:rPr>
        <w:t xml:space="preserve">38, 46. </w:t>
      </w:r>
      <w:r>
        <w:rPr>
          <w:sz w:val="26"/>
          <w:szCs w:val="26"/>
        </w:rPr>
        <w:t xml:space="preserve"> PGW</w:t>
      </w:r>
      <w:r w:rsidRPr="00ED0D6C">
        <w:rPr>
          <w:sz w:val="26"/>
          <w:szCs w:val="26"/>
        </w:rPr>
        <w:t xml:space="preserve"> waived the security deposit after Ms. Leung’s record passed the credit check. </w:t>
      </w:r>
      <w:r>
        <w:rPr>
          <w:sz w:val="26"/>
          <w:szCs w:val="26"/>
        </w:rPr>
        <w:t xml:space="preserve"> </w:t>
      </w:r>
      <w:r w:rsidRPr="00ED0D6C">
        <w:rPr>
          <w:sz w:val="26"/>
          <w:szCs w:val="26"/>
        </w:rPr>
        <w:t>Tr.</w:t>
      </w:r>
      <w:r>
        <w:rPr>
          <w:sz w:val="26"/>
          <w:szCs w:val="26"/>
        </w:rPr>
        <w:t xml:space="preserve"> at</w:t>
      </w:r>
      <w:r w:rsidRPr="00ED0D6C">
        <w:rPr>
          <w:sz w:val="26"/>
          <w:szCs w:val="26"/>
        </w:rPr>
        <w:t xml:space="preserve"> 38, 48</w:t>
      </w:r>
      <w:r>
        <w:rPr>
          <w:sz w:val="26"/>
          <w:szCs w:val="26"/>
        </w:rPr>
        <w:t>;</w:t>
      </w:r>
      <w:r w:rsidRPr="00ED0D6C">
        <w:rPr>
          <w:sz w:val="26"/>
          <w:szCs w:val="26"/>
        </w:rPr>
        <w:t xml:space="preserve"> PGW Exh</w:t>
      </w:r>
      <w:r>
        <w:rPr>
          <w:sz w:val="26"/>
          <w:szCs w:val="26"/>
        </w:rPr>
        <w:t>. No.</w:t>
      </w:r>
      <w:r w:rsidRPr="00ED0D6C">
        <w:rPr>
          <w:sz w:val="26"/>
          <w:szCs w:val="26"/>
        </w:rPr>
        <w:t xml:space="preserve"> 1. </w:t>
      </w:r>
      <w:r>
        <w:rPr>
          <w:sz w:val="26"/>
          <w:szCs w:val="26"/>
        </w:rPr>
        <w:t xml:space="preserve"> </w:t>
      </w:r>
      <w:r w:rsidRPr="00ED0D6C">
        <w:rPr>
          <w:sz w:val="26"/>
          <w:szCs w:val="26"/>
        </w:rPr>
        <w:t xml:space="preserve">Service was placed in Ms. Leung’s name and the first bill was issued on December 16, 2016. </w:t>
      </w:r>
      <w:r>
        <w:rPr>
          <w:sz w:val="26"/>
          <w:szCs w:val="26"/>
        </w:rPr>
        <w:t xml:space="preserve"> </w:t>
      </w:r>
      <w:r w:rsidRPr="00ED0D6C">
        <w:rPr>
          <w:i/>
          <w:iCs/>
          <w:sz w:val="26"/>
          <w:szCs w:val="26"/>
        </w:rPr>
        <w:t>Id.</w:t>
      </w:r>
    </w:p>
    <w:p w14:paraId="171A6CC4" w14:textId="77777777" w:rsidR="004723DB" w:rsidRDefault="004723DB" w:rsidP="008B0E22">
      <w:pPr>
        <w:spacing w:after="0" w:line="360" w:lineRule="auto"/>
        <w:contextualSpacing/>
        <w:rPr>
          <w:sz w:val="26"/>
          <w:szCs w:val="26"/>
        </w:rPr>
      </w:pPr>
    </w:p>
    <w:p w14:paraId="29F3D71B" w14:textId="50A0210D" w:rsidR="001A6FE6" w:rsidRDefault="00D71EFB" w:rsidP="00EA0FE5">
      <w:pPr>
        <w:spacing w:after="0" w:line="360" w:lineRule="auto"/>
        <w:ind w:firstLine="1440"/>
        <w:contextualSpacing/>
        <w:rPr>
          <w:sz w:val="26"/>
          <w:szCs w:val="26"/>
        </w:rPr>
      </w:pPr>
      <w:r>
        <w:rPr>
          <w:sz w:val="26"/>
          <w:szCs w:val="26"/>
        </w:rPr>
        <w:t xml:space="preserve">Consistent with the Complainant’s testimony, Ms. Glace testified that Ms. Allen had contacted PGW requesting service in her name at the Service Address; however, </w:t>
      </w:r>
      <w:r w:rsidRPr="00D71EFB">
        <w:rPr>
          <w:sz w:val="26"/>
          <w:szCs w:val="26"/>
        </w:rPr>
        <w:t xml:space="preserve">she was referred to </w:t>
      </w:r>
      <w:r w:rsidR="005D1B37">
        <w:rPr>
          <w:sz w:val="26"/>
          <w:szCs w:val="26"/>
        </w:rPr>
        <w:t>PGW’s</w:t>
      </w:r>
      <w:r w:rsidRPr="00D71EFB">
        <w:rPr>
          <w:sz w:val="26"/>
          <w:szCs w:val="26"/>
        </w:rPr>
        <w:t xml:space="preserve"> local office because the Experian credit report had flagged an identity issue involving the name provided by Ms. Allen. </w:t>
      </w:r>
      <w:r>
        <w:rPr>
          <w:sz w:val="26"/>
          <w:szCs w:val="26"/>
        </w:rPr>
        <w:t xml:space="preserve"> </w:t>
      </w:r>
      <w:r w:rsidRPr="00D71EFB">
        <w:rPr>
          <w:sz w:val="26"/>
          <w:szCs w:val="26"/>
        </w:rPr>
        <w:t>Tr.</w:t>
      </w:r>
      <w:r>
        <w:rPr>
          <w:sz w:val="26"/>
          <w:szCs w:val="26"/>
        </w:rPr>
        <w:t xml:space="preserve"> at</w:t>
      </w:r>
      <w:r w:rsidRPr="00D71EFB">
        <w:rPr>
          <w:sz w:val="26"/>
          <w:szCs w:val="26"/>
        </w:rPr>
        <w:t xml:space="preserve"> 42-43. </w:t>
      </w:r>
      <w:r>
        <w:rPr>
          <w:sz w:val="26"/>
          <w:szCs w:val="26"/>
        </w:rPr>
        <w:t xml:space="preserve"> </w:t>
      </w:r>
      <w:r w:rsidRPr="00D71EFB">
        <w:rPr>
          <w:sz w:val="26"/>
          <w:szCs w:val="26"/>
        </w:rPr>
        <w:t>Ms. Allen did not follow PGW’s instructions and therefore, PGW was not able to place the account in her name.</w:t>
      </w:r>
      <w:r>
        <w:rPr>
          <w:sz w:val="26"/>
          <w:szCs w:val="26"/>
        </w:rPr>
        <w:t xml:space="preserve"> </w:t>
      </w:r>
      <w:r w:rsidRPr="00D71EFB">
        <w:rPr>
          <w:sz w:val="26"/>
          <w:szCs w:val="26"/>
        </w:rPr>
        <w:t xml:space="preserve"> Tr.</w:t>
      </w:r>
      <w:r>
        <w:rPr>
          <w:sz w:val="26"/>
          <w:szCs w:val="26"/>
        </w:rPr>
        <w:t xml:space="preserve"> at</w:t>
      </w:r>
      <w:r w:rsidRPr="00D71EFB">
        <w:rPr>
          <w:sz w:val="26"/>
          <w:szCs w:val="26"/>
        </w:rPr>
        <w:t xml:space="preserve"> 43.</w:t>
      </w:r>
    </w:p>
    <w:p w14:paraId="745D2F31" w14:textId="77777777" w:rsidR="00D71EFB" w:rsidRDefault="00D71EFB" w:rsidP="00EA0FE5">
      <w:pPr>
        <w:spacing w:after="0" w:line="360" w:lineRule="auto"/>
        <w:ind w:firstLine="1440"/>
        <w:contextualSpacing/>
        <w:rPr>
          <w:sz w:val="26"/>
          <w:szCs w:val="26"/>
        </w:rPr>
      </w:pPr>
    </w:p>
    <w:p w14:paraId="20D77AC1" w14:textId="5668B1CF" w:rsidR="00EA0FE5" w:rsidRDefault="006B2A4C" w:rsidP="00020152">
      <w:pPr>
        <w:spacing w:after="0" w:line="360" w:lineRule="auto"/>
        <w:ind w:firstLine="1440"/>
        <w:contextualSpacing/>
        <w:rPr>
          <w:sz w:val="26"/>
          <w:szCs w:val="26"/>
        </w:rPr>
      </w:pPr>
      <w:r w:rsidRPr="006B2A4C">
        <w:rPr>
          <w:sz w:val="26"/>
          <w:szCs w:val="26"/>
        </w:rPr>
        <w:lastRenderedPageBreak/>
        <w:t xml:space="preserve">Ms. Glace testified that gas service for the Service Address was in Ms. Leung’s name from October 17, 2016 through August </w:t>
      </w:r>
      <w:r>
        <w:rPr>
          <w:sz w:val="26"/>
          <w:szCs w:val="26"/>
        </w:rPr>
        <w:t>4</w:t>
      </w:r>
      <w:r w:rsidRPr="006B2A4C">
        <w:rPr>
          <w:sz w:val="26"/>
          <w:szCs w:val="26"/>
        </w:rPr>
        <w:t>, 2017 and all the gas bills were mailed to the Service Address.</w:t>
      </w:r>
      <w:r>
        <w:rPr>
          <w:sz w:val="26"/>
          <w:szCs w:val="26"/>
        </w:rPr>
        <w:t xml:space="preserve"> </w:t>
      </w:r>
      <w:r w:rsidRPr="006B2A4C">
        <w:rPr>
          <w:sz w:val="26"/>
          <w:szCs w:val="26"/>
        </w:rPr>
        <w:t xml:space="preserve"> Tr. </w:t>
      </w:r>
      <w:r>
        <w:rPr>
          <w:sz w:val="26"/>
          <w:szCs w:val="26"/>
        </w:rPr>
        <w:t xml:space="preserve">at </w:t>
      </w:r>
      <w:r w:rsidRPr="006B2A4C">
        <w:rPr>
          <w:sz w:val="26"/>
          <w:szCs w:val="26"/>
        </w:rPr>
        <w:t>38, 40</w:t>
      </w:r>
      <w:r>
        <w:rPr>
          <w:sz w:val="26"/>
          <w:szCs w:val="26"/>
        </w:rPr>
        <w:t>;</w:t>
      </w:r>
      <w:r w:rsidRPr="006B2A4C">
        <w:rPr>
          <w:sz w:val="26"/>
          <w:szCs w:val="26"/>
        </w:rPr>
        <w:t xml:space="preserve"> PGW Exh</w:t>
      </w:r>
      <w:r>
        <w:rPr>
          <w:sz w:val="26"/>
          <w:szCs w:val="26"/>
        </w:rPr>
        <w:t>. Nos.</w:t>
      </w:r>
      <w:r w:rsidRPr="006B2A4C">
        <w:rPr>
          <w:sz w:val="26"/>
          <w:szCs w:val="26"/>
        </w:rPr>
        <w:t xml:space="preserve"> 1</w:t>
      </w:r>
      <w:r>
        <w:rPr>
          <w:sz w:val="26"/>
          <w:szCs w:val="26"/>
        </w:rPr>
        <w:t>-</w:t>
      </w:r>
      <w:r w:rsidRPr="006B2A4C">
        <w:rPr>
          <w:sz w:val="26"/>
          <w:szCs w:val="26"/>
        </w:rPr>
        <w:t>3.</w:t>
      </w:r>
      <w:r>
        <w:rPr>
          <w:sz w:val="26"/>
          <w:szCs w:val="26"/>
        </w:rPr>
        <w:t xml:space="preserve"> </w:t>
      </w:r>
      <w:r w:rsidRPr="006B2A4C">
        <w:rPr>
          <w:sz w:val="26"/>
          <w:szCs w:val="26"/>
        </w:rPr>
        <w:t xml:space="preserve"> She further explained that no payments were made on Ms. Leung’s account for the Service Address</w:t>
      </w:r>
      <w:r w:rsidR="00502533">
        <w:rPr>
          <w:sz w:val="26"/>
          <w:szCs w:val="26"/>
        </w:rPr>
        <w:t xml:space="preserve"> from October 17, 2016 through August 4, 2017, when the </w:t>
      </w:r>
      <w:r w:rsidRPr="006B2A4C">
        <w:rPr>
          <w:sz w:val="26"/>
          <w:szCs w:val="26"/>
        </w:rPr>
        <w:t>account was clo</w:t>
      </w:r>
      <w:r w:rsidR="00502533">
        <w:rPr>
          <w:sz w:val="26"/>
          <w:szCs w:val="26"/>
        </w:rPr>
        <w:t>sed due to</w:t>
      </w:r>
      <w:r>
        <w:rPr>
          <w:sz w:val="26"/>
          <w:szCs w:val="26"/>
        </w:rPr>
        <w:t xml:space="preserve"> another customer </w:t>
      </w:r>
      <w:r w:rsidR="00502533">
        <w:rPr>
          <w:sz w:val="26"/>
          <w:szCs w:val="26"/>
        </w:rPr>
        <w:t>requesting</w:t>
      </w:r>
      <w:r>
        <w:rPr>
          <w:sz w:val="26"/>
          <w:szCs w:val="26"/>
        </w:rPr>
        <w:t xml:space="preserve"> service at the Service Address</w:t>
      </w:r>
      <w:r w:rsidRPr="006B2A4C">
        <w:rPr>
          <w:sz w:val="26"/>
          <w:szCs w:val="26"/>
        </w:rPr>
        <w:t xml:space="preserve">. </w:t>
      </w:r>
      <w:r>
        <w:rPr>
          <w:sz w:val="26"/>
          <w:szCs w:val="26"/>
        </w:rPr>
        <w:t xml:space="preserve"> </w:t>
      </w:r>
      <w:r w:rsidRPr="006B2A4C">
        <w:rPr>
          <w:sz w:val="26"/>
          <w:szCs w:val="26"/>
        </w:rPr>
        <w:t>Tr.</w:t>
      </w:r>
      <w:r>
        <w:rPr>
          <w:sz w:val="26"/>
          <w:szCs w:val="26"/>
        </w:rPr>
        <w:t xml:space="preserve"> at</w:t>
      </w:r>
      <w:r w:rsidRPr="006B2A4C">
        <w:rPr>
          <w:sz w:val="26"/>
          <w:szCs w:val="26"/>
        </w:rPr>
        <w:t xml:space="preserve"> </w:t>
      </w:r>
      <w:r w:rsidR="00502533">
        <w:rPr>
          <w:sz w:val="26"/>
          <w:szCs w:val="26"/>
        </w:rPr>
        <w:t>39-</w:t>
      </w:r>
      <w:r w:rsidRPr="006B2A4C">
        <w:rPr>
          <w:sz w:val="26"/>
          <w:szCs w:val="26"/>
        </w:rPr>
        <w:t>40</w:t>
      </w:r>
      <w:r>
        <w:rPr>
          <w:sz w:val="26"/>
          <w:szCs w:val="26"/>
        </w:rPr>
        <w:t>;</w:t>
      </w:r>
      <w:r w:rsidRPr="006B2A4C">
        <w:rPr>
          <w:sz w:val="26"/>
          <w:szCs w:val="26"/>
        </w:rPr>
        <w:t xml:space="preserve"> PGW Exh</w:t>
      </w:r>
      <w:r>
        <w:rPr>
          <w:sz w:val="26"/>
          <w:szCs w:val="26"/>
        </w:rPr>
        <w:t xml:space="preserve">. No. </w:t>
      </w:r>
      <w:r w:rsidRPr="006B2A4C">
        <w:rPr>
          <w:sz w:val="26"/>
          <w:szCs w:val="26"/>
        </w:rPr>
        <w:t xml:space="preserve">3. </w:t>
      </w:r>
      <w:r>
        <w:rPr>
          <w:sz w:val="26"/>
          <w:szCs w:val="26"/>
        </w:rPr>
        <w:t xml:space="preserve"> </w:t>
      </w:r>
      <w:r w:rsidRPr="006B2A4C">
        <w:rPr>
          <w:sz w:val="26"/>
          <w:szCs w:val="26"/>
        </w:rPr>
        <w:t xml:space="preserve">On August 8, 2017, PGW issued a final bill for this account with an outstanding balance of $2,012.40. </w:t>
      </w:r>
      <w:r w:rsidR="00F25DA9">
        <w:rPr>
          <w:sz w:val="26"/>
          <w:szCs w:val="26"/>
        </w:rPr>
        <w:t xml:space="preserve"> </w:t>
      </w:r>
      <w:r w:rsidRPr="006B2A4C">
        <w:rPr>
          <w:sz w:val="26"/>
          <w:szCs w:val="26"/>
        </w:rPr>
        <w:t xml:space="preserve">Tr. </w:t>
      </w:r>
      <w:r>
        <w:rPr>
          <w:sz w:val="26"/>
          <w:szCs w:val="26"/>
        </w:rPr>
        <w:t xml:space="preserve">at </w:t>
      </w:r>
      <w:r w:rsidRPr="006B2A4C">
        <w:rPr>
          <w:sz w:val="26"/>
          <w:szCs w:val="26"/>
        </w:rPr>
        <w:t>40-41</w:t>
      </w:r>
      <w:r>
        <w:rPr>
          <w:sz w:val="26"/>
          <w:szCs w:val="26"/>
        </w:rPr>
        <w:t>;</w:t>
      </w:r>
      <w:r w:rsidRPr="006B2A4C">
        <w:rPr>
          <w:sz w:val="26"/>
          <w:szCs w:val="26"/>
        </w:rPr>
        <w:t xml:space="preserve"> PGW Exh</w:t>
      </w:r>
      <w:r>
        <w:rPr>
          <w:sz w:val="26"/>
          <w:szCs w:val="26"/>
        </w:rPr>
        <w:t>. No.</w:t>
      </w:r>
      <w:r w:rsidRPr="006B2A4C">
        <w:rPr>
          <w:sz w:val="26"/>
          <w:szCs w:val="26"/>
        </w:rPr>
        <w:t xml:space="preserve"> 3.</w:t>
      </w:r>
      <w:r w:rsidR="009B27A5" w:rsidRPr="009B27A5">
        <w:rPr>
          <w:rFonts w:eastAsiaTheme="minorHAnsi"/>
          <w:color w:val="000000"/>
          <w:sz w:val="23"/>
          <w:szCs w:val="23"/>
        </w:rPr>
        <w:t xml:space="preserve"> </w:t>
      </w:r>
      <w:r w:rsidR="009B27A5">
        <w:rPr>
          <w:rFonts w:eastAsiaTheme="minorHAnsi"/>
          <w:color w:val="000000"/>
          <w:sz w:val="23"/>
          <w:szCs w:val="23"/>
        </w:rPr>
        <w:t xml:space="preserve"> </w:t>
      </w:r>
      <w:r w:rsidR="009B27A5" w:rsidRPr="009B27A5">
        <w:rPr>
          <w:sz w:val="26"/>
          <w:szCs w:val="26"/>
        </w:rPr>
        <w:t>In addition, Ms. Glace testified that Ms. Leung never contacted PGW to request that gas service at the Service Address be disconnected either before Ms. Allen and Mr. Yusuf</w:t>
      </w:r>
      <w:r w:rsidR="009B27A5" w:rsidRPr="009B27A5">
        <w:rPr>
          <w:rFonts w:eastAsiaTheme="minorHAnsi"/>
          <w:color w:val="000000"/>
          <w:sz w:val="23"/>
          <w:szCs w:val="23"/>
        </w:rPr>
        <w:t xml:space="preserve"> </w:t>
      </w:r>
      <w:r w:rsidR="009B27A5" w:rsidRPr="009B27A5">
        <w:rPr>
          <w:sz w:val="26"/>
          <w:szCs w:val="26"/>
        </w:rPr>
        <w:t>moved in or after they moved out.</w:t>
      </w:r>
      <w:r w:rsidR="00F25DA9">
        <w:rPr>
          <w:sz w:val="26"/>
          <w:szCs w:val="26"/>
        </w:rPr>
        <w:t xml:space="preserve">  </w:t>
      </w:r>
      <w:r w:rsidR="009B27A5" w:rsidRPr="009B27A5">
        <w:rPr>
          <w:sz w:val="26"/>
          <w:szCs w:val="26"/>
        </w:rPr>
        <w:t xml:space="preserve">Tr. </w:t>
      </w:r>
      <w:r w:rsidR="009B27A5">
        <w:rPr>
          <w:sz w:val="26"/>
          <w:szCs w:val="26"/>
        </w:rPr>
        <w:t xml:space="preserve">at </w:t>
      </w:r>
      <w:r w:rsidR="009B27A5" w:rsidRPr="009B27A5">
        <w:rPr>
          <w:sz w:val="26"/>
          <w:szCs w:val="26"/>
        </w:rPr>
        <w:t xml:space="preserve">42. </w:t>
      </w:r>
      <w:r w:rsidR="009B27A5">
        <w:rPr>
          <w:sz w:val="26"/>
          <w:szCs w:val="26"/>
        </w:rPr>
        <w:t xml:space="preserve"> </w:t>
      </w:r>
      <w:r w:rsidR="009B27A5" w:rsidRPr="009B27A5">
        <w:rPr>
          <w:sz w:val="26"/>
          <w:szCs w:val="26"/>
        </w:rPr>
        <w:t>Ms. Leung admitted as much during cross examination.</w:t>
      </w:r>
      <w:r w:rsidR="009B27A5">
        <w:rPr>
          <w:sz w:val="26"/>
          <w:szCs w:val="26"/>
        </w:rPr>
        <w:t xml:space="preserve"> </w:t>
      </w:r>
      <w:r w:rsidR="009B27A5" w:rsidRPr="009B27A5">
        <w:rPr>
          <w:sz w:val="26"/>
          <w:szCs w:val="26"/>
        </w:rPr>
        <w:t xml:space="preserve"> </w:t>
      </w:r>
      <w:r w:rsidR="009B27A5" w:rsidRPr="009B27A5">
        <w:rPr>
          <w:i/>
          <w:iCs/>
          <w:sz w:val="26"/>
          <w:szCs w:val="26"/>
        </w:rPr>
        <w:t>See</w:t>
      </w:r>
      <w:r w:rsidR="009B27A5" w:rsidRPr="009B27A5">
        <w:rPr>
          <w:sz w:val="26"/>
          <w:szCs w:val="26"/>
        </w:rPr>
        <w:t xml:space="preserve"> Tr. </w:t>
      </w:r>
      <w:r w:rsidR="009B27A5">
        <w:rPr>
          <w:sz w:val="26"/>
          <w:szCs w:val="26"/>
        </w:rPr>
        <w:t xml:space="preserve">at </w:t>
      </w:r>
      <w:r w:rsidR="009B27A5" w:rsidRPr="009B27A5">
        <w:rPr>
          <w:sz w:val="26"/>
          <w:szCs w:val="26"/>
        </w:rPr>
        <w:t>20-21.</w:t>
      </w:r>
    </w:p>
    <w:p w14:paraId="531A4785" w14:textId="77777777" w:rsidR="009108BF" w:rsidRDefault="009108BF" w:rsidP="00020152">
      <w:pPr>
        <w:spacing w:line="360" w:lineRule="auto"/>
        <w:contextualSpacing/>
        <w:rPr>
          <w:b/>
          <w:sz w:val="26"/>
          <w:szCs w:val="26"/>
        </w:rPr>
      </w:pPr>
    </w:p>
    <w:p w14:paraId="1E011947" w14:textId="79C146E6" w:rsidR="00CA43A5" w:rsidRPr="008F78A8" w:rsidRDefault="00E84735" w:rsidP="00020152">
      <w:pPr>
        <w:keepNext/>
        <w:keepLines/>
        <w:spacing w:after="0" w:line="360" w:lineRule="auto"/>
        <w:jc w:val="center"/>
        <w:rPr>
          <w:b/>
          <w:sz w:val="26"/>
          <w:szCs w:val="26"/>
        </w:rPr>
      </w:pPr>
      <w:r w:rsidRPr="00E84735">
        <w:rPr>
          <w:b/>
          <w:sz w:val="26"/>
          <w:szCs w:val="26"/>
        </w:rPr>
        <w:t>Discussion</w:t>
      </w:r>
    </w:p>
    <w:p w14:paraId="2B3377CF" w14:textId="77777777" w:rsidR="000D5232" w:rsidRPr="008F78A8" w:rsidRDefault="000D5232" w:rsidP="00020152">
      <w:pPr>
        <w:keepNext/>
        <w:keepLines/>
        <w:spacing w:after="0" w:line="360" w:lineRule="auto"/>
        <w:jc w:val="center"/>
        <w:rPr>
          <w:sz w:val="26"/>
          <w:szCs w:val="26"/>
        </w:rPr>
      </w:pPr>
    </w:p>
    <w:p w14:paraId="159F6BE4" w14:textId="3991299C" w:rsidR="00DD61F9" w:rsidRPr="00DD61F9" w:rsidRDefault="00DD61F9" w:rsidP="00020152">
      <w:pPr>
        <w:keepNext/>
        <w:keepLines/>
        <w:spacing w:after="0" w:line="360" w:lineRule="auto"/>
        <w:rPr>
          <w:b/>
          <w:sz w:val="26"/>
          <w:szCs w:val="26"/>
        </w:rPr>
      </w:pPr>
      <w:r w:rsidRPr="00DD61F9">
        <w:rPr>
          <w:b/>
          <w:sz w:val="26"/>
          <w:szCs w:val="26"/>
        </w:rPr>
        <w:t>Legal Standards</w:t>
      </w:r>
    </w:p>
    <w:p w14:paraId="1FFAD103" w14:textId="12AF3252" w:rsidR="00DD61F9" w:rsidRDefault="00DD61F9" w:rsidP="00020152">
      <w:pPr>
        <w:keepNext/>
        <w:keepLines/>
        <w:spacing w:after="0" w:line="360" w:lineRule="auto"/>
        <w:rPr>
          <w:b/>
          <w:sz w:val="26"/>
          <w:szCs w:val="26"/>
        </w:rPr>
      </w:pPr>
    </w:p>
    <w:p w14:paraId="09839B08" w14:textId="2A934083" w:rsidR="00FA211C" w:rsidRDefault="00FA211C" w:rsidP="00020152">
      <w:pPr>
        <w:spacing w:after="0" w:line="360" w:lineRule="auto"/>
        <w:ind w:firstLine="1440"/>
        <w:rPr>
          <w:rFonts w:eastAsiaTheme="minorHAnsi"/>
          <w:sz w:val="26"/>
          <w:szCs w:val="26"/>
        </w:rPr>
      </w:pPr>
      <w:r w:rsidRPr="00855489">
        <w:rPr>
          <w:sz w:val="26"/>
          <w:szCs w:val="26"/>
        </w:rPr>
        <w:t>The Complaint is a timely appeal of a Decision of the Commission’s BCS in Case N</w:t>
      </w:r>
      <w:r w:rsidR="00855489" w:rsidRPr="00855489">
        <w:rPr>
          <w:sz w:val="26"/>
          <w:szCs w:val="26"/>
        </w:rPr>
        <w:t>o. 3729836</w:t>
      </w:r>
      <w:r w:rsidRPr="00855489">
        <w:rPr>
          <w:sz w:val="26"/>
          <w:szCs w:val="26"/>
        </w:rPr>
        <w:t xml:space="preserve">.  </w:t>
      </w:r>
      <w:r w:rsidRPr="00855489">
        <w:rPr>
          <w:rFonts w:eastAsiaTheme="minorHAnsi"/>
          <w:sz w:val="26"/>
          <w:szCs w:val="26"/>
        </w:rPr>
        <w:t xml:space="preserve">A timely appeal from an informal decision of the BCS is reviewed </w:t>
      </w:r>
      <w:r w:rsidRPr="00855489">
        <w:rPr>
          <w:rFonts w:eastAsiaTheme="minorHAnsi"/>
          <w:i/>
          <w:sz w:val="26"/>
          <w:szCs w:val="26"/>
        </w:rPr>
        <w:t>de novo</w:t>
      </w:r>
      <w:r w:rsidRPr="00855489">
        <w:rPr>
          <w:rFonts w:eastAsiaTheme="minorHAnsi"/>
          <w:sz w:val="26"/>
          <w:szCs w:val="26"/>
        </w:rPr>
        <w:t>.</w:t>
      </w:r>
      <w:r w:rsidRPr="00855489">
        <w:rPr>
          <w:rFonts w:eastAsiaTheme="minorHAnsi"/>
          <w:i/>
          <w:sz w:val="26"/>
          <w:szCs w:val="26"/>
        </w:rPr>
        <w:t xml:space="preserve">  </w:t>
      </w:r>
      <w:r w:rsidRPr="00855489">
        <w:rPr>
          <w:sz w:val="26"/>
          <w:szCs w:val="26"/>
        </w:rPr>
        <w:t xml:space="preserve">52 Pa. Code §§ 56.173(a), 56.403(a).  </w:t>
      </w:r>
      <w:r w:rsidRPr="00855489">
        <w:rPr>
          <w:i/>
          <w:sz w:val="26"/>
          <w:szCs w:val="26"/>
        </w:rPr>
        <w:t>D</w:t>
      </w:r>
      <w:r w:rsidRPr="00855489">
        <w:rPr>
          <w:rFonts w:eastAsiaTheme="minorHAnsi"/>
          <w:i/>
          <w:sz w:val="26"/>
          <w:szCs w:val="26"/>
        </w:rPr>
        <w:t>e novo</w:t>
      </w:r>
      <w:r w:rsidRPr="00855489">
        <w:rPr>
          <w:rFonts w:eastAsiaTheme="minorHAnsi"/>
          <w:sz w:val="26"/>
          <w:szCs w:val="26"/>
        </w:rPr>
        <w:t xml:space="preserve"> means that </w:t>
      </w:r>
      <w:r w:rsidRPr="00855489">
        <w:rPr>
          <w:color w:val="000000"/>
          <w:sz w:val="26"/>
          <w:szCs w:val="26"/>
        </w:rPr>
        <w:t xml:space="preserve">the review is based on the evidentiary record created at the hearing and </w:t>
      </w:r>
      <w:r w:rsidRPr="00855489">
        <w:rPr>
          <w:rFonts w:eastAsiaTheme="minorHAnsi"/>
          <w:sz w:val="26"/>
          <w:szCs w:val="26"/>
        </w:rPr>
        <w:t xml:space="preserve">no part of the record in the informal </w:t>
      </w:r>
      <w:r w:rsidR="004B5933" w:rsidRPr="00855489">
        <w:rPr>
          <w:rFonts w:eastAsiaTheme="minorHAnsi"/>
          <w:sz w:val="26"/>
          <w:szCs w:val="26"/>
        </w:rPr>
        <w:t xml:space="preserve">complaint </w:t>
      </w:r>
      <w:r w:rsidRPr="00855489">
        <w:rPr>
          <w:rFonts w:eastAsiaTheme="minorHAnsi"/>
          <w:sz w:val="26"/>
          <w:szCs w:val="26"/>
        </w:rPr>
        <w:t xml:space="preserve">proceeding can be relied upon in the formal </w:t>
      </w:r>
      <w:r w:rsidR="004B5933" w:rsidRPr="00855489">
        <w:rPr>
          <w:rFonts w:eastAsiaTheme="minorHAnsi"/>
          <w:sz w:val="26"/>
          <w:szCs w:val="26"/>
        </w:rPr>
        <w:t xml:space="preserve">complaint </w:t>
      </w:r>
      <w:r w:rsidRPr="00855489">
        <w:rPr>
          <w:rFonts w:eastAsiaTheme="minorHAnsi"/>
          <w:sz w:val="26"/>
          <w:szCs w:val="26"/>
        </w:rPr>
        <w:t xml:space="preserve">proceeding.  </w:t>
      </w:r>
      <w:r w:rsidR="00A5156F" w:rsidRPr="00855489">
        <w:rPr>
          <w:rFonts w:eastAsiaTheme="minorHAnsi"/>
          <w:i/>
          <w:iCs/>
          <w:sz w:val="26"/>
          <w:szCs w:val="26"/>
        </w:rPr>
        <w:t>Kelvin Thomas v. Philadelphia Gas Works</w:t>
      </w:r>
      <w:r w:rsidR="00A5156F" w:rsidRPr="00855489">
        <w:rPr>
          <w:rFonts w:eastAsiaTheme="minorHAnsi"/>
          <w:sz w:val="26"/>
          <w:szCs w:val="26"/>
        </w:rPr>
        <w:t>, Docket No</w:t>
      </w:r>
      <w:r w:rsidR="007A0769" w:rsidRPr="00855489">
        <w:rPr>
          <w:rFonts w:eastAsiaTheme="minorHAnsi"/>
          <w:sz w:val="26"/>
          <w:szCs w:val="26"/>
        </w:rPr>
        <w:t>s</w:t>
      </w:r>
      <w:r w:rsidR="00A5156F" w:rsidRPr="00855489">
        <w:rPr>
          <w:rFonts w:eastAsiaTheme="minorHAnsi"/>
          <w:sz w:val="26"/>
          <w:szCs w:val="26"/>
        </w:rPr>
        <w:t>.</w:t>
      </w:r>
      <w:r w:rsidR="007A0769" w:rsidRPr="00855489">
        <w:rPr>
          <w:rFonts w:eastAsiaTheme="minorHAnsi"/>
          <w:sz w:val="26"/>
          <w:szCs w:val="26"/>
        </w:rPr>
        <w:t xml:space="preserve"> F-2017-2611788</w:t>
      </w:r>
      <w:r w:rsidR="00020152">
        <w:rPr>
          <w:rFonts w:eastAsiaTheme="minorHAnsi"/>
          <w:sz w:val="26"/>
          <w:szCs w:val="26"/>
        </w:rPr>
        <w:t xml:space="preserve"> and</w:t>
      </w:r>
      <w:r w:rsidR="007A0769" w:rsidRPr="00855489">
        <w:rPr>
          <w:rFonts w:eastAsiaTheme="minorHAnsi"/>
          <w:sz w:val="26"/>
          <w:szCs w:val="26"/>
        </w:rPr>
        <w:t xml:space="preserve"> C-2017-2621275</w:t>
      </w:r>
      <w:r w:rsidR="000A428E" w:rsidRPr="00855489">
        <w:rPr>
          <w:rFonts w:eastAsiaTheme="minorHAnsi"/>
          <w:sz w:val="26"/>
          <w:szCs w:val="26"/>
        </w:rPr>
        <w:t xml:space="preserve"> (Order entered August 31, 2018)</w:t>
      </w:r>
      <w:r w:rsidR="002625CD" w:rsidRPr="00855489">
        <w:rPr>
          <w:rFonts w:eastAsiaTheme="minorHAnsi"/>
          <w:sz w:val="26"/>
          <w:szCs w:val="26"/>
        </w:rPr>
        <w:t xml:space="preserve"> </w:t>
      </w:r>
      <w:r w:rsidR="002625CD" w:rsidRPr="00855489">
        <w:rPr>
          <w:rFonts w:eastAsiaTheme="minorHAnsi"/>
          <w:i/>
          <w:iCs/>
          <w:sz w:val="26"/>
          <w:szCs w:val="26"/>
        </w:rPr>
        <w:t>(Kelvin Thomas)</w:t>
      </w:r>
      <w:r w:rsidR="00606B4A" w:rsidRPr="00855489">
        <w:rPr>
          <w:rFonts w:eastAsiaTheme="minorHAnsi"/>
          <w:sz w:val="26"/>
          <w:szCs w:val="26"/>
        </w:rPr>
        <w:t xml:space="preserve"> at</w:t>
      </w:r>
      <w:r w:rsidR="00FF6ADB" w:rsidRPr="00855489">
        <w:rPr>
          <w:rFonts w:eastAsiaTheme="minorHAnsi"/>
          <w:sz w:val="26"/>
          <w:szCs w:val="26"/>
        </w:rPr>
        <w:t> </w:t>
      </w:r>
      <w:r w:rsidR="00606B4A" w:rsidRPr="00855489">
        <w:rPr>
          <w:rFonts w:eastAsiaTheme="minorHAnsi"/>
          <w:sz w:val="26"/>
          <w:szCs w:val="26"/>
        </w:rPr>
        <w:t>8</w:t>
      </w:r>
      <w:r w:rsidR="000A428E" w:rsidRPr="00855489">
        <w:rPr>
          <w:rFonts w:eastAsiaTheme="minorHAnsi"/>
          <w:sz w:val="26"/>
          <w:szCs w:val="26"/>
        </w:rPr>
        <w:t xml:space="preserve">. </w:t>
      </w:r>
      <w:r w:rsidR="00A5156F" w:rsidRPr="00855489">
        <w:rPr>
          <w:rFonts w:eastAsiaTheme="minorHAnsi"/>
          <w:sz w:val="26"/>
          <w:szCs w:val="26"/>
        </w:rPr>
        <w:t xml:space="preserve"> </w:t>
      </w:r>
      <w:r w:rsidRPr="00855489">
        <w:rPr>
          <w:rFonts w:eastAsiaTheme="minorHAnsi"/>
          <w:sz w:val="26"/>
          <w:szCs w:val="26"/>
        </w:rPr>
        <w:t xml:space="preserve">In a </w:t>
      </w:r>
      <w:r w:rsidRPr="00855489">
        <w:rPr>
          <w:rFonts w:eastAsiaTheme="minorHAnsi"/>
          <w:i/>
          <w:sz w:val="26"/>
          <w:szCs w:val="26"/>
        </w:rPr>
        <w:t>de novo</w:t>
      </w:r>
      <w:r w:rsidRPr="00855489">
        <w:rPr>
          <w:rFonts w:eastAsiaTheme="minorHAnsi"/>
          <w:sz w:val="26"/>
          <w:szCs w:val="26"/>
        </w:rPr>
        <w:t xml:space="preserve"> appeal from a </w:t>
      </w:r>
      <w:r w:rsidRPr="00855489">
        <w:rPr>
          <w:rFonts w:eastAsiaTheme="minorHAnsi"/>
          <w:sz w:val="26"/>
          <w:szCs w:val="26"/>
        </w:rPr>
        <w:lastRenderedPageBreak/>
        <w:t>decision of the BCS, the burden of proof remains with the party who filed the original informal complaint.</w:t>
      </w:r>
      <w:r w:rsidR="006328A7" w:rsidRPr="00855489">
        <w:rPr>
          <w:rStyle w:val="FootnoteReference"/>
          <w:rFonts w:eastAsiaTheme="minorHAnsi"/>
          <w:sz w:val="26"/>
          <w:szCs w:val="26"/>
        </w:rPr>
        <w:footnoteReference w:id="3"/>
      </w:r>
      <w:r w:rsidRPr="00855489">
        <w:rPr>
          <w:rFonts w:eastAsiaTheme="minorHAnsi"/>
          <w:sz w:val="26"/>
          <w:szCs w:val="26"/>
        </w:rPr>
        <w:t xml:space="preserve">  </w:t>
      </w:r>
      <w:r w:rsidR="0041068F" w:rsidRPr="00855489">
        <w:rPr>
          <w:rFonts w:eastAsiaTheme="minorHAnsi"/>
          <w:i/>
          <w:iCs/>
          <w:sz w:val="26"/>
          <w:szCs w:val="26"/>
        </w:rPr>
        <w:t>Id</w:t>
      </w:r>
      <w:r w:rsidR="0041068F" w:rsidRPr="00855489">
        <w:rPr>
          <w:rFonts w:eastAsiaTheme="minorHAnsi"/>
          <w:sz w:val="26"/>
          <w:szCs w:val="26"/>
        </w:rPr>
        <w:t>.</w:t>
      </w:r>
      <w:r w:rsidR="00FD21EA" w:rsidRPr="00855489">
        <w:rPr>
          <w:rFonts w:eastAsiaTheme="minorHAnsi"/>
          <w:sz w:val="26"/>
          <w:szCs w:val="26"/>
        </w:rPr>
        <w:t xml:space="preserve"> </w:t>
      </w:r>
      <w:r w:rsidR="0041068F" w:rsidRPr="00855489">
        <w:rPr>
          <w:rFonts w:eastAsiaTheme="minorHAnsi"/>
          <w:sz w:val="26"/>
          <w:szCs w:val="26"/>
        </w:rPr>
        <w:t xml:space="preserve">(citing, </w:t>
      </w:r>
      <w:r w:rsidR="0041068F" w:rsidRPr="00855489">
        <w:rPr>
          <w:rFonts w:eastAsiaTheme="minorHAnsi"/>
          <w:i/>
          <w:iCs/>
          <w:sz w:val="26"/>
          <w:szCs w:val="26"/>
        </w:rPr>
        <w:t>inter alia</w:t>
      </w:r>
      <w:r w:rsidR="0041068F" w:rsidRPr="00855489">
        <w:rPr>
          <w:rFonts w:eastAsiaTheme="minorHAnsi"/>
          <w:sz w:val="26"/>
          <w:szCs w:val="26"/>
        </w:rPr>
        <w:t xml:space="preserve">, </w:t>
      </w:r>
      <w:r w:rsidRPr="00855489">
        <w:rPr>
          <w:rFonts w:eastAsiaTheme="minorHAnsi"/>
          <w:sz w:val="26"/>
          <w:szCs w:val="26"/>
        </w:rPr>
        <w:t>52 Pa. Code §</w:t>
      </w:r>
      <w:r w:rsidR="00667ED3" w:rsidRPr="00855489">
        <w:rPr>
          <w:rFonts w:eastAsiaTheme="minorHAnsi"/>
          <w:sz w:val="26"/>
          <w:szCs w:val="26"/>
        </w:rPr>
        <w:t> </w:t>
      </w:r>
      <w:r w:rsidRPr="00855489">
        <w:rPr>
          <w:rFonts w:eastAsiaTheme="minorHAnsi"/>
          <w:sz w:val="26"/>
          <w:szCs w:val="26"/>
        </w:rPr>
        <w:t>56.173(f)</w:t>
      </w:r>
      <w:r w:rsidR="0041068F" w:rsidRPr="00855489">
        <w:rPr>
          <w:rFonts w:eastAsiaTheme="minorHAnsi"/>
          <w:sz w:val="26"/>
          <w:szCs w:val="26"/>
        </w:rPr>
        <w:t>).</w:t>
      </w:r>
    </w:p>
    <w:p w14:paraId="46885632" w14:textId="77777777" w:rsidR="00FF6ADB" w:rsidRDefault="00FF6ADB" w:rsidP="006B0FD8">
      <w:pPr>
        <w:spacing w:after="0" w:line="360" w:lineRule="auto"/>
        <w:ind w:firstLine="1440"/>
        <w:rPr>
          <w:color w:val="000000"/>
          <w:sz w:val="26"/>
          <w:szCs w:val="26"/>
        </w:rPr>
      </w:pPr>
    </w:p>
    <w:p w14:paraId="5C88A422" w14:textId="432C4B16" w:rsidR="006355C7" w:rsidRPr="006355C7" w:rsidRDefault="006355C7" w:rsidP="004602E2">
      <w:pPr>
        <w:spacing w:line="360" w:lineRule="auto"/>
        <w:ind w:firstLine="1440"/>
        <w:contextualSpacing/>
        <w:rPr>
          <w:sz w:val="26"/>
          <w:szCs w:val="26"/>
        </w:rPr>
      </w:pPr>
      <w:r w:rsidRPr="006355C7">
        <w:rPr>
          <w:sz w:val="26"/>
          <w:szCs w:val="26"/>
        </w:rPr>
        <w:t>As the proponent of a rule or order, the Complainant in this proceeding bear</w:t>
      </w:r>
      <w:r w:rsidR="00896015">
        <w:rPr>
          <w:sz w:val="26"/>
          <w:szCs w:val="26"/>
        </w:rPr>
        <w:t>s</w:t>
      </w:r>
      <w:r w:rsidRPr="006355C7">
        <w:rPr>
          <w:sz w:val="26"/>
          <w:szCs w:val="26"/>
        </w:rPr>
        <w:t xml:space="preserve"> the burden of proof pursuant to Section 332(a) of the </w:t>
      </w:r>
      <w:r w:rsidR="00F46A00" w:rsidRPr="00F46A00">
        <w:rPr>
          <w:sz w:val="26"/>
          <w:szCs w:val="26"/>
        </w:rPr>
        <w:t>Public Utility Code (Code)</w:t>
      </w:r>
      <w:r w:rsidRPr="006355C7">
        <w:rPr>
          <w:sz w:val="26"/>
          <w:szCs w:val="26"/>
        </w:rPr>
        <w:t xml:space="preserve">.  66 Pa. C.S. § 332(a).  To establish a sufficient case and satisfy the burden of proof, the Complainant must show that the </w:t>
      </w:r>
      <w:r w:rsidR="002170F8">
        <w:rPr>
          <w:sz w:val="26"/>
          <w:szCs w:val="26"/>
        </w:rPr>
        <w:t xml:space="preserve">Company </w:t>
      </w:r>
      <w:r w:rsidRPr="006355C7">
        <w:rPr>
          <w:sz w:val="26"/>
          <w:szCs w:val="26"/>
        </w:rPr>
        <w:t xml:space="preserve">is responsible or accountable for the problem described in the Complaint.  </w:t>
      </w:r>
      <w:r w:rsidRPr="006355C7">
        <w:rPr>
          <w:i/>
          <w:sz w:val="26"/>
          <w:szCs w:val="26"/>
        </w:rPr>
        <w:t>Patterson v. The Bell Telephone Company of Pennsylvania</w:t>
      </w:r>
      <w:r w:rsidRPr="006355C7">
        <w:rPr>
          <w:sz w:val="26"/>
          <w:szCs w:val="26"/>
        </w:rPr>
        <w:t>, 72 Pa. P.U.C. 196 (1990)</w:t>
      </w:r>
      <w:r w:rsidR="008F3E68">
        <w:rPr>
          <w:sz w:val="26"/>
          <w:szCs w:val="26"/>
        </w:rPr>
        <w:t xml:space="preserve"> </w:t>
      </w:r>
      <w:r w:rsidR="008F3E68" w:rsidRPr="005F5F17">
        <w:rPr>
          <w:i/>
          <w:iCs/>
          <w:sz w:val="26"/>
          <w:szCs w:val="26"/>
        </w:rPr>
        <w:t>(Patterson)</w:t>
      </w:r>
      <w:r w:rsidRPr="005F5F17">
        <w:rPr>
          <w:i/>
          <w:iCs/>
          <w:sz w:val="26"/>
          <w:szCs w:val="26"/>
        </w:rPr>
        <w:t>.</w:t>
      </w:r>
      <w:r w:rsidRPr="006355C7">
        <w:rPr>
          <w:sz w:val="26"/>
          <w:szCs w:val="26"/>
        </w:rPr>
        <w:t xml:space="preserve">  Such a showing must be by a preponderance of the evidence.  </w:t>
      </w:r>
      <w:r w:rsidRPr="006355C7">
        <w:rPr>
          <w:i/>
          <w:iCs/>
          <w:sz w:val="26"/>
          <w:szCs w:val="26"/>
        </w:rPr>
        <w:t>Samuel J. Lansberry, Inc. v. Pa. PUC</w:t>
      </w:r>
      <w:r w:rsidRPr="006355C7">
        <w:rPr>
          <w:sz w:val="26"/>
          <w:szCs w:val="26"/>
        </w:rPr>
        <w:t xml:space="preserve">, 578 A.2d 600 (Pa. Cmwlth. 1990), </w:t>
      </w:r>
      <w:r w:rsidRPr="006355C7">
        <w:rPr>
          <w:i/>
          <w:sz w:val="26"/>
          <w:szCs w:val="26"/>
        </w:rPr>
        <w:t xml:space="preserve">alloc. </w:t>
      </w:r>
      <w:r w:rsidR="000A2600" w:rsidRPr="006355C7">
        <w:rPr>
          <w:i/>
          <w:sz w:val="26"/>
          <w:szCs w:val="26"/>
        </w:rPr>
        <w:t>denied</w:t>
      </w:r>
      <w:r w:rsidR="000A2600" w:rsidRPr="003439E2">
        <w:rPr>
          <w:iCs/>
          <w:sz w:val="26"/>
          <w:szCs w:val="26"/>
        </w:rPr>
        <w:t xml:space="preserve">, </w:t>
      </w:r>
      <w:r w:rsidR="000A2600" w:rsidRPr="006355C7">
        <w:rPr>
          <w:sz w:val="26"/>
          <w:szCs w:val="26"/>
        </w:rPr>
        <w:t>602</w:t>
      </w:r>
      <w:r w:rsidRPr="006355C7">
        <w:rPr>
          <w:sz w:val="26"/>
          <w:szCs w:val="26"/>
        </w:rPr>
        <w:t xml:space="preserve"> A.2d 863 (</w:t>
      </w:r>
      <w:r w:rsidR="00667ED3">
        <w:rPr>
          <w:sz w:val="26"/>
          <w:szCs w:val="26"/>
        </w:rPr>
        <w:t xml:space="preserve">Pa. </w:t>
      </w:r>
      <w:r w:rsidRPr="006355C7">
        <w:rPr>
          <w:sz w:val="26"/>
          <w:szCs w:val="26"/>
        </w:rPr>
        <w:t>1992).  That is, the Complainant’</w:t>
      </w:r>
      <w:r w:rsidR="00BC55D1">
        <w:rPr>
          <w:sz w:val="26"/>
          <w:szCs w:val="26"/>
        </w:rPr>
        <w:t>s</w:t>
      </w:r>
      <w:r w:rsidRPr="006355C7">
        <w:rPr>
          <w:sz w:val="26"/>
          <w:szCs w:val="26"/>
        </w:rPr>
        <w:t xml:space="preserve"> evidence must be more convincing, by even the smallest amount, than that presented by </w:t>
      </w:r>
      <w:r w:rsidR="00C71225">
        <w:rPr>
          <w:sz w:val="26"/>
          <w:szCs w:val="26"/>
        </w:rPr>
        <w:t>P</w:t>
      </w:r>
      <w:r w:rsidR="00855489">
        <w:rPr>
          <w:sz w:val="26"/>
          <w:szCs w:val="26"/>
        </w:rPr>
        <w:t>GW</w:t>
      </w:r>
      <w:r w:rsidRPr="006355C7">
        <w:rPr>
          <w:sz w:val="26"/>
          <w:szCs w:val="26"/>
        </w:rPr>
        <w:t xml:space="preserve">.  </w:t>
      </w:r>
      <w:r w:rsidRPr="006355C7">
        <w:rPr>
          <w:i/>
          <w:sz w:val="26"/>
          <w:szCs w:val="26"/>
        </w:rPr>
        <w:t>Se-Ling Hosiery, Inc. v. Margulies</w:t>
      </w:r>
      <w:r w:rsidRPr="006355C7">
        <w:rPr>
          <w:sz w:val="26"/>
          <w:szCs w:val="26"/>
        </w:rPr>
        <w:t>, 70 A.2d 854 (</w:t>
      </w:r>
      <w:r w:rsidR="00667ED3">
        <w:rPr>
          <w:sz w:val="26"/>
          <w:szCs w:val="26"/>
        </w:rPr>
        <w:t xml:space="preserve">Pa. </w:t>
      </w:r>
      <w:r w:rsidRPr="006355C7">
        <w:rPr>
          <w:sz w:val="26"/>
          <w:szCs w:val="26"/>
        </w:rPr>
        <w:t xml:space="preserve">1950).  </w:t>
      </w:r>
    </w:p>
    <w:p w14:paraId="010D8333" w14:textId="77777777" w:rsidR="006355C7" w:rsidRPr="006355C7" w:rsidRDefault="006355C7" w:rsidP="004602E2">
      <w:pPr>
        <w:spacing w:line="360" w:lineRule="auto"/>
        <w:ind w:firstLine="1440"/>
        <w:contextualSpacing/>
        <w:rPr>
          <w:sz w:val="26"/>
          <w:szCs w:val="26"/>
        </w:rPr>
      </w:pPr>
    </w:p>
    <w:p w14:paraId="3E58EE76" w14:textId="2B8BC224" w:rsidR="00F1204A" w:rsidRDefault="006355C7" w:rsidP="004C3B68">
      <w:pPr>
        <w:spacing w:line="360" w:lineRule="auto"/>
        <w:ind w:firstLine="1440"/>
        <w:contextualSpacing/>
        <w:rPr>
          <w:sz w:val="26"/>
          <w:szCs w:val="26"/>
        </w:rPr>
      </w:pPr>
      <w:r w:rsidRPr="006355C7">
        <w:rPr>
          <w:sz w:val="26"/>
          <w:szCs w:val="26"/>
        </w:rPr>
        <w:t xml:space="preserve">Upon the presentation by the Complainant of evidence sufficient to initially satisfy the burden of proof, the burden of going forward with the evidence to rebut the Complainant’s evidence shifts to </w:t>
      </w:r>
      <w:r w:rsidR="00C71225">
        <w:rPr>
          <w:sz w:val="26"/>
          <w:szCs w:val="26"/>
        </w:rPr>
        <w:t>P</w:t>
      </w:r>
      <w:r w:rsidR="00855489">
        <w:rPr>
          <w:sz w:val="26"/>
          <w:szCs w:val="26"/>
        </w:rPr>
        <w:t>GW</w:t>
      </w:r>
      <w:r w:rsidRPr="006355C7">
        <w:rPr>
          <w:sz w:val="26"/>
          <w:szCs w:val="26"/>
        </w:rPr>
        <w:t xml:space="preserve">.  If the evidence presented by </w:t>
      </w:r>
      <w:r w:rsidR="00C71225">
        <w:rPr>
          <w:sz w:val="26"/>
          <w:szCs w:val="26"/>
        </w:rPr>
        <w:t>P</w:t>
      </w:r>
      <w:r w:rsidR="00855489">
        <w:rPr>
          <w:sz w:val="26"/>
          <w:szCs w:val="26"/>
        </w:rPr>
        <w:t>GW</w:t>
      </w:r>
      <w:r w:rsidRPr="006355C7">
        <w:rPr>
          <w:sz w:val="26"/>
          <w:szCs w:val="26"/>
        </w:rPr>
        <w:t xml:space="preserve"> is of co-equal value or “weight,” the burden of proof has not been satisfied and the Complainant must provide some additional evidence to rebut that of the </w:t>
      </w:r>
      <w:r w:rsidR="002170F8">
        <w:rPr>
          <w:sz w:val="26"/>
          <w:szCs w:val="26"/>
        </w:rPr>
        <w:t>Company</w:t>
      </w:r>
      <w:r w:rsidRPr="006355C7">
        <w:rPr>
          <w:sz w:val="26"/>
          <w:szCs w:val="26"/>
        </w:rPr>
        <w:t xml:space="preserve">. </w:t>
      </w:r>
      <w:r w:rsidRPr="006355C7">
        <w:rPr>
          <w:iCs/>
          <w:sz w:val="26"/>
          <w:szCs w:val="26"/>
        </w:rPr>
        <w:t xml:space="preserve"> </w:t>
      </w:r>
      <w:r w:rsidRPr="006355C7">
        <w:rPr>
          <w:i/>
          <w:iCs/>
          <w:sz w:val="26"/>
          <w:szCs w:val="26"/>
        </w:rPr>
        <w:t>Burleson v. Pa. PUC</w:t>
      </w:r>
      <w:r w:rsidRPr="003439E2">
        <w:rPr>
          <w:sz w:val="26"/>
          <w:szCs w:val="26"/>
        </w:rPr>
        <w:t>,</w:t>
      </w:r>
      <w:r w:rsidRPr="006355C7">
        <w:rPr>
          <w:iCs/>
          <w:sz w:val="26"/>
          <w:szCs w:val="26"/>
        </w:rPr>
        <w:t xml:space="preserve"> 443 A.2d 1373 (Pa. Cmwlth. 1982), </w:t>
      </w:r>
      <w:r w:rsidRPr="006355C7">
        <w:rPr>
          <w:i/>
          <w:iCs/>
          <w:sz w:val="26"/>
          <w:szCs w:val="26"/>
        </w:rPr>
        <w:t>aff’d,</w:t>
      </w:r>
      <w:r w:rsidRPr="006355C7">
        <w:rPr>
          <w:iCs/>
          <w:sz w:val="26"/>
          <w:szCs w:val="26"/>
        </w:rPr>
        <w:t xml:space="preserve"> 461 A.2d 1234 (</w:t>
      </w:r>
      <w:r w:rsidR="00667ED3">
        <w:rPr>
          <w:iCs/>
          <w:sz w:val="26"/>
          <w:szCs w:val="26"/>
        </w:rPr>
        <w:t xml:space="preserve">Pa. </w:t>
      </w:r>
      <w:r w:rsidRPr="006355C7">
        <w:rPr>
          <w:iCs/>
          <w:sz w:val="26"/>
          <w:szCs w:val="26"/>
        </w:rPr>
        <w:t>1983).</w:t>
      </w:r>
      <w:r w:rsidR="00F1204A">
        <w:rPr>
          <w:sz w:val="26"/>
          <w:szCs w:val="26"/>
        </w:rPr>
        <w:t xml:space="preserve">  </w:t>
      </w:r>
      <w:r w:rsidRPr="006355C7">
        <w:rPr>
          <w:sz w:val="26"/>
          <w:szCs w:val="26"/>
        </w:rPr>
        <w:t xml:space="preserve">While the burden of going forward with the evidence may shift back and forth during a proceeding, the burden of proof never shifts.  The burden of proof always remains on the party seeking affirmative relief from the Commission.  </w:t>
      </w:r>
      <w:r w:rsidRPr="006355C7">
        <w:rPr>
          <w:i/>
          <w:sz w:val="26"/>
          <w:szCs w:val="26"/>
        </w:rPr>
        <w:t>Milkie v. Pa. PUC</w:t>
      </w:r>
      <w:r w:rsidRPr="003439E2">
        <w:rPr>
          <w:iCs/>
          <w:sz w:val="26"/>
          <w:szCs w:val="26"/>
        </w:rPr>
        <w:t>,</w:t>
      </w:r>
      <w:r w:rsidRPr="006355C7">
        <w:rPr>
          <w:i/>
          <w:sz w:val="26"/>
          <w:szCs w:val="26"/>
        </w:rPr>
        <w:t xml:space="preserve"> </w:t>
      </w:r>
      <w:r w:rsidRPr="006355C7">
        <w:rPr>
          <w:sz w:val="26"/>
          <w:szCs w:val="26"/>
        </w:rPr>
        <w:t>768 A.2d 1217 (Pa.</w:t>
      </w:r>
      <w:r w:rsidR="003439E2">
        <w:rPr>
          <w:sz w:val="26"/>
          <w:szCs w:val="26"/>
        </w:rPr>
        <w:t> </w:t>
      </w:r>
      <w:r w:rsidRPr="006355C7">
        <w:rPr>
          <w:sz w:val="26"/>
          <w:szCs w:val="26"/>
        </w:rPr>
        <w:t>Cmwlth.</w:t>
      </w:r>
      <w:r w:rsidR="003439E2">
        <w:rPr>
          <w:sz w:val="26"/>
          <w:szCs w:val="26"/>
        </w:rPr>
        <w:t> </w:t>
      </w:r>
      <w:r w:rsidRPr="006355C7">
        <w:rPr>
          <w:sz w:val="26"/>
          <w:szCs w:val="26"/>
        </w:rPr>
        <w:t>2001).</w:t>
      </w:r>
    </w:p>
    <w:p w14:paraId="2B5CD2E7" w14:textId="35DDF608" w:rsidR="00F1204A" w:rsidRPr="006355C7" w:rsidRDefault="00A27945" w:rsidP="004602E2">
      <w:pPr>
        <w:spacing w:line="360" w:lineRule="auto"/>
        <w:ind w:firstLine="1440"/>
        <w:contextualSpacing/>
        <w:rPr>
          <w:sz w:val="26"/>
          <w:szCs w:val="26"/>
        </w:rPr>
      </w:pPr>
      <w:r>
        <w:rPr>
          <w:sz w:val="26"/>
          <w:szCs w:val="26"/>
        </w:rPr>
        <w:lastRenderedPageBreak/>
        <w:t>The</w:t>
      </w:r>
      <w:r w:rsidR="00F1204A" w:rsidRPr="006355C7">
        <w:rPr>
          <w:sz w:val="26"/>
          <w:szCs w:val="26"/>
        </w:rPr>
        <w:t xml:space="preserve"> Commission’s decision must be supported by substantial evidence in the record.  More is required than a mere trace of evidence or a suspicion of the existence of a fact sought to be established.  </w:t>
      </w:r>
      <w:r w:rsidR="00F1204A" w:rsidRPr="006355C7">
        <w:rPr>
          <w:i/>
          <w:sz w:val="26"/>
          <w:szCs w:val="26"/>
        </w:rPr>
        <w:t>Norfolk &amp; Western Ry. Co. v. Pa. PUC</w:t>
      </w:r>
      <w:r w:rsidR="00F1204A" w:rsidRPr="003439E2">
        <w:rPr>
          <w:iCs/>
          <w:sz w:val="26"/>
          <w:szCs w:val="26"/>
        </w:rPr>
        <w:t>,</w:t>
      </w:r>
      <w:r w:rsidR="00F1204A" w:rsidRPr="006355C7">
        <w:rPr>
          <w:sz w:val="26"/>
          <w:szCs w:val="26"/>
        </w:rPr>
        <w:t xml:space="preserve"> 413 A.2d 1037 (</w:t>
      </w:r>
      <w:r w:rsidR="00667ED3">
        <w:rPr>
          <w:sz w:val="26"/>
          <w:szCs w:val="26"/>
        </w:rPr>
        <w:t xml:space="preserve">Pa. </w:t>
      </w:r>
      <w:r w:rsidR="00F1204A" w:rsidRPr="006355C7">
        <w:rPr>
          <w:sz w:val="26"/>
          <w:szCs w:val="26"/>
        </w:rPr>
        <w:t>1980).</w:t>
      </w:r>
    </w:p>
    <w:p w14:paraId="64216DA8" w14:textId="005AFF6B" w:rsidR="001A6E79" w:rsidRDefault="001A6E79" w:rsidP="001F3A35">
      <w:pPr>
        <w:spacing w:after="0" w:line="360" w:lineRule="auto"/>
        <w:contextualSpacing/>
        <w:rPr>
          <w:sz w:val="26"/>
          <w:szCs w:val="26"/>
        </w:rPr>
      </w:pPr>
    </w:p>
    <w:p w14:paraId="6B22D729" w14:textId="781DBB62" w:rsidR="006355C7" w:rsidRDefault="00BA48AA" w:rsidP="00F75861">
      <w:pPr>
        <w:spacing w:after="0" w:line="360" w:lineRule="auto"/>
        <w:ind w:firstLine="1440"/>
        <w:rPr>
          <w:sz w:val="26"/>
          <w:szCs w:val="26"/>
        </w:rPr>
      </w:pPr>
      <w:r>
        <w:rPr>
          <w:rFonts w:eastAsiaTheme="minorHAnsi"/>
          <w:sz w:val="26"/>
          <w:szCs w:val="26"/>
        </w:rPr>
        <w:t>Finally, a</w:t>
      </w:r>
      <w:r w:rsidRPr="00776FFA">
        <w:rPr>
          <w:rFonts w:eastAsiaTheme="minorHAnsi"/>
          <w:sz w:val="26"/>
          <w:szCs w:val="26"/>
        </w:rPr>
        <w:t xml:space="preserve">s we proceed in our review of the various positions of the Parties in this proceeding, we are reminded that </w:t>
      </w:r>
      <w:r w:rsidRPr="00776FFA">
        <w:rPr>
          <w:sz w:val="26"/>
          <w:szCs w:val="26"/>
        </w:rPr>
        <w:t xml:space="preserve">the Commission is not required to consider expressly or at length each contention or argument raised by the parties.  </w:t>
      </w:r>
      <w:hyperlink r:id="rId11" w:history="1">
        <w:r w:rsidRPr="00776FFA">
          <w:rPr>
            <w:i/>
            <w:iCs/>
            <w:sz w:val="26"/>
            <w:szCs w:val="26"/>
          </w:rPr>
          <w:t>Consolidated Rail Corp. v. Pa. PUC</w:t>
        </w:r>
        <w:r w:rsidRPr="003439E2">
          <w:rPr>
            <w:sz w:val="26"/>
            <w:szCs w:val="26"/>
          </w:rPr>
          <w:t>,</w:t>
        </w:r>
        <w:r w:rsidRPr="00776FFA">
          <w:rPr>
            <w:i/>
            <w:iCs/>
            <w:sz w:val="26"/>
            <w:szCs w:val="26"/>
          </w:rPr>
          <w:t xml:space="preserve"> </w:t>
        </w:r>
        <w:r w:rsidRPr="00776FFA">
          <w:rPr>
            <w:sz w:val="26"/>
            <w:szCs w:val="26"/>
          </w:rPr>
          <w:t>625 A.2d 741 (Pa. Cmwlth. 1993);</w:t>
        </w:r>
      </w:hyperlink>
      <w:r w:rsidRPr="00776FFA">
        <w:rPr>
          <w:sz w:val="26"/>
          <w:szCs w:val="26"/>
        </w:rPr>
        <w:t xml:space="preserve"> </w:t>
      </w:r>
      <w:r w:rsidRPr="00776FFA">
        <w:rPr>
          <w:i/>
          <w:sz w:val="26"/>
          <w:szCs w:val="26"/>
        </w:rPr>
        <w:t xml:space="preserve">also </w:t>
      </w:r>
      <w:r w:rsidRPr="00776FFA">
        <w:rPr>
          <w:i/>
          <w:iCs/>
          <w:sz w:val="26"/>
          <w:szCs w:val="26"/>
        </w:rPr>
        <w:t>see</w:t>
      </w:r>
      <w:r w:rsidRPr="00776FFA">
        <w:rPr>
          <w:i/>
          <w:iCs/>
          <w:color w:val="000000"/>
          <w:sz w:val="26"/>
          <w:szCs w:val="26"/>
        </w:rPr>
        <w:t xml:space="preserve">, generally, </w:t>
      </w:r>
      <w:hyperlink r:id="rId12" w:history="1">
        <w:r w:rsidRPr="00776FFA">
          <w:rPr>
            <w:i/>
            <w:iCs/>
            <w:color w:val="000000"/>
            <w:sz w:val="26"/>
            <w:szCs w:val="26"/>
          </w:rPr>
          <w:t>University of Pennsylvania v. Pa. PUC</w:t>
        </w:r>
        <w:r w:rsidRPr="00776FFA">
          <w:rPr>
            <w:color w:val="000000"/>
            <w:sz w:val="26"/>
            <w:szCs w:val="26"/>
          </w:rPr>
          <w:t>, 485 A.2d 1217 (Pa. Cmwlth. 1984).</w:t>
        </w:r>
      </w:hyperlink>
      <w:r w:rsidRPr="00776FFA">
        <w:rPr>
          <w:color w:val="000000"/>
          <w:sz w:val="26"/>
          <w:szCs w:val="26"/>
        </w:rPr>
        <w:t xml:space="preserve">  Thus, </w:t>
      </w:r>
      <w:r w:rsidRPr="00776FFA">
        <w:rPr>
          <w:rFonts w:eastAsiaTheme="minorHAnsi"/>
          <w:sz w:val="26"/>
          <w:szCs w:val="26"/>
        </w:rPr>
        <w:t xml:space="preserve">any issue or Exception that we do not specifically address </w:t>
      </w:r>
      <w:r w:rsidRPr="00776FFA">
        <w:rPr>
          <w:sz w:val="26"/>
          <w:szCs w:val="26"/>
        </w:rPr>
        <w:t>shall be deemed to have been duly considered and denied without further discussion</w:t>
      </w:r>
      <w:r>
        <w:rPr>
          <w:sz w:val="26"/>
          <w:szCs w:val="26"/>
        </w:rPr>
        <w:t>.</w:t>
      </w:r>
    </w:p>
    <w:p w14:paraId="27AA9477" w14:textId="77777777" w:rsidR="00F75861" w:rsidRPr="00241BE3" w:rsidRDefault="00F75861" w:rsidP="00F75861">
      <w:pPr>
        <w:spacing w:after="0" w:line="360" w:lineRule="auto"/>
        <w:ind w:firstLine="1440"/>
        <w:rPr>
          <w:sz w:val="26"/>
          <w:szCs w:val="26"/>
        </w:rPr>
      </w:pPr>
    </w:p>
    <w:p w14:paraId="22ED4EFF" w14:textId="6A034B80" w:rsidR="00006F35" w:rsidRDefault="00307594" w:rsidP="00F75861">
      <w:pPr>
        <w:keepNext/>
        <w:keepLines/>
        <w:spacing w:after="0" w:line="360" w:lineRule="auto"/>
        <w:contextualSpacing/>
        <w:rPr>
          <w:b/>
          <w:sz w:val="26"/>
          <w:szCs w:val="26"/>
        </w:rPr>
      </w:pPr>
      <w:r w:rsidRPr="00307594">
        <w:rPr>
          <w:b/>
          <w:sz w:val="26"/>
          <w:szCs w:val="26"/>
        </w:rPr>
        <w:t>ALJ’s Initial Decision</w:t>
      </w:r>
    </w:p>
    <w:p w14:paraId="63B21EBA" w14:textId="77777777" w:rsidR="00307594" w:rsidRDefault="00307594" w:rsidP="00F75861">
      <w:pPr>
        <w:keepNext/>
        <w:keepLines/>
        <w:spacing w:after="0" w:line="360" w:lineRule="auto"/>
        <w:contextualSpacing/>
        <w:rPr>
          <w:sz w:val="26"/>
          <w:szCs w:val="26"/>
        </w:rPr>
      </w:pPr>
    </w:p>
    <w:p w14:paraId="04FC47D6" w14:textId="3C696CBB" w:rsidR="00087CC1" w:rsidRPr="00081322" w:rsidRDefault="00087CC1" w:rsidP="00F75861">
      <w:pPr>
        <w:spacing w:after="0" w:line="360" w:lineRule="auto"/>
        <w:ind w:firstLine="1440"/>
        <w:contextualSpacing/>
        <w:rPr>
          <w:sz w:val="26"/>
          <w:szCs w:val="26"/>
        </w:rPr>
      </w:pPr>
      <w:r w:rsidRPr="00081322">
        <w:rPr>
          <w:sz w:val="26"/>
          <w:szCs w:val="26"/>
        </w:rPr>
        <w:t xml:space="preserve">ALJ </w:t>
      </w:r>
      <w:r w:rsidR="000B2347">
        <w:rPr>
          <w:sz w:val="26"/>
          <w:szCs w:val="26"/>
        </w:rPr>
        <w:t>Vero</w:t>
      </w:r>
      <w:r w:rsidRPr="00081322">
        <w:rPr>
          <w:sz w:val="26"/>
          <w:szCs w:val="26"/>
        </w:rPr>
        <w:t xml:space="preserve"> made </w:t>
      </w:r>
      <w:r w:rsidR="00B1367E">
        <w:rPr>
          <w:sz w:val="26"/>
          <w:szCs w:val="26"/>
        </w:rPr>
        <w:t>thirty-four</w:t>
      </w:r>
      <w:r w:rsidRPr="00081322">
        <w:rPr>
          <w:sz w:val="26"/>
          <w:szCs w:val="26"/>
        </w:rPr>
        <w:t xml:space="preserve"> Findings of Fact an</w:t>
      </w:r>
      <w:r w:rsidR="00081322" w:rsidRPr="00081322">
        <w:rPr>
          <w:sz w:val="26"/>
          <w:szCs w:val="26"/>
        </w:rPr>
        <w:t xml:space="preserve">d reached </w:t>
      </w:r>
      <w:r w:rsidR="00B1367E">
        <w:rPr>
          <w:sz w:val="26"/>
          <w:szCs w:val="26"/>
        </w:rPr>
        <w:t>six</w:t>
      </w:r>
      <w:r w:rsidR="000E7B0A">
        <w:rPr>
          <w:sz w:val="26"/>
          <w:szCs w:val="26"/>
        </w:rPr>
        <w:t xml:space="preserve"> Conclusions of Law.  I.D. at </w:t>
      </w:r>
      <w:r w:rsidR="00B1367E">
        <w:rPr>
          <w:sz w:val="26"/>
          <w:szCs w:val="26"/>
        </w:rPr>
        <w:t>2-6</w:t>
      </w:r>
      <w:r w:rsidR="000E7B0A">
        <w:rPr>
          <w:sz w:val="26"/>
          <w:szCs w:val="26"/>
        </w:rPr>
        <w:t xml:space="preserve">, </w:t>
      </w:r>
      <w:r w:rsidR="00B1367E">
        <w:rPr>
          <w:sz w:val="26"/>
          <w:szCs w:val="26"/>
        </w:rPr>
        <w:t>12</w:t>
      </w:r>
      <w:r w:rsidRPr="0008132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50F0E7A" w14:textId="41E59316" w:rsidR="00BA204F" w:rsidRDefault="00BA204F" w:rsidP="00F75861">
      <w:pPr>
        <w:spacing w:after="0" w:line="360" w:lineRule="auto"/>
        <w:ind w:firstLine="1440"/>
        <w:contextualSpacing/>
        <w:rPr>
          <w:sz w:val="26"/>
          <w:szCs w:val="26"/>
        </w:rPr>
      </w:pPr>
    </w:p>
    <w:p w14:paraId="402FE762" w14:textId="359B954C" w:rsidR="009B2262" w:rsidRDefault="0040230F" w:rsidP="00BE4DC3">
      <w:pPr>
        <w:spacing w:after="0" w:line="360" w:lineRule="auto"/>
        <w:ind w:firstLine="1440"/>
        <w:contextualSpacing/>
        <w:rPr>
          <w:sz w:val="26"/>
          <w:szCs w:val="26"/>
        </w:rPr>
      </w:pPr>
      <w:r>
        <w:rPr>
          <w:sz w:val="26"/>
          <w:szCs w:val="26"/>
        </w:rPr>
        <w:t xml:space="preserve">In her Initial Decision, the ALJ first discussed the burden of proof, which in this complaint proceeding was placed upon Ms. Leung as the party seeking affirmative action.  I.D. at 6-7.  </w:t>
      </w:r>
      <w:r w:rsidR="00BE4DC3">
        <w:rPr>
          <w:sz w:val="26"/>
          <w:szCs w:val="26"/>
        </w:rPr>
        <w:t>After considering the facts and circumstances</w:t>
      </w:r>
      <w:r w:rsidR="004600D1">
        <w:rPr>
          <w:sz w:val="26"/>
          <w:szCs w:val="26"/>
        </w:rPr>
        <w:t xml:space="preserve"> </w:t>
      </w:r>
      <w:r w:rsidR="00BE4DC3">
        <w:rPr>
          <w:sz w:val="26"/>
          <w:szCs w:val="26"/>
        </w:rPr>
        <w:t>leading to the Complainant’s allegations in this case, t</w:t>
      </w:r>
      <w:r w:rsidR="003F2A01" w:rsidRPr="003F2A01">
        <w:rPr>
          <w:sz w:val="26"/>
          <w:szCs w:val="26"/>
        </w:rPr>
        <w:t xml:space="preserve">he ALJ found that the Complainant failed to </w:t>
      </w:r>
      <w:r w:rsidR="000F104A">
        <w:rPr>
          <w:sz w:val="26"/>
          <w:szCs w:val="26"/>
        </w:rPr>
        <w:t>meet h</w:t>
      </w:r>
      <w:r w:rsidR="00DE7992">
        <w:rPr>
          <w:sz w:val="26"/>
          <w:szCs w:val="26"/>
        </w:rPr>
        <w:t>er burden of proving by a preponderance of the evidence</w:t>
      </w:r>
      <w:r w:rsidR="003F2A01" w:rsidRPr="003F2A01">
        <w:rPr>
          <w:sz w:val="26"/>
          <w:szCs w:val="26"/>
        </w:rPr>
        <w:t xml:space="preserve"> that </w:t>
      </w:r>
      <w:r w:rsidR="00EB2A0A">
        <w:rPr>
          <w:sz w:val="26"/>
          <w:szCs w:val="26"/>
        </w:rPr>
        <w:t>P</w:t>
      </w:r>
      <w:r w:rsidR="00DE7992">
        <w:rPr>
          <w:sz w:val="26"/>
          <w:szCs w:val="26"/>
        </w:rPr>
        <w:t>GW</w:t>
      </w:r>
      <w:r w:rsidR="003F2A01" w:rsidRPr="003F2A01">
        <w:rPr>
          <w:sz w:val="26"/>
          <w:szCs w:val="26"/>
        </w:rPr>
        <w:t xml:space="preserve"> violated a </w:t>
      </w:r>
      <w:r w:rsidR="00667ED3">
        <w:rPr>
          <w:sz w:val="26"/>
          <w:szCs w:val="26"/>
        </w:rPr>
        <w:t>s</w:t>
      </w:r>
      <w:r w:rsidR="000A07C6">
        <w:rPr>
          <w:sz w:val="26"/>
          <w:szCs w:val="26"/>
        </w:rPr>
        <w:t xml:space="preserve">tatute, </w:t>
      </w:r>
      <w:r w:rsidR="003F2A01" w:rsidRPr="003F2A01">
        <w:rPr>
          <w:sz w:val="26"/>
          <w:szCs w:val="26"/>
        </w:rPr>
        <w:t xml:space="preserve">Commission </w:t>
      </w:r>
      <w:r w:rsidR="000A07C6">
        <w:rPr>
          <w:sz w:val="26"/>
          <w:szCs w:val="26"/>
        </w:rPr>
        <w:t>R</w:t>
      </w:r>
      <w:r w:rsidR="003F2A01" w:rsidRPr="003F2A01">
        <w:rPr>
          <w:sz w:val="26"/>
          <w:szCs w:val="26"/>
        </w:rPr>
        <w:t xml:space="preserve">egulation or </w:t>
      </w:r>
      <w:r w:rsidR="00DE7992">
        <w:rPr>
          <w:sz w:val="26"/>
          <w:szCs w:val="26"/>
        </w:rPr>
        <w:t>O</w:t>
      </w:r>
      <w:r w:rsidR="003F2A01" w:rsidRPr="003F2A01">
        <w:rPr>
          <w:sz w:val="26"/>
          <w:szCs w:val="26"/>
        </w:rPr>
        <w:t xml:space="preserve">rder </w:t>
      </w:r>
      <w:r w:rsidR="00DE7992">
        <w:rPr>
          <w:sz w:val="26"/>
          <w:szCs w:val="26"/>
        </w:rPr>
        <w:t xml:space="preserve">when it held the Complainant responsible for gas service at the Service Address during the period from October 17, </w:t>
      </w:r>
      <w:proofErr w:type="gramStart"/>
      <w:r w:rsidR="00DE7992">
        <w:rPr>
          <w:sz w:val="26"/>
          <w:szCs w:val="26"/>
        </w:rPr>
        <w:t>2016</w:t>
      </w:r>
      <w:proofErr w:type="gramEnd"/>
      <w:r w:rsidR="00DE7992">
        <w:rPr>
          <w:sz w:val="26"/>
          <w:szCs w:val="26"/>
        </w:rPr>
        <w:t xml:space="preserve"> through August</w:t>
      </w:r>
      <w:r w:rsidR="003439E2">
        <w:rPr>
          <w:sz w:val="26"/>
          <w:szCs w:val="26"/>
        </w:rPr>
        <w:t> </w:t>
      </w:r>
      <w:r w:rsidR="00DE7992">
        <w:rPr>
          <w:sz w:val="26"/>
          <w:szCs w:val="26"/>
        </w:rPr>
        <w:t>4, 2017</w:t>
      </w:r>
      <w:r w:rsidR="007E0A3C">
        <w:rPr>
          <w:sz w:val="26"/>
          <w:szCs w:val="26"/>
        </w:rPr>
        <w:t>;</w:t>
      </w:r>
      <w:r w:rsidR="001B2324">
        <w:rPr>
          <w:sz w:val="26"/>
          <w:szCs w:val="26"/>
        </w:rPr>
        <w:t xml:space="preserve"> thus</w:t>
      </w:r>
      <w:r w:rsidR="007E0A3C">
        <w:rPr>
          <w:sz w:val="26"/>
          <w:szCs w:val="26"/>
        </w:rPr>
        <w:t>,</w:t>
      </w:r>
      <w:r w:rsidR="001B2324">
        <w:rPr>
          <w:sz w:val="26"/>
          <w:szCs w:val="26"/>
        </w:rPr>
        <w:t xml:space="preserve"> the ALJ</w:t>
      </w:r>
      <w:r w:rsidR="003F2A01" w:rsidRPr="003F2A01">
        <w:rPr>
          <w:sz w:val="26"/>
          <w:szCs w:val="26"/>
        </w:rPr>
        <w:t xml:space="preserve"> dismissed the Complaint.  I.D. at </w:t>
      </w:r>
      <w:r w:rsidR="00DE7992">
        <w:rPr>
          <w:sz w:val="26"/>
          <w:szCs w:val="26"/>
        </w:rPr>
        <w:t>11</w:t>
      </w:r>
      <w:r w:rsidR="003F2A01" w:rsidRPr="003F2A01">
        <w:rPr>
          <w:sz w:val="26"/>
          <w:szCs w:val="26"/>
        </w:rPr>
        <w:t>.</w:t>
      </w:r>
      <w:r w:rsidR="003B5942">
        <w:rPr>
          <w:sz w:val="26"/>
          <w:szCs w:val="26"/>
        </w:rPr>
        <w:t xml:space="preserve">  To the contrary, the ALJ stated that “…</w:t>
      </w:r>
      <w:r w:rsidR="003B5942" w:rsidRPr="003B5942">
        <w:rPr>
          <w:sz w:val="26"/>
          <w:szCs w:val="26"/>
        </w:rPr>
        <w:t>the preponderance of the evidence collected in this</w:t>
      </w:r>
      <w:r w:rsidR="003B5942">
        <w:rPr>
          <w:sz w:val="26"/>
          <w:szCs w:val="26"/>
        </w:rPr>
        <w:t xml:space="preserve"> </w:t>
      </w:r>
      <w:r w:rsidR="003B5942" w:rsidRPr="003B5942">
        <w:rPr>
          <w:sz w:val="26"/>
          <w:szCs w:val="26"/>
        </w:rPr>
        <w:t xml:space="preserve">matter indicates </w:t>
      </w:r>
      <w:r w:rsidR="003B5942" w:rsidRPr="003B5942">
        <w:rPr>
          <w:sz w:val="26"/>
          <w:szCs w:val="26"/>
        </w:rPr>
        <w:lastRenderedPageBreak/>
        <w:t>that Ms. Leung failed to verify that Ms. Allen and Mr. Yusuf had placed gas</w:t>
      </w:r>
      <w:r w:rsidR="003B5942">
        <w:rPr>
          <w:sz w:val="26"/>
          <w:szCs w:val="26"/>
        </w:rPr>
        <w:t xml:space="preserve"> </w:t>
      </w:r>
      <w:r w:rsidR="003B5942" w:rsidRPr="003B5942">
        <w:rPr>
          <w:sz w:val="26"/>
          <w:szCs w:val="26"/>
        </w:rPr>
        <w:t xml:space="preserve">service in their names. </w:t>
      </w:r>
      <w:r w:rsidR="003B5942">
        <w:rPr>
          <w:sz w:val="26"/>
          <w:szCs w:val="26"/>
        </w:rPr>
        <w:t xml:space="preserve"> </w:t>
      </w:r>
      <w:r w:rsidR="003B5942" w:rsidRPr="003B5942">
        <w:rPr>
          <w:sz w:val="26"/>
          <w:szCs w:val="26"/>
        </w:rPr>
        <w:t>Despite her tenants’ missed rent payments and failure to place electric</w:t>
      </w:r>
      <w:r w:rsidR="003B5942">
        <w:rPr>
          <w:sz w:val="26"/>
          <w:szCs w:val="26"/>
        </w:rPr>
        <w:t xml:space="preserve"> </w:t>
      </w:r>
      <w:r w:rsidR="003B5942" w:rsidRPr="003B5942">
        <w:rPr>
          <w:sz w:val="26"/>
          <w:szCs w:val="26"/>
        </w:rPr>
        <w:t>service in their name, Ms. Leung chose to accept Ms. Allen’s reassurances regarding gas service</w:t>
      </w:r>
      <w:r w:rsidR="003B5942">
        <w:rPr>
          <w:sz w:val="26"/>
          <w:szCs w:val="26"/>
        </w:rPr>
        <w:t xml:space="preserve"> without inquiring further.”  I.D. at 11-12. </w:t>
      </w:r>
    </w:p>
    <w:p w14:paraId="12B0B745" w14:textId="6BBDE37A" w:rsidR="00DE7992" w:rsidRDefault="00DE7992" w:rsidP="003B5942">
      <w:pPr>
        <w:spacing w:after="0" w:line="360" w:lineRule="auto"/>
        <w:ind w:firstLine="1440"/>
        <w:contextualSpacing/>
        <w:rPr>
          <w:sz w:val="26"/>
          <w:szCs w:val="26"/>
        </w:rPr>
      </w:pPr>
    </w:p>
    <w:p w14:paraId="27BB7399" w14:textId="336A158B" w:rsidR="00ED29CC" w:rsidRDefault="00B81733" w:rsidP="003B5942">
      <w:pPr>
        <w:spacing w:after="0" w:line="360" w:lineRule="auto"/>
        <w:ind w:firstLine="1440"/>
        <w:contextualSpacing/>
        <w:rPr>
          <w:sz w:val="26"/>
          <w:szCs w:val="26"/>
        </w:rPr>
      </w:pPr>
      <w:r>
        <w:rPr>
          <w:sz w:val="26"/>
          <w:szCs w:val="26"/>
        </w:rPr>
        <w:t>The ALJ found</w:t>
      </w:r>
      <w:r w:rsidR="00BB78EE">
        <w:rPr>
          <w:sz w:val="26"/>
          <w:szCs w:val="26"/>
        </w:rPr>
        <w:t xml:space="preserve"> no fault in PGW keeping Ms. Leung as the customer of record until August 4, 2017 and</w:t>
      </w:r>
      <w:r>
        <w:rPr>
          <w:sz w:val="26"/>
          <w:szCs w:val="26"/>
        </w:rPr>
        <w:t xml:space="preserve"> that Ms. Leung was</w:t>
      </w:r>
      <w:r w:rsidR="00BB78EE">
        <w:rPr>
          <w:sz w:val="26"/>
          <w:szCs w:val="26"/>
        </w:rPr>
        <w:t>, thus,</w:t>
      </w:r>
      <w:r>
        <w:rPr>
          <w:sz w:val="26"/>
          <w:szCs w:val="26"/>
        </w:rPr>
        <w:t xml:space="preserve"> responsible for the final bill issued on August 8</w:t>
      </w:r>
      <w:r w:rsidR="00900833">
        <w:rPr>
          <w:sz w:val="26"/>
          <w:szCs w:val="26"/>
        </w:rPr>
        <w:t xml:space="preserve">, 2017, pursuant to Section 56.16 our Regulations, </w:t>
      </w:r>
      <w:r w:rsidR="00900833" w:rsidRPr="00900833">
        <w:rPr>
          <w:sz w:val="26"/>
          <w:szCs w:val="26"/>
        </w:rPr>
        <w:t>52 Pa Code §</w:t>
      </w:r>
      <w:r w:rsidR="004C31DE">
        <w:t> </w:t>
      </w:r>
      <w:r w:rsidR="00900833" w:rsidRPr="00900833">
        <w:rPr>
          <w:sz w:val="26"/>
          <w:szCs w:val="26"/>
        </w:rPr>
        <w:t>56.16</w:t>
      </w:r>
      <w:r w:rsidR="00900833">
        <w:rPr>
          <w:sz w:val="26"/>
          <w:szCs w:val="26"/>
        </w:rPr>
        <w:t>.</w:t>
      </w:r>
      <w:r w:rsidR="008D592F">
        <w:rPr>
          <w:sz w:val="26"/>
          <w:szCs w:val="26"/>
        </w:rPr>
        <w:t xml:space="preserve">  I.D. at 10. </w:t>
      </w:r>
      <w:r w:rsidR="00900833">
        <w:rPr>
          <w:sz w:val="26"/>
          <w:szCs w:val="26"/>
        </w:rPr>
        <w:t xml:space="preserve"> </w:t>
      </w:r>
      <w:r w:rsidR="00A02824">
        <w:rPr>
          <w:sz w:val="26"/>
          <w:szCs w:val="26"/>
        </w:rPr>
        <w:t>This was so by reason of the Complainant’s failure to provide notice of her alleged desire to discontinue gas utility service.</w:t>
      </w:r>
      <w:r w:rsidR="00ED29CC">
        <w:rPr>
          <w:sz w:val="26"/>
          <w:szCs w:val="26"/>
        </w:rPr>
        <w:t xml:space="preserve">  </w:t>
      </w:r>
      <w:bookmarkStart w:id="3" w:name="_Hlk84237164"/>
      <w:r w:rsidR="00ED29CC">
        <w:rPr>
          <w:sz w:val="26"/>
          <w:szCs w:val="26"/>
        </w:rPr>
        <w:t>The provision at 52 Pa. Code §</w:t>
      </w:r>
      <w:r w:rsidR="004C31DE">
        <w:rPr>
          <w:sz w:val="26"/>
          <w:szCs w:val="26"/>
        </w:rPr>
        <w:t> </w:t>
      </w:r>
      <w:r w:rsidR="00ED29CC">
        <w:rPr>
          <w:sz w:val="26"/>
          <w:szCs w:val="26"/>
        </w:rPr>
        <w:t>56.16 provides, in pertinent part:</w:t>
      </w:r>
      <w:bookmarkEnd w:id="3"/>
    </w:p>
    <w:p w14:paraId="247F132D" w14:textId="77777777" w:rsidR="00ED29CC" w:rsidRDefault="00ED29CC" w:rsidP="003B5942">
      <w:pPr>
        <w:spacing w:after="0" w:line="360" w:lineRule="auto"/>
        <w:ind w:firstLine="1440"/>
        <w:contextualSpacing/>
        <w:rPr>
          <w:sz w:val="26"/>
          <w:szCs w:val="26"/>
        </w:rPr>
      </w:pPr>
    </w:p>
    <w:p w14:paraId="6B751A5E" w14:textId="6CB87604" w:rsidR="001D116C" w:rsidRPr="001D116C" w:rsidRDefault="001D116C" w:rsidP="001D116C">
      <w:pPr>
        <w:keepNext/>
        <w:keepLines/>
        <w:shd w:val="clear" w:color="auto" w:fill="FFFFFF"/>
        <w:spacing w:after="0" w:line="240" w:lineRule="auto"/>
        <w:ind w:left="1440" w:right="1440"/>
        <w:outlineLvl w:val="3"/>
        <w:rPr>
          <w:b/>
          <w:bCs/>
          <w:sz w:val="26"/>
          <w:szCs w:val="26"/>
        </w:rPr>
      </w:pPr>
      <w:r w:rsidRPr="001D116C">
        <w:rPr>
          <w:b/>
          <w:bCs/>
          <w:sz w:val="26"/>
          <w:szCs w:val="26"/>
        </w:rPr>
        <w:t>§ 56.16.</w:t>
      </w:r>
      <w:r w:rsidR="00155AAF">
        <w:rPr>
          <w:b/>
          <w:bCs/>
          <w:sz w:val="26"/>
          <w:szCs w:val="26"/>
        </w:rPr>
        <w:t xml:space="preserve">  </w:t>
      </w:r>
      <w:r w:rsidRPr="001D116C">
        <w:rPr>
          <w:b/>
          <w:bCs/>
          <w:sz w:val="26"/>
          <w:szCs w:val="26"/>
        </w:rPr>
        <w:t>Transfer of accounts.</w:t>
      </w:r>
    </w:p>
    <w:p w14:paraId="06816D9B" w14:textId="77777777" w:rsidR="001D116C" w:rsidRPr="001D116C" w:rsidRDefault="001D116C" w:rsidP="001D116C">
      <w:pPr>
        <w:spacing w:after="0" w:line="240" w:lineRule="auto"/>
        <w:rPr>
          <w:rFonts w:eastAsia="Calibri"/>
          <w:sz w:val="26"/>
          <w:szCs w:val="26"/>
        </w:rPr>
      </w:pPr>
    </w:p>
    <w:p w14:paraId="2E5684B0" w14:textId="57AE3732" w:rsidR="001D116C" w:rsidRPr="001D116C" w:rsidRDefault="001D116C" w:rsidP="00A2479D">
      <w:pPr>
        <w:keepNext/>
        <w:shd w:val="clear" w:color="auto" w:fill="FFFFFF"/>
        <w:spacing w:after="0" w:line="240" w:lineRule="auto"/>
        <w:ind w:left="1440" w:right="1440"/>
        <w:rPr>
          <w:sz w:val="26"/>
          <w:szCs w:val="26"/>
        </w:rPr>
      </w:pPr>
      <w:r w:rsidRPr="001D116C">
        <w:rPr>
          <w:sz w:val="26"/>
          <w:szCs w:val="26"/>
        </w:rPr>
        <w:t>(a)</w:t>
      </w:r>
      <w:r>
        <w:rPr>
          <w:sz w:val="26"/>
          <w:szCs w:val="26"/>
        </w:rPr>
        <w:tab/>
      </w:r>
      <w:r w:rsidRPr="001D116C">
        <w:rPr>
          <w:i/>
          <w:iCs/>
          <w:sz w:val="26"/>
          <w:szCs w:val="26"/>
        </w:rPr>
        <w:t>A customer</w:t>
      </w:r>
      <w:r w:rsidRPr="001D116C">
        <w:rPr>
          <w:sz w:val="26"/>
          <w:szCs w:val="26"/>
        </w:rPr>
        <w:t xml:space="preserve"> who is about to vacate premises supplied with public utility service or </w:t>
      </w:r>
      <w:r w:rsidRPr="001D116C">
        <w:rPr>
          <w:i/>
          <w:iCs/>
          <w:sz w:val="26"/>
          <w:szCs w:val="26"/>
        </w:rPr>
        <w:t>who wishes to have service discontinued shall give at least 7 days</w:t>
      </w:r>
      <w:r w:rsidR="004C2DD9">
        <w:rPr>
          <w:i/>
          <w:iCs/>
          <w:sz w:val="26"/>
          <w:szCs w:val="26"/>
        </w:rPr>
        <w:t>’</w:t>
      </w:r>
      <w:r w:rsidRPr="001D116C">
        <w:rPr>
          <w:i/>
          <w:iCs/>
          <w:sz w:val="26"/>
          <w:szCs w:val="26"/>
        </w:rPr>
        <w:t xml:space="preserve"> notice to the public utility and a noncustomer occupant, specifying the date on which it is desired that service be discontinued</w:t>
      </w:r>
      <w:r w:rsidRPr="001D116C">
        <w:rPr>
          <w:sz w:val="26"/>
          <w:szCs w:val="26"/>
        </w:rPr>
        <w:t xml:space="preserve">. </w:t>
      </w:r>
      <w:r w:rsidR="004C2DD9">
        <w:rPr>
          <w:sz w:val="26"/>
          <w:szCs w:val="26"/>
        </w:rPr>
        <w:t xml:space="preserve"> </w:t>
      </w:r>
      <w:r w:rsidRPr="001D116C">
        <w:rPr>
          <w:i/>
          <w:iCs/>
          <w:sz w:val="26"/>
          <w:szCs w:val="26"/>
        </w:rPr>
        <w:t>In the absence of a notice, the customer shall be responsible for services rendered</w:t>
      </w:r>
      <w:r w:rsidRPr="001D116C">
        <w:rPr>
          <w:sz w:val="26"/>
          <w:szCs w:val="26"/>
        </w:rPr>
        <w:t xml:space="preserve">. </w:t>
      </w:r>
      <w:r w:rsidR="004C2DD9">
        <w:rPr>
          <w:sz w:val="26"/>
          <w:szCs w:val="26"/>
        </w:rPr>
        <w:t xml:space="preserve"> </w:t>
      </w:r>
      <w:r w:rsidRPr="001D116C">
        <w:rPr>
          <w:sz w:val="26"/>
          <w:szCs w:val="26"/>
        </w:rPr>
        <w:t>After a reasonable attempt to obtain meter access, if the public utility is not able to access the meter for discontinuance, service shall be discontinued with an estimated meter reading upon which the final bill will be based.</w:t>
      </w:r>
      <w:r w:rsidR="004C2DD9">
        <w:rPr>
          <w:sz w:val="26"/>
          <w:szCs w:val="26"/>
        </w:rPr>
        <w:t xml:space="preserve">  </w:t>
      </w:r>
      <w:r w:rsidRPr="001D116C">
        <w:rPr>
          <w:sz w:val="26"/>
          <w:szCs w:val="26"/>
        </w:rPr>
        <w:t>The resulting final bill is subject to adjustment once the public utility has obtained an actual meter reading.</w:t>
      </w:r>
    </w:p>
    <w:p w14:paraId="482D2250" w14:textId="77777777" w:rsidR="001D116C" w:rsidRPr="001D116C" w:rsidRDefault="001D116C" w:rsidP="00A2479D">
      <w:pPr>
        <w:keepNext/>
        <w:spacing w:after="0" w:line="360" w:lineRule="auto"/>
        <w:rPr>
          <w:sz w:val="26"/>
          <w:szCs w:val="26"/>
        </w:rPr>
      </w:pPr>
      <w:r w:rsidRPr="001D116C">
        <w:rPr>
          <w:sz w:val="26"/>
          <w:szCs w:val="26"/>
        </w:rPr>
        <w:t xml:space="preserve"> </w:t>
      </w:r>
    </w:p>
    <w:p w14:paraId="068A30C1" w14:textId="1C13EF85" w:rsidR="001D116C" w:rsidRPr="001D116C" w:rsidRDefault="001D116C" w:rsidP="00A2479D">
      <w:pPr>
        <w:keepNext/>
        <w:spacing w:after="0" w:line="360" w:lineRule="auto"/>
        <w:rPr>
          <w:sz w:val="26"/>
          <w:szCs w:val="26"/>
        </w:rPr>
      </w:pPr>
      <w:bookmarkStart w:id="4" w:name="_Hlk84318875"/>
      <w:r w:rsidRPr="001D116C">
        <w:rPr>
          <w:sz w:val="26"/>
          <w:szCs w:val="26"/>
        </w:rPr>
        <w:t>52 Pa. Code § 56.16(a)</w:t>
      </w:r>
      <w:r w:rsidR="004C2DD9">
        <w:rPr>
          <w:sz w:val="26"/>
          <w:szCs w:val="26"/>
        </w:rPr>
        <w:t xml:space="preserve"> </w:t>
      </w:r>
      <w:bookmarkEnd w:id="4"/>
      <w:r w:rsidR="004C2DD9" w:rsidRPr="004C2DD9">
        <w:rPr>
          <w:sz w:val="26"/>
          <w:szCs w:val="26"/>
        </w:rPr>
        <w:t>(emphasis added)</w:t>
      </w:r>
      <w:r w:rsidR="004C2DD9">
        <w:rPr>
          <w:sz w:val="26"/>
          <w:szCs w:val="26"/>
        </w:rPr>
        <w:t>.</w:t>
      </w:r>
    </w:p>
    <w:p w14:paraId="7A146538" w14:textId="77777777" w:rsidR="00ED29CC" w:rsidRDefault="00ED29CC" w:rsidP="003B5942">
      <w:pPr>
        <w:spacing w:after="0" w:line="360" w:lineRule="auto"/>
        <w:ind w:firstLine="1440"/>
        <w:contextualSpacing/>
        <w:rPr>
          <w:sz w:val="26"/>
          <w:szCs w:val="26"/>
        </w:rPr>
      </w:pPr>
    </w:p>
    <w:p w14:paraId="454438B2" w14:textId="3647798B" w:rsidR="008658D8" w:rsidRPr="008658D8" w:rsidRDefault="008658D8" w:rsidP="008658D8">
      <w:pPr>
        <w:widowControl w:val="0"/>
        <w:spacing w:after="0" w:line="360" w:lineRule="auto"/>
        <w:ind w:firstLine="1440"/>
        <w:rPr>
          <w:sz w:val="26"/>
          <w:szCs w:val="26"/>
        </w:rPr>
      </w:pPr>
      <w:r>
        <w:rPr>
          <w:sz w:val="26"/>
          <w:szCs w:val="26"/>
        </w:rPr>
        <w:t xml:space="preserve">Additionally, </w:t>
      </w:r>
      <w:r w:rsidRPr="008658D8">
        <w:rPr>
          <w:sz w:val="26"/>
          <w:szCs w:val="26"/>
        </w:rPr>
        <w:t xml:space="preserve">ALJ </w:t>
      </w:r>
      <w:r>
        <w:rPr>
          <w:sz w:val="26"/>
          <w:szCs w:val="26"/>
        </w:rPr>
        <w:t>Vero noted the Complainant’s testimony was of a general nature, containing only assertions, which do not constitute evidence</w:t>
      </w:r>
      <w:r w:rsidRPr="008658D8">
        <w:rPr>
          <w:sz w:val="26"/>
          <w:szCs w:val="26"/>
        </w:rPr>
        <w:t>.  Specifically in h</w:t>
      </w:r>
      <w:r>
        <w:rPr>
          <w:sz w:val="26"/>
          <w:szCs w:val="26"/>
        </w:rPr>
        <w:t>er</w:t>
      </w:r>
      <w:r w:rsidRPr="008658D8">
        <w:rPr>
          <w:sz w:val="26"/>
          <w:szCs w:val="26"/>
        </w:rPr>
        <w:t xml:space="preserve"> d</w:t>
      </w:r>
      <w:r>
        <w:rPr>
          <w:sz w:val="26"/>
          <w:szCs w:val="26"/>
        </w:rPr>
        <w:t>enial</w:t>
      </w:r>
      <w:r w:rsidRPr="008658D8">
        <w:rPr>
          <w:sz w:val="26"/>
          <w:szCs w:val="26"/>
        </w:rPr>
        <w:t xml:space="preserve"> of the Complaint, the ALJ specifically stated:</w:t>
      </w:r>
    </w:p>
    <w:p w14:paraId="653FD2D0" w14:textId="77777777" w:rsidR="008658D8" w:rsidRPr="008658D8" w:rsidRDefault="008658D8" w:rsidP="008658D8">
      <w:pPr>
        <w:widowControl w:val="0"/>
        <w:spacing w:after="0" w:line="360" w:lineRule="auto"/>
        <w:ind w:firstLine="1440"/>
        <w:rPr>
          <w:sz w:val="26"/>
          <w:szCs w:val="26"/>
        </w:rPr>
      </w:pPr>
    </w:p>
    <w:p w14:paraId="5EEF54A9" w14:textId="530C7A0C" w:rsidR="00ED29CC" w:rsidRDefault="008658D8" w:rsidP="00A2479D">
      <w:pPr>
        <w:keepNext/>
        <w:spacing w:after="0" w:line="240" w:lineRule="auto"/>
        <w:ind w:left="1440" w:right="1440" w:firstLine="720"/>
        <w:contextualSpacing/>
        <w:rPr>
          <w:sz w:val="26"/>
          <w:szCs w:val="26"/>
        </w:rPr>
      </w:pPr>
      <w:r w:rsidRPr="008658D8">
        <w:rPr>
          <w:sz w:val="26"/>
          <w:szCs w:val="26"/>
        </w:rPr>
        <w:lastRenderedPageBreak/>
        <w:t>At the hearing, Ms. Leung strongly denied having called PGW on October 17,</w:t>
      </w:r>
      <w:r>
        <w:rPr>
          <w:sz w:val="26"/>
          <w:szCs w:val="26"/>
        </w:rPr>
        <w:t xml:space="preserve"> </w:t>
      </w:r>
      <w:r w:rsidRPr="008658D8">
        <w:rPr>
          <w:sz w:val="26"/>
          <w:szCs w:val="26"/>
        </w:rPr>
        <w:t>2016, to place service for the Service Address in her name.</w:t>
      </w:r>
      <w:r>
        <w:rPr>
          <w:sz w:val="26"/>
          <w:szCs w:val="26"/>
        </w:rPr>
        <w:t xml:space="preserve"> </w:t>
      </w:r>
      <w:r w:rsidRPr="008658D8">
        <w:rPr>
          <w:sz w:val="26"/>
          <w:szCs w:val="26"/>
        </w:rPr>
        <w:t xml:space="preserve"> She questioned the motive for doing</w:t>
      </w:r>
      <w:r>
        <w:rPr>
          <w:sz w:val="26"/>
          <w:szCs w:val="26"/>
        </w:rPr>
        <w:t xml:space="preserve"> </w:t>
      </w:r>
      <w:r w:rsidRPr="008658D8">
        <w:rPr>
          <w:sz w:val="26"/>
          <w:szCs w:val="26"/>
        </w:rPr>
        <w:t>so on October 17, 2016, when on October 15, 2016, she had notarized her authorization for</w:t>
      </w:r>
      <w:r>
        <w:rPr>
          <w:sz w:val="26"/>
          <w:szCs w:val="26"/>
        </w:rPr>
        <w:t xml:space="preserve"> </w:t>
      </w:r>
      <w:r w:rsidRPr="008658D8">
        <w:rPr>
          <w:sz w:val="26"/>
          <w:szCs w:val="26"/>
        </w:rPr>
        <w:t xml:space="preserve">Ms. Allen and Mr. Yusuf to place water service for the Service Address in their name. </w:t>
      </w:r>
      <w:r>
        <w:rPr>
          <w:sz w:val="26"/>
          <w:szCs w:val="26"/>
        </w:rPr>
        <w:t xml:space="preserve"> </w:t>
      </w:r>
      <w:r w:rsidRPr="008658D8">
        <w:rPr>
          <w:sz w:val="26"/>
          <w:szCs w:val="26"/>
        </w:rPr>
        <w:t xml:space="preserve">Tr. 54-55. </w:t>
      </w:r>
      <w:r>
        <w:rPr>
          <w:sz w:val="26"/>
          <w:szCs w:val="26"/>
        </w:rPr>
        <w:t xml:space="preserve"> </w:t>
      </w:r>
      <w:r w:rsidRPr="008658D8">
        <w:rPr>
          <w:sz w:val="26"/>
          <w:szCs w:val="26"/>
        </w:rPr>
        <w:t>Ms. Leung went as far as to claim that PGW placed service in her name using identifying</w:t>
      </w:r>
      <w:r>
        <w:rPr>
          <w:sz w:val="26"/>
          <w:szCs w:val="26"/>
        </w:rPr>
        <w:t xml:space="preserve"> </w:t>
      </w:r>
      <w:r w:rsidRPr="008658D8">
        <w:rPr>
          <w:sz w:val="26"/>
          <w:szCs w:val="26"/>
        </w:rPr>
        <w:t xml:space="preserve">information that they already had in their system for her. </w:t>
      </w:r>
      <w:r>
        <w:rPr>
          <w:sz w:val="26"/>
          <w:szCs w:val="26"/>
        </w:rPr>
        <w:t xml:space="preserve"> </w:t>
      </w:r>
      <w:r w:rsidRPr="008658D8">
        <w:rPr>
          <w:sz w:val="26"/>
          <w:szCs w:val="26"/>
        </w:rPr>
        <w:t>Tr. 52-53.</w:t>
      </w:r>
      <w:r>
        <w:rPr>
          <w:sz w:val="26"/>
          <w:szCs w:val="26"/>
        </w:rPr>
        <w:t xml:space="preserve"> </w:t>
      </w:r>
      <w:r w:rsidRPr="008658D8">
        <w:rPr>
          <w:sz w:val="26"/>
          <w:szCs w:val="26"/>
        </w:rPr>
        <w:t xml:space="preserve"> However, mere bald</w:t>
      </w:r>
      <w:r>
        <w:rPr>
          <w:sz w:val="26"/>
          <w:szCs w:val="26"/>
        </w:rPr>
        <w:t xml:space="preserve"> </w:t>
      </w:r>
      <w:r w:rsidRPr="008658D8">
        <w:rPr>
          <w:sz w:val="26"/>
          <w:szCs w:val="26"/>
        </w:rPr>
        <w:t>assertion, personal opinions or perceptions do not constitute evidence to bolster a claim.</w:t>
      </w:r>
      <w:r>
        <w:rPr>
          <w:sz w:val="26"/>
          <w:szCs w:val="26"/>
        </w:rPr>
        <w:t xml:space="preserve"> </w:t>
      </w:r>
      <w:r w:rsidRPr="008658D8">
        <w:rPr>
          <w:sz w:val="26"/>
          <w:szCs w:val="26"/>
        </w:rPr>
        <w:t xml:space="preserve"> </w:t>
      </w:r>
      <w:r w:rsidRPr="008658D8">
        <w:rPr>
          <w:i/>
          <w:iCs/>
          <w:sz w:val="26"/>
          <w:szCs w:val="26"/>
        </w:rPr>
        <w:t>Pa. Bureau of Corrections v. City of Pittsburgh</w:t>
      </w:r>
      <w:r w:rsidRPr="008658D8">
        <w:rPr>
          <w:sz w:val="26"/>
          <w:szCs w:val="26"/>
        </w:rPr>
        <w:t xml:space="preserve">, 516 Pa. 75, 532 A.2d 12 (1987). </w:t>
      </w:r>
      <w:r>
        <w:rPr>
          <w:sz w:val="26"/>
          <w:szCs w:val="26"/>
        </w:rPr>
        <w:t xml:space="preserve"> </w:t>
      </w:r>
      <w:r w:rsidRPr="008658D8">
        <w:rPr>
          <w:sz w:val="26"/>
          <w:szCs w:val="26"/>
        </w:rPr>
        <w:t>Ms. Leung did not</w:t>
      </w:r>
      <w:r>
        <w:rPr>
          <w:sz w:val="26"/>
          <w:szCs w:val="26"/>
        </w:rPr>
        <w:t xml:space="preserve"> </w:t>
      </w:r>
      <w:r w:rsidRPr="008658D8">
        <w:rPr>
          <w:sz w:val="26"/>
          <w:szCs w:val="26"/>
        </w:rPr>
        <w:t xml:space="preserve">produce any evidence to support her allegations. </w:t>
      </w:r>
      <w:r>
        <w:rPr>
          <w:sz w:val="26"/>
          <w:szCs w:val="26"/>
        </w:rPr>
        <w:t xml:space="preserve"> </w:t>
      </w:r>
      <w:r w:rsidRPr="008658D8">
        <w:rPr>
          <w:sz w:val="26"/>
          <w:szCs w:val="26"/>
        </w:rPr>
        <w:t>On the contrary, PGW produced credible</w:t>
      </w:r>
      <w:r>
        <w:rPr>
          <w:sz w:val="26"/>
          <w:szCs w:val="26"/>
        </w:rPr>
        <w:t xml:space="preserve"> </w:t>
      </w:r>
      <w:r w:rsidRPr="008658D8">
        <w:rPr>
          <w:sz w:val="26"/>
          <w:szCs w:val="26"/>
        </w:rPr>
        <w:t>evidence in the form of sworn testimony and business records to support its claim that</w:t>
      </w:r>
      <w:r>
        <w:rPr>
          <w:sz w:val="26"/>
          <w:szCs w:val="26"/>
        </w:rPr>
        <w:t xml:space="preserve"> </w:t>
      </w:r>
      <w:r w:rsidRPr="008658D8">
        <w:rPr>
          <w:sz w:val="26"/>
          <w:szCs w:val="26"/>
        </w:rPr>
        <w:t>Ms. Leung requested that service be placed in her name.</w:t>
      </w:r>
    </w:p>
    <w:p w14:paraId="1046E11F" w14:textId="77777777" w:rsidR="003E57B6" w:rsidRDefault="003E57B6" w:rsidP="00A2479D">
      <w:pPr>
        <w:keepNext/>
        <w:spacing w:after="0" w:line="360" w:lineRule="auto"/>
        <w:contextualSpacing/>
        <w:rPr>
          <w:sz w:val="26"/>
          <w:szCs w:val="26"/>
        </w:rPr>
      </w:pPr>
    </w:p>
    <w:p w14:paraId="20BC5EFC" w14:textId="344768EB" w:rsidR="008658D8" w:rsidRDefault="008658D8" w:rsidP="00A2479D">
      <w:pPr>
        <w:keepNext/>
        <w:spacing w:after="0" w:line="360" w:lineRule="auto"/>
        <w:contextualSpacing/>
        <w:rPr>
          <w:sz w:val="26"/>
          <w:szCs w:val="26"/>
        </w:rPr>
      </w:pPr>
      <w:r>
        <w:rPr>
          <w:sz w:val="26"/>
          <w:szCs w:val="26"/>
        </w:rPr>
        <w:t>I.D. at 10.</w:t>
      </w:r>
    </w:p>
    <w:p w14:paraId="62C8B04C" w14:textId="482036BD" w:rsidR="008658D8" w:rsidRDefault="008658D8" w:rsidP="003B5942">
      <w:pPr>
        <w:spacing w:after="0" w:line="360" w:lineRule="auto"/>
        <w:ind w:firstLine="1440"/>
        <w:contextualSpacing/>
        <w:rPr>
          <w:sz w:val="26"/>
          <w:szCs w:val="26"/>
        </w:rPr>
      </w:pPr>
    </w:p>
    <w:p w14:paraId="0B625AF4" w14:textId="303793E1" w:rsidR="00C16A63" w:rsidRDefault="002B650D" w:rsidP="00F46A00">
      <w:pPr>
        <w:spacing w:after="0" w:line="360" w:lineRule="auto"/>
        <w:ind w:firstLine="1440"/>
        <w:contextualSpacing/>
        <w:rPr>
          <w:sz w:val="26"/>
          <w:szCs w:val="26"/>
        </w:rPr>
      </w:pPr>
      <w:r>
        <w:rPr>
          <w:sz w:val="26"/>
          <w:szCs w:val="26"/>
        </w:rPr>
        <w:t xml:space="preserve">ALJ Vero further </w:t>
      </w:r>
      <w:r w:rsidR="00C16A63">
        <w:rPr>
          <w:sz w:val="26"/>
          <w:szCs w:val="26"/>
        </w:rPr>
        <w:t xml:space="preserve">concluded that, assuming </w:t>
      </w:r>
      <w:r w:rsidR="00C16A63" w:rsidRPr="00C16A63">
        <w:rPr>
          <w:i/>
          <w:iCs/>
          <w:sz w:val="26"/>
          <w:szCs w:val="26"/>
        </w:rPr>
        <w:t>arguendo</w:t>
      </w:r>
      <w:r w:rsidR="00C16A63">
        <w:rPr>
          <w:sz w:val="26"/>
          <w:szCs w:val="26"/>
        </w:rPr>
        <w:t xml:space="preserve"> that Ms. Leung did not request service in her name for the Service Address on October 17, 2016, as she adamantly argued, </w:t>
      </w:r>
      <w:r w:rsidR="00097210">
        <w:rPr>
          <w:sz w:val="26"/>
          <w:szCs w:val="26"/>
        </w:rPr>
        <w:t xml:space="preserve">the service was correctly placed and kept in Ms. Leung’s name </w:t>
      </w:r>
      <w:r w:rsidR="00C16A63">
        <w:rPr>
          <w:sz w:val="26"/>
          <w:szCs w:val="26"/>
        </w:rPr>
        <w:t>with the failure of Ms. Allen’s attempt to place service in her name</w:t>
      </w:r>
      <w:r w:rsidR="00097210">
        <w:rPr>
          <w:sz w:val="26"/>
          <w:szCs w:val="26"/>
        </w:rPr>
        <w:t>.</w:t>
      </w:r>
      <w:r w:rsidR="00C16A63">
        <w:rPr>
          <w:sz w:val="26"/>
          <w:szCs w:val="26"/>
        </w:rPr>
        <w:t xml:space="preserve">  I.D. at 10-11.</w:t>
      </w:r>
      <w:r w:rsidR="00E250B3">
        <w:rPr>
          <w:sz w:val="26"/>
          <w:szCs w:val="26"/>
        </w:rPr>
        <w:t xml:space="preserve">  In reaching this conclusion the ALJ</w:t>
      </w:r>
      <w:r w:rsidR="001D1762">
        <w:rPr>
          <w:sz w:val="26"/>
          <w:szCs w:val="26"/>
        </w:rPr>
        <w:t xml:space="preserve"> </w:t>
      </w:r>
      <w:r w:rsidR="00E250B3">
        <w:rPr>
          <w:sz w:val="26"/>
          <w:szCs w:val="26"/>
        </w:rPr>
        <w:t>explained that</w:t>
      </w:r>
      <w:r w:rsidR="00525567">
        <w:rPr>
          <w:sz w:val="26"/>
          <w:szCs w:val="26"/>
        </w:rPr>
        <w:t>, in the absence of another customer of record and</w:t>
      </w:r>
      <w:r w:rsidR="00094941">
        <w:rPr>
          <w:sz w:val="26"/>
          <w:szCs w:val="26"/>
        </w:rPr>
        <w:t xml:space="preserve"> given that Ms. Leung never contacted PGW to request that gas service at the Service Address be discontinued either before Ms. Allen and Mr. </w:t>
      </w:r>
      <w:bookmarkStart w:id="5" w:name="_Hlk84319866"/>
      <w:r w:rsidR="00094941">
        <w:rPr>
          <w:sz w:val="26"/>
          <w:szCs w:val="26"/>
        </w:rPr>
        <w:t xml:space="preserve">Yusuf </w:t>
      </w:r>
      <w:bookmarkEnd w:id="5"/>
      <w:r w:rsidR="00094941">
        <w:rPr>
          <w:sz w:val="26"/>
          <w:szCs w:val="26"/>
        </w:rPr>
        <w:t>moved in or after they moved out, PGW was within its rights to place gas service in the Complainant’s name.</w:t>
      </w:r>
      <w:r w:rsidR="00FC5755">
        <w:rPr>
          <w:sz w:val="26"/>
          <w:szCs w:val="26"/>
        </w:rPr>
        <w:t xml:space="preserve">  </w:t>
      </w:r>
      <w:r w:rsidR="00FC5755" w:rsidRPr="00FC5755">
        <w:rPr>
          <w:i/>
          <w:iCs/>
          <w:sz w:val="26"/>
          <w:szCs w:val="26"/>
        </w:rPr>
        <w:t>Id.</w:t>
      </w:r>
      <w:r w:rsidR="008A51FF">
        <w:rPr>
          <w:sz w:val="26"/>
          <w:szCs w:val="26"/>
        </w:rPr>
        <w:t xml:space="preserve">  </w:t>
      </w:r>
      <w:r w:rsidR="00F46A00">
        <w:rPr>
          <w:sz w:val="26"/>
          <w:szCs w:val="26"/>
        </w:rPr>
        <w:t xml:space="preserve">Regarding the duties of owners of rental property, </w:t>
      </w:r>
      <w:r w:rsidR="00E73922">
        <w:rPr>
          <w:sz w:val="26"/>
          <w:szCs w:val="26"/>
        </w:rPr>
        <w:t>ALJ Vero</w:t>
      </w:r>
      <w:r w:rsidR="00F46A00">
        <w:rPr>
          <w:sz w:val="26"/>
          <w:szCs w:val="26"/>
        </w:rPr>
        <w:t xml:space="preserve"> </w:t>
      </w:r>
      <w:r w:rsidR="00F46A00" w:rsidRPr="00F46A00">
        <w:rPr>
          <w:sz w:val="26"/>
          <w:szCs w:val="26"/>
        </w:rPr>
        <w:t>cited to Section 1529.1 of the</w:t>
      </w:r>
      <w:r w:rsidR="00F46A00">
        <w:rPr>
          <w:sz w:val="26"/>
          <w:szCs w:val="26"/>
        </w:rPr>
        <w:t xml:space="preserve"> </w:t>
      </w:r>
      <w:r w:rsidR="00F46A00" w:rsidRPr="00F46A00">
        <w:rPr>
          <w:sz w:val="26"/>
          <w:szCs w:val="26"/>
        </w:rPr>
        <w:t>Code, 66 Pa. C.S. § 1529.</w:t>
      </w:r>
      <w:r w:rsidR="00F46A00">
        <w:rPr>
          <w:sz w:val="26"/>
          <w:szCs w:val="26"/>
        </w:rPr>
        <w:t>1, and</w:t>
      </w:r>
      <w:r w:rsidR="00E73922">
        <w:rPr>
          <w:sz w:val="26"/>
          <w:szCs w:val="26"/>
        </w:rPr>
        <w:t xml:space="preserve"> explained</w:t>
      </w:r>
      <w:r w:rsidR="00F46A00">
        <w:rPr>
          <w:sz w:val="26"/>
          <w:szCs w:val="26"/>
        </w:rPr>
        <w:t xml:space="preserve"> that utilities are required to list accounts for individually-metered rental units in the name of the owner, absent a request for service by the tenant or other authorized representative.</w:t>
      </w:r>
      <w:r w:rsidR="000F5451">
        <w:rPr>
          <w:sz w:val="26"/>
          <w:szCs w:val="26"/>
        </w:rPr>
        <w:t xml:space="preserve">  </w:t>
      </w:r>
      <w:r w:rsidR="000F5451" w:rsidRPr="000F5451">
        <w:rPr>
          <w:i/>
          <w:iCs/>
          <w:sz w:val="26"/>
          <w:szCs w:val="26"/>
        </w:rPr>
        <w:t>Id</w:t>
      </w:r>
      <w:r w:rsidR="000F5451">
        <w:rPr>
          <w:sz w:val="26"/>
          <w:szCs w:val="26"/>
        </w:rPr>
        <w:t>.</w:t>
      </w:r>
      <w:r w:rsidR="00F46A00">
        <w:rPr>
          <w:sz w:val="26"/>
          <w:szCs w:val="26"/>
        </w:rPr>
        <w:t xml:space="preserve">  </w:t>
      </w:r>
      <w:r w:rsidR="008219B5">
        <w:rPr>
          <w:sz w:val="26"/>
          <w:szCs w:val="26"/>
        </w:rPr>
        <w:t>Section</w:t>
      </w:r>
      <w:r w:rsidR="00F46A00">
        <w:rPr>
          <w:sz w:val="26"/>
          <w:szCs w:val="26"/>
        </w:rPr>
        <w:t xml:space="preserve"> 1529.1</w:t>
      </w:r>
      <w:r w:rsidR="00F46A00" w:rsidRPr="00F46A00">
        <w:rPr>
          <w:sz w:val="26"/>
          <w:szCs w:val="26"/>
        </w:rPr>
        <w:t xml:space="preserve"> provides</w:t>
      </w:r>
      <w:r w:rsidR="008219B5">
        <w:rPr>
          <w:sz w:val="26"/>
          <w:szCs w:val="26"/>
        </w:rPr>
        <w:t xml:space="preserve"> as follows</w:t>
      </w:r>
      <w:r w:rsidR="00F46A00" w:rsidRPr="00F46A00">
        <w:rPr>
          <w:sz w:val="26"/>
          <w:szCs w:val="26"/>
        </w:rPr>
        <w:t>:</w:t>
      </w:r>
    </w:p>
    <w:p w14:paraId="58F0A8E2" w14:textId="0FE0195C" w:rsidR="00E73922" w:rsidRDefault="00E73922" w:rsidP="003B5942">
      <w:pPr>
        <w:spacing w:after="0" w:line="360" w:lineRule="auto"/>
        <w:ind w:firstLine="1440"/>
        <w:contextualSpacing/>
        <w:rPr>
          <w:sz w:val="26"/>
          <w:szCs w:val="26"/>
        </w:rPr>
      </w:pPr>
    </w:p>
    <w:p w14:paraId="4CCF5237" w14:textId="77777777" w:rsidR="008219B5" w:rsidRPr="0092195B" w:rsidRDefault="008219B5" w:rsidP="008219B5">
      <w:pPr>
        <w:spacing w:after="0" w:line="240" w:lineRule="auto"/>
        <w:ind w:left="1440" w:right="1440"/>
        <w:contextualSpacing/>
        <w:rPr>
          <w:b/>
          <w:bCs/>
          <w:sz w:val="26"/>
          <w:szCs w:val="26"/>
        </w:rPr>
      </w:pPr>
      <w:r w:rsidRPr="0092195B">
        <w:rPr>
          <w:b/>
          <w:bCs/>
          <w:sz w:val="26"/>
          <w:szCs w:val="26"/>
        </w:rPr>
        <w:lastRenderedPageBreak/>
        <w:t>§ 1529.1.  Duty of owners of rental property.</w:t>
      </w:r>
    </w:p>
    <w:p w14:paraId="4891EEA2" w14:textId="77777777" w:rsidR="008219B5" w:rsidRPr="0092195B" w:rsidRDefault="008219B5" w:rsidP="008219B5">
      <w:pPr>
        <w:spacing w:after="0" w:line="240" w:lineRule="auto"/>
        <w:ind w:left="1440" w:right="1440"/>
        <w:contextualSpacing/>
        <w:rPr>
          <w:b/>
          <w:bCs/>
          <w:sz w:val="26"/>
          <w:szCs w:val="26"/>
        </w:rPr>
      </w:pPr>
    </w:p>
    <w:p w14:paraId="217C90D9" w14:textId="157CFCB1" w:rsidR="008219B5" w:rsidRPr="0092195B" w:rsidRDefault="008219B5" w:rsidP="008219B5">
      <w:pPr>
        <w:spacing w:after="0" w:line="240" w:lineRule="auto"/>
        <w:ind w:left="1440" w:right="1440"/>
        <w:contextualSpacing/>
        <w:rPr>
          <w:sz w:val="26"/>
          <w:szCs w:val="26"/>
        </w:rPr>
      </w:pPr>
      <w:r w:rsidRPr="0092195B">
        <w:rPr>
          <w:b/>
          <w:bCs/>
          <w:sz w:val="26"/>
          <w:szCs w:val="26"/>
        </w:rPr>
        <w:t>(a)</w:t>
      </w:r>
      <w:r w:rsidR="00A2479D">
        <w:rPr>
          <w:b/>
          <w:bCs/>
          <w:sz w:val="26"/>
          <w:szCs w:val="26"/>
        </w:rPr>
        <w:tab/>
      </w:r>
      <w:r w:rsidRPr="0092195B">
        <w:rPr>
          <w:b/>
          <w:bCs/>
          <w:sz w:val="26"/>
          <w:szCs w:val="26"/>
        </w:rPr>
        <w:t>Notice to public utility.—</w:t>
      </w:r>
      <w:r w:rsidRPr="0092195B">
        <w:rPr>
          <w:sz w:val="26"/>
          <w:szCs w:val="26"/>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6" w:name="IN;3"/>
      <w:bookmarkStart w:id="7" w:name="SP;a83b000018c76"/>
      <w:bookmarkEnd w:id="6"/>
      <w:bookmarkEnd w:id="7"/>
    </w:p>
    <w:p w14:paraId="42CDA00F" w14:textId="77777777" w:rsidR="008219B5" w:rsidRPr="0092195B" w:rsidRDefault="008219B5" w:rsidP="008219B5">
      <w:pPr>
        <w:spacing w:after="0" w:line="240" w:lineRule="auto"/>
        <w:ind w:left="1440" w:right="1440"/>
        <w:contextualSpacing/>
        <w:rPr>
          <w:b/>
          <w:bCs/>
          <w:sz w:val="26"/>
          <w:szCs w:val="26"/>
        </w:rPr>
      </w:pPr>
    </w:p>
    <w:p w14:paraId="6582475F" w14:textId="04F05CFB" w:rsidR="008219B5" w:rsidRPr="0092195B" w:rsidRDefault="008219B5" w:rsidP="008219B5">
      <w:pPr>
        <w:spacing w:after="0" w:line="240" w:lineRule="auto"/>
        <w:ind w:left="1440" w:right="1440"/>
        <w:contextualSpacing/>
        <w:rPr>
          <w:sz w:val="26"/>
          <w:szCs w:val="26"/>
        </w:rPr>
      </w:pPr>
      <w:r w:rsidRPr="0092195B">
        <w:rPr>
          <w:b/>
          <w:bCs/>
          <w:sz w:val="26"/>
          <w:szCs w:val="26"/>
        </w:rPr>
        <w:t>(b)</w:t>
      </w:r>
      <w:r w:rsidR="00A2479D">
        <w:rPr>
          <w:b/>
          <w:bCs/>
          <w:sz w:val="26"/>
          <w:szCs w:val="26"/>
        </w:rPr>
        <w:tab/>
      </w:r>
      <w:r w:rsidRPr="0092195B">
        <w:rPr>
          <w:b/>
          <w:bCs/>
          <w:sz w:val="26"/>
          <w:szCs w:val="26"/>
        </w:rPr>
        <w:t>History of account.—</w:t>
      </w:r>
      <w:r w:rsidRPr="0092195B">
        <w:rPr>
          <w:sz w:val="26"/>
          <w:szCs w:val="26"/>
        </w:rPr>
        <w:t xml:space="preserve">Upon receipt of the notice provided in this section, if the mobile home park or residential building contains one or more dwelling </w:t>
      </w:r>
      <w:bookmarkStart w:id="8" w:name="SDU_2"/>
      <w:bookmarkEnd w:id="8"/>
      <w:r w:rsidRPr="0092195B">
        <w:rPr>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w:t>
      </w:r>
      <w:r w:rsidRPr="008219B5">
        <w:rPr>
          <w:i/>
          <w:iCs/>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9" w:name="IN;4"/>
      <w:bookmarkStart w:id="10" w:name="SP;4b24000003ba5"/>
      <w:bookmarkEnd w:id="9"/>
      <w:bookmarkEnd w:id="10"/>
    </w:p>
    <w:p w14:paraId="51F9053E" w14:textId="77777777" w:rsidR="008219B5" w:rsidRPr="0092195B" w:rsidRDefault="008219B5" w:rsidP="008219B5">
      <w:pPr>
        <w:spacing w:after="0" w:line="240" w:lineRule="auto"/>
        <w:ind w:left="1440" w:right="1440"/>
        <w:contextualSpacing/>
        <w:rPr>
          <w:b/>
          <w:bCs/>
          <w:sz w:val="26"/>
          <w:szCs w:val="26"/>
        </w:rPr>
      </w:pPr>
    </w:p>
    <w:p w14:paraId="594AED6B" w14:textId="4108729F" w:rsidR="008219B5" w:rsidRPr="00143A91" w:rsidRDefault="008219B5" w:rsidP="00A2479D">
      <w:pPr>
        <w:keepNext/>
        <w:spacing w:after="0" w:line="240" w:lineRule="auto"/>
        <w:ind w:left="1440" w:right="1440"/>
        <w:contextualSpacing/>
        <w:rPr>
          <w:sz w:val="26"/>
          <w:szCs w:val="26"/>
        </w:rPr>
      </w:pPr>
      <w:r w:rsidRPr="0092195B">
        <w:rPr>
          <w:b/>
          <w:bCs/>
          <w:sz w:val="26"/>
          <w:szCs w:val="26"/>
        </w:rPr>
        <w:t>(c)</w:t>
      </w:r>
      <w:r w:rsidR="00A2479D">
        <w:rPr>
          <w:b/>
          <w:bCs/>
          <w:sz w:val="26"/>
          <w:szCs w:val="26"/>
        </w:rPr>
        <w:tab/>
      </w:r>
      <w:r w:rsidRPr="0092195B">
        <w:rPr>
          <w:b/>
          <w:bCs/>
          <w:sz w:val="26"/>
          <w:szCs w:val="26"/>
        </w:rPr>
        <w:t>Failure to give notice.—</w:t>
      </w:r>
      <w:r w:rsidRPr="008219B5">
        <w:rPr>
          <w:i/>
          <w:iCs/>
          <w:sz w:val="26"/>
          <w:szCs w:val="26"/>
        </w:rPr>
        <w:t>Any owner of a residential building or mobile home park failing to notify affected public utilities as required by this section shall nonetheless be responsible for payment of the utility services as if the required notice had been given</w:t>
      </w:r>
      <w:r w:rsidRPr="0092195B">
        <w:rPr>
          <w:sz w:val="26"/>
          <w:szCs w:val="26"/>
        </w:rPr>
        <w:t>.</w:t>
      </w:r>
    </w:p>
    <w:p w14:paraId="6BF1CA2B" w14:textId="77777777" w:rsidR="008219B5" w:rsidRDefault="008219B5" w:rsidP="00A2479D">
      <w:pPr>
        <w:keepNext/>
        <w:spacing w:after="0" w:line="360" w:lineRule="auto"/>
        <w:contextualSpacing/>
        <w:rPr>
          <w:sz w:val="26"/>
          <w:szCs w:val="26"/>
        </w:rPr>
      </w:pPr>
    </w:p>
    <w:p w14:paraId="05FB2ADC" w14:textId="77777777" w:rsidR="002D2F4B" w:rsidRDefault="008219B5" w:rsidP="00A2479D">
      <w:pPr>
        <w:keepNext/>
        <w:spacing w:after="0" w:line="360" w:lineRule="auto"/>
        <w:contextualSpacing/>
        <w:rPr>
          <w:sz w:val="26"/>
          <w:szCs w:val="26"/>
        </w:rPr>
      </w:pPr>
      <w:r w:rsidRPr="0092195B">
        <w:rPr>
          <w:sz w:val="26"/>
          <w:szCs w:val="26"/>
        </w:rPr>
        <w:t>66 Pa. C.S. § 1529.</w:t>
      </w:r>
      <w:r>
        <w:rPr>
          <w:sz w:val="26"/>
          <w:szCs w:val="26"/>
        </w:rPr>
        <w:t xml:space="preserve">1 </w:t>
      </w:r>
      <w:r w:rsidRPr="008219B5">
        <w:rPr>
          <w:sz w:val="26"/>
          <w:szCs w:val="26"/>
        </w:rPr>
        <w:t>(emphasis added).</w:t>
      </w:r>
      <w:r w:rsidR="002D2F4B">
        <w:rPr>
          <w:sz w:val="26"/>
          <w:szCs w:val="26"/>
        </w:rPr>
        <w:t xml:space="preserve">  </w:t>
      </w:r>
    </w:p>
    <w:p w14:paraId="3A565C31" w14:textId="77777777" w:rsidR="002D2F4B" w:rsidRDefault="002D2F4B" w:rsidP="002D2F4B">
      <w:pPr>
        <w:spacing w:after="0" w:line="360" w:lineRule="auto"/>
        <w:contextualSpacing/>
        <w:rPr>
          <w:sz w:val="26"/>
          <w:szCs w:val="26"/>
        </w:rPr>
      </w:pPr>
    </w:p>
    <w:p w14:paraId="74C5F190" w14:textId="379E611C" w:rsidR="002D2F4B" w:rsidRDefault="003B037D" w:rsidP="002D2F4B">
      <w:pPr>
        <w:spacing w:after="0" w:line="360" w:lineRule="auto"/>
        <w:ind w:firstLine="1440"/>
        <w:contextualSpacing/>
        <w:rPr>
          <w:sz w:val="26"/>
          <w:szCs w:val="26"/>
        </w:rPr>
      </w:pPr>
      <w:r>
        <w:rPr>
          <w:sz w:val="26"/>
          <w:szCs w:val="26"/>
        </w:rPr>
        <w:t xml:space="preserve">Based on the foregoing, ALJ Vero concluded that </w:t>
      </w:r>
      <w:r w:rsidR="002D2F4B">
        <w:rPr>
          <w:sz w:val="26"/>
          <w:szCs w:val="26"/>
        </w:rPr>
        <w:t>Ms. Leung, as the property owner of the Service Address, is responsible for gas services rendered to the Service Address by PGW from October 17, 2016 through August 4, 2017, since the Complainant failed to meet her burden of proving she is entitled to the relief she seeks.  Therefore, the ALJ denied the Complaint.</w:t>
      </w:r>
      <w:r w:rsidR="004C31DE">
        <w:rPr>
          <w:sz w:val="26"/>
          <w:szCs w:val="26"/>
        </w:rPr>
        <w:t xml:space="preserve">  I.D. at 12-13.</w:t>
      </w:r>
    </w:p>
    <w:p w14:paraId="6ECCB04F" w14:textId="27C1B7AE" w:rsidR="00334A7D" w:rsidRDefault="00A02824" w:rsidP="002D2F4B">
      <w:pPr>
        <w:spacing w:after="0" w:line="360" w:lineRule="auto"/>
        <w:contextualSpacing/>
        <w:rPr>
          <w:sz w:val="26"/>
          <w:szCs w:val="26"/>
        </w:rPr>
      </w:pPr>
      <w:r>
        <w:rPr>
          <w:sz w:val="26"/>
          <w:szCs w:val="26"/>
        </w:rPr>
        <w:t xml:space="preserve"> </w:t>
      </w:r>
    </w:p>
    <w:p w14:paraId="4BD38737" w14:textId="26D3BE70" w:rsidR="00024D5A" w:rsidRDefault="00D10443" w:rsidP="003B5942">
      <w:pPr>
        <w:keepNext/>
        <w:keepLines/>
        <w:spacing w:after="0" w:line="360" w:lineRule="auto"/>
        <w:contextualSpacing/>
        <w:rPr>
          <w:b/>
          <w:sz w:val="26"/>
          <w:szCs w:val="26"/>
        </w:rPr>
      </w:pPr>
      <w:r w:rsidRPr="00D10443">
        <w:rPr>
          <w:b/>
          <w:sz w:val="26"/>
          <w:szCs w:val="26"/>
        </w:rPr>
        <w:lastRenderedPageBreak/>
        <w:t>Exceptions and Replies</w:t>
      </w:r>
    </w:p>
    <w:p w14:paraId="14B53F13" w14:textId="77777777" w:rsidR="00D10443" w:rsidRPr="00837061" w:rsidRDefault="00D10443" w:rsidP="003B5942">
      <w:pPr>
        <w:keepNext/>
        <w:keepLines/>
        <w:spacing w:after="0" w:line="360" w:lineRule="auto"/>
        <w:contextualSpacing/>
        <w:rPr>
          <w:sz w:val="26"/>
          <w:szCs w:val="26"/>
        </w:rPr>
      </w:pPr>
    </w:p>
    <w:p w14:paraId="7E8DEA2A" w14:textId="40F8CE46" w:rsidR="008F7869" w:rsidRDefault="00817781" w:rsidP="00A2479D">
      <w:pPr>
        <w:keepNext/>
        <w:spacing w:after="0" w:line="360" w:lineRule="auto"/>
        <w:ind w:firstLine="1440"/>
        <w:contextualSpacing/>
        <w:rPr>
          <w:sz w:val="26"/>
          <w:szCs w:val="26"/>
        </w:rPr>
      </w:pPr>
      <w:r>
        <w:rPr>
          <w:sz w:val="26"/>
          <w:szCs w:val="26"/>
        </w:rPr>
        <w:t>In h</w:t>
      </w:r>
      <w:r w:rsidR="008F7869">
        <w:rPr>
          <w:sz w:val="26"/>
          <w:szCs w:val="26"/>
        </w:rPr>
        <w:t>er</w:t>
      </w:r>
      <w:r>
        <w:rPr>
          <w:sz w:val="26"/>
          <w:szCs w:val="26"/>
        </w:rPr>
        <w:t xml:space="preserve"> Exceptions,</w:t>
      </w:r>
      <w:r w:rsidR="001A6E79">
        <w:rPr>
          <w:rStyle w:val="FootnoteReference"/>
          <w:sz w:val="26"/>
          <w:szCs w:val="26"/>
        </w:rPr>
        <w:footnoteReference w:id="4"/>
      </w:r>
      <w:r>
        <w:rPr>
          <w:sz w:val="26"/>
          <w:szCs w:val="26"/>
        </w:rPr>
        <w:t xml:space="preserve"> the Complainant </w:t>
      </w:r>
      <w:r w:rsidR="00744458">
        <w:rPr>
          <w:sz w:val="26"/>
          <w:szCs w:val="26"/>
        </w:rPr>
        <w:t xml:space="preserve">excepts to </w:t>
      </w:r>
      <w:r w:rsidR="009421FA">
        <w:rPr>
          <w:sz w:val="26"/>
          <w:szCs w:val="26"/>
        </w:rPr>
        <w:t>the ALJ</w:t>
      </w:r>
      <w:r w:rsidR="00386C19">
        <w:rPr>
          <w:sz w:val="26"/>
          <w:szCs w:val="26"/>
        </w:rPr>
        <w:t>’s</w:t>
      </w:r>
      <w:r w:rsidR="005D2785">
        <w:rPr>
          <w:sz w:val="26"/>
          <w:szCs w:val="26"/>
        </w:rPr>
        <w:t xml:space="preserve"> decision to</w:t>
      </w:r>
      <w:r w:rsidR="009421FA">
        <w:rPr>
          <w:sz w:val="26"/>
          <w:szCs w:val="26"/>
        </w:rPr>
        <w:t xml:space="preserve"> d</w:t>
      </w:r>
      <w:r w:rsidR="008F7869">
        <w:rPr>
          <w:sz w:val="26"/>
          <w:szCs w:val="26"/>
        </w:rPr>
        <w:t>eny</w:t>
      </w:r>
      <w:r w:rsidR="009421FA">
        <w:rPr>
          <w:sz w:val="26"/>
          <w:szCs w:val="26"/>
        </w:rPr>
        <w:t xml:space="preserve"> the </w:t>
      </w:r>
      <w:r w:rsidR="00E27E50">
        <w:rPr>
          <w:sz w:val="26"/>
          <w:szCs w:val="26"/>
        </w:rPr>
        <w:t xml:space="preserve">Complaint for </w:t>
      </w:r>
      <w:r w:rsidR="002F5807">
        <w:rPr>
          <w:sz w:val="26"/>
          <w:szCs w:val="26"/>
        </w:rPr>
        <w:t xml:space="preserve">the </w:t>
      </w:r>
      <w:r w:rsidR="00CA6B86">
        <w:rPr>
          <w:sz w:val="26"/>
          <w:szCs w:val="26"/>
        </w:rPr>
        <w:t xml:space="preserve">Complainant’s </w:t>
      </w:r>
      <w:r w:rsidR="00E27E50">
        <w:rPr>
          <w:sz w:val="26"/>
          <w:szCs w:val="26"/>
        </w:rPr>
        <w:t>failure to meet</w:t>
      </w:r>
      <w:r w:rsidR="00CA6B86">
        <w:rPr>
          <w:sz w:val="26"/>
          <w:szCs w:val="26"/>
        </w:rPr>
        <w:t xml:space="preserve"> h</w:t>
      </w:r>
      <w:r w:rsidR="008F7869">
        <w:rPr>
          <w:sz w:val="26"/>
          <w:szCs w:val="26"/>
        </w:rPr>
        <w:t>er</w:t>
      </w:r>
      <w:r w:rsidR="00A70527">
        <w:rPr>
          <w:sz w:val="26"/>
          <w:szCs w:val="26"/>
        </w:rPr>
        <w:t xml:space="preserve"> burden of proof</w:t>
      </w:r>
      <w:r>
        <w:rPr>
          <w:sz w:val="26"/>
          <w:szCs w:val="26"/>
        </w:rPr>
        <w:t xml:space="preserve">.  </w:t>
      </w:r>
      <w:r w:rsidR="0036768E">
        <w:rPr>
          <w:sz w:val="26"/>
          <w:szCs w:val="26"/>
        </w:rPr>
        <w:t xml:space="preserve">Although the Complainant’s Exceptions are unnumbered, the Exceptions </w:t>
      </w:r>
      <w:r w:rsidR="008C572F">
        <w:rPr>
          <w:sz w:val="26"/>
          <w:szCs w:val="26"/>
        </w:rPr>
        <w:t xml:space="preserve">are </w:t>
      </w:r>
      <w:r w:rsidR="008F7869">
        <w:rPr>
          <w:sz w:val="26"/>
          <w:szCs w:val="26"/>
        </w:rPr>
        <w:t>essentially</w:t>
      </w:r>
      <w:r w:rsidR="008C572F">
        <w:rPr>
          <w:sz w:val="26"/>
          <w:szCs w:val="26"/>
        </w:rPr>
        <w:t xml:space="preserve"> a recitation of arguments previously put forth by the Complainant, contending</w:t>
      </w:r>
      <w:r w:rsidR="00D62375">
        <w:rPr>
          <w:sz w:val="26"/>
          <w:szCs w:val="26"/>
        </w:rPr>
        <w:t>:</w:t>
      </w:r>
      <w:r w:rsidR="00C022E0">
        <w:rPr>
          <w:sz w:val="26"/>
          <w:szCs w:val="26"/>
        </w:rPr>
        <w:t xml:space="preserve"> </w:t>
      </w:r>
      <w:r w:rsidR="00D62375">
        <w:rPr>
          <w:sz w:val="26"/>
          <w:szCs w:val="26"/>
        </w:rPr>
        <w:t xml:space="preserve"> (1)</w:t>
      </w:r>
      <w:r w:rsidR="008F7869">
        <w:rPr>
          <w:sz w:val="26"/>
          <w:szCs w:val="26"/>
        </w:rPr>
        <w:t xml:space="preserve"> that the Complainant</w:t>
      </w:r>
      <w:r w:rsidR="00D62375">
        <w:rPr>
          <w:sz w:val="26"/>
          <w:szCs w:val="26"/>
        </w:rPr>
        <w:t xml:space="preserve"> </w:t>
      </w:r>
      <w:r w:rsidR="008F7869">
        <w:rPr>
          <w:sz w:val="26"/>
          <w:szCs w:val="26"/>
        </w:rPr>
        <w:t>did not call PGW to open an account in her name; (2)</w:t>
      </w:r>
      <w:r w:rsidR="00D62375">
        <w:rPr>
          <w:sz w:val="26"/>
          <w:szCs w:val="26"/>
        </w:rPr>
        <w:t xml:space="preserve"> that the Complainant</w:t>
      </w:r>
      <w:r w:rsidR="008F7869">
        <w:rPr>
          <w:sz w:val="26"/>
          <w:szCs w:val="26"/>
        </w:rPr>
        <w:t xml:space="preserve"> did not know that she had an obligation to </w:t>
      </w:r>
      <w:r w:rsidR="00846B06">
        <w:rPr>
          <w:sz w:val="26"/>
          <w:szCs w:val="26"/>
        </w:rPr>
        <w:t>notify PGW</w:t>
      </w:r>
      <w:r w:rsidR="008F7869">
        <w:rPr>
          <w:sz w:val="26"/>
          <w:szCs w:val="26"/>
        </w:rPr>
        <w:t xml:space="preserve"> </w:t>
      </w:r>
      <w:r w:rsidR="00846B06">
        <w:rPr>
          <w:sz w:val="26"/>
          <w:szCs w:val="26"/>
        </w:rPr>
        <w:t>of her desire to discontinue</w:t>
      </w:r>
      <w:r w:rsidR="008F7869">
        <w:rPr>
          <w:sz w:val="26"/>
          <w:szCs w:val="26"/>
        </w:rPr>
        <w:t xml:space="preserve"> gas</w:t>
      </w:r>
      <w:r w:rsidR="00846B06">
        <w:rPr>
          <w:sz w:val="26"/>
          <w:szCs w:val="26"/>
        </w:rPr>
        <w:t xml:space="preserve"> utility</w:t>
      </w:r>
      <w:r w:rsidR="008F7869">
        <w:rPr>
          <w:sz w:val="26"/>
          <w:szCs w:val="26"/>
        </w:rPr>
        <w:t xml:space="preserve"> service</w:t>
      </w:r>
      <w:r w:rsidR="00D62375">
        <w:rPr>
          <w:sz w:val="26"/>
          <w:szCs w:val="26"/>
        </w:rPr>
        <w:t xml:space="preserve">; and (3) that </w:t>
      </w:r>
      <w:r w:rsidR="0045299B">
        <w:rPr>
          <w:sz w:val="26"/>
          <w:szCs w:val="26"/>
        </w:rPr>
        <w:t>it would be a hardship for her to pay the outstanding balance owed to PGW, since, as the landlord, she had also not received rent from the tenants</w:t>
      </w:r>
      <w:r w:rsidR="00123099">
        <w:rPr>
          <w:sz w:val="26"/>
          <w:szCs w:val="26"/>
        </w:rPr>
        <w:t xml:space="preserve"> occupying the Service Address</w:t>
      </w:r>
      <w:r w:rsidR="0045299B">
        <w:rPr>
          <w:sz w:val="26"/>
          <w:szCs w:val="26"/>
        </w:rPr>
        <w:t xml:space="preserve"> in the amount of $12,958.10.  Thus, to circumvent the repercussions of her actions, or lack of action, the Complainant redirects the blame onto the Company, suggesting that PGW</w:t>
      </w:r>
      <w:r w:rsidR="00D62375">
        <w:rPr>
          <w:sz w:val="26"/>
          <w:szCs w:val="26"/>
        </w:rPr>
        <w:t xml:space="preserve"> should have terminated service to the Service Address due to non-payment.</w:t>
      </w:r>
      <w:r w:rsidR="0045299B">
        <w:rPr>
          <w:sz w:val="26"/>
          <w:szCs w:val="26"/>
        </w:rPr>
        <w:t xml:space="preserve">  </w:t>
      </w:r>
      <w:r w:rsidR="008F7869">
        <w:rPr>
          <w:sz w:val="26"/>
          <w:szCs w:val="26"/>
        </w:rPr>
        <w:t xml:space="preserve">Exc. at 1.  </w:t>
      </w:r>
    </w:p>
    <w:p w14:paraId="7A68E9A5" w14:textId="046FF24B" w:rsidR="00B935FF" w:rsidRDefault="00B935FF" w:rsidP="00CC6A41">
      <w:pPr>
        <w:spacing w:line="360" w:lineRule="auto"/>
        <w:contextualSpacing/>
        <w:rPr>
          <w:sz w:val="26"/>
          <w:szCs w:val="26"/>
        </w:rPr>
      </w:pPr>
    </w:p>
    <w:p w14:paraId="0FEDEC53" w14:textId="175C82A4" w:rsidR="00846B06" w:rsidRDefault="00DE297E" w:rsidP="00887E5C">
      <w:pPr>
        <w:spacing w:line="360" w:lineRule="auto"/>
        <w:ind w:firstLine="1440"/>
        <w:contextualSpacing/>
        <w:rPr>
          <w:sz w:val="26"/>
          <w:szCs w:val="26"/>
        </w:rPr>
      </w:pPr>
      <w:r>
        <w:rPr>
          <w:sz w:val="26"/>
          <w:szCs w:val="26"/>
        </w:rPr>
        <w:t xml:space="preserve">In </w:t>
      </w:r>
      <w:r w:rsidR="00A96140">
        <w:rPr>
          <w:sz w:val="26"/>
          <w:szCs w:val="26"/>
        </w:rPr>
        <w:t>reply</w:t>
      </w:r>
      <w:r>
        <w:rPr>
          <w:sz w:val="26"/>
          <w:szCs w:val="26"/>
        </w:rPr>
        <w:t xml:space="preserve"> to </w:t>
      </w:r>
      <w:r w:rsidR="007363ED">
        <w:rPr>
          <w:sz w:val="26"/>
          <w:szCs w:val="26"/>
        </w:rPr>
        <w:t xml:space="preserve">the Exceptions of Ms. Leung, PGW </w:t>
      </w:r>
      <w:r w:rsidR="00C860CC">
        <w:rPr>
          <w:sz w:val="26"/>
          <w:szCs w:val="26"/>
        </w:rPr>
        <w:t>avers that the Complainant’s Exceptions fail to address any error of fact or law contained in the ALJ’s Initial Decision.</w:t>
      </w:r>
      <w:r w:rsidR="005A18C9">
        <w:rPr>
          <w:sz w:val="26"/>
          <w:szCs w:val="26"/>
        </w:rPr>
        <w:t xml:space="preserve">  </w:t>
      </w:r>
      <w:r w:rsidR="00C95A34">
        <w:rPr>
          <w:sz w:val="26"/>
          <w:szCs w:val="26"/>
        </w:rPr>
        <w:t xml:space="preserve">Further, </w:t>
      </w:r>
      <w:r w:rsidR="007363ED">
        <w:rPr>
          <w:sz w:val="26"/>
          <w:szCs w:val="26"/>
        </w:rPr>
        <w:t xml:space="preserve">PGW </w:t>
      </w:r>
      <w:r w:rsidR="007363ED" w:rsidRPr="007363ED">
        <w:rPr>
          <w:sz w:val="26"/>
          <w:szCs w:val="26"/>
        </w:rPr>
        <w:t xml:space="preserve">responds that </w:t>
      </w:r>
      <w:r w:rsidR="00F46F8F">
        <w:rPr>
          <w:sz w:val="26"/>
          <w:szCs w:val="26"/>
        </w:rPr>
        <w:t>the Complainant’s lack of knowledge as to the requirement to give advance notice to terminate service does not excuse the Complainant’s failure to do so, and therefore is no</w:t>
      </w:r>
      <w:r w:rsidR="00520F2F">
        <w:rPr>
          <w:sz w:val="26"/>
          <w:szCs w:val="26"/>
        </w:rPr>
        <w:t>t a</w:t>
      </w:r>
      <w:r w:rsidR="00F46F8F">
        <w:rPr>
          <w:sz w:val="26"/>
          <w:szCs w:val="26"/>
        </w:rPr>
        <w:t xml:space="preserve"> basis </w:t>
      </w:r>
      <w:r w:rsidR="007363ED" w:rsidRPr="007363ED">
        <w:rPr>
          <w:sz w:val="26"/>
          <w:szCs w:val="26"/>
        </w:rPr>
        <w:t xml:space="preserve">for the rejection of the recommendations of ALJ </w:t>
      </w:r>
      <w:r w:rsidR="007363ED">
        <w:rPr>
          <w:sz w:val="26"/>
          <w:szCs w:val="26"/>
        </w:rPr>
        <w:t>Vero</w:t>
      </w:r>
      <w:r w:rsidR="007363ED" w:rsidRPr="007363ED">
        <w:rPr>
          <w:sz w:val="26"/>
          <w:szCs w:val="26"/>
        </w:rPr>
        <w:t xml:space="preserve"> in this matter</w:t>
      </w:r>
      <w:r w:rsidR="00F46F8F">
        <w:rPr>
          <w:sz w:val="26"/>
          <w:szCs w:val="26"/>
        </w:rPr>
        <w:t>.</w:t>
      </w:r>
      <w:r w:rsidR="005A18C9">
        <w:rPr>
          <w:sz w:val="26"/>
          <w:szCs w:val="26"/>
        </w:rPr>
        <w:t xml:space="preserve">  As such, PGW</w:t>
      </w:r>
      <w:r w:rsidR="00A96140">
        <w:rPr>
          <w:sz w:val="26"/>
          <w:szCs w:val="26"/>
        </w:rPr>
        <w:t xml:space="preserve"> requests that the Complainant’s Exceptions be denied.</w:t>
      </w:r>
      <w:r w:rsidR="00887E5C">
        <w:rPr>
          <w:sz w:val="26"/>
          <w:szCs w:val="26"/>
        </w:rPr>
        <w:t xml:space="preserve">  </w:t>
      </w:r>
      <w:r w:rsidR="005A18C9">
        <w:rPr>
          <w:sz w:val="26"/>
          <w:szCs w:val="26"/>
        </w:rPr>
        <w:t>R.</w:t>
      </w:r>
      <w:r w:rsidR="00A2479D">
        <w:rPr>
          <w:sz w:val="26"/>
          <w:szCs w:val="26"/>
        </w:rPr>
        <w:t> </w:t>
      </w:r>
      <w:r w:rsidR="005A18C9">
        <w:rPr>
          <w:sz w:val="26"/>
          <w:szCs w:val="26"/>
        </w:rPr>
        <w:t xml:space="preserve">Exc. at 3.  </w:t>
      </w:r>
    </w:p>
    <w:p w14:paraId="423875BD" w14:textId="0A9FF837" w:rsidR="0085198F" w:rsidRDefault="0085198F" w:rsidP="00887E5C">
      <w:pPr>
        <w:spacing w:line="360" w:lineRule="auto"/>
        <w:contextualSpacing/>
        <w:rPr>
          <w:sz w:val="26"/>
          <w:szCs w:val="26"/>
        </w:rPr>
      </w:pPr>
    </w:p>
    <w:p w14:paraId="2A7401E1" w14:textId="6B8C3A0D" w:rsidR="00006F35" w:rsidRDefault="00927B0F" w:rsidP="00927B0F">
      <w:pPr>
        <w:keepNext/>
        <w:keepLines/>
        <w:spacing w:line="360" w:lineRule="auto"/>
        <w:contextualSpacing/>
        <w:rPr>
          <w:b/>
          <w:sz w:val="26"/>
          <w:szCs w:val="26"/>
        </w:rPr>
      </w:pPr>
      <w:r w:rsidRPr="00927B0F">
        <w:rPr>
          <w:b/>
          <w:sz w:val="26"/>
          <w:szCs w:val="26"/>
        </w:rPr>
        <w:lastRenderedPageBreak/>
        <w:t>Disposition</w:t>
      </w:r>
    </w:p>
    <w:p w14:paraId="6375227E" w14:textId="73F55A9D" w:rsidR="00927B0F" w:rsidRDefault="00927B0F" w:rsidP="00927B0F">
      <w:pPr>
        <w:keepNext/>
        <w:keepLines/>
        <w:spacing w:line="360" w:lineRule="auto"/>
        <w:contextualSpacing/>
        <w:rPr>
          <w:b/>
          <w:sz w:val="26"/>
          <w:szCs w:val="26"/>
        </w:rPr>
      </w:pPr>
    </w:p>
    <w:p w14:paraId="521C348D" w14:textId="4911FCA9" w:rsidR="00D12B11" w:rsidRDefault="00D12B11" w:rsidP="00A2479D">
      <w:pPr>
        <w:keepNext/>
        <w:spacing w:line="360" w:lineRule="auto"/>
        <w:ind w:firstLine="1440"/>
        <w:contextualSpacing/>
        <w:rPr>
          <w:sz w:val="26"/>
          <w:szCs w:val="26"/>
        </w:rPr>
      </w:pPr>
      <w:r w:rsidRPr="00D12B11">
        <w:rPr>
          <w:sz w:val="26"/>
          <w:szCs w:val="26"/>
        </w:rPr>
        <w:t xml:space="preserve">It is settled law that the burden of proof in this proceeding is on the Complainant.  66 Pa. C.S. § 332(a); </w:t>
      </w:r>
      <w:r w:rsidRPr="00D12B11">
        <w:rPr>
          <w:i/>
          <w:sz w:val="26"/>
          <w:szCs w:val="26"/>
        </w:rPr>
        <w:t>Patterson.</w:t>
      </w:r>
      <w:r w:rsidRPr="00D12B11">
        <w:rPr>
          <w:iCs/>
          <w:sz w:val="26"/>
          <w:szCs w:val="26"/>
        </w:rPr>
        <w:t xml:space="preserve">  The Complainant has the burden to show by a preponderance of the evidence that PGW violated the Code, a Commission Order, Commission Regulation or Commission-approved tariff.  66 Pa.</w:t>
      </w:r>
      <w:r w:rsidR="004C31DE">
        <w:rPr>
          <w:iCs/>
          <w:sz w:val="26"/>
          <w:szCs w:val="26"/>
        </w:rPr>
        <w:t xml:space="preserve"> </w:t>
      </w:r>
      <w:r w:rsidRPr="00D12B11">
        <w:rPr>
          <w:iCs/>
          <w:sz w:val="26"/>
          <w:szCs w:val="26"/>
        </w:rPr>
        <w:t xml:space="preserve">C.S. § 701.  We agree with the ALJ’s finding that the Complainant failed to meet her burden of proof in demonstrating a PGW violation in this proceeding. </w:t>
      </w:r>
      <w:r w:rsidRPr="00D12B11">
        <w:rPr>
          <w:sz w:val="26"/>
          <w:szCs w:val="26"/>
        </w:rPr>
        <w:t xml:space="preserve"> </w:t>
      </w:r>
    </w:p>
    <w:p w14:paraId="1EC10C6C" w14:textId="6F0649B9" w:rsidR="00A735EB" w:rsidRDefault="00A735EB" w:rsidP="00D12B11">
      <w:pPr>
        <w:spacing w:line="360" w:lineRule="auto"/>
        <w:ind w:firstLine="1440"/>
        <w:contextualSpacing/>
        <w:rPr>
          <w:sz w:val="26"/>
          <w:szCs w:val="26"/>
        </w:rPr>
      </w:pPr>
    </w:p>
    <w:p w14:paraId="5F472AC7" w14:textId="5A7F52AB" w:rsidR="00A735EB" w:rsidRPr="00D12B11" w:rsidRDefault="00A735EB" w:rsidP="00D12B11">
      <w:pPr>
        <w:spacing w:line="360" w:lineRule="auto"/>
        <w:ind w:firstLine="1440"/>
        <w:contextualSpacing/>
        <w:rPr>
          <w:iCs/>
          <w:sz w:val="26"/>
          <w:szCs w:val="26"/>
        </w:rPr>
      </w:pPr>
      <w:r>
        <w:rPr>
          <w:iCs/>
          <w:sz w:val="26"/>
          <w:szCs w:val="26"/>
        </w:rPr>
        <w:t>In her Exceptions, the Complainant denied having called PGW on October</w:t>
      </w:r>
      <w:r w:rsidR="003439E2">
        <w:rPr>
          <w:iCs/>
          <w:sz w:val="26"/>
          <w:szCs w:val="26"/>
        </w:rPr>
        <w:t> </w:t>
      </w:r>
      <w:r>
        <w:rPr>
          <w:iCs/>
          <w:sz w:val="26"/>
          <w:szCs w:val="26"/>
        </w:rPr>
        <w:t xml:space="preserve">17, </w:t>
      </w:r>
      <w:proofErr w:type="gramStart"/>
      <w:r>
        <w:rPr>
          <w:iCs/>
          <w:sz w:val="26"/>
          <w:szCs w:val="26"/>
        </w:rPr>
        <w:t>2016</w:t>
      </w:r>
      <w:proofErr w:type="gramEnd"/>
      <w:r>
        <w:rPr>
          <w:iCs/>
          <w:sz w:val="26"/>
          <w:szCs w:val="26"/>
        </w:rPr>
        <w:t xml:space="preserve"> to place service for the Service Address in her name.</w:t>
      </w:r>
      <w:r w:rsidR="00031AAD">
        <w:rPr>
          <w:iCs/>
          <w:sz w:val="26"/>
          <w:szCs w:val="26"/>
        </w:rPr>
        <w:t xml:space="preserve">  However, as the ALJ explained, bald assertions, opinions or perceptions do not constitute evidence.  Ms. Leung’s assertion that she had not called PGW to place gas service for the Service Address in her name</w:t>
      </w:r>
      <w:r w:rsidR="007A7980">
        <w:rPr>
          <w:iCs/>
          <w:sz w:val="26"/>
          <w:szCs w:val="26"/>
        </w:rPr>
        <w:t>, having produced no evidence to support her allegations,</w:t>
      </w:r>
      <w:r w:rsidR="00031AAD">
        <w:rPr>
          <w:iCs/>
          <w:sz w:val="26"/>
          <w:szCs w:val="26"/>
        </w:rPr>
        <w:t xml:space="preserve"> does not make it so.  </w:t>
      </w:r>
    </w:p>
    <w:p w14:paraId="775BA924" w14:textId="14553C04" w:rsidR="00D12B11" w:rsidRDefault="00D12B11" w:rsidP="00D12B11">
      <w:pPr>
        <w:spacing w:line="360" w:lineRule="auto"/>
        <w:ind w:firstLine="1440"/>
        <w:contextualSpacing/>
        <w:rPr>
          <w:sz w:val="26"/>
          <w:szCs w:val="26"/>
        </w:rPr>
      </w:pPr>
    </w:p>
    <w:p w14:paraId="59E6AD1B" w14:textId="6D603AF9" w:rsidR="00B70D97" w:rsidRPr="00B70D97" w:rsidRDefault="007A7980" w:rsidP="001D098F">
      <w:pPr>
        <w:spacing w:line="360" w:lineRule="auto"/>
        <w:ind w:firstLine="1440"/>
        <w:contextualSpacing/>
        <w:rPr>
          <w:sz w:val="26"/>
          <w:szCs w:val="26"/>
        </w:rPr>
      </w:pPr>
      <w:r>
        <w:rPr>
          <w:sz w:val="26"/>
          <w:szCs w:val="26"/>
        </w:rPr>
        <w:t xml:space="preserve">In contrast, PGW produced credible evidence in the form of sworn testimony and business records to support its claim that Ms. Leung requested that service be placed in her name.  </w:t>
      </w:r>
      <w:r w:rsidR="00145F4D">
        <w:rPr>
          <w:sz w:val="26"/>
          <w:szCs w:val="26"/>
        </w:rPr>
        <w:t xml:space="preserve">During the evidentiary hearing, it was established that the Complainant contacted PGW and requested to place the gas service for the Service Address in her name.  </w:t>
      </w:r>
      <w:r w:rsidR="00145F4D" w:rsidRPr="00145F4D">
        <w:rPr>
          <w:i/>
          <w:iCs/>
          <w:sz w:val="26"/>
          <w:szCs w:val="26"/>
        </w:rPr>
        <w:t>See</w:t>
      </w:r>
      <w:r w:rsidR="00145F4D">
        <w:rPr>
          <w:sz w:val="26"/>
          <w:szCs w:val="26"/>
        </w:rPr>
        <w:t xml:space="preserve"> Tr. at 37; PGW Exh. No. 1.  </w:t>
      </w:r>
      <w:r w:rsidR="001D098F">
        <w:rPr>
          <w:sz w:val="26"/>
          <w:szCs w:val="26"/>
        </w:rPr>
        <w:t xml:space="preserve">It was also established that </w:t>
      </w:r>
      <w:r w:rsidR="00B70D97" w:rsidRPr="00B70D97">
        <w:rPr>
          <w:sz w:val="26"/>
          <w:szCs w:val="26"/>
        </w:rPr>
        <w:t>Ms.</w:t>
      </w:r>
      <w:r w:rsidR="003439E2">
        <w:rPr>
          <w:sz w:val="26"/>
          <w:szCs w:val="26"/>
        </w:rPr>
        <w:t> </w:t>
      </w:r>
      <w:r w:rsidR="00B70D97" w:rsidRPr="00B70D97">
        <w:rPr>
          <w:sz w:val="26"/>
          <w:szCs w:val="26"/>
        </w:rPr>
        <w:t>Leung did not request that PGW use an address different from the Service Address for billing purposes.</w:t>
      </w:r>
      <w:r w:rsidR="001D098F">
        <w:rPr>
          <w:sz w:val="26"/>
          <w:szCs w:val="26"/>
        </w:rPr>
        <w:t xml:space="preserve">  </w:t>
      </w:r>
      <w:r w:rsidR="001D098F" w:rsidRPr="001D098F">
        <w:rPr>
          <w:i/>
          <w:iCs/>
          <w:sz w:val="26"/>
          <w:szCs w:val="26"/>
        </w:rPr>
        <w:t>See</w:t>
      </w:r>
      <w:r w:rsidR="001D098F">
        <w:rPr>
          <w:sz w:val="26"/>
          <w:szCs w:val="26"/>
        </w:rPr>
        <w:t xml:space="preserve"> </w:t>
      </w:r>
      <w:r w:rsidR="00B70D97" w:rsidRPr="00B70D97">
        <w:rPr>
          <w:sz w:val="26"/>
          <w:szCs w:val="26"/>
        </w:rPr>
        <w:t xml:space="preserve">Tr. </w:t>
      </w:r>
      <w:r w:rsidR="00B70D97">
        <w:rPr>
          <w:sz w:val="26"/>
          <w:szCs w:val="26"/>
        </w:rPr>
        <w:t xml:space="preserve">at </w:t>
      </w:r>
      <w:r w:rsidR="00B70D97" w:rsidRPr="00B70D97">
        <w:rPr>
          <w:sz w:val="26"/>
          <w:szCs w:val="26"/>
        </w:rPr>
        <w:t>38, 48</w:t>
      </w:r>
      <w:r w:rsidR="00B70D97">
        <w:rPr>
          <w:sz w:val="26"/>
          <w:szCs w:val="26"/>
        </w:rPr>
        <w:t>.</w:t>
      </w:r>
      <w:r w:rsidR="001D098F">
        <w:rPr>
          <w:sz w:val="26"/>
          <w:szCs w:val="26"/>
        </w:rPr>
        <w:t xml:space="preserve">  </w:t>
      </w:r>
      <w:r>
        <w:rPr>
          <w:sz w:val="26"/>
          <w:szCs w:val="26"/>
        </w:rPr>
        <w:t xml:space="preserve">Based on the evidence of record, we agree with the ALJ’s conclusion </w:t>
      </w:r>
      <w:r w:rsidRPr="007A7980">
        <w:rPr>
          <w:sz w:val="26"/>
          <w:szCs w:val="26"/>
        </w:rPr>
        <w:t>that PGW has presented convincing evidence that outweighs the Complainant’s unsubstantiated contentions that she had not requested gas service in her name for the Service Address.</w:t>
      </w:r>
    </w:p>
    <w:p w14:paraId="24EC1376" w14:textId="77777777" w:rsidR="00B70D97" w:rsidRPr="007A7980" w:rsidRDefault="00B70D97" w:rsidP="00D12B11">
      <w:pPr>
        <w:spacing w:line="360" w:lineRule="auto"/>
        <w:ind w:firstLine="1440"/>
        <w:contextualSpacing/>
        <w:rPr>
          <w:sz w:val="26"/>
          <w:szCs w:val="26"/>
        </w:rPr>
      </w:pPr>
    </w:p>
    <w:p w14:paraId="59F4638A" w14:textId="09606360" w:rsidR="00514A16" w:rsidRDefault="00A735EB" w:rsidP="00CB46D5">
      <w:pPr>
        <w:spacing w:line="360" w:lineRule="auto"/>
        <w:ind w:firstLine="1440"/>
        <w:contextualSpacing/>
        <w:rPr>
          <w:sz w:val="26"/>
          <w:szCs w:val="26"/>
        </w:rPr>
      </w:pPr>
      <w:r w:rsidRPr="007A7980">
        <w:rPr>
          <w:sz w:val="26"/>
          <w:szCs w:val="26"/>
        </w:rPr>
        <w:t>T</w:t>
      </w:r>
      <w:r w:rsidR="00514A16" w:rsidRPr="007A7980">
        <w:rPr>
          <w:sz w:val="26"/>
          <w:szCs w:val="26"/>
        </w:rPr>
        <w:t xml:space="preserve">he Complainant </w:t>
      </w:r>
      <w:r w:rsidRPr="007A7980">
        <w:rPr>
          <w:sz w:val="26"/>
          <w:szCs w:val="26"/>
        </w:rPr>
        <w:t xml:space="preserve">also </w:t>
      </w:r>
      <w:r w:rsidR="00514A16" w:rsidRPr="007A7980">
        <w:rPr>
          <w:sz w:val="26"/>
          <w:szCs w:val="26"/>
        </w:rPr>
        <w:t xml:space="preserve">claims that she was not aware of her obligation to notify PGW of her desire to discontinue gas utility service, pursuant to 52 Pa. Code </w:t>
      </w:r>
      <w:r w:rsidR="00514A16" w:rsidRPr="007A7980">
        <w:rPr>
          <w:sz w:val="26"/>
          <w:szCs w:val="26"/>
        </w:rPr>
        <w:lastRenderedPageBreak/>
        <w:t>§</w:t>
      </w:r>
      <w:r w:rsidR="003439E2">
        <w:rPr>
          <w:sz w:val="26"/>
          <w:szCs w:val="26"/>
        </w:rPr>
        <w:t> </w:t>
      </w:r>
      <w:r w:rsidR="00514A16" w:rsidRPr="007A7980">
        <w:rPr>
          <w:sz w:val="26"/>
          <w:szCs w:val="26"/>
        </w:rPr>
        <w:t>56.16(a).  We reject the Complainant’s argument on this issue.  Nothing in the Code or the Commission’s Regulations make a utility</w:t>
      </w:r>
      <w:r w:rsidR="00964535" w:rsidRPr="007A7980">
        <w:rPr>
          <w:sz w:val="26"/>
          <w:szCs w:val="26"/>
        </w:rPr>
        <w:t>, or any other party,</w:t>
      </w:r>
      <w:r w:rsidR="00514A16" w:rsidRPr="007A7980">
        <w:rPr>
          <w:sz w:val="26"/>
          <w:szCs w:val="26"/>
        </w:rPr>
        <w:t xml:space="preserve"> responsible for educating property owners as to the property owner</w:t>
      </w:r>
      <w:r w:rsidR="00964535" w:rsidRPr="007A7980">
        <w:rPr>
          <w:sz w:val="26"/>
          <w:szCs w:val="26"/>
        </w:rPr>
        <w:t>s’</w:t>
      </w:r>
      <w:r w:rsidR="00514A16" w:rsidRPr="007A7980">
        <w:rPr>
          <w:sz w:val="26"/>
          <w:szCs w:val="26"/>
        </w:rPr>
        <w:t xml:space="preserve"> duties and obligations under the law.  In that regard, we note that the Complainant not only neglected to give notice to PGW of her desire to discontinue gas utility service</w:t>
      </w:r>
      <w:r w:rsidR="00766571" w:rsidRPr="007A7980">
        <w:rPr>
          <w:sz w:val="26"/>
          <w:szCs w:val="26"/>
        </w:rPr>
        <w:t>, pursuant to Section 56.16(a) of our Regulations</w:t>
      </w:r>
      <w:r w:rsidR="00514A16" w:rsidRPr="007A7980">
        <w:rPr>
          <w:sz w:val="26"/>
          <w:szCs w:val="26"/>
        </w:rPr>
        <w:t>, but also</w:t>
      </w:r>
      <w:r w:rsidR="00C30678" w:rsidRPr="007A7980">
        <w:rPr>
          <w:sz w:val="26"/>
          <w:szCs w:val="26"/>
        </w:rPr>
        <w:t xml:space="preserve"> failed to verify that Ms. Allen and Mr. Yusuf had placed gas service in their names.  Therefore, we agree with the ALJ’s analysis</w:t>
      </w:r>
      <w:r w:rsidR="00546973" w:rsidRPr="007A7980">
        <w:rPr>
          <w:sz w:val="26"/>
          <w:szCs w:val="26"/>
        </w:rPr>
        <w:t xml:space="preserve">, assuming </w:t>
      </w:r>
      <w:r w:rsidR="00546973" w:rsidRPr="007A7980">
        <w:rPr>
          <w:i/>
          <w:iCs/>
          <w:sz w:val="26"/>
          <w:szCs w:val="26"/>
        </w:rPr>
        <w:t>arguendo</w:t>
      </w:r>
      <w:r w:rsidR="00546973" w:rsidRPr="007A7980">
        <w:rPr>
          <w:sz w:val="26"/>
          <w:szCs w:val="26"/>
        </w:rPr>
        <w:t xml:space="preserve"> that Ms.</w:t>
      </w:r>
      <w:r w:rsidR="003439E2">
        <w:rPr>
          <w:sz w:val="26"/>
          <w:szCs w:val="26"/>
        </w:rPr>
        <w:t> </w:t>
      </w:r>
      <w:r w:rsidR="00546973" w:rsidRPr="007A7980">
        <w:rPr>
          <w:sz w:val="26"/>
          <w:szCs w:val="26"/>
        </w:rPr>
        <w:t>Leung had not requested service in her name for the Service Address, that,</w:t>
      </w:r>
      <w:r w:rsidR="00C30678" w:rsidRPr="007A7980">
        <w:rPr>
          <w:sz w:val="26"/>
          <w:szCs w:val="26"/>
        </w:rPr>
        <w:t xml:space="preserve"> pursuant to </w:t>
      </w:r>
      <w:r w:rsidR="00514A16" w:rsidRPr="007A7980">
        <w:rPr>
          <w:sz w:val="26"/>
          <w:szCs w:val="26"/>
        </w:rPr>
        <w:t>Section 1529.1</w:t>
      </w:r>
      <w:r w:rsidR="00766571" w:rsidRPr="007A7980">
        <w:rPr>
          <w:sz w:val="26"/>
          <w:szCs w:val="26"/>
        </w:rPr>
        <w:t xml:space="preserve"> of the Code,</w:t>
      </w:r>
      <w:r w:rsidR="00514A16" w:rsidRPr="007A7980">
        <w:rPr>
          <w:sz w:val="26"/>
          <w:szCs w:val="26"/>
        </w:rPr>
        <w:t xml:space="preserve"> </w:t>
      </w:r>
      <w:r w:rsidR="00546973" w:rsidRPr="007A7980">
        <w:rPr>
          <w:sz w:val="26"/>
          <w:szCs w:val="26"/>
        </w:rPr>
        <w:t xml:space="preserve">PGW was within its rights to place gas service in the Complainant’s name in the absence of another customer of record or request for termination of service.  </w:t>
      </w:r>
      <w:r w:rsidR="00CB46D5" w:rsidRPr="007A7980">
        <w:rPr>
          <w:sz w:val="26"/>
          <w:szCs w:val="26"/>
        </w:rPr>
        <w:t xml:space="preserve">Although Section 1529.1 of the Code does not operate to provide the Commission with enforcement authority over the property owner, the Commission has regulatory oversight of a utility’s compliance with Section 1529.1.  </w:t>
      </w:r>
      <w:r w:rsidR="00252437" w:rsidRPr="007A7980">
        <w:rPr>
          <w:sz w:val="26"/>
          <w:szCs w:val="26"/>
        </w:rPr>
        <w:t>As such</w:t>
      </w:r>
      <w:r w:rsidR="00FA08DB" w:rsidRPr="007A7980">
        <w:rPr>
          <w:sz w:val="26"/>
          <w:szCs w:val="26"/>
        </w:rPr>
        <w:t>,</w:t>
      </w:r>
      <w:r w:rsidR="00252437" w:rsidRPr="007A7980">
        <w:rPr>
          <w:sz w:val="26"/>
          <w:szCs w:val="26"/>
        </w:rPr>
        <w:t xml:space="preserve"> we find no error in the ALJ’s conclusion that PGW was correct in keeping Ms. Leung as the customer of record</w:t>
      </w:r>
      <w:r w:rsidR="00FA08DB" w:rsidRPr="007A7980">
        <w:rPr>
          <w:sz w:val="26"/>
          <w:szCs w:val="26"/>
        </w:rPr>
        <w:t xml:space="preserve"> from October 17, 2016</w:t>
      </w:r>
      <w:r w:rsidR="00252437" w:rsidRPr="007A7980">
        <w:rPr>
          <w:sz w:val="26"/>
          <w:szCs w:val="26"/>
        </w:rPr>
        <w:t xml:space="preserve"> until August 4, 2017</w:t>
      </w:r>
      <w:r w:rsidR="00FA08DB" w:rsidRPr="007A7980">
        <w:rPr>
          <w:sz w:val="26"/>
          <w:szCs w:val="26"/>
        </w:rPr>
        <w:t xml:space="preserve"> when another customer had requested service at the Service Address.</w:t>
      </w:r>
      <w:r w:rsidR="00CB46D5">
        <w:rPr>
          <w:sz w:val="26"/>
          <w:szCs w:val="26"/>
        </w:rPr>
        <w:t xml:space="preserve">  </w:t>
      </w:r>
    </w:p>
    <w:p w14:paraId="6D616EE5" w14:textId="4DE844FF" w:rsidR="00D87ADC" w:rsidRDefault="00D87ADC" w:rsidP="0009566E">
      <w:pPr>
        <w:spacing w:line="360" w:lineRule="auto"/>
        <w:contextualSpacing/>
        <w:rPr>
          <w:iCs/>
          <w:sz w:val="26"/>
          <w:szCs w:val="26"/>
        </w:rPr>
      </w:pPr>
    </w:p>
    <w:p w14:paraId="4A4132D3" w14:textId="6FF243D1" w:rsidR="00C508E1" w:rsidRPr="00C508E1" w:rsidRDefault="00C508E1" w:rsidP="00C508E1">
      <w:pPr>
        <w:spacing w:line="360" w:lineRule="auto"/>
        <w:ind w:firstLine="1440"/>
        <w:contextualSpacing/>
        <w:rPr>
          <w:iCs/>
          <w:sz w:val="26"/>
          <w:szCs w:val="26"/>
        </w:rPr>
      </w:pPr>
      <w:r w:rsidRPr="00C508E1">
        <w:rPr>
          <w:iCs/>
          <w:sz w:val="26"/>
          <w:szCs w:val="26"/>
        </w:rPr>
        <w:t xml:space="preserve">As for the Complainant’s claims that </w:t>
      </w:r>
      <w:r w:rsidRPr="0009566E">
        <w:rPr>
          <w:iCs/>
          <w:sz w:val="26"/>
          <w:szCs w:val="26"/>
        </w:rPr>
        <w:t>Ms. Allen and Mr.</w:t>
      </w:r>
      <w:r w:rsidR="00766571" w:rsidRPr="0009566E">
        <w:rPr>
          <w:iCs/>
          <w:sz w:val="26"/>
          <w:szCs w:val="26"/>
        </w:rPr>
        <w:t xml:space="preserve"> Yusuf</w:t>
      </w:r>
      <w:r w:rsidRPr="0009566E">
        <w:rPr>
          <w:iCs/>
          <w:sz w:val="26"/>
          <w:szCs w:val="26"/>
        </w:rPr>
        <w:t xml:space="preserve"> </w:t>
      </w:r>
      <w:r w:rsidRPr="00C508E1">
        <w:rPr>
          <w:iCs/>
          <w:sz w:val="26"/>
          <w:szCs w:val="26"/>
        </w:rPr>
        <w:t>w</w:t>
      </w:r>
      <w:r w:rsidRPr="0009566E">
        <w:rPr>
          <w:iCs/>
          <w:sz w:val="26"/>
          <w:szCs w:val="26"/>
        </w:rPr>
        <w:t>ere</w:t>
      </w:r>
      <w:r w:rsidRPr="00C508E1">
        <w:rPr>
          <w:iCs/>
          <w:sz w:val="26"/>
          <w:szCs w:val="26"/>
        </w:rPr>
        <w:t xml:space="preserve"> not lawful tenant</w:t>
      </w:r>
      <w:r w:rsidRPr="0009566E">
        <w:rPr>
          <w:iCs/>
          <w:sz w:val="26"/>
          <w:szCs w:val="26"/>
        </w:rPr>
        <w:t>s</w:t>
      </w:r>
      <w:r w:rsidRPr="00C508E1">
        <w:rPr>
          <w:iCs/>
          <w:sz w:val="26"/>
          <w:szCs w:val="26"/>
        </w:rPr>
        <w:t xml:space="preserve"> and </w:t>
      </w:r>
      <w:r w:rsidRPr="0009566E">
        <w:rPr>
          <w:iCs/>
          <w:sz w:val="26"/>
          <w:szCs w:val="26"/>
        </w:rPr>
        <w:t>neglected to</w:t>
      </w:r>
      <w:r w:rsidRPr="00C508E1">
        <w:rPr>
          <w:iCs/>
          <w:sz w:val="26"/>
          <w:szCs w:val="26"/>
        </w:rPr>
        <w:t xml:space="preserve"> pa</w:t>
      </w:r>
      <w:r w:rsidRPr="0009566E">
        <w:rPr>
          <w:iCs/>
          <w:sz w:val="26"/>
          <w:szCs w:val="26"/>
        </w:rPr>
        <w:t>y</w:t>
      </w:r>
      <w:r w:rsidRPr="00C508E1">
        <w:rPr>
          <w:iCs/>
          <w:sz w:val="26"/>
          <w:szCs w:val="26"/>
        </w:rPr>
        <w:t xml:space="preserve"> </w:t>
      </w:r>
      <w:r w:rsidRPr="0009566E">
        <w:rPr>
          <w:iCs/>
          <w:sz w:val="26"/>
          <w:szCs w:val="26"/>
        </w:rPr>
        <w:t>their</w:t>
      </w:r>
      <w:r w:rsidRPr="00C508E1">
        <w:rPr>
          <w:iCs/>
          <w:sz w:val="26"/>
          <w:szCs w:val="26"/>
        </w:rPr>
        <w:t xml:space="preserve"> rent, such claims are of no consequence to our decision here.  Rather, such matters involve the private dispute between a landlord and tenant involving questions of real property and contract law.  Consequently, whether the</w:t>
      </w:r>
      <w:r w:rsidRPr="0009566E">
        <w:rPr>
          <w:iCs/>
          <w:sz w:val="26"/>
          <w:szCs w:val="26"/>
        </w:rPr>
        <w:t>y were</w:t>
      </w:r>
      <w:r w:rsidRPr="00C508E1">
        <w:rPr>
          <w:iCs/>
          <w:sz w:val="26"/>
          <w:szCs w:val="26"/>
        </w:rPr>
        <w:t xml:space="preserve"> initially lawful tenant</w:t>
      </w:r>
      <w:r w:rsidRPr="0009566E">
        <w:rPr>
          <w:iCs/>
          <w:sz w:val="26"/>
          <w:szCs w:val="26"/>
        </w:rPr>
        <w:t>s</w:t>
      </w:r>
      <w:r w:rsidRPr="00C508E1">
        <w:rPr>
          <w:iCs/>
          <w:sz w:val="26"/>
          <w:szCs w:val="26"/>
        </w:rPr>
        <w:t>, or whether the</w:t>
      </w:r>
      <w:r w:rsidRPr="0009566E">
        <w:rPr>
          <w:iCs/>
          <w:sz w:val="26"/>
          <w:szCs w:val="26"/>
        </w:rPr>
        <w:t xml:space="preserve"> tenants</w:t>
      </w:r>
      <w:r w:rsidRPr="00C508E1">
        <w:rPr>
          <w:iCs/>
          <w:sz w:val="26"/>
          <w:szCs w:val="26"/>
        </w:rPr>
        <w:t xml:space="preserve"> somewhere along the way stopped </w:t>
      </w:r>
      <w:r w:rsidRPr="00C508E1">
        <w:rPr>
          <w:iCs/>
          <w:sz w:val="26"/>
          <w:szCs w:val="26"/>
        </w:rPr>
        <w:lastRenderedPageBreak/>
        <w:t>being lawful tenant</w:t>
      </w:r>
      <w:r w:rsidRPr="0009566E">
        <w:rPr>
          <w:iCs/>
          <w:sz w:val="26"/>
          <w:szCs w:val="26"/>
        </w:rPr>
        <w:t>s</w:t>
      </w:r>
      <w:r w:rsidRPr="00C508E1">
        <w:rPr>
          <w:iCs/>
          <w:sz w:val="26"/>
          <w:szCs w:val="26"/>
        </w:rPr>
        <w:t>, is a private matter outside the subject matter jurisdiction of this Commission, and which can only be addressed by a court of competent jurisdiction.</w:t>
      </w:r>
      <w:r w:rsidRPr="00C508E1">
        <w:rPr>
          <w:iCs/>
          <w:sz w:val="26"/>
          <w:szCs w:val="26"/>
          <w:vertAlign w:val="superscript"/>
        </w:rPr>
        <w:footnoteReference w:id="5"/>
      </w:r>
    </w:p>
    <w:p w14:paraId="54442839" w14:textId="77777777" w:rsidR="006D6793" w:rsidRDefault="006D6793" w:rsidP="0009566E">
      <w:pPr>
        <w:spacing w:line="360" w:lineRule="auto"/>
        <w:ind w:firstLine="1440"/>
        <w:contextualSpacing/>
        <w:rPr>
          <w:iCs/>
          <w:sz w:val="26"/>
          <w:szCs w:val="26"/>
        </w:rPr>
      </w:pPr>
    </w:p>
    <w:p w14:paraId="491846AF" w14:textId="619961A7" w:rsidR="0009566E" w:rsidRPr="0009566E" w:rsidRDefault="0009566E" w:rsidP="0009566E">
      <w:pPr>
        <w:spacing w:line="360" w:lineRule="auto"/>
        <w:ind w:firstLine="1440"/>
        <w:contextualSpacing/>
        <w:rPr>
          <w:iCs/>
          <w:sz w:val="26"/>
          <w:szCs w:val="26"/>
        </w:rPr>
      </w:pPr>
      <w:r w:rsidRPr="0009566E">
        <w:rPr>
          <w:iCs/>
          <w:sz w:val="26"/>
          <w:szCs w:val="26"/>
        </w:rPr>
        <w:t>In light of the above discussion, we concur with the ALJ’s finding that the Complainant has failed to meet her burden of proof and that the Complaint should be d</w:t>
      </w:r>
      <w:r>
        <w:rPr>
          <w:iCs/>
          <w:sz w:val="26"/>
          <w:szCs w:val="26"/>
        </w:rPr>
        <w:t>enied</w:t>
      </w:r>
      <w:r w:rsidRPr="0009566E">
        <w:rPr>
          <w:iCs/>
          <w:sz w:val="26"/>
          <w:szCs w:val="26"/>
        </w:rPr>
        <w:t>.  Accordingly, the ALJ’s Initial Decision is adopted and the Complainant’s Exceptions are denied.</w:t>
      </w:r>
    </w:p>
    <w:p w14:paraId="4CE31F7E" w14:textId="77777777" w:rsidR="004829B1" w:rsidRPr="008F78A8" w:rsidRDefault="004829B1" w:rsidP="009F0FBD">
      <w:pPr>
        <w:spacing w:line="360" w:lineRule="auto"/>
        <w:contextualSpacing/>
        <w:rPr>
          <w:sz w:val="26"/>
          <w:szCs w:val="26"/>
        </w:rPr>
      </w:pPr>
    </w:p>
    <w:p w14:paraId="70486277" w14:textId="77777777" w:rsidR="00CA43A5" w:rsidRPr="008F78A8" w:rsidRDefault="00CA43A5" w:rsidP="00D07678">
      <w:pPr>
        <w:keepNext/>
        <w:keepLines/>
        <w:spacing w:line="360" w:lineRule="auto"/>
        <w:contextualSpacing/>
        <w:jc w:val="center"/>
        <w:rPr>
          <w:b/>
          <w:sz w:val="26"/>
          <w:szCs w:val="26"/>
        </w:rPr>
      </w:pPr>
      <w:r w:rsidRPr="008F78A8">
        <w:rPr>
          <w:b/>
          <w:sz w:val="26"/>
          <w:szCs w:val="26"/>
        </w:rPr>
        <w:t>Conclusion</w:t>
      </w:r>
    </w:p>
    <w:p w14:paraId="23F653C9" w14:textId="77777777" w:rsidR="00CA43A5" w:rsidRPr="008F78A8" w:rsidRDefault="00CA43A5" w:rsidP="00D07678">
      <w:pPr>
        <w:keepNext/>
        <w:keepLines/>
        <w:spacing w:line="360" w:lineRule="auto"/>
        <w:ind w:firstLine="1440"/>
        <w:contextualSpacing/>
        <w:rPr>
          <w:sz w:val="26"/>
          <w:szCs w:val="26"/>
        </w:rPr>
      </w:pPr>
    </w:p>
    <w:p w14:paraId="3BF916DE" w14:textId="1BB0E543" w:rsidR="00CA43A5" w:rsidRPr="008F78A8" w:rsidRDefault="00990900" w:rsidP="00CA30E1">
      <w:pPr>
        <w:spacing w:line="360" w:lineRule="auto"/>
        <w:ind w:firstLine="1440"/>
        <w:contextualSpacing/>
        <w:rPr>
          <w:sz w:val="26"/>
          <w:szCs w:val="26"/>
        </w:rPr>
      </w:pPr>
      <w:r w:rsidRPr="00990900">
        <w:rPr>
          <w:sz w:val="26"/>
          <w:szCs w:val="26"/>
        </w:rPr>
        <w:t>Consistent with</w:t>
      </w:r>
      <w:r w:rsidR="00234374">
        <w:rPr>
          <w:sz w:val="26"/>
          <w:szCs w:val="26"/>
        </w:rPr>
        <w:t xml:space="preserve"> the foregoing reasons, </w:t>
      </w:r>
      <w:r w:rsidR="00CA43A5" w:rsidRPr="008F78A8">
        <w:rPr>
          <w:sz w:val="26"/>
          <w:szCs w:val="26"/>
        </w:rPr>
        <w:t xml:space="preserve">we shall </w:t>
      </w:r>
      <w:r w:rsidR="006E4254" w:rsidRPr="008F78A8">
        <w:rPr>
          <w:sz w:val="26"/>
          <w:szCs w:val="26"/>
        </w:rPr>
        <w:t>deny the Complainant’s Exceptions</w:t>
      </w:r>
      <w:r w:rsidR="00184513">
        <w:rPr>
          <w:sz w:val="26"/>
          <w:szCs w:val="26"/>
        </w:rPr>
        <w:t xml:space="preserve">, </w:t>
      </w:r>
      <w:r w:rsidR="009D4C89" w:rsidRPr="008F78A8">
        <w:rPr>
          <w:sz w:val="26"/>
          <w:szCs w:val="26"/>
        </w:rPr>
        <w:t>adopt the Initial Decision</w:t>
      </w:r>
      <w:r w:rsidR="008F78A8" w:rsidRPr="008F78A8">
        <w:rPr>
          <w:sz w:val="26"/>
          <w:szCs w:val="26"/>
        </w:rPr>
        <w:t xml:space="preserve"> </w:t>
      </w:r>
      <w:r w:rsidR="008F5185">
        <w:rPr>
          <w:sz w:val="26"/>
          <w:szCs w:val="26"/>
        </w:rPr>
        <w:t xml:space="preserve">of ALJ </w:t>
      </w:r>
      <w:r w:rsidR="004829B1">
        <w:rPr>
          <w:sz w:val="26"/>
          <w:szCs w:val="26"/>
        </w:rPr>
        <w:t>Vero</w:t>
      </w:r>
      <w:r w:rsidR="008F5185">
        <w:rPr>
          <w:sz w:val="26"/>
          <w:szCs w:val="26"/>
        </w:rPr>
        <w:t xml:space="preserve"> </w:t>
      </w:r>
      <w:r w:rsidR="007A3B16">
        <w:rPr>
          <w:sz w:val="26"/>
          <w:szCs w:val="26"/>
        </w:rPr>
        <w:t xml:space="preserve">and </w:t>
      </w:r>
      <w:r w:rsidR="008F78A8" w:rsidRPr="008F78A8">
        <w:rPr>
          <w:sz w:val="26"/>
          <w:szCs w:val="26"/>
        </w:rPr>
        <w:t>d</w:t>
      </w:r>
      <w:r w:rsidR="006201D2">
        <w:rPr>
          <w:sz w:val="26"/>
          <w:szCs w:val="26"/>
        </w:rPr>
        <w:t>eny</w:t>
      </w:r>
      <w:r w:rsidR="008F78A8" w:rsidRPr="008F78A8">
        <w:rPr>
          <w:sz w:val="26"/>
          <w:szCs w:val="26"/>
        </w:rPr>
        <w:t xml:space="preserve"> the Complaint </w:t>
      </w:r>
      <w:r w:rsidR="00CA43A5" w:rsidRPr="008F78A8">
        <w:rPr>
          <w:sz w:val="26"/>
          <w:szCs w:val="26"/>
        </w:rPr>
        <w:t>consistent with th</w:t>
      </w:r>
      <w:r w:rsidR="0008598C" w:rsidRPr="008F78A8">
        <w:rPr>
          <w:sz w:val="26"/>
          <w:szCs w:val="26"/>
        </w:rPr>
        <w:t>is Opinion and Order</w:t>
      </w:r>
      <w:r w:rsidR="00CA43A5" w:rsidRPr="008F78A8">
        <w:rPr>
          <w:sz w:val="26"/>
          <w:szCs w:val="26"/>
        </w:rPr>
        <w:t xml:space="preserve">; </w:t>
      </w:r>
      <w:r w:rsidR="00CA43A5" w:rsidRPr="008F78A8">
        <w:rPr>
          <w:b/>
          <w:sz w:val="26"/>
          <w:szCs w:val="26"/>
        </w:rPr>
        <w:t>THEREFORE,</w:t>
      </w:r>
    </w:p>
    <w:p w14:paraId="5DEF1C1C" w14:textId="77777777" w:rsidR="00AE2026" w:rsidRPr="008F78A8" w:rsidRDefault="00AE2026" w:rsidP="00CA30E1">
      <w:pPr>
        <w:spacing w:line="360" w:lineRule="auto"/>
        <w:ind w:firstLine="1440"/>
        <w:contextualSpacing/>
        <w:rPr>
          <w:sz w:val="26"/>
          <w:szCs w:val="26"/>
        </w:rPr>
      </w:pPr>
    </w:p>
    <w:p w14:paraId="391659BB" w14:textId="77777777" w:rsidR="00CA43A5" w:rsidRPr="008F78A8" w:rsidRDefault="00CA43A5" w:rsidP="00CA30E1">
      <w:pPr>
        <w:keepNext/>
        <w:spacing w:line="360" w:lineRule="auto"/>
        <w:ind w:firstLine="1440"/>
        <w:contextualSpacing/>
        <w:rPr>
          <w:b/>
          <w:sz w:val="26"/>
          <w:szCs w:val="26"/>
        </w:rPr>
      </w:pPr>
      <w:r w:rsidRPr="008F78A8">
        <w:rPr>
          <w:b/>
          <w:sz w:val="26"/>
          <w:szCs w:val="26"/>
        </w:rPr>
        <w:t>IT IS ORDERED:</w:t>
      </w:r>
    </w:p>
    <w:p w14:paraId="40A3E107" w14:textId="77777777" w:rsidR="00CA43A5" w:rsidRPr="008F78A8" w:rsidRDefault="00CA43A5" w:rsidP="00CA30E1">
      <w:pPr>
        <w:keepNext/>
        <w:spacing w:line="360" w:lineRule="auto"/>
        <w:contextualSpacing/>
        <w:rPr>
          <w:sz w:val="26"/>
          <w:szCs w:val="26"/>
        </w:rPr>
      </w:pPr>
    </w:p>
    <w:p w14:paraId="69FCA6E7" w14:textId="6FC65D44" w:rsidR="009155F7" w:rsidRPr="008F78A8" w:rsidRDefault="009155F7" w:rsidP="00CA30E1">
      <w:pPr>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w:t>
      </w:r>
      <w:r w:rsidR="004829B1">
        <w:rPr>
          <w:sz w:val="26"/>
          <w:szCs w:val="26"/>
        </w:rPr>
        <w:t xml:space="preserve"> filed by Helen Leung</w:t>
      </w:r>
      <w:r w:rsidR="009D4C89" w:rsidRPr="008F78A8">
        <w:rPr>
          <w:sz w:val="26"/>
          <w:szCs w:val="26"/>
        </w:rPr>
        <w:t xml:space="preserve"> on </w:t>
      </w:r>
      <w:r w:rsidR="004829B1">
        <w:rPr>
          <w:sz w:val="26"/>
          <w:szCs w:val="26"/>
        </w:rPr>
        <w:t>January 10, 2021</w:t>
      </w:r>
      <w:r w:rsidR="009D4C89" w:rsidRPr="008F78A8">
        <w:rPr>
          <w:sz w:val="26"/>
          <w:szCs w:val="26"/>
        </w:rPr>
        <w:t xml:space="preserve">, </w:t>
      </w:r>
      <w:r w:rsidR="004829B1">
        <w:rPr>
          <w:sz w:val="26"/>
          <w:szCs w:val="26"/>
        </w:rPr>
        <w:t xml:space="preserve">to the Initial Decision of Administrative Law Judge Eranda Vero, issued on </w:t>
      </w:r>
      <w:r w:rsidR="004829B1">
        <w:rPr>
          <w:sz w:val="26"/>
          <w:szCs w:val="26"/>
        </w:rPr>
        <w:lastRenderedPageBreak/>
        <w:t>December</w:t>
      </w:r>
      <w:r w:rsidR="00CA30E1">
        <w:rPr>
          <w:sz w:val="26"/>
          <w:szCs w:val="26"/>
        </w:rPr>
        <w:t> </w:t>
      </w:r>
      <w:r w:rsidR="004829B1">
        <w:rPr>
          <w:sz w:val="26"/>
          <w:szCs w:val="26"/>
        </w:rPr>
        <w:t>23,</w:t>
      </w:r>
      <w:r w:rsidR="00CA30E1">
        <w:rPr>
          <w:sz w:val="26"/>
          <w:szCs w:val="26"/>
        </w:rPr>
        <w:t> </w:t>
      </w:r>
      <w:r w:rsidR="004829B1">
        <w:rPr>
          <w:sz w:val="26"/>
          <w:szCs w:val="26"/>
        </w:rPr>
        <w:t>2020, at Docket No. F-2020-3020041, are 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14:paraId="1C9BD233" w14:textId="77777777" w:rsidR="0008598C" w:rsidRPr="008F78A8" w:rsidRDefault="0008598C" w:rsidP="00CA30E1">
      <w:pPr>
        <w:spacing w:line="360" w:lineRule="auto"/>
        <w:ind w:left="1440"/>
        <w:contextualSpacing/>
        <w:rPr>
          <w:sz w:val="26"/>
          <w:szCs w:val="26"/>
        </w:rPr>
      </w:pPr>
    </w:p>
    <w:p w14:paraId="20DB9FAF" w14:textId="61526845" w:rsidR="003F51F4" w:rsidRPr="008F78A8" w:rsidRDefault="009D4C89" w:rsidP="00CA30E1">
      <w:pPr>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w:t>
      </w:r>
      <w:r w:rsidR="004829B1">
        <w:rPr>
          <w:sz w:val="26"/>
          <w:szCs w:val="26"/>
        </w:rPr>
        <w:t>ge Eranda Vero</w:t>
      </w:r>
      <w:r w:rsidR="00B56D48" w:rsidRPr="008F78A8">
        <w:rPr>
          <w:sz w:val="26"/>
        </w:rPr>
        <w:t xml:space="preserve">, </w:t>
      </w:r>
      <w:r w:rsidRPr="008F78A8">
        <w:rPr>
          <w:sz w:val="26"/>
        </w:rPr>
        <w:t xml:space="preserve">issued on </w:t>
      </w:r>
      <w:r w:rsidR="004829B1">
        <w:rPr>
          <w:sz w:val="26"/>
        </w:rPr>
        <w:t>December 23, 2020, at Docket No. F-2020-3020041</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14:paraId="2489B60C" w14:textId="77777777" w:rsidR="00CA43A5" w:rsidRPr="008F78A8" w:rsidRDefault="00CA43A5" w:rsidP="00CA30E1">
      <w:pPr>
        <w:spacing w:line="360" w:lineRule="auto"/>
        <w:ind w:firstLine="1440"/>
        <w:contextualSpacing/>
        <w:rPr>
          <w:sz w:val="26"/>
          <w:szCs w:val="26"/>
        </w:rPr>
      </w:pPr>
    </w:p>
    <w:p w14:paraId="5219AA0C" w14:textId="652FF5CA" w:rsidR="009D4C89" w:rsidRDefault="009D4C89" w:rsidP="00CA30E1">
      <w:pPr>
        <w:spacing w:line="360" w:lineRule="auto"/>
        <w:ind w:firstLine="1440"/>
        <w:contextualSpacing/>
        <w:rPr>
          <w:sz w:val="26"/>
          <w:szCs w:val="26"/>
        </w:rPr>
      </w:pPr>
      <w:r w:rsidRPr="008F78A8">
        <w:rPr>
          <w:sz w:val="26"/>
          <w:szCs w:val="26"/>
        </w:rPr>
        <w:t>3.</w:t>
      </w:r>
      <w:r w:rsidRPr="008F78A8">
        <w:rPr>
          <w:sz w:val="26"/>
          <w:szCs w:val="26"/>
        </w:rPr>
        <w:tab/>
        <w:t xml:space="preserve">That the </w:t>
      </w:r>
      <w:r w:rsidR="004829B1">
        <w:rPr>
          <w:sz w:val="26"/>
          <w:szCs w:val="26"/>
        </w:rPr>
        <w:t xml:space="preserve">Formal </w:t>
      </w:r>
      <w:r w:rsidRPr="008F78A8">
        <w:rPr>
          <w:sz w:val="26"/>
          <w:szCs w:val="26"/>
        </w:rPr>
        <w:t xml:space="preserve">Complaint </w:t>
      </w:r>
      <w:r w:rsidR="004829B1">
        <w:rPr>
          <w:sz w:val="26"/>
          <w:szCs w:val="26"/>
        </w:rPr>
        <w:t>filed by Helen Leung</w:t>
      </w:r>
      <w:r w:rsidR="00B95FD7">
        <w:rPr>
          <w:sz w:val="26"/>
          <w:szCs w:val="26"/>
        </w:rPr>
        <w:t xml:space="preserve"> on April 7, 2020</w:t>
      </w:r>
      <w:r w:rsidR="00A3754D">
        <w:rPr>
          <w:sz w:val="26"/>
          <w:szCs w:val="26"/>
        </w:rPr>
        <w:t xml:space="preserve">, </w:t>
      </w:r>
      <w:r w:rsidRPr="008F78A8">
        <w:rPr>
          <w:sz w:val="26"/>
          <w:szCs w:val="26"/>
        </w:rPr>
        <w:t xml:space="preserve">at Docket No. </w:t>
      </w:r>
      <w:r w:rsidR="00B2679B" w:rsidRPr="00B2679B">
        <w:rPr>
          <w:sz w:val="26"/>
          <w:szCs w:val="26"/>
        </w:rPr>
        <w:t>F</w:t>
      </w:r>
      <w:r w:rsidR="002B2B1F">
        <w:rPr>
          <w:sz w:val="26"/>
          <w:szCs w:val="26"/>
        </w:rPr>
        <w:noBreakHyphen/>
      </w:r>
      <w:r w:rsidR="00B2679B" w:rsidRPr="00B2679B">
        <w:rPr>
          <w:sz w:val="26"/>
          <w:szCs w:val="26"/>
        </w:rPr>
        <w:t>2</w:t>
      </w:r>
      <w:r w:rsidR="00B95FD7">
        <w:rPr>
          <w:sz w:val="26"/>
          <w:szCs w:val="26"/>
        </w:rPr>
        <w:t>020-3020041</w:t>
      </w:r>
      <w:r w:rsidR="0008598C" w:rsidRPr="008F78A8">
        <w:rPr>
          <w:sz w:val="26"/>
          <w:szCs w:val="26"/>
        </w:rPr>
        <w:t>,</w:t>
      </w:r>
      <w:r w:rsidRPr="008F78A8">
        <w:rPr>
          <w:sz w:val="26"/>
          <w:szCs w:val="26"/>
        </w:rPr>
        <w:t xml:space="preserve"> is </w:t>
      </w:r>
      <w:r w:rsidR="006201D2">
        <w:rPr>
          <w:sz w:val="26"/>
          <w:szCs w:val="26"/>
        </w:rPr>
        <w:t>denied for failure to carry her burden of proof</w:t>
      </w:r>
      <w:r w:rsidRPr="008F78A8">
        <w:rPr>
          <w:sz w:val="26"/>
          <w:szCs w:val="26"/>
        </w:rPr>
        <w:t xml:space="preserve">. </w:t>
      </w:r>
    </w:p>
    <w:p w14:paraId="42184145" w14:textId="77777777" w:rsidR="000F76F4" w:rsidRPr="008F78A8" w:rsidRDefault="000F76F4" w:rsidP="00CA30E1">
      <w:pPr>
        <w:spacing w:line="360" w:lineRule="auto"/>
        <w:ind w:firstLine="1440"/>
        <w:contextualSpacing/>
        <w:rPr>
          <w:sz w:val="26"/>
          <w:szCs w:val="26"/>
        </w:rPr>
      </w:pPr>
    </w:p>
    <w:p w14:paraId="5CF7E413" w14:textId="58C668A9" w:rsidR="00372487" w:rsidRPr="008F78A8" w:rsidRDefault="00372487" w:rsidP="00CA30E1">
      <w:pPr>
        <w:keepNext/>
        <w:keepLines/>
        <w:spacing w:line="360" w:lineRule="auto"/>
        <w:ind w:firstLine="1440"/>
        <w:rPr>
          <w:sz w:val="26"/>
          <w:szCs w:val="26"/>
        </w:rPr>
      </w:pPr>
      <w:r w:rsidRPr="008F78A8">
        <w:rPr>
          <w:sz w:val="26"/>
          <w:szCs w:val="26"/>
        </w:rPr>
        <w:t>4.</w:t>
      </w:r>
      <w:r w:rsidRPr="008F78A8">
        <w:rPr>
          <w:sz w:val="26"/>
          <w:szCs w:val="26"/>
        </w:rPr>
        <w:tab/>
      </w:r>
      <w:r w:rsidR="00B95FD7">
        <w:rPr>
          <w:sz w:val="26"/>
          <w:szCs w:val="26"/>
        </w:rPr>
        <w:t>That the Secretary’s Bureau shall mark the above-captioned docket closed</w:t>
      </w:r>
      <w:r w:rsidR="008855BB" w:rsidRPr="008F78A8">
        <w:rPr>
          <w:sz w:val="26"/>
          <w:szCs w:val="26"/>
        </w:rPr>
        <w:t>.</w:t>
      </w:r>
    </w:p>
    <w:p w14:paraId="75DB8C5A" w14:textId="77777777" w:rsidR="00CA30E1" w:rsidRDefault="00CA30E1" w:rsidP="00CA30E1">
      <w:pPr>
        <w:keepNext/>
        <w:keepLines/>
        <w:tabs>
          <w:tab w:val="left" w:pos="-720"/>
        </w:tabs>
        <w:spacing w:line="240" w:lineRule="auto"/>
        <w:ind w:firstLine="5040"/>
        <w:contextualSpacing/>
        <w:rPr>
          <w:b/>
          <w:sz w:val="26"/>
          <w:szCs w:val="26"/>
        </w:rPr>
      </w:pPr>
    </w:p>
    <w:p w14:paraId="658CD5DF" w14:textId="61647914" w:rsidR="00CA43A5" w:rsidRPr="008F78A8" w:rsidRDefault="00B24A26" w:rsidP="00CA30E1">
      <w:pPr>
        <w:keepNext/>
        <w:keepLines/>
        <w:tabs>
          <w:tab w:val="left" w:pos="-720"/>
        </w:tabs>
        <w:spacing w:line="240" w:lineRule="auto"/>
        <w:ind w:firstLine="5040"/>
        <w:contextualSpacing/>
        <w:rPr>
          <w:sz w:val="26"/>
          <w:szCs w:val="26"/>
        </w:rPr>
      </w:pPr>
      <w:r w:rsidRPr="009F01BA">
        <w:rPr>
          <w:b/>
          <w:noProof/>
        </w:rPr>
        <w:drawing>
          <wp:anchor distT="0" distB="0" distL="114300" distR="114300" simplePos="0" relativeHeight="251659264" behindDoc="1" locked="0" layoutInCell="1" allowOverlap="1" wp14:anchorId="099DD4FF" wp14:editId="73838299">
            <wp:simplePos x="0" y="0"/>
            <wp:positionH relativeFrom="column">
              <wp:posOffset>3114675</wp:posOffset>
            </wp:positionH>
            <wp:positionV relativeFrom="paragraph">
              <wp:posOffset>121920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8F78A8">
        <w:rPr>
          <w:b/>
          <w:sz w:val="26"/>
          <w:szCs w:val="26"/>
        </w:rPr>
        <w:t>BY THE COMMISSION,</w:t>
      </w:r>
    </w:p>
    <w:p w14:paraId="1DFCA7D0" w14:textId="4424F869" w:rsidR="00C9299B" w:rsidRDefault="00C9299B" w:rsidP="00CA30E1">
      <w:pPr>
        <w:keepNext/>
        <w:keepLines/>
        <w:tabs>
          <w:tab w:val="left" w:pos="-720"/>
          <w:tab w:val="left" w:pos="6220"/>
        </w:tabs>
        <w:spacing w:line="240" w:lineRule="auto"/>
        <w:contextualSpacing/>
        <w:rPr>
          <w:sz w:val="26"/>
          <w:szCs w:val="26"/>
        </w:rPr>
      </w:pPr>
    </w:p>
    <w:p w14:paraId="573EB542" w14:textId="3A40C223" w:rsidR="00CA30E1" w:rsidRDefault="00B24A26" w:rsidP="00B24A26">
      <w:pPr>
        <w:keepNext/>
        <w:keepLines/>
        <w:tabs>
          <w:tab w:val="left" w:pos="-720"/>
          <w:tab w:val="left" w:pos="6220"/>
        </w:tabs>
        <w:spacing w:line="240" w:lineRule="auto"/>
        <w:contextualSpacing/>
        <w:rPr>
          <w:sz w:val="26"/>
          <w:szCs w:val="26"/>
        </w:rPr>
      </w:pPr>
      <w:r>
        <w:rPr>
          <w:sz w:val="26"/>
          <w:szCs w:val="26"/>
        </w:rPr>
        <w:tab/>
      </w:r>
    </w:p>
    <w:p w14:paraId="2DB5376C" w14:textId="77777777" w:rsidR="00CA30E1" w:rsidRDefault="00CA30E1" w:rsidP="00CA30E1">
      <w:pPr>
        <w:keepNext/>
        <w:keepLines/>
        <w:tabs>
          <w:tab w:val="left" w:pos="-720"/>
          <w:tab w:val="left" w:pos="6220"/>
        </w:tabs>
        <w:spacing w:line="240" w:lineRule="auto"/>
        <w:contextualSpacing/>
        <w:rPr>
          <w:sz w:val="26"/>
          <w:szCs w:val="26"/>
        </w:rPr>
      </w:pPr>
    </w:p>
    <w:p w14:paraId="5EAC9752" w14:textId="77777777" w:rsidR="00FF6ADB" w:rsidRPr="008F78A8" w:rsidRDefault="00FF6ADB" w:rsidP="00CA30E1">
      <w:pPr>
        <w:keepNext/>
        <w:keepLines/>
        <w:tabs>
          <w:tab w:val="left" w:pos="-720"/>
        </w:tabs>
        <w:spacing w:line="240" w:lineRule="auto"/>
        <w:contextualSpacing/>
        <w:rPr>
          <w:sz w:val="26"/>
          <w:szCs w:val="26"/>
        </w:rPr>
      </w:pPr>
    </w:p>
    <w:p w14:paraId="00BE956E" w14:textId="77777777" w:rsidR="00CA43A5" w:rsidRPr="008F78A8" w:rsidRDefault="00564565" w:rsidP="00CA30E1">
      <w:pPr>
        <w:keepNext/>
        <w:keepLines/>
        <w:tabs>
          <w:tab w:val="left" w:pos="-720"/>
        </w:tabs>
        <w:spacing w:line="240" w:lineRule="auto"/>
        <w:ind w:firstLine="5040"/>
        <w:contextualSpacing/>
        <w:rPr>
          <w:b/>
          <w:sz w:val="26"/>
          <w:szCs w:val="26"/>
        </w:rPr>
      </w:pPr>
      <w:r w:rsidRPr="008F78A8">
        <w:rPr>
          <w:sz w:val="26"/>
          <w:szCs w:val="26"/>
        </w:rPr>
        <w:t>Rosemary Chiavetta</w:t>
      </w:r>
    </w:p>
    <w:p w14:paraId="2A775FA6" w14:textId="77777777" w:rsidR="00CA43A5" w:rsidRPr="008F78A8" w:rsidRDefault="00CA43A5" w:rsidP="00CA30E1">
      <w:pPr>
        <w:keepNext/>
        <w:keepLines/>
        <w:tabs>
          <w:tab w:val="left" w:pos="-720"/>
        </w:tabs>
        <w:spacing w:line="240" w:lineRule="auto"/>
        <w:ind w:firstLine="5040"/>
        <w:contextualSpacing/>
        <w:rPr>
          <w:sz w:val="26"/>
          <w:szCs w:val="26"/>
        </w:rPr>
      </w:pPr>
      <w:r w:rsidRPr="008F78A8">
        <w:rPr>
          <w:sz w:val="26"/>
          <w:szCs w:val="26"/>
        </w:rPr>
        <w:t>Secretary</w:t>
      </w:r>
    </w:p>
    <w:p w14:paraId="409D301C" w14:textId="77777777" w:rsidR="008F78A8" w:rsidRDefault="008F78A8" w:rsidP="00CA30E1">
      <w:pPr>
        <w:keepNext/>
        <w:keepLines/>
        <w:tabs>
          <w:tab w:val="left" w:pos="-720"/>
        </w:tabs>
        <w:spacing w:line="240" w:lineRule="auto"/>
        <w:contextualSpacing/>
        <w:rPr>
          <w:sz w:val="26"/>
          <w:szCs w:val="26"/>
        </w:rPr>
      </w:pPr>
    </w:p>
    <w:p w14:paraId="55399CE1" w14:textId="77777777" w:rsidR="00CA43A5" w:rsidRPr="008F78A8" w:rsidRDefault="00CA43A5" w:rsidP="00CA30E1">
      <w:pPr>
        <w:keepNext/>
        <w:keepLines/>
        <w:tabs>
          <w:tab w:val="left" w:pos="-720"/>
        </w:tabs>
        <w:spacing w:line="240" w:lineRule="auto"/>
        <w:contextualSpacing/>
        <w:rPr>
          <w:sz w:val="26"/>
          <w:szCs w:val="26"/>
        </w:rPr>
      </w:pPr>
      <w:r w:rsidRPr="008F78A8">
        <w:rPr>
          <w:sz w:val="26"/>
          <w:szCs w:val="26"/>
        </w:rPr>
        <w:t>(SEAL)</w:t>
      </w:r>
    </w:p>
    <w:p w14:paraId="1E443D94" w14:textId="77777777" w:rsidR="00CA43A5" w:rsidRPr="008F78A8" w:rsidRDefault="00CA43A5" w:rsidP="00CA30E1">
      <w:pPr>
        <w:keepNext/>
        <w:keepLines/>
        <w:tabs>
          <w:tab w:val="left" w:pos="-720"/>
        </w:tabs>
        <w:spacing w:line="240" w:lineRule="auto"/>
        <w:contextualSpacing/>
        <w:rPr>
          <w:sz w:val="26"/>
          <w:szCs w:val="26"/>
        </w:rPr>
      </w:pPr>
    </w:p>
    <w:p w14:paraId="3AFB2870" w14:textId="42818DC2" w:rsidR="00CA43A5" w:rsidRPr="008F78A8" w:rsidRDefault="00CA43A5" w:rsidP="00CA30E1">
      <w:pPr>
        <w:keepNext/>
        <w:keepLines/>
        <w:tabs>
          <w:tab w:val="left" w:pos="-720"/>
        </w:tabs>
        <w:spacing w:line="240" w:lineRule="auto"/>
        <w:contextualSpacing/>
        <w:rPr>
          <w:sz w:val="26"/>
          <w:szCs w:val="26"/>
        </w:rPr>
      </w:pPr>
      <w:r w:rsidRPr="008F78A8">
        <w:rPr>
          <w:sz w:val="26"/>
          <w:szCs w:val="26"/>
        </w:rPr>
        <w:t>ORDER ADOPTED:</w:t>
      </w:r>
      <w:r w:rsidR="009D4C89" w:rsidRPr="008F78A8">
        <w:rPr>
          <w:sz w:val="26"/>
          <w:szCs w:val="26"/>
        </w:rPr>
        <w:t xml:space="preserve">  </w:t>
      </w:r>
      <w:r w:rsidR="000D000B">
        <w:rPr>
          <w:sz w:val="26"/>
          <w:szCs w:val="26"/>
        </w:rPr>
        <w:t>October 28, 2021</w:t>
      </w:r>
    </w:p>
    <w:p w14:paraId="504B2A14" w14:textId="77777777" w:rsidR="00857172" w:rsidRPr="008F78A8" w:rsidRDefault="00857172" w:rsidP="00CA30E1">
      <w:pPr>
        <w:keepNext/>
        <w:keepLines/>
        <w:tabs>
          <w:tab w:val="left" w:pos="-720"/>
        </w:tabs>
        <w:spacing w:line="240" w:lineRule="auto"/>
        <w:contextualSpacing/>
        <w:rPr>
          <w:sz w:val="26"/>
          <w:szCs w:val="26"/>
        </w:rPr>
      </w:pPr>
    </w:p>
    <w:p w14:paraId="6E9A0F7D" w14:textId="72868093" w:rsidR="00CA43A5" w:rsidRPr="008F78A8" w:rsidRDefault="00CA43A5" w:rsidP="00CA30E1">
      <w:pPr>
        <w:keepNext/>
        <w:keepLines/>
        <w:tabs>
          <w:tab w:val="left" w:pos="-720"/>
        </w:tabs>
        <w:spacing w:line="240" w:lineRule="auto"/>
        <w:contextualSpacing/>
        <w:rPr>
          <w:sz w:val="26"/>
          <w:szCs w:val="26"/>
        </w:rPr>
      </w:pPr>
      <w:r w:rsidRPr="008F78A8">
        <w:rPr>
          <w:sz w:val="26"/>
          <w:szCs w:val="26"/>
        </w:rPr>
        <w:t xml:space="preserve">ORDER ENTERED:  </w:t>
      </w:r>
      <w:r w:rsidR="00B24A26">
        <w:rPr>
          <w:sz w:val="26"/>
          <w:szCs w:val="26"/>
        </w:rPr>
        <w:t>October 28, 2021</w:t>
      </w:r>
    </w:p>
    <w:sectPr w:rsidR="00CA43A5" w:rsidRPr="008F78A8" w:rsidSect="009279B1">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AC00" w14:textId="77777777" w:rsidR="00CA39EF" w:rsidRDefault="00CA39EF" w:rsidP="001B7DA2">
      <w:r>
        <w:separator/>
      </w:r>
    </w:p>
  </w:endnote>
  <w:endnote w:type="continuationSeparator" w:id="0">
    <w:p w14:paraId="0D0BBA27" w14:textId="77777777" w:rsidR="00CA39EF" w:rsidRDefault="00CA39EF"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971551"/>
      <w:docPartObj>
        <w:docPartGallery w:val="Page Numbers (Bottom of Page)"/>
        <w:docPartUnique/>
      </w:docPartObj>
    </w:sdtPr>
    <w:sdtEndPr>
      <w:rPr>
        <w:noProof/>
        <w:sz w:val="26"/>
        <w:szCs w:val="26"/>
      </w:rPr>
    </w:sdtEndPr>
    <w:sdtContent>
      <w:p w14:paraId="4D89ABA1" w14:textId="31A5C61C" w:rsidR="005207E2" w:rsidRPr="00BB7888" w:rsidRDefault="005207E2" w:rsidP="003439E2">
        <w:pPr>
          <w:pStyle w:val="Footer"/>
          <w:spacing w:after="0" w:line="240" w:lineRule="auto"/>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006A92">
          <w:rPr>
            <w:noProof/>
            <w:sz w:val="26"/>
            <w:szCs w:val="26"/>
          </w:rPr>
          <w:t>18</w:t>
        </w:r>
        <w:r w:rsidRPr="004D0C36">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F56E" w14:textId="77777777" w:rsidR="005207E2" w:rsidRPr="004D0C36" w:rsidRDefault="005207E2" w:rsidP="005F0FA9">
    <w:pPr>
      <w:pStyle w:val="Footer"/>
      <w:jc w:val="center"/>
      <w:rPr>
        <w:sz w:val="26"/>
        <w:szCs w:val="26"/>
      </w:rPr>
    </w:pPr>
  </w:p>
  <w:p w14:paraId="36224545" w14:textId="77777777" w:rsidR="005207E2" w:rsidRDefault="0052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5B33" w14:textId="77777777" w:rsidR="00CA39EF" w:rsidRDefault="00CA39EF" w:rsidP="00387664">
      <w:pPr>
        <w:spacing w:after="0" w:line="240" w:lineRule="auto"/>
      </w:pPr>
      <w:r>
        <w:separator/>
      </w:r>
    </w:p>
  </w:footnote>
  <w:footnote w:type="continuationSeparator" w:id="0">
    <w:p w14:paraId="27ECA260" w14:textId="77777777" w:rsidR="00CA39EF" w:rsidRDefault="00CA39EF" w:rsidP="001B7DA2">
      <w:r>
        <w:continuationSeparator/>
      </w:r>
    </w:p>
  </w:footnote>
  <w:footnote w:id="1">
    <w:p w14:paraId="2EB6F655" w14:textId="3EF38A57" w:rsidR="002E0C11" w:rsidRPr="008B0E22" w:rsidRDefault="002E0C11" w:rsidP="006D6793">
      <w:pPr>
        <w:pStyle w:val="FootnoteText"/>
        <w:keepNext/>
        <w:keepLines/>
        <w:spacing w:after="120" w:line="240" w:lineRule="auto"/>
        <w:ind w:firstLine="720"/>
        <w:rPr>
          <w:sz w:val="26"/>
          <w:szCs w:val="26"/>
        </w:rPr>
      </w:pPr>
      <w:r w:rsidRPr="006E1D57">
        <w:rPr>
          <w:rStyle w:val="FootnoteReference"/>
          <w:sz w:val="26"/>
          <w:szCs w:val="26"/>
        </w:rPr>
        <w:footnoteRef/>
      </w:r>
      <w:r w:rsidRPr="006E1D57">
        <w:rPr>
          <w:sz w:val="26"/>
          <w:szCs w:val="26"/>
        </w:rPr>
        <w:t xml:space="preserve"> </w:t>
      </w:r>
      <w:r w:rsidRPr="006E1D57">
        <w:rPr>
          <w:sz w:val="26"/>
          <w:szCs w:val="26"/>
        </w:rPr>
        <w:tab/>
      </w:r>
      <w:r w:rsidRPr="00DD5D06">
        <w:rPr>
          <w:sz w:val="26"/>
          <w:szCs w:val="26"/>
        </w:rPr>
        <w:t>Although the Complainant filed h</w:t>
      </w:r>
      <w:r>
        <w:rPr>
          <w:sz w:val="26"/>
          <w:szCs w:val="26"/>
        </w:rPr>
        <w:t>er</w:t>
      </w:r>
      <w:r w:rsidRPr="00DD5D06">
        <w:rPr>
          <w:sz w:val="26"/>
          <w:szCs w:val="26"/>
        </w:rPr>
        <w:t xml:space="preserve"> </w:t>
      </w:r>
      <w:r>
        <w:rPr>
          <w:sz w:val="26"/>
          <w:szCs w:val="26"/>
        </w:rPr>
        <w:t>Exceptions</w:t>
      </w:r>
      <w:r w:rsidRPr="00DD5D06">
        <w:rPr>
          <w:sz w:val="26"/>
          <w:szCs w:val="26"/>
        </w:rPr>
        <w:t xml:space="preserve"> with the Commission’s </w:t>
      </w:r>
      <w:r w:rsidRPr="008B0E22">
        <w:rPr>
          <w:sz w:val="26"/>
          <w:szCs w:val="26"/>
        </w:rPr>
        <w:t xml:space="preserve">Secretary’s Bureau on January 10, 2021, the Exceptions did not contain a certificate of service or any other indication that PGW was served.  </w:t>
      </w:r>
      <w:r w:rsidR="00812E13">
        <w:rPr>
          <w:sz w:val="26"/>
          <w:szCs w:val="26"/>
        </w:rPr>
        <w:t xml:space="preserve">PGW was, therefore, served with a copy of the Exceptions by Secretarial Letter dated </w:t>
      </w:r>
      <w:r w:rsidRPr="008B0E22">
        <w:rPr>
          <w:sz w:val="26"/>
          <w:szCs w:val="26"/>
        </w:rPr>
        <w:t>January 13, 2021</w:t>
      </w:r>
      <w:r w:rsidR="005054B9">
        <w:rPr>
          <w:sz w:val="26"/>
          <w:szCs w:val="26"/>
        </w:rPr>
        <w:t>,</w:t>
      </w:r>
      <w:r w:rsidR="005054B9" w:rsidRPr="005054B9">
        <w:rPr>
          <w:rFonts w:eastAsiaTheme="minorHAnsi"/>
          <w:sz w:val="26"/>
          <w:szCs w:val="26"/>
        </w:rPr>
        <w:t xml:space="preserve"> </w:t>
      </w:r>
      <w:r w:rsidR="005054B9" w:rsidRPr="005054B9">
        <w:rPr>
          <w:sz w:val="26"/>
          <w:szCs w:val="26"/>
        </w:rPr>
        <w:t xml:space="preserve">and given until </w:t>
      </w:r>
      <w:r w:rsidR="005054B9">
        <w:rPr>
          <w:sz w:val="26"/>
          <w:szCs w:val="26"/>
        </w:rPr>
        <w:t>January 25</w:t>
      </w:r>
      <w:r w:rsidR="005054B9" w:rsidRPr="005054B9">
        <w:rPr>
          <w:sz w:val="26"/>
          <w:szCs w:val="26"/>
        </w:rPr>
        <w:t>, 202</w:t>
      </w:r>
      <w:r w:rsidR="005054B9">
        <w:rPr>
          <w:sz w:val="26"/>
          <w:szCs w:val="26"/>
        </w:rPr>
        <w:t>1</w:t>
      </w:r>
      <w:r w:rsidR="005054B9" w:rsidRPr="005054B9">
        <w:rPr>
          <w:sz w:val="26"/>
          <w:szCs w:val="26"/>
        </w:rPr>
        <w:t>, in which to file Replies to Exceptions.</w:t>
      </w:r>
    </w:p>
  </w:footnote>
  <w:footnote w:id="2">
    <w:p w14:paraId="64D0B728" w14:textId="3B5A5AF3" w:rsidR="00615C98" w:rsidRPr="008B0E22" w:rsidRDefault="00615C98" w:rsidP="000250EC">
      <w:pPr>
        <w:pStyle w:val="FootnoteText"/>
        <w:keepNext/>
        <w:keepLines/>
        <w:spacing w:after="0" w:line="240" w:lineRule="auto"/>
        <w:ind w:firstLine="720"/>
        <w:rPr>
          <w:sz w:val="26"/>
          <w:szCs w:val="26"/>
        </w:rPr>
      </w:pPr>
      <w:r w:rsidRPr="008B0E22">
        <w:rPr>
          <w:rStyle w:val="FootnoteReference"/>
          <w:sz w:val="26"/>
          <w:szCs w:val="26"/>
        </w:rPr>
        <w:footnoteRef/>
      </w:r>
      <w:r w:rsidRPr="008B0E22">
        <w:rPr>
          <w:sz w:val="26"/>
          <w:szCs w:val="26"/>
        </w:rPr>
        <w:t xml:space="preserve"> </w:t>
      </w:r>
      <w:r w:rsidRPr="008B0E22">
        <w:rPr>
          <w:sz w:val="26"/>
          <w:szCs w:val="26"/>
        </w:rPr>
        <w:tab/>
        <w:t xml:space="preserve">This Complaint represents a timely appeal of the Bureau of Consumer Services (BCS) decision at BCS </w:t>
      </w:r>
      <w:r w:rsidR="008D77D6">
        <w:rPr>
          <w:sz w:val="26"/>
          <w:szCs w:val="26"/>
        </w:rPr>
        <w:t>C</w:t>
      </w:r>
      <w:r w:rsidRPr="008B0E22">
        <w:rPr>
          <w:sz w:val="26"/>
          <w:szCs w:val="26"/>
        </w:rPr>
        <w:t xml:space="preserve">ase </w:t>
      </w:r>
      <w:r w:rsidR="008D77D6">
        <w:rPr>
          <w:sz w:val="26"/>
          <w:szCs w:val="26"/>
        </w:rPr>
        <w:t>No.</w:t>
      </w:r>
      <w:r w:rsidRPr="008B0E22">
        <w:rPr>
          <w:sz w:val="26"/>
          <w:szCs w:val="26"/>
        </w:rPr>
        <w:t xml:space="preserve"> 3</w:t>
      </w:r>
      <w:r w:rsidR="008B0E22">
        <w:rPr>
          <w:sz w:val="26"/>
          <w:szCs w:val="26"/>
        </w:rPr>
        <w:t>729836</w:t>
      </w:r>
      <w:r w:rsidRPr="008B0E22">
        <w:rPr>
          <w:sz w:val="26"/>
          <w:szCs w:val="26"/>
        </w:rPr>
        <w:t>.</w:t>
      </w:r>
      <w:r w:rsidR="004C3B68">
        <w:rPr>
          <w:sz w:val="26"/>
          <w:szCs w:val="26"/>
        </w:rPr>
        <w:t xml:space="preserve">  Appeal of a BCS informal complaint decision is a de novo review conducted by either an ALJ or a special agent.  52</w:t>
      </w:r>
      <w:r w:rsidR="000250EC">
        <w:rPr>
          <w:sz w:val="26"/>
          <w:szCs w:val="26"/>
        </w:rPr>
        <w:t> </w:t>
      </w:r>
      <w:r w:rsidR="004C3B68">
        <w:rPr>
          <w:sz w:val="26"/>
          <w:szCs w:val="26"/>
        </w:rPr>
        <w:t>Pa. Code § 56.173(a).</w:t>
      </w:r>
    </w:p>
  </w:footnote>
  <w:footnote w:id="3">
    <w:p w14:paraId="53DCAABC" w14:textId="310B8D7F" w:rsidR="006328A7" w:rsidRPr="00AB51E4" w:rsidRDefault="006328A7" w:rsidP="006D6793">
      <w:pPr>
        <w:pStyle w:val="FootnoteText"/>
        <w:keepNext/>
        <w:keepLines/>
        <w:spacing w:after="120" w:line="240" w:lineRule="auto"/>
        <w:ind w:firstLine="720"/>
        <w:rPr>
          <w:sz w:val="26"/>
          <w:szCs w:val="26"/>
        </w:rPr>
      </w:pPr>
      <w:r w:rsidRPr="00752ACA">
        <w:rPr>
          <w:rStyle w:val="FootnoteReference"/>
          <w:sz w:val="26"/>
          <w:szCs w:val="26"/>
        </w:rPr>
        <w:footnoteRef/>
      </w:r>
      <w:r w:rsidRPr="00AB51E4">
        <w:rPr>
          <w:sz w:val="26"/>
          <w:szCs w:val="26"/>
        </w:rPr>
        <w:t xml:space="preserve"> </w:t>
      </w:r>
      <w:r w:rsidR="000A428E" w:rsidRPr="00AB51E4">
        <w:rPr>
          <w:sz w:val="26"/>
          <w:szCs w:val="26"/>
        </w:rPr>
        <w:t xml:space="preserve"> </w:t>
      </w:r>
      <w:r w:rsidR="00752ACA" w:rsidRPr="00AB51E4">
        <w:rPr>
          <w:sz w:val="26"/>
          <w:szCs w:val="26"/>
        </w:rPr>
        <w:tab/>
      </w:r>
      <w:r w:rsidR="00752ACA">
        <w:rPr>
          <w:sz w:val="26"/>
          <w:szCs w:val="26"/>
        </w:rPr>
        <w:t>In a timely appeal from a BCS decision, the burden of proof remains with the Complainant</w:t>
      </w:r>
      <w:r w:rsidR="000A428E" w:rsidRPr="00AB51E4">
        <w:rPr>
          <w:sz w:val="26"/>
          <w:szCs w:val="26"/>
        </w:rPr>
        <w:t xml:space="preserve"> </w:t>
      </w:r>
      <w:r w:rsidRPr="00752ACA">
        <w:rPr>
          <w:rFonts w:eastAsiaTheme="minorHAnsi"/>
          <w:sz w:val="26"/>
          <w:szCs w:val="26"/>
        </w:rPr>
        <w:t>except for legal or policy issues raised by the utility on appeal</w:t>
      </w:r>
      <w:r w:rsidR="00AF300C" w:rsidRPr="00752ACA">
        <w:rPr>
          <w:rFonts w:eastAsiaTheme="minorHAnsi"/>
          <w:sz w:val="26"/>
          <w:szCs w:val="26"/>
        </w:rPr>
        <w:t xml:space="preserve"> as </w:t>
      </w:r>
      <w:r w:rsidR="00AF300C" w:rsidRPr="00752ACA">
        <w:rPr>
          <w:sz w:val="26"/>
          <w:szCs w:val="26"/>
        </w:rPr>
        <w:t>“it would be absurd to impose the burden of proof concerning a legal and policy issue upon a customer who did not raise the issue and who probably has little knowledge of the issue itself.”</w:t>
      </w:r>
      <w:r w:rsidR="00752ACA" w:rsidRPr="00752ACA">
        <w:rPr>
          <w:sz w:val="26"/>
          <w:szCs w:val="26"/>
        </w:rPr>
        <w:t xml:space="preserve">  </w:t>
      </w:r>
      <w:r w:rsidR="00752ACA" w:rsidRPr="0041068F">
        <w:rPr>
          <w:i/>
          <w:iCs/>
          <w:sz w:val="26"/>
          <w:szCs w:val="26"/>
        </w:rPr>
        <w:t>Kelvin Thomas</w:t>
      </w:r>
      <w:r w:rsidR="00752ACA" w:rsidRPr="00752ACA">
        <w:rPr>
          <w:sz w:val="26"/>
          <w:szCs w:val="26"/>
        </w:rPr>
        <w:t xml:space="preserve"> at 8-9 (citations omitted).</w:t>
      </w:r>
      <w:r w:rsidR="00752ACA">
        <w:rPr>
          <w:sz w:val="26"/>
          <w:szCs w:val="26"/>
        </w:rPr>
        <w:t xml:space="preserve">  Here, however, P</w:t>
      </w:r>
      <w:r w:rsidR="00855489">
        <w:rPr>
          <w:sz w:val="26"/>
          <w:szCs w:val="26"/>
        </w:rPr>
        <w:t>GW</w:t>
      </w:r>
      <w:r w:rsidR="00752ACA">
        <w:rPr>
          <w:sz w:val="26"/>
          <w:szCs w:val="26"/>
        </w:rPr>
        <w:t xml:space="preserve"> has not raised a legal or policy issue </w:t>
      </w:r>
      <w:r w:rsidR="00AB51E4">
        <w:rPr>
          <w:sz w:val="26"/>
          <w:szCs w:val="26"/>
        </w:rPr>
        <w:t>on appeal</w:t>
      </w:r>
      <w:r w:rsidR="003E0312">
        <w:rPr>
          <w:sz w:val="26"/>
          <w:szCs w:val="26"/>
        </w:rPr>
        <w:t xml:space="preserve"> that would require</w:t>
      </w:r>
      <w:r w:rsidR="00AB51E4">
        <w:rPr>
          <w:sz w:val="26"/>
          <w:szCs w:val="26"/>
        </w:rPr>
        <w:t xml:space="preserve"> the burden of proof to</w:t>
      </w:r>
      <w:r w:rsidR="003E0312">
        <w:rPr>
          <w:sz w:val="26"/>
          <w:szCs w:val="26"/>
        </w:rPr>
        <w:t xml:space="preserve"> shift to</w:t>
      </w:r>
      <w:r w:rsidR="00AB51E4">
        <w:rPr>
          <w:sz w:val="26"/>
          <w:szCs w:val="26"/>
        </w:rPr>
        <w:t xml:space="preserve"> P</w:t>
      </w:r>
      <w:r w:rsidR="00855489">
        <w:rPr>
          <w:sz w:val="26"/>
          <w:szCs w:val="26"/>
        </w:rPr>
        <w:t>GW</w:t>
      </w:r>
      <w:r w:rsidR="00AB51E4">
        <w:rPr>
          <w:sz w:val="26"/>
          <w:szCs w:val="26"/>
        </w:rPr>
        <w:t>.</w:t>
      </w:r>
    </w:p>
  </w:footnote>
  <w:footnote w:id="4">
    <w:p w14:paraId="1E6F457D" w14:textId="5EB4619F" w:rsidR="001A6E79" w:rsidRPr="00BE02EE" w:rsidRDefault="001A6E79" w:rsidP="003439E2">
      <w:pPr>
        <w:pStyle w:val="FootnoteText"/>
        <w:keepNext/>
        <w:keepLines/>
        <w:spacing w:after="0" w:line="240" w:lineRule="auto"/>
        <w:ind w:firstLine="720"/>
        <w:rPr>
          <w:sz w:val="26"/>
          <w:szCs w:val="26"/>
        </w:rPr>
      </w:pPr>
      <w:r w:rsidRPr="00BE02EE">
        <w:rPr>
          <w:rStyle w:val="FootnoteReference"/>
          <w:sz w:val="26"/>
          <w:szCs w:val="26"/>
        </w:rPr>
        <w:footnoteRef/>
      </w:r>
      <w:r w:rsidRPr="00BE02EE">
        <w:rPr>
          <w:sz w:val="26"/>
          <w:szCs w:val="26"/>
        </w:rPr>
        <w:t xml:space="preserve"> </w:t>
      </w:r>
      <w:r>
        <w:rPr>
          <w:sz w:val="26"/>
          <w:szCs w:val="26"/>
        </w:rPr>
        <w:tab/>
      </w:r>
      <w:r w:rsidRPr="00BE02EE">
        <w:rPr>
          <w:rFonts w:eastAsia="Calibri"/>
          <w:sz w:val="26"/>
          <w:szCs w:val="26"/>
        </w:rPr>
        <w:t>We acknowledge that the format of the Complainant’s Exceptions does not strictly comply with Section 5.533(b) of our Regulations</w:t>
      </w:r>
      <w:r w:rsidR="00F23967">
        <w:rPr>
          <w:rFonts w:eastAsia="Calibri"/>
          <w:sz w:val="26"/>
          <w:szCs w:val="26"/>
        </w:rPr>
        <w:t>.  H</w:t>
      </w:r>
      <w:r w:rsidR="00BE02EE">
        <w:rPr>
          <w:rFonts w:eastAsia="Calibri"/>
          <w:sz w:val="26"/>
          <w:szCs w:val="26"/>
        </w:rPr>
        <w:t>o</w:t>
      </w:r>
      <w:r w:rsidR="00F23967">
        <w:rPr>
          <w:rFonts w:eastAsia="Calibri"/>
          <w:sz w:val="26"/>
          <w:szCs w:val="26"/>
        </w:rPr>
        <w:t>wever</w:t>
      </w:r>
      <w:r w:rsidR="00BE02EE">
        <w:rPr>
          <w:rFonts w:eastAsia="Calibri"/>
          <w:sz w:val="26"/>
          <w:szCs w:val="26"/>
        </w:rPr>
        <w:t xml:space="preserve">, </w:t>
      </w:r>
      <w:r w:rsidRPr="00BE02EE">
        <w:rPr>
          <w:rFonts w:eastAsia="Calibri"/>
          <w:sz w:val="26"/>
          <w:szCs w:val="26"/>
        </w:rPr>
        <w:t xml:space="preserve">because the Complainant is appearing </w:t>
      </w:r>
      <w:r w:rsidRPr="00BE02EE">
        <w:rPr>
          <w:rFonts w:eastAsia="Calibri"/>
          <w:i/>
          <w:sz w:val="26"/>
          <w:szCs w:val="26"/>
        </w:rPr>
        <w:t>pro se</w:t>
      </w:r>
      <w:r w:rsidRPr="00BE02EE">
        <w:rPr>
          <w:rFonts w:eastAsia="Calibri"/>
          <w:sz w:val="26"/>
          <w:szCs w:val="26"/>
        </w:rPr>
        <w:t xml:space="preserve">, we will accept the Exceptions as filed pursuant to Section 1.2(a) of our Regulations, in order to secure a just, speedy, and inexpensive determination.  </w:t>
      </w:r>
      <w:r w:rsidRPr="00BE02EE">
        <w:rPr>
          <w:rFonts w:eastAsia="Calibri"/>
          <w:i/>
          <w:iCs/>
          <w:sz w:val="26"/>
          <w:szCs w:val="26"/>
        </w:rPr>
        <w:t>See</w:t>
      </w:r>
      <w:r w:rsidR="00667ED3">
        <w:rPr>
          <w:rFonts w:eastAsia="Calibri"/>
          <w:i/>
          <w:iCs/>
          <w:sz w:val="26"/>
          <w:szCs w:val="26"/>
        </w:rPr>
        <w:t>,</w:t>
      </w:r>
      <w:r w:rsidRPr="00BE02EE">
        <w:rPr>
          <w:rFonts w:eastAsia="Calibri"/>
          <w:sz w:val="26"/>
          <w:szCs w:val="26"/>
        </w:rPr>
        <w:t xml:space="preserve"> 52 Pa. Code § 5.533(b)</w:t>
      </w:r>
      <w:r w:rsidR="004C31DE">
        <w:rPr>
          <w:rFonts w:eastAsia="Calibri"/>
          <w:sz w:val="26"/>
          <w:szCs w:val="26"/>
        </w:rPr>
        <w:t>;</w:t>
      </w:r>
      <w:r w:rsidRPr="00BE02EE">
        <w:rPr>
          <w:rFonts w:eastAsia="Calibri"/>
          <w:sz w:val="26"/>
          <w:szCs w:val="26"/>
        </w:rPr>
        <w:t xml:space="preserve"> 52 Pa. Code § 1.2(a).</w:t>
      </w:r>
    </w:p>
  </w:footnote>
  <w:footnote w:id="5">
    <w:p w14:paraId="52C11B78" w14:textId="58C2D72A" w:rsidR="00C508E1" w:rsidRPr="006D6793" w:rsidRDefault="00C508E1" w:rsidP="003439E2">
      <w:pPr>
        <w:keepNext/>
        <w:keepLines/>
        <w:spacing w:after="0" w:line="240" w:lineRule="auto"/>
        <w:ind w:left="86"/>
        <w:rPr>
          <w:sz w:val="26"/>
          <w:szCs w:val="26"/>
        </w:rPr>
      </w:pPr>
      <w:r>
        <w:rPr>
          <w:sz w:val="26"/>
          <w:szCs w:val="26"/>
        </w:rPr>
        <w:tab/>
      </w:r>
      <w:r w:rsidRPr="00E61D57">
        <w:rPr>
          <w:rStyle w:val="FootnoteReference"/>
          <w:sz w:val="26"/>
          <w:szCs w:val="26"/>
        </w:rPr>
        <w:footnoteRef/>
      </w:r>
      <w:r w:rsidRPr="00E61D57">
        <w:rPr>
          <w:sz w:val="26"/>
          <w:szCs w:val="26"/>
        </w:rPr>
        <w:t xml:space="preserve"> </w:t>
      </w:r>
      <w:r>
        <w:rPr>
          <w:sz w:val="26"/>
          <w:szCs w:val="26"/>
        </w:rPr>
        <w:tab/>
      </w:r>
      <w:r w:rsidRPr="00E61D57">
        <w:rPr>
          <w:sz w:val="26"/>
          <w:szCs w:val="26"/>
        </w:rPr>
        <w:t>The Public Utility Code at 66 Pa. C.S. §§</w:t>
      </w:r>
      <w:r w:rsidR="00CA30E1">
        <w:rPr>
          <w:sz w:val="26"/>
          <w:szCs w:val="26"/>
        </w:rPr>
        <w:t xml:space="preserve"> </w:t>
      </w:r>
      <w:r w:rsidRPr="00E61D57">
        <w:rPr>
          <w:sz w:val="26"/>
          <w:szCs w:val="26"/>
        </w:rPr>
        <w:t>1521-1533 sets forth the Commission</w:t>
      </w:r>
      <w:r>
        <w:rPr>
          <w:sz w:val="26"/>
          <w:szCs w:val="26"/>
        </w:rPr>
        <w:t>’</w:t>
      </w:r>
      <w:r w:rsidRPr="00E61D57">
        <w:rPr>
          <w:sz w:val="26"/>
          <w:szCs w:val="26"/>
        </w:rPr>
        <w:t>s authority with regard to utility service to leased premises.</w:t>
      </w:r>
      <w:r w:rsidR="004C31DE">
        <w:rPr>
          <w:sz w:val="26"/>
          <w:szCs w:val="26"/>
        </w:rPr>
        <w:t xml:space="preserve">  </w:t>
      </w:r>
      <w:r w:rsidR="00C90D6D" w:rsidRPr="00C90D6D">
        <w:rPr>
          <w:i/>
          <w:iCs/>
          <w:sz w:val="26"/>
          <w:szCs w:val="26"/>
        </w:rPr>
        <w:t>Albright v. UGI Penn Natural Gas Co., Inc.</w:t>
      </w:r>
      <w:r w:rsidR="00C90D6D" w:rsidRPr="00C90D6D">
        <w:rPr>
          <w:sz w:val="26"/>
          <w:szCs w:val="26"/>
        </w:rPr>
        <w:t>, Docket No. F-2009-2139408 (Initial Decision Issued September 29, 2010)</w:t>
      </w:r>
      <w:r w:rsidRPr="00C90D6D">
        <w:rPr>
          <w:sz w:val="26"/>
          <w:szCs w:val="26"/>
        </w:rPr>
        <w:t>.</w:t>
      </w:r>
      <w:r w:rsidR="00C90D6D">
        <w:rPr>
          <w:sz w:val="26"/>
          <w:szCs w:val="26"/>
        </w:rPr>
        <w:t xml:space="preserve">  </w:t>
      </w:r>
      <w:r w:rsidRPr="00E61D57">
        <w:rPr>
          <w:sz w:val="26"/>
          <w:szCs w:val="26"/>
        </w:rPr>
        <w:t xml:space="preserve">These statutory provisions do not authorize the Commission to resolve a dispute between a landlord and tenant over the terms of an oral lease.  </w:t>
      </w:r>
      <w:r w:rsidRPr="00E61D57">
        <w:rPr>
          <w:i/>
          <w:sz w:val="26"/>
          <w:szCs w:val="26"/>
        </w:rPr>
        <w:t>Id</w:t>
      </w:r>
      <w:r>
        <w:rPr>
          <w:sz w:val="26"/>
          <w:szCs w:val="26"/>
        </w:rPr>
        <w:t xml:space="preserve">.  </w:t>
      </w:r>
      <w:r w:rsidRPr="00E61D57">
        <w:rPr>
          <w:sz w:val="26"/>
          <w:szCs w:val="26"/>
        </w:rPr>
        <w:t>The Commission, as a creation of the General Assembly, has only the powers and authority granted to it by the General Assembly contained in the Public Utility Code</w:t>
      </w:r>
      <w:r w:rsidRPr="00E61D57">
        <w:rPr>
          <w:i/>
          <w:sz w:val="26"/>
          <w:szCs w:val="26"/>
        </w:rPr>
        <w:t>.  Tod and Lisa Shedlosky v. Pennsylvania Electric Co.</w:t>
      </w:r>
      <w:r w:rsidRPr="00E61D57">
        <w:rPr>
          <w:sz w:val="26"/>
          <w:szCs w:val="26"/>
        </w:rPr>
        <w:t xml:space="preserve">, Docket No. C-20066937 (Order entered May 28, 2008); </w:t>
      </w:r>
      <w:r w:rsidRPr="00E61D57">
        <w:rPr>
          <w:i/>
          <w:sz w:val="26"/>
          <w:szCs w:val="26"/>
        </w:rPr>
        <w:t>Feingold v. Bell Tel. Co. of Pa.</w:t>
      </w:r>
      <w:r>
        <w:rPr>
          <w:sz w:val="26"/>
          <w:szCs w:val="26"/>
        </w:rPr>
        <w:t>, 383 A.2d 791 (Pa. 1977) (</w:t>
      </w:r>
      <w:r w:rsidRPr="00E61D57">
        <w:rPr>
          <w:sz w:val="26"/>
          <w:szCs w:val="26"/>
        </w:rPr>
        <w:t>The Commission must act within, and cannot exceed, its jurisdiction</w:t>
      </w:r>
      <w:r>
        <w:rPr>
          <w:sz w:val="26"/>
          <w:szCs w:val="26"/>
        </w:rPr>
        <w:t xml:space="preserve">); </w:t>
      </w:r>
      <w:r w:rsidRPr="00E61D57">
        <w:rPr>
          <w:i/>
          <w:sz w:val="26"/>
          <w:szCs w:val="26"/>
        </w:rPr>
        <w:t>City of Pittsburgh v. Pennsylvania Pub. Util. Comm</w:t>
      </w:r>
      <w:r>
        <w:rPr>
          <w:i/>
          <w:sz w:val="26"/>
          <w:szCs w:val="26"/>
        </w:rPr>
        <w:t>’</w:t>
      </w:r>
      <w:r w:rsidRPr="00E61D57">
        <w:rPr>
          <w:i/>
          <w:sz w:val="26"/>
          <w:szCs w:val="26"/>
        </w:rPr>
        <w:t>n</w:t>
      </w:r>
      <w:r w:rsidRPr="00E61D57">
        <w:rPr>
          <w:sz w:val="26"/>
          <w:szCs w:val="26"/>
        </w:rPr>
        <w:t xml:space="preserve">., 43 A.2d 348 (Pa Super. 1945) </w:t>
      </w:r>
      <w:r>
        <w:rPr>
          <w:sz w:val="26"/>
          <w:szCs w:val="26"/>
        </w:rPr>
        <w:t>(</w:t>
      </w:r>
      <w:r w:rsidRPr="00E61D57">
        <w:rPr>
          <w:sz w:val="26"/>
          <w:szCs w:val="26"/>
        </w:rPr>
        <w:t>Jurisdiction may not be conferred by the parties where none exists</w:t>
      </w:r>
      <w:r>
        <w:rPr>
          <w:sz w:val="26"/>
          <w:szCs w:val="26"/>
        </w:rPr>
        <w:t xml:space="preserve">); </w:t>
      </w:r>
      <w:r w:rsidRPr="00E61D57">
        <w:rPr>
          <w:i/>
          <w:sz w:val="26"/>
          <w:szCs w:val="26"/>
        </w:rPr>
        <w:t>Roberts v. Martorano</w:t>
      </w:r>
      <w:r w:rsidRPr="00E61D57">
        <w:rPr>
          <w:sz w:val="26"/>
          <w:szCs w:val="26"/>
        </w:rPr>
        <w:t>, 235 A.2d 602 (Pa.</w:t>
      </w:r>
      <w:r w:rsidR="003439E2">
        <w:rPr>
          <w:sz w:val="26"/>
          <w:szCs w:val="26"/>
        </w:rPr>
        <w:t> </w:t>
      </w:r>
      <w:r w:rsidRPr="00E61D57">
        <w:rPr>
          <w:sz w:val="26"/>
          <w:szCs w:val="26"/>
        </w:rPr>
        <w:t xml:space="preserve">1967) </w:t>
      </w:r>
      <w:r>
        <w:rPr>
          <w:sz w:val="26"/>
          <w:szCs w:val="26"/>
        </w:rPr>
        <w:t>(</w:t>
      </w:r>
      <w:r w:rsidRPr="00E61D57">
        <w:rPr>
          <w:sz w:val="26"/>
          <w:szCs w:val="26"/>
        </w:rPr>
        <w:t>Subject matter jurisdiction is a prerequisite to the exercise of power to decide a controversy</w:t>
      </w:r>
      <w:r>
        <w:rPr>
          <w:sz w:val="26"/>
          <w:szCs w:val="26"/>
        </w:rPr>
        <w:t xml:space="preserve">); </w:t>
      </w:r>
      <w:r w:rsidRPr="00E61D57">
        <w:rPr>
          <w:i/>
          <w:sz w:val="26"/>
          <w:szCs w:val="26"/>
        </w:rPr>
        <w:t>Hughes v. Pennsylvania</w:t>
      </w:r>
      <w:r w:rsidRPr="003439E2">
        <w:rPr>
          <w:sz w:val="26"/>
          <w:szCs w:val="26"/>
        </w:rPr>
        <w:t xml:space="preserve"> </w:t>
      </w:r>
      <w:r w:rsidRPr="00E61D57">
        <w:rPr>
          <w:i/>
          <w:sz w:val="26"/>
          <w:szCs w:val="26"/>
        </w:rPr>
        <w:t>State Police</w:t>
      </w:r>
      <w:r w:rsidRPr="00E61D57">
        <w:rPr>
          <w:sz w:val="26"/>
          <w:szCs w:val="26"/>
        </w:rPr>
        <w:t>, 6</w:t>
      </w:r>
      <w:r>
        <w:rPr>
          <w:sz w:val="26"/>
          <w:szCs w:val="26"/>
        </w:rPr>
        <w:t>19 A.2d 390 (Pa.</w:t>
      </w:r>
      <w:r w:rsidR="00CA30E1">
        <w:rPr>
          <w:sz w:val="26"/>
          <w:szCs w:val="26"/>
        </w:rPr>
        <w:t> </w:t>
      </w:r>
      <w:r>
        <w:rPr>
          <w:sz w:val="26"/>
          <w:szCs w:val="26"/>
        </w:rPr>
        <w:t>Cmwlth.</w:t>
      </w:r>
      <w:r w:rsidR="00CA30E1">
        <w:rPr>
          <w:sz w:val="26"/>
          <w:szCs w:val="26"/>
        </w:rPr>
        <w:t> </w:t>
      </w:r>
      <w:r>
        <w:rPr>
          <w:sz w:val="26"/>
          <w:szCs w:val="26"/>
        </w:rPr>
        <w:t>1992)</w:t>
      </w:r>
      <w:r w:rsidR="00CA30E1">
        <w:rPr>
          <w:sz w:val="26"/>
          <w:szCs w:val="26"/>
        </w:rPr>
        <w:t>,</w:t>
      </w:r>
      <w:r>
        <w:rPr>
          <w:sz w:val="26"/>
          <w:szCs w:val="26"/>
        </w:rPr>
        <w:t xml:space="preserve"> </w:t>
      </w:r>
      <w:proofErr w:type="spellStart"/>
      <w:r w:rsidRPr="00E61D57">
        <w:rPr>
          <w:i/>
          <w:sz w:val="26"/>
          <w:szCs w:val="26"/>
        </w:rPr>
        <w:t>alloc</w:t>
      </w:r>
      <w:proofErr w:type="spellEnd"/>
      <w:r w:rsidRPr="00E61D57">
        <w:rPr>
          <w:i/>
          <w:sz w:val="26"/>
          <w:szCs w:val="26"/>
        </w:rPr>
        <w:t>. denied</w:t>
      </w:r>
      <w:r w:rsidR="00CA30E1">
        <w:rPr>
          <w:sz w:val="26"/>
          <w:szCs w:val="26"/>
        </w:rPr>
        <w:t xml:space="preserve">, </w:t>
      </w:r>
      <w:r w:rsidRPr="00E61D57">
        <w:rPr>
          <w:sz w:val="26"/>
          <w:szCs w:val="26"/>
        </w:rPr>
        <w:t>637 A.2d 293 (Pa. 1993)</w:t>
      </w:r>
      <w:r>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0F9"/>
    <w:rsid w:val="00000644"/>
    <w:rsid w:val="00000D47"/>
    <w:rsid w:val="00001FC8"/>
    <w:rsid w:val="00002451"/>
    <w:rsid w:val="00002629"/>
    <w:rsid w:val="00002693"/>
    <w:rsid w:val="0000423F"/>
    <w:rsid w:val="000051ED"/>
    <w:rsid w:val="00005CC4"/>
    <w:rsid w:val="000063B7"/>
    <w:rsid w:val="00006685"/>
    <w:rsid w:val="00006A92"/>
    <w:rsid w:val="00006F35"/>
    <w:rsid w:val="00006FA2"/>
    <w:rsid w:val="000115B7"/>
    <w:rsid w:val="00012001"/>
    <w:rsid w:val="00014405"/>
    <w:rsid w:val="00016D57"/>
    <w:rsid w:val="0001756A"/>
    <w:rsid w:val="00017852"/>
    <w:rsid w:val="000200F1"/>
    <w:rsid w:val="00020152"/>
    <w:rsid w:val="000215EA"/>
    <w:rsid w:val="00021E46"/>
    <w:rsid w:val="00022B74"/>
    <w:rsid w:val="00022C49"/>
    <w:rsid w:val="00023CD3"/>
    <w:rsid w:val="000241B3"/>
    <w:rsid w:val="00024511"/>
    <w:rsid w:val="00024D5A"/>
    <w:rsid w:val="000250EC"/>
    <w:rsid w:val="0002524C"/>
    <w:rsid w:val="00025F3F"/>
    <w:rsid w:val="000260A1"/>
    <w:rsid w:val="00026CD2"/>
    <w:rsid w:val="00026E6E"/>
    <w:rsid w:val="00027BAA"/>
    <w:rsid w:val="00030655"/>
    <w:rsid w:val="0003194E"/>
    <w:rsid w:val="00031AAD"/>
    <w:rsid w:val="00031DB2"/>
    <w:rsid w:val="0003262F"/>
    <w:rsid w:val="00033309"/>
    <w:rsid w:val="00033792"/>
    <w:rsid w:val="00033D63"/>
    <w:rsid w:val="000355A2"/>
    <w:rsid w:val="00040A8E"/>
    <w:rsid w:val="00040AEA"/>
    <w:rsid w:val="00041092"/>
    <w:rsid w:val="00042D12"/>
    <w:rsid w:val="00043040"/>
    <w:rsid w:val="00043AAA"/>
    <w:rsid w:val="00043EF5"/>
    <w:rsid w:val="000472DB"/>
    <w:rsid w:val="00047834"/>
    <w:rsid w:val="00047874"/>
    <w:rsid w:val="00047F4A"/>
    <w:rsid w:val="0005145A"/>
    <w:rsid w:val="000516F3"/>
    <w:rsid w:val="00051BA5"/>
    <w:rsid w:val="00051C8C"/>
    <w:rsid w:val="000523D1"/>
    <w:rsid w:val="000525A6"/>
    <w:rsid w:val="0005264D"/>
    <w:rsid w:val="00052B8F"/>
    <w:rsid w:val="00052C70"/>
    <w:rsid w:val="000532E7"/>
    <w:rsid w:val="00053FDB"/>
    <w:rsid w:val="00054612"/>
    <w:rsid w:val="00054E3E"/>
    <w:rsid w:val="0005572E"/>
    <w:rsid w:val="0005596B"/>
    <w:rsid w:val="000561BC"/>
    <w:rsid w:val="00056286"/>
    <w:rsid w:val="00056FB9"/>
    <w:rsid w:val="000605A3"/>
    <w:rsid w:val="000607C4"/>
    <w:rsid w:val="00060E0A"/>
    <w:rsid w:val="00061198"/>
    <w:rsid w:val="000612FD"/>
    <w:rsid w:val="000615A9"/>
    <w:rsid w:val="0006340D"/>
    <w:rsid w:val="000642AA"/>
    <w:rsid w:val="0006460C"/>
    <w:rsid w:val="000646AC"/>
    <w:rsid w:val="000649EC"/>
    <w:rsid w:val="000663FC"/>
    <w:rsid w:val="00066A91"/>
    <w:rsid w:val="00066EE5"/>
    <w:rsid w:val="00067260"/>
    <w:rsid w:val="00067343"/>
    <w:rsid w:val="000676B7"/>
    <w:rsid w:val="00070655"/>
    <w:rsid w:val="00071F6B"/>
    <w:rsid w:val="000727F3"/>
    <w:rsid w:val="00072808"/>
    <w:rsid w:val="00072858"/>
    <w:rsid w:val="00072B52"/>
    <w:rsid w:val="000737AD"/>
    <w:rsid w:val="00073F03"/>
    <w:rsid w:val="00074485"/>
    <w:rsid w:val="00076930"/>
    <w:rsid w:val="000769F3"/>
    <w:rsid w:val="00076AF0"/>
    <w:rsid w:val="00076B85"/>
    <w:rsid w:val="00076E8C"/>
    <w:rsid w:val="00076F35"/>
    <w:rsid w:val="0007759A"/>
    <w:rsid w:val="000807BD"/>
    <w:rsid w:val="00081322"/>
    <w:rsid w:val="0008157E"/>
    <w:rsid w:val="00081D7D"/>
    <w:rsid w:val="00084573"/>
    <w:rsid w:val="00084AF9"/>
    <w:rsid w:val="0008598C"/>
    <w:rsid w:val="00086293"/>
    <w:rsid w:val="000865A9"/>
    <w:rsid w:val="00087CC1"/>
    <w:rsid w:val="000903FA"/>
    <w:rsid w:val="000918D4"/>
    <w:rsid w:val="000926ED"/>
    <w:rsid w:val="00093164"/>
    <w:rsid w:val="00093813"/>
    <w:rsid w:val="00094893"/>
    <w:rsid w:val="00094941"/>
    <w:rsid w:val="00094D3B"/>
    <w:rsid w:val="0009544B"/>
    <w:rsid w:val="000954A4"/>
    <w:rsid w:val="0009566E"/>
    <w:rsid w:val="0009612D"/>
    <w:rsid w:val="00097210"/>
    <w:rsid w:val="000972E8"/>
    <w:rsid w:val="00097504"/>
    <w:rsid w:val="000A07C6"/>
    <w:rsid w:val="000A1BF5"/>
    <w:rsid w:val="000A242F"/>
    <w:rsid w:val="000A2600"/>
    <w:rsid w:val="000A365D"/>
    <w:rsid w:val="000A3C18"/>
    <w:rsid w:val="000A40FD"/>
    <w:rsid w:val="000A428E"/>
    <w:rsid w:val="000A467B"/>
    <w:rsid w:val="000A490A"/>
    <w:rsid w:val="000A7683"/>
    <w:rsid w:val="000A7704"/>
    <w:rsid w:val="000A7DED"/>
    <w:rsid w:val="000B0B10"/>
    <w:rsid w:val="000B0D43"/>
    <w:rsid w:val="000B1A58"/>
    <w:rsid w:val="000B1AD6"/>
    <w:rsid w:val="000B1D20"/>
    <w:rsid w:val="000B216D"/>
    <w:rsid w:val="000B2347"/>
    <w:rsid w:val="000B2755"/>
    <w:rsid w:val="000B2FBB"/>
    <w:rsid w:val="000B39D7"/>
    <w:rsid w:val="000B4DB1"/>
    <w:rsid w:val="000B4EAE"/>
    <w:rsid w:val="000B5238"/>
    <w:rsid w:val="000B5739"/>
    <w:rsid w:val="000B5D07"/>
    <w:rsid w:val="000B607A"/>
    <w:rsid w:val="000B6B15"/>
    <w:rsid w:val="000B6CB6"/>
    <w:rsid w:val="000B7064"/>
    <w:rsid w:val="000B706C"/>
    <w:rsid w:val="000B7349"/>
    <w:rsid w:val="000C0447"/>
    <w:rsid w:val="000C23EF"/>
    <w:rsid w:val="000C2990"/>
    <w:rsid w:val="000C2AE3"/>
    <w:rsid w:val="000C2B39"/>
    <w:rsid w:val="000C346C"/>
    <w:rsid w:val="000C4A5D"/>
    <w:rsid w:val="000C6C50"/>
    <w:rsid w:val="000C709A"/>
    <w:rsid w:val="000C73A0"/>
    <w:rsid w:val="000C79A5"/>
    <w:rsid w:val="000D000B"/>
    <w:rsid w:val="000D0D64"/>
    <w:rsid w:val="000D1B5C"/>
    <w:rsid w:val="000D1DBB"/>
    <w:rsid w:val="000D200D"/>
    <w:rsid w:val="000D3501"/>
    <w:rsid w:val="000D4288"/>
    <w:rsid w:val="000D5232"/>
    <w:rsid w:val="000D5BD2"/>
    <w:rsid w:val="000D78CB"/>
    <w:rsid w:val="000D7F4F"/>
    <w:rsid w:val="000E1280"/>
    <w:rsid w:val="000E189C"/>
    <w:rsid w:val="000E25BB"/>
    <w:rsid w:val="000E2C45"/>
    <w:rsid w:val="000E33AF"/>
    <w:rsid w:val="000E3D6E"/>
    <w:rsid w:val="000E4734"/>
    <w:rsid w:val="000E6093"/>
    <w:rsid w:val="000E620A"/>
    <w:rsid w:val="000E7B0A"/>
    <w:rsid w:val="000F0016"/>
    <w:rsid w:val="000F0837"/>
    <w:rsid w:val="000F0AD9"/>
    <w:rsid w:val="000F104A"/>
    <w:rsid w:val="000F179E"/>
    <w:rsid w:val="000F1985"/>
    <w:rsid w:val="000F19A8"/>
    <w:rsid w:val="000F27F0"/>
    <w:rsid w:val="000F4307"/>
    <w:rsid w:val="000F5451"/>
    <w:rsid w:val="000F6402"/>
    <w:rsid w:val="000F7020"/>
    <w:rsid w:val="000F76F4"/>
    <w:rsid w:val="001004D6"/>
    <w:rsid w:val="00100645"/>
    <w:rsid w:val="0010086E"/>
    <w:rsid w:val="0010158F"/>
    <w:rsid w:val="00101F51"/>
    <w:rsid w:val="001026CA"/>
    <w:rsid w:val="00102DE8"/>
    <w:rsid w:val="00103A9B"/>
    <w:rsid w:val="00104C53"/>
    <w:rsid w:val="00104D9B"/>
    <w:rsid w:val="00106ABA"/>
    <w:rsid w:val="00110535"/>
    <w:rsid w:val="001117FF"/>
    <w:rsid w:val="001118FD"/>
    <w:rsid w:val="001119CA"/>
    <w:rsid w:val="00111CF6"/>
    <w:rsid w:val="00115B7B"/>
    <w:rsid w:val="00115E84"/>
    <w:rsid w:val="001168D2"/>
    <w:rsid w:val="001179F9"/>
    <w:rsid w:val="00117CB2"/>
    <w:rsid w:val="001205A0"/>
    <w:rsid w:val="00120B39"/>
    <w:rsid w:val="0012112E"/>
    <w:rsid w:val="001221E4"/>
    <w:rsid w:val="001224BA"/>
    <w:rsid w:val="00122E44"/>
    <w:rsid w:val="00123099"/>
    <w:rsid w:val="001237D0"/>
    <w:rsid w:val="00123851"/>
    <w:rsid w:val="001238E5"/>
    <w:rsid w:val="00123A2E"/>
    <w:rsid w:val="00124071"/>
    <w:rsid w:val="00124128"/>
    <w:rsid w:val="00125043"/>
    <w:rsid w:val="00125142"/>
    <w:rsid w:val="00125C2C"/>
    <w:rsid w:val="00125F81"/>
    <w:rsid w:val="001267D4"/>
    <w:rsid w:val="00131821"/>
    <w:rsid w:val="00133907"/>
    <w:rsid w:val="00134D42"/>
    <w:rsid w:val="00135972"/>
    <w:rsid w:val="001360FC"/>
    <w:rsid w:val="00136AF0"/>
    <w:rsid w:val="00137257"/>
    <w:rsid w:val="001404B2"/>
    <w:rsid w:val="00141D0A"/>
    <w:rsid w:val="001429A8"/>
    <w:rsid w:val="001434CB"/>
    <w:rsid w:val="0014424B"/>
    <w:rsid w:val="001447A0"/>
    <w:rsid w:val="0014497F"/>
    <w:rsid w:val="00144A8F"/>
    <w:rsid w:val="00145F4D"/>
    <w:rsid w:val="00146DDD"/>
    <w:rsid w:val="00146E58"/>
    <w:rsid w:val="00147145"/>
    <w:rsid w:val="001472DB"/>
    <w:rsid w:val="0015001C"/>
    <w:rsid w:val="00150096"/>
    <w:rsid w:val="001508E4"/>
    <w:rsid w:val="0015212F"/>
    <w:rsid w:val="001528D7"/>
    <w:rsid w:val="00153247"/>
    <w:rsid w:val="001532CF"/>
    <w:rsid w:val="0015380A"/>
    <w:rsid w:val="00154368"/>
    <w:rsid w:val="00154CB6"/>
    <w:rsid w:val="00155AAF"/>
    <w:rsid w:val="00156947"/>
    <w:rsid w:val="00156E5E"/>
    <w:rsid w:val="00157757"/>
    <w:rsid w:val="00160146"/>
    <w:rsid w:val="00160194"/>
    <w:rsid w:val="001623FA"/>
    <w:rsid w:val="0016269B"/>
    <w:rsid w:val="00163CAA"/>
    <w:rsid w:val="00164DA4"/>
    <w:rsid w:val="00165DB3"/>
    <w:rsid w:val="0016606E"/>
    <w:rsid w:val="0016623B"/>
    <w:rsid w:val="00166298"/>
    <w:rsid w:val="00166316"/>
    <w:rsid w:val="001663C8"/>
    <w:rsid w:val="001664E2"/>
    <w:rsid w:val="00166879"/>
    <w:rsid w:val="0016750A"/>
    <w:rsid w:val="00170A2C"/>
    <w:rsid w:val="00171F74"/>
    <w:rsid w:val="00172CC7"/>
    <w:rsid w:val="00173126"/>
    <w:rsid w:val="00174049"/>
    <w:rsid w:val="00174D3D"/>
    <w:rsid w:val="001773AB"/>
    <w:rsid w:val="001774C3"/>
    <w:rsid w:val="001800A0"/>
    <w:rsid w:val="00180331"/>
    <w:rsid w:val="00181222"/>
    <w:rsid w:val="00181ADE"/>
    <w:rsid w:val="00181B1B"/>
    <w:rsid w:val="00181F6E"/>
    <w:rsid w:val="00182478"/>
    <w:rsid w:val="00182700"/>
    <w:rsid w:val="00184513"/>
    <w:rsid w:val="001847AC"/>
    <w:rsid w:val="00184E57"/>
    <w:rsid w:val="00186A97"/>
    <w:rsid w:val="0019242C"/>
    <w:rsid w:val="0019267B"/>
    <w:rsid w:val="0019339D"/>
    <w:rsid w:val="00194B04"/>
    <w:rsid w:val="0019530E"/>
    <w:rsid w:val="00195390"/>
    <w:rsid w:val="00195407"/>
    <w:rsid w:val="00195585"/>
    <w:rsid w:val="00195F2E"/>
    <w:rsid w:val="001A045A"/>
    <w:rsid w:val="001A1FFD"/>
    <w:rsid w:val="001A2145"/>
    <w:rsid w:val="001A2305"/>
    <w:rsid w:val="001A3E3B"/>
    <w:rsid w:val="001A53A4"/>
    <w:rsid w:val="001A6E79"/>
    <w:rsid w:val="001A6FE6"/>
    <w:rsid w:val="001B0E9F"/>
    <w:rsid w:val="001B1525"/>
    <w:rsid w:val="001B156E"/>
    <w:rsid w:val="001B1DB4"/>
    <w:rsid w:val="001B2324"/>
    <w:rsid w:val="001B2D77"/>
    <w:rsid w:val="001B2F16"/>
    <w:rsid w:val="001B30A5"/>
    <w:rsid w:val="001B57D6"/>
    <w:rsid w:val="001B6B0D"/>
    <w:rsid w:val="001B7DA2"/>
    <w:rsid w:val="001B7F81"/>
    <w:rsid w:val="001C0C9B"/>
    <w:rsid w:val="001C13C2"/>
    <w:rsid w:val="001C1683"/>
    <w:rsid w:val="001C222E"/>
    <w:rsid w:val="001C22A5"/>
    <w:rsid w:val="001C4978"/>
    <w:rsid w:val="001C4D09"/>
    <w:rsid w:val="001C56D3"/>
    <w:rsid w:val="001C619F"/>
    <w:rsid w:val="001D098F"/>
    <w:rsid w:val="001D0ED2"/>
    <w:rsid w:val="001D116C"/>
    <w:rsid w:val="001D1408"/>
    <w:rsid w:val="001D1762"/>
    <w:rsid w:val="001D1A12"/>
    <w:rsid w:val="001D1F7B"/>
    <w:rsid w:val="001D36CF"/>
    <w:rsid w:val="001D79F3"/>
    <w:rsid w:val="001E0B61"/>
    <w:rsid w:val="001E0C58"/>
    <w:rsid w:val="001E1276"/>
    <w:rsid w:val="001E193F"/>
    <w:rsid w:val="001E2949"/>
    <w:rsid w:val="001E2C66"/>
    <w:rsid w:val="001E307A"/>
    <w:rsid w:val="001E393B"/>
    <w:rsid w:val="001E57CD"/>
    <w:rsid w:val="001E5C81"/>
    <w:rsid w:val="001E79D2"/>
    <w:rsid w:val="001F036B"/>
    <w:rsid w:val="001F0F7F"/>
    <w:rsid w:val="001F162B"/>
    <w:rsid w:val="001F1C6C"/>
    <w:rsid w:val="001F285E"/>
    <w:rsid w:val="001F28C5"/>
    <w:rsid w:val="001F2AD3"/>
    <w:rsid w:val="001F3A35"/>
    <w:rsid w:val="001F3C74"/>
    <w:rsid w:val="001F5292"/>
    <w:rsid w:val="001F6676"/>
    <w:rsid w:val="001F70B5"/>
    <w:rsid w:val="00200784"/>
    <w:rsid w:val="00201BEE"/>
    <w:rsid w:val="00202524"/>
    <w:rsid w:val="002037E1"/>
    <w:rsid w:val="0020399A"/>
    <w:rsid w:val="00203CAD"/>
    <w:rsid w:val="00204B05"/>
    <w:rsid w:val="002063E1"/>
    <w:rsid w:val="00206BA8"/>
    <w:rsid w:val="002073F0"/>
    <w:rsid w:val="00210736"/>
    <w:rsid w:val="00210C2E"/>
    <w:rsid w:val="00210F81"/>
    <w:rsid w:val="00211622"/>
    <w:rsid w:val="00212574"/>
    <w:rsid w:val="00213DAF"/>
    <w:rsid w:val="00214B3E"/>
    <w:rsid w:val="00214F8F"/>
    <w:rsid w:val="002164F7"/>
    <w:rsid w:val="002170F8"/>
    <w:rsid w:val="002171D5"/>
    <w:rsid w:val="00220D41"/>
    <w:rsid w:val="00222026"/>
    <w:rsid w:val="00224218"/>
    <w:rsid w:val="002265B5"/>
    <w:rsid w:val="0022665D"/>
    <w:rsid w:val="0022698E"/>
    <w:rsid w:val="00226ACC"/>
    <w:rsid w:val="002271D2"/>
    <w:rsid w:val="00227906"/>
    <w:rsid w:val="00227912"/>
    <w:rsid w:val="00227C7D"/>
    <w:rsid w:val="0023019C"/>
    <w:rsid w:val="00230983"/>
    <w:rsid w:val="00230E1D"/>
    <w:rsid w:val="002311EE"/>
    <w:rsid w:val="002332F3"/>
    <w:rsid w:val="0023353B"/>
    <w:rsid w:val="00233953"/>
    <w:rsid w:val="00234374"/>
    <w:rsid w:val="0023505F"/>
    <w:rsid w:val="002370F5"/>
    <w:rsid w:val="00237DE5"/>
    <w:rsid w:val="00240ACA"/>
    <w:rsid w:val="00240D7B"/>
    <w:rsid w:val="00240DEB"/>
    <w:rsid w:val="00240E6F"/>
    <w:rsid w:val="00240F52"/>
    <w:rsid w:val="00241299"/>
    <w:rsid w:val="00241A93"/>
    <w:rsid w:val="00242FE6"/>
    <w:rsid w:val="0024419F"/>
    <w:rsid w:val="0024501A"/>
    <w:rsid w:val="00246002"/>
    <w:rsid w:val="002502F5"/>
    <w:rsid w:val="00251201"/>
    <w:rsid w:val="002515F2"/>
    <w:rsid w:val="00252437"/>
    <w:rsid w:val="00252B53"/>
    <w:rsid w:val="00252C99"/>
    <w:rsid w:val="00252CDB"/>
    <w:rsid w:val="00252EDE"/>
    <w:rsid w:val="00255462"/>
    <w:rsid w:val="002559ED"/>
    <w:rsid w:val="00260957"/>
    <w:rsid w:val="002613A8"/>
    <w:rsid w:val="002617A8"/>
    <w:rsid w:val="002625CD"/>
    <w:rsid w:val="002625E0"/>
    <w:rsid w:val="002638A8"/>
    <w:rsid w:val="002644EE"/>
    <w:rsid w:val="00264534"/>
    <w:rsid w:val="00264646"/>
    <w:rsid w:val="002653CC"/>
    <w:rsid w:val="00266175"/>
    <w:rsid w:val="0026691B"/>
    <w:rsid w:val="0026777B"/>
    <w:rsid w:val="002709CD"/>
    <w:rsid w:val="002715C8"/>
    <w:rsid w:val="00271EEF"/>
    <w:rsid w:val="0027232D"/>
    <w:rsid w:val="002732AB"/>
    <w:rsid w:val="0027400F"/>
    <w:rsid w:val="00274D0F"/>
    <w:rsid w:val="00275645"/>
    <w:rsid w:val="002757BF"/>
    <w:rsid w:val="002759CA"/>
    <w:rsid w:val="00276C81"/>
    <w:rsid w:val="0027743D"/>
    <w:rsid w:val="00277500"/>
    <w:rsid w:val="00277906"/>
    <w:rsid w:val="00281A5F"/>
    <w:rsid w:val="00282C3F"/>
    <w:rsid w:val="0028340A"/>
    <w:rsid w:val="002834EB"/>
    <w:rsid w:val="00283AE3"/>
    <w:rsid w:val="00283DCC"/>
    <w:rsid w:val="00284774"/>
    <w:rsid w:val="00284971"/>
    <w:rsid w:val="00285F57"/>
    <w:rsid w:val="0028703E"/>
    <w:rsid w:val="0029020E"/>
    <w:rsid w:val="00290B19"/>
    <w:rsid w:val="00290D9F"/>
    <w:rsid w:val="00290FF6"/>
    <w:rsid w:val="0029101F"/>
    <w:rsid w:val="002916C2"/>
    <w:rsid w:val="00291F68"/>
    <w:rsid w:val="00292D65"/>
    <w:rsid w:val="00294B49"/>
    <w:rsid w:val="0029518D"/>
    <w:rsid w:val="00295E95"/>
    <w:rsid w:val="002963DD"/>
    <w:rsid w:val="00297046"/>
    <w:rsid w:val="002A02D9"/>
    <w:rsid w:val="002A060A"/>
    <w:rsid w:val="002A16D7"/>
    <w:rsid w:val="002A28BF"/>
    <w:rsid w:val="002A4450"/>
    <w:rsid w:val="002A60F5"/>
    <w:rsid w:val="002A6750"/>
    <w:rsid w:val="002A694A"/>
    <w:rsid w:val="002A6B69"/>
    <w:rsid w:val="002A6F2D"/>
    <w:rsid w:val="002A7BED"/>
    <w:rsid w:val="002A7FA8"/>
    <w:rsid w:val="002B2296"/>
    <w:rsid w:val="002B2B1F"/>
    <w:rsid w:val="002B34B6"/>
    <w:rsid w:val="002B3612"/>
    <w:rsid w:val="002B4407"/>
    <w:rsid w:val="002B57C1"/>
    <w:rsid w:val="002B650D"/>
    <w:rsid w:val="002B67B7"/>
    <w:rsid w:val="002B69E9"/>
    <w:rsid w:val="002B78FF"/>
    <w:rsid w:val="002C0429"/>
    <w:rsid w:val="002C153E"/>
    <w:rsid w:val="002C19E4"/>
    <w:rsid w:val="002C1CB9"/>
    <w:rsid w:val="002C36E3"/>
    <w:rsid w:val="002C4539"/>
    <w:rsid w:val="002C5521"/>
    <w:rsid w:val="002C5782"/>
    <w:rsid w:val="002C585F"/>
    <w:rsid w:val="002C58A1"/>
    <w:rsid w:val="002C69AB"/>
    <w:rsid w:val="002C6CC4"/>
    <w:rsid w:val="002C7DCF"/>
    <w:rsid w:val="002C7E81"/>
    <w:rsid w:val="002D0E0C"/>
    <w:rsid w:val="002D13C4"/>
    <w:rsid w:val="002D1455"/>
    <w:rsid w:val="002D2224"/>
    <w:rsid w:val="002D233B"/>
    <w:rsid w:val="002D2450"/>
    <w:rsid w:val="002D25EB"/>
    <w:rsid w:val="002D275E"/>
    <w:rsid w:val="002D2F4B"/>
    <w:rsid w:val="002D3A84"/>
    <w:rsid w:val="002D58D4"/>
    <w:rsid w:val="002D6357"/>
    <w:rsid w:val="002D7584"/>
    <w:rsid w:val="002D79B8"/>
    <w:rsid w:val="002D7AD0"/>
    <w:rsid w:val="002E0C11"/>
    <w:rsid w:val="002E1460"/>
    <w:rsid w:val="002E168F"/>
    <w:rsid w:val="002E23A4"/>
    <w:rsid w:val="002E24B6"/>
    <w:rsid w:val="002E3026"/>
    <w:rsid w:val="002E342E"/>
    <w:rsid w:val="002E3F06"/>
    <w:rsid w:val="002E4706"/>
    <w:rsid w:val="002E534B"/>
    <w:rsid w:val="002E5807"/>
    <w:rsid w:val="002E6FFA"/>
    <w:rsid w:val="002E7230"/>
    <w:rsid w:val="002E79DE"/>
    <w:rsid w:val="002E7F8F"/>
    <w:rsid w:val="002F139F"/>
    <w:rsid w:val="002F1DAD"/>
    <w:rsid w:val="002F3F04"/>
    <w:rsid w:val="002F41BA"/>
    <w:rsid w:val="002F43FE"/>
    <w:rsid w:val="002F5807"/>
    <w:rsid w:val="002F6271"/>
    <w:rsid w:val="002F69CE"/>
    <w:rsid w:val="002F7F6B"/>
    <w:rsid w:val="003011D4"/>
    <w:rsid w:val="003018AA"/>
    <w:rsid w:val="00303B99"/>
    <w:rsid w:val="00304757"/>
    <w:rsid w:val="00304D12"/>
    <w:rsid w:val="0030533A"/>
    <w:rsid w:val="003058AE"/>
    <w:rsid w:val="00305D99"/>
    <w:rsid w:val="003061E5"/>
    <w:rsid w:val="0030714F"/>
    <w:rsid w:val="003073E2"/>
    <w:rsid w:val="00307594"/>
    <w:rsid w:val="003079A4"/>
    <w:rsid w:val="00307DDF"/>
    <w:rsid w:val="0031014A"/>
    <w:rsid w:val="00310B3A"/>
    <w:rsid w:val="003117D8"/>
    <w:rsid w:val="0031263E"/>
    <w:rsid w:val="00313170"/>
    <w:rsid w:val="0031350F"/>
    <w:rsid w:val="00314A43"/>
    <w:rsid w:val="00314F82"/>
    <w:rsid w:val="00317180"/>
    <w:rsid w:val="00320DB2"/>
    <w:rsid w:val="00322040"/>
    <w:rsid w:val="003227FA"/>
    <w:rsid w:val="00322A4F"/>
    <w:rsid w:val="00323203"/>
    <w:rsid w:val="00323669"/>
    <w:rsid w:val="003240B8"/>
    <w:rsid w:val="0032477E"/>
    <w:rsid w:val="00324E4B"/>
    <w:rsid w:val="00325422"/>
    <w:rsid w:val="00325AB2"/>
    <w:rsid w:val="00325D89"/>
    <w:rsid w:val="00326FCA"/>
    <w:rsid w:val="003314A8"/>
    <w:rsid w:val="003319DF"/>
    <w:rsid w:val="00332DA2"/>
    <w:rsid w:val="00333FDA"/>
    <w:rsid w:val="003340DE"/>
    <w:rsid w:val="00334A7D"/>
    <w:rsid w:val="00336363"/>
    <w:rsid w:val="003363A6"/>
    <w:rsid w:val="00336ACB"/>
    <w:rsid w:val="00336B5B"/>
    <w:rsid w:val="00336CF8"/>
    <w:rsid w:val="00340509"/>
    <w:rsid w:val="00340D19"/>
    <w:rsid w:val="00341DB6"/>
    <w:rsid w:val="003420BD"/>
    <w:rsid w:val="003439E2"/>
    <w:rsid w:val="00343EED"/>
    <w:rsid w:val="00344804"/>
    <w:rsid w:val="00344A19"/>
    <w:rsid w:val="00345231"/>
    <w:rsid w:val="003453E0"/>
    <w:rsid w:val="00345F32"/>
    <w:rsid w:val="0034684D"/>
    <w:rsid w:val="003470A2"/>
    <w:rsid w:val="003518C8"/>
    <w:rsid w:val="00351C99"/>
    <w:rsid w:val="003533B5"/>
    <w:rsid w:val="00353408"/>
    <w:rsid w:val="00354612"/>
    <w:rsid w:val="00357A7D"/>
    <w:rsid w:val="00361FC8"/>
    <w:rsid w:val="0036200E"/>
    <w:rsid w:val="003622CA"/>
    <w:rsid w:val="00362545"/>
    <w:rsid w:val="0036284E"/>
    <w:rsid w:val="00363030"/>
    <w:rsid w:val="00363FAC"/>
    <w:rsid w:val="0036462C"/>
    <w:rsid w:val="00364A42"/>
    <w:rsid w:val="0036588A"/>
    <w:rsid w:val="00366281"/>
    <w:rsid w:val="003663E7"/>
    <w:rsid w:val="00366874"/>
    <w:rsid w:val="0036768E"/>
    <w:rsid w:val="00370BF0"/>
    <w:rsid w:val="00370DDA"/>
    <w:rsid w:val="003710F8"/>
    <w:rsid w:val="00371299"/>
    <w:rsid w:val="00371BC4"/>
    <w:rsid w:val="003723B0"/>
    <w:rsid w:val="00372487"/>
    <w:rsid w:val="0037301F"/>
    <w:rsid w:val="00373BF1"/>
    <w:rsid w:val="003755FB"/>
    <w:rsid w:val="0037577C"/>
    <w:rsid w:val="00377F25"/>
    <w:rsid w:val="00380315"/>
    <w:rsid w:val="003812E0"/>
    <w:rsid w:val="00381F89"/>
    <w:rsid w:val="00385502"/>
    <w:rsid w:val="0038618F"/>
    <w:rsid w:val="00386AF3"/>
    <w:rsid w:val="00386C19"/>
    <w:rsid w:val="00387664"/>
    <w:rsid w:val="003901D9"/>
    <w:rsid w:val="00391A43"/>
    <w:rsid w:val="00393565"/>
    <w:rsid w:val="0039479E"/>
    <w:rsid w:val="00394883"/>
    <w:rsid w:val="003956C0"/>
    <w:rsid w:val="0039746E"/>
    <w:rsid w:val="00397A2D"/>
    <w:rsid w:val="003A0889"/>
    <w:rsid w:val="003A110B"/>
    <w:rsid w:val="003A2779"/>
    <w:rsid w:val="003A2D10"/>
    <w:rsid w:val="003A3902"/>
    <w:rsid w:val="003A4BE1"/>
    <w:rsid w:val="003A7416"/>
    <w:rsid w:val="003B037D"/>
    <w:rsid w:val="003B0611"/>
    <w:rsid w:val="003B216C"/>
    <w:rsid w:val="003B42D9"/>
    <w:rsid w:val="003B4974"/>
    <w:rsid w:val="003B5942"/>
    <w:rsid w:val="003C0259"/>
    <w:rsid w:val="003C0BF7"/>
    <w:rsid w:val="003C24A5"/>
    <w:rsid w:val="003C268A"/>
    <w:rsid w:val="003C3140"/>
    <w:rsid w:val="003C3E02"/>
    <w:rsid w:val="003C3FE8"/>
    <w:rsid w:val="003C5012"/>
    <w:rsid w:val="003C5835"/>
    <w:rsid w:val="003C6FC8"/>
    <w:rsid w:val="003C73F9"/>
    <w:rsid w:val="003C7EBB"/>
    <w:rsid w:val="003D09DC"/>
    <w:rsid w:val="003D1BA2"/>
    <w:rsid w:val="003D1F5A"/>
    <w:rsid w:val="003D21B9"/>
    <w:rsid w:val="003D2744"/>
    <w:rsid w:val="003D2AF7"/>
    <w:rsid w:val="003D3384"/>
    <w:rsid w:val="003D45D9"/>
    <w:rsid w:val="003D5F07"/>
    <w:rsid w:val="003D6AB5"/>
    <w:rsid w:val="003E01A4"/>
    <w:rsid w:val="003E0312"/>
    <w:rsid w:val="003E3FF5"/>
    <w:rsid w:val="003E4F24"/>
    <w:rsid w:val="003E5354"/>
    <w:rsid w:val="003E57B6"/>
    <w:rsid w:val="003E5A7C"/>
    <w:rsid w:val="003E6A43"/>
    <w:rsid w:val="003E79F2"/>
    <w:rsid w:val="003F05A7"/>
    <w:rsid w:val="003F0AAF"/>
    <w:rsid w:val="003F0BA5"/>
    <w:rsid w:val="003F1FA9"/>
    <w:rsid w:val="003F2328"/>
    <w:rsid w:val="003F2A01"/>
    <w:rsid w:val="003F51F4"/>
    <w:rsid w:val="003F52C6"/>
    <w:rsid w:val="003F558E"/>
    <w:rsid w:val="003F62E9"/>
    <w:rsid w:val="003F6BDE"/>
    <w:rsid w:val="003F6F2B"/>
    <w:rsid w:val="003F711E"/>
    <w:rsid w:val="003F7CC3"/>
    <w:rsid w:val="004000EB"/>
    <w:rsid w:val="00400663"/>
    <w:rsid w:val="00400F48"/>
    <w:rsid w:val="00401660"/>
    <w:rsid w:val="0040230F"/>
    <w:rsid w:val="00403144"/>
    <w:rsid w:val="00403D6E"/>
    <w:rsid w:val="00406837"/>
    <w:rsid w:val="00407AC0"/>
    <w:rsid w:val="00410263"/>
    <w:rsid w:val="0041068F"/>
    <w:rsid w:val="00410F63"/>
    <w:rsid w:val="00411E1A"/>
    <w:rsid w:val="00412E30"/>
    <w:rsid w:val="0041472B"/>
    <w:rsid w:val="00417002"/>
    <w:rsid w:val="004170AF"/>
    <w:rsid w:val="00417A3B"/>
    <w:rsid w:val="004202C3"/>
    <w:rsid w:val="00421AFB"/>
    <w:rsid w:val="00421F93"/>
    <w:rsid w:val="004222F2"/>
    <w:rsid w:val="00423B28"/>
    <w:rsid w:val="00424FC0"/>
    <w:rsid w:val="004252A1"/>
    <w:rsid w:val="00425485"/>
    <w:rsid w:val="00427B5E"/>
    <w:rsid w:val="00432A5B"/>
    <w:rsid w:val="00432BB7"/>
    <w:rsid w:val="004331E9"/>
    <w:rsid w:val="00433E8D"/>
    <w:rsid w:val="00434136"/>
    <w:rsid w:val="00434568"/>
    <w:rsid w:val="0043592C"/>
    <w:rsid w:val="004372C4"/>
    <w:rsid w:val="00437F71"/>
    <w:rsid w:val="00440A9A"/>
    <w:rsid w:val="00441207"/>
    <w:rsid w:val="004422CA"/>
    <w:rsid w:val="00442E11"/>
    <w:rsid w:val="00443807"/>
    <w:rsid w:val="00443B1F"/>
    <w:rsid w:val="004462F7"/>
    <w:rsid w:val="00446686"/>
    <w:rsid w:val="00447270"/>
    <w:rsid w:val="004510DE"/>
    <w:rsid w:val="004527FF"/>
    <w:rsid w:val="0045299B"/>
    <w:rsid w:val="00452B6E"/>
    <w:rsid w:val="00454114"/>
    <w:rsid w:val="00455B66"/>
    <w:rsid w:val="004569E3"/>
    <w:rsid w:val="004600D1"/>
    <w:rsid w:val="0046019D"/>
    <w:rsid w:val="004602E2"/>
    <w:rsid w:val="0046055D"/>
    <w:rsid w:val="00460FB5"/>
    <w:rsid w:val="00463D36"/>
    <w:rsid w:val="0046406C"/>
    <w:rsid w:val="004641F9"/>
    <w:rsid w:val="00464536"/>
    <w:rsid w:val="0046514E"/>
    <w:rsid w:val="00465A25"/>
    <w:rsid w:val="0046623C"/>
    <w:rsid w:val="00466B61"/>
    <w:rsid w:val="00466FBA"/>
    <w:rsid w:val="00467739"/>
    <w:rsid w:val="00467C82"/>
    <w:rsid w:val="00470CB1"/>
    <w:rsid w:val="00470D0C"/>
    <w:rsid w:val="00471546"/>
    <w:rsid w:val="00471769"/>
    <w:rsid w:val="004723DB"/>
    <w:rsid w:val="0047324F"/>
    <w:rsid w:val="00473572"/>
    <w:rsid w:val="004739F3"/>
    <w:rsid w:val="00474E22"/>
    <w:rsid w:val="0047608F"/>
    <w:rsid w:val="00476257"/>
    <w:rsid w:val="00476554"/>
    <w:rsid w:val="00480B05"/>
    <w:rsid w:val="00480E78"/>
    <w:rsid w:val="004813D4"/>
    <w:rsid w:val="004829B1"/>
    <w:rsid w:val="00484385"/>
    <w:rsid w:val="00484FC3"/>
    <w:rsid w:val="00485883"/>
    <w:rsid w:val="0048669C"/>
    <w:rsid w:val="00486AC9"/>
    <w:rsid w:val="00486BCB"/>
    <w:rsid w:val="0048765B"/>
    <w:rsid w:val="004876ED"/>
    <w:rsid w:val="00487F87"/>
    <w:rsid w:val="0049022A"/>
    <w:rsid w:val="00491D91"/>
    <w:rsid w:val="004931C7"/>
    <w:rsid w:val="004933B7"/>
    <w:rsid w:val="00494037"/>
    <w:rsid w:val="004953D6"/>
    <w:rsid w:val="0049580C"/>
    <w:rsid w:val="004958A9"/>
    <w:rsid w:val="004958DC"/>
    <w:rsid w:val="00495FBA"/>
    <w:rsid w:val="004967BD"/>
    <w:rsid w:val="004967DF"/>
    <w:rsid w:val="00496CE1"/>
    <w:rsid w:val="004971A7"/>
    <w:rsid w:val="0049768F"/>
    <w:rsid w:val="004A02BE"/>
    <w:rsid w:val="004A04E5"/>
    <w:rsid w:val="004A1495"/>
    <w:rsid w:val="004A2165"/>
    <w:rsid w:val="004A30F6"/>
    <w:rsid w:val="004A3359"/>
    <w:rsid w:val="004A4259"/>
    <w:rsid w:val="004A468E"/>
    <w:rsid w:val="004A513C"/>
    <w:rsid w:val="004A58F3"/>
    <w:rsid w:val="004A5F74"/>
    <w:rsid w:val="004A6232"/>
    <w:rsid w:val="004A6F61"/>
    <w:rsid w:val="004B007C"/>
    <w:rsid w:val="004B0512"/>
    <w:rsid w:val="004B07B9"/>
    <w:rsid w:val="004B1052"/>
    <w:rsid w:val="004B2482"/>
    <w:rsid w:val="004B36C2"/>
    <w:rsid w:val="004B3C0A"/>
    <w:rsid w:val="004B451A"/>
    <w:rsid w:val="004B5933"/>
    <w:rsid w:val="004B5C11"/>
    <w:rsid w:val="004B6B14"/>
    <w:rsid w:val="004C27B7"/>
    <w:rsid w:val="004C2DD9"/>
    <w:rsid w:val="004C31DE"/>
    <w:rsid w:val="004C39BC"/>
    <w:rsid w:val="004C3B68"/>
    <w:rsid w:val="004C4BD9"/>
    <w:rsid w:val="004C5C21"/>
    <w:rsid w:val="004C6074"/>
    <w:rsid w:val="004C60FC"/>
    <w:rsid w:val="004C7594"/>
    <w:rsid w:val="004C7B3D"/>
    <w:rsid w:val="004D0C36"/>
    <w:rsid w:val="004D1405"/>
    <w:rsid w:val="004D2313"/>
    <w:rsid w:val="004D3993"/>
    <w:rsid w:val="004D43D6"/>
    <w:rsid w:val="004D5CFF"/>
    <w:rsid w:val="004E1189"/>
    <w:rsid w:val="004E384C"/>
    <w:rsid w:val="004E41CC"/>
    <w:rsid w:val="004E47EC"/>
    <w:rsid w:val="004E49C4"/>
    <w:rsid w:val="004E514F"/>
    <w:rsid w:val="004E53D2"/>
    <w:rsid w:val="004E6F97"/>
    <w:rsid w:val="004E737F"/>
    <w:rsid w:val="004E7474"/>
    <w:rsid w:val="004F03DE"/>
    <w:rsid w:val="004F0E91"/>
    <w:rsid w:val="004F0FE4"/>
    <w:rsid w:val="004F1F43"/>
    <w:rsid w:val="004F218A"/>
    <w:rsid w:val="004F21E9"/>
    <w:rsid w:val="004F22DA"/>
    <w:rsid w:val="004F2AE4"/>
    <w:rsid w:val="004F450D"/>
    <w:rsid w:val="004F7658"/>
    <w:rsid w:val="0050156D"/>
    <w:rsid w:val="00502165"/>
    <w:rsid w:val="00502533"/>
    <w:rsid w:val="00502DCF"/>
    <w:rsid w:val="00504379"/>
    <w:rsid w:val="005043A4"/>
    <w:rsid w:val="00504834"/>
    <w:rsid w:val="00504C7A"/>
    <w:rsid w:val="005054B9"/>
    <w:rsid w:val="005059D5"/>
    <w:rsid w:val="00505AEE"/>
    <w:rsid w:val="0050632E"/>
    <w:rsid w:val="005064EC"/>
    <w:rsid w:val="00506D84"/>
    <w:rsid w:val="0050752D"/>
    <w:rsid w:val="00510BA0"/>
    <w:rsid w:val="00511C9F"/>
    <w:rsid w:val="00511EF3"/>
    <w:rsid w:val="0051386E"/>
    <w:rsid w:val="00514507"/>
    <w:rsid w:val="00514643"/>
    <w:rsid w:val="0051475B"/>
    <w:rsid w:val="00514A16"/>
    <w:rsid w:val="00514DF2"/>
    <w:rsid w:val="00515108"/>
    <w:rsid w:val="00515967"/>
    <w:rsid w:val="00515B78"/>
    <w:rsid w:val="00516C4F"/>
    <w:rsid w:val="005173B3"/>
    <w:rsid w:val="005207E2"/>
    <w:rsid w:val="00520F2F"/>
    <w:rsid w:val="00521350"/>
    <w:rsid w:val="0052235D"/>
    <w:rsid w:val="00524704"/>
    <w:rsid w:val="0052514F"/>
    <w:rsid w:val="00525549"/>
    <w:rsid w:val="00525567"/>
    <w:rsid w:val="00525D5D"/>
    <w:rsid w:val="0052690E"/>
    <w:rsid w:val="00530C3A"/>
    <w:rsid w:val="00530E8D"/>
    <w:rsid w:val="0053186F"/>
    <w:rsid w:val="00531D0F"/>
    <w:rsid w:val="005351B9"/>
    <w:rsid w:val="00535C42"/>
    <w:rsid w:val="00536011"/>
    <w:rsid w:val="00540506"/>
    <w:rsid w:val="00540CB5"/>
    <w:rsid w:val="005425E5"/>
    <w:rsid w:val="005428B2"/>
    <w:rsid w:val="00543546"/>
    <w:rsid w:val="00544EBF"/>
    <w:rsid w:val="005460B0"/>
    <w:rsid w:val="00546973"/>
    <w:rsid w:val="00547554"/>
    <w:rsid w:val="00547BEA"/>
    <w:rsid w:val="00550B79"/>
    <w:rsid w:val="00550CC8"/>
    <w:rsid w:val="0055150B"/>
    <w:rsid w:val="0055152B"/>
    <w:rsid w:val="0055234F"/>
    <w:rsid w:val="005532F9"/>
    <w:rsid w:val="0055440B"/>
    <w:rsid w:val="00554F4C"/>
    <w:rsid w:val="005557B3"/>
    <w:rsid w:val="005558D1"/>
    <w:rsid w:val="0055708D"/>
    <w:rsid w:val="00560083"/>
    <w:rsid w:val="005606BE"/>
    <w:rsid w:val="00561CA6"/>
    <w:rsid w:val="00564565"/>
    <w:rsid w:val="005647BE"/>
    <w:rsid w:val="00565CE4"/>
    <w:rsid w:val="00565EC2"/>
    <w:rsid w:val="00566093"/>
    <w:rsid w:val="00566299"/>
    <w:rsid w:val="0056652D"/>
    <w:rsid w:val="00566CA8"/>
    <w:rsid w:val="00567661"/>
    <w:rsid w:val="00570813"/>
    <w:rsid w:val="005711A7"/>
    <w:rsid w:val="00571651"/>
    <w:rsid w:val="005719A3"/>
    <w:rsid w:val="00571DA5"/>
    <w:rsid w:val="005725F6"/>
    <w:rsid w:val="00572BAA"/>
    <w:rsid w:val="00573F90"/>
    <w:rsid w:val="005751AA"/>
    <w:rsid w:val="0057643F"/>
    <w:rsid w:val="00576814"/>
    <w:rsid w:val="0057699D"/>
    <w:rsid w:val="00580324"/>
    <w:rsid w:val="005807C9"/>
    <w:rsid w:val="00580F43"/>
    <w:rsid w:val="00581B9D"/>
    <w:rsid w:val="00581BCD"/>
    <w:rsid w:val="00583108"/>
    <w:rsid w:val="005837BF"/>
    <w:rsid w:val="00583A63"/>
    <w:rsid w:val="00585EDB"/>
    <w:rsid w:val="00586817"/>
    <w:rsid w:val="00586D92"/>
    <w:rsid w:val="00586FCD"/>
    <w:rsid w:val="00587507"/>
    <w:rsid w:val="00590CDD"/>
    <w:rsid w:val="005964C0"/>
    <w:rsid w:val="005968A9"/>
    <w:rsid w:val="00596A0B"/>
    <w:rsid w:val="00596E05"/>
    <w:rsid w:val="00596F85"/>
    <w:rsid w:val="005970FA"/>
    <w:rsid w:val="005A0176"/>
    <w:rsid w:val="005A088E"/>
    <w:rsid w:val="005A18C9"/>
    <w:rsid w:val="005A2298"/>
    <w:rsid w:val="005A24C0"/>
    <w:rsid w:val="005A28C1"/>
    <w:rsid w:val="005A2BE2"/>
    <w:rsid w:val="005A3BAB"/>
    <w:rsid w:val="005A72FC"/>
    <w:rsid w:val="005A7ABF"/>
    <w:rsid w:val="005A7BA0"/>
    <w:rsid w:val="005B0388"/>
    <w:rsid w:val="005B06C5"/>
    <w:rsid w:val="005B109A"/>
    <w:rsid w:val="005B44C8"/>
    <w:rsid w:val="005B5DE5"/>
    <w:rsid w:val="005B69B9"/>
    <w:rsid w:val="005B6B2A"/>
    <w:rsid w:val="005B70BF"/>
    <w:rsid w:val="005C05AB"/>
    <w:rsid w:val="005C1F79"/>
    <w:rsid w:val="005C2FD5"/>
    <w:rsid w:val="005C3179"/>
    <w:rsid w:val="005C44B5"/>
    <w:rsid w:val="005C5378"/>
    <w:rsid w:val="005C68F6"/>
    <w:rsid w:val="005C7080"/>
    <w:rsid w:val="005D1B37"/>
    <w:rsid w:val="005D1DF4"/>
    <w:rsid w:val="005D2785"/>
    <w:rsid w:val="005D2AB9"/>
    <w:rsid w:val="005D34E2"/>
    <w:rsid w:val="005D460F"/>
    <w:rsid w:val="005D4740"/>
    <w:rsid w:val="005D496E"/>
    <w:rsid w:val="005D4EE4"/>
    <w:rsid w:val="005D6C0B"/>
    <w:rsid w:val="005D76CF"/>
    <w:rsid w:val="005D792A"/>
    <w:rsid w:val="005D7C20"/>
    <w:rsid w:val="005E1256"/>
    <w:rsid w:val="005E2B16"/>
    <w:rsid w:val="005E3F62"/>
    <w:rsid w:val="005E4DCC"/>
    <w:rsid w:val="005E62F7"/>
    <w:rsid w:val="005E6960"/>
    <w:rsid w:val="005E72EC"/>
    <w:rsid w:val="005E7902"/>
    <w:rsid w:val="005E7EB8"/>
    <w:rsid w:val="005F0FA9"/>
    <w:rsid w:val="005F1343"/>
    <w:rsid w:val="005F18D6"/>
    <w:rsid w:val="005F337A"/>
    <w:rsid w:val="005F484D"/>
    <w:rsid w:val="005F5846"/>
    <w:rsid w:val="005F5F17"/>
    <w:rsid w:val="005F6D5E"/>
    <w:rsid w:val="005F7927"/>
    <w:rsid w:val="005F7B27"/>
    <w:rsid w:val="0060024E"/>
    <w:rsid w:val="0060038C"/>
    <w:rsid w:val="00600985"/>
    <w:rsid w:val="00600FC6"/>
    <w:rsid w:val="00601E83"/>
    <w:rsid w:val="00602089"/>
    <w:rsid w:val="00602E55"/>
    <w:rsid w:val="00603024"/>
    <w:rsid w:val="006032BC"/>
    <w:rsid w:val="006049BC"/>
    <w:rsid w:val="00604AD1"/>
    <w:rsid w:val="006052DD"/>
    <w:rsid w:val="00606B4A"/>
    <w:rsid w:val="006077AB"/>
    <w:rsid w:val="00610F97"/>
    <w:rsid w:val="006112A9"/>
    <w:rsid w:val="006116E3"/>
    <w:rsid w:val="00612064"/>
    <w:rsid w:val="00613994"/>
    <w:rsid w:val="006157EA"/>
    <w:rsid w:val="00615C98"/>
    <w:rsid w:val="00617572"/>
    <w:rsid w:val="006201D2"/>
    <w:rsid w:val="00620F36"/>
    <w:rsid w:val="006219DE"/>
    <w:rsid w:val="006232F9"/>
    <w:rsid w:val="00623DBF"/>
    <w:rsid w:val="0062424F"/>
    <w:rsid w:val="00624400"/>
    <w:rsid w:val="00624E0A"/>
    <w:rsid w:val="00624E51"/>
    <w:rsid w:val="00625B3D"/>
    <w:rsid w:val="00625FD8"/>
    <w:rsid w:val="00626162"/>
    <w:rsid w:val="00627981"/>
    <w:rsid w:val="006302A8"/>
    <w:rsid w:val="00631A4F"/>
    <w:rsid w:val="006328A7"/>
    <w:rsid w:val="006337FA"/>
    <w:rsid w:val="00634719"/>
    <w:rsid w:val="006355C7"/>
    <w:rsid w:val="00636A5D"/>
    <w:rsid w:val="006373F9"/>
    <w:rsid w:val="00637AA3"/>
    <w:rsid w:val="00641720"/>
    <w:rsid w:val="00642F36"/>
    <w:rsid w:val="00643FD2"/>
    <w:rsid w:val="00644ED2"/>
    <w:rsid w:val="00646E7E"/>
    <w:rsid w:val="00647FF5"/>
    <w:rsid w:val="006503E8"/>
    <w:rsid w:val="006547E9"/>
    <w:rsid w:val="00654A4A"/>
    <w:rsid w:val="0065545A"/>
    <w:rsid w:val="00655657"/>
    <w:rsid w:val="006556A7"/>
    <w:rsid w:val="00656A77"/>
    <w:rsid w:val="00657A21"/>
    <w:rsid w:val="00660690"/>
    <w:rsid w:val="0066122B"/>
    <w:rsid w:val="0066142E"/>
    <w:rsid w:val="0066175C"/>
    <w:rsid w:val="00662597"/>
    <w:rsid w:val="006626F6"/>
    <w:rsid w:val="00662F39"/>
    <w:rsid w:val="00663867"/>
    <w:rsid w:val="00666038"/>
    <w:rsid w:val="006661CF"/>
    <w:rsid w:val="00667ED3"/>
    <w:rsid w:val="00670BFD"/>
    <w:rsid w:val="00671E4C"/>
    <w:rsid w:val="00672185"/>
    <w:rsid w:val="00672B22"/>
    <w:rsid w:val="00674295"/>
    <w:rsid w:val="00674537"/>
    <w:rsid w:val="0067520D"/>
    <w:rsid w:val="00676343"/>
    <w:rsid w:val="0067681E"/>
    <w:rsid w:val="0067742F"/>
    <w:rsid w:val="00677E7E"/>
    <w:rsid w:val="006818A8"/>
    <w:rsid w:val="00681A51"/>
    <w:rsid w:val="00682469"/>
    <w:rsid w:val="00682987"/>
    <w:rsid w:val="00683266"/>
    <w:rsid w:val="00683D97"/>
    <w:rsid w:val="00684FCA"/>
    <w:rsid w:val="00685105"/>
    <w:rsid w:val="00686153"/>
    <w:rsid w:val="00686A01"/>
    <w:rsid w:val="00686B5C"/>
    <w:rsid w:val="00686D29"/>
    <w:rsid w:val="006879DE"/>
    <w:rsid w:val="00687E77"/>
    <w:rsid w:val="00691C00"/>
    <w:rsid w:val="0069209C"/>
    <w:rsid w:val="00692921"/>
    <w:rsid w:val="006929F2"/>
    <w:rsid w:val="00693143"/>
    <w:rsid w:val="006944EE"/>
    <w:rsid w:val="00695410"/>
    <w:rsid w:val="006959BD"/>
    <w:rsid w:val="006962FB"/>
    <w:rsid w:val="00696997"/>
    <w:rsid w:val="006A148D"/>
    <w:rsid w:val="006A224F"/>
    <w:rsid w:val="006A2AF6"/>
    <w:rsid w:val="006A3A32"/>
    <w:rsid w:val="006A545D"/>
    <w:rsid w:val="006A6460"/>
    <w:rsid w:val="006A6537"/>
    <w:rsid w:val="006A6926"/>
    <w:rsid w:val="006A69C2"/>
    <w:rsid w:val="006A758C"/>
    <w:rsid w:val="006B01AA"/>
    <w:rsid w:val="006B01EF"/>
    <w:rsid w:val="006B03DA"/>
    <w:rsid w:val="006B0FD8"/>
    <w:rsid w:val="006B22C2"/>
    <w:rsid w:val="006B27B2"/>
    <w:rsid w:val="006B2A4C"/>
    <w:rsid w:val="006B346F"/>
    <w:rsid w:val="006B36AD"/>
    <w:rsid w:val="006B4DB4"/>
    <w:rsid w:val="006B5038"/>
    <w:rsid w:val="006C170D"/>
    <w:rsid w:val="006C1EEC"/>
    <w:rsid w:val="006C256E"/>
    <w:rsid w:val="006C27DE"/>
    <w:rsid w:val="006C30C5"/>
    <w:rsid w:val="006C3CB9"/>
    <w:rsid w:val="006C3F75"/>
    <w:rsid w:val="006C3FEA"/>
    <w:rsid w:val="006C4A20"/>
    <w:rsid w:val="006C69E7"/>
    <w:rsid w:val="006C6A7A"/>
    <w:rsid w:val="006C7201"/>
    <w:rsid w:val="006D0913"/>
    <w:rsid w:val="006D10AE"/>
    <w:rsid w:val="006D29F2"/>
    <w:rsid w:val="006D3EB8"/>
    <w:rsid w:val="006D4102"/>
    <w:rsid w:val="006D6793"/>
    <w:rsid w:val="006D67A3"/>
    <w:rsid w:val="006D7180"/>
    <w:rsid w:val="006D7CA2"/>
    <w:rsid w:val="006E018F"/>
    <w:rsid w:val="006E03E3"/>
    <w:rsid w:val="006E065B"/>
    <w:rsid w:val="006E09D3"/>
    <w:rsid w:val="006E1204"/>
    <w:rsid w:val="006E1E68"/>
    <w:rsid w:val="006E1E6C"/>
    <w:rsid w:val="006E1FDD"/>
    <w:rsid w:val="006E39DD"/>
    <w:rsid w:val="006E4254"/>
    <w:rsid w:val="006E4DFB"/>
    <w:rsid w:val="006E5505"/>
    <w:rsid w:val="006E682B"/>
    <w:rsid w:val="006F0A5C"/>
    <w:rsid w:val="006F0AAA"/>
    <w:rsid w:val="006F2113"/>
    <w:rsid w:val="006F240A"/>
    <w:rsid w:val="006F2FB3"/>
    <w:rsid w:val="006F3DA9"/>
    <w:rsid w:val="006F4D3B"/>
    <w:rsid w:val="006F531B"/>
    <w:rsid w:val="006F560B"/>
    <w:rsid w:val="006F5C2A"/>
    <w:rsid w:val="006F5D5F"/>
    <w:rsid w:val="006F6098"/>
    <w:rsid w:val="006F62BC"/>
    <w:rsid w:val="007003F1"/>
    <w:rsid w:val="00700691"/>
    <w:rsid w:val="00701370"/>
    <w:rsid w:val="0070142E"/>
    <w:rsid w:val="0070177F"/>
    <w:rsid w:val="00702493"/>
    <w:rsid w:val="007030F4"/>
    <w:rsid w:val="0070314C"/>
    <w:rsid w:val="007040DD"/>
    <w:rsid w:val="00704A9B"/>
    <w:rsid w:val="00705DC3"/>
    <w:rsid w:val="00706F91"/>
    <w:rsid w:val="007106A5"/>
    <w:rsid w:val="00710851"/>
    <w:rsid w:val="00711B45"/>
    <w:rsid w:val="00711FD5"/>
    <w:rsid w:val="0071266F"/>
    <w:rsid w:val="007128FA"/>
    <w:rsid w:val="00712BDE"/>
    <w:rsid w:val="00713192"/>
    <w:rsid w:val="007147BB"/>
    <w:rsid w:val="00714850"/>
    <w:rsid w:val="00714F3B"/>
    <w:rsid w:val="00715FA6"/>
    <w:rsid w:val="007166F7"/>
    <w:rsid w:val="00716AEF"/>
    <w:rsid w:val="00717076"/>
    <w:rsid w:val="00717296"/>
    <w:rsid w:val="00720787"/>
    <w:rsid w:val="007218A4"/>
    <w:rsid w:val="00721C4A"/>
    <w:rsid w:val="00723D01"/>
    <w:rsid w:val="00723FB6"/>
    <w:rsid w:val="007240AA"/>
    <w:rsid w:val="00726755"/>
    <w:rsid w:val="00727370"/>
    <w:rsid w:val="00727B14"/>
    <w:rsid w:val="0073082C"/>
    <w:rsid w:val="00731C37"/>
    <w:rsid w:val="00731D84"/>
    <w:rsid w:val="00732CCF"/>
    <w:rsid w:val="00732FDC"/>
    <w:rsid w:val="007344D9"/>
    <w:rsid w:val="00734B77"/>
    <w:rsid w:val="0073532A"/>
    <w:rsid w:val="00735D9E"/>
    <w:rsid w:val="007363B0"/>
    <w:rsid w:val="007363ED"/>
    <w:rsid w:val="00736611"/>
    <w:rsid w:val="00737CAB"/>
    <w:rsid w:val="0074109C"/>
    <w:rsid w:val="00741A96"/>
    <w:rsid w:val="00742046"/>
    <w:rsid w:val="00742335"/>
    <w:rsid w:val="00742484"/>
    <w:rsid w:val="00742842"/>
    <w:rsid w:val="00743852"/>
    <w:rsid w:val="00743CB3"/>
    <w:rsid w:val="00743EE5"/>
    <w:rsid w:val="00744458"/>
    <w:rsid w:val="00744945"/>
    <w:rsid w:val="00744C5C"/>
    <w:rsid w:val="00746152"/>
    <w:rsid w:val="00752ACA"/>
    <w:rsid w:val="00752C4C"/>
    <w:rsid w:val="00752EED"/>
    <w:rsid w:val="00752F4C"/>
    <w:rsid w:val="00753376"/>
    <w:rsid w:val="00753AA8"/>
    <w:rsid w:val="007543B0"/>
    <w:rsid w:val="007547C7"/>
    <w:rsid w:val="0075490B"/>
    <w:rsid w:val="00756643"/>
    <w:rsid w:val="007568A9"/>
    <w:rsid w:val="0076016B"/>
    <w:rsid w:val="00761514"/>
    <w:rsid w:val="00761C2E"/>
    <w:rsid w:val="00763CE7"/>
    <w:rsid w:val="00764ED1"/>
    <w:rsid w:val="007655D8"/>
    <w:rsid w:val="00766571"/>
    <w:rsid w:val="0076706A"/>
    <w:rsid w:val="00767DC2"/>
    <w:rsid w:val="00767E00"/>
    <w:rsid w:val="00767F3E"/>
    <w:rsid w:val="00770A31"/>
    <w:rsid w:val="0077128B"/>
    <w:rsid w:val="007718C7"/>
    <w:rsid w:val="00772177"/>
    <w:rsid w:val="00774B52"/>
    <w:rsid w:val="00774DFD"/>
    <w:rsid w:val="0077556F"/>
    <w:rsid w:val="007756C7"/>
    <w:rsid w:val="007757D2"/>
    <w:rsid w:val="00775C65"/>
    <w:rsid w:val="00775E60"/>
    <w:rsid w:val="00776153"/>
    <w:rsid w:val="0077639A"/>
    <w:rsid w:val="00777AD1"/>
    <w:rsid w:val="0078100C"/>
    <w:rsid w:val="007813E1"/>
    <w:rsid w:val="00781571"/>
    <w:rsid w:val="0078157F"/>
    <w:rsid w:val="00781F1A"/>
    <w:rsid w:val="00782EDE"/>
    <w:rsid w:val="007860E9"/>
    <w:rsid w:val="00786F48"/>
    <w:rsid w:val="0078772C"/>
    <w:rsid w:val="007878E4"/>
    <w:rsid w:val="0079298B"/>
    <w:rsid w:val="00793078"/>
    <w:rsid w:val="007941A7"/>
    <w:rsid w:val="00794449"/>
    <w:rsid w:val="00794BE3"/>
    <w:rsid w:val="00795376"/>
    <w:rsid w:val="00795483"/>
    <w:rsid w:val="007963BD"/>
    <w:rsid w:val="007A0769"/>
    <w:rsid w:val="007A38ED"/>
    <w:rsid w:val="007A3B16"/>
    <w:rsid w:val="007A4783"/>
    <w:rsid w:val="007A5191"/>
    <w:rsid w:val="007A71F5"/>
    <w:rsid w:val="007A7980"/>
    <w:rsid w:val="007A7CDE"/>
    <w:rsid w:val="007B0500"/>
    <w:rsid w:val="007B0E81"/>
    <w:rsid w:val="007B111B"/>
    <w:rsid w:val="007B2448"/>
    <w:rsid w:val="007B3AE8"/>
    <w:rsid w:val="007B4418"/>
    <w:rsid w:val="007B4E48"/>
    <w:rsid w:val="007B5F19"/>
    <w:rsid w:val="007B5F62"/>
    <w:rsid w:val="007B66B3"/>
    <w:rsid w:val="007B6A4F"/>
    <w:rsid w:val="007B7077"/>
    <w:rsid w:val="007B7705"/>
    <w:rsid w:val="007B7A3A"/>
    <w:rsid w:val="007B7FB7"/>
    <w:rsid w:val="007C03CE"/>
    <w:rsid w:val="007C0887"/>
    <w:rsid w:val="007C1FBE"/>
    <w:rsid w:val="007C3003"/>
    <w:rsid w:val="007C3633"/>
    <w:rsid w:val="007C455B"/>
    <w:rsid w:val="007C46EC"/>
    <w:rsid w:val="007C49AE"/>
    <w:rsid w:val="007C698C"/>
    <w:rsid w:val="007C6B60"/>
    <w:rsid w:val="007C6F85"/>
    <w:rsid w:val="007C7156"/>
    <w:rsid w:val="007C7849"/>
    <w:rsid w:val="007C7D9A"/>
    <w:rsid w:val="007D054B"/>
    <w:rsid w:val="007D1348"/>
    <w:rsid w:val="007D162A"/>
    <w:rsid w:val="007D265E"/>
    <w:rsid w:val="007D2974"/>
    <w:rsid w:val="007D300D"/>
    <w:rsid w:val="007D3AA0"/>
    <w:rsid w:val="007D3FE2"/>
    <w:rsid w:val="007D4214"/>
    <w:rsid w:val="007D5690"/>
    <w:rsid w:val="007D5722"/>
    <w:rsid w:val="007D69FA"/>
    <w:rsid w:val="007E0A30"/>
    <w:rsid w:val="007E0A3C"/>
    <w:rsid w:val="007E1600"/>
    <w:rsid w:val="007E6311"/>
    <w:rsid w:val="007E6392"/>
    <w:rsid w:val="007E6F8C"/>
    <w:rsid w:val="007F162C"/>
    <w:rsid w:val="007F3759"/>
    <w:rsid w:val="007F4AED"/>
    <w:rsid w:val="007F61BC"/>
    <w:rsid w:val="007F7833"/>
    <w:rsid w:val="008009F2"/>
    <w:rsid w:val="00802078"/>
    <w:rsid w:val="008024D4"/>
    <w:rsid w:val="008024FA"/>
    <w:rsid w:val="00804BC5"/>
    <w:rsid w:val="008058DC"/>
    <w:rsid w:val="00806A36"/>
    <w:rsid w:val="008070E1"/>
    <w:rsid w:val="00810603"/>
    <w:rsid w:val="008110CA"/>
    <w:rsid w:val="0081139F"/>
    <w:rsid w:val="00811665"/>
    <w:rsid w:val="00811AEB"/>
    <w:rsid w:val="00812E13"/>
    <w:rsid w:val="008130DB"/>
    <w:rsid w:val="008134F7"/>
    <w:rsid w:val="00814283"/>
    <w:rsid w:val="0081460C"/>
    <w:rsid w:val="00814AAE"/>
    <w:rsid w:val="0081629F"/>
    <w:rsid w:val="0081675B"/>
    <w:rsid w:val="00817781"/>
    <w:rsid w:val="00820209"/>
    <w:rsid w:val="00820F35"/>
    <w:rsid w:val="00820FEC"/>
    <w:rsid w:val="008219B5"/>
    <w:rsid w:val="00821F72"/>
    <w:rsid w:val="0082393D"/>
    <w:rsid w:val="008240F3"/>
    <w:rsid w:val="00825CDC"/>
    <w:rsid w:val="00827091"/>
    <w:rsid w:val="00827CE5"/>
    <w:rsid w:val="008314A0"/>
    <w:rsid w:val="0083324D"/>
    <w:rsid w:val="00836448"/>
    <w:rsid w:val="00837061"/>
    <w:rsid w:val="00841733"/>
    <w:rsid w:val="0084270A"/>
    <w:rsid w:val="0084278E"/>
    <w:rsid w:val="00842FA6"/>
    <w:rsid w:val="008431FD"/>
    <w:rsid w:val="008448AD"/>
    <w:rsid w:val="00844D38"/>
    <w:rsid w:val="00844D85"/>
    <w:rsid w:val="008454BC"/>
    <w:rsid w:val="00846B06"/>
    <w:rsid w:val="00846D0D"/>
    <w:rsid w:val="00846E83"/>
    <w:rsid w:val="00847AB0"/>
    <w:rsid w:val="00850436"/>
    <w:rsid w:val="008510E5"/>
    <w:rsid w:val="0085198F"/>
    <w:rsid w:val="0085213C"/>
    <w:rsid w:val="00852270"/>
    <w:rsid w:val="008524BE"/>
    <w:rsid w:val="00853632"/>
    <w:rsid w:val="00853BC2"/>
    <w:rsid w:val="0085402A"/>
    <w:rsid w:val="00854278"/>
    <w:rsid w:val="00855489"/>
    <w:rsid w:val="00856063"/>
    <w:rsid w:val="00856B6C"/>
    <w:rsid w:val="0085709E"/>
    <w:rsid w:val="00857172"/>
    <w:rsid w:val="00857C2C"/>
    <w:rsid w:val="0086236A"/>
    <w:rsid w:val="008658D8"/>
    <w:rsid w:val="00866675"/>
    <w:rsid w:val="00866C21"/>
    <w:rsid w:val="00867689"/>
    <w:rsid w:val="00867DB3"/>
    <w:rsid w:val="008702E4"/>
    <w:rsid w:val="0087035A"/>
    <w:rsid w:val="0087282C"/>
    <w:rsid w:val="00872B70"/>
    <w:rsid w:val="0087347D"/>
    <w:rsid w:val="00874B71"/>
    <w:rsid w:val="0087694B"/>
    <w:rsid w:val="00876EE1"/>
    <w:rsid w:val="0087708E"/>
    <w:rsid w:val="00881673"/>
    <w:rsid w:val="00881769"/>
    <w:rsid w:val="00882A4F"/>
    <w:rsid w:val="00882DAD"/>
    <w:rsid w:val="00883D29"/>
    <w:rsid w:val="008841A2"/>
    <w:rsid w:val="00884AD9"/>
    <w:rsid w:val="00885263"/>
    <w:rsid w:val="008855BB"/>
    <w:rsid w:val="00886CC3"/>
    <w:rsid w:val="00887324"/>
    <w:rsid w:val="008877BC"/>
    <w:rsid w:val="00887E5C"/>
    <w:rsid w:val="00887EBA"/>
    <w:rsid w:val="0089022F"/>
    <w:rsid w:val="00890B02"/>
    <w:rsid w:val="00890B4E"/>
    <w:rsid w:val="00890B75"/>
    <w:rsid w:val="008912A8"/>
    <w:rsid w:val="00891EF0"/>
    <w:rsid w:val="00892DA5"/>
    <w:rsid w:val="008949B1"/>
    <w:rsid w:val="00896015"/>
    <w:rsid w:val="0089713E"/>
    <w:rsid w:val="008974F2"/>
    <w:rsid w:val="00897F0B"/>
    <w:rsid w:val="008A10F3"/>
    <w:rsid w:val="008A3E20"/>
    <w:rsid w:val="008A4D16"/>
    <w:rsid w:val="008A4DF6"/>
    <w:rsid w:val="008A51FF"/>
    <w:rsid w:val="008A5C0F"/>
    <w:rsid w:val="008A665B"/>
    <w:rsid w:val="008B0751"/>
    <w:rsid w:val="008B0E22"/>
    <w:rsid w:val="008B1596"/>
    <w:rsid w:val="008B2296"/>
    <w:rsid w:val="008B2346"/>
    <w:rsid w:val="008B2AF6"/>
    <w:rsid w:val="008B2EFF"/>
    <w:rsid w:val="008B3101"/>
    <w:rsid w:val="008B3CB2"/>
    <w:rsid w:val="008B75E0"/>
    <w:rsid w:val="008B7993"/>
    <w:rsid w:val="008C09C4"/>
    <w:rsid w:val="008C0A94"/>
    <w:rsid w:val="008C0CA0"/>
    <w:rsid w:val="008C179D"/>
    <w:rsid w:val="008C1F44"/>
    <w:rsid w:val="008C2DFA"/>
    <w:rsid w:val="008C3B1B"/>
    <w:rsid w:val="008C3EA6"/>
    <w:rsid w:val="008C4099"/>
    <w:rsid w:val="008C572F"/>
    <w:rsid w:val="008C6018"/>
    <w:rsid w:val="008C646F"/>
    <w:rsid w:val="008C68E3"/>
    <w:rsid w:val="008D20D0"/>
    <w:rsid w:val="008D28A5"/>
    <w:rsid w:val="008D3071"/>
    <w:rsid w:val="008D3B80"/>
    <w:rsid w:val="008D592F"/>
    <w:rsid w:val="008D75D6"/>
    <w:rsid w:val="008D77D6"/>
    <w:rsid w:val="008D7F20"/>
    <w:rsid w:val="008E2168"/>
    <w:rsid w:val="008E3877"/>
    <w:rsid w:val="008E3E4B"/>
    <w:rsid w:val="008E4EF9"/>
    <w:rsid w:val="008E5E3C"/>
    <w:rsid w:val="008E68A1"/>
    <w:rsid w:val="008E6DFC"/>
    <w:rsid w:val="008E7710"/>
    <w:rsid w:val="008E7F6C"/>
    <w:rsid w:val="008F23B1"/>
    <w:rsid w:val="008F2510"/>
    <w:rsid w:val="008F2A81"/>
    <w:rsid w:val="008F3A44"/>
    <w:rsid w:val="008F3E68"/>
    <w:rsid w:val="008F456E"/>
    <w:rsid w:val="008F5185"/>
    <w:rsid w:val="008F5D4A"/>
    <w:rsid w:val="008F63CA"/>
    <w:rsid w:val="008F6F84"/>
    <w:rsid w:val="008F7869"/>
    <w:rsid w:val="008F78A8"/>
    <w:rsid w:val="009002A5"/>
    <w:rsid w:val="00900833"/>
    <w:rsid w:val="00900D4D"/>
    <w:rsid w:val="00900D70"/>
    <w:rsid w:val="009015BA"/>
    <w:rsid w:val="009029C6"/>
    <w:rsid w:val="009036EF"/>
    <w:rsid w:val="0090388D"/>
    <w:rsid w:val="00903F34"/>
    <w:rsid w:val="0090441A"/>
    <w:rsid w:val="00904BA2"/>
    <w:rsid w:val="00905C0A"/>
    <w:rsid w:val="009067BB"/>
    <w:rsid w:val="00907FF7"/>
    <w:rsid w:val="009101CB"/>
    <w:rsid w:val="009108BF"/>
    <w:rsid w:val="00911BC6"/>
    <w:rsid w:val="009122F8"/>
    <w:rsid w:val="00912B2B"/>
    <w:rsid w:val="0091371B"/>
    <w:rsid w:val="00914430"/>
    <w:rsid w:val="00915520"/>
    <w:rsid w:val="009155F7"/>
    <w:rsid w:val="00915BD9"/>
    <w:rsid w:val="00916FA1"/>
    <w:rsid w:val="009200B0"/>
    <w:rsid w:val="00921131"/>
    <w:rsid w:val="0092195B"/>
    <w:rsid w:val="00922921"/>
    <w:rsid w:val="00922DED"/>
    <w:rsid w:val="00923DEF"/>
    <w:rsid w:val="0092401F"/>
    <w:rsid w:val="00924213"/>
    <w:rsid w:val="009245E0"/>
    <w:rsid w:val="009247F5"/>
    <w:rsid w:val="0092637C"/>
    <w:rsid w:val="00926AB2"/>
    <w:rsid w:val="009279B1"/>
    <w:rsid w:val="00927B0F"/>
    <w:rsid w:val="0093290E"/>
    <w:rsid w:val="00932EC9"/>
    <w:rsid w:val="00933A67"/>
    <w:rsid w:val="009349D2"/>
    <w:rsid w:val="009354A9"/>
    <w:rsid w:val="009356E6"/>
    <w:rsid w:val="00936055"/>
    <w:rsid w:val="00936412"/>
    <w:rsid w:val="0093660D"/>
    <w:rsid w:val="00936A23"/>
    <w:rsid w:val="009407FE"/>
    <w:rsid w:val="00940BD4"/>
    <w:rsid w:val="009419FA"/>
    <w:rsid w:val="009421FA"/>
    <w:rsid w:val="00942436"/>
    <w:rsid w:val="009448AF"/>
    <w:rsid w:val="009459DD"/>
    <w:rsid w:val="0094793D"/>
    <w:rsid w:val="009550CD"/>
    <w:rsid w:val="0095716F"/>
    <w:rsid w:val="00957269"/>
    <w:rsid w:val="00957603"/>
    <w:rsid w:val="00957A1D"/>
    <w:rsid w:val="00960DF9"/>
    <w:rsid w:val="00961A29"/>
    <w:rsid w:val="00964535"/>
    <w:rsid w:val="0096487B"/>
    <w:rsid w:val="0096609D"/>
    <w:rsid w:val="009667F7"/>
    <w:rsid w:val="00966F33"/>
    <w:rsid w:val="0097038B"/>
    <w:rsid w:val="009710EF"/>
    <w:rsid w:val="00973DB8"/>
    <w:rsid w:val="00974423"/>
    <w:rsid w:val="0097512B"/>
    <w:rsid w:val="00975572"/>
    <w:rsid w:val="0097562E"/>
    <w:rsid w:val="009757D1"/>
    <w:rsid w:val="00975D5F"/>
    <w:rsid w:val="0097674C"/>
    <w:rsid w:val="00977C80"/>
    <w:rsid w:val="009801D1"/>
    <w:rsid w:val="00980205"/>
    <w:rsid w:val="00980754"/>
    <w:rsid w:val="00981535"/>
    <w:rsid w:val="00981B38"/>
    <w:rsid w:val="0098222F"/>
    <w:rsid w:val="009825C8"/>
    <w:rsid w:val="00982994"/>
    <w:rsid w:val="0098409F"/>
    <w:rsid w:val="0098429D"/>
    <w:rsid w:val="0098462F"/>
    <w:rsid w:val="00985537"/>
    <w:rsid w:val="00986CC4"/>
    <w:rsid w:val="0098701A"/>
    <w:rsid w:val="00987AC7"/>
    <w:rsid w:val="00987C1A"/>
    <w:rsid w:val="009903EE"/>
    <w:rsid w:val="00990900"/>
    <w:rsid w:val="00990AC5"/>
    <w:rsid w:val="00991698"/>
    <w:rsid w:val="009916A9"/>
    <w:rsid w:val="00991C17"/>
    <w:rsid w:val="00992D1E"/>
    <w:rsid w:val="00995092"/>
    <w:rsid w:val="00997B81"/>
    <w:rsid w:val="00997EB2"/>
    <w:rsid w:val="009A06F5"/>
    <w:rsid w:val="009A0788"/>
    <w:rsid w:val="009A0C04"/>
    <w:rsid w:val="009A0E92"/>
    <w:rsid w:val="009A12B5"/>
    <w:rsid w:val="009A17EC"/>
    <w:rsid w:val="009A1A06"/>
    <w:rsid w:val="009A1E45"/>
    <w:rsid w:val="009A435F"/>
    <w:rsid w:val="009A47E5"/>
    <w:rsid w:val="009A4C0F"/>
    <w:rsid w:val="009A576E"/>
    <w:rsid w:val="009A5899"/>
    <w:rsid w:val="009A7AA4"/>
    <w:rsid w:val="009A7BFE"/>
    <w:rsid w:val="009B03DF"/>
    <w:rsid w:val="009B1802"/>
    <w:rsid w:val="009B2262"/>
    <w:rsid w:val="009B236F"/>
    <w:rsid w:val="009B27A5"/>
    <w:rsid w:val="009B5053"/>
    <w:rsid w:val="009B6348"/>
    <w:rsid w:val="009B677F"/>
    <w:rsid w:val="009B6AF0"/>
    <w:rsid w:val="009B7FFA"/>
    <w:rsid w:val="009C1048"/>
    <w:rsid w:val="009C26F4"/>
    <w:rsid w:val="009C292D"/>
    <w:rsid w:val="009C2CED"/>
    <w:rsid w:val="009C2EEF"/>
    <w:rsid w:val="009C41C8"/>
    <w:rsid w:val="009C5B9B"/>
    <w:rsid w:val="009C5E5F"/>
    <w:rsid w:val="009C5F0C"/>
    <w:rsid w:val="009C648B"/>
    <w:rsid w:val="009C67C0"/>
    <w:rsid w:val="009D1035"/>
    <w:rsid w:val="009D13D0"/>
    <w:rsid w:val="009D2068"/>
    <w:rsid w:val="009D2B82"/>
    <w:rsid w:val="009D2F09"/>
    <w:rsid w:val="009D46F3"/>
    <w:rsid w:val="009D4C89"/>
    <w:rsid w:val="009D54D9"/>
    <w:rsid w:val="009D7581"/>
    <w:rsid w:val="009D7D33"/>
    <w:rsid w:val="009E03F9"/>
    <w:rsid w:val="009E2D11"/>
    <w:rsid w:val="009E3BB3"/>
    <w:rsid w:val="009E49FC"/>
    <w:rsid w:val="009E4DA9"/>
    <w:rsid w:val="009E4DD4"/>
    <w:rsid w:val="009E4E3F"/>
    <w:rsid w:val="009E5E68"/>
    <w:rsid w:val="009E5E7D"/>
    <w:rsid w:val="009E698B"/>
    <w:rsid w:val="009E6F4D"/>
    <w:rsid w:val="009E70F8"/>
    <w:rsid w:val="009F0FBD"/>
    <w:rsid w:val="009F1547"/>
    <w:rsid w:val="009F1DDF"/>
    <w:rsid w:val="009F1F02"/>
    <w:rsid w:val="009F2CD1"/>
    <w:rsid w:val="009F4625"/>
    <w:rsid w:val="009F494B"/>
    <w:rsid w:val="009F4ABA"/>
    <w:rsid w:val="009F4C0E"/>
    <w:rsid w:val="009F4DF6"/>
    <w:rsid w:val="009F6CF1"/>
    <w:rsid w:val="009F7517"/>
    <w:rsid w:val="009F7EAC"/>
    <w:rsid w:val="00A02824"/>
    <w:rsid w:val="00A02D05"/>
    <w:rsid w:val="00A030DD"/>
    <w:rsid w:val="00A036BD"/>
    <w:rsid w:val="00A03D3A"/>
    <w:rsid w:val="00A03F1E"/>
    <w:rsid w:val="00A0420A"/>
    <w:rsid w:val="00A04550"/>
    <w:rsid w:val="00A0644A"/>
    <w:rsid w:val="00A066AE"/>
    <w:rsid w:val="00A0707B"/>
    <w:rsid w:val="00A07BEB"/>
    <w:rsid w:val="00A07C8C"/>
    <w:rsid w:val="00A104B9"/>
    <w:rsid w:val="00A10DD9"/>
    <w:rsid w:val="00A11194"/>
    <w:rsid w:val="00A111F3"/>
    <w:rsid w:val="00A11D34"/>
    <w:rsid w:val="00A12C6B"/>
    <w:rsid w:val="00A14117"/>
    <w:rsid w:val="00A149FA"/>
    <w:rsid w:val="00A14A28"/>
    <w:rsid w:val="00A1527B"/>
    <w:rsid w:val="00A15823"/>
    <w:rsid w:val="00A16B26"/>
    <w:rsid w:val="00A17DF0"/>
    <w:rsid w:val="00A20732"/>
    <w:rsid w:val="00A20A4C"/>
    <w:rsid w:val="00A20A76"/>
    <w:rsid w:val="00A20F78"/>
    <w:rsid w:val="00A218F1"/>
    <w:rsid w:val="00A22121"/>
    <w:rsid w:val="00A22302"/>
    <w:rsid w:val="00A226BB"/>
    <w:rsid w:val="00A22FBC"/>
    <w:rsid w:val="00A2325C"/>
    <w:rsid w:val="00A2479D"/>
    <w:rsid w:val="00A26754"/>
    <w:rsid w:val="00A273E0"/>
    <w:rsid w:val="00A27945"/>
    <w:rsid w:val="00A27DEE"/>
    <w:rsid w:val="00A304BC"/>
    <w:rsid w:val="00A31758"/>
    <w:rsid w:val="00A31B93"/>
    <w:rsid w:val="00A31DCB"/>
    <w:rsid w:val="00A3261F"/>
    <w:rsid w:val="00A32EB7"/>
    <w:rsid w:val="00A330E7"/>
    <w:rsid w:val="00A3538C"/>
    <w:rsid w:val="00A36246"/>
    <w:rsid w:val="00A3754D"/>
    <w:rsid w:val="00A375EF"/>
    <w:rsid w:val="00A37AD7"/>
    <w:rsid w:val="00A4061E"/>
    <w:rsid w:val="00A42895"/>
    <w:rsid w:val="00A47557"/>
    <w:rsid w:val="00A50D8A"/>
    <w:rsid w:val="00A5156F"/>
    <w:rsid w:val="00A5159E"/>
    <w:rsid w:val="00A517C4"/>
    <w:rsid w:val="00A52896"/>
    <w:rsid w:val="00A528C2"/>
    <w:rsid w:val="00A531D8"/>
    <w:rsid w:val="00A54AFD"/>
    <w:rsid w:val="00A54E69"/>
    <w:rsid w:val="00A559AE"/>
    <w:rsid w:val="00A559C9"/>
    <w:rsid w:val="00A5750D"/>
    <w:rsid w:val="00A575D2"/>
    <w:rsid w:val="00A6006E"/>
    <w:rsid w:val="00A61618"/>
    <w:rsid w:val="00A61B06"/>
    <w:rsid w:val="00A62113"/>
    <w:rsid w:val="00A62404"/>
    <w:rsid w:val="00A634F6"/>
    <w:rsid w:val="00A6401F"/>
    <w:rsid w:val="00A6597B"/>
    <w:rsid w:val="00A6683C"/>
    <w:rsid w:val="00A66AA3"/>
    <w:rsid w:val="00A66D9E"/>
    <w:rsid w:val="00A6759C"/>
    <w:rsid w:val="00A67923"/>
    <w:rsid w:val="00A70527"/>
    <w:rsid w:val="00A7135F"/>
    <w:rsid w:val="00A71386"/>
    <w:rsid w:val="00A713ED"/>
    <w:rsid w:val="00A714B8"/>
    <w:rsid w:val="00A71EF0"/>
    <w:rsid w:val="00A72B2E"/>
    <w:rsid w:val="00A7353B"/>
    <w:rsid w:val="00A735EB"/>
    <w:rsid w:val="00A74901"/>
    <w:rsid w:val="00A74D85"/>
    <w:rsid w:val="00A74F19"/>
    <w:rsid w:val="00A75733"/>
    <w:rsid w:val="00A75753"/>
    <w:rsid w:val="00A75B2A"/>
    <w:rsid w:val="00A76308"/>
    <w:rsid w:val="00A76B50"/>
    <w:rsid w:val="00A77C08"/>
    <w:rsid w:val="00A809FE"/>
    <w:rsid w:val="00A81527"/>
    <w:rsid w:val="00A81C53"/>
    <w:rsid w:val="00A81E8E"/>
    <w:rsid w:val="00A82058"/>
    <w:rsid w:val="00A82431"/>
    <w:rsid w:val="00A825E1"/>
    <w:rsid w:val="00A82CA8"/>
    <w:rsid w:val="00A83F14"/>
    <w:rsid w:val="00A84AE7"/>
    <w:rsid w:val="00A8581E"/>
    <w:rsid w:val="00A867DC"/>
    <w:rsid w:val="00A869B0"/>
    <w:rsid w:val="00A90807"/>
    <w:rsid w:val="00A91ABD"/>
    <w:rsid w:val="00A91F50"/>
    <w:rsid w:val="00A9289F"/>
    <w:rsid w:val="00A92C1D"/>
    <w:rsid w:val="00A92D2E"/>
    <w:rsid w:val="00A941AC"/>
    <w:rsid w:val="00A952D2"/>
    <w:rsid w:val="00A9565E"/>
    <w:rsid w:val="00A96140"/>
    <w:rsid w:val="00A96905"/>
    <w:rsid w:val="00A96F9F"/>
    <w:rsid w:val="00AA023F"/>
    <w:rsid w:val="00AA0511"/>
    <w:rsid w:val="00AA0C77"/>
    <w:rsid w:val="00AA11ED"/>
    <w:rsid w:val="00AA1D27"/>
    <w:rsid w:val="00AA1E66"/>
    <w:rsid w:val="00AA204C"/>
    <w:rsid w:val="00AA27C1"/>
    <w:rsid w:val="00AA2D57"/>
    <w:rsid w:val="00AA34C0"/>
    <w:rsid w:val="00AA3941"/>
    <w:rsid w:val="00AA41D6"/>
    <w:rsid w:val="00AA4AF4"/>
    <w:rsid w:val="00AA5374"/>
    <w:rsid w:val="00AA56D0"/>
    <w:rsid w:val="00AA5F07"/>
    <w:rsid w:val="00AA6468"/>
    <w:rsid w:val="00AA6469"/>
    <w:rsid w:val="00AB0C9F"/>
    <w:rsid w:val="00AB10EB"/>
    <w:rsid w:val="00AB143A"/>
    <w:rsid w:val="00AB1494"/>
    <w:rsid w:val="00AB2484"/>
    <w:rsid w:val="00AB3104"/>
    <w:rsid w:val="00AB3B10"/>
    <w:rsid w:val="00AB51E4"/>
    <w:rsid w:val="00AB52E7"/>
    <w:rsid w:val="00AB612B"/>
    <w:rsid w:val="00AB7750"/>
    <w:rsid w:val="00AC003C"/>
    <w:rsid w:val="00AC0103"/>
    <w:rsid w:val="00AC118D"/>
    <w:rsid w:val="00AC1404"/>
    <w:rsid w:val="00AC19D6"/>
    <w:rsid w:val="00AC1B3E"/>
    <w:rsid w:val="00AC4FC2"/>
    <w:rsid w:val="00AC5518"/>
    <w:rsid w:val="00AC650B"/>
    <w:rsid w:val="00AC65D2"/>
    <w:rsid w:val="00AC741C"/>
    <w:rsid w:val="00AD039F"/>
    <w:rsid w:val="00AD2726"/>
    <w:rsid w:val="00AD3902"/>
    <w:rsid w:val="00AD3CE4"/>
    <w:rsid w:val="00AD3E75"/>
    <w:rsid w:val="00AD4E71"/>
    <w:rsid w:val="00AD564F"/>
    <w:rsid w:val="00AD5BCF"/>
    <w:rsid w:val="00AD6010"/>
    <w:rsid w:val="00AD691C"/>
    <w:rsid w:val="00AE2026"/>
    <w:rsid w:val="00AE26ED"/>
    <w:rsid w:val="00AE33FF"/>
    <w:rsid w:val="00AE3569"/>
    <w:rsid w:val="00AE47DB"/>
    <w:rsid w:val="00AE4C7A"/>
    <w:rsid w:val="00AE4FDB"/>
    <w:rsid w:val="00AF06D5"/>
    <w:rsid w:val="00AF09DD"/>
    <w:rsid w:val="00AF1842"/>
    <w:rsid w:val="00AF2A88"/>
    <w:rsid w:val="00AF2E8B"/>
    <w:rsid w:val="00AF300C"/>
    <w:rsid w:val="00AF3E09"/>
    <w:rsid w:val="00AF4D05"/>
    <w:rsid w:val="00AF6454"/>
    <w:rsid w:val="00B00732"/>
    <w:rsid w:val="00B02494"/>
    <w:rsid w:val="00B02655"/>
    <w:rsid w:val="00B026E5"/>
    <w:rsid w:val="00B02C31"/>
    <w:rsid w:val="00B02D6F"/>
    <w:rsid w:val="00B05102"/>
    <w:rsid w:val="00B052D7"/>
    <w:rsid w:val="00B06245"/>
    <w:rsid w:val="00B06962"/>
    <w:rsid w:val="00B06AA4"/>
    <w:rsid w:val="00B10083"/>
    <w:rsid w:val="00B102A9"/>
    <w:rsid w:val="00B1097E"/>
    <w:rsid w:val="00B10A95"/>
    <w:rsid w:val="00B1156F"/>
    <w:rsid w:val="00B123DB"/>
    <w:rsid w:val="00B1291C"/>
    <w:rsid w:val="00B12C2E"/>
    <w:rsid w:val="00B12EA1"/>
    <w:rsid w:val="00B1367E"/>
    <w:rsid w:val="00B13AA2"/>
    <w:rsid w:val="00B13B3C"/>
    <w:rsid w:val="00B14273"/>
    <w:rsid w:val="00B15F69"/>
    <w:rsid w:val="00B16A34"/>
    <w:rsid w:val="00B17346"/>
    <w:rsid w:val="00B1751E"/>
    <w:rsid w:val="00B202A7"/>
    <w:rsid w:val="00B21710"/>
    <w:rsid w:val="00B24A26"/>
    <w:rsid w:val="00B24E64"/>
    <w:rsid w:val="00B25453"/>
    <w:rsid w:val="00B2549D"/>
    <w:rsid w:val="00B25684"/>
    <w:rsid w:val="00B2679B"/>
    <w:rsid w:val="00B301A6"/>
    <w:rsid w:val="00B311F2"/>
    <w:rsid w:val="00B31B0D"/>
    <w:rsid w:val="00B31B9C"/>
    <w:rsid w:val="00B320B2"/>
    <w:rsid w:val="00B32AFB"/>
    <w:rsid w:val="00B336B4"/>
    <w:rsid w:val="00B339B0"/>
    <w:rsid w:val="00B33D60"/>
    <w:rsid w:val="00B33F62"/>
    <w:rsid w:val="00B34D6C"/>
    <w:rsid w:val="00B35C1D"/>
    <w:rsid w:val="00B375C4"/>
    <w:rsid w:val="00B378BD"/>
    <w:rsid w:val="00B378C2"/>
    <w:rsid w:val="00B37920"/>
    <w:rsid w:val="00B40D47"/>
    <w:rsid w:val="00B415DE"/>
    <w:rsid w:val="00B418FE"/>
    <w:rsid w:val="00B43094"/>
    <w:rsid w:val="00B444F6"/>
    <w:rsid w:val="00B44A67"/>
    <w:rsid w:val="00B44D13"/>
    <w:rsid w:val="00B46541"/>
    <w:rsid w:val="00B503D6"/>
    <w:rsid w:val="00B51676"/>
    <w:rsid w:val="00B51F08"/>
    <w:rsid w:val="00B53D8A"/>
    <w:rsid w:val="00B5544F"/>
    <w:rsid w:val="00B55E5D"/>
    <w:rsid w:val="00B5668D"/>
    <w:rsid w:val="00B56CED"/>
    <w:rsid w:val="00B56D48"/>
    <w:rsid w:val="00B5772F"/>
    <w:rsid w:val="00B57849"/>
    <w:rsid w:val="00B60479"/>
    <w:rsid w:val="00B60A36"/>
    <w:rsid w:val="00B61314"/>
    <w:rsid w:val="00B629D3"/>
    <w:rsid w:val="00B63A06"/>
    <w:rsid w:val="00B65423"/>
    <w:rsid w:val="00B6546E"/>
    <w:rsid w:val="00B65B65"/>
    <w:rsid w:val="00B65F62"/>
    <w:rsid w:val="00B66867"/>
    <w:rsid w:val="00B66994"/>
    <w:rsid w:val="00B66D04"/>
    <w:rsid w:val="00B66E47"/>
    <w:rsid w:val="00B6706C"/>
    <w:rsid w:val="00B67BFD"/>
    <w:rsid w:val="00B67F12"/>
    <w:rsid w:val="00B70D97"/>
    <w:rsid w:val="00B70F49"/>
    <w:rsid w:val="00B71059"/>
    <w:rsid w:val="00B71AFB"/>
    <w:rsid w:val="00B71F3A"/>
    <w:rsid w:val="00B73639"/>
    <w:rsid w:val="00B73C97"/>
    <w:rsid w:val="00B747AE"/>
    <w:rsid w:val="00B74B19"/>
    <w:rsid w:val="00B75131"/>
    <w:rsid w:val="00B76340"/>
    <w:rsid w:val="00B76762"/>
    <w:rsid w:val="00B779DA"/>
    <w:rsid w:val="00B77B1D"/>
    <w:rsid w:val="00B80C43"/>
    <w:rsid w:val="00B80DCF"/>
    <w:rsid w:val="00B81733"/>
    <w:rsid w:val="00B82F77"/>
    <w:rsid w:val="00B838D6"/>
    <w:rsid w:val="00B84697"/>
    <w:rsid w:val="00B86E2C"/>
    <w:rsid w:val="00B92FE5"/>
    <w:rsid w:val="00B935FF"/>
    <w:rsid w:val="00B9402B"/>
    <w:rsid w:val="00B94786"/>
    <w:rsid w:val="00B956FD"/>
    <w:rsid w:val="00B95FD7"/>
    <w:rsid w:val="00B96B72"/>
    <w:rsid w:val="00BA05AC"/>
    <w:rsid w:val="00BA0AAF"/>
    <w:rsid w:val="00BA204F"/>
    <w:rsid w:val="00BA38C6"/>
    <w:rsid w:val="00BA455E"/>
    <w:rsid w:val="00BA48AA"/>
    <w:rsid w:val="00BA5308"/>
    <w:rsid w:val="00BA5F65"/>
    <w:rsid w:val="00BA6A63"/>
    <w:rsid w:val="00BA78B6"/>
    <w:rsid w:val="00BB035F"/>
    <w:rsid w:val="00BB0C12"/>
    <w:rsid w:val="00BB1F3F"/>
    <w:rsid w:val="00BB26AD"/>
    <w:rsid w:val="00BB3785"/>
    <w:rsid w:val="00BB3A33"/>
    <w:rsid w:val="00BB4FF1"/>
    <w:rsid w:val="00BB5277"/>
    <w:rsid w:val="00BB5CE8"/>
    <w:rsid w:val="00BB608B"/>
    <w:rsid w:val="00BB64E8"/>
    <w:rsid w:val="00BB7823"/>
    <w:rsid w:val="00BB7888"/>
    <w:rsid w:val="00BB78EE"/>
    <w:rsid w:val="00BB7938"/>
    <w:rsid w:val="00BB79BD"/>
    <w:rsid w:val="00BC04EE"/>
    <w:rsid w:val="00BC0D51"/>
    <w:rsid w:val="00BC0FC8"/>
    <w:rsid w:val="00BC297C"/>
    <w:rsid w:val="00BC401D"/>
    <w:rsid w:val="00BC4DB2"/>
    <w:rsid w:val="00BC55D1"/>
    <w:rsid w:val="00BC5C9F"/>
    <w:rsid w:val="00BC7208"/>
    <w:rsid w:val="00BC7718"/>
    <w:rsid w:val="00BC7E84"/>
    <w:rsid w:val="00BD0662"/>
    <w:rsid w:val="00BD0B48"/>
    <w:rsid w:val="00BD2A0A"/>
    <w:rsid w:val="00BD30A1"/>
    <w:rsid w:val="00BD5D0F"/>
    <w:rsid w:val="00BD7673"/>
    <w:rsid w:val="00BD7C68"/>
    <w:rsid w:val="00BE02EE"/>
    <w:rsid w:val="00BE0427"/>
    <w:rsid w:val="00BE1CBC"/>
    <w:rsid w:val="00BE1CE7"/>
    <w:rsid w:val="00BE20CC"/>
    <w:rsid w:val="00BE2187"/>
    <w:rsid w:val="00BE23A1"/>
    <w:rsid w:val="00BE29DC"/>
    <w:rsid w:val="00BE31C0"/>
    <w:rsid w:val="00BE4C25"/>
    <w:rsid w:val="00BE4DC3"/>
    <w:rsid w:val="00BE54A6"/>
    <w:rsid w:val="00BE58AF"/>
    <w:rsid w:val="00BE5BD7"/>
    <w:rsid w:val="00BE6403"/>
    <w:rsid w:val="00BE71FF"/>
    <w:rsid w:val="00BE7A7A"/>
    <w:rsid w:val="00BE7B14"/>
    <w:rsid w:val="00BF23DC"/>
    <w:rsid w:val="00BF3EC1"/>
    <w:rsid w:val="00BF43DA"/>
    <w:rsid w:val="00BF6034"/>
    <w:rsid w:val="00BF697A"/>
    <w:rsid w:val="00BF6ADB"/>
    <w:rsid w:val="00BF6CCB"/>
    <w:rsid w:val="00C00037"/>
    <w:rsid w:val="00C00C3A"/>
    <w:rsid w:val="00C011DE"/>
    <w:rsid w:val="00C020C9"/>
    <w:rsid w:val="00C022E0"/>
    <w:rsid w:val="00C0258A"/>
    <w:rsid w:val="00C03776"/>
    <w:rsid w:val="00C03C91"/>
    <w:rsid w:val="00C05798"/>
    <w:rsid w:val="00C05A8D"/>
    <w:rsid w:val="00C07DB4"/>
    <w:rsid w:val="00C10683"/>
    <w:rsid w:val="00C1079D"/>
    <w:rsid w:val="00C109B3"/>
    <w:rsid w:val="00C12AF3"/>
    <w:rsid w:val="00C12E53"/>
    <w:rsid w:val="00C13821"/>
    <w:rsid w:val="00C14051"/>
    <w:rsid w:val="00C15BE2"/>
    <w:rsid w:val="00C15F73"/>
    <w:rsid w:val="00C16A63"/>
    <w:rsid w:val="00C16E76"/>
    <w:rsid w:val="00C1785A"/>
    <w:rsid w:val="00C20324"/>
    <w:rsid w:val="00C2037B"/>
    <w:rsid w:val="00C20702"/>
    <w:rsid w:val="00C21AA4"/>
    <w:rsid w:val="00C2267A"/>
    <w:rsid w:val="00C22F2D"/>
    <w:rsid w:val="00C22FF7"/>
    <w:rsid w:val="00C23E65"/>
    <w:rsid w:val="00C257A1"/>
    <w:rsid w:val="00C25B32"/>
    <w:rsid w:val="00C263A7"/>
    <w:rsid w:val="00C27F76"/>
    <w:rsid w:val="00C30678"/>
    <w:rsid w:val="00C308C6"/>
    <w:rsid w:val="00C30DA4"/>
    <w:rsid w:val="00C32F43"/>
    <w:rsid w:val="00C33414"/>
    <w:rsid w:val="00C33D83"/>
    <w:rsid w:val="00C340EE"/>
    <w:rsid w:val="00C347A7"/>
    <w:rsid w:val="00C34ED9"/>
    <w:rsid w:val="00C4005E"/>
    <w:rsid w:val="00C4069F"/>
    <w:rsid w:val="00C40C35"/>
    <w:rsid w:val="00C41969"/>
    <w:rsid w:val="00C41DDB"/>
    <w:rsid w:val="00C41ECA"/>
    <w:rsid w:val="00C4254B"/>
    <w:rsid w:val="00C44719"/>
    <w:rsid w:val="00C45807"/>
    <w:rsid w:val="00C46145"/>
    <w:rsid w:val="00C50108"/>
    <w:rsid w:val="00C508E1"/>
    <w:rsid w:val="00C51056"/>
    <w:rsid w:val="00C51AC2"/>
    <w:rsid w:val="00C51BE5"/>
    <w:rsid w:val="00C5308B"/>
    <w:rsid w:val="00C53570"/>
    <w:rsid w:val="00C53DFF"/>
    <w:rsid w:val="00C54661"/>
    <w:rsid w:val="00C55076"/>
    <w:rsid w:val="00C55324"/>
    <w:rsid w:val="00C55EE0"/>
    <w:rsid w:val="00C56D73"/>
    <w:rsid w:val="00C56D85"/>
    <w:rsid w:val="00C57248"/>
    <w:rsid w:val="00C574EC"/>
    <w:rsid w:val="00C61DE6"/>
    <w:rsid w:val="00C62D1C"/>
    <w:rsid w:val="00C63EE7"/>
    <w:rsid w:val="00C640E3"/>
    <w:rsid w:val="00C65152"/>
    <w:rsid w:val="00C6572C"/>
    <w:rsid w:val="00C65A73"/>
    <w:rsid w:val="00C6669B"/>
    <w:rsid w:val="00C66D8A"/>
    <w:rsid w:val="00C6784F"/>
    <w:rsid w:val="00C678B8"/>
    <w:rsid w:val="00C67DAB"/>
    <w:rsid w:val="00C70190"/>
    <w:rsid w:val="00C70CFF"/>
    <w:rsid w:val="00C71225"/>
    <w:rsid w:val="00C71B6C"/>
    <w:rsid w:val="00C724B6"/>
    <w:rsid w:val="00C72629"/>
    <w:rsid w:val="00C73FA3"/>
    <w:rsid w:val="00C74143"/>
    <w:rsid w:val="00C74776"/>
    <w:rsid w:val="00C7545C"/>
    <w:rsid w:val="00C75655"/>
    <w:rsid w:val="00C75827"/>
    <w:rsid w:val="00C75F99"/>
    <w:rsid w:val="00C8070A"/>
    <w:rsid w:val="00C80891"/>
    <w:rsid w:val="00C81617"/>
    <w:rsid w:val="00C81CC8"/>
    <w:rsid w:val="00C837C3"/>
    <w:rsid w:val="00C84497"/>
    <w:rsid w:val="00C84840"/>
    <w:rsid w:val="00C85691"/>
    <w:rsid w:val="00C85A3B"/>
    <w:rsid w:val="00C860CC"/>
    <w:rsid w:val="00C86470"/>
    <w:rsid w:val="00C868F6"/>
    <w:rsid w:val="00C86BCB"/>
    <w:rsid w:val="00C87411"/>
    <w:rsid w:val="00C87E66"/>
    <w:rsid w:val="00C9041D"/>
    <w:rsid w:val="00C906FF"/>
    <w:rsid w:val="00C90D6D"/>
    <w:rsid w:val="00C910CC"/>
    <w:rsid w:val="00C9137C"/>
    <w:rsid w:val="00C91644"/>
    <w:rsid w:val="00C9299B"/>
    <w:rsid w:val="00C92DBA"/>
    <w:rsid w:val="00C93B3D"/>
    <w:rsid w:val="00C94438"/>
    <w:rsid w:val="00C94D30"/>
    <w:rsid w:val="00C95A34"/>
    <w:rsid w:val="00C95A5D"/>
    <w:rsid w:val="00C9663B"/>
    <w:rsid w:val="00C96BB7"/>
    <w:rsid w:val="00CA30E1"/>
    <w:rsid w:val="00CA32E1"/>
    <w:rsid w:val="00CA3663"/>
    <w:rsid w:val="00CA3789"/>
    <w:rsid w:val="00CA39EF"/>
    <w:rsid w:val="00CA3C9B"/>
    <w:rsid w:val="00CA43A5"/>
    <w:rsid w:val="00CA4934"/>
    <w:rsid w:val="00CA533C"/>
    <w:rsid w:val="00CA5D55"/>
    <w:rsid w:val="00CA6553"/>
    <w:rsid w:val="00CA6A22"/>
    <w:rsid w:val="00CA6B86"/>
    <w:rsid w:val="00CA704A"/>
    <w:rsid w:val="00CA70A4"/>
    <w:rsid w:val="00CA7C0B"/>
    <w:rsid w:val="00CA7FF7"/>
    <w:rsid w:val="00CB1DD9"/>
    <w:rsid w:val="00CB2A1B"/>
    <w:rsid w:val="00CB44B1"/>
    <w:rsid w:val="00CB46D5"/>
    <w:rsid w:val="00CB4762"/>
    <w:rsid w:val="00CB6E2B"/>
    <w:rsid w:val="00CB6FF7"/>
    <w:rsid w:val="00CB72B3"/>
    <w:rsid w:val="00CB7302"/>
    <w:rsid w:val="00CB763E"/>
    <w:rsid w:val="00CC07DC"/>
    <w:rsid w:val="00CC0B94"/>
    <w:rsid w:val="00CC1E9F"/>
    <w:rsid w:val="00CC2A4C"/>
    <w:rsid w:val="00CC3680"/>
    <w:rsid w:val="00CC379A"/>
    <w:rsid w:val="00CC414D"/>
    <w:rsid w:val="00CC5896"/>
    <w:rsid w:val="00CC6A41"/>
    <w:rsid w:val="00CC72AB"/>
    <w:rsid w:val="00CC7504"/>
    <w:rsid w:val="00CC76BB"/>
    <w:rsid w:val="00CC7CFD"/>
    <w:rsid w:val="00CD09D8"/>
    <w:rsid w:val="00CD172F"/>
    <w:rsid w:val="00CD337F"/>
    <w:rsid w:val="00CD3480"/>
    <w:rsid w:val="00CD3971"/>
    <w:rsid w:val="00CD3D6E"/>
    <w:rsid w:val="00CD5DD3"/>
    <w:rsid w:val="00CD6A72"/>
    <w:rsid w:val="00CD77FB"/>
    <w:rsid w:val="00CD7947"/>
    <w:rsid w:val="00CE04F5"/>
    <w:rsid w:val="00CE0C35"/>
    <w:rsid w:val="00CE11CD"/>
    <w:rsid w:val="00CE137D"/>
    <w:rsid w:val="00CE3810"/>
    <w:rsid w:val="00CE3EC9"/>
    <w:rsid w:val="00CE431C"/>
    <w:rsid w:val="00CE52B4"/>
    <w:rsid w:val="00CE5DCD"/>
    <w:rsid w:val="00CE6217"/>
    <w:rsid w:val="00CE701C"/>
    <w:rsid w:val="00CE7599"/>
    <w:rsid w:val="00CE7C2C"/>
    <w:rsid w:val="00CE7FC7"/>
    <w:rsid w:val="00CF2DB5"/>
    <w:rsid w:val="00CF414A"/>
    <w:rsid w:val="00CF4C7E"/>
    <w:rsid w:val="00CF4FF0"/>
    <w:rsid w:val="00CF51DE"/>
    <w:rsid w:val="00CF585F"/>
    <w:rsid w:val="00CF5A22"/>
    <w:rsid w:val="00CF5B47"/>
    <w:rsid w:val="00CF7384"/>
    <w:rsid w:val="00D004AC"/>
    <w:rsid w:val="00D03420"/>
    <w:rsid w:val="00D051BD"/>
    <w:rsid w:val="00D0535E"/>
    <w:rsid w:val="00D059B1"/>
    <w:rsid w:val="00D0725F"/>
    <w:rsid w:val="00D07678"/>
    <w:rsid w:val="00D10443"/>
    <w:rsid w:val="00D104F9"/>
    <w:rsid w:val="00D12B11"/>
    <w:rsid w:val="00D13652"/>
    <w:rsid w:val="00D14323"/>
    <w:rsid w:val="00D15F1D"/>
    <w:rsid w:val="00D16008"/>
    <w:rsid w:val="00D166D4"/>
    <w:rsid w:val="00D16A05"/>
    <w:rsid w:val="00D201AD"/>
    <w:rsid w:val="00D20ECE"/>
    <w:rsid w:val="00D21327"/>
    <w:rsid w:val="00D2192F"/>
    <w:rsid w:val="00D224A6"/>
    <w:rsid w:val="00D229C9"/>
    <w:rsid w:val="00D234E0"/>
    <w:rsid w:val="00D23BC5"/>
    <w:rsid w:val="00D23F61"/>
    <w:rsid w:val="00D30254"/>
    <w:rsid w:val="00D30342"/>
    <w:rsid w:val="00D30FF5"/>
    <w:rsid w:val="00D32A5D"/>
    <w:rsid w:val="00D32DF4"/>
    <w:rsid w:val="00D33768"/>
    <w:rsid w:val="00D33D87"/>
    <w:rsid w:val="00D33DCA"/>
    <w:rsid w:val="00D345FC"/>
    <w:rsid w:val="00D35077"/>
    <w:rsid w:val="00D35A6E"/>
    <w:rsid w:val="00D366E1"/>
    <w:rsid w:val="00D40033"/>
    <w:rsid w:val="00D40736"/>
    <w:rsid w:val="00D408A8"/>
    <w:rsid w:val="00D438CE"/>
    <w:rsid w:val="00D44909"/>
    <w:rsid w:val="00D44CCD"/>
    <w:rsid w:val="00D45446"/>
    <w:rsid w:val="00D4561D"/>
    <w:rsid w:val="00D456A6"/>
    <w:rsid w:val="00D45FFE"/>
    <w:rsid w:val="00D46153"/>
    <w:rsid w:val="00D46157"/>
    <w:rsid w:val="00D46BB4"/>
    <w:rsid w:val="00D46DAE"/>
    <w:rsid w:val="00D477F3"/>
    <w:rsid w:val="00D515D4"/>
    <w:rsid w:val="00D51C8F"/>
    <w:rsid w:val="00D5204B"/>
    <w:rsid w:val="00D53376"/>
    <w:rsid w:val="00D53716"/>
    <w:rsid w:val="00D5459B"/>
    <w:rsid w:val="00D54C10"/>
    <w:rsid w:val="00D55191"/>
    <w:rsid w:val="00D55970"/>
    <w:rsid w:val="00D55A26"/>
    <w:rsid w:val="00D55CD0"/>
    <w:rsid w:val="00D55D13"/>
    <w:rsid w:val="00D56830"/>
    <w:rsid w:val="00D56F2B"/>
    <w:rsid w:val="00D574F4"/>
    <w:rsid w:val="00D57544"/>
    <w:rsid w:val="00D57973"/>
    <w:rsid w:val="00D60CE2"/>
    <w:rsid w:val="00D612EC"/>
    <w:rsid w:val="00D6153E"/>
    <w:rsid w:val="00D62375"/>
    <w:rsid w:val="00D623C4"/>
    <w:rsid w:val="00D669A2"/>
    <w:rsid w:val="00D67331"/>
    <w:rsid w:val="00D71734"/>
    <w:rsid w:val="00D71EFB"/>
    <w:rsid w:val="00D722DF"/>
    <w:rsid w:val="00D731D6"/>
    <w:rsid w:val="00D73E08"/>
    <w:rsid w:val="00D741FF"/>
    <w:rsid w:val="00D75507"/>
    <w:rsid w:val="00D7578F"/>
    <w:rsid w:val="00D75CD4"/>
    <w:rsid w:val="00D75E72"/>
    <w:rsid w:val="00D7739B"/>
    <w:rsid w:val="00D811B9"/>
    <w:rsid w:val="00D818DD"/>
    <w:rsid w:val="00D820E1"/>
    <w:rsid w:val="00D83E60"/>
    <w:rsid w:val="00D84675"/>
    <w:rsid w:val="00D8491F"/>
    <w:rsid w:val="00D8526A"/>
    <w:rsid w:val="00D85404"/>
    <w:rsid w:val="00D86252"/>
    <w:rsid w:val="00D87ADC"/>
    <w:rsid w:val="00D87E49"/>
    <w:rsid w:val="00D9152B"/>
    <w:rsid w:val="00D91669"/>
    <w:rsid w:val="00D91757"/>
    <w:rsid w:val="00D917F3"/>
    <w:rsid w:val="00D92FAD"/>
    <w:rsid w:val="00D93F66"/>
    <w:rsid w:val="00D94DB4"/>
    <w:rsid w:val="00D9503E"/>
    <w:rsid w:val="00D95E27"/>
    <w:rsid w:val="00D97BAA"/>
    <w:rsid w:val="00DA309C"/>
    <w:rsid w:val="00DA3AF3"/>
    <w:rsid w:val="00DA3DA0"/>
    <w:rsid w:val="00DA5455"/>
    <w:rsid w:val="00DA559F"/>
    <w:rsid w:val="00DA5C2B"/>
    <w:rsid w:val="00DA63BB"/>
    <w:rsid w:val="00DA69D5"/>
    <w:rsid w:val="00DB080F"/>
    <w:rsid w:val="00DB18FB"/>
    <w:rsid w:val="00DB1DED"/>
    <w:rsid w:val="00DB1E98"/>
    <w:rsid w:val="00DB3295"/>
    <w:rsid w:val="00DB4B9E"/>
    <w:rsid w:val="00DB501E"/>
    <w:rsid w:val="00DB52BA"/>
    <w:rsid w:val="00DB5CCE"/>
    <w:rsid w:val="00DB5EFB"/>
    <w:rsid w:val="00DB6EF1"/>
    <w:rsid w:val="00DB79E8"/>
    <w:rsid w:val="00DC0116"/>
    <w:rsid w:val="00DC1465"/>
    <w:rsid w:val="00DC19BB"/>
    <w:rsid w:val="00DC3032"/>
    <w:rsid w:val="00DC3789"/>
    <w:rsid w:val="00DC565D"/>
    <w:rsid w:val="00DC6404"/>
    <w:rsid w:val="00DC739B"/>
    <w:rsid w:val="00DC78AD"/>
    <w:rsid w:val="00DC78C1"/>
    <w:rsid w:val="00DD0DA5"/>
    <w:rsid w:val="00DD129A"/>
    <w:rsid w:val="00DD2201"/>
    <w:rsid w:val="00DD292C"/>
    <w:rsid w:val="00DD323F"/>
    <w:rsid w:val="00DD3506"/>
    <w:rsid w:val="00DD35FA"/>
    <w:rsid w:val="00DD4E62"/>
    <w:rsid w:val="00DD5DEE"/>
    <w:rsid w:val="00DD61F9"/>
    <w:rsid w:val="00DD687C"/>
    <w:rsid w:val="00DD7139"/>
    <w:rsid w:val="00DD7FDF"/>
    <w:rsid w:val="00DE0CEB"/>
    <w:rsid w:val="00DE1703"/>
    <w:rsid w:val="00DE1888"/>
    <w:rsid w:val="00DE25AC"/>
    <w:rsid w:val="00DE26D3"/>
    <w:rsid w:val="00DE297E"/>
    <w:rsid w:val="00DE2A11"/>
    <w:rsid w:val="00DE4DE6"/>
    <w:rsid w:val="00DE5AD6"/>
    <w:rsid w:val="00DE7992"/>
    <w:rsid w:val="00DE7B84"/>
    <w:rsid w:val="00DF2B43"/>
    <w:rsid w:val="00DF568D"/>
    <w:rsid w:val="00DF588C"/>
    <w:rsid w:val="00DF6369"/>
    <w:rsid w:val="00DF7287"/>
    <w:rsid w:val="00DF74E1"/>
    <w:rsid w:val="00E008C5"/>
    <w:rsid w:val="00E00CCB"/>
    <w:rsid w:val="00E0157A"/>
    <w:rsid w:val="00E01B86"/>
    <w:rsid w:val="00E02CC2"/>
    <w:rsid w:val="00E033EC"/>
    <w:rsid w:val="00E036E4"/>
    <w:rsid w:val="00E03CAD"/>
    <w:rsid w:val="00E0406C"/>
    <w:rsid w:val="00E041F5"/>
    <w:rsid w:val="00E042C7"/>
    <w:rsid w:val="00E04757"/>
    <w:rsid w:val="00E0781A"/>
    <w:rsid w:val="00E11475"/>
    <w:rsid w:val="00E1187A"/>
    <w:rsid w:val="00E126C1"/>
    <w:rsid w:val="00E12D53"/>
    <w:rsid w:val="00E14D5E"/>
    <w:rsid w:val="00E16E4C"/>
    <w:rsid w:val="00E175A7"/>
    <w:rsid w:val="00E20168"/>
    <w:rsid w:val="00E20740"/>
    <w:rsid w:val="00E20E92"/>
    <w:rsid w:val="00E217A0"/>
    <w:rsid w:val="00E21E43"/>
    <w:rsid w:val="00E239BC"/>
    <w:rsid w:val="00E245DA"/>
    <w:rsid w:val="00E24645"/>
    <w:rsid w:val="00E24C5F"/>
    <w:rsid w:val="00E250B3"/>
    <w:rsid w:val="00E25307"/>
    <w:rsid w:val="00E27E50"/>
    <w:rsid w:val="00E27F6D"/>
    <w:rsid w:val="00E304B5"/>
    <w:rsid w:val="00E314A5"/>
    <w:rsid w:val="00E31BCB"/>
    <w:rsid w:val="00E32963"/>
    <w:rsid w:val="00E337BC"/>
    <w:rsid w:val="00E350C2"/>
    <w:rsid w:val="00E350CD"/>
    <w:rsid w:val="00E350EF"/>
    <w:rsid w:val="00E35ABF"/>
    <w:rsid w:val="00E372A9"/>
    <w:rsid w:val="00E4001B"/>
    <w:rsid w:val="00E40032"/>
    <w:rsid w:val="00E41A8A"/>
    <w:rsid w:val="00E42642"/>
    <w:rsid w:val="00E42C2E"/>
    <w:rsid w:val="00E43AE9"/>
    <w:rsid w:val="00E44856"/>
    <w:rsid w:val="00E45CBE"/>
    <w:rsid w:val="00E479BF"/>
    <w:rsid w:val="00E506AE"/>
    <w:rsid w:val="00E5165B"/>
    <w:rsid w:val="00E51B3C"/>
    <w:rsid w:val="00E51FDE"/>
    <w:rsid w:val="00E52162"/>
    <w:rsid w:val="00E534B2"/>
    <w:rsid w:val="00E55462"/>
    <w:rsid w:val="00E56B66"/>
    <w:rsid w:val="00E579AF"/>
    <w:rsid w:val="00E57BCE"/>
    <w:rsid w:val="00E6199A"/>
    <w:rsid w:val="00E61C35"/>
    <w:rsid w:val="00E61F66"/>
    <w:rsid w:val="00E64F3C"/>
    <w:rsid w:val="00E650EF"/>
    <w:rsid w:val="00E6515F"/>
    <w:rsid w:val="00E65B96"/>
    <w:rsid w:val="00E65DF0"/>
    <w:rsid w:val="00E6720F"/>
    <w:rsid w:val="00E705B7"/>
    <w:rsid w:val="00E7086E"/>
    <w:rsid w:val="00E70ECC"/>
    <w:rsid w:val="00E714FC"/>
    <w:rsid w:val="00E7152F"/>
    <w:rsid w:val="00E717CD"/>
    <w:rsid w:val="00E71A89"/>
    <w:rsid w:val="00E73922"/>
    <w:rsid w:val="00E73AEC"/>
    <w:rsid w:val="00E77197"/>
    <w:rsid w:val="00E77FF0"/>
    <w:rsid w:val="00E80F2D"/>
    <w:rsid w:val="00E80F9F"/>
    <w:rsid w:val="00E81206"/>
    <w:rsid w:val="00E81907"/>
    <w:rsid w:val="00E81B1A"/>
    <w:rsid w:val="00E8330F"/>
    <w:rsid w:val="00E84735"/>
    <w:rsid w:val="00E84F77"/>
    <w:rsid w:val="00E84FB3"/>
    <w:rsid w:val="00E85437"/>
    <w:rsid w:val="00E855EF"/>
    <w:rsid w:val="00E87037"/>
    <w:rsid w:val="00E8753C"/>
    <w:rsid w:val="00E877CD"/>
    <w:rsid w:val="00E87909"/>
    <w:rsid w:val="00E903A6"/>
    <w:rsid w:val="00E908A2"/>
    <w:rsid w:val="00E92BE9"/>
    <w:rsid w:val="00E93E1B"/>
    <w:rsid w:val="00E94CCA"/>
    <w:rsid w:val="00E960A3"/>
    <w:rsid w:val="00E96794"/>
    <w:rsid w:val="00E971BA"/>
    <w:rsid w:val="00EA0F03"/>
    <w:rsid w:val="00EA0FE5"/>
    <w:rsid w:val="00EA1BFA"/>
    <w:rsid w:val="00EA1EF9"/>
    <w:rsid w:val="00EA228A"/>
    <w:rsid w:val="00EA2CA0"/>
    <w:rsid w:val="00EA415D"/>
    <w:rsid w:val="00EA4B9A"/>
    <w:rsid w:val="00EA53C6"/>
    <w:rsid w:val="00EA6041"/>
    <w:rsid w:val="00EA669F"/>
    <w:rsid w:val="00EA6B50"/>
    <w:rsid w:val="00EA70AD"/>
    <w:rsid w:val="00EA7237"/>
    <w:rsid w:val="00EB0426"/>
    <w:rsid w:val="00EB055B"/>
    <w:rsid w:val="00EB0ABD"/>
    <w:rsid w:val="00EB0C40"/>
    <w:rsid w:val="00EB112A"/>
    <w:rsid w:val="00EB1383"/>
    <w:rsid w:val="00EB1B70"/>
    <w:rsid w:val="00EB2465"/>
    <w:rsid w:val="00EB268A"/>
    <w:rsid w:val="00EB2A04"/>
    <w:rsid w:val="00EB2A0A"/>
    <w:rsid w:val="00EB3A44"/>
    <w:rsid w:val="00EB439C"/>
    <w:rsid w:val="00EB5637"/>
    <w:rsid w:val="00EB7766"/>
    <w:rsid w:val="00EC0A5D"/>
    <w:rsid w:val="00EC1212"/>
    <w:rsid w:val="00EC18F8"/>
    <w:rsid w:val="00EC1D3D"/>
    <w:rsid w:val="00EC2A0A"/>
    <w:rsid w:val="00EC3331"/>
    <w:rsid w:val="00EC33F0"/>
    <w:rsid w:val="00EC4E7E"/>
    <w:rsid w:val="00EC5D20"/>
    <w:rsid w:val="00EC61F9"/>
    <w:rsid w:val="00EC64EF"/>
    <w:rsid w:val="00EC65F3"/>
    <w:rsid w:val="00EC677E"/>
    <w:rsid w:val="00EC7073"/>
    <w:rsid w:val="00EC71DA"/>
    <w:rsid w:val="00EC76A0"/>
    <w:rsid w:val="00EC7E67"/>
    <w:rsid w:val="00ED0D6C"/>
    <w:rsid w:val="00ED1ED1"/>
    <w:rsid w:val="00ED293E"/>
    <w:rsid w:val="00ED29CC"/>
    <w:rsid w:val="00ED30D4"/>
    <w:rsid w:val="00ED4667"/>
    <w:rsid w:val="00ED4846"/>
    <w:rsid w:val="00ED4B32"/>
    <w:rsid w:val="00ED5B5C"/>
    <w:rsid w:val="00ED5BF3"/>
    <w:rsid w:val="00ED6467"/>
    <w:rsid w:val="00ED70BD"/>
    <w:rsid w:val="00ED7819"/>
    <w:rsid w:val="00EE0B3E"/>
    <w:rsid w:val="00EE0CCE"/>
    <w:rsid w:val="00EE1F81"/>
    <w:rsid w:val="00EE2698"/>
    <w:rsid w:val="00EE378B"/>
    <w:rsid w:val="00EE37BB"/>
    <w:rsid w:val="00EE5145"/>
    <w:rsid w:val="00EE524B"/>
    <w:rsid w:val="00EE53BF"/>
    <w:rsid w:val="00EE5659"/>
    <w:rsid w:val="00EE5F9F"/>
    <w:rsid w:val="00EE6B67"/>
    <w:rsid w:val="00EE6EBC"/>
    <w:rsid w:val="00EE6F05"/>
    <w:rsid w:val="00EF064B"/>
    <w:rsid w:val="00EF0DD1"/>
    <w:rsid w:val="00EF1851"/>
    <w:rsid w:val="00EF3FAC"/>
    <w:rsid w:val="00EF4099"/>
    <w:rsid w:val="00EF4758"/>
    <w:rsid w:val="00EF4DAD"/>
    <w:rsid w:val="00EF55CE"/>
    <w:rsid w:val="00EF6BDC"/>
    <w:rsid w:val="00F0002F"/>
    <w:rsid w:val="00F0043F"/>
    <w:rsid w:val="00F008CE"/>
    <w:rsid w:val="00F01C4C"/>
    <w:rsid w:val="00F0239D"/>
    <w:rsid w:val="00F0277D"/>
    <w:rsid w:val="00F02786"/>
    <w:rsid w:val="00F03034"/>
    <w:rsid w:val="00F03F75"/>
    <w:rsid w:val="00F0434F"/>
    <w:rsid w:val="00F04F14"/>
    <w:rsid w:val="00F06054"/>
    <w:rsid w:val="00F0670F"/>
    <w:rsid w:val="00F06AD8"/>
    <w:rsid w:val="00F06DFE"/>
    <w:rsid w:val="00F07FA6"/>
    <w:rsid w:val="00F10539"/>
    <w:rsid w:val="00F11BB3"/>
    <w:rsid w:val="00F11F6E"/>
    <w:rsid w:val="00F1204A"/>
    <w:rsid w:val="00F123B2"/>
    <w:rsid w:val="00F13036"/>
    <w:rsid w:val="00F137DF"/>
    <w:rsid w:val="00F139E9"/>
    <w:rsid w:val="00F14AA4"/>
    <w:rsid w:val="00F151D5"/>
    <w:rsid w:val="00F15D27"/>
    <w:rsid w:val="00F16295"/>
    <w:rsid w:val="00F17CF1"/>
    <w:rsid w:val="00F20183"/>
    <w:rsid w:val="00F21679"/>
    <w:rsid w:val="00F21D1A"/>
    <w:rsid w:val="00F22865"/>
    <w:rsid w:val="00F22FEC"/>
    <w:rsid w:val="00F2321B"/>
    <w:rsid w:val="00F23967"/>
    <w:rsid w:val="00F23DF6"/>
    <w:rsid w:val="00F2439E"/>
    <w:rsid w:val="00F24AE8"/>
    <w:rsid w:val="00F24D75"/>
    <w:rsid w:val="00F24F83"/>
    <w:rsid w:val="00F25DA9"/>
    <w:rsid w:val="00F261E3"/>
    <w:rsid w:val="00F262B6"/>
    <w:rsid w:val="00F27335"/>
    <w:rsid w:val="00F2797C"/>
    <w:rsid w:val="00F314A7"/>
    <w:rsid w:val="00F33641"/>
    <w:rsid w:val="00F3464F"/>
    <w:rsid w:val="00F34B2F"/>
    <w:rsid w:val="00F34F33"/>
    <w:rsid w:val="00F3503D"/>
    <w:rsid w:val="00F35424"/>
    <w:rsid w:val="00F35C58"/>
    <w:rsid w:val="00F35E1C"/>
    <w:rsid w:val="00F3659B"/>
    <w:rsid w:val="00F36D1F"/>
    <w:rsid w:val="00F37379"/>
    <w:rsid w:val="00F3769E"/>
    <w:rsid w:val="00F37A7A"/>
    <w:rsid w:val="00F40F06"/>
    <w:rsid w:val="00F4181B"/>
    <w:rsid w:val="00F42418"/>
    <w:rsid w:val="00F42669"/>
    <w:rsid w:val="00F431A8"/>
    <w:rsid w:val="00F438D0"/>
    <w:rsid w:val="00F44B4F"/>
    <w:rsid w:val="00F452E9"/>
    <w:rsid w:val="00F45E02"/>
    <w:rsid w:val="00F46A00"/>
    <w:rsid w:val="00F46F8F"/>
    <w:rsid w:val="00F4702E"/>
    <w:rsid w:val="00F4749B"/>
    <w:rsid w:val="00F504A9"/>
    <w:rsid w:val="00F5085D"/>
    <w:rsid w:val="00F514FB"/>
    <w:rsid w:val="00F5312C"/>
    <w:rsid w:val="00F534B6"/>
    <w:rsid w:val="00F54B69"/>
    <w:rsid w:val="00F56CE9"/>
    <w:rsid w:val="00F606D7"/>
    <w:rsid w:val="00F61151"/>
    <w:rsid w:val="00F61501"/>
    <w:rsid w:val="00F618F2"/>
    <w:rsid w:val="00F627A6"/>
    <w:rsid w:val="00F635D3"/>
    <w:rsid w:val="00F63BAC"/>
    <w:rsid w:val="00F64ECE"/>
    <w:rsid w:val="00F668C5"/>
    <w:rsid w:val="00F67B6E"/>
    <w:rsid w:val="00F70729"/>
    <w:rsid w:val="00F723BE"/>
    <w:rsid w:val="00F734D4"/>
    <w:rsid w:val="00F738D6"/>
    <w:rsid w:val="00F739F7"/>
    <w:rsid w:val="00F73D74"/>
    <w:rsid w:val="00F75861"/>
    <w:rsid w:val="00F76357"/>
    <w:rsid w:val="00F766D5"/>
    <w:rsid w:val="00F77765"/>
    <w:rsid w:val="00F77EC3"/>
    <w:rsid w:val="00F811C1"/>
    <w:rsid w:val="00F81DC1"/>
    <w:rsid w:val="00F81DFB"/>
    <w:rsid w:val="00F831AA"/>
    <w:rsid w:val="00F8443B"/>
    <w:rsid w:val="00F84DDA"/>
    <w:rsid w:val="00F8528D"/>
    <w:rsid w:val="00F85E98"/>
    <w:rsid w:val="00F86C22"/>
    <w:rsid w:val="00F9305F"/>
    <w:rsid w:val="00F930B8"/>
    <w:rsid w:val="00F93FC0"/>
    <w:rsid w:val="00F959A7"/>
    <w:rsid w:val="00F95C0F"/>
    <w:rsid w:val="00F9641D"/>
    <w:rsid w:val="00F96899"/>
    <w:rsid w:val="00F97129"/>
    <w:rsid w:val="00FA0409"/>
    <w:rsid w:val="00FA08DB"/>
    <w:rsid w:val="00FA13DA"/>
    <w:rsid w:val="00FA1B10"/>
    <w:rsid w:val="00FA211C"/>
    <w:rsid w:val="00FA3928"/>
    <w:rsid w:val="00FA3A0B"/>
    <w:rsid w:val="00FA4403"/>
    <w:rsid w:val="00FA4DF4"/>
    <w:rsid w:val="00FA56DA"/>
    <w:rsid w:val="00FA7486"/>
    <w:rsid w:val="00FA7774"/>
    <w:rsid w:val="00FA7C8B"/>
    <w:rsid w:val="00FA7EC9"/>
    <w:rsid w:val="00FB0249"/>
    <w:rsid w:val="00FB1EF1"/>
    <w:rsid w:val="00FB4E2E"/>
    <w:rsid w:val="00FB5B94"/>
    <w:rsid w:val="00FB793A"/>
    <w:rsid w:val="00FC0909"/>
    <w:rsid w:val="00FC0920"/>
    <w:rsid w:val="00FC1705"/>
    <w:rsid w:val="00FC19BF"/>
    <w:rsid w:val="00FC1FC8"/>
    <w:rsid w:val="00FC448F"/>
    <w:rsid w:val="00FC5755"/>
    <w:rsid w:val="00FC5BEF"/>
    <w:rsid w:val="00FC5D6D"/>
    <w:rsid w:val="00FC5E92"/>
    <w:rsid w:val="00FC636D"/>
    <w:rsid w:val="00FC70DC"/>
    <w:rsid w:val="00FC7883"/>
    <w:rsid w:val="00FD0759"/>
    <w:rsid w:val="00FD0C2F"/>
    <w:rsid w:val="00FD10AF"/>
    <w:rsid w:val="00FD1929"/>
    <w:rsid w:val="00FD1FD6"/>
    <w:rsid w:val="00FD21EA"/>
    <w:rsid w:val="00FD2C35"/>
    <w:rsid w:val="00FD3A69"/>
    <w:rsid w:val="00FD46EE"/>
    <w:rsid w:val="00FD47A3"/>
    <w:rsid w:val="00FD481F"/>
    <w:rsid w:val="00FD6657"/>
    <w:rsid w:val="00FD7C75"/>
    <w:rsid w:val="00FE030D"/>
    <w:rsid w:val="00FE045A"/>
    <w:rsid w:val="00FE1092"/>
    <w:rsid w:val="00FE1443"/>
    <w:rsid w:val="00FE17D3"/>
    <w:rsid w:val="00FE1E8E"/>
    <w:rsid w:val="00FE460E"/>
    <w:rsid w:val="00FE6C25"/>
    <w:rsid w:val="00FE7D4B"/>
    <w:rsid w:val="00FF032E"/>
    <w:rsid w:val="00FF0735"/>
    <w:rsid w:val="00FF1A54"/>
    <w:rsid w:val="00FF1B57"/>
    <w:rsid w:val="00FF1D3D"/>
    <w:rsid w:val="00FF2183"/>
    <w:rsid w:val="00FF558D"/>
    <w:rsid w:val="00FF6ADB"/>
    <w:rsid w:val="00FF7A5B"/>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46A9"/>
  <w15:docId w15:val="{18F2706E-4CB5-4371-A062-3109CF23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footnote text,Style 13,Style 12,Style 28,(NECG) Footnote Reference,Style 11,Style 9,Style 16,Style 15,o1,fr1,o2,fr2,o3,fr3"/>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FOOTNOTE"/>
    <w:basedOn w:val="Normal"/>
    <w:link w:val="FootnoteTextChar"/>
    <w:uiPriority w:val="99"/>
    <w:unhideWhenUsed/>
    <w:qFormat/>
    <w:rsid w:val="001B7DA2"/>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 w:type="paragraph" w:customStyle="1" w:styleId="Default">
    <w:name w:val="Default"/>
    <w:rsid w:val="009842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F76F4"/>
    <w:pPr>
      <w:ind w:left="720"/>
      <w:contextualSpacing/>
    </w:pPr>
  </w:style>
  <w:style w:type="character" w:customStyle="1" w:styleId="UnresolvedMention1">
    <w:name w:val="Unresolved Mention1"/>
    <w:basedOn w:val="DefaultParagraphFont"/>
    <w:uiPriority w:val="99"/>
    <w:semiHidden/>
    <w:unhideWhenUsed/>
    <w:rsid w:val="006355C7"/>
    <w:rPr>
      <w:color w:val="605E5C"/>
      <w:shd w:val="clear" w:color="auto" w:fill="E1DFDD"/>
    </w:rPr>
  </w:style>
  <w:style w:type="character" w:styleId="UnresolvedMention">
    <w:name w:val="Unresolved Mention"/>
    <w:basedOn w:val="DefaultParagraphFont"/>
    <w:uiPriority w:val="99"/>
    <w:semiHidden/>
    <w:unhideWhenUsed/>
    <w:rsid w:val="00BA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896941521">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8851-D5B0-4D8B-B0EE-4EEDCAC4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265AE-5005-4F93-A6C3-D4DAD31E1AE5}">
  <ds:schemaRefs>
    <ds:schemaRef ds:uri="http://schemas.microsoft.com/sharepoint/v3/contenttype/forms"/>
  </ds:schemaRefs>
</ds:datastoreItem>
</file>

<file path=customXml/itemProps3.xml><?xml version="1.0" encoding="utf-8"?>
<ds:datastoreItem xmlns:ds="http://schemas.openxmlformats.org/officeDocument/2006/customXml" ds:itemID="{B671D85F-7C74-4C06-A74D-A0511D8B3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7B7056-307F-4DB0-9FD3-0C661EDE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Sheffer, Ryan</cp:lastModifiedBy>
  <cp:revision>8</cp:revision>
  <cp:lastPrinted>2020-02-19T15:29:00Z</cp:lastPrinted>
  <dcterms:created xsi:type="dcterms:W3CDTF">2021-10-18T17:17:00Z</dcterms:created>
  <dcterms:modified xsi:type="dcterms:W3CDTF">2021-10-28T10:53:00Z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