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D6AB" w14:textId="77777777" w:rsidR="00F44833" w:rsidRPr="00BB06DE"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B06DE">
        <w:rPr>
          <w:rFonts w:ascii="Times New Roman" w:eastAsia="Times New Roman" w:hAnsi="Times New Roman" w:cs="Times New Roman"/>
          <w:b/>
          <w:spacing w:val="-3"/>
          <w:sz w:val="26"/>
          <w:szCs w:val="26"/>
        </w:rPr>
        <w:t>PENNSYLVANIA</w:t>
      </w:r>
    </w:p>
    <w:p w14:paraId="327B5196" w14:textId="77777777" w:rsidR="00F44833" w:rsidRPr="00BB06DE"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B06DE">
        <w:rPr>
          <w:rFonts w:ascii="Times New Roman" w:eastAsia="Times New Roman" w:hAnsi="Times New Roman" w:cs="Times New Roman"/>
          <w:b/>
          <w:spacing w:val="-3"/>
          <w:sz w:val="26"/>
          <w:szCs w:val="26"/>
        </w:rPr>
        <w:t>PUBLIC UTILITY COMMISSION</w:t>
      </w:r>
    </w:p>
    <w:p w14:paraId="3FF5BDE3" w14:textId="75568098" w:rsidR="00F44833" w:rsidRPr="00BB06DE"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BB06DE">
        <w:rPr>
          <w:rFonts w:ascii="Times New Roman" w:eastAsia="Times New Roman" w:hAnsi="Times New Roman" w:cs="Times New Roman"/>
          <w:b/>
          <w:spacing w:val="-3"/>
          <w:sz w:val="26"/>
          <w:szCs w:val="26"/>
        </w:rPr>
        <w:t xml:space="preserve">Harrisburg, PA </w:t>
      </w:r>
      <w:r w:rsidR="00DE3983">
        <w:rPr>
          <w:rFonts w:ascii="Times New Roman" w:eastAsia="Times New Roman" w:hAnsi="Times New Roman" w:cs="Times New Roman"/>
          <w:b/>
          <w:spacing w:val="-3"/>
          <w:sz w:val="26"/>
          <w:szCs w:val="26"/>
        </w:rPr>
        <w:t xml:space="preserve"> </w:t>
      </w:r>
      <w:r w:rsidR="00384E59" w:rsidRPr="00BB06DE">
        <w:rPr>
          <w:rFonts w:ascii="Times New Roman" w:eastAsia="Times New Roman" w:hAnsi="Times New Roman" w:cs="Times New Roman"/>
          <w:b/>
          <w:spacing w:val="-3"/>
          <w:sz w:val="26"/>
          <w:szCs w:val="26"/>
        </w:rPr>
        <w:t>17120</w:t>
      </w:r>
    </w:p>
    <w:p w14:paraId="51827180" w14:textId="1F52198D" w:rsidR="00F44833" w:rsidRPr="00BB06DE"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2BAB0546" w14:textId="77777777" w:rsidR="00384E59" w:rsidRPr="00BB06DE" w:rsidRDefault="00384E59"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144912A5" w14:textId="33284AF1" w:rsidR="00F44833" w:rsidRPr="00BB06DE" w:rsidRDefault="00F44833" w:rsidP="00060D64">
      <w:pPr>
        <w:tabs>
          <w:tab w:val="left" w:pos="-720"/>
        </w:tabs>
        <w:suppressAutoHyphens/>
        <w:spacing w:after="0" w:line="240" w:lineRule="auto"/>
        <w:jc w:val="right"/>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Public Meeting held </w:t>
      </w:r>
      <w:r w:rsidR="0010149E" w:rsidRPr="00BB06DE">
        <w:rPr>
          <w:rFonts w:ascii="Times New Roman" w:eastAsia="Times New Roman" w:hAnsi="Times New Roman" w:cs="Times New Roman"/>
          <w:sz w:val="26"/>
          <w:szCs w:val="26"/>
        </w:rPr>
        <w:t xml:space="preserve">October </w:t>
      </w:r>
      <w:r w:rsidR="00BF0717" w:rsidRPr="00BB06DE">
        <w:rPr>
          <w:rFonts w:ascii="Times New Roman" w:eastAsia="Times New Roman" w:hAnsi="Times New Roman" w:cs="Times New Roman"/>
          <w:sz w:val="26"/>
          <w:szCs w:val="26"/>
        </w:rPr>
        <w:t>28</w:t>
      </w:r>
      <w:r w:rsidR="006A0373" w:rsidRPr="00BB06DE">
        <w:rPr>
          <w:rFonts w:ascii="Times New Roman" w:eastAsia="Times New Roman" w:hAnsi="Times New Roman" w:cs="Times New Roman"/>
          <w:sz w:val="26"/>
          <w:szCs w:val="26"/>
        </w:rPr>
        <w:t>, 202</w:t>
      </w:r>
      <w:r w:rsidR="00CB6C24" w:rsidRPr="00BB06DE">
        <w:rPr>
          <w:rFonts w:ascii="Times New Roman" w:eastAsia="Times New Roman" w:hAnsi="Times New Roman" w:cs="Times New Roman"/>
          <w:sz w:val="26"/>
          <w:szCs w:val="26"/>
        </w:rPr>
        <w:t>1</w:t>
      </w:r>
    </w:p>
    <w:p w14:paraId="525D00EF" w14:textId="77777777" w:rsidR="00F44833" w:rsidRPr="00BB06DE"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4F9A51E" w14:textId="77777777" w:rsidR="00F44833" w:rsidRPr="00BB06DE"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08405701" w14:textId="77777777" w:rsidR="00F44833" w:rsidRPr="00BB06DE"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Commissioners Present: </w:t>
      </w:r>
    </w:p>
    <w:p w14:paraId="27567271" w14:textId="77777777" w:rsidR="00F44833" w:rsidRPr="00BB06DE"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76DB8DD" w14:textId="1966C913" w:rsidR="006A0373" w:rsidRPr="00BB06DE" w:rsidRDefault="006A0373" w:rsidP="00BC69AB">
      <w:pPr>
        <w:suppressAutoHyphens/>
        <w:spacing w:after="0" w:line="240" w:lineRule="auto"/>
        <w:ind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Gladys Brown Dutrieuille, Chairman</w:t>
      </w:r>
    </w:p>
    <w:p w14:paraId="3CE83DE8" w14:textId="26820A72" w:rsidR="006A0373" w:rsidRPr="00BB06DE"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John F. Coleman, Jr.</w:t>
      </w:r>
      <w:r w:rsidR="00F56F30">
        <w:rPr>
          <w:rFonts w:ascii="Times New Roman" w:eastAsia="Times New Roman" w:hAnsi="Times New Roman" w:cs="Times New Roman"/>
          <w:sz w:val="26"/>
          <w:szCs w:val="26"/>
        </w:rPr>
        <w:t>, Vice Chairman</w:t>
      </w:r>
    </w:p>
    <w:p w14:paraId="349BCEFD" w14:textId="77777777" w:rsidR="006A0373" w:rsidRPr="00BB06DE" w:rsidRDefault="006A0373" w:rsidP="006A0373">
      <w:pPr>
        <w:tabs>
          <w:tab w:val="left" w:pos="705"/>
        </w:tabs>
        <w:spacing w:after="0" w:line="240" w:lineRule="auto"/>
        <w:ind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Ralph V. Yanora</w:t>
      </w:r>
    </w:p>
    <w:p w14:paraId="674E1C4C" w14:textId="53F7ADC0" w:rsidR="00D662B2" w:rsidRPr="00BB06DE" w:rsidRDefault="00D662B2" w:rsidP="00F44833">
      <w:pPr>
        <w:tabs>
          <w:tab w:val="left" w:pos="-720"/>
        </w:tabs>
        <w:suppressAutoHyphens/>
        <w:spacing w:after="0" w:line="240" w:lineRule="auto"/>
        <w:rPr>
          <w:rFonts w:ascii="Times New Roman" w:eastAsia="Times New Roman" w:hAnsi="Times New Roman" w:cs="Times New Roman"/>
          <w:sz w:val="26"/>
          <w:szCs w:val="26"/>
        </w:rPr>
      </w:pPr>
    </w:p>
    <w:p w14:paraId="3AA07E81" w14:textId="77777777" w:rsidR="000C58A3" w:rsidRPr="00BB06DE" w:rsidRDefault="000C58A3" w:rsidP="00F44833">
      <w:pPr>
        <w:tabs>
          <w:tab w:val="left" w:pos="-720"/>
        </w:tabs>
        <w:suppressAutoHyphens/>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p>
    <w:tbl>
      <w:tblPr>
        <w:tblW w:w="9828" w:type="dxa"/>
        <w:tblLayout w:type="fixed"/>
        <w:tblLook w:val="0000" w:firstRow="0" w:lastRow="0" w:firstColumn="0" w:lastColumn="0" w:noHBand="0" w:noVBand="0"/>
      </w:tblPr>
      <w:tblGrid>
        <w:gridCol w:w="5238"/>
        <w:gridCol w:w="1080"/>
        <w:gridCol w:w="3510"/>
      </w:tblGrid>
      <w:tr w:rsidR="00F44833" w:rsidRPr="00BB06DE" w14:paraId="0D66FEAB" w14:textId="77777777" w:rsidTr="00E509B9">
        <w:tc>
          <w:tcPr>
            <w:tcW w:w="5238" w:type="dxa"/>
          </w:tcPr>
          <w:p w14:paraId="3A3E2BD3" w14:textId="77777777" w:rsidR="00F44833" w:rsidRPr="00BB06DE" w:rsidRDefault="00F44833" w:rsidP="00D662B2">
            <w:pPr>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Pennsylvania Public Utility Commission,</w:t>
            </w:r>
          </w:p>
          <w:p w14:paraId="7E241145" w14:textId="77777777" w:rsidR="00F44833" w:rsidRPr="00BB06DE" w:rsidRDefault="00F44833" w:rsidP="00D662B2">
            <w:pPr>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Bureau of Investigation and Enforcement  </w:t>
            </w:r>
          </w:p>
          <w:p w14:paraId="48B7792E" w14:textId="77777777" w:rsidR="00F44833" w:rsidRPr="00BB06DE" w:rsidRDefault="00F44833" w:rsidP="00D662B2">
            <w:pPr>
              <w:spacing w:after="0" w:line="240" w:lineRule="auto"/>
              <w:rPr>
                <w:rFonts w:ascii="Times New Roman" w:eastAsia="Times New Roman" w:hAnsi="Times New Roman" w:cs="Times New Roman"/>
                <w:sz w:val="26"/>
                <w:szCs w:val="26"/>
              </w:rPr>
            </w:pPr>
          </w:p>
          <w:p w14:paraId="41B0AFF4" w14:textId="671154B9" w:rsidR="00F44833" w:rsidRPr="00BB06DE" w:rsidRDefault="00F44833" w:rsidP="00D662B2">
            <w:pPr>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t>v.</w:t>
            </w:r>
          </w:p>
          <w:p w14:paraId="325B001A" w14:textId="77777777" w:rsidR="00F44833" w:rsidRPr="00BB06DE" w:rsidRDefault="00F44833" w:rsidP="00D662B2">
            <w:pPr>
              <w:spacing w:after="0" w:line="240" w:lineRule="auto"/>
              <w:rPr>
                <w:rFonts w:ascii="Times New Roman" w:eastAsia="Times New Roman" w:hAnsi="Times New Roman" w:cs="Times New Roman"/>
                <w:sz w:val="26"/>
                <w:szCs w:val="26"/>
              </w:rPr>
            </w:pPr>
          </w:p>
          <w:p w14:paraId="681FC4D4" w14:textId="37777813" w:rsidR="00F44833" w:rsidRPr="00BB06DE" w:rsidRDefault="00AD104D" w:rsidP="00D662B2">
            <w:pPr>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Clearview Electric, Inc. </w:t>
            </w:r>
            <w:r w:rsidR="00E43495" w:rsidRPr="00BB06DE">
              <w:rPr>
                <w:rFonts w:ascii="Times New Roman" w:eastAsia="Times New Roman" w:hAnsi="Times New Roman" w:cs="Times New Roman"/>
                <w:sz w:val="26"/>
                <w:szCs w:val="26"/>
              </w:rPr>
              <w:t xml:space="preserve">d/b/a Clearview Energy </w:t>
            </w:r>
          </w:p>
          <w:p w14:paraId="25CEDBA0" w14:textId="77777777" w:rsidR="00F44833" w:rsidRPr="00BB06DE" w:rsidRDefault="00F44833" w:rsidP="00D662B2">
            <w:pPr>
              <w:spacing w:after="0" w:line="240" w:lineRule="auto"/>
              <w:rPr>
                <w:rFonts w:ascii="Times New Roman" w:eastAsia="Times New Roman" w:hAnsi="Times New Roman" w:cs="Times New Roman"/>
                <w:sz w:val="26"/>
                <w:szCs w:val="26"/>
              </w:rPr>
            </w:pPr>
          </w:p>
        </w:tc>
        <w:tc>
          <w:tcPr>
            <w:tcW w:w="1080" w:type="dxa"/>
          </w:tcPr>
          <w:p w14:paraId="0BCC3E1A" w14:textId="77777777" w:rsidR="00F44833" w:rsidRPr="00BB06DE" w:rsidRDefault="00F44833" w:rsidP="00D662B2">
            <w:pPr>
              <w:suppressAutoHyphens/>
              <w:spacing w:after="0" w:line="240" w:lineRule="auto"/>
              <w:rPr>
                <w:rFonts w:ascii="Times New Roman" w:eastAsia="Times New Roman" w:hAnsi="Times New Roman" w:cs="Times New Roman"/>
                <w:sz w:val="26"/>
                <w:szCs w:val="26"/>
              </w:rPr>
            </w:pPr>
          </w:p>
        </w:tc>
        <w:tc>
          <w:tcPr>
            <w:tcW w:w="3510" w:type="dxa"/>
          </w:tcPr>
          <w:p w14:paraId="35772F08" w14:textId="01C571A7" w:rsidR="00F44833" w:rsidRPr="00BB06DE" w:rsidRDefault="005A494E" w:rsidP="00D662B2">
            <w:pPr>
              <w:suppressAutoHyphens/>
              <w:spacing w:after="0" w:line="240" w:lineRule="auto"/>
              <w:ind w:right="252"/>
              <w:jc w:val="right"/>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C</w:t>
            </w:r>
            <w:r w:rsidR="00F44833" w:rsidRPr="00BB06DE">
              <w:rPr>
                <w:rFonts w:ascii="Times New Roman" w:eastAsia="Times New Roman" w:hAnsi="Times New Roman" w:cs="Times New Roman"/>
                <w:sz w:val="26"/>
                <w:szCs w:val="26"/>
              </w:rPr>
              <w:t>-20</w:t>
            </w:r>
            <w:r w:rsidR="006A0373" w:rsidRPr="00BB06DE">
              <w:rPr>
                <w:rFonts w:ascii="Times New Roman" w:eastAsia="Times New Roman" w:hAnsi="Times New Roman" w:cs="Times New Roman"/>
                <w:sz w:val="26"/>
                <w:szCs w:val="26"/>
              </w:rPr>
              <w:t>20-</w:t>
            </w:r>
            <w:r w:rsidR="00EB7817" w:rsidRPr="00BB06DE">
              <w:rPr>
                <w:rFonts w:ascii="Times New Roman" w:eastAsia="Times New Roman" w:hAnsi="Times New Roman" w:cs="Times New Roman"/>
                <w:sz w:val="26"/>
                <w:szCs w:val="26"/>
              </w:rPr>
              <w:t>30</w:t>
            </w:r>
            <w:r w:rsidR="00AD104D" w:rsidRPr="00BB06DE">
              <w:rPr>
                <w:rFonts w:ascii="Times New Roman" w:eastAsia="Times New Roman" w:hAnsi="Times New Roman" w:cs="Times New Roman"/>
                <w:sz w:val="26"/>
                <w:szCs w:val="26"/>
              </w:rPr>
              <w:t>20127</w:t>
            </w:r>
          </w:p>
          <w:p w14:paraId="3854199A" w14:textId="77777777" w:rsidR="00F44833" w:rsidRPr="00BB06DE" w:rsidRDefault="00F44833" w:rsidP="00D662B2">
            <w:pPr>
              <w:suppressAutoHyphens/>
              <w:spacing w:after="0" w:line="240" w:lineRule="auto"/>
              <w:rPr>
                <w:rFonts w:ascii="Times New Roman" w:eastAsia="Times New Roman" w:hAnsi="Times New Roman" w:cs="Times New Roman"/>
                <w:sz w:val="26"/>
                <w:szCs w:val="26"/>
              </w:rPr>
            </w:pPr>
          </w:p>
        </w:tc>
      </w:tr>
    </w:tbl>
    <w:p w14:paraId="434491CE" w14:textId="77777777" w:rsidR="00F44833" w:rsidRPr="00BB06DE" w:rsidRDefault="00F44833" w:rsidP="00F44833">
      <w:pPr>
        <w:keepNext/>
        <w:tabs>
          <w:tab w:val="center" w:pos="4680"/>
        </w:tabs>
        <w:suppressAutoHyphens/>
        <w:spacing w:after="0" w:line="360" w:lineRule="auto"/>
        <w:outlineLvl w:val="0"/>
        <w:rPr>
          <w:rFonts w:ascii="Times New Roman" w:eastAsia="Times New Roman" w:hAnsi="Times New Roman" w:cs="Times New Roman"/>
          <w:b/>
          <w:sz w:val="26"/>
          <w:szCs w:val="26"/>
        </w:rPr>
      </w:pPr>
    </w:p>
    <w:p w14:paraId="389A61B4" w14:textId="77777777" w:rsidR="00F44833" w:rsidRPr="00BB06DE"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6"/>
        </w:rPr>
      </w:pPr>
      <w:r w:rsidRPr="00BB06DE">
        <w:rPr>
          <w:rFonts w:ascii="Times New Roman" w:eastAsia="Times New Roman" w:hAnsi="Times New Roman" w:cs="Times New Roman"/>
          <w:b/>
          <w:caps/>
          <w:sz w:val="26"/>
          <w:szCs w:val="26"/>
        </w:rPr>
        <w:t>Opinion and Order</w:t>
      </w:r>
    </w:p>
    <w:p w14:paraId="15A31660" w14:textId="77777777" w:rsidR="00F44833" w:rsidRPr="00BB06DE"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14:paraId="2C9E2E81" w14:textId="77777777" w:rsidR="00F44833" w:rsidRPr="00BB06DE"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b/>
          <w:sz w:val="26"/>
          <w:szCs w:val="26"/>
        </w:rPr>
        <w:t>BY THE COMMISSION:</w:t>
      </w:r>
    </w:p>
    <w:p w14:paraId="4B6AC53B" w14:textId="77777777" w:rsidR="00F44833" w:rsidRPr="00BB06DE" w:rsidRDefault="00F44833" w:rsidP="00DE3983">
      <w:pPr>
        <w:tabs>
          <w:tab w:val="left" w:pos="-720"/>
        </w:tabs>
        <w:suppressAutoHyphens/>
        <w:spacing w:after="0" w:line="240" w:lineRule="auto"/>
        <w:rPr>
          <w:rFonts w:ascii="Times New Roman" w:eastAsia="Times New Roman" w:hAnsi="Times New Roman" w:cs="Times New Roman"/>
          <w:sz w:val="26"/>
          <w:szCs w:val="26"/>
        </w:rPr>
      </w:pPr>
    </w:p>
    <w:p w14:paraId="5A1D5561" w14:textId="609E867E" w:rsidR="00F44833" w:rsidRPr="00BB06DE" w:rsidRDefault="00F44833" w:rsidP="00564AAB">
      <w:pPr>
        <w:tabs>
          <w:tab w:val="left" w:pos="-72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 xml:space="preserve">Before the Pennsylvania Public Utility Commission (Commission) for consideration and disposition is a </w:t>
      </w:r>
      <w:r w:rsidR="0017455F" w:rsidRPr="00BB06DE">
        <w:rPr>
          <w:rFonts w:ascii="Times New Roman" w:eastAsia="Times New Roman" w:hAnsi="Times New Roman" w:cs="Times New Roman"/>
          <w:sz w:val="26"/>
          <w:szCs w:val="26"/>
        </w:rPr>
        <w:t>Joint Petition for Approval of</w:t>
      </w:r>
      <w:r w:rsidRPr="00BB06DE">
        <w:rPr>
          <w:rFonts w:ascii="Times New Roman" w:eastAsia="Times New Roman" w:hAnsi="Times New Roman" w:cs="Times New Roman"/>
          <w:sz w:val="26"/>
          <w:szCs w:val="26"/>
        </w:rPr>
        <w:t xml:space="preserve"> </w:t>
      </w:r>
      <w:r w:rsidR="001B2B83" w:rsidRPr="00BB06DE">
        <w:rPr>
          <w:rFonts w:ascii="Times New Roman" w:eastAsia="Times New Roman" w:hAnsi="Times New Roman" w:cs="Times New Roman"/>
          <w:sz w:val="26"/>
          <w:szCs w:val="26"/>
        </w:rPr>
        <w:t>Settlement (Settlement</w:t>
      </w:r>
      <w:r w:rsidR="00006E89" w:rsidRPr="00BB06DE">
        <w:rPr>
          <w:rFonts w:ascii="Times New Roman" w:eastAsia="Times New Roman" w:hAnsi="Times New Roman" w:cs="Times New Roman"/>
          <w:sz w:val="26"/>
          <w:szCs w:val="26"/>
        </w:rPr>
        <w:t xml:space="preserve"> or Settlement Agreement</w:t>
      </w:r>
      <w:r w:rsidR="001B2B83"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 xml:space="preserve">filed on </w:t>
      </w:r>
      <w:r w:rsidR="004D1621" w:rsidRPr="00BB06DE">
        <w:rPr>
          <w:rFonts w:ascii="Times New Roman" w:eastAsia="Times New Roman" w:hAnsi="Times New Roman" w:cs="Times New Roman"/>
          <w:sz w:val="26"/>
          <w:szCs w:val="26"/>
        </w:rPr>
        <w:t>May 13</w:t>
      </w:r>
      <w:r w:rsidR="006A0373" w:rsidRPr="00BB06DE">
        <w:rPr>
          <w:rFonts w:ascii="Times New Roman" w:eastAsia="Times New Roman" w:hAnsi="Times New Roman" w:cs="Times New Roman"/>
          <w:sz w:val="26"/>
          <w:szCs w:val="26"/>
        </w:rPr>
        <w:t>, 202</w:t>
      </w:r>
      <w:r w:rsidR="004D1621" w:rsidRPr="00BB06DE">
        <w:rPr>
          <w:rFonts w:ascii="Times New Roman" w:eastAsia="Times New Roman" w:hAnsi="Times New Roman" w:cs="Times New Roman"/>
          <w:sz w:val="26"/>
          <w:szCs w:val="26"/>
        </w:rPr>
        <w:t>1</w:t>
      </w:r>
      <w:r w:rsidRPr="00BB06DE">
        <w:rPr>
          <w:rFonts w:ascii="Times New Roman" w:eastAsia="Times New Roman" w:hAnsi="Times New Roman" w:cs="Times New Roman"/>
          <w:sz w:val="26"/>
          <w:szCs w:val="26"/>
        </w:rPr>
        <w:t xml:space="preserve">, by the Commission’s Bureau of Investigation and Enforcement (I&amp;E) and </w:t>
      </w:r>
      <w:r w:rsidR="004D1621" w:rsidRPr="00BB06DE">
        <w:rPr>
          <w:rFonts w:ascii="Times New Roman" w:eastAsia="Times New Roman" w:hAnsi="Times New Roman" w:cs="Times New Roman"/>
          <w:sz w:val="26"/>
          <w:szCs w:val="26"/>
        </w:rPr>
        <w:t xml:space="preserve">Clearview Electric, Inc. </w:t>
      </w:r>
      <w:r w:rsidR="00595383" w:rsidRPr="00BB06DE">
        <w:rPr>
          <w:rFonts w:ascii="Times New Roman" w:eastAsia="Times New Roman" w:hAnsi="Times New Roman" w:cs="Times New Roman"/>
          <w:sz w:val="26"/>
          <w:szCs w:val="26"/>
        </w:rPr>
        <w:t xml:space="preserve">d/b/a Clearview Energy </w:t>
      </w:r>
      <w:r w:rsidR="00D331FF" w:rsidRPr="00BB06DE">
        <w:rPr>
          <w:rFonts w:ascii="Times New Roman" w:eastAsia="Times New Roman" w:hAnsi="Times New Roman" w:cs="Times New Roman"/>
          <w:sz w:val="26"/>
          <w:szCs w:val="26"/>
        </w:rPr>
        <w:t>(</w:t>
      </w:r>
      <w:r w:rsidR="00595383" w:rsidRPr="00BB06DE">
        <w:rPr>
          <w:rFonts w:ascii="Times New Roman" w:eastAsia="Times New Roman" w:hAnsi="Times New Roman" w:cs="Times New Roman"/>
          <w:sz w:val="26"/>
          <w:szCs w:val="26"/>
        </w:rPr>
        <w:t>Clearview</w:t>
      </w:r>
      <w:r w:rsidR="00FC0802"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or Company)</w:t>
      </w:r>
      <w:r w:rsidR="00453F85" w:rsidRPr="00BB06DE">
        <w:rPr>
          <w:rFonts w:ascii="Times New Roman" w:eastAsia="Times New Roman" w:hAnsi="Times New Roman" w:cs="Times New Roman"/>
          <w:sz w:val="26"/>
          <w:szCs w:val="26"/>
        </w:rPr>
        <w:t xml:space="preserve">.  </w:t>
      </w:r>
      <w:r w:rsidR="000D1FEC" w:rsidRPr="00BB06DE">
        <w:rPr>
          <w:rFonts w:ascii="Times New Roman" w:eastAsia="Times New Roman" w:hAnsi="Times New Roman" w:cs="Times New Roman"/>
          <w:sz w:val="26"/>
          <w:szCs w:val="26"/>
        </w:rPr>
        <w:t>Both I&amp;E and Clearview filed Statement</w:t>
      </w:r>
      <w:r w:rsidR="00B848CB" w:rsidRPr="00BB06DE">
        <w:rPr>
          <w:rFonts w:ascii="Times New Roman" w:eastAsia="Times New Roman" w:hAnsi="Times New Roman" w:cs="Times New Roman"/>
          <w:sz w:val="26"/>
          <w:szCs w:val="26"/>
        </w:rPr>
        <w:t>s</w:t>
      </w:r>
      <w:r w:rsidR="000D1FEC" w:rsidRPr="00BB06DE">
        <w:rPr>
          <w:rFonts w:ascii="Times New Roman" w:eastAsia="Times New Roman" w:hAnsi="Times New Roman" w:cs="Times New Roman"/>
          <w:sz w:val="26"/>
          <w:szCs w:val="26"/>
        </w:rPr>
        <w:t xml:space="preserve"> in Support of the Settlement (Statement in Support).  For the reasons set forth herein, we approve the Settlement as filed.</w:t>
      </w:r>
    </w:p>
    <w:p w14:paraId="32614820" w14:textId="57085819" w:rsidR="003949AC" w:rsidRPr="00BB06DE" w:rsidRDefault="003949AC" w:rsidP="00BC69AB">
      <w:pPr>
        <w:spacing w:after="0" w:line="360" w:lineRule="auto"/>
        <w:rPr>
          <w:rFonts w:ascii="Times New Roman" w:eastAsia="Times New Roman" w:hAnsi="Times New Roman" w:cs="Times New Roman"/>
          <w:sz w:val="26"/>
          <w:szCs w:val="26"/>
        </w:rPr>
      </w:pPr>
    </w:p>
    <w:p w14:paraId="5918BDF4" w14:textId="77777777" w:rsidR="00F44833" w:rsidRPr="00BB06DE" w:rsidRDefault="00A30ECF" w:rsidP="00BC69AB">
      <w:pPr>
        <w:keepNext/>
        <w:tabs>
          <w:tab w:val="left" w:pos="-720"/>
        </w:tabs>
        <w:suppressAutoHyphens/>
        <w:spacing w:after="0" w:line="360" w:lineRule="auto"/>
        <w:ind w:left="1440" w:hanging="1440"/>
        <w:jc w:val="center"/>
        <w:rPr>
          <w:rFonts w:ascii="Times New Roman" w:eastAsia="Times New Roman" w:hAnsi="Times New Roman" w:cs="Times New Roman"/>
          <w:sz w:val="26"/>
          <w:szCs w:val="26"/>
        </w:rPr>
      </w:pPr>
      <w:r w:rsidRPr="00BB06DE">
        <w:rPr>
          <w:rFonts w:ascii="Times New Roman" w:eastAsia="Times New Roman" w:hAnsi="Times New Roman" w:cs="Times New Roman"/>
          <w:b/>
          <w:sz w:val="26"/>
          <w:szCs w:val="26"/>
        </w:rPr>
        <w:lastRenderedPageBreak/>
        <w:t xml:space="preserve">History of the </w:t>
      </w:r>
      <w:r w:rsidR="0076203D" w:rsidRPr="00BB06DE">
        <w:rPr>
          <w:rFonts w:ascii="Times New Roman" w:eastAsia="Times New Roman" w:hAnsi="Times New Roman" w:cs="Times New Roman"/>
          <w:b/>
          <w:sz w:val="26"/>
          <w:szCs w:val="26"/>
        </w:rPr>
        <w:t>Proceeding</w:t>
      </w:r>
    </w:p>
    <w:p w14:paraId="253C1AAD" w14:textId="77777777" w:rsidR="00F44833" w:rsidRPr="00BB06DE" w:rsidRDefault="00F44833" w:rsidP="00BC69AB">
      <w:pPr>
        <w:keepNext/>
        <w:tabs>
          <w:tab w:val="center" w:pos="0"/>
        </w:tabs>
        <w:suppressAutoHyphens/>
        <w:spacing w:after="0" w:line="360" w:lineRule="auto"/>
        <w:rPr>
          <w:rFonts w:ascii="Times New Roman" w:eastAsia="Times New Roman" w:hAnsi="Times New Roman" w:cs="Times New Roman"/>
          <w:sz w:val="26"/>
          <w:szCs w:val="26"/>
        </w:rPr>
      </w:pPr>
    </w:p>
    <w:p w14:paraId="3FB67E33" w14:textId="0A020047" w:rsidR="006D71EF" w:rsidRPr="00BB06DE" w:rsidRDefault="00FC773F" w:rsidP="00BC69AB">
      <w:pPr>
        <w:keepNext/>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006D71EF" w:rsidRPr="00BB06DE">
        <w:rPr>
          <w:rFonts w:ascii="Times New Roman" w:eastAsia="Times New Roman" w:hAnsi="Times New Roman" w:cs="Times New Roman"/>
          <w:sz w:val="26"/>
          <w:szCs w:val="26"/>
        </w:rPr>
        <w:t xml:space="preserve">This matter concerns </w:t>
      </w:r>
      <w:r w:rsidR="00026C34" w:rsidRPr="00BB06DE">
        <w:rPr>
          <w:rFonts w:ascii="Times New Roman" w:eastAsia="Times New Roman" w:hAnsi="Times New Roman" w:cs="Times New Roman"/>
          <w:sz w:val="26"/>
          <w:szCs w:val="26"/>
        </w:rPr>
        <w:t>an incident</w:t>
      </w:r>
      <w:r w:rsidR="00A8682F" w:rsidRPr="00BB06DE">
        <w:rPr>
          <w:rFonts w:ascii="Times New Roman" w:eastAsia="Times New Roman" w:hAnsi="Times New Roman" w:cs="Times New Roman"/>
          <w:sz w:val="26"/>
          <w:szCs w:val="26"/>
        </w:rPr>
        <w:t xml:space="preserve"> </w:t>
      </w:r>
      <w:r w:rsidR="00442A5F" w:rsidRPr="00BB06DE">
        <w:rPr>
          <w:rFonts w:ascii="Times New Roman" w:eastAsia="Times New Roman" w:hAnsi="Times New Roman" w:cs="Times New Roman"/>
          <w:sz w:val="26"/>
          <w:szCs w:val="26"/>
        </w:rPr>
        <w:t>in June 2017</w:t>
      </w:r>
      <w:r w:rsidR="00026C34" w:rsidRPr="00BB06DE">
        <w:rPr>
          <w:rFonts w:ascii="Times New Roman" w:eastAsia="Times New Roman" w:hAnsi="Times New Roman" w:cs="Times New Roman"/>
          <w:sz w:val="26"/>
          <w:szCs w:val="26"/>
        </w:rPr>
        <w:t xml:space="preserve"> involving an </w:t>
      </w:r>
      <w:r w:rsidR="00CC5201" w:rsidRPr="00BB06DE">
        <w:rPr>
          <w:rFonts w:ascii="Times New Roman" w:eastAsia="Times New Roman" w:hAnsi="Times New Roman" w:cs="Times New Roman"/>
          <w:sz w:val="26"/>
          <w:szCs w:val="26"/>
        </w:rPr>
        <w:t>elderly person from Wiconisco Township</w:t>
      </w:r>
      <w:r w:rsidR="00124414" w:rsidRPr="00BB06DE">
        <w:rPr>
          <w:rFonts w:ascii="Times New Roman" w:eastAsia="Times New Roman" w:hAnsi="Times New Roman" w:cs="Times New Roman"/>
          <w:sz w:val="26"/>
          <w:szCs w:val="26"/>
        </w:rPr>
        <w:t xml:space="preserve">, Dauphin County, PA who reported </w:t>
      </w:r>
      <w:r w:rsidR="00AB6FEB" w:rsidRPr="00BB06DE">
        <w:rPr>
          <w:rFonts w:ascii="Times New Roman" w:eastAsia="Times New Roman" w:hAnsi="Times New Roman" w:cs="Times New Roman"/>
          <w:sz w:val="26"/>
          <w:szCs w:val="26"/>
        </w:rPr>
        <w:t xml:space="preserve">to </w:t>
      </w:r>
      <w:r w:rsidR="00124414" w:rsidRPr="00BB06DE">
        <w:rPr>
          <w:rFonts w:ascii="Times New Roman" w:eastAsia="Times New Roman" w:hAnsi="Times New Roman" w:cs="Times New Roman"/>
          <w:sz w:val="26"/>
          <w:szCs w:val="26"/>
        </w:rPr>
        <w:t>the Pennsylvania State Police that his wallet was sto</w:t>
      </w:r>
      <w:r w:rsidR="00443629" w:rsidRPr="00BB06DE">
        <w:rPr>
          <w:rFonts w:ascii="Times New Roman" w:eastAsia="Times New Roman" w:hAnsi="Times New Roman" w:cs="Times New Roman"/>
          <w:sz w:val="26"/>
          <w:szCs w:val="26"/>
        </w:rPr>
        <w:t xml:space="preserve">len from his home during a door-to-door marketing presentation conducted by two sales agents representing Clearview.  </w:t>
      </w:r>
      <w:r w:rsidR="00072DFB" w:rsidRPr="00BB06DE">
        <w:rPr>
          <w:rFonts w:ascii="Times New Roman" w:eastAsia="Times New Roman" w:hAnsi="Times New Roman" w:cs="Times New Roman"/>
          <w:sz w:val="26"/>
          <w:szCs w:val="26"/>
        </w:rPr>
        <w:t xml:space="preserve">Further study of this incident led to a </w:t>
      </w:r>
      <w:r w:rsidR="00E17A93" w:rsidRPr="00BB06DE">
        <w:rPr>
          <w:rFonts w:ascii="Times New Roman" w:eastAsia="Times New Roman" w:hAnsi="Times New Roman" w:cs="Times New Roman"/>
          <w:sz w:val="26"/>
          <w:szCs w:val="26"/>
        </w:rPr>
        <w:t xml:space="preserve">Formal Complaint </w:t>
      </w:r>
      <w:r w:rsidR="002C388E" w:rsidRPr="00BB06DE">
        <w:rPr>
          <w:rFonts w:ascii="Times New Roman" w:eastAsia="Times New Roman" w:hAnsi="Times New Roman" w:cs="Times New Roman"/>
          <w:sz w:val="26"/>
          <w:szCs w:val="26"/>
        </w:rPr>
        <w:t xml:space="preserve">(Complaint) </w:t>
      </w:r>
      <w:r w:rsidR="00E17A93" w:rsidRPr="00BB06DE">
        <w:rPr>
          <w:rFonts w:ascii="Times New Roman" w:eastAsia="Times New Roman" w:hAnsi="Times New Roman" w:cs="Times New Roman"/>
          <w:sz w:val="26"/>
          <w:szCs w:val="26"/>
        </w:rPr>
        <w:t xml:space="preserve">by I&amp;E </w:t>
      </w:r>
      <w:r w:rsidR="00D17356" w:rsidRPr="00BB06DE">
        <w:rPr>
          <w:rFonts w:ascii="Times New Roman" w:eastAsia="Times New Roman" w:hAnsi="Times New Roman" w:cs="Times New Roman"/>
          <w:sz w:val="26"/>
          <w:szCs w:val="26"/>
        </w:rPr>
        <w:t xml:space="preserve">which </w:t>
      </w:r>
      <w:r w:rsidR="006D71EF" w:rsidRPr="00BB06DE">
        <w:rPr>
          <w:rFonts w:ascii="Times New Roman" w:eastAsia="Times New Roman" w:hAnsi="Times New Roman" w:cs="Times New Roman"/>
          <w:sz w:val="26"/>
          <w:szCs w:val="26"/>
        </w:rPr>
        <w:t xml:space="preserve">alleged </w:t>
      </w:r>
      <w:r w:rsidR="00193C5A" w:rsidRPr="00BB06DE">
        <w:rPr>
          <w:rFonts w:ascii="Times New Roman" w:eastAsia="Times New Roman" w:hAnsi="Times New Roman" w:cs="Times New Roman"/>
          <w:sz w:val="26"/>
          <w:szCs w:val="26"/>
        </w:rPr>
        <w:t xml:space="preserve">additional problems with Clearview’s marketing efforts </w:t>
      </w:r>
      <w:r w:rsidR="004C12C4" w:rsidRPr="00BB06DE">
        <w:rPr>
          <w:rFonts w:ascii="Times New Roman" w:eastAsia="Times New Roman" w:hAnsi="Times New Roman" w:cs="Times New Roman"/>
          <w:sz w:val="26"/>
          <w:szCs w:val="26"/>
        </w:rPr>
        <w:t xml:space="preserve">including </w:t>
      </w:r>
      <w:r w:rsidR="001D549C" w:rsidRPr="00BB06DE">
        <w:rPr>
          <w:rFonts w:ascii="Times New Roman" w:eastAsia="Times New Roman" w:hAnsi="Times New Roman" w:cs="Times New Roman"/>
          <w:sz w:val="26"/>
          <w:szCs w:val="26"/>
        </w:rPr>
        <w:t xml:space="preserve">inadequate background checks, marketing efforts without appropriate notifications, </w:t>
      </w:r>
      <w:r w:rsidR="00EB4964" w:rsidRPr="00BB06DE">
        <w:rPr>
          <w:rFonts w:ascii="Times New Roman" w:eastAsia="Times New Roman" w:hAnsi="Times New Roman" w:cs="Times New Roman"/>
          <w:sz w:val="26"/>
          <w:szCs w:val="26"/>
        </w:rPr>
        <w:t xml:space="preserve">switching customers without their permission, </w:t>
      </w:r>
      <w:r w:rsidR="00A8682F" w:rsidRPr="00BB06DE">
        <w:rPr>
          <w:rFonts w:ascii="Times New Roman" w:eastAsia="Times New Roman" w:hAnsi="Times New Roman" w:cs="Times New Roman"/>
          <w:sz w:val="26"/>
          <w:szCs w:val="26"/>
        </w:rPr>
        <w:t xml:space="preserve">and charging </w:t>
      </w:r>
      <w:r w:rsidR="00AD5AA8" w:rsidRPr="00BB06DE">
        <w:rPr>
          <w:rFonts w:ascii="Times New Roman" w:eastAsia="Times New Roman" w:hAnsi="Times New Roman" w:cs="Times New Roman"/>
          <w:sz w:val="26"/>
          <w:szCs w:val="26"/>
        </w:rPr>
        <w:t xml:space="preserve">customers </w:t>
      </w:r>
      <w:r w:rsidR="00A8682F" w:rsidRPr="00BB06DE">
        <w:rPr>
          <w:rFonts w:ascii="Times New Roman" w:eastAsia="Times New Roman" w:hAnsi="Times New Roman" w:cs="Times New Roman"/>
          <w:sz w:val="26"/>
          <w:szCs w:val="26"/>
        </w:rPr>
        <w:t xml:space="preserve">a higher rate than Clearview </w:t>
      </w:r>
      <w:r w:rsidR="00AD5AA8" w:rsidRPr="00BB06DE">
        <w:rPr>
          <w:rFonts w:ascii="Times New Roman" w:eastAsia="Times New Roman" w:hAnsi="Times New Roman" w:cs="Times New Roman"/>
          <w:sz w:val="26"/>
          <w:szCs w:val="26"/>
        </w:rPr>
        <w:t xml:space="preserve">had </w:t>
      </w:r>
      <w:r w:rsidR="00A8682F" w:rsidRPr="00BB06DE">
        <w:rPr>
          <w:rFonts w:ascii="Times New Roman" w:eastAsia="Times New Roman" w:hAnsi="Times New Roman" w:cs="Times New Roman"/>
          <w:sz w:val="26"/>
          <w:szCs w:val="26"/>
        </w:rPr>
        <w:t xml:space="preserve">advertised.  </w:t>
      </w:r>
      <w:r w:rsidR="006D71EF" w:rsidRPr="00BB06DE">
        <w:rPr>
          <w:rFonts w:ascii="Times New Roman" w:eastAsia="Times New Roman" w:hAnsi="Times New Roman" w:cs="Times New Roman"/>
          <w:sz w:val="26"/>
          <w:szCs w:val="26"/>
        </w:rPr>
        <w:t xml:space="preserve">Settlement at </w:t>
      </w:r>
      <w:r w:rsidR="00442A5F" w:rsidRPr="00BB06DE">
        <w:rPr>
          <w:rFonts w:ascii="Times New Roman" w:eastAsia="Times New Roman" w:hAnsi="Times New Roman" w:cs="Times New Roman"/>
          <w:sz w:val="26"/>
          <w:szCs w:val="26"/>
        </w:rPr>
        <w:t>3</w:t>
      </w:r>
      <w:r w:rsidR="00487D26" w:rsidRPr="00BB06DE">
        <w:rPr>
          <w:rFonts w:ascii="Times New Roman" w:eastAsia="Times New Roman" w:hAnsi="Times New Roman" w:cs="Times New Roman"/>
          <w:sz w:val="26"/>
          <w:szCs w:val="26"/>
        </w:rPr>
        <w:t>-7</w:t>
      </w:r>
      <w:r w:rsidR="006D71EF" w:rsidRPr="00BB06DE">
        <w:rPr>
          <w:rFonts w:ascii="Times New Roman" w:eastAsia="Times New Roman" w:hAnsi="Times New Roman" w:cs="Times New Roman"/>
          <w:sz w:val="26"/>
          <w:szCs w:val="26"/>
        </w:rPr>
        <w:t xml:space="preserve">.  </w:t>
      </w:r>
    </w:p>
    <w:p w14:paraId="57142E09" w14:textId="77777777" w:rsidR="006D71EF" w:rsidRPr="00BB06DE" w:rsidRDefault="006D71EF" w:rsidP="006D71EF">
      <w:pPr>
        <w:tabs>
          <w:tab w:val="center" w:pos="0"/>
        </w:tabs>
        <w:suppressAutoHyphens/>
        <w:spacing w:after="0" w:line="360" w:lineRule="auto"/>
        <w:rPr>
          <w:rFonts w:ascii="Times New Roman" w:eastAsia="Times New Roman" w:hAnsi="Times New Roman" w:cs="Times New Roman"/>
          <w:sz w:val="26"/>
          <w:szCs w:val="26"/>
        </w:rPr>
      </w:pPr>
    </w:p>
    <w:p w14:paraId="49A0A503" w14:textId="1B337C51" w:rsidR="006D71EF" w:rsidRPr="00BB06DE" w:rsidRDefault="006D71EF" w:rsidP="006D71EF">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00140A37" w:rsidRPr="00BB06DE">
        <w:rPr>
          <w:rFonts w:ascii="Times New Roman" w:eastAsia="Times New Roman" w:hAnsi="Times New Roman" w:cs="Times New Roman"/>
          <w:sz w:val="26"/>
          <w:szCs w:val="26"/>
        </w:rPr>
        <w:t xml:space="preserve">By letter dated March 14, 2018, I&amp;E notified Clearview that it had initiated </w:t>
      </w:r>
      <w:r w:rsidRPr="00BB06DE">
        <w:rPr>
          <w:rFonts w:ascii="Times New Roman" w:eastAsia="Times New Roman" w:hAnsi="Times New Roman" w:cs="Times New Roman"/>
          <w:sz w:val="26"/>
          <w:szCs w:val="26"/>
        </w:rPr>
        <w:t xml:space="preserve">an informal investigation of </w:t>
      </w:r>
      <w:r w:rsidR="000C674F" w:rsidRPr="00BB06DE">
        <w:rPr>
          <w:rFonts w:ascii="Times New Roman" w:eastAsia="Times New Roman" w:hAnsi="Times New Roman" w:cs="Times New Roman"/>
          <w:sz w:val="26"/>
          <w:szCs w:val="26"/>
        </w:rPr>
        <w:t xml:space="preserve">Clearview.  </w:t>
      </w:r>
      <w:r w:rsidR="00650E47" w:rsidRPr="00BB06DE">
        <w:rPr>
          <w:rFonts w:ascii="Times New Roman" w:eastAsia="Times New Roman" w:hAnsi="Times New Roman" w:cs="Times New Roman"/>
          <w:sz w:val="26"/>
          <w:szCs w:val="26"/>
        </w:rPr>
        <w:t>I&amp;E served Clearview with three sets of data requests on March 14, 2018, May 8, 2018, and June 17</w:t>
      </w:r>
      <w:r w:rsidR="00D255E3" w:rsidRPr="00BB06DE">
        <w:rPr>
          <w:rFonts w:ascii="Times New Roman" w:eastAsia="Times New Roman" w:hAnsi="Times New Roman" w:cs="Times New Roman"/>
          <w:sz w:val="26"/>
          <w:szCs w:val="26"/>
        </w:rPr>
        <w:t xml:space="preserve">, 2019.  Clearview responded to I&amp;E’s three </w:t>
      </w:r>
      <w:r w:rsidR="003838B2" w:rsidRPr="00BB06DE">
        <w:rPr>
          <w:rFonts w:ascii="Times New Roman" w:eastAsia="Times New Roman" w:hAnsi="Times New Roman" w:cs="Times New Roman"/>
          <w:sz w:val="26"/>
          <w:szCs w:val="26"/>
        </w:rPr>
        <w:t xml:space="preserve">sets of </w:t>
      </w:r>
      <w:r w:rsidR="00D255E3" w:rsidRPr="00BB06DE">
        <w:rPr>
          <w:rFonts w:ascii="Times New Roman" w:eastAsia="Times New Roman" w:hAnsi="Times New Roman" w:cs="Times New Roman"/>
          <w:sz w:val="26"/>
          <w:szCs w:val="26"/>
        </w:rPr>
        <w:t xml:space="preserve">data requests.  </w:t>
      </w:r>
      <w:r w:rsidR="009D3472" w:rsidRPr="00BB06DE">
        <w:rPr>
          <w:rFonts w:ascii="Times New Roman" w:eastAsia="Times New Roman" w:hAnsi="Times New Roman" w:cs="Times New Roman"/>
          <w:sz w:val="26"/>
          <w:szCs w:val="26"/>
        </w:rPr>
        <w:t xml:space="preserve">I&amp;E filed </w:t>
      </w:r>
      <w:r w:rsidR="0037727B" w:rsidRPr="00BB06DE">
        <w:rPr>
          <w:rFonts w:ascii="Times New Roman" w:eastAsia="Times New Roman" w:hAnsi="Times New Roman" w:cs="Times New Roman"/>
          <w:sz w:val="26"/>
          <w:szCs w:val="26"/>
        </w:rPr>
        <w:t>the Complaint</w:t>
      </w:r>
      <w:r w:rsidR="009D3472" w:rsidRPr="00BB06DE">
        <w:rPr>
          <w:rFonts w:ascii="Times New Roman" w:eastAsia="Times New Roman" w:hAnsi="Times New Roman" w:cs="Times New Roman"/>
          <w:sz w:val="26"/>
          <w:szCs w:val="26"/>
        </w:rPr>
        <w:t xml:space="preserve"> with the Commission on June</w:t>
      </w:r>
      <w:r w:rsidR="005C3A5B">
        <w:rPr>
          <w:rFonts w:ascii="Times New Roman" w:eastAsia="Times New Roman" w:hAnsi="Times New Roman" w:cs="Times New Roman"/>
          <w:sz w:val="26"/>
          <w:szCs w:val="26"/>
        </w:rPr>
        <w:t> </w:t>
      </w:r>
      <w:r w:rsidR="009D3472" w:rsidRPr="00BB06DE">
        <w:rPr>
          <w:rFonts w:ascii="Times New Roman" w:eastAsia="Times New Roman" w:hAnsi="Times New Roman" w:cs="Times New Roman"/>
          <w:sz w:val="26"/>
          <w:szCs w:val="26"/>
        </w:rPr>
        <w:t>1, 2020</w:t>
      </w:r>
      <w:r w:rsidR="007A1344" w:rsidRPr="00BB06DE">
        <w:rPr>
          <w:rFonts w:ascii="Times New Roman" w:eastAsia="Times New Roman" w:hAnsi="Times New Roman" w:cs="Times New Roman"/>
          <w:sz w:val="26"/>
          <w:szCs w:val="26"/>
        </w:rPr>
        <w:t>.</w:t>
      </w:r>
      <w:r w:rsidR="00380309" w:rsidRPr="00BB06DE">
        <w:rPr>
          <w:rFonts w:ascii="Times New Roman" w:eastAsia="Times New Roman" w:hAnsi="Times New Roman" w:cs="Times New Roman"/>
          <w:sz w:val="26"/>
          <w:szCs w:val="26"/>
        </w:rPr>
        <w:t xml:space="preserve">  </w:t>
      </w:r>
      <w:r w:rsidR="00A75AAE" w:rsidRPr="00BB06DE">
        <w:rPr>
          <w:rFonts w:ascii="Times New Roman" w:eastAsia="Times New Roman" w:hAnsi="Times New Roman" w:cs="Times New Roman"/>
          <w:sz w:val="26"/>
          <w:szCs w:val="26"/>
        </w:rPr>
        <w:t xml:space="preserve">On June 23, 2020, </w:t>
      </w:r>
      <w:r w:rsidR="001D549C" w:rsidRPr="00BB06DE">
        <w:rPr>
          <w:rFonts w:ascii="Times New Roman" w:eastAsia="Times New Roman" w:hAnsi="Times New Roman" w:cs="Times New Roman"/>
          <w:sz w:val="26"/>
          <w:szCs w:val="26"/>
        </w:rPr>
        <w:t>Clearview filed an Answer</w:t>
      </w:r>
      <w:r w:rsidR="007450CD" w:rsidRPr="00BB06DE">
        <w:rPr>
          <w:rFonts w:ascii="Times New Roman" w:eastAsia="Times New Roman" w:hAnsi="Times New Roman" w:cs="Times New Roman"/>
          <w:sz w:val="26"/>
          <w:szCs w:val="26"/>
        </w:rPr>
        <w:t>.</w:t>
      </w:r>
      <w:r w:rsidR="008C1151" w:rsidRPr="00BB06DE">
        <w:rPr>
          <w:rFonts w:ascii="Times New Roman" w:eastAsia="Times New Roman" w:hAnsi="Times New Roman" w:cs="Times New Roman"/>
          <w:sz w:val="26"/>
          <w:szCs w:val="26"/>
        </w:rPr>
        <w:t xml:space="preserve"> </w:t>
      </w:r>
      <w:r w:rsidR="001D549C"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 xml:space="preserve">Thereafter, the Parties </w:t>
      </w:r>
      <w:proofErr w:type="gramStart"/>
      <w:r w:rsidRPr="00BB06DE">
        <w:rPr>
          <w:rFonts w:ascii="Times New Roman" w:eastAsia="Times New Roman" w:hAnsi="Times New Roman" w:cs="Times New Roman"/>
          <w:sz w:val="26"/>
          <w:szCs w:val="26"/>
        </w:rPr>
        <w:t>entered into</w:t>
      </w:r>
      <w:proofErr w:type="gramEnd"/>
      <w:r w:rsidRPr="00BB06DE">
        <w:rPr>
          <w:rFonts w:ascii="Times New Roman" w:eastAsia="Times New Roman" w:hAnsi="Times New Roman" w:cs="Times New Roman"/>
          <w:sz w:val="26"/>
          <w:szCs w:val="26"/>
        </w:rPr>
        <w:t xml:space="preserve"> negotiations and agreed to resolve the matter in accordance with the Commission’s policy to promote settlements at 52 Pa. Code § 5.231.  Settlement at </w:t>
      </w:r>
      <w:r w:rsidR="00D144ED" w:rsidRPr="00BB06DE">
        <w:rPr>
          <w:rFonts w:ascii="Times New Roman" w:eastAsia="Times New Roman" w:hAnsi="Times New Roman" w:cs="Times New Roman"/>
          <w:sz w:val="26"/>
          <w:szCs w:val="26"/>
        </w:rPr>
        <w:t>1</w:t>
      </w:r>
      <w:r w:rsidRPr="00BB06DE">
        <w:rPr>
          <w:rFonts w:ascii="Times New Roman" w:eastAsia="Times New Roman" w:hAnsi="Times New Roman" w:cs="Times New Roman"/>
          <w:sz w:val="26"/>
          <w:szCs w:val="26"/>
        </w:rPr>
        <w:t xml:space="preserve">.  </w:t>
      </w:r>
      <w:r w:rsidR="00BE18E6" w:rsidRPr="00BB06DE">
        <w:rPr>
          <w:rFonts w:ascii="Times New Roman" w:eastAsia="Times New Roman" w:hAnsi="Times New Roman" w:cs="Times New Roman"/>
          <w:sz w:val="26"/>
          <w:szCs w:val="26"/>
        </w:rPr>
        <w:t>As previously indicated, t</w:t>
      </w:r>
      <w:r w:rsidRPr="00BB06DE">
        <w:rPr>
          <w:rFonts w:ascii="Times New Roman" w:eastAsia="Times New Roman" w:hAnsi="Times New Roman" w:cs="Times New Roman"/>
          <w:sz w:val="26"/>
          <w:szCs w:val="26"/>
        </w:rPr>
        <w:t xml:space="preserve">he Parties filed the instant Settlement on </w:t>
      </w:r>
      <w:r w:rsidR="00D144ED" w:rsidRPr="00BB06DE">
        <w:rPr>
          <w:rFonts w:ascii="Times New Roman" w:eastAsia="Times New Roman" w:hAnsi="Times New Roman" w:cs="Times New Roman"/>
          <w:sz w:val="26"/>
          <w:szCs w:val="26"/>
        </w:rPr>
        <w:t>May 13, 2021</w:t>
      </w:r>
      <w:r w:rsidRPr="00BB06DE">
        <w:rPr>
          <w:rFonts w:ascii="Times New Roman" w:eastAsia="Times New Roman" w:hAnsi="Times New Roman" w:cs="Times New Roman"/>
          <w:sz w:val="26"/>
          <w:szCs w:val="26"/>
        </w:rPr>
        <w:t>.</w:t>
      </w:r>
    </w:p>
    <w:p w14:paraId="32E73D7B" w14:textId="77777777" w:rsidR="006D71EF" w:rsidRPr="00BB06DE" w:rsidRDefault="006D71EF" w:rsidP="006D71EF">
      <w:pPr>
        <w:tabs>
          <w:tab w:val="center" w:pos="0"/>
        </w:tabs>
        <w:suppressAutoHyphens/>
        <w:spacing w:after="0" w:line="360" w:lineRule="auto"/>
        <w:rPr>
          <w:rFonts w:ascii="Times New Roman" w:eastAsia="Times New Roman" w:hAnsi="Times New Roman" w:cs="Times New Roman"/>
          <w:sz w:val="26"/>
          <w:szCs w:val="26"/>
        </w:rPr>
      </w:pPr>
    </w:p>
    <w:p w14:paraId="6C2E65E8" w14:textId="77777777" w:rsidR="006D71EF" w:rsidRPr="00BB06DE" w:rsidRDefault="006D71EF" w:rsidP="006D71EF">
      <w:pPr>
        <w:keepNext/>
        <w:tabs>
          <w:tab w:val="center" w:pos="0"/>
        </w:tabs>
        <w:suppressAutoHyphens/>
        <w:spacing w:after="0" w:line="360" w:lineRule="auto"/>
        <w:jc w:val="center"/>
        <w:rPr>
          <w:rFonts w:ascii="Times New Roman" w:eastAsia="Times New Roman" w:hAnsi="Times New Roman" w:cs="Times New Roman"/>
          <w:b/>
          <w:sz w:val="26"/>
          <w:szCs w:val="26"/>
        </w:rPr>
      </w:pPr>
      <w:r w:rsidRPr="00BB06DE">
        <w:rPr>
          <w:rFonts w:ascii="Times New Roman" w:eastAsia="Times New Roman" w:hAnsi="Times New Roman" w:cs="Times New Roman"/>
          <w:b/>
          <w:sz w:val="26"/>
          <w:szCs w:val="26"/>
        </w:rPr>
        <w:t>Background</w:t>
      </w:r>
    </w:p>
    <w:p w14:paraId="4B086766" w14:textId="77777777" w:rsidR="006D71EF" w:rsidRPr="00BB06DE" w:rsidRDefault="006D71EF" w:rsidP="006D71EF">
      <w:pPr>
        <w:keepNext/>
        <w:tabs>
          <w:tab w:val="center" w:pos="0"/>
        </w:tabs>
        <w:suppressAutoHyphens/>
        <w:spacing w:after="0" w:line="360" w:lineRule="auto"/>
        <w:rPr>
          <w:rFonts w:ascii="Times New Roman" w:eastAsia="Times New Roman" w:hAnsi="Times New Roman" w:cs="Times New Roman"/>
          <w:sz w:val="26"/>
          <w:szCs w:val="26"/>
        </w:rPr>
      </w:pPr>
    </w:p>
    <w:p w14:paraId="00E06A18" w14:textId="53130A9A" w:rsidR="002308B0" w:rsidRPr="00BB06DE" w:rsidRDefault="006D71EF" w:rsidP="006D71EF">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00F755FE" w:rsidRPr="00BB06DE">
        <w:rPr>
          <w:rFonts w:ascii="Times New Roman" w:eastAsia="Times New Roman" w:hAnsi="Times New Roman" w:cs="Times New Roman"/>
          <w:sz w:val="26"/>
          <w:szCs w:val="26"/>
        </w:rPr>
        <w:t xml:space="preserve">On </w:t>
      </w:r>
      <w:r w:rsidR="00056461" w:rsidRPr="00BB06DE">
        <w:rPr>
          <w:rFonts w:ascii="Times New Roman" w:eastAsia="Times New Roman" w:hAnsi="Times New Roman" w:cs="Times New Roman"/>
          <w:sz w:val="26"/>
          <w:szCs w:val="26"/>
        </w:rPr>
        <w:t xml:space="preserve">June 19, 2017, PennLive.com reported </w:t>
      </w:r>
      <w:r w:rsidR="00B810EB" w:rsidRPr="00BB06DE">
        <w:rPr>
          <w:rFonts w:ascii="Times New Roman" w:eastAsia="Times New Roman" w:hAnsi="Times New Roman" w:cs="Times New Roman"/>
          <w:sz w:val="26"/>
          <w:szCs w:val="26"/>
        </w:rPr>
        <w:t>in an online article</w:t>
      </w:r>
      <w:r w:rsidR="000932B1" w:rsidRPr="00BB06DE">
        <w:rPr>
          <w:rStyle w:val="FootnoteReference"/>
          <w:rFonts w:ascii="Times New Roman" w:eastAsia="Times New Roman" w:hAnsi="Times New Roman" w:cs="Times New Roman"/>
          <w:sz w:val="26"/>
          <w:szCs w:val="26"/>
        </w:rPr>
        <w:footnoteReference w:id="1"/>
      </w:r>
      <w:r w:rsidR="00B810EB" w:rsidRPr="00BB06DE">
        <w:rPr>
          <w:rFonts w:ascii="Times New Roman" w:eastAsia="Times New Roman" w:hAnsi="Times New Roman" w:cs="Times New Roman"/>
          <w:sz w:val="26"/>
          <w:szCs w:val="26"/>
        </w:rPr>
        <w:t xml:space="preserve"> </w:t>
      </w:r>
      <w:r w:rsidR="00F755FE" w:rsidRPr="00BB06DE">
        <w:rPr>
          <w:rFonts w:ascii="Times New Roman" w:eastAsia="Times New Roman" w:hAnsi="Times New Roman" w:cs="Times New Roman"/>
          <w:sz w:val="26"/>
          <w:szCs w:val="26"/>
        </w:rPr>
        <w:t xml:space="preserve">about </w:t>
      </w:r>
      <w:r w:rsidR="00823471" w:rsidRPr="00BB06DE">
        <w:rPr>
          <w:rFonts w:ascii="Times New Roman" w:eastAsia="Times New Roman" w:hAnsi="Times New Roman" w:cs="Times New Roman"/>
          <w:sz w:val="26"/>
          <w:szCs w:val="26"/>
        </w:rPr>
        <w:t xml:space="preserve">the </w:t>
      </w:r>
      <w:r w:rsidR="00FE4DF2" w:rsidRPr="00BB06DE">
        <w:rPr>
          <w:rFonts w:ascii="Times New Roman" w:eastAsia="Times New Roman" w:hAnsi="Times New Roman" w:cs="Times New Roman"/>
          <w:sz w:val="26"/>
          <w:szCs w:val="26"/>
        </w:rPr>
        <w:t xml:space="preserve">alleged wallet theft incident in Wiconisco Township, PA </w:t>
      </w:r>
      <w:r w:rsidR="00FB18A7" w:rsidRPr="00BB06DE">
        <w:rPr>
          <w:rFonts w:ascii="Times New Roman" w:eastAsia="Times New Roman" w:hAnsi="Times New Roman" w:cs="Times New Roman"/>
          <w:sz w:val="26"/>
          <w:szCs w:val="26"/>
        </w:rPr>
        <w:t xml:space="preserve">that </w:t>
      </w:r>
      <w:r w:rsidR="000932B1" w:rsidRPr="00BB06DE">
        <w:rPr>
          <w:rFonts w:ascii="Times New Roman" w:eastAsia="Times New Roman" w:hAnsi="Times New Roman" w:cs="Times New Roman"/>
          <w:sz w:val="26"/>
          <w:szCs w:val="26"/>
        </w:rPr>
        <w:t xml:space="preserve">involved </w:t>
      </w:r>
      <w:r w:rsidR="00FB18A7" w:rsidRPr="00BB06DE">
        <w:rPr>
          <w:rFonts w:ascii="Times New Roman" w:eastAsia="Times New Roman" w:hAnsi="Times New Roman" w:cs="Times New Roman"/>
          <w:sz w:val="26"/>
          <w:szCs w:val="26"/>
        </w:rPr>
        <w:t xml:space="preserve">two sales agents representing Clearview.  </w:t>
      </w:r>
      <w:r w:rsidR="001B0067" w:rsidRPr="00BB06DE">
        <w:rPr>
          <w:rFonts w:ascii="Times New Roman" w:eastAsia="Times New Roman" w:hAnsi="Times New Roman" w:cs="Times New Roman"/>
          <w:sz w:val="26"/>
          <w:szCs w:val="26"/>
        </w:rPr>
        <w:t xml:space="preserve">Upon noticing the article, the Commission’s Office of </w:t>
      </w:r>
      <w:r w:rsidR="001B0067" w:rsidRPr="00BB06DE">
        <w:rPr>
          <w:rFonts w:ascii="Times New Roman" w:eastAsia="Times New Roman" w:hAnsi="Times New Roman" w:cs="Times New Roman"/>
          <w:sz w:val="26"/>
          <w:szCs w:val="26"/>
        </w:rPr>
        <w:lastRenderedPageBreak/>
        <w:t xml:space="preserve">Competitive Market Oversight (OCMO) </w:t>
      </w:r>
      <w:r w:rsidR="000059A7" w:rsidRPr="00BB06DE">
        <w:rPr>
          <w:rFonts w:ascii="Times New Roman" w:eastAsia="Times New Roman" w:hAnsi="Times New Roman" w:cs="Times New Roman"/>
          <w:sz w:val="26"/>
          <w:szCs w:val="26"/>
        </w:rPr>
        <w:t xml:space="preserve">contacted Clearview for information regarding the incident.  Clearview </w:t>
      </w:r>
      <w:r w:rsidR="00630CAA" w:rsidRPr="00BB06DE">
        <w:rPr>
          <w:rFonts w:ascii="Times New Roman" w:eastAsia="Times New Roman" w:hAnsi="Times New Roman" w:cs="Times New Roman"/>
          <w:sz w:val="26"/>
          <w:szCs w:val="26"/>
        </w:rPr>
        <w:t xml:space="preserve">did not self-report the </w:t>
      </w:r>
      <w:r w:rsidR="00272F50" w:rsidRPr="00BB06DE">
        <w:rPr>
          <w:rFonts w:ascii="Times New Roman" w:eastAsia="Times New Roman" w:hAnsi="Times New Roman" w:cs="Times New Roman"/>
          <w:sz w:val="26"/>
          <w:szCs w:val="26"/>
        </w:rPr>
        <w:t>incident but</w:t>
      </w:r>
      <w:r w:rsidR="00630CAA" w:rsidRPr="00BB06DE">
        <w:rPr>
          <w:rFonts w:ascii="Times New Roman" w:eastAsia="Times New Roman" w:hAnsi="Times New Roman" w:cs="Times New Roman"/>
          <w:sz w:val="26"/>
          <w:szCs w:val="26"/>
        </w:rPr>
        <w:t xml:space="preserve"> cooperated with OCMO by providing inf</w:t>
      </w:r>
      <w:r w:rsidR="002308B0" w:rsidRPr="00BB06DE">
        <w:rPr>
          <w:rFonts w:ascii="Times New Roman" w:eastAsia="Times New Roman" w:hAnsi="Times New Roman" w:cs="Times New Roman"/>
          <w:sz w:val="26"/>
          <w:szCs w:val="26"/>
        </w:rPr>
        <w:t xml:space="preserve">ormation in response to OCMO’s </w:t>
      </w:r>
      <w:r w:rsidR="00272F50" w:rsidRPr="00BB06DE">
        <w:rPr>
          <w:rFonts w:ascii="Times New Roman" w:eastAsia="Times New Roman" w:hAnsi="Times New Roman" w:cs="Times New Roman"/>
          <w:sz w:val="26"/>
          <w:szCs w:val="26"/>
        </w:rPr>
        <w:t>inquiries</w:t>
      </w:r>
      <w:r w:rsidR="002308B0" w:rsidRPr="00BB06DE">
        <w:rPr>
          <w:rFonts w:ascii="Times New Roman" w:eastAsia="Times New Roman" w:hAnsi="Times New Roman" w:cs="Times New Roman"/>
          <w:sz w:val="26"/>
          <w:szCs w:val="26"/>
        </w:rPr>
        <w:t>.  Settlement at 3-4.</w:t>
      </w:r>
    </w:p>
    <w:p w14:paraId="1303643F" w14:textId="1C8A951B" w:rsidR="002308B0" w:rsidRPr="00BB06DE" w:rsidRDefault="002308B0" w:rsidP="006D71EF">
      <w:pPr>
        <w:tabs>
          <w:tab w:val="center" w:pos="0"/>
        </w:tabs>
        <w:suppressAutoHyphens/>
        <w:spacing w:after="0" w:line="360" w:lineRule="auto"/>
        <w:rPr>
          <w:rFonts w:ascii="Times New Roman" w:eastAsia="Times New Roman" w:hAnsi="Times New Roman" w:cs="Times New Roman"/>
          <w:sz w:val="26"/>
          <w:szCs w:val="26"/>
        </w:rPr>
      </w:pPr>
    </w:p>
    <w:p w14:paraId="0B86FA83" w14:textId="4FFFAE5E" w:rsidR="00272F50" w:rsidRPr="00BB06DE" w:rsidRDefault="00272F50" w:rsidP="006D71EF">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The two sales agents were employed by a third-party vendor used by Clearview to ma</w:t>
      </w:r>
      <w:r w:rsidR="000A797E" w:rsidRPr="00BB06DE">
        <w:rPr>
          <w:rFonts w:ascii="Times New Roman" w:eastAsia="Times New Roman" w:hAnsi="Times New Roman" w:cs="Times New Roman"/>
          <w:sz w:val="26"/>
          <w:szCs w:val="26"/>
        </w:rPr>
        <w:t xml:space="preserve">rket the Company’s electric generation supply services.  In response to the incident, Clearview removed </w:t>
      </w:r>
      <w:r w:rsidR="00B150B5" w:rsidRPr="00BB06DE">
        <w:rPr>
          <w:rFonts w:ascii="Times New Roman" w:eastAsia="Times New Roman" w:hAnsi="Times New Roman" w:cs="Times New Roman"/>
          <w:sz w:val="26"/>
          <w:szCs w:val="26"/>
        </w:rPr>
        <w:t xml:space="preserve">the two agents from its marketing campaign.  </w:t>
      </w:r>
      <w:r w:rsidR="00A62B1F" w:rsidRPr="00BB06DE">
        <w:rPr>
          <w:rFonts w:ascii="Times New Roman" w:eastAsia="Times New Roman" w:hAnsi="Times New Roman" w:cs="Times New Roman"/>
          <w:sz w:val="26"/>
          <w:szCs w:val="26"/>
        </w:rPr>
        <w:t>Settlement at 4.</w:t>
      </w:r>
    </w:p>
    <w:p w14:paraId="631BD660" w14:textId="3DFC1BAF" w:rsidR="00B150B5" w:rsidRPr="00BB06DE" w:rsidRDefault="00B150B5" w:rsidP="006D71EF">
      <w:pPr>
        <w:tabs>
          <w:tab w:val="center" w:pos="0"/>
        </w:tabs>
        <w:suppressAutoHyphens/>
        <w:spacing w:after="0" w:line="360" w:lineRule="auto"/>
        <w:rPr>
          <w:rFonts w:ascii="Times New Roman" w:eastAsia="Times New Roman" w:hAnsi="Times New Roman" w:cs="Times New Roman"/>
          <w:sz w:val="26"/>
          <w:szCs w:val="26"/>
        </w:rPr>
      </w:pPr>
    </w:p>
    <w:p w14:paraId="6FECFDBF" w14:textId="2806E091" w:rsidR="00EB0FA5" w:rsidRPr="00BB06DE" w:rsidRDefault="00B150B5" w:rsidP="00BA0E40">
      <w:pPr>
        <w:tabs>
          <w:tab w:val="center" w:pos="0"/>
        </w:tabs>
        <w:suppressAutoHyphen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OCMO consulted with the </w:t>
      </w:r>
      <w:r w:rsidR="00BA0E40" w:rsidRPr="00BB06DE">
        <w:rPr>
          <w:rFonts w:ascii="Times New Roman" w:eastAsia="Times New Roman" w:hAnsi="Times New Roman" w:cs="Times New Roman"/>
          <w:sz w:val="26"/>
          <w:szCs w:val="26"/>
        </w:rPr>
        <w:t>Commission’s</w:t>
      </w:r>
      <w:r w:rsidRPr="00BB06DE">
        <w:rPr>
          <w:rFonts w:ascii="Times New Roman" w:eastAsia="Times New Roman" w:hAnsi="Times New Roman" w:cs="Times New Roman"/>
          <w:sz w:val="26"/>
          <w:szCs w:val="26"/>
        </w:rPr>
        <w:t xml:space="preserve"> Bureau of Consumer Services (BCS) regarding Clearview’s in-person marketing.  BCS advised that Clearview </w:t>
      </w:r>
      <w:r w:rsidR="007408FC" w:rsidRPr="00BB06DE">
        <w:rPr>
          <w:rFonts w:ascii="Times New Roman" w:eastAsia="Times New Roman" w:hAnsi="Times New Roman" w:cs="Times New Roman"/>
          <w:sz w:val="26"/>
          <w:szCs w:val="26"/>
        </w:rPr>
        <w:t xml:space="preserve">had not notified BCS of its intention to conduct door-to-door sales </w:t>
      </w:r>
      <w:r w:rsidR="00465059" w:rsidRPr="00BB06DE">
        <w:rPr>
          <w:rFonts w:ascii="Times New Roman" w:eastAsia="Times New Roman" w:hAnsi="Times New Roman" w:cs="Times New Roman"/>
          <w:sz w:val="26"/>
          <w:szCs w:val="26"/>
        </w:rPr>
        <w:t xml:space="preserve">on the date of the incident (June 15, 2017) or any other date </w:t>
      </w:r>
      <w:r w:rsidR="003838B2" w:rsidRPr="00BB06DE">
        <w:rPr>
          <w:rFonts w:ascii="Times New Roman" w:eastAsia="Times New Roman" w:hAnsi="Times New Roman" w:cs="Times New Roman"/>
          <w:sz w:val="26"/>
          <w:szCs w:val="26"/>
        </w:rPr>
        <w:t xml:space="preserve">in </w:t>
      </w:r>
      <w:r w:rsidR="00465059" w:rsidRPr="00BB06DE">
        <w:rPr>
          <w:rFonts w:ascii="Times New Roman" w:eastAsia="Times New Roman" w:hAnsi="Times New Roman" w:cs="Times New Roman"/>
          <w:sz w:val="26"/>
          <w:szCs w:val="26"/>
        </w:rPr>
        <w:t>June 2017.</w:t>
      </w:r>
      <w:r w:rsidR="00761D9C" w:rsidRPr="00BB06DE">
        <w:rPr>
          <w:rFonts w:ascii="Times New Roman" w:eastAsia="Times New Roman" w:hAnsi="Times New Roman" w:cs="Times New Roman"/>
          <w:sz w:val="26"/>
          <w:szCs w:val="26"/>
        </w:rPr>
        <w:t xml:space="preserve">  When OCMO raised the issue pertaining to a lack of door-to-door sales and marketing </w:t>
      </w:r>
      <w:r w:rsidR="00BA0E40" w:rsidRPr="00BB06DE">
        <w:rPr>
          <w:rFonts w:ascii="Times New Roman" w:eastAsia="Times New Roman" w:hAnsi="Times New Roman" w:cs="Times New Roman"/>
          <w:sz w:val="26"/>
          <w:szCs w:val="26"/>
        </w:rPr>
        <w:t>notifications</w:t>
      </w:r>
      <w:r w:rsidR="00761D9C" w:rsidRPr="00BB06DE">
        <w:rPr>
          <w:rFonts w:ascii="Times New Roman" w:eastAsia="Times New Roman" w:hAnsi="Times New Roman" w:cs="Times New Roman"/>
          <w:sz w:val="26"/>
          <w:szCs w:val="26"/>
        </w:rPr>
        <w:t xml:space="preserve"> from Clearview to BCS, Clearview committed to providing such notifications in the future.  </w:t>
      </w:r>
      <w:r w:rsidR="00EB0FA5" w:rsidRPr="00BB06DE">
        <w:rPr>
          <w:rFonts w:ascii="Times New Roman" w:eastAsia="Times New Roman" w:hAnsi="Times New Roman" w:cs="Times New Roman"/>
          <w:sz w:val="26"/>
          <w:szCs w:val="26"/>
        </w:rPr>
        <w:t xml:space="preserve">OCMO referred the matter to I&amp;E.  Settlement at 4.  </w:t>
      </w:r>
    </w:p>
    <w:p w14:paraId="16C86878" w14:textId="53F6AF87" w:rsidR="00EB0FA5" w:rsidRPr="00BB06DE" w:rsidRDefault="00EB0FA5" w:rsidP="006D71EF">
      <w:pPr>
        <w:tabs>
          <w:tab w:val="center" w:pos="0"/>
        </w:tabs>
        <w:suppressAutoHyphens/>
        <w:spacing w:after="0" w:line="360" w:lineRule="auto"/>
        <w:rPr>
          <w:rFonts w:ascii="Times New Roman" w:eastAsia="Times New Roman" w:hAnsi="Times New Roman" w:cs="Times New Roman"/>
          <w:sz w:val="26"/>
          <w:szCs w:val="26"/>
        </w:rPr>
      </w:pPr>
    </w:p>
    <w:p w14:paraId="02C1137E" w14:textId="2AAC72AC" w:rsidR="00566EAB" w:rsidRPr="00BB06DE" w:rsidRDefault="008B2D6E" w:rsidP="006D71EF">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 xml:space="preserve">In addition to information provided by OCMO, I&amp;E reviewed consumer complaints that were received by Clearview and disclosed to I&amp;E </w:t>
      </w:r>
      <w:r w:rsidR="003838B2" w:rsidRPr="00BB06DE">
        <w:rPr>
          <w:rFonts w:ascii="Times New Roman" w:eastAsia="Times New Roman" w:hAnsi="Times New Roman" w:cs="Times New Roman"/>
          <w:sz w:val="26"/>
          <w:szCs w:val="26"/>
        </w:rPr>
        <w:t>i</w:t>
      </w:r>
      <w:r w:rsidRPr="00BB06DE">
        <w:rPr>
          <w:rFonts w:ascii="Times New Roman" w:eastAsia="Times New Roman" w:hAnsi="Times New Roman" w:cs="Times New Roman"/>
          <w:sz w:val="26"/>
          <w:szCs w:val="26"/>
        </w:rPr>
        <w:t xml:space="preserve">n quarterly reports </w:t>
      </w:r>
      <w:r w:rsidR="003838B2" w:rsidRPr="00BB06DE">
        <w:rPr>
          <w:rFonts w:ascii="Times New Roman" w:eastAsia="Times New Roman" w:hAnsi="Times New Roman" w:cs="Times New Roman"/>
          <w:sz w:val="26"/>
          <w:szCs w:val="26"/>
        </w:rPr>
        <w:t xml:space="preserve">submitted </w:t>
      </w:r>
      <w:r w:rsidRPr="00BB06DE">
        <w:rPr>
          <w:rFonts w:ascii="Times New Roman" w:eastAsia="Times New Roman" w:hAnsi="Times New Roman" w:cs="Times New Roman"/>
          <w:sz w:val="26"/>
          <w:szCs w:val="26"/>
        </w:rPr>
        <w:t xml:space="preserve">pursuant to Paragraph 42(b) of a </w:t>
      </w:r>
      <w:r w:rsidR="00B848CB" w:rsidRPr="00BB06DE">
        <w:rPr>
          <w:rFonts w:ascii="Times New Roman" w:eastAsia="Times New Roman" w:hAnsi="Times New Roman" w:cs="Times New Roman"/>
          <w:sz w:val="26"/>
          <w:szCs w:val="26"/>
        </w:rPr>
        <w:t>prior s</w:t>
      </w:r>
      <w:r w:rsidRPr="00BB06DE">
        <w:rPr>
          <w:rFonts w:ascii="Times New Roman" w:eastAsia="Times New Roman" w:hAnsi="Times New Roman" w:cs="Times New Roman"/>
          <w:sz w:val="26"/>
          <w:szCs w:val="26"/>
        </w:rPr>
        <w:t xml:space="preserve">ettlement </w:t>
      </w:r>
      <w:r w:rsidR="00B848CB" w:rsidRPr="00BB06DE">
        <w:rPr>
          <w:rFonts w:ascii="Times New Roman" w:eastAsia="Times New Roman" w:hAnsi="Times New Roman" w:cs="Times New Roman"/>
          <w:sz w:val="26"/>
          <w:szCs w:val="26"/>
        </w:rPr>
        <w:t>a</w:t>
      </w:r>
      <w:r w:rsidRPr="00BB06DE">
        <w:rPr>
          <w:rFonts w:ascii="Times New Roman" w:eastAsia="Times New Roman" w:hAnsi="Times New Roman" w:cs="Times New Roman"/>
          <w:sz w:val="26"/>
          <w:szCs w:val="26"/>
        </w:rPr>
        <w:t xml:space="preserve">greement between Clearview and I&amp;E </w:t>
      </w:r>
      <w:r w:rsidR="00B848CB" w:rsidRPr="00BB06DE">
        <w:rPr>
          <w:rFonts w:ascii="Times New Roman" w:eastAsia="Times New Roman" w:hAnsi="Times New Roman" w:cs="Times New Roman"/>
          <w:sz w:val="26"/>
          <w:szCs w:val="26"/>
        </w:rPr>
        <w:t xml:space="preserve">that had been </w:t>
      </w:r>
      <w:r w:rsidRPr="00BB06DE">
        <w:rPr>
          <w:rFonts w:ascii="Times New Roman" w:eastAsia="Times New Roman" w:hAnsi="Times New Roman" w:cs="Times New Roman"/>
          <w:sz w:val="26"/>
          <w:szCs w:val="26"/>
        </w:rPr>
        <w:t xml:space="preserve">entered </w:t>
      </w:r>
      <w:r w:rsidR="00B848CB" w:rsidRPr="00BB06DE">
        <w:rPr>
          <w:rFonts w:ascii="Times New Roman" w:eastAsia="Times New Roman" w:hAnsi="Times New Roman" w:cs="Times New Roman"/>
          <w:sz w:val="26"/>
          <w:szCs w:val="26"/>
        </w:rPr>
        <w:t xml:space="preserve">into </w:t>
      </w:r>
      <w:r w:rsidRPr="00BB06DE">
        <w:rPr>
          <w:rFonts w:ascii="Times New Roman" w:eastAsia="Times New Roman" w:hAnsi="Times New Roman" w:cs="Times New Roman"/>
          <w:sz w:val="26"/>
          <w:szCs w:val="26"/>
        </w:rPr>
        <w:t>on April 21, 2017</w:t>
      </w:r>
      <w:r w:rsidR="00B848CB" w:rsidRPr="00BB06DE">
        <w:rPr>
          <w:rFonts w:ascii="Times New Roman" w:eastAsia="Times New Roman" w:hAnsi="Times New Roman" w:cs="Times New Roman"/>
          <w:sz w:val="26"/>
          <w:szCs w:val="26"/>
        </w:rPr>
        <w:t xml:space="preserve"> (Prior Agreement)</w:t>
      </w:r>
      <w:r w:rsidR="003838B2" w:rsidRPr="00BB06DE">
        <w:rPr>
          <w:rFonts w:ascii="Times New Roman" w:eastAsia="Times New Roman" w:hAnsi="Times New Roman" w:cs="Times New Roman"/>
          <w:sz w:val="26"/>
          <w:szCs w:val="26"/>
        </w:rPr>
        <w:t>.  Th</w:t>
      </w:r>
      <w:r w:rsidR="00B848CB" w:rsidRPr="00BB06DE">
        <w:rPr>
          <w:rFonts w:ascii="Times New Roman" w:eastAsia="Times New Roman" w:hAnsi="Times New Roman" w:cs="Times New Roman"/>
          <w:sz w:val="26"/>
          <w:szCs w:val="26"/>
        </w:rPr>
        <w:t>e P</w:t>
      </w:r>
      <w:r w:rsidR="003838B2" w:rsidRPr="00BB06DE">
        <w:rPr>
          <w:rFonts w:ascii="Times New Roman" w:eastAsia="Times New Roman" w:hAnsi="Times New Roman" w:cs="Times New Roman"/>
          <w:sz w:val="26"/>
          <w:szCs w:val="26"/>
        </w:rPr>
        <w:t xml:space="preserve">rior Agreement </w:t>
      </w:r>
      <w:r w:rsidRPr="00BB06DE">
        <w:rPr>
          <w:rFonts w:ascii="Times New Roman" w:eastAsia="Times New Roman" w:hAnsi="Times New Roman" w:cs="Times New Roman"/>
          <w:sz w:val="26"/>
          <w:szCs w:val="26"/>
        </w:rPr>
        <w:t>resolved a</w:t>
      </w:r>
      <w:r w:rsidR="003838B2" w:rsidRPr="00BB06DE">
        <w:rPr>
          <w:rFonts w:ascii="Times New Roman" w:eastAsia="Times New Roman" w:hAnsi="Times New Roman" w:cs="Times New Roman"/>
          <w:sz w:val="26"/>
          <w:szCs w:val="26"/>
        </w:rPr>
        <w:t>n</w:t>
      </w:r>
      <w:r w:rsidRPr="00BB06DE">
        <w:rPr>
          <w:rFonts w:ascii="Times New Roman" w:eastAsia="Times New Roman" w:hAnsi="Times New Roman" w:cs="Times New Roman"/>
          <w:sz w:val="26"/>
          <w:szCs w:val="26"/>
        </w:rPr>
        <w:t xml:space="preserve"> enforcement proceeding initiated by I&amp;E related to </w:t>
      </w:r>
      <w:r w:rsidR="005127BF" w:rsidRPr="00BB06DE">
        <w:rPr>
          <w:rFonts w:ascii="Times New Roman" w:eastAsia="Times New Roman" w:hAnsi="Times New Roman" w:cs="Times New Roman"/>
          <w:sz w:val="26"/>
          <w:szCs w:val="26"/>
        </w:rPr>
        <w:t>allegations</w:t>
      </w:r>
      <w:r w:rsidR="00636CD8" w:rsidRPr="00BB06DE">
        <w:rPr>
          <w:rFonts w:ascii="Times New Roman" w:eastAsia="Times New Roman" w:hAnsi="Times New Roman" w:cs="Times New Roman"/>
          <w:sz w:val="26"/>
          <w:szCs w:val="26"/>
        </w:rPr>
        <w:t xml:space="preserve"> that </w:t>
      </w:r>
      <w:r w:rsidR="005127BF" w:rsidRPr="00BB06DE">
        <w:rPr>
          <w:rFonts w:ascii="Times New Roman" w:eastAsia="Times New Roman" w:hAnsi="Times New Roman" w:cs="Times New Roman"/>
          <w:sz w:val="26"/>
          <w:szCs w:val="26"/>
        </w:rPr>
        <w:t>Clearview</w:t>
      </w:r>
      <w:r w:rsidR="00636CD8" w:rsidRPr="00BB06DE">
        <w:rPr>
          <w:rFonts w:ascii="Times New Roman" w:eastAsia="Times New Roman" w:hAnsi="Times New Roman" w:cs="Times New Roman"/>
          <w:sz w:val="26"/>
          <w:szCs w:val="26"/>
        </w:rPr>
        <w:t xml:space="preserve"> billed </w:t>
      </w:r>
      <w:r w:rsidR="005127BF" w:rsidRPr="00BB06DE">
        <w:rPr>
          <w:rFonts w:ascii="Times New Roman" w:eastAsia="Times New Roman" w:hAnsi="Times New Roman" w:cs="Times New Roman"/>
          <w:sz w:val="26"/>
          <w:szCs w:val="26"/>
        </w:rPr>
        <w:t>customers</w:t>
      </w:r>
      <w:r w:rsidR="00636CD8" w:rsidRPr="00BB06DE">
        <w:rPr>
          <w:rFonts w:ascii="Times New Roman" w:eastAsia="Times New Roman" w:hAnsi="Times New Roman" w:cs="Times New Roman"/>
          <w:sz w:val="26"/>
          <w:szCs w:val="26"/>
        </w:rPr>
        <w:t xml:space="preserve"> a rate that exceeded </w:t>
      </w:r>
      <w:r w:rsidR="005127BF" w:rsidRPr="00BB06DE">
        <w:rPr>
          <w:rFonts w:ascii="Times New Roman" w:eastAsia="Times New Roman" w:hAnsi="Times New Roman" w:cs="Times New Roman"/>
          <w:sz w:val="26"/>
          <w:szCs w:val="26"/>
        </w:rPr>
        <w:t>the</w:t>
      </w:r>
      <w:r w:rsidR="00636CD8" w:rsidRPr="00BB06DE">
        <w:rPr>
          <w:rFonts w:ascii="Times New Roman" w:eastAsia="Times New Roman" w:hAnsi="Times New Roman" w:cs="Times New Roman"/>
          <w:sz w:val="26"/>
          <w:szCs w:val="26"/>
        </w:rPr>
        <w:t xml:space="preserve"> rate set forth in the Company’s </w:t>
      </w:r>
      <w:r w:rsidR="005127BF" w:rsidRPr="00BB06DE">
        <w:rPr>
          <w:rFonts w:ascii="Times New Roman" w:eastAsia="Times New Roman" w:hAnsi="Times New Roman" w:cs="Times New Roman"/>
          <w:sz w:val="26"/>
          <w:szCs w:val="26"/>
        </w:rPr>
        <w:t>disclosure</w:t>
      </w:r>
      <w:r w:rsidR="00636CD8" w:rsidRPr="00BB06DE">
        <w:rPr>
          <w:rFonts w:ascii="Times New Roman" w:eastAsia="Times New Roman" w:hAnsi="Times New Roman" w:cs="Times New Roman"/>
          <w:sz w:val="26"/>
          <w:szCs w:val="26"/>
        </w:rPr>
        <w:t xml:space="preserve"> statements.</w:t>
      </w:r>
      <w:r w:rsidR="005127BF" w:rsidRPr="00BB06DE">
        <w:rPr>
          <w:rStyle w:val="FootnoteReference"/>
          <w:rFonts w:ascii="Times New Roman" w:eastAsia="Times New Roman" w:hAnsi="Times New Roman" w:cs="Times New Roman"/>
          <w:sz w:val="26"/>
          <w:szCs w:val="26"/>
        </w:rPr>
        <w:footnoteReference w:id="2"/>
      </w:r>
      <w:r w:rsidR="00636CD8" w:rsidRPr="00BB06DE">
        <w:rPr>
          <w:rFonts w:ascii="Times New Roman" w:eastAsia="Times New Roman" w:hAnsi="Times New Roman" w:cs="Times New Roman"/>
          <w:sz w:val="26"/>
          <w:szCs w:val="26"/>
        </w:rPr>
        <w:t xml:space="preserve">  </w:t>
      </w:r>
      <w:r w:rsidR="00E97FA8" w:rsidRPr="00BB06DE">
        <w:rPr>
          <w:rFonts w:ascii="Times New Roman" w:eastAsia="Times New Roman" w:hAnsi="Times New Roman" w:cs="Times New Roman"/>
          <w:sz w:val="26"/>
          <w:szCs w:val="26"/>
        </w:rPr>
        <w:t>Settlement at 4-5.</w:t>
      </w:r>
    </w:p>
    <w:p w14:paraId="47F56D14" w14:textId="0850540E" w:rsidR="00E97FA8" w:rsidRPr="00BB06DE" w:rsidRDefault="00E97FA8" w:rsidP="006D71EF">
      <w:pPr>
        <w:tabs>
          <w:tab w:val="center" w:pos="0"/>
        </w:tabs>
        <w:suppressAutoHyphens/>
        <w:spacing w:after="0" w:line="360" w:lineRule="auto"/>
        <w:rPr>
          <w:rFonts w:ascii="Times New Roman" w:eastAsia="Times New Roman" w:hAnsi="Times New Roman" w:cs="Times New Roman"/>
          <w:sz w:val="26"/>
          <w:szCs w:val="26"/>
        </w:rPr>
      </w:pPr>
    </w:p>
    <w:p w14:paraId="76DE95D1" w14:textId="54A1781A" w:rsidR="00F75A45" w:rsidRPr="00BB06DE" w:rsidRDefault="00CA4702" w:rsidP="005C3A5B">
      <w:pPr>
        <w:spacing w:after="0" w:line="360" w:lineRule="auto"/>
        <w:ind w:firstLine="1440"/>
        <w:rPr>
          <w:rFonts w:ascii="Times New Roman" w:eastAsia="Calibri" w:hAnsi="Times New Roman" w:cs="Times New Roman"/>
          <w:sz w:val="26"/>
          <w:szCs w:val="26"/>
        </w:rPr>
      </w:pPr>
      <w:proofErr w:type="gramStart"/>
      <w:r w:rsidRPr="00BB06DE">
        <w:rPr>
          <w:rFonts w:ascii="Times New Roman" w:eastAsia="Calibri" w:hAnsi="Times New Roman" w:cs="Times New Roman"/>
          <w:sz w:val="26"/>
          <w:szCs w:val="26"/>
        </w:rPr>
        <w:lastRenderedPageBreak/>
        <w:t>On the basis of</w:t>
      </w:r>
      <w:proofErr w:type="gramEnd"/>
      <w:r w:rsidRPr="00BB06DE">
        <w:rPr>
          <w:rFonts w:ascii="Times New Roman" w:eastAsia="Calibri" w:hAnsi="Times New Roman" w:cs="Times New Roman"/>
          <w:sz w:val="26"/>
          <w:szCs w:val="26"/>
        </w:rPr>
        <w:t xml:space="preserve"> the new allegations, </w:t>
      </w:r>
      <w:r w:rsidR="00F75A45" w:rsidRPr="00BB06DE">
        <w:rPr>
          <w:rFonts w:ascii="Times New Roman" w:eastAsia="Calibri" w:hAnsi="Times New Roman" w:cs="Times New Roman"/>
          <w:sz w:val="26"/>
          <w:szCs w:val="26"/>
        </w:rPr>
        <w:t xml:space="preserve">I&amp;E found that numerous consumer complaints </w:t>
      </w:r>
      <w:r w:rsidR="003838B2" w:rsidRPr="00BB06DE">
        <w:rPr>
          <w:rFonts w:ascii="Times New Roman" w:eastAsia="Calibri" w:hAnsi="Times New Roman" w:cs="Times New Roman"/>
          <w:sz w:val="26"/>
          <w:szCs w:val="26"/>
        </w:rPr>
        <w:t>had been made about customers having been</w:t>
      </w:r>
      <w:r w:rsidR="00F75A45" w:rsidRPr="00BB06DE">
        <w:rPr>
          <w:rFonts w:ascii="Times New Roman" w:eastAsia="Calibri" w:hAnsi="Times New Roman" w:cs="Times New Roman"/>
          <w:sz w:val="26"/>
          <w:szCs w:val="26"/>
        </w:rPr>
        <w:t xml:space="preserve"> enrolled to receive electric generation service supplied by Clearview without </w:t>
      </w:r>
      <w:r w:rsidR="003838B2" w:rsidRPr="00BB06DE">
        <w:rPr>
          <w:rFonts w:ascii="Times New Roman" w:eastAsia="Calibri" w:hAnsi="Times New Roman" w:cs="Times New Roman"/>
          <w:sz w:val="26"/>
          <w:szCs w:val="26"/>
        </w:rPr>
        <w:t xml:space="preserve">customers’ </w:t>
      </w:r>
      <w:r w:rsidR="00F75A45" w:rsidRPr="00BB06DE">
        <w:rPr>
          <w:rFonts w:ascii="Times New Roman" w:eastAsia="Calibri" w:hAnsi="Times New Roman" w:cs="Times New Roman"/>
          <w:sz w:val="26"/>
          <w:szCs w:val="26"/>
        </w:rPr>
        <w:t>authoriz</w:t>
      </w:r>
      <w:r w:rsidR="0047625C" w:rsidRPr="00BB06DE">
        <w:rPr>
          <w:rFonts w:ascii="Times New Roman" w:eastAsia="Calibri" w:hAnsi="Times New Roman" w:cs="Times New Roman"/>
          <w:sz w:val="26"/>
          <w:szCs w:val="26"/>
        </w:rPr>
        <w:t>at</w:t>
      </w:r>
      <w:r w:rsidR="00F75A45" w:rsidRPr="00BB06DE">
        <w:rPr>
          <w:rFonts w:ascii="Times New Roman" w:eastAsia="Calibri" w:hAnsi="Times New Roman" w:cs="Times New Roman"/>
          <w:sz w:val="26"/>
          <w:szCs w:val="26"/>
        </w:rPr>
        <w:t>i</w:t>
      </w:r>
      <w:r w:rsidR="003838B2" w:rsidRPr="00BB06DE">
        <w:rPr>
          <w:rFonts w:ascii="Times New Roman" w:eastAsia="Calibri" w:hAnsi="Times New Roman" w:cs="Times New Roman"/>
          <w:sz w:val="26"/>
          <w:szCs w:val="26"/>
        </w:rPr>
        <w:t>o</w:t>
      </w:r>
      <w:r w:rsidR="00F75A45" w:rsidRPr="00BB06DE">
        <w:rPr>
          <w:rFonts w:ascii="Times New Roman" w:eastAsia="Calibri" w:hAnsi="Times New Roman" w:cs="Times New Roman"/>
          <w:sz w:val="26"/>
          <w:szCs w:val="26"/>
        </w:rPr>
        <w:t xml:space="preserve">n </w:t>
      </w:r>
      <w:r w:rsidR="003838B2" w:rsidRPr="00BB06DE">
        <w:rPr>
          <w:rFonts w:ascii="Times New Roman" w:eastAsia="Calibri" w:hAnsi="Times New Roman" w:cs="Times New Roman"/>
          <w:sz w:val="26"/>
          <w:szCs w:val="26"/>
        </w:rPr>
        <w:t xml:space="preserve">of the </w:t>
      </w:r>
      <w:r w:rsidR="00F75A45" w:rsidRPr="00BB06DE">
        <w:rPr>
          <w:rFonts w:ascii="Times New Roman" w:eastAsia="Calibri" w:hAnsi="Times New Roman" w:cs="Times New Roman"/>
          <w:sz w:val="26"/>
          <w:szCs w:val="26"/>
        </w:rPr>
        <w:t xml:space="preserve">switch to Clearview.  Additionally, some consumer complaints alleged that Clearview billed a rate higher than the price advertised on </w:t>
      </w:r>
      <w:hyperlink r:id="rId11" w:history="1">
        <w:r w:rsidR="00F75A45" w:rsidRPr="00BB06DE">
          <w:rPr>
            <w:rFonts w:ascii="Times New Roman" w:eastAsia="Calibri" w:hAnsi="Times New Roman" w:cs="Times New Roman"/>
            <w:color w:val="1F4E79"/>
            <w:sz w:val="26"/>
            <w:szCs w:val="26"/>
            <w:u w:val="single"/>
          </w:rPr>
          <w:t>www.chooseenergy.com</w:t>
        </w:r>
      </w:hyperlink>
      <w:r w:rsidR="00F75A45" w:rsidRPr="00BB06DE">
        <w:rPr>
          <w:rFonts w:ascii="Times New Roman" w:eastAsia="Calibri" w:hAnsi="Times New Roman" w:cs="Times New Roman"/>
          <w:sz w:val="26"/>
          <w:szCs w:val="26"/>
        </w:rPr>
        <w:t>, which is a website that certain customers used to enroll with Clearview.</w:t>
      </w:r>
      <w:r w:rsidR="00AE71DB" w:rsidRPr="00BB06DE">
        <w:rPr>
          <w:rFonts w:ascii="Times New Roman" w:eastAsia="Calibri" w:hAnsi="Times New Roman" w:cs="Times New Roman"/>
          <w:sz w:val="26"/>
          <w:szCs w:val="26"/>
        </w:rPr>
        <w:t xml:space="preserve">  Settlement at 5.</w:t>
      </w:r>
    </w:p>
    <w:p w14:paraId="2B1165C9" w14:textId="77777777" w:rsidR="009E2A2E" w:rsidRPr="00BB06DE" w:rsidRDefault="009E2A2E" w:rsidP="00E50E14">
      <w:pPr>
        <w:widowControl w:val="0"/>
        <w:spacing w:after="0" w:line="360" w:lineRule="auto"/>
        <w:ind w:firstLine="1440"/>
        <w:rPr>
          <w:rFonts w:ascii="Times New Roman" w:eastAsia="Times New Roman" w:hAnsi="Times New Roman" w:cs="Times New Roman"/>
          <w:sz w:val="26"/>
          <w:szCs w:val="26"/>
        </w:rPr>
      </w:pPr>
    </w:p>
    <w:p w14:paraId="54266916" w14:textId="36C35A41" w:rsidR="00F75A45" w:rsidRPr="00BB06DE" w:rsidRDefault="00F75A45" w:rsidP="00E50E14">
      <w:pPr>
        <w:widowControl w:val="0"/>
        <w:spacing w:after="0" w:line="360" w:lineRule="auto"/>
        <w:ind w:firstLine="1440"/>
        <w:rPr>
          <w:rFonts w:ascii="Times New Roman" w:eastAsia="Calibri" w:hAnsi="Times New Roman" w:cs="Times New Roman"/>
          <w:sz w:val="26"/>
          <w:szCs w:val="26"/>
        </w:rPr>
      </w:pPr>
      <w:r w:rsidRPr="00BB06DE">
        <w:rPr>
          <w:rFonts w:ascii="Times New Roman" w:eastAsia="Calibri" w:hAnsi="Times New Roman" w:cs="Times New Roman"/>
          <w:sz w:val="26"/>
          <w:szCs w:val="26"/>
        </w:rPr>
        <w:t>By letter dated March 14, 2018, I&amp;E notified Clearview that it had initiated an informal investigation of the Company consistent with Sections 331(a) and 506 of the Public Utility Code, 66 Pa.</w:t>
      </w:r>
      <w:r w:rsidR="00470DEA" w:rsidRPr="00BB06DE">
        <w:rPr>
          <w:rFonts w:ascii="Times New Roman" w:eastAsia="Calibri" w:hAnsi="Times New Roman" w:cs="Times New Roman"/>
          <w:sz w:val="26"/>
          <w:szCs w:val="26"/>
        </w:rPr>
        <w:t xml:space="preserve"> </w:t>
      </w:r>
      <w:r w:rsidRPr="00BB06DE">
        <w:rPr>
          <w:rFonts w:ascii="Times New Roman" w:eastAsia="Calibri" w:hAnsi="Times New Roman" w:cs="Times New Roman"/>
          <w:sz w:val="26"/>
          <w:szCs w:val="26"/>
        </w:rPr>
        <w:t xml:space="preserve">C.S. §§ 331(a) and 506, and Section 3.113 of the Commission’s </w:t>
      </w:r>
      <w:r w:rsidR="003838B2" w:rsidRPr="00BB06DE">
        <w:rPr>
          <w:rFonts w:ascii="Times New Roman" w:eastAsia="Calibri" w:hAnsi="Times New Roman" w:cs="Times New Roman"/>
          <w:sz w:val="26"/>
          <w:szCs w:val="26"/>
        </w:rPr>
        <w:t>R</w:t>
      </w:r>
      <w:r w:rsidRPr="00BB06DE">
        <w:rPr>
          <w:rFonts w:ascii="Times New Roman" w:eastAsia="Calibri" w:hAnsi="Times New Roman" w:cs="Times New Roman"/>
          <w:sz w:val="26"/>
          <w:szCs w:val="26"/>
        </w:rPr>
        <w:t xml:space="preserve">egulations, 52 Pa. Code § 3.113.  </w:t>
      </w:r>
      <w:r w:rsidR="00195A5D" w:rsidRPr="00BB06DE">
        <w:rPr>
          <w:rFonts w:ascii="Times New Roman" w:eastAsia="Calibri" w:hAnsi="Times New Roman" w:cs="Times New Roman"/>
          <w:sz w:val="26"/>
          <w:szCs w:val="26"/>
        </w:rPr>
        <w:t>Settlement at 5.</w:t>
      </w:r>
    </w:p>
    <w:p w14:paraId="2806E3AA" w14:textId="77777777" w:rsidR="0052704A" w:rsidRPr="00BB06DE" w:rsidRDefault="0052704A" w:rsidP="00E50E14">
      <w:pPr>
        <w:widowControl w:val="0"/>
        <w:spacing w:after="0" w:line="360" w:lineRule="auto"/>
        <w:ind w:firstLine="1440"/>
        <w:rPr>
          <w:rFonts w:ascii="Times New Roman" w:eastAsia="Times New Roman" w:hAnsi="Times New Roman" w:cs="Times New Roman"/>
          <w:sz w:val="26"/>
          <w:szCs w:val="26"/>
        </w:rPr>
      </w:pPr>
    </w:p>
    <w:p w14:paraId="10BB01E3" w14:textId="520370BA" w:rsidR="00F75A45" w:rsidRPr="00BB06DE" w:rsidRDefault="00F75A45" w:rsidP="004970F9">
      <w:pPr>
        <w:widowControl w:val="0"/>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The results of I&amp;E’s investigation, which included a review of the Company’s responses to I&amp;E’s data requests, formed the basis for I&amp;</w:t>
      </w:r>
      <w:r w:rsidR="0037727B" w:rsidRPr="00BB06DE">
        <w:rPr>
          <w:rFonts w:ascii="Times New Roman" w:eastAsia="Calibri" w:hAnsi="Times New Roman" w:cs="Times New Roman"/>
          <w:sz w:val="26"/>
          <w:szCs w:val="26"/>
        </w:rPr>
        <w:t>E’s Complaint</w:t>
      </w:r>
      <w:r w:rsidR="00D21CAB" w:rsidRPr="00BB06DE">
        <w:rPr>
          <w:rFonts w:ascii="Times New Roman" w:eastAsia="Calibri" w:hAnsi="Times New Roman" w:cs="Times New Roman"/>
          <w:sz w:val="26"/>
          <w:szCs w:val="26"/>
        </w:rPr>
        <w:t>.</w:t>
      </w:r>
      <w:r w:rsidR="00905F02" w:rsidRPr="00BB06DE">
        <w:rPr>
          <w:rFonts w:ascii="Times New Roman" w:eastAsia="Calibri" w:hAnsi="Times New Roman" w:cs="Times New Roman"/>
          <w:sz w:val="26"/>
          <w:szCs w:val="26"/>
        </w:rPr>
        <w:t xml:space="preserve">  </w:t>
      </w:r>
      <w:r w:rsidRPr="00BB06DE">
        <w:rPr>
          <w:rFonts w:ascii="Times New Roman" w:eastAsia="Calibri" w:hAnsi="Times New Roman" w:cs="Times New Roman"/>
          <w:sz w:val="26"/>
          <w:szCs w:val="26"/>
        </w:rPr>
        <w:t xml:space="preserve">In the Complaint, I&amp;E </w:t>
      </w:r>
      <w:r w:rsidR="00B848CB" w:rsidRPr="00BB06DE">
        <w:rPr>
          <w:rFonts w:ascii="Times New Roman" w:eastAsia="Calibri" w:hAnsi="Times New Roman" w:cs="Times New Roman"/>
          <w:sz w:val="26"/>
          <w:szCs w:val="26"/>
        </w:rPr>
        <w:t>made</w:t>
      </w:r>
      <w:r w:rsidRPr="00BB06DE">
        <w:rPr>
          <w:rFonts w:ascii="Times New Roman" w:eastAsia="Calibri" w:hAnsi="Times New Roman" w:cs="Times New Roman"/>
          <w:sz w:val="26"/>
          <w:szCs w:val="26"/>
        </w:rPr>
        <w:t xml:space="preserve"> several requests for relief, including that</w:t>
      </w:r>
      <w:r w:rsidR="0034429D" w:rsidRPr="00BB06DE">
        <w:rPr>
          <w:rFonts w:ascii="Times New Roman" w:eastAsia="Calibri" w:hAnsi="Times New Roman" w:cs="Times New Roman"/>
          <w:sz w:val="26"/>
          <w:szCs w:val="26"/>
        </w:rPr>
        <w:t>:</w:t>
      </w:r>
      <w:r w:rsidRPr="00BB06DE">
        <w:rPr>
          <w:rFonts w:ascii="Times New Roman" w:eastAsia="Calibri" w:hAnsi="Times New Roman" w:cs="Times New Roman"/>
          <w:sz w:val="26"/>
          <w:szCs w:val="26"/>
        </w:rPr>
        <w:t xml:space="preserve"> </w:t>
      </w:r>
      <w:r w:rsidR="00F56F30">
        <w:rPr>
          <w:rFonts w:ascii="Times New Roman" w:eastAsia="Calibri" w:hAnsi="Times New Roman" w:cs="Times New Roman"/>
          <w:sz w:val="26"/>
          <w:szCs w:val="26"/>
        </w:rPr>
        <w:t xml:space="preserve"> </w:t>
      </w:r>
      <w:r w:rsidR="0034429D" w:rsidRPr="00BB06DE">
        <w:rPr>
          <w:rFonts w:ascii="Times New Roman" w:eastAsia="Calibri" w:hAnsi="Times New Roman" w:cs="Times New Roman"/>
          <w:sz w:val="26"/>
          <w:szCs w:val="26"/>
        </w:rPr>
        <w:t xml:space="preserve">(1) </w:t>
      </w:r>
      <w:r w:rsidRPr="00BB06DE">
        <w:rPr>
          <w:rFonts w:ascii="Times New Roman" w:eastAsia="Calibri" w:hAnsi="Times New Roman" w:cs="Times New Roman"/>
          <w:sz w:val="26"/>
          <w:szCs w:val="26"/>
        </w:rPr>
        <w:t xml:space="preserve">the Commission impose a civil penalty </w:t>
      </w:r>
      <w:r w:rsidR="00290C33" w:rsidRPr="00BB06DE">
        <w:rPr>
          <w:rFonts w:ascii="Times New Roman" w:eastAsia="Calibri" w:hAnsi="Times New Roman" w:cs="Times New Roman"/>
          <w:sz w:val="26"/>
          <w:szCs w:val="26"/>
        </w:rPr>
        <w:t>in the amount of</w:t>
      </w:r>
      <w:r w:rsidR="002E18A0" w:rsidRPr="00BB06DE">
        <w:rPr>
          <w:rFonts w:ascii="Times New Roman" w:eastAsia="Calibri" w:hAnsi="Times New Roman" w:cs="Times New Roman"/>
          <w:sz w:val="26"/>
          <w:szCs w:val="26"/>
        </w:rPr>
        <w:t xml:space="preserve"> </w:t>
      </w:r>
      <w:r w:rsidR="006563FD" w:rsidRPr="00BB06DE">
        <w:rPr>
          <w:rFonts w:ascii="Times New Roman" w:eastAsia="Times New Roman" w:hAnsi="Times New Roman" w:cs="Times New Roman"/>
          <w:sz w:val="26"/>
          <w:szCs w:val="26"/>
        </w:rPr>
        <w:t xml:space="preserve">Two Hundred and Eight </w:t>
      </w:r>
      <w:r w:rsidR="002E18A0" w:rsidRPr="00BB06DE">
        <w:rPr>
          <w:rFonts w:ascii="Times New Roman" w:eastAsia="Times New Roman" w:hAnsi="Times New Roman" w:cs="Times New Roman"/>
          <w:sz w:val="26"/>
          <w:szCs w:val="26"/>
        </w:rPr>
        <w:t>Thousand Dollars</w:t>
      </w:r>
      <w:r w:rsidR="00290C33" w:rsidRPr="00BB06DE">
        <w:rPr>
          <w:rFonts w:ascii="Times New Roman" w:eastAsia="Calibri" w:hAnsi="Times New Roman" w:cs="Times New Roman"/>
          <w:sz w:val="26"/>
          <w:szCs w:val="26"/>
        </w:rPr>
        <w:t xml:space="preserve"> </w:t>
      </w:r>
      <w:r w:rsidR="006563FD" w:rsidRPr="00BB06DE">
        <w:rPr>
          <w:rFonts w:ascii="Times New Roman" w:eastAsia="Calibri" w:hAnsi="Times New Roman" w:cs="Times New Roman"/>
          <w:sz w:val="26"/>
          <w:szCs w:val="26"/>
        </w:rPr>
        <w:t>(</w:t>
      </w:r>
      <w:r w:rsidR="00290C33" w:rsidRPr="00BB06DE">
        <w:rPr>
          <w:rFonts w:ascii="Times New Roman" w:eastAsia="Calibri" w:hAnsi="Times New Roman" w:cs="Times New Roman"/>
          <w:sz w:val="26"/>
          <w:szCs w:val="26"/>
        </w:rPr>
        <w:t>$208</w:t>
      </w:r>
      <w:r w:rsidR="00027C35" w:rsidRPr="00BB06DE">
        <w:rPr>
          <w:rFonts w:ascii="Times New Roman" w:eastAsia="Calibri" w:hAnsi="Times New Roman" w:cs="Times New Roman"/>
          <w:sz w:val="26"/>
          <w:szCs w:val="26"/>
        </w:rPr>
        <w:t>,000</w:t>
      </w:r>
      <w:r w:rsidR="006563FD" w:rsidRPr="00BB06DE">
        <w:rPr>
          <w:rFonts w:ascii="Times New Roman" w:eastAsia="Calibri" w:hAnsi="Times New Roman" w:cs="Times New Roman"/>
          <w:sz w:val="26"/>
          <w:szCs w:val="26"/>
        </w:rPr>
        <w:t>)</w:t>
      </w:r>
      <w:r w:rsidR="00027C35" w:rsidRPr="00BB06DE">
        <w:rPr>
          <w:rFonts w:ascii="Times New Roman" w:eastAsia="Calibri" w:hAnsi="Times New Roman" w:cs="Times New Roman"/>
          <w:sz w:val="26"/>
          <w:szCs w:val="26"/>
        </w:rPr>
        <w:t xml:space="preserve"> </w:t>
      </w:r>
      <w:r w:rsidRPr="00BB06DE">
        <w:rPr>
          <w:rFonts w:ascii="Times New Roman" w:eastAsia="Calibri" w:hAnsi="Times New Roman" w:cs="Times New Roman"/>
          <w:sz w:val="26"/>
          <w:szCs w:val="26"/>
        </w:rPr>
        <w:t>upon Clearview</w:t>
      </w:r>
      <w:r w:rsidR="00A2453B" w:rsidRPr="00BB06DE">
        <w:rPr>
          <w:rFonts w:ascii="Times New Roman" w:eastAsia="Calibri" w:hAnsi="Times New Roman" w:cs="Times New Roman"/>
          <w:sz w:val="26"/>
          <w:szCs w:val="26"/>
        </w:rPr>
        <w:t>;</w:t>
      </w:r>
      <w:r w:rsidR="000A2FF9" w:rsidRPr="00BB06DE">
        <w:rPr>
          <w:rFonts w:ascii="Times New Roman" w:eastAsia="Calibri" w:hAnsi="Times New Roman" w:cs="Times New Roman"/>
          <w:sz w:val="26"/>
          <w:szCs w:val="26"/>
        </w:rPr>
        <w:t xml:space="preserve"> </w:t>
      </w:r>
      <w:r w:rsidR="0034429D" w:rsidRPr="00BB06DE">
        <w:rPr>
          <w:rFonts w:ascii="Times New Roman" w:eastAsia="Calibri" w:hAnsi="Times New Roman" w:cs="Times New Roman"/>
          <w:sz w:val="26"/>
          <w:szCs w:val="26"/>
        </w:rPr>
        <w:t xml:space="preserve">(2) </w:t>
      </w:r>
      <w:r w:rsidR="000A2FF9" w:rsidRPr="00BB06DE">
        <w:rPr>
          <w:rFonts w:ascii="Times New Roman" w:eastAsia="Calibri" w:hAnsi="Times New Roman" w:cs="Times New Roman"/>
          <w:sz w:val="26"/>
          <w:szCs w:val="26"/>
        </w:rPr>
        <w:t>Clear</w:t>
      </w:r>
      <w:r w:rsidRPr="00BB06DE">
        <w:rPr>
          <w:rFonts w:ascii="Times New Roman" w:eastAsia="Calibri" w:hAnsi="Times New Roman" w:cs="Times New Roman"/>
          <w:sz w:val="26"/>
          <w:szCs w:val="26"/>
        </w:rPr>
        <w:t>view provide refunds to customers who were overbilled and/or switched to Clearview without consent</w:t>
      </w:r>
      <w:r w:rsidR="00A2453B" w:rsidRPr="00BB06DE">
        <w:rPr>
          <w:rFonts w:ascii="Times New Roman" w:eastAsia="Calibri" w:hAnsi="Times New Roman" w:cs="Times New Roman"/>
          <w:sz w:val="26"/>
          <w:szCs w:val="26"/>
        </w:rPr>
        <w:t>;</w:t>
      </w:r>
      <w:r w:rsidRPr="00BB06DE">
        <w:rPr>
          <w:rFonts w:ascii="Times New Roman" w:eastAsia="Calibri" w:hAnsi="Times New Roman" w:cs="Times New Roman"/>
          <w:sz w:val="26"/>
          <w:szCs w:val="26"/>
        </w:rPr>
        <w:t xml:space="preserve"> </w:t>
      </w:r>
      <w:r w:rsidR="0034429D" w:rsidRPr="00BB06DE">
        <w:rPr>
          <w:rFonts w:ascii="Times New Roman" w:eastAsia="Calibri" w:hAnsi="Times New Roman" w:cs="Times New Roman"/>
          <w:sz w:val="26"/>
          <w:szCs w:val="26"/>
        </w:rPr>
        <w:t>(3)</w:t>
      </w:r>
      <w:r w:rsidR="00C40600">
        <w:rPr>
          <w:rFonts w:ascii="Times New Roman" w:eastAsia="Calibri" w:hAnsi="Times New Roman" w:cs="Times New Roman"/>
          <w:sz w:val="26"/>
          <w:szCs w:val="26"/>
        </w:rPr>
        <w:t> </w:t>
      </w:r>
      <w:r w:rsidRPr="00BB06DE">
        <w:rPr>
          <w:rFonts w:ascii="Times New Roman" w:eastAsia="Calibri" w:hAnsi="Times New Roman" w:cs="Times New Roman"/>
          <w:sz w:val="26"/>
          <w:szCs w:val="26"/>
        </w:rPr>
        <w:t>Clearview reimburse customers who were charged a cancellation fee from a prior supplier as a result of the Company’s unauthorized switch</w:t>
      </w:r>
      <w:r w:rsidR="00A2453B" w:rsidRPr="00BB06DE">
        <w:rPr>
          <w:rFonts w:ascii="Times New Roman" w:eastAsia="Calibri" w:hAnsi="Times New Roman" w:cs="Times New Roman"/>
          <w:sz w:val="26"/>
          <w:szCs w:val="26"/>
        </w:rPr>
        <w:t>;</w:t>
      </w:r>
      <w:r w:rsidRPr="00BB06DE">
        <w:rPr>
          <w:rFonts w:ascii="Times New Roman" w:eastAsia="Calibri" w:hAnsi="Times New Roman" w:cs="Times New Roman"/>
          <w:sz w:val="26"/>
          <w:szCs w:val="26"/>
        </w:rPr>
        <w:t xml:space="preserve"> and </w:t>
      </w:r>
      <w:r w:rsidR="0034429D" w:rsidRPr="00BB06DE">
        <w:rPr>
          <w:rFonts w:ascii="Times New Roman" w:eastAsia="Calibri" w:hAnsi="Times New Roman" w:cs="Times New Roman"/>
          <w:sz w:val="26"/>
          <w:szCs w:val="26"/>
        </w:rPr>
        <w:t xml:space="preserve">(4) </w:t>
      </w:r>
      <w:r w:rsidRPr="00BB06DE">
        <w:rPr>
          <w:rFonts w:ascii="Times New Roman" w:eastAsia="Calibri" w:hAnsi="Times New Roman" w:cs="Times New Roman"/>
          <w:sz w:val="26"/>
          <w:szCs w:val="26"/>
        </w:rPr>
        <w:t xml:space="preserve">Clearview revise the Company’s policies and implement changes to its practices to address the aforementioned deficiencies.  </w:t>
      </w:r>
      <w:r w:rsidR="004970F9" w:rsidRPr="00BB06DE">
        <w:rPr>
          <w:rFonts w:ascii="Times New Roman" w:eastAsia="Calibri" w:hAnsi="Times New Roman" w:cs="Times New Roman"/>
          <w:sz w:val="26"/>
          <w:szCs w:val="26"/>
        </w:rPr>
        <w:t xml:space="preserve">Settlement at </w:t>
      </w:r>
      <w:r w:rsidR="004605F5" w:rsidRPr="00BB06DE">
        <w:rPr>
          <w:rFonts w:ascii="Times New Roman" w:eastAsia="Calibri" w:hAnsi="Times New Roman" w:cs="Times New Roman"/>
          <w:sz w:val="26"/>
          <w:szCs w:val="26"/>
        </w:rPr>
        <w:t xml:space="preserve">7.  </w:t>
      </w:r>
    </w:p>
    <w:p w14:paraId="0CB54A0C" w14:textId="77777777" w:rsidR="00E97FA8" w:rsidRPr="00BB06DE" w:rsidRDefault="00E97FA8" w:rsidP="006D71EF">
      <w:pPr>
        <w:tabs>
          <w:tab w:val="center" w:pos="0"/>
        </w:tabs>
        <w:suppressAutoHyphens/>
        <w:spacing w:after="0" w:line="360" w:lineRule="auto"/>
        <w:rPr>
          <w:rFonts w:ascii="Times New Roman" w:eastAsia="Times New Roman" w:hAnsi="Times New Roman" w:cs="Times New Roman"/>
          <w:sz w:val="26"/>
          <w:szCs w:val="26"/>
        </w:rPr>
      </w:pPr>
    </w:p>
    <w:p w14:paraId="663E8D2E" w14:textId="6EE385A3" w:rsidR="00BC29BE" w:rsidRPr="00BB06DE" w:rsidRDefault="00BC29BE" w:rsidP="00F56D83">
      <w:pPr>
        <w:widowControl w:val="0"/>
        <w:spacing w:after="0" w:line="360" w:lineRule="auto"/>
        <w:ind w:firstLine="1440"/>
        <w:rPr>
          <w:rFonts w:ascii="Times New Roman" w:eastAsia="Calibri" w:hAnsi="Times New Roman" w:cs="Times New Roman"/>
          <w:sz w:val="26"/>
          <w:szCs w:val="26"/>
        </w:rPr>
      </w:pPr>
      <w:r w:rsidRPr="00BB06DE">
        <w:rPr>
          <w:rFonts w:ascii="Times New Roman" w:eastAsia="Calibri" w:hAnsi="Times New Roman" w:cs="Times New Roman"/>
          <w:sz w:val="26"/>
          <w:szCs w:val="26"/>
        </w:rPr>
        <w:t>On June 23, 2020, Clearview, through counsel, filed an Answer and New Matter to the Complaint.  In its Answer, Clearview generally denied the factual averments alleged in I&amp;E’s Complaint.  However, Clearview admitted that</w:t>
      </w:r>
      <w:r w:rsidR="002169C6" w:rsidRPr="00BB06DE">
        <w:rPr>
          <w:rFonts w:ascii="Times New Roman" w:eastAsia="Calibri" w:hAnsi="Times New Roman" w:cs="Times New Roman"/>
          <w:sz w:val="26"/>
          <w:szCs w:val="26"/>
        </w:rPr>
        <w:t>,</w:t>
      </w:r>
      <w:r w:rsidRPr="00BB06DE">
        <w:rPr>
          <w:rFonts w:ascii="Times New Roman" w:eastAsia="Calibri" w:hAnsi="Times New Roman" w:cs="Times New Roman"/>
          <w:sz w:val="26"/>
          <w:szCs w:val="26"/>
        </w:rPr>
        <w:t xml:space="preserve"> without the knowledge of management, its sales team, which has been completely replaced since then, had temporarily ceased the practice of notifying BCS and the local </w:t>
      </w:r>
      <w:r w:rsidR="00457E26" w:rsidRPr="00BB06DE">
        <w:rPr>
          <w:rFonts w:ascii="Times New Roman" w:eastAsia="Calibri" w:hAnsi="Times New Roman" w:cs="Times New Roman"/>
          <w:sz w:val="26"/>
          <w:szCs w:val="26"/>
        </w:rPr>
        <w:t>electric distribution companies (</w:t>
      </w:r>
      <w:r w:rsidRPr="00BB06DE">
        <w:rPr>
          <w:rFonts w:ascii="Times New Roman" w:eastAsia="Calibri" w:hAnsi="Times New Roman" w:cs="Times New Roman"/>
          <w:sz w:val="26"/>
          <w:szCs w:val="26"/>
        </w:rPr>
        <w:t>EDCs</w:t>
      </w:r>
      <w:r w:rsidR="005770B3" w:rsidRPr="00BB06DE">
        <w:rPr>
          <w:rFonts w:ascii="Times New Roman" w:eastAsia="Calibri" w:hAnsi="Times New Roman" w:cs="Times New Roman"/>
          <w:sz w:val="26"/>
          <w:szCs w:val="26"/>
        </w:rPr>
        <w:t>)</w:t>
      </w:r>
      <w:r w:rsidRPr="00BB06DE">
        <w:rPr>
          <w:rFonts w:ascii="Times New Roman" w:eastAsia="Calibri" w:hAnsi="Times New Roman" w:cs="Times New Roman"/>
          <w:sz w:val="26"/>
          <w:szCs w:val="26"/>
        </w:rPr>
        <w:t xml:space="preserve"> of Clearview’s door-to-door marketing practices.  </w:t>
      </w:r>
      <w:r w:rsidRPr="00BB06DE">
        <w:rPr>
          <w:rFonts w:ascii="Times New Roman" w:eastAsia="Calibri" w:hAnsi="Times New Roman" w:cs="Times New Roman"/>
          <w:sz w:val="26"/>
          <w:szCs w:val="26"/>
        </w:rPr>
        <w:lastRenderedPageBreak/>
        <w:t>Clearview also admitted to switching ten (10) customers to receive its electric generation supply without the customers’ consent and had inadvertently failed to correct a price posted on the chooseenergy.com website, which resulted in one hundred thirty-seven (137) Pennsylvania customers being billed at a rate greater than the rate that was advertised.  Clearview noted that the disclosure statements sent to these customers contained prices that matched the prices that were billed.</w:t>
      </w:r>
      <w:r w:rsidR="005B30F6" w:rsidRPr="00BB06DE">
        <w:rPr>
          <w:rFonts w:ascii="Times New Roman" w:eastAsia="Calibri" w:hAnsi="Times New Roman" w:cs="Times New Roman"/>
          <w:sz w:val="26"/>
          <w:szCs w:val="26"/>
        </w:rPr>
        <w:t xml:space="preserve">  Settlement at 7-8.</w:t>
      </w:r>
    </w:p>
    <w:p w14:paraId="7A3B99FE" w14:textId="77777777" w:rsidR="00BC29BE" w:rsidRPr="00BB06DE" w:rsidRDefault="00BC29BE" w:rsidP="00BC29BE">
      <w:pPr>
        <w:widowControl w:val="0"/>
        <w:spacing w:after="0" w:line="480" w:lineRule="auto"/>
        <w:ind w:left="720"/>
        <w:rPr>
          <w:rFonts w:ascii="Times New Roman" w:eastAsia="Calibri" w:hAnsi="Times New Roman" w:cs="Times New Roman"/>
          <w:sz w:val="26"/>
          <w:szCs w:val="26"/>
        </w:rPr>
      </w:pPr>
    </w:p>
    <w:p w14:paraId="748A7455" w14:textId="1E3AF401" w:rsidR="00BC29BE" w:rsidRPr="00BB06DE" w:rsidRDefault="00BC29BE" w:rsidP="00BB06DE">
      <w:pPr>
        <w:widowControl w:val="0"/>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On July 13, 2020, I&amp;E filed its Reply to Clearview’s New Matter specifically denying the viability of Clearview’s assertions in its New Matter as defenses in this</w:t>
      </w:r>
      <w:r w:rsidR="000A47F7" w:rsidRPr="00BB06DE">
        <w:rPr>
          <w:rFonts w:ascii="Times New Roman" w:eastAsia="Calibri" w:hAnsi="Times New Roman" w:cs="Times New Roman"/>
          <w:sz w:val="26"/>
          <w:szCs w:val="26"/>
        </w:rPr>
        <w:t xml:space="preserve"> p</w:t>
      </w:r>
      <w:r w:rsidRPr="00BB06DE">
        <w:rPr>
          <w:rFonts w:ascii="Times New Roman" w:eastAsia="Calibri" w:hAnsi="Times New Roman" w:cs="Times New Roman"/>
          <w:sz w:val="26"/>
          <w:szCs w:val="26"/>
        </w:rPr>
        <w:t>roceeding.  The Parties then engaged in a series of settlement discussions which culminated in the instant Settlement Agreement.</w:t>
      </w:r>
      <w:r w:rsidR="005B30F6" w:rsidRPr="00BB06DE">
        <w:rPr>
          <w:rFonts w:ascii="Times New Roman" w:eastAsia="Calibri" w:hAnsi="Times New Roman" w:cs="Times New Roman"/>
          <w:sz w:val="26"/>
          <w:szCs w:val="26"/>
        </w:rPr>
        <w:t xml:space="preserve">  Settlement at 8.</w:t>
      </w:r>
    </w:p>
    <w:p w14:paraId="5700DE74" w14:textId="77777777" w:rsidR="00C208FD" w:rsidRPr="00BB06DE" w:rsidRDefault="00C208FD" w:rsidP="002B5ADA">
      <w:pPr>
        <w:tabs>
          <w:tab w:val="center" w:pos="0"/>
        </w:tabs>
        <w:suppressAutoHyphens/>
        <w:spacing w:after="0" w:line="360" w:lineRule="auto"/>
        <w:rPr>
          <w:rFonts w:ascii="Times New Roman" w:eastAsia="Times New Roman" w:hAnsi="Times New Roman" w:cs="Times New Roman"/>
          <w:sz w:val="26"/>
          <w:szCs w:val="26"/>
        </w:rPr>
      </w:pPr>
    </w:p>
    <w:p w14:paraId="3ADDB2CF" w14:textId="44E83236" w:rsidR="00F44833" w:rsidRPr="00BB06DE" w:rsidRDefault="000B12D6" w:rsidP="00E2771E">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00F75A46" w:rsidRPr="00BB06DE">
        <w:rPr>
          <w:rFonts w:ascii="Times New Roman" w:eastAsia="Times New Roman" w:hAnsi="Times New Roman" w:cs="Times New Roman"/>
          <w:sz w:val="26"/>
          <w:szCs w:val="26"/>
        </w:rPr>
        <w:t xml:space="preserve">If this matter had been fully litigated, I&amp;E would have alleged that: </w:t>
      </w:r>
    </w:p>
    <w:p w14:paraId="1ADB1EAE" w14:textId="6334C39D" w:rsidR="00BD70C1" w:rsidRPr="00BB06DE" w:rsidRDefault="00BD70C1" w:rsidP="00336A38">
      <w:pPr>
        <w:tabs>
          <w:tab w:val="center" w:pos="0"/>
        </w:tabs>
        <w:suppressAutoHyphens/>
        <w:spacing w:after="0" w:line="240" w:lineRule="auto"/>
        <w:rPr>
          <w:rFonts w:ascii="Times New Roman" w:eastAsia="Times New Roman" w:hAnsi="Times New Roman" w:cs="Times New Roman"/>
          <w:sz w:val="26"/>
          <w:szCs w:val="26"/>
        </w:rPr>
      </w:pPr>
    </w:p>
    <w:p w14:paraId="237E660C" w14:textId="7E793E54"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color w:val="000000"/>
          <w:sz w:val="26"/>
          <w:szCs w:val="26"/>
        </w:rPr>
        <w:t xml:space="preserve">Clearview, through the action of its agent or agents, engaged in fraudulent, </w:t>
      </w:r>
      <w:proofErr w:type="gramStart"/>
      <w:r w:rsidRPr="00BB06DE">
        <w:rPr>
          <w:color w:val="000000"/>
          <w:sz w:val="26"/>
          <w:szCs w:val="26"/>
        </w:rPr>
        <w:t>deceptive</w:t>
      </w:r>
      <w:proofErr w:type="gramEnd"/>
      <w:r w:rsidRPr="00BB06DE">
        <w:rPr>
          <w:color w:val="000000"/>
          <w:sz w:val="26"/>
          <w:szCs w:val="26"/>
        </w:rPr>
        <w:t xml:space="preserve"> or otherwise unlawful acts in the process of marketing Clearview’s electric generation supplier services in that on June 15, 2017, a prospective customer’s wallet containing cash was taken by an agent or agents conducting door-to-door sales on behalf of Clearview.  If proven, I&amp;E alleges that such conduct violates 52 Pa. Code § 54.43(f) (related to standards of conduct and disclosure for licensees) and 52 Pa. Code § 111.9(b) (related to door-to-door sales).  (</w:t>
      </w:r>
      <w:r w:rsidR="00084308">
        <w:rPr>
          <w:color w:val="000000"/>
          <w:sz w:val="26"/>
          <w:szCs w:val="26"/>
        </w:rPr>
        <w:t>1</w:t>
      </w:r>
      <w:r w:rsidRPr="00BB06DE">
        <w:rPr>
          <w:color w:val="000000"/>
          <w:sz w:val="26"/>
          <w:szCs w:val="26"/>
        </w:rPr>
        <w:t xml:space="preserve"> count).  </w:t>
      </w:r>
    </w:p>
    <w:p w14:paraId="310D08B5" w14:textId="77777777" w:rsidR="00CA4702" w:rsidRPr="00BB06DE" w:rsidRDefault="00CA4702" w:rsidP="00BB06DE">
      <w:pPr>
        <w:pStyle w:val="ListParagraph"/>
        <w:spacing w:after="0" w:line="240" w:lineRule="auto"/>
        <w:ind w:left="2160" w:right="1440"/>
        <w:rPr>
          <w:rFonts w:eastAsia="Calibri"/>
          <w:sz w:val="26"/>
          <w:szCs w:val="26"/>
        </w:rPr>
      </w:pPr>
    </w:p>
    <w:p w14:paraId="431DA0B8" w14:textId="4C399718"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color w:val="000000"/>
          <w:sz w:val="26"/>
          <w:szCs w:val="26"/>
        </w:rPr>
        <w:t>Clearview impermissibly allowed the two agents implicated in the wallet theft incident to conduct door-to-door sales and marketing activities on June</w:t>
      </w:r>
      <w:r w:rsidR="00336A38">
        <w:rPr>
          <w:color w:val="000000"/>
          <w:sz w:val="26"/>
          <w:szCs w:val="26"/>
        </w:rPr>
        <w:t> </w:t>
      </w:r>
      <w:r w:rsidRPr="00BB06DE">
        <w:rPr>
          <w:color w:val="000000"/>
          <w:sz w:val="26"/>
          <w:szCs w:val="26"/>
        </w:rPr>
        <w:t>15,</w:t>
      </w:r>
      <w:r w:rsidR="00336A38">
        <w:rPr>
          <w:color w:val="000000"/>
          <w:sz w:val="26"/>
          <w:szCs w:val="26"/>
        </w:rPr>
        <w:t> </w:t>
      </w:r>
      <w:r w:rsidRPr="00BB06DE">
        <w:rPr>
          <w:color w:val="000000"/>
          <w:sz w:val="26"/>
          <w:szCs w:val="26"/>
        </w:rPr>
        <w:t xml:space="preserve">2017, in that Clearview did not first obtain and review their criminal history records from the Pennsylvania State Police.  If proven, I&amp;E alleges that such conduct violates </w:t>
      </w:r>
      <w:bookmarkStart w:id="0" w:name="_Hlk83280100"/>
      <w:r w:rsidRPr="00BB06DE">
        <w:rPr>
          <w:color w:val="000000"/>
          <w:sz w:val="26"/>
          <w:szCs w:val="26"/>
        </w:rPr>
        <w:t xml:space="preserve">52 Pa. Code </w:t>
      </w:r>
      <w:bookmarkStart w:id="1" w:name="_Hlk39988067"/>
      <w:r w:rsidRPr="00BB06DE">
        <w:rPr>
          <w:color w:val="000000"/>
          <w:sz w:val="26"/>
          <w:szCs w:val="26"/>
        </w:rPr>
        <w:t xml:space="preserve">§ </w:t>
      </w:r>
      <w:bookmarkEnd w:id="1"/>
      <w:r w:rsidRPr="00BB06DE">
        <w:rPr>
          <w:color w:val="000000"/>
          <w:sz w:val="26"/>
          <w:szCs w:val="26"/>
        </w:rPr>
        <w:t>111.4(b) (related to agent qualifications and standards; criminal background investigations).  (</w:t>
      </w:r>
      <w:r w:rsidR="00084308">
        <w:rPr>
          <w:color w:val="000000"/>
          <w:sz w:val="26"/>
          <w:szCs w:val="26"/>
        </w:rPr>
        <w:t>2</w:t>
      </w:r>
      <w:r w:rsidRPr="00BB06DE">
        <w:rPr>
          <w:color w:val="000000"/>
          <w:sz w:val="26"/>
          <w:szCs w:val="26"/>
        </w:rPr>
        <w:t xml:space="preserve"> counts).</w:t>
      </w:r>
    </w:p>
    <w:p w14:paraId="5058BCAD" w14:textId="77777777" w:rsidR="00CA4702" w:rsidRPr="00BB06DE" w:rsidRDefault="00CA4702" w:rsidP="00BB06DE">
      <w:pPr>
        <w:pStyle w:val="ListParagraph"/>
        <w:ind w:right="1440"/>
        <w:rPr>
          <w:rFonts w:eastAsia="Calibri"/>
          <w:sz w:val="26"/>
          <w:szCs w:val="26"/>
        </w:rPr>
      </w:pPr>
    </w:p>
    <w:bookmarkEnd w:id="0"/>
    <w:p w14:paraId="62AB7BD2" w14:textId="7C02BB01"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color w:val="000000"/>
          <w:sz w:val="26"/>
          <w:szCs w:val="26"/>
        </w:rPr>
        <w:lastRenderedPageBreak/>
        <w:t xml:space="preserve">Clearview violated the Commission’s </w:t>
      </w:r>
      <w:r w:rsidR="00D95DEF" w:rsidRPr="00BB06DE">
        <w:rPr>
          <w:color w:val="000000"/>
          <w:sz w:val="26"/>
          <w:szCs w:val="26"/>
        </w:rPr>
        <w:t>R</w:t>
      </w:r>
      <w:r w:rsidRPr="00BB06DE">
        <w:rPr>
          <w:color w:val="000000"/>
          <w:sz w:val="26"/>
          <w:szCs w:val="26"/>
        </w:rPr>
        <w:t xml:space="preserve">egulations pertaining to marketing and sales practices for the retail residential energy market in that on </w:t>
      </w:r>
      <w:proofErr w:type="gramStart"/>
      <w:r w:rsidRPr="00BB06DE">
        <w:rPr>
          <w:color w:val="000000"/>
          <w:sz w:val="26"/>
          <w:szCs w:val="26"/>
        </w:rPr>
        <w:t>each and every</w:t>
      </w:r>
      <w:proofErr w:type="gramEnd"/>
      <w:r w:rsidRPr="00BB06DE">
        <w:rPr>
          <w:color w:val="000000"/>
          <w:sz w:val="26"/>
          <w:szCs w:val="26"/>
        </w:rPr>
        <w:t xml:space="preserve"> day of June 2017, except for June 25, 2017, Clearview conducted door-to-door sales and marketing activities without first notifying BCS no later than the morning of the day that the activity began.  If proven, I&amp;E alleges that such conduct violates 52 Pa. Code §</w:t>
      </w:r>
      <w:r w:rsidR="00853496">
        <w:rPr>
          <w:color w:val="000000"/>
          <w:sz w:val="26"/>
          <w:szCs w:val="26"/>
        </w:rPr>
        <w:t> </w:t>
      </w:r>
      <w:r w:rsidRPr="00BB06DE">
        <w:rPr>
          <w:color w:val="000000"/>
          <w:sz w:val="26"/>
          <w:szCs w:val="26"/>
        </w:rPr>
        <w:t>111.14(a) (related to notification regarding marketing or sales activity).  (29 counts).</w:t>
      </w:r>
    </w:p>
    <w:p w14:paraId="297A6465" w14:textId="77777777" w:rsidR="00CA4702" w:rsidRPr="00BB06DE" w:rsidRDefault="00CA4702" w:rsidP="00CA4702">
      <w:pPr>
        <w:pStyle w:val="ListParagraph"/>
        <w:spacing w:after="0" w:line="240" w:lineRule="auto"/>
        <w:ind w:left="2160"/>
        <w:rPr>
          <w:rFonts w:eastAsia="Calibri"/>
          <w:sz w:val="26"/>
          <w:szCs w:val="26"/>
        </w:rPr>
      </w:pPr>
    </w:p>
    <w:p w14:paraId="67BA2458" w14:textId="798EB6FD"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color w:val="000000"/>
          <w:sz w:val="26"/>
          <w:szCs w:val="26"/>
        </w:rPr>
        <w:t xml:space="preserve">Clearview violated the Commission’s </w:t>
      </w:r>
      <w:r w:rsidR="00EA36AD" w:rsidRPr="00BB06DE">
        <w:rPr>
          <w:color w:val="000000"/>
          <w:sz w:val="26"/>
          <w:szCs w:val="26"/>
        </w:rPr>
        <w:t>R</w:t>
      </w:r>
      <w:r w:rsidRPr="00BB06DE">
        <w:rPr>
          <w:color w:val="000000"/>
          <w:sz w:val="26"/>
          <w:szCs w:val="26"/>
        </w:rPr>
        <w:t xml:space="preserve">egulations pertaining to marketing and sales practices for the retail residential energy market in that on </w:t>
      </w:r>
      <w:proofErr w:type="gramStart"/>
      <w:r w:rsidRPr="00BB06DE">
        <w:rPr>
          <w:color w:val="000000"/>
          <w:sz w:val="26"/>
          <w:szCs w:val="26"/>
        </w:rPr>
        <w:t>each and every</w:t>
      </w:r>
      <w:proofErr w:type="gramEnd"/>
      <w:r w:rsidRPr="00BB06DE">
        <w:rPr>
          <w:color w:val="000000"/>
          <w:sz w:val="26"/>
          <w:szCs w:val="26"/>
        </w:rPr>
        <w:t xml:space="preserve"> day of June 2017, expect for June 25, 2017, Clearview conducted door-to-door sales and marketing activities without first notifying the local distribution company with general, nonproprietary information about the activities no later than the morning of the date that the sales and marketing activities began.  If proven, I&amp;E alleges that such conduct violates 52</w:t>
      </w:r>
      <w:r w:rsidR="00853496">
        <w:rPr>
          <w:color w:val="000000"/>
          <w:sz w:val="26"/>
          <w:szCs w:val="26"/>
        </w:rPr>
        <w:t> </w:t>
      </w:r>
      <w:r w:rsidRPr="00BB06DE">
        <w:rPr>
          <w:color w:val="000000"/>
          <w:sz w:val="26"/>
          <w:szCs w:val="26"/>
        </w:rPr>
        <w:t>Pa.</w:t>
      </w:r>
      <w:r w:rsidR="00853496">
        <w:rPr>
          <w:color w:val="000000"/>
          <w:sz w:val="26"/>
          <w:szCs w:val="26"/>
        </w:rPr>
        <w:t> </w:t>
      </w:r>
      <w:r w:rsidRPr="00BB06DE">
        <w:rPr>
          <w:color w:val="000000"/>
          <w:sz w:val="26"/>
          <w:szCs w:val="26"/>
        </w:rPr>
        <w:t>Code § 111.14(b) (related to notification regarding marketing or sales activity).  (29 counts).</w:t>
      </w:r>
    </w:p>
    <w:p w14:paraId="20421563" w14:textId="77777777" w:rsidR="00CA4702" w:rsidRPr="00BB06DE" w:rsidRDefault="00CA4702" w:rsidP="00BB06DE">
      <w:pPr>
        <w:pStyle w:val="ListParagraph"/>
        <w:spacing w:after="0" w:line="240" w:lineRule="auto"/>
        <w:ind w:left="2160" w:right="1440"/>
        <w:rPr>
          <w:rFonts w:eastAsia="Calibri"/>
          <w:sz w:val="26"/>
          <w:szCs w:val="26"/>
        </w:rPr>
      </w:pPr>
    </w:p>
    <w:p w14:paraId="6B1123E0" w14:textId="7269D750"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color w:val="000000"/>
          <w:sz w:val="26"/>
          <w:szCs w:val="26"/>
        </w:rPr>
        <w:t>During the third and fourth calendar year quarters of 2017, Clearview switched ten (10) customers to receive electric generation service supplied by Clearview without the customers’ authorization in that the customers did not consent to being switched.  If proven, I&amp;E alleges that such conduct violates 52</w:t>
      </w:r>
      <w:r w:rsidR="00853496">
        <w:rPr>
          <w:color w:val="000000"/>
          <w:sz w:val="26"/>
          <w:szCs w:val="26"/>
        </w:rPr>
        <w:t> </w:t>
      </w:r>
      <w:r w:rsidRPr="00BB06DE">
        <w:rPr>
          <w:color w:val="000000"/>
          <w:sz w:val="26"/>
          <w:szCs w:val="26"/>
        </w:rPr>
        <w:t>Pa.</w:t>
      </w:r>
      <w:r w:rsidR="00853496">
        <w:rPr>
          <w:color w:val="000000"/>
          <w:sz w:val="26"/>
          <w:szCs w:val="26"/>
        </w:rPr>
        <w:t> </w:t>
      </w:r>
      <w:r w:rsidRPr="00BB06DE">
        <w:rPr>
          <w:color w:val="000000"/>
          <w:sz w:val="26"/>
          <w:szCs w:val="26"/>
        </w:rPr>
        <w:t>Code § 54.42(a)(9) (permitting a civil penalty to be imposed upon a supplier who transfers a customer without the customer’s consent); 52 Pa. Code §§</w:t>
      </w:r>
      <w:r w:rsidR="00853496">
        <w:rPr>
          <w:color w:val="000000"/>
          <w:sz w:val="26"/>
          <w:szCs w:val="26"/>
        </w:rPr>
        <w:t> </w:t>
      </w:r>
      <w:r w:rsidRPr="00BB06DE">
        <w:rPr>
          <w:color w:val="000000"/>
          <w:sz w:val="26"/>
          <w:szCs w:val="26"/>
        </w:rPr>
        <w:t>57.171-177 (related to the standards for changing a customer’s electricity generation supplier); and 52</w:t>
      </w:r>
      <w:r w:rsidR="00853496">
        <w:rPr>
          <w:color w:val="000000"/>
          <w:sz w:val="26"/>
          <w:szCs w:val="26"/>
        </w:rPr>
        <w:t> </w:t>
      </w:r>
      <w:r w:rsidRPr="00BB06DE">
        <w:rPr>
          <w:color w:val="000000"/>
          <w:sz w:val="26"/>
          <w:szCs w:val="26"/>
        </w:rPr>
        <w:t>Pa.</w:t>
      </w:r>
      <w:r w:rsidR="00853496">
        <w:rPr>
          <w:color w:val="000000"/>
          <w:sz w:val="26"/>
          <w:szCs w:val="26"/>
        </w:rPr>
        <w:t> </w:t>
      </w:r>
      <w:r w:rsidRPr="00BB06DE">
        <w:rPr>
          <w:color w:val="000000"/>
          <w:sz w:val="26"/>
          <w:szCs w:val="26"/>
        </w:rPr>
        <w:t>Code § 111.7 (related to customer authorization to transfer account; transaction; verification; documentation).  (10 counts).</w:t>
      </w:r>
    </w:p>
    <w:p w14:paraId="23B2B226" w14:textId="77777777" w:rsidR="00CA4702" w:rsidRPr="00BB06DE" w:rsidRDefault="00CA4702" w:rsidP="00BB06DE">
      <w:pPr>
        <w:spacing w:after="0" w:line="240" w:lineRule="auto"/>
        <w:ind w:right="1440"/>
        <w:rPr>
          <w:rFonts w:ascii="Times New Roman" w:eastAsia="Calibri" w:hAnsi="Times New Roman" w:cs="Times New Roman"/>
          <w:sz w:val="26"/>
          <w:szCs w:val="26"/>
        </w:rPr>
      </w:pPr>
    </w:p>
    <w:p w14:paraId="0B9A3566" w14:textId="769DB3A1" w:rsidR="00BD70C1" w:rsidRPr="00BB06DE" w:rsidRDefault="00BD70C1" w:rsidP="00BB06DE">
      <w:pPr>
        <w:pStyle w:val="ListParagraph"/>
        <w:numPr>
          <w:ilvl w:val="0"/>
          <w:numId w:val="16"/>
        </w:numPr>
        <w:spacing w:after="0" w:line="240" w:lineRule="auto"/>
        <w:ind w:left="2160" w:right="1440" w:hanging="720"/>
        <w:rPr>
          <w:rFonts w:eastAsia="Calibri"/>
          <w:sz w:val="26"/>
          <w:szCs w:val="26"/>
        </w:rPr>
      </w:pPr>
      <w:r w:rsidRPr="00BB06DE">
        <w:rPr>
          <w:sz w:val="26"/>
          <w:szCs w:val="26"/>
        </w:rPr>
        <w:t xml:space="preserve">Clearview violated the Commission’s </w:t>
      </w:r>
      <w:r w:rsidR="00BA2956" w:rsidRPr="00BB06DE">
        <w:rPr>
          <w:sz w:val="26"/>
          <w:szCs w:val="26"/>
        </w:rPr>
        <w:t>R</w:t>
      </w:r>
      <w:r w:rsidRPr="00BB06DE">
        <w:rPr>
          <w:sz w:val="26"/>
          <w:szCs w:val="26"/>
        </w:rPr>
        <w:t xml:space="preserve">egulations pertaining to electricity generation customer choice information in that Clearview marketed a certain fixed rate for its electric generation service in the Duquesne </w:t>
      </w:r>
      <w:r w:rsidRPr="00BB06DE">
        <w:rPr>
          <w:sz w:val="26"/>
          <w:szCs w:val="26"/>
        </w:rPr>
        <w:lastRenderedPageBreak/>
        <w:t xml:space="preserve">Light and PECO service territories on chooseenergy.com and then billed customers a rate greater than the rate that was advertised on chooseenergy.com at the time of the customers’ enrollments.  If proven, I&amp;E alleges that such conduct violates 52 Pa. Code </w:t>
      </w:r>
      <w:r w:rsidRPr="00BB06DE">
        <w:rPr>
          <w:color w:val="000000"/>
          <w:sz w:val="26"/>
          <w:szCs w:val="26"/>
        </w:rPr>
        <w:t>§ 54.4(a) (requiring that EGS prices billed reflect the marketed prices).  I&amp;E’s proposed civil penalty for this violation is $137,000</w:t>
      </w:r>
      <w:r w:rsidR="00E6399C" w:rsidRPr="00BB06DE">
        <w:rPr>
          <w:color w:val="000000"/>
          <w:sz w:val="26"/>
          <w:szCs w:val="26"/>
        </w:rPr>
        <w:t>.</w:t>
      </w:r>
      <w:r w:rsidRPr="00BB06DE">
        <w:rPr>
          <w:color w:val="000000"/>
          <w:sz w:val="26"/>
          <w:szCs w:val="26"/>
        </w:rPr>
        <w:t xml:space="preserve"> </w:t>
      </w:r>
      <w:r w:rsidR="00E6399C" w:rsidRPr="00BB06DE">
        <w:rPr>
          <w:color w:val="000000"/>
          <w:sz w:val="26"/>
          <w:szCs w:val="26"/>
        </w:rPr>
        <w:t xml:space="preserve"> </w:t>
      </w:r>
      <w:r w:rsidRPr="00BB06DE">
        <w:rPr>
          <w:color w:val="000000"/>
          <w:sz w:val="26"/>
          <w:szCs w:val="26"/>
        </w:rPr>
        <w:t>(137 counts).</w:t>
      </w:r>
    </w:p>
    <w:p w14:paraId="3E14E0DC" w14:textId="0C757AD4" w:rsidR="005770B3" w:rsidRPr="00BB06DE" w:rsidRDefault="005770B3" w:rsidP="00084308">
      <w:pPr>
        <w:spacing w:after="0" w:line="360" w:lineRule="auto"/>
        <w:rPr>
          <w:rFonts w:ascii="Times New Roman" w:eastAsia="Calibri" w:hAnsi="Times New Roman" w:cs="Times New Roman"/>
          <w:sz w:val="26"/>
          <w:szCs w:val="26"/>
        </w:rPr>
      </w:pPr>
    </w:p>
    <w:p w14:paraId="11F5C34D" w14:textId="6DCC16F2" w:rsidR="005770B3" w:rsidRPr="00BB06DE" w:rsidRDefault="00A34AAE" w:rsidP="00ED271E">
      <w:pPr>
        <w:spacing w:after="0" w:line="360" w:lineRule="auto"/>
        <w:rPr>
          <w:rFonts w:ascii="Times New Roman" w:eastAsia="Calibri" w:hAnsi="Times New Roman" w:cs="Times New Roman"/>
          <w:sz w:val="26"/>
          <w:szCs w:val="26"/>
        </w:rPr>
      </w:pPr>
      <w:r w:rsidRPr="00BB06DE">
        <w:rPr>
          <w:rFonts w:ascii="Times New Roman" w:eastAsia="Calibri" w:hAnsi="Times New Roman" w:cs="Times New Roman"/>
          <w:sz w:val="26"/>
          <w:szCs w:val="26"/>
        </w:rPr>
        <w:t>Settlement at 8-10.</w:t>
      </w:r>
    </w:p>
    <w:p w14:paraId="49992948" w14:textId="77777777" w:rsidR="00EE026E" w:rsidRPr="00BB06DE" w:rsidRDefault="00EE026E" w:rsidP="00ED271E">
      <w:pPr>
        <w:spacing w:after="0" w:line="360" w:lineRule="auto"/>
        <w:rPr>
          <w:rFonts w:ascii="Times New Roman" w:eastAsia="Calibri" w:hAnsi="Times New Roman" w:cs="Times New Roman"/>
          <w:sz w:val="26"/>
          <w:szCs w:val="26"/>
        </w:rPr>
      </w:pPr>
    </w:p>
    <w:p w14:paraId="35FF489F" w14:textId="1FF5043E" w:rsidR="00BD70C1" w:rsidRDefault="00BD70C1" w:rsidP="00ED271E">
      <w:pPr>
        <w:spacing w:after="0" w:line="360" w:lineRule="auto"/>
        <w:ind w:firstLine="1440"/>
        <w:rPr>
          <w:rFonts w:ascii="Times New Roman" w:eastAsia="Calibri" w:hAnsi="Times New Roman" w:cs="Times New Roman"/>
          <w:sz w:val="26"/>
          <w:szCs w:val="26"/>
        </w:rPr>
      </w:pPr>
      <w:r w:rsidRPr="00BB06DE">
        <w:rPr>
          <w:rFonts w:ascii="Times New Roman" w:eastAsia="Calibri" w:hAnsi="Times New Roman" w:cs="Times New Roman"/>
          <w:sz w:val="26"/>
          <w:szCs w:val="26"/>
        </w:rPr>
        <w:t>Had this matter been fully litigated, Clearview would have alleged as follows:</w:t>
      </w:r>
    </w:p>
    <w:p w14:paraId="15B08B2E" w14:textId="77777777" w:rsidR="0060712D" w:rsidRPr="00BB06DE" w:rsidRDefault="0060712D" w:rsidP="00A221BC">
      <w:pPr>
        <w:spacing w:after="0" w:line="240" w:lineRule="auto"/>
        <w:ind w:firstLine="1440"/>
        <w:rPr>
          <w:rFonts w:ascii="Times New Roman" w:eastAsia="Calibri" w:hAnsi="Times New Roman" w:cs="Times New Roman"/>
          <w:sz w:val="26"/>
          <w:szCs w:val="26"/>
        </w:rPr>
      </w:pPr>
    </w:p>
    <w:p w14:paraId="1D91C8F1" w14:textId="13033B7A" w:rsidR="00BD70C1" w:rsidRPr="00BB06DE" w:rsidRDefault="00BD70C1" w:rsidP="0060712D">
      <w:pPr>
        <w:pStyle w:val="ListParagraph"/>
        <w:numPr>
          <w:ilvl w:val="1"/>
          <w:numId w:val="4"/>
        </w:numPr>
        <w:spacing w:after="0" w:line="240" w:lineRule="auto"/>
        <w:ind w:left="2160" w:right="1440" w:hanging="720"/>
        <w:rPr>
          <w:rFonts w:eastAsia="Calibri"/>
          <w:sz w:val="26"/>
          <w:szCs w:val="26"/>
        </w:rPr>
      </w:pPr>
      <w:r w:rsidRPr="00BB06DE">
        <w:rPr>
          <w:rFonts w:eastAsia="Calibri"/>
          <w:sz w:val="26"/>
          <w:szCs w:val="26"/>
        </w:rPr>
        <w:t>Clearview did not self-report the allegations regarding the theft of a wallet because it was not aware of the alleged incident until it was contacted by the Commission’s OCMO.</w:t>
      </w:r>
    </w:p>
    <w:p w14:paraId="7E0D81F2" w14:textId="77777777" w:rsidR="00CA4702" w:rsidRPr="00BB06DE" w:rsidRDefault="00CA4702" w:rsidP="0060712D">
      <w:pPr>
        <w:pStyle w:val="ListParagraph"/>
        <w:spacing w:after="0" w:line="240" w:lineRule="auto"/>
        <w:ind w:left="2160" w:right="1440"/>
        <w:rPr>
          <w:rFonts w:eastAsia="Calibri"/>
          <w:sz w:val="26"/>
          <w:szCs w:val="26"/>
        </w:rPr>
      </w:pPr>
    </w:p>
    <w:p w14:paraId="7CD67C78" w14:textId="25DFB696" w:rsidR="00BD70C1" w:rsidRPr="00BB06DE" w:rsidRDefault="00BD70C1" w:rsidP="0060712D">
      <w:pPr>
        <w:pStyle w:val="ListParagraph"/>
        <w:numPr>
          <w:ilvl w:val="1"/>
          <w:numId w:val="4"/>
        </w:numPr>
        <w:spacing w:after="0" w:line="240" w:lineRule="auto"/>
        <w:ind w:left="2160" w:right="1440" w:hanging="720"/>
        <w:rPr>
          <w:rFonts w:eastAsia="Calibri"/>
          <w:sz w:val="26"/>
          <w:szCs w:val="26"/>
        </w:rPr>
      </w:pPr>
      <w:r w:rsidRPr="00BB06DE">
        <w:rPr>
          <w:rFonts w:eastAsia="Calibri"/>
          <w:sz w:val="26"/>
          <w:szCs w:val="26"/>
        </w:rPr>
        <w:t>Clearview’s reliance upon third-party marketing companies to complete criminal background investigations of its agents complies with the Commission’s regulations since the check includes a search of various criminal databases covering all 50</w:t>
      </w:r>
      <w:r w:rsidR="00853496">
        <w:rPr>
          <w:rFonts w:eastAsia="Calibri"/>
          <w:sz w:val="26"/>
          <w:szCs w:val="26"/>
        </w:rPr>
        <w:t> </w:t>
      </w:r>
      <w:r w:rsidRPr="00BB06DE">
        <w:rPr>
          <w:rFonts w:eastAsia="Calibri"/>
          <w:sz w:val="26"/>
          <w:szCs w:val="26"/>
        </w:rPr>
        <w:t>states.  Further, no allegations have been raised that if Pennsylvania State Police records had been examined, Clearview would have concluded that the agents mentioned in the Complaint should not be utilized for door-to-door sales and marketing activities.</w:t>
      </w:r>
    </w:p>
    <w:p w14:paraId="7B67D355" w14:textId="77777777" w:rsidR="00CA4702" w:rsidRPr="00BB06DE" w:rsidRDefault="00CA4702" w:rsidP="0060712D">
      <w:pPr>
        <w:spacing w:after="0" w:line="240" w:lineRule="auto"/>
        <w:ind w:right="1440"/>
        <w:rPr>
          <w:rFonts w:ascii="Times New Roman" w:eastAsia="Calibri" w:hAnsi="Times New Roman" w:cs="Times New Roman"/>
          <w:sz w:val="26"/>
          <w:szCs w:val="26"/>
        </w:rPr>
      </w:pPr>
    </w:p>
    <w:p w14:paraId="4B720D44" w14:textId="583275C9" w:rsidR="00BD70C1" w:rsidRPr="00BB06DE" w:rsidRDefault="00BD70C1" w:rsidP="0060712D">
      <w:pPr>
        <w:pStyle w:val="ListParagraph"/>
        <w:numPr>
          <w:ilvl w:val="1"/>
          <w:numId w:val="4"/>
        </w:numPr>
        <w:spacing w:after="0" w:line="240" w:lineRule="auto"/>
        <w:ind w:left="2160" w:right="1440" w:hanging="720"/>
        <w:rPr>
          <w:rFonts w:eastAsia="Calibri"/>
          <w:sz w:val="26"/>
          <w:szCs w:val="26"/>
        </w:rPr>
      </w:pPr>
      <w:r w:rsidRPr="00BB06DE">
        <w:rPr>
          <w:rFonts w:eastAsia="Calibri"/>
          <w:sz w:val="26"/>
          <w:szCs w:val="26"/>
        </w:rPr>
        <w:t>Clearview’s sales team in June 2017 had temporarily ceased, without the knowledge of Clearview’s management, to provide notifications of engaging in door-to-door sales and marketing activities to the Commission’s BCS and to EDCs.</w:t>
      </w:r>
    </w:p>
    <w:p w14:paraId="22DD7ECE" w14:textId="77777777" w:rsidR="00CA4702" w:rsidRPr="00BB06DE" w:rsidRDefault="00CA4702" w:rsidP="0060712D">
      <w:pPr>
        <w:spacing w:after="0" w:line="240" w:lineRule="auto"/>
        <w:ind w:right="1440"/>
        <w:rPr>
          <w:rFonts w:ascii="Times New Roman" w:eastAsia="Calibri" w:hAnsi="Times New Roman" w:cs="Times New Roman"/>
          <w:sz w:val="26"/>
          <w:szCs w:val="26"/>
        </w:rPr>
      </w:pPr>
    </w:p>
    <w:p w14:paraId="7173C556" w14:textId="5838E1DE" w:rsidR="00BD70C1" w:rsidRPr="00BB06DE" w:rsidRDefault="00BD70C1" w:rsidP="0060712D">
      <w:pPr>
        <w:pStyle w:val="ListParagraph"/>
        <w:numPr>
          <w:ilvl w:val="1"/>
          <w:numId w:val="4"/>
        </w:numPr>
        <w:spacing w:after="0" w:line="240" w:lineRule="auto"/>
        <w:ind w:left="2160" w:right="1440" w:hanging="720"/>
        <w:rPr>
          <w:rFonts w:eastAsia="Calibri"/>
          <w:sz w:val="26"/>
          <w:szCs w:val="26"/>
        </w:rPr>
      </w:pPr>
      <w:r w:rsidRPr="00BB06DE">
        <w:rPr>
          <w:rFonts w:eastAsia="Calibri"/>
          <w:sz w:val="26"/>
          <w:szCs w:val="26"/>
        </w:rPr>
        <w:t xml:space="preserve">Clearview acknowledged that on one occasion, it failed to timely correct a price posted on Choose Energy’s website, which resulted in one hundred </w:t>
      </w:r>
      <w:r w:rsidRPr="00BB06DE">
        <w:rPr>
          <w:rFonts w:eastAsia="Calibri"/>
          <w:sz w:val="26"/>
          <w:szCs w:val="26"/>
        </w:rPr>
        <w:lastRenderedPageBreak/>
        <w:t>thirty-seven Pennsylvania customers being billed at a rate greater than the rate that was advertised on chooseenergy.com.  Clearview would have further alleged that it presented these 137 customers with disclosure statements that contained the price that customers were billed.  In addition, Clearview would have shown that it when it became aware of the error, it proactively and fully refunded the amounts paid by the customers to reflect the price advertised by Choose Energy.</w:t>
      </w:r>
    </w:p>
    <w:p w14:paraId="193DEAA0" w14:textId="77777777" w:rsidR="00CA4702" w:rsidRPr="00BB06DE" w:rsidRDefault="00CA4702" w:rsidP="0060712D">
      <w:pPr>
        <w:spacing w:after="0" w:line="240" w:lineRule="auto"/>
        <w:ind w:right="1440"/>
        <w:rPr>
          <w:rFonts w:ascii="Times New Roman" w:eastAsia="Calibri" w:hAnsi="Times New Roman" w:cs="Times New Roman"/>
          <w:sz w:val="26"/>
          <w:szCs w:val="26"/>
        </w:rPr>
      </w:pPr>
    </w:p>
    <w:p w14:paraId="01667A11" w14:textId="7BD728C1" w:rsidR="00BD70C1" w:rsidRPr="00BB06DE" w:rsidRDefault="00BD70C1" w:rsidP="0060712D">
      <w:pPr>
        <w:pStyle w:val="ListParagraph"/>
        <w:numPr>
          <w:ilvl w:val="1"/>
          <w:numId w:val="4"/>
        </w:numPr>
        <w:spacing w:after="0" w:line="240" w:lineRule="auto"/>
        <w:ind w:left="2160" w:right="1440" w:hanging="720"/>
        <w:rPr>
          <w:rFonts w:eastAsia="Calibri"/>
          <w:sz w:val="26"/>
          <w:szCs w:val="26"/>
        </w:rPr>
      </w:pPr>
      <w:r w:rsidRPr="00BB06DE">
        <w:rPr>
          <w:rFonts w:eastAsia="Calibri"/>
          <w:sz w:val="26"/>
          <w:szCs w:val="26"/>
        </w:rPr>
        <w:t xml:space="preserve">The Commission does not have the statutory authority to direct Clearview to issue refunds.  </w:t>
      </w:r>
      <w:r w:rsidRPr="00BB06DE">
        <w:rPr>
          <w:rFonts w:eastAsia="Calibri"/>
          <w:i/>
          <w:sz w:val="26"/>
          <w:szCs w:val="26"/>
        </w:rPr>
        <w:t>See Blue Pilot Energy, LLC v. Pa. PUC</w:t>
      </w:r>
      <w:r w:rsidRPr="00853496">
        <w:rPr>
          <w:rFonts w:eastAsia="Calibri"/>
          <w:iCs/>
          <w:sz w:val="26"/>
          <w:szCs w:val="26"/>
        </w:rPr>
        <w:t>,</w:t>
      </w:r>
      <w:r w:rsidRPr="00BB06DE">
        <w:rPr>
          <w:rFonts w:eastAsia="Calibri"/>
          <w:i/>
          <w:sz w:val="26"/>
          <w:szCs w:val="26"/>
        </w:rPr>
        <w:t xml:space="preserve"> </w:t>
      </w:r>
      <w:r w:rsidRPr="00BB06DE">
        <w:rPr>
          <w:rFonts w:eastAsia="Calibri"/>
          <w:sz w:val="26"/>
          <w:szCs w:val="26"/>
        </w:rPr>
        <w:t>241 A.3d 1254 (2020), 2020</w:t>
      </w:r>
      <w:r w:rsidR="003A2D38">
        <w:rPr>
          <w:rFonts w:eastAsia="Calibri"/>
          <w:sz w:val="26"/>
          <w:szCs w:val="26"/>
        </w:rPr>
        <w:t> </w:t>
      </w:r>
      <w:r w:rsidRPr="00BB06DE">
        <w:rPr>
          <w:rFonts w:eastAsia="Calibri"/>
          <w:sz w:val="26"/>
          <w:szCs w:val="26"/>
        </w:rPr>
        <w:t xml:space="preserve">Pa. Commw. LEXIS 720.  </w:t>
      </w:r>
    </w:p>
    <w:p w14:paraId="4950256D" w14:textId="77777777" w:rsidR="00C72D7B" w:rsidRPr="00BB06DE" w:rsidRDefault="00C72D7B" w:rsidP="003A2D38">
      <w:pPr>
        <w:pStyle w:val="ListParagraph"/>
        <w:spacing w:after="0" w:line="360" w:lineRule="auto"/>
        <w:ind w:left="1440" w:right="1440"/>
        <w:rPr>
          <w:rFonts w:eastAsia="Calibri"/>
          <w:sz w:val="26"/>
          <w:szCs w:val="26"/>
        </w:rPr>
      </w:pPr>
    </w:p>
    <w:p w14:paraId="2B75F854" w14:textId="1B0111BD" w:rsidR="00062118" w:rsidRPr="00BB06DE" w:rsidRDefault="00062118" w:rsidP="003A2D38">
      <w:pPr>
        <w:spacing w:after="0" w:line="360" w:lineRule="auto"/>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Settlement at </w:t>
      </w:r>
      <w:r w:rsidR="008C5EAC" w:rsidRPr="00BB06DE">
        <w:rPr>
          <w:rFonts w:ascii="Times New Roman" w:eastAsia="Calibri" w:hAnsi="Times New Roman" w:cs="Times New Roman"/>
          <w:sz w:val="26"/>
          <w:szCs w:val="26"/>
        </w:rPr>
        <w:t>10</w:t>
      </w:r>
      <w:r w:rsidR="00C72D7B" w:rsidRPr="00BB06DE">
        <w:rPr>
          <w:rFonts w:ascii="Times New Roman" w:eastAsia="Calibri" w:hAnsi="Times New Roman" w:cs="Times New Roman"/>
          <w:sz w:val="26"/>
          <w:szCs w:val="26"/>
        </w:rPr>
        <w:t>-11.</w:t>
      </w:r>
    </w:p>
    <w:p w14:paraId="6C1427BB" w14:textId="77777777" w:rsidR="00CA4702" w:rsidRPr="00BB06DE" w:rsidRDefault="00CA4702" w:rsidP="003A2D38">
      <w:pPr>
        <w:spacing w:after="0" w:line="360" w:lineRule="auto"/>
        <w:rPr>
          <w:rFonts w:ascii="Times New Roman" w:eastAsia="Calibri" w:hAnsi="Times New Roman" w:cs="Times New Roman"/>
          <w:sz w:val="26"/>
          <w:szCs w:val="26"/>
        </w:rPr>
      </w:pPr>
    </w:p>
    <w:p w14:paraId="2FF7B1C8" w14:textId="389F385E" w:rsidR="00F44833" w:rsidRPr="00BB06DE" w:rsidRDefault="00F44833" w:rsidP="003A2D38">
      <w:pPr>
        <w:keepNext/>
        <w:tabs>
          <w:tab w:val="center" w:pos="0"/>
        </w:tabs>
        <w:suppressAutoHyphens/>
        <w:spacing w:after="0" w:line="360" w:lineRule="auto"/>
        <w:jc w:val="center"/>
        <w:rPr>
          <w:rFonts w:ascii="Times New Roman" w:eastAsia="Times New Roman" w:hAnsi="Times New Roman" w:cs="Times New Roman"/>
          <w:sz w:val="26"/>
          <w:szCs w:val="26"/>
        </w:rPr>
      </w:pPr>
      <w:r w:rsidRPr="00BB06DE">
        <w:rPr>
          <w:rFonts w:ascii="Times New Roman" w:eastAsia="Times New Roman" w:hAnsi="Times New Roman" w:cs="Times New Roman"/>
          <w:b/>
          <w:sz w:val="26"/>
          <w:szCs w:val="26"/>
        </w:rPr>
        <w:t>Terms of the Settlement</w:t>
      </w:r>
      <w:r w:rsidR="00FA2ED6" w:rsidRPr="00BB06DE">
        <w:rPr>
          <w:rFonts w:ascii="Times New Roman" w:eastAsia="Times New Roman" w:hAnsi="Times New Roman" w:cs="Times New Roman"/>
          <w:b/>
          <w:sz w:val="26"/>
          <w:szCs w:val="26"/>
        </w:rPr>
        <w:t xml:space="preserve"> Agreement</w:t>
      </w:r>
    </w:p>
    <w:p w14:paraId="395FA5C5" w14:textId="77777777" w:rsidR="005E7DEA" w:rsidRPr="00BB06DE" w:rsidRDefault="005E7DEA" w:rsidP="003A2D38">
      <w:pPr>
        <w:tabs>
          <w:tab w:val="center" w:pos="0"/>
        </w:tabs>
        <w:suppressAutoHyphens/>
        <w:spacing w:after="0" w:line="360" w:lineRule="auto"/>
        <w:rPr>
          <w:rFonts w:ascii="Times New Roman" w:eastAsia="Times New Roman" w:hAnsi="Times New Roman" w:cs="Times New Roman"/>
          <w:sz w:val="26"/>
          <w:szCs w:val="26"/>
        </w:rPr>
      </w:pPr>
    </w:p>
    <w:p w14:paraId="3D872DB7" w14:textId="43441914" w:rsidR="005E7DEA" w:rsidRPr="00BB06DE" w:rsidRDefault="005E7DEA" w:rsidP="003A2D38">
      <w:pPr>
        <w:tabs>
          <w:tab w:val="center" w:pos="0"/>
        </w:tabs>
        <w:suppressAutoHyphen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Pursuant to the proposed Settlement, Clearview will pay a civil penalty and fulfill the following obligations:  </w:t>
      </w:r>
    </w:p>
    <w:p w14:paraId="4C6C01E6" w14:textId="77777777" w:rsidR="00F44833" w:rsidRPr="00BB06DE" w:rsidRDefault="00F44833" w:rsidP="00853496">
      <w:pPr>
        <w:keepNext/>
        <w:tabs>
          <w:tab w:val="center" w:pos="0"/>
        </w:tabs>
        <w:suppressAutoHyphens/>
        <w:spacing w:after="0" w:line="240" w:lineRule="auto"/>
        <w:jc w:val="center"/>
        <w:rPr>
          <w:rFonts w:ascii="Times New Roman" w:eastAsia="Times New Roman" w:hAnsi="Times New Roman" w:cs="Times New Roman"/>
          <w:sz w:val="26"/>
          <w:szCs w:val="26"/>
        </w:rPr>
      </w:pPr>
    </w:p>
    <w:p w14:paraId="472A5C7E" w14:textId="6091BB03" w:rsidR="00DB4916" w:rsidRPr="00BB06DE" w:rsidRDefault="00E10941" w:rsidP="0060712D">
      <w:pPr>
        <w:spacing w:after="0" w:line="240" w:lineRule="auto"/>
        <w:ind w:left="2160" w:right="144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a. </w:t>
      </w:r>
      <w:r w:rsidRPr="00BB06DE">
        <w:rPr>
          <w:rFonts w:ascii="Times New Roman" w:eastAsia="Calibri" w:hAnsi="Times New Roman" w:cs="Times New Roman"/>
          <w:sz w:val="26"/>
          <w:szCs w:val="26"/>
        </w:rPr>
        <w:tab/>
      </w:r>
      <w:r w:rsidR="00DB4916" w:rsidRPr="00BB06DE">
        <w:rPr>
          <w:rFonts w:ascii="Times New Roman" w:eastAsia="Calibri" w:hAnsi="Times New Roman" w:cs="Times New Roman"/>
          <w:sz w:val="26"/>
          <w:szCs w:val="26"/>
        </w:rPr>
        <w:t xml:space="preserve">Clearview will pay a total civil penalty in the amount of Fifty-Nine Thousand Seven Hundred Fifty Dollars ($59,750), pursuant to 66 Pa.C.S. § 3301.  The civil penalty represents the following: </w:t>
      </w:r>
      <w:r w:rsidR="006A1CED" w:rsidRPr="00BB06DE">
        <w:rPr>
          <w:rFonts w:ascii="Times New Roman" w:eastAsia="Calibri" w:hAnsi="Times New Roman" w:cs="Times New Roman"/>
          <w:sz w:val="26"/>
          <w:szCs w:val="26"/>
        </w:rPr>
        <w:t xml:space="preserve">(1) </w:t>
      </w:r>
      <w:r w:rsidR="00DB4916" w:rsidRPr="00BB06DE">
        <w:rPr>
          <w:rFonts w:ascii="Times New Roman" w:eastAsia="Calibri" w:hAnsi="Times New Roman" w:cs="Times New Roman"/>
          <w:sz w:val="26"/>
          <w:szCs w:val="26"/>
        </w:rPr>
        <w:t xml:space="preserve">$1,000 to resolve the alleged violation of 52 Pa. Code </w:t>
      </w:r>
      <w:r w:rsidR="00DB4916" w:rsidRPr="00BB06DE">
        <w:rPr>
          <w:rFonts w:ascii="Times New Roman" w:eastAsia="Calibri" w:hAnsi="Times New Roman" w:cs="Times New Roman"/>
          <w:color w:val="000000"/>
          <w:sz w:val="26"/>
          <w:szCs w:val="26"/>
        </w:rPr>
        <w:t>§ 54.43(f) and 52</w:t>
      </w:r>
      <w:r w:rsidR="00853496">
        <w:rPr>
          <w:rFonts w:ascii="Times New Roman" w:eastAsia="Calibri" w:hAnsi="Times New Roman" w:cs="Times New Roman"/>
          <w:color w:val="000000"/>
          <w:sz w:val="26"/>
          <w:szCs w:val="26"/>
        </w:rPr>
        <w:t> </w:t>
      </w:r>
      <w:r w:rsidR="00DB4916" w:rsidRPr="00BB06DE">
        <w:rPr>
          <w:rFonts w:ascii="Times New Roman" w:eastAsia="Calibri" w:hAnsi="Times New Roman" w:cs="Times New Roman"/>
          <w:color w:val="000000"/>
          <w:sz w:val="26"/>
          <w:szCs w:val="26"/>
        </w:rPr>
        <w:t xml:space="preserve">Pa. Code § 111.9(b); </w:t>
      </w:r>
      <w:r w:rsidR="006A1CED" w:rsidRPr="00BB06DE">
        <w:rPr>
          <w:rFonts w:ascii="Times New Roman" w:eastAsia="Calibri" w:hAnsi="Times New Roman" w:cs="Times New Roman"/>
          <w:color w:val="000000"/>
          <w:sz w:val="26"/>
          <w:szCs w:val="26"/>
        </w:rPr>
        <w:t xml:space="preserve">(2) </w:t>
      </w:r>
      <w:r w:rsidR="00DB4916" w:rsidRPr="00BB06DE">
        <w:rPr>
          <w:rFonts w:ascii="Times New Roman" w:eastAsia="Calibri" w:hAnsi="Times New Roman" w:cs="Times New Roman"/>
          <w:color w:val="000000"/>
          <w:sz w:val="26"/>
          <w:szCs w:val="26"/>
        </w:rPr>
        <w:t xml:space="preserve">$2,000 to resolve the two (2) alleged violations of 52 Pa. Code § 111.4(b); </w:t>
      </w:r>
      <w:r w:rsidR="00251BCB" w:rsidRPr="00BB06DE">
        <w:rPr>
          <w:rFonts w:ascii="Times New Roman" w:eastAsia="Calibri" w:hAnsi="Times New Roman" w:cs="Times New Roman"/>
          <w:color w:val="000000"/>
          <w:sz w:val="26"/>
          <w:szCs w:val="26"/>
        </w:rPr>
        <w:t>(3)</w:t>
      </w:r>
      <w:r w:rsidR="00853496">
        <w:rPr>
          <w:rFonts w:ascii="Times New Roman" w:eastAsia="Calibri" w:hAnsi="Times New Roman" w:cs="Times New Roman"/>
          <w:color w:val="000000"/>
          <w:sz w:val="26"/>
          <w:szCs w:val="26"/>
        </w:rPr>
        <w:t> </w:t>
      </w:r>
      <w:r w:rsidR="00DB4916" w:rsidRPr="00BB06DE">
        <w:rPr>
          <w:rFonts w:ascii="Times New Roman" w:eastAsia="Calibri" w:hAnsi="Times New Roman" w:cs="Times New Roman"/>
          <w:color w:val="000000"/>
          <w:sz w:val="26"/>
          <w:szCs w:val="26"/>
        </w:rPr>
        <w:t xml:space="preserve">$10,875 to resolve the twenty-nine (29) alleged violations of 52 Pa. Code § 111.14(a); </w:t>
      </w:r>
      <w:r w:rsidR="00251BCB" w:rsidRPr="00BB06DE">
        <w:rPr>
          <w:rFonts w:ascii="Times New Roman" w:eastAsia="Calibri" w:hAnsi="Times New Roman" w:cs="Times New Roman"/>
          <w:color w:val="000000"/>
          <w:sz w:val="26"/>
          <w:szCs w:val="26"/>
        </w:rPr>
        <w:t xml:space="preserve">(4) </w:t>
      </w:r>
      <w:r w:rsidR="00DB4916" w:rsidRPr="00BB06DE">
        <w:rPr>
          <w:rFonts w:ascii="Times New Roman" w:eastAsia="Calibri" w:hAnsi="Times New Roman" w:cs="Times New Roman"/>
          <w:color w:val="000000"/>
          <w:sz w:val="26"/>
          <w:szCs w:val="26"/>
        </w:rPr>
        <w:t>$10,875 to resolve the twenty-nine (29) alleged violations of 52</w:t>
      </w:r>
      <w:r w:rsidR="00853496">
        <w:rPr>
          <w:rFonts w:ascii="Times New Roman" w:eastAsia="Calibri" w:hAnsi="Times New Roman" w:cs="Times New Roman"/>
          <w:color w:val="000000"/>
          <w:sz w:val="26"/>
          <w:szCs w:val="26"/>
        </w:rPr>
        <w:t> </w:t>
      </w:r>
      <w:r w:rsidR="00DB4916" w:rsidRPr="00BB06DE">
        <w:rPr>
          <w:rFonts w:ascii="Times New Roman" w:eastAsia="Calibri" w:hAnsi="Times New Roman" w:cs="Times New Roman"/>
          <w:color w:val="000000"/>
          <w:sz w:val="26"/>
          <w:szCs w:val="26"/>
        </w:rPr>
        <w:t xml:space="preserve">Pa. Code § 111.14(b); </w:t>
      </w:r>
      <w:r w:rsidR="00251BCB" w:rsidRPr="00BB06DE">
        <w:rPr>
          <w:rFonts w:ascii="Times New Roman" w:eastAsia="Calibri" w:hAnsi="Times New Roman" w:cs="Times New Roman"/>
          <w:color w:val="000000"/>
          <w:sz w:val="26"/>
          <w:szCs w:val="26"/>
        </w:rPr>
        <w:t xml:space="preserve">(5) </w:t>
      </w:r>
      <w:r w:rsidR="00DB4916" w:rsidRPr="00BB06DE">
        <w:rPr>
          <w:rFonts w:ascii="Times New Roman" w:eastAsia="Calibri" w:hAnsi="Times New Roman" w:cs="Times New Roman"/>
          <w:color w:val="000000"/>
          <w:sz w:val="26"/>
          <w:szCs w:val="26"/>
        </w:rPr>
        <w:t xml:space="preserve">$10,000 to resolve the ten (10) alleged violations of 52 Pa. Code § 54.42(a)(9), 52 Pa. Code §§ 57.171-177 and 52 Pa. Code § 111.7; and </w:t>
      </w:r>
      <w:r w:rsidR="00FF4ADB" w:rsidRPr="00BB06DE">
        <w:rPr>
          <w:rFonts w:ascii="Times New Roman" w:eastAsia="Calibri" w:hAnsi="Times New Roman" w:cs="Times New Roman"/>
          <w:color w:val="000000"/>
          <w:sz w:val="26"/>
          <w:szCs w:val="26"/>
        </w:rPr>
        <w:t xml:space="preserve">(6) </w:t>
      </w:r>
      <w:r w:rsidR="00DB4916" w:rsidRPr="00BB06DE">
        <w:rPr>
          <w:rFonts w:ascii="Times New Roman" w:eastAsia="Calibri" w:hAnsi="Times New Roman" w:cs="Times New Roman"/>
          <w:color w:val="000000"/>
          <w:sz w:val="26"/>
          <w:szCs w:val="26"/>
        </w:rPr>
        <w:t>$25,000 to resolve the one hundred and thirty-seven (137) alleged violations of 52 Pa. Code §</w:t>
      </w:r>
      <w:r w:rsidR="00853496">
        <w:rPr>
          <w:rFonts w:ascii="Times New Roman" w:eastAsia="Calibri" w:hAnsi="Times New Roman" w:cs="Times New Roman"/>
          <w:color w:val="000000"/>
          <w:sz w:val="26"/>
          <w:szCs w:val="26"/>
        </w:rPr>
        <w:t> </w:t>
      </w:r>
      <w:r w:rsidR="00DB4916" w:rsidRPr="00BB06DE">
        <w:rPr>
          <w:rFonts w:ascii="Times New Roman" w:eastAsia="Calibri" w:hAnsi="Times New Roman" w:cs="Times New Roman"/>
          <w:color w:val="000000"/>
          <w:sz w:val="26"/>
          <w:szCs w:val="26"/>
        </w:rPr>
        <w:t xml:space="preserve">54.4(a).  Said payment shall be made within thirty </w:t>
      </w:r>
      <w:r w:rsidR="00DB4916" w:rsidRPr="00BB06DE">
        <w:rPr>
          <w:rFonts w:ascii="Times New Roman" w:eastAsia="Calibri" w:hAnsi="Times New Roman" w:cs="Times New Roman"/>
          <w:color w:val="000000"/>
          <w:sz w:val="26"/>
          <w:szCs w:val="26"/>
        </w:rPr>
        <w:lastRenderedPageBreak/>
        <w:t xml:space="preserve">(30) days of the date of the Commission’s Final Order approving the Settlement Agreement and shall be made by certified check or money order payable to the “Commonwealth of Pennsylvania” and sent to: </w:t>
      </w:r>
    </w:p>
    <w:p w14:paraId="5FCAFED1" w14:textId="77777777" w:rsidR="00C514F0" w:rsidRPr="00BB06DE" w:rsidRDefault="00C514F0" w:rsidP="006B6FE8">
      <w:pPr>
        <w:spacing w:after="0" w:line="240" w:lineRule="auto"/>
        <w:ind w:left="2160" w:hanging="720"/>
        <w:rPr>
          <w:rFonts w:ascii="Times New Roman" w:eastAsia="Calibri" w:hAnsi="Times New Roman" w:cs="Times New Roman"/>
          <w:sz w:val="26"/>
          <w:szCs w:val="26"/>
        </w:rPr>
      </w:pPr>
    </w:p>
    <w:p w14:paraId="3F2B26CA" w14:textId="77777777" w:rsidR="00DB4916" w:rsidRPr="00BB06DE" w:rsidRDefault="00DB4916" w:rsidP="007C6686">
      <w:pPr>
        <w:spacing w:after="0" w:line="240" w:lineRule="auto"/>
        <w:ind w:left="360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Secretary</w:t>
      </w:r>
    </w:p>
    <w:p w14:paraId="757BE520" w14:textId="77777777" w:rsidR="00DB4916" w:rsidRPr="00BB06DE" w:rsidRDefault="00DB4916" w:rsidP="007C6686">
      <w:pPr>
        <w:spacing w:after="0" w:line="240" w:lineRule="auto"/>
        <w:ind w:left="360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Pennsylvania Public Utility Commission</w:t>
      </w:r>
    </w:p>
    <w:p w14:paraId="2D120359" w14:textId="77777777" w:rsidR="00DB4916" w:rsidRPr="00BB06DE" w:rsidRDefault="00DB4916" w:rsidP="007C6686">
      <w:pPr>
        <w:spacing w:after="0" w:line="240" w:lineRule="auto"/>
        <w:ind w:left="360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Commonwealth Keystone Building</w:t>
      </w:r>
    </w:p>
    <w:p w14:paraId="27173796" w14:textId="77777777" w:rsidR="00DB4916" w:rsidRPr="00BB06DE" w:rsidRDefault="00DB4916" w:rsidP="007C6686">
      <w:pPr>
        <w:spacing w:after="0" w:line="240" w:lineRule="auto"/>
        <w:ind w:left="360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400 North Street</w:t>
      </w:r>
    </w:p>
    <w:p w14:paraId="40BC4F8E" w14:textId="77777777" w:rsidR="00DB4916" w:rsidRPr="00BB06DE" w:rsidRDefault="00DB4916" w:rsidP="007C6686">
      <w:pPr>
        <w:spacing w:after="0" w:line="240" w:lineRule="auto"/>
        <w:ind w:left="360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Harrisburg, PA 17120</w:t>
      </w:r>
    </w:p>
    <w:p w14:paraId="1344E12A" w14:textId="77777777" w:rsidR="00DB4916" w:rsidRPr="00BB06DE" w:rsidRDefault="00DB4916" w:rsidP="006B6FE8">
      <w:pPr>
        <w:spacing w:after="0" w:line="240" w:lineRule="auto"/>
        <w:ind w:left="2160" w:hanging="720"/>
        <w:rPr>
          <w:rFonts w:ascii="Times New Roman" w:eastAsia="Calibri" w:hAnsi="Times New Roman" w:cs="Times New Roman"/>
          <w:sz w:val="26"/>
          <w:szCs w:val="26"/>
        </w:rPr>
      </w:pPr>
    </w:p>
    <w:p w14:paraId="547ED548" w14:textId="6BBFF3C4" w:rsidR="00DB4916" w:rsidRPr="00BB06DE" w:rsidRDefault="00DB4916" w:rsidP="004104DD">
      <w:pPr>
        <w:spacing w:after="0" w:line="240" w:lineRule="auto"/>
        <w:ind w:left="2160" w:right="1440"/>
        <w:rPr>
          <w:rFonts w:ascii="Times New Roman" w:eastAsia="Calibri" w:hAnsi="Times New Roman" w:cs="Times New Roman"/>
          <w:color w:val="000000"/>
          <w:sz w:val="26"/>
          <w:szCs w:val="26"/>
        </w:rPr>
      </w:pPr>
      <w:r w:rsidRPr="00BB06DE">
        <w:rPr>
          <w:rFonts w:ascii="Times New Roman" w:eastAsia="Calibri" w:hAnsi="Times New Roman" w:cs="Times New Roman"/>
          <w:sz w:val="26"/>
          <w:szCs w:val="26"/>
        </w:rPr>
        <w:t>The civil penalty shall not be tax deductible pursuant to Section 162(f) of the Internal Revenue Code, 26</w:t>
      </w:r>
      <w:r w:rsidR="00C97A15">
        <w:rPr>
          <w:rFonts w:ascii="Times New Roman" w:eastAsia="Calibri" w:hAnsi="Times New Roman" w:cs="Times New Roman"/>
          <w:sz w:val="26"/>
          <w:szCs w:val="26"/>
        </w:rPr>
        <w:t> </w:t>
      </w:r>
      <w:r w:rsidRPr="00BB06DE">
        <w:rPr>
          <w:rFonts w:ascii="Times New Roman" w:eastAsia="Calibri" w:hAnsi="Times New Roman" w:cs="Times New Roman"/>
          <w:sz w:val="26"/>
          <w:szCs w:val="26"/>
        </w:rPr>
        <w:t xml:space="preserve">U.S.C.S. </w:t>
      </w:r>
      <w:r w:rsidRPr="00BB06DE">
        <w:rPr>
          <w:rFonts w:ascii="Times New Roman" w:eastAsia="Calibri" w:hAnsi="Times New Roman" w:cs="Times New Roman"/>
          <w:color w:val="000000"/>
          <w:sz w:val="26"/>
          <w:szCs w:val="26"/>
        </w:rPr>
        <w:t>§ 162(f).</w:t>
      </w:r>
    </w:p>
    <w:p w14:paraId="1F70C166" w14:textId="77777777" w:rsidR="00C514F0" w:rsidRPr="00BB06DE" w:rsidRDefault="00C514F0" w:rsidP="004104DD">
      <w:pPr>
        <w:spacing w:after="0" w:line="240" w:lineRule="auto"/>
        <w:ind w:left="2160" w:right="1440" w:hanging="720"/>
        <w:rPr>
          <w:rFonts w:ascii="Times New Roman" w:eastAsia="Calibri" w:hAnsi="Times New Roman" w:cs="Times New Roman"/>
          <w:sz w:val="26"/>
          <w:szCs w:val="26"/>
        </w:rPr>
      </w:pPr>
    </w:p>
    <w:p w14:paraId="20C920DF" w14:textId="2C9E6374" w:rsidR="00DB4916" w:rsidRDefault="00E10941" w:rsidP="004104DD">
      <w:pPr>
        <w:spacing w:after="0" w:line="240" w:lineRule="auto"/>
        <w:ind w:left="2160" w:right="144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b. </w:t>
      </w:r>
      <w:r w:rsidRPr="00BB06DE">
        <w:rPr>
          <w:rFonts w:ascii="Times New Roman" w:eastAsia="Calibri" w:hAnsi="Times New Roman" w:cs="Times New Roman"/>
          <w:sz w:val="26"/>
          <w:szCs w:val="26"/>
        </w:rPr>
        <w:tab/>
      </w:r>
      <w:r w:rsidR="00DB4916" w:rsidRPr="00BB06DE">
        <w:rPr>
          <w:rFonts w:ascii="Times New Roman" w:eastAsia="Calibri" w:hAnsi="Times New Roman" w:cs="Times New Roman"/>
          <w:sz w:val="26"/>
          <w:szCs w:val="26"/>
        </w:rPr>
        <w:t>Clearview has provided to each of the customers, who had one or more of the ten (10) accounts switched to Clearview’s electric generation supply service without authorization, a refund for the entire electric generation supply portion on the customer’s bill for the first two (2) billing periods that the customer was switched to Clearview, pursuant to 52 Pa. Code §</w:t>
      </w:r>
      <w:r w:rsidR="00C97A15">
        <w:rPr>
          <w:rFonts w:ascii="Times New Roman" w:eastAsia="Calibri" w:hAnsi="Times New Roman" w:cs="Times New Roman"/>
          <w:sz w:val="26"/>
          <w:szCs w:val="26"/>
        </w:rPr>
        <w:t> </w:t>
      </w:r>
      <w:r w:rsidR="00DB4916" w:rsidRPr="00BB06DE">
        <w:rPr>
          <w:rFonts w:ascii="Times New Roman" w:eastAsia="Calibri" w:hAnsi="Times New Roman" w:cs="Times New Roman"/>
          <w:sz w:val="26"/>
          <w:szCs w:val="26"/>
        </w:rPr>
        <w:t>57.177(b).  Clearview has provided evidence to I&amp;E demonstrating the issuance of these refunds.</w:t>
      </w:r>
    </w:p>
    <w:p w14:paraId="535A2BEF" w14:textId="77777777" w:rsidR="00C97A15" w:rsidRPr="00BB06DE" w:rsidRDefault="00C97A15" w:rsidP="004104DD">
      <w:pPr>
        <w:spacing w:after="0" w:line="240" w:lineRule="auto"/>
        <w:ind w:left="2160" w:right="1440" w:hanging="720"/>
        <w:rPr>
          <w:rFonts w:ascii="Times New Roman" w:eastAsia="Calibri" w:hAnsi="Times New Roman" w:cs="Times New Roman"/>
          <w:sz w:val="26"/>
          <w:szCs w:val="26"/>
        </w:rPr>
      </w:pPr>
    </w:p>
    <w:p w14:paraId="5EFECC33" w14:textId="249BB736" w:rsidR="00DB4916" w:rsidRPr="00BB06DE" w:rsidRDefault="009C5885" w:rsidP="004104DD">
      <w:pPr>
        <w:spacing w:after="0" w:line="240" w:lineRule="auto"/>
        <w:ind w:left="2160" w:right="144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c. </w:t>
      </w:r>
      <w:r w:rsidRPr="00BB06DE">
        <w:rPr>
          <w:rFonts w:ascii="Times New Roman" w:eastAsia="Calibri" w:hAnsi="Times New Roman" w:cs="Times New Roman"/>
          <w:sz w:val="26"/>
          <w:szCs w:val="26"/>
        </w:rPr>
        <w:tab/>
      </w:r>
      <w:r w:rsidR="00DB4916" w:rsidRPr="00BB06DE">
        <w:rPr>
          <w:rFonts w:ascii="Times New Roman" w:eastAsia="Calibri" w:hAnsi="Times New Roman" w:cs="Times New Roman"/>
          <w:sz w:val="26"/>
          <w:szCs w:val="26"/>
        </w:rPr>
        <w:t>Clearview agrees to refund cancellation fees or early termination fees imposed by other electric generation suppliers (“EGS”) and incurred by the customers who were switched to Clearview without authorization, pursuant to 52 Pa. Code § 57.177(c), upon request and the presentation of documentation by the customers.  During the pendency of this proceeding and for a period of 180 days following approval of this Settlement Agreement, Clearview will provide evidence to I&amp;E demonstrating the issuance of these refunds.</w:t>
      </w:r>
    </w:p>
    <w:p w14:paraId="71FEB271" w14:textId="77777777" w:rsidR="00C514F0" w:rsidRPr="00BB06DE" w:rsidRDefault="00C514F0" w:rsidP="004104DD">
      <w:pPr>
        <w:spacing w:after="0" w:line="240" w:lineRule="auto"/>
        <w:ind w:left="2160" w:right="1440" w:hanging="720"/>
        <w:rPr>
          <w:rFonts w:ascii="Times New Roman" w:eastAsia="Calibri" w:hAnsi="Times New Roman" w:cs="Times New Roman"/>
          <w:sz w:val="26"/>
          <w:szCs w:val="26"/>
        </w:rPr>
      </w:pPr>
    </w:p>
    <w:p w14:paraId="6FEC9B6A" w14:textId="6ADFB2C7" w:rsidR="00DB4916" w:rsidRPr="00BB06DE" w:rsidRDefault="008F7573" w:rsidP="004104DD">
      <w:pPr>
        <w:spacing w:after="0" w:line="240" w:lineRule="auto"/>
        <w:ind w:left="2160" w:right="144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d. </w:t>
      </w:r>
      <w:r w:rsidRPr="00BB06DE">
        <w:rPr>
          <w:rFonts w:ascii="Times New Roman" w:eastAsia="Calibri" w:hAnsi="Times New Roman" w:cs="Times New Roman"/>
          <w:sz w:val="26"/>
          <w:szCs w:val="26"/>
        </w:rPr>
        <w:tab/>
      </w:r>
      <w:r w:rsidR="00DB4916" w:rsidRPr="00BB06DE">
        <w:rPr>
          <w:rFonts w:ascii="Times New Roman" w:eastAsia="Calibri" w:hAnsi="Times New Roman" w:cs="Times New Roman"/>
          <w:sz w:val="26"/>
          <w:szCs w:val="26"/>
        </w:rPr>
        <w:t xml:space="preserve">Clearview has provided refunds to each of the customer accounts in the Duquesne Light Company and PECO Energy Company service territories for overcharges incurred between October 2017 and February 2018, consisting of the cumulative difference between the amount each customer was billed and the </w:t>
      </w:r>
      <w:r w:rsidR="00DB4916" w:rsidRPr="00BB06DE">
        <w:rPr>
          <w:rFonts w:ascii="Times New Roman" w:eastAsia="Calibri" w:hAnsi="Times New Roman" w:cs="Times New Roman"/>
          <w:sz w:val="26"/>
          <w:szCs w:val="26"/>
        </w:rPr>
        <w:lastRenderedPageBreak/>
        <w:t>amount each customer was entitled to receive pursuant to the advertised rate on chooseenergy.com.  Clearview has provided evidence to I&amp;E demonstrating the issuance of these refunds.</w:t>
      </w:r>
    </w:p>
    <w:p w14:paraId="1A0DAE2C" w14:textId="77777777" w:rsidR="00A11DB6" w:rsidRPr="00BB06DE" w:rsidRDefault="00A11DB6" w:rsidP="004104DD">
      <w:pPr>
        <w:spacing w:after="0" w:line="240" w:lineRule="auto"/>
        <w:ind w:left="2160" w:right="1440" w:hanging="720"/>
        <w:rPr>
          <w:rFonts w:ascii="Times New Roman" w:eastAsia="Calibri" w:hAnsi="Times New Roman" w:cs="Times New Roman"/>
          <w:sz w:val="26"/>
          <w:szCs w:val="26"/>
        </w:rPr>
      </w:pPr>
    </w:p>
    <w:p w14:paraId="33BCD9AA" w14:textId="1601B9C2" w:rsidR="006867E0" w:rsidRPr="004104DD" w:rsidRDefault="00DE08C4" w:rsidP="004104DD">
      <w:pPr>
        <w:spacing w:after="0" w:line="240" w:lineRule="auto"/>
        <w:ind w:left="2160" w:right="1440" w:hanging="720"/>
        <w:rPr>
          <w:rFonts w:ascii="Times New Roman" w:eastAsia="Calibri" w:hAnsi="Times New Roman" w:cs="Times New Roman"/>
          <w:sz w:val="26"/>
          <w:szCs w:val="26"/>
        </w:rPr>
      </w:pPr>
      <w:r w:rsidRPr="00BB06DE">
        <w:rPr>
          <w:rFonts w:ascii="Times New Roman" w:eastAsia="Calibri" w:hAnsi="Times New Roman" w:cs="Times New Roman"/>
          <w:sz w:val="26"/>
          <w:szCs w:val="26"/>
        </w:rPr>
        <w:t xml:space="preserve">e. </w:t>
      </w:r>
      <w:r w:rsidRPr="00BB06DE">
        <w:rPr>
          <w:rFonts w:ascii="Times New Roman" w:eastAsia="Calibri" w:hAnsi="Times New Roman" w:cs="Times New Roman"/>
          <w:sz w:val="26"/>
          <w:szCs w:val="26"/>
        </w:rPr>
        <w:tab/>
      </w:r>
      <w:r w:rsidR="00DB4916" w:rsidRPr="00BB06DE">
        <w:rPr>
          <w:rFonts w:ascii="Times New Roman" w:eastAsia="Calibri" w:hAnsi="Times New Roman" w:cs="Times New Roman"/>
          <w:sz w:val="26"/>
          <w:szCs w:val="26"/>
        </w:rPr>
        <w:t>Clearview has revised its policies and practices to ensure</w:t>
      </w:r>
      <w:r w:rsidR="00A734E6" w:rsidRPr="00BB06DE">
        <w:rPr>
          <w:rFonts w:ascii="Times New Roman" w:eastAsia="Calibri" w:hAnsi="Times New Roman" w:cs="Times New Roman"/>
          <w:sz w:val="26"/>
          <w:szCs w:val="26"/>
        </w:rPr>
        <w:t>:</w:t>
      </w:r>
      <w:r w:rsidR="00DB4916" w:rsidRPr="00BB06DE">
        <w:rPr>
          <w:rFonts w:ascii="Times New Roman" w:eastAsia="Calibri" w:hAnsi="Times New Roman" w:cs="Times New Roman"/>
          <w:sz w:val="26"/>
          <w:szCs w:val="26"/>
        </w:rPr>
        <w:t xml:space="preserve"> </w:t>
      </w:r>
      <w:r w:rsidR="00A734E6" w:rsidRPr="00BB06DE">
        <w:rPr>
          <w:rFonts w:ascii="Times New Roman" w:eastAsia="Calibri" w:hAnsi="Times New Roman" w:cs="Times New Roman"/>
          <w:sz w:val="26"/>
          <w:szCs w:val="26"/>
        </w:rPr>
        <w:t xml:space="preserve">(1) </w:t>
      </w:r>
      <w:r w:rsidR="00DB4916" w:rsidRPr="00BB06DE">
        <w:rPr>
          <w:rFonts w:ascii="Times New Roman" w:eastAsia="Calibri" w:hAnsi="Times New Roman" w:cs="Times New Roman"/>
          <w:sz w:val="26"/>
          <w:szCs w:val="26"/>
        </w:rPr>
        <w:t xml:space="preserve">that customers are billed the rate for which they enrolled, </w:t>
      </w:r>
      <w:r w:rsidR="00A734E6" w:rsidRPr="00BB06DE">
        <w:rPr>
          <w:rFonts w:ascii="Times New Roman" w:eastAsia="Calibri" w:hAnsi="Times New Roman" w:cs="Times New Roman"/>
          <w:sz w:val="26"/>
          <w:szCs w:val="26"/>
        </w:rPr>
        <w:t xml:space="preserve">(2) </w:t>
      </w:r>
      <w:r w:rsidR="00DB4916" w:rsidRPr="00BB06DE">
        <w:rPr>
          <w:rFonts w:ascii="Times New Roman" w:eastAsia="Calibri" w:hAnsi="Times New Roman" w:cs="Times New Roman"/>
          <w:sz w:val="26"/>
          <w:szCs w:val="26"/>
        </w:rPr>
        <w:t xml:space="preserve">that the Company obtains and reviews criminal background checks of prospective sales agents from the Pennsylvania State Police, and </w:t>
      </w:r>
      <w:r w:rsidR="00BE0869" w:rsidRPr="00BB06DE">
        <w:rPr>
          <w:rFonts w:ascii="Times New Roman" w:eastAsia="Calibri" w:hAnsi="Times New Roman" w:cs="Times New Roman"/>
          <w:sz w:val="26"/>
          <w:szCs w:val="26"/>
        </w:rPr>
        <w:t xml:space="preserve">(3) </w:t>
      </w:r>
      <w:r w:rsidR="00DB4916" w:rsidRPr="00BB06DE">
        <w:rPr>
          <w:rFonts w:ascii="Times New Roman" w:eastAsia="Calibri" w:hAnsi="Times New Roman" w:cs="Times New Roman"/>
          <w:sz w:val="26"/>
          <w:szCs w:val="26"/>
        </w:rPr>
        <w:t>that the Company notifies the Commission’s Bureau of Consumer Services and local electric distribution companies of door-to-door sales and marketing activities no later than the morning of the day that such activities occur.  Clearview has provided the revised policies and practices to I&amp;E.</w:t>
      </w:r>
    </w:p>
    <w:p w14:paraId="188A4207" w14:textId="77777777" w:rsidR="006867E0" w:rsidRPr="00BB06DE" w:rsidRDefault="006867E0" w:rsidP="00C97A15">
      <w:pPr>
        <w:tabs>
          <w:tab w:val="center" w:pos="0"/>
        </w:tabs>
        <w:suppressAutoHyphens/>
        <w:spacing w:after="0" w:line="360" w:lineRule="auto"/>
        <w:ind w:left="2160" w:right="1440" w:hanging="720"/>
        <w:rPr>
          <w:rFonts w:ascii="Times New Roman" w:eastAsia="Times New Roman" w:hAnsi="Times New Roman" w:cs="Times New Roman"/>
          <w:sz w:val="26"/>
          <w:szCs w:val="26"/>
        </w:rPr>
      </w:pPr>
    </w:p>
    <w:p w14:paraId="3DDA15A4" w14:textId="436DE5B4" w:rsidR="008E1F3A" w:rsidRPr="00BB06DE" w:rsidRDefault="00702670" w:rsidP="00617AB9">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Settlement at 1</w:t>
      </w:r>
      <w:r w:rsidR="007A1E2A" w:rsidRPr="00BB06DE">
        <w:rPr>
          <w:rFonts w:ascii="Times New Roman" w:eastAsia="Times New Roman" w:hAnsi="Times New Roman" w:cs="Times New Roman"/>
          <w:sz w:val="26"/>
          <w:szCs w:val="26"/>
        </w:rPr>
        <w:t>2</w:t>
      </w:r>
      <w:r w:rsidR="006C06F5" w:rsidRPr="00BB06DE">
        <w:rPr>
          <w:rFonts w:ascii="Times New Roman" w:eastAsia="Times New Roman" w:hAnsi="Times New Roman" w:cs="Times New Roman"/>
          <w:sz w:val="26"/>
          <w:szCs w:val="26"/>
        </w:rPr>
        <w:t>-15</w:t>
      </w:r>
      <w:r w:rsidRPr="00BB06DE">
        <w:rPr>
          <w:rFonts w:ascii="Times New Roman" w:eastAsia="Times New Roman" w:hAnsi="Times New Roman" w:cs="Times New Roman"/>
          <w:sz w:val="26"/>
          <w:szCs w:val="26"/>
        </w:rPr>
        <w:t>.</w:t>
      </w:r>
      <w:r w:rsidR="003B5039" w:rsidRPr="00BB06DE">
        <w:rPr>
          <w:rFonts w:ascii="Times New Roman" w:eastAsia="Times New Roman" w:hAnsi="Times New Roman" w:cs="Times New Roman"/>
          <w:sz w:val="26"/>
          <w:szCs w:val="26"/>
        </w:rPr>
        <w:t xml:space="preserve"> </w:t>
      </w:r>
    </w:p>
    <w:p w14:paraId="09E1070E" w14:textId="18D84FC6" w:rsidR="003B5039" w:rsidRPr="00BB06DE" w:rsidRDefault="003B5039" w:rsidP="00617AB9">
      <w:pPr>
        <w:tabs>
          <w:tab w:val="center" w:pos="0"/>
        </w:tabs>
        <w:suppressAutoHyphens/>
        <w:spacing w:after="0" w:line="360" w:lineRule="auto"/>
        <w:rPr>
          <w:rFonts w:ascii="Times New Roman" w:eastAsia="Times New Roman" w:hAnsi="Times New Roman" w:cs="Times New Roman"/>
          <w:sz w:val="26"/>
          <w:szCs w:val="26"/>
        </w:rPr>
      </w:pPr>
    </w:p>
    <w:p w14:paraId="3DE293EF" w14:textId="13124905" w:rsidR="00CB78B0" w:rsidRPr="00BB06DE" w:rsidRDefault="003B5039" w:rsidP="00617AB9">
      <w:pPr>
        <w:tabs>
          <w:tab w:val="center" w:pos="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00CB78B0" w:rsidRPr="00BB06DE">
        <w:rPr>
          <w:rFonts w:ascii="Times New Roman" w:eastAsia="Times New Roman" w:hAnsi="Times New Roman" w:cs="Times New Roman"/>
          <w:sz w:val="26"/>
          <w:szCs w:val="26"/>
        </w:rPr>
        <w:t>Upon Commission approval of the Settlement in its entirety without modification</w:t>
      </w:r>
      <w:r w:rsidR="00A27203" w:rsidRPr="00BB06DE">
        <w:rPr>
          <w:rFonts w:ascii="Times New Roman" w:eastAsia="Times New Roman" w:hAnsi="Times New Roman" w:cs="Times New Roman"/>
          <w:sz w:val="26"/>
          <w:szCs w:val="26"/>
        </w:rPr>
        <w:t xml:space="preserve"> and in consideration of the Company’s payment of the total civil penalty in the amount of Fifty-Nine Thousand Seven Hundred Fifty Do</w:t>
      </w:r>
      <w:r w:rsidR="00C01F3E" w:rsidRPr="00BB06DE">
        <w:rPr>
          <w:rFonts w:ascii="Times New Roman" w:eastAsia="Times New Roman" w:hAnsi="Times New Roman" w:cs="Times New Roman"/>
          <w:sz w:val="26"/>
          <w:szCs w:val="26"/>
        </w:rPr>
        <w:t>llars ($59,750)</w:t>
      </w:r>
      <w:r w:rsidR="00CB78B0" w:rsidRPr="00BB06DE">
        <w:rPr>
          <w:rFonts w:ascii="Times New Roman" w:eastAsia="Times New Roman" w:hAnsi="Times New Roman" w:cs="Times New Roman"/>
          <w:sz w:val="26"/>
          <w:szCs w:val="26"/>
        </w:rPr>
        <w:t xml:space="preserve">, I&amp;E shall be deemed to have released Clearview from all past claims that were made or could have been made for monetary and/or other relief based on </w:t>
      </w:r>
      <w:r w:rsidR="00C01F3E" w:rsidRPr="00BB06DE">
        <w:rPr>
          <w:rFonts w:ascii="Times New Roman" w:eastAsia="Times New Roman" w:hAnsi="Times New Roman" w:cs="Times New Roman"/>
          <w:sz w:val="26"/>
          <w:szCs w:val="26"/>
        </w:rPr>
        <w:t>the</w:t>
      </w:r>
      <w:r w:rsidR="00CB78B0" w:rsidRPr="00BB06DE">
        <w:rPr>
          <w:rFonts w:ascii="Times New Roman" w:eastAsia="Times New Roman" w:hAnsi="Times New Roman" w:cs="Times New Roman"/>
          <w:sz w:val="26"/>
          <w:szCs w:val="26"/>
        </w:rPr>
        <w:t xml:space="preserve"> allegations </w:t>
      </w:r>
      <w:r w:rsidR="00C01F3E" w:rsidRPr="00BB06DE">
        <w:rPr>
          <w:rFonts w:ascii="Times New Roman" w:eastAsia="Times New Roman" w:hAnsi="Times New Roman" w:cs="Times New Roman"/>
          <w:sz w:val="26"/>
          <w:szCs w:val="26"/>
        </w:rPr>
        <w:t xml:space="preserve">set forth in I&amp;E’s Complaint.  </w:t>
      </w:r>
      <w:r w:rsidR="00CB78B0" w:rsidRPr="00BB06DE">
        <w:rPr>
          <w:rFonts w:ascii="Times New Roman" w:eastAsia="Times New Roman" w:hAnsi="Times New Roman" w:cs="Times New Roman"/>
          <w:sz w:val="26"/>
          <w:szCs w:val="26"/>
        </w:rPr>
        <w:t>Settlement at 1</w:t>
      </w:r>
      <w:r w:rsidR="00C01F3E" w:rsidRPr="00BB06DE">
        <w:rPr>
          <w:rFonts w:ascii="Times New Roman" w:eastAsia="Times New Roman" w:hAnsi="Times New Roman" w:cs="Times New Roman"/>
          <w:sz w:val="26"/>
          <w:szCs w:val="26"/>
        </w:rPr>
        <w:t>5</w:t>
      </w:r>
      <w:r w:rsidR="00A54A22" w:rsidRPr="00BB06DE">
        <w:rPr>
          <w:rFonts w:ascii="Times New Roman" w:eastAsia="Times New Roman" w:hAnsi="Times New Roman" w:cs="Times New Roman"/>
          <w:sz w:val="26"/>
          <w:szCs w:val="26"/>
        </w:rPr>
        <w:t>, ¶ 32</w:t>
      </w:r>
      <w:r w:rsidR="00CB78B0" w:rsidRPr="00BB06DE">
        <w:rPr>
          <w:rFonts w:ascii="Times New Roman" w:eastAsia="Times New Roman" w:hAnsi="Times New Roman" w:cs="Times New Roman"/>
          <w:sz w:val="26"/>
          <w:szCs w:val="26"/>
        </w:rPr>
        <w:t xml:space="preserve">.  </w:t>
      </w:r>
      <w:r w:rsidR="000E36D7" w:rsidRPr="00BB06DE">
        <w:rPr>
          <w:rFonts w:ascii="Times New Roman" w:eastAsia="Times New Roman" w:hAnsi="Times New Roman" w:cs="Times New Roman"/>
          <w:sz w:val="26"/>
          <w:szCs w:val="26"/>
        </w:rPr>
        <w:t>We note that t</w:t>
      </w:r>
      <w:r w:rsidR="000E36D7" w:rsidRPr="00BB06DE">
        <w:rPr>
          <w:rFonts w:ascii="Times New Roman" w:hAnsi="Times New Roman" w:cs="Times New Roman"/>
          <w:sz w:val="26"/>
          <w:szCs w:val="26"/>
        </w:rPr>
        <w:t xml:space="preserve">he language in </w:t>
      </w:r>
      <w:r w:rsidR="00ED299B" w:rsidRPr="00BB06DE">
        <w:rPr>
          <w:rFonts w:ascii="Times New Roman" w:hAnsi="Times New Roman" w:cs="Times New Roman"/>
          <w:sz w:val="26"/>
          <w:szCs w:val="26"/>
        </w:rPr>
        <w:t>P</w:t>
      </w:r>
      <w:r w:rsidR="000E36D7" w:rsidRPr="00BB06DE">
        <w:rPr>
          <w:rFonts w:ascii="Times New Roman" w:hAnsi="Times New Roman" w:cs="Times New Roman"/>
          <w:sz w:val="26"/>
          <w:szCs w:val="26"/>
        </w:rPr>
        <w:t>aragraph 3</w:t>
      </w:r>
      <w:r w:rsidR="00076DA5" w:rsidRPr="00BB06DE">
        <w:rPr>
          <w:rFonts w:ascii="Times New Roman" w:hAnsi="Times New Roman" w:cs="Times New Roman"/>
          <w:sz w:val="26"/>
          <w:szCs w:val="26"/>
        </w:rPr>
        <w:t>2</w:t>
      </w:r>
      <w:r w:rsidR="000E36D7" w:rsidRPr="00BB06DE">
        <w:rPr>
          <w:rFonts w:ascii="Times New Roman" w:hAnsi="Times New Roman" w:cs="Times New Roman"/>
          <w:sz w:val="26"/>
          <w:szCs w:val="26"/>
        </w:rPr>
        <w:t xml:space="preserve"> of the Settlement states</w:t>
      </w:r>
      <w:r w:rsidR="00686FD1" w:rsidRPr="00BB06DE">
        <w:rPr>
          <w:rFonts w:ascii="Times New Roman" w:hAnsi="Times New Roman" w:cs="Times New Roman"/>
          <w:sz w:val="26"/>
          <w:szCs w:val="26"/>
        </w:rPr>
        <w:t>, in part,</w:t>
      </w:r>
      <w:r w:rsidR="000E36D7" w:rsidRPr="00BB06DE">
        <w:rPr>
          <w:rFonts w:ascii="Times New Roman" w:hAnsi="Times New Roman" w:cs="Times New Roman"/>
          <w:sz w:val="26"/>
          <w:szCs w:val="26"/>
        </w:rPr>
        <w:t xml:space="preserve"> “</w:t>
      </w:r>
      <w:r w:rsidR="00686FD1" w:rsidRPr="00BB06DE">
        <w:rPr>
          <w:rFonts w:ascii="Times New Roman" w:hAnsi="Times New Roman" w:cs="Times New Roman"/>
          <w:sz w:val="26"/>
          <w:szCs w:val="26"/>
        </w:rPr>
        <w:t>…</w:t>
      </w:r>
      <w:r w:rsidR="000E36D7" w:rsidRPr="00BB06DE">
        <w:rPr>
          <w:rFonts w:ascii="Times New Roman" w:hAnsi="Times New Roman" w:cs="Times New Roman"/>
          <w:sz w:val="26"/>
          <w:szCs w:val="26"/>
        </w:rPr>
        <w:t xml:space="preserve">I&amp;E shall be deemed to have released </w:t>
      </w:r>
      <w:r w:rsidR="00686FD1" w:rsidRPr="00BB06DE">
        <w:rPr>
          <w:rFonts w:ascii="Times New Roman" w:hAnsi="Times New Roman" w:cs="Times New Roman"/>
          <w:sz w:val="26"/>
          <w:szCs w:val="26"/>
        </w:rPr>
        <w:t>Clearview</w:t>
      </w:r>
      <w:r w:rsidR="000E36D7" w:rsidRPr="00BB06DE">
        <w:rPr>
          <w:rFonts w:ascii="Times New Roman" w:hAnsi="Times New Roman" w:cs="Times New Roman"/>
          <w:sz w:val="26"/>
          <w:szCs w:val="26"/>
        </w:rPr>
        <w:t xml:space="preserve"> from all past claims that were made or could have been made for monetary and/or other relief based on allegations </w:t>
      </w:r>
      <w:r w:rsidR="005C3C7C" w:rsidRPr="00BB06DE">
        <w:rPr>
          <w:rFonts w:ascii="Times New Roman" w:hAnsi="Times New Roman" w:cs="Times New Roman"/>
          <w:sz w:val="26"/>
          <w:szCs w:val="26"/>
        </w:rPr>
        <w:t>set forth in I&amp;E’s Complaint.</w:t>
      </w:r>
      <w:r w:rsidR="000E36D7" w:rsidRPr="00BB06DE">
        <w:rPr>
          <w:rFonts w:ascii="Times New Roman" w:hAnsi="Times New Roman" w:cs="Times New Roman"/>
          <w:sz w:val="26"/>
          <w:szCs w:val="26"/>
        </w:rPr>
        <w:t xml:space="preserve">”  </w:t>
      </w:r>
      <w:r w:rsidR="00D75091" w:rsidRPr="00BB06DE">
        <w:rPr>
          <w:rFonts w:ascii="Times New Roman" w:hAnsi="Times New Roman" w:cs="Times New Roman"/>
          <w:i/>
          <w:iCs/>
          <w:sz w:val="26"/>
          <w:szCs w:val="26"/>
        </w:rPr>
        <w:t>Id.</w:t>
      </w:r>
      <w:r w:rsidR="00D75091" w:rsidRPr="00BB06DE">
        <w:rPr>
          <w:rFonts w:ascii="Times New Roman" w:hAnsi="Times New Roman" w:cs="Times New Roman"/>
          <w:sz w:val="26"/>
          <w:szCs w:val="26"/>
        </w:rPr>
        <w:t xml:space="preserve">  </w:t>
      </w:r>
      <w:r w:rsidR="000E36D7" w:rsidRPr="00BB06DE">
        <w:rPr>
          <w:rFonts w:ascii="Times New Roman" w:hAnsi="Times New Roman" w:cs="Times New Roman"/>
          <w:sz w:val="26"/>
          <w:szCs w:val="26"/>
        </w:rPr>
        <w:t>This release pertains to those claims for violations and penalties which I&amp;E retains the authority to bring and is not intended as a general release of liability.</w:t>
      </w:r>
    </w:p>
    <w:p w14:paraId="38520467" w14:textId="77777777" w:rsidR="00CB78B0" w:rsidRPr="00BB06DE" w:rsidRDefault="00CB78B0" w:rsidP="00617AB9">
      <w:pPr>
        <w:tabs>
          <w:tab w:val="center" w:pos="0"/>
        </w:tabs>
        <w:suppressAutoHyphens/>
        <w:spacing w:after="0" w:line="360" w:lineRule="auto"/>
        <w:rPr>
          <w:rFonts w:ascii="Times New Roman" w:eastAsia="Times New Roman" w:hAnsi="Times New Roman" w:cs="Times New Roman"/>
          <w:sz w:val="26"/>
          <w:szCs w:val="26"/>
        </w:rPr>
      </w:pPr>
    </w:p>
    <w:p w14:paraId="3D7FAF52" w14:textId="626C3306" w:rsidR="00CB78B0" w:rsidRDefault="00CB78B0" w:rsidP="00617AB9">
      <w:pPr>
        <w:tabs>
          <w:tab w:val="center" w:pos="72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 xml:space="preserve">The proposed Settlement is conditioned on the Commission’s approval without modification of any of its terms or conditions.  If the Commission does not </w:t>
      </w:r>
      <w:r w:rsidRPr="00BB06DE">
        <w:rPr>
          <w:rFonts w:ascii="Times New Roman" w:eastAsia="Times New Roman" w:hAnsi="Times New Roman" w:cs="Times New Roman"/>
          <w:sz w:val="26"/>
          <w:szCs w:val="26"/>
        </w:rPr>
        <w:lastRenderedPageBreak/>
        <w:t xml:space="preserve">approve the proposed Settlement or makes any change or modification to the proposed Settlement, either Party may elect to withdraw from the Settlement. </w:t>
      </w:r>
      <w:r w:rsidR="001E1B3B" w:rsidRPr="00BB06DE">
        <w:rPr>
          <w:rFonts w:ascii="Times New Roman" w:eastAsia="Times New Roman" w:hAnsi="Times New Roman" w:cs="Times New Roman"/>
          <w:sz w:val="26"/>
          <w:szCs w:val="26"/>
        </w:rPr>
        <w:t xml:space="preserve"> Settlement</w:t>
      </w:r>
      <w:r w:rsidRPr="00BB06DE">
        <w:rPr>
          <w:rFonts w:ascii="Times New Roman" w:eastAsia="Times New Roman" w:hAnsi="Times New Roman" w:cs="Times New Roman"/>
          <w:sz w:val="26"/>
          <w:szCs w:val="26"/>
        </w:rPr>
        <w:t xml:space="preserve"> at 1</w:t>
      </w:r>
      <w:r w:rsidR="001E1B3B" w:rsidRPr="00BB06DE">
        <w:rPr>
          <w:rFonts w:ascii="Times New Roman" w:eastAsia="Times New Roman" w:hAnsi="Times New Roman" w:cs="Times New Roman"/>
          <w:sz w:val="26"/>
          <w:szCs w:val="26"/>
        </w:rPr>
        <w:t>6</w:t>
      </w:r>
      <w:r w:rsidRPr="00BB06DE">
        <w:rPr>
          <w:rFonts w:ascii="Times New Roman" w:eastAsia="Times New Roman" w:hAnsi="Times New Roman" w:cs="Times New Roman"/>
          <w:sz w:val="26"/>
          <w:szCs w:val="26"/>
        </w:rPr>
        <w:t>.</w:t>
      </w:r>
    </w:p>
    <w:p w14:paraId="6BEE485D" w14:textId="77777777" w:rsidR="00617AB9" w:rsidRPr="00BB06DE" w:rsidRDefault="00617AB9" w:rsidP="00617AB9">
      <w:pPr>
        <w:tabs>
          <w:tab w:val="center" w:pos="720"/>
        </w:tabs>
        <w:suppressAutoHyphens/>
        <w:spacing w:after="0" w:line="360" w:lineRule="auto"/>
        <w:rPr>
          <w:rFonts w:ascii="Times New Roman" w:eastAsia="Times New Roman" w:hAnsi="Times New Roman" w:cs="Times New Roman"/>
          <w:sz w:val="26"/>
          <w:szCs w:val="26"/>
        </w:rPr>
      </w:pPr>
    </w:p>
    <w:p w14:paraId="3F1E8073" w14:textId="40028A1B" w:rsidR="00244EF7" w:rsidRPr="00BB06DE" w:rsidRDefault="00244EF7" w:rsidP="00C97A15">
      <w:pPr>
        <w:tabs>
          <w:tab w:val="center" w:pos="72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 xml:space="preserve">Additionally, the Settlement is made without any admission by any Party as to any matter of fact or law and is without prejudice to any position advanced by a Party in this proceeding or that may be advanced by a Party in future litigation, except to the extent necessary to effectuate this Settlement.  </w:t>
      </w:r>
      <w:r w:rsidR="004722FB" w:rsidRPr="00BB06DE">
        <w:rPr>
          <w:rFonts w:ascii="Times New Roman" w:eastAsia="Times New Roman" w:hAnsi="Times New Roman" w:cs="Times New Roman"/>
          <w:sz w:val="26"/>
          <w:szCs w:val="26"/>
        </w:rPr>
        <w:t>Settlement</w:t>
      </w:r>
      <w:r w:rsidR="004722FB" w:rsidRPr="00BB06DE">
        <w:rPr>
          <w:rFonts w:ascii="Times New Roman" w:eastAsia="Times New Roman" w:hAnsi="Times New Roman" w:cs="Times New Roman"/>
          <w:i/>
          <w:iCs/>
          <w:sz w:val="26"/>
          <w:szCs w:val="26"/>
        </w:rPr>
        <w:t xml:space="preserve"> </w:t>
      </w:r>
      <w:r w:rsidRPr="00BB06DE">
        <w:rPr>
          <w:rFonts w:ascii="Times New Roman" w:eastAsia="Times New Roman" w:hAnsi="Times New Roman" w:cs="Times New Roman"/>
          <w:sz w:val="26"/>
          <w:szCs w:val="26"/>
        </w:rPr>
        <w:t xml:space="preserve">at 16-17.  The Settlement does not preclude the Parties from taking other positions in any other proceeding.  </w:t>
      </w:r>
      <w:r w:rsidR="004722FB" w:rsidRPr="00BB06DE">
        <w:rPr>
          <w:rFonts w:ascii="Times New Roman" w:eastAsia="Times New Roman" w:hAnsi="Times New Roman" w:cs="Times New Roman"/>
          <w:sz w:val="26"/>
          <w:szCs w:val="26"/>
        </w:rPr>
        <w:t>Settlement at</w:t>
      </w:r>
      <w:r w:rsidRPr="00BB06DE">
        <w:rPr>
          <w:rFonts w:ascii="Times New Roman" w:eastAsia="Times New Roman" w:hAnsi="Times New Roman" w:cs="Times New Roman"/>
          <w:sz w:val="26"/>
          <w:szCs w:val="26"/>
        </w:rPr>
        <w:t xml:space="preserve"> 17.</w:t>
      </w:r>
    </w:p>
    <w:p w14:paraId="55707DEE" w14:textId="77777777" w:rsidR="00F44833" w:rsidRPr="00BB06DE" w:rsidRDefault="00F44833" w:rsidP="00C97A15">
      <w:pPr>
        <w:tabs>
          <w:tab w:val="center" w:pos="720"/>
        </w:tabs>
        <w:suppressAutoHyphens/>
        <w:spacing w:after="0" w:line="360" w:lineRule="auto"/>
        <w:rPr>
          <w:rFonts w:ascii="Times New Roman" w:eastAsia="Times New Roman" w:hAnsi="Times New Roman" w:cs="Times New Roman"/>
          <w:sz w:val="26"/>
          <w:szCs w:val="26"/>
        </w:rPr>
      </w:pPr>
    </w:p>
    <w:p w14:paraId="579C098C" w14:textId="77777777" w:rsidR="00F44833" w:rsidRPr="00BB06DE" w:rsidRDefault="00F44833" w:rsidP="00C97A15">
      <w:pPr>
        <w:keepNext/>
        <w:suppressAutoHyphens/>
        <w:spacing w:after="0" w:line="360" w:lineRule="auto"/>
        <w:jc w:val="center"/>
        <w:rPr>
          <w:rFonts w:ascii="Times New Roman" w:eastAsia="Times New Roman" w:hAnsi="Times New Roman" w:cs="Times New Roman"/>
          <w:b/>
          <w:sz w:val="26"/>
          <w:szCs w:val="26"/>
        </w:rPr>
      </w:pPr>
      <w:r w:rsidRPr="00BB06DE">
        <w:rPr>
          <w:rFonts w:ascii="Times New Roman" w:eastAsia="Times New Roman" w:hAnsi="Times New Roman" w:cs="Times New Roman"/>
          <w:b/>
          <w:sz w:val="26"/>
          <w:szCs w:val="26"/>
        </w:rPr>
        <w:t>Discussion</w:t>
      </w:r>
    </w:p>
    <w:p w14:paraId="182723E4" w14:textId="77777777" w:rsidR="00F44833" w:rsidRPr="00BB06DE" w:rsidRDefault="00F44833" w:rsidP="00C97A15">
      <w:pPr>
        <w:keepNext/>
        <w:tabs>
          <w:tab w:val="center" w:pos="720"/>
        </w:tabs>
        <w:suppressAutoHyphens/>
        <w:spacing w:after="0" w:line="360" w:lineRule="auto"/>
        <w:rPr>
          <w:rFonts w:ascii="Times New Roman" w:eastAsia="Times New Roman" w:hAnsi="Times New Roman" w:cs="Times New Roman"/>
          <w:sz w:val="26"/>
          <w:szCs w:val="26"/>
        </w:rPr>
      </w:pPr>
    </w:p>
    <w:p w14:paraId="2C3F2627" w14:textId="77777777" w:rsidR="00D02990" w:rsidRPr="00BB06DE" w:rsidRDefault="00F44833" w:rsidP="00C97A15">
      <w:pPr>
        <w:tabs>
          <w:tab w:val="center" w:pos="720"/>
        </w:tabs>
        <w:suppressAutoHyphens/>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 xml:space="preserve">Pursuant to our Regulations at 52 Pa. Code § 5.231, it is the Commission’s policy to promote settlements.  The Commission must, however, review proposed settlements to determine whether the terms are in the public interest.  </w:t>
      </w:r>
      <w:r w:rsidRPr="00BB06DE">
        <w:rPr>
          <w:rFonts w:ascii="Times New Roman" w:eastAsia="Times New Roman" w:hAnsi="Times New Roman" w:cs="Times New Roman"/>
          <w:i/>
          <w:sz w:val="26"/>
          <w:szCs w:val="26"/>
        </w:rPr>
        <w:t>Pa. PUC v. Philadelphia Gas Works</w:t>
      </w:r>
      <w:r w:rsidRPr="00BB06DE">
        <w:rPr>
          <w:rFonts w:ascii="Times New Roman" w:eastAsia="Times New Roman" w:hAnsi="Times New Roman" w:cs="Times New Roman"/>
          <w:sz w:val="26"/>
          <w:szCs w:val="26"/>
        </w:rPr>
        <w:t xml:space="preserve">, Docket No. M-00031768 (Order entered January 7, 2004). </w:t>
      </w:r>
      <w:r w:rsidR="002169C6" w:rsidRPr="00BB06DE">
        <w:rPr>
          <w:rFonts w:ascii="Times New Roman" w:eastAsia="Times New Roman" w:hAnsi="Times New Roman" w:cs="Times New Roman"/>
          <w:sz w:val="26"/>
          <w:szCs w:val="26"/>
        </w:rPr>
        <w:t xml:space="preserve"> </w:t>
      </w:r>
    </w:p>
    <w:p w14:paraId="6CE6C9E8" w14:textId="77777777" w:rsidR="00D02990" w:rsidRPr="00BB06DE" w:rsidRDefault="00D02990" w:rsidP="00F44833">
      <w:pPr>
        <w:tabs>
          <w:tab w:val="center" w:pos="720"/>
        </w:tabs>
        <w:suppressAutoHyphens/>
        <w:spacing w:after="0" w:line="360" w:lineRule="auto"/>
        <w:rPr>
          <w:rFonts w:ascii="Times New Roman" w:eastAsia="Times New Roman" w:hAnsi="Times New Roman" w:cs="Times New Roman"/>
          <w:sz w:val="26"/>
          <w:szCs w:val="26"/>
        </w:rPr>
      </w:pPr>
    </w:p>
    <w:p w14:paraId="12764828" w14:textId="5CCC885F" w:rsidR="00C7544B" w:rsidRPr="00BB06DE" w:rsidRDefault="00164401" w:rsidP="00181D13">
      <w:pPr>
        <w:spacing w:after="0" w:line="360" w:lineRule="auto"/>
        <w:ind w:firstLine="1440"/>
        <w:rPr>
          <w:rFonts w:ascii="Times New Roman" w:eastAsia="Times New Roman" w:hAnsi="Times New Roman" w:cs="Times New Roman"/>
          <w:color w:val="000000"/>
          <w:sz w:val="26"/>
          <w:szCs w:val="26"/>
        </w:rPr>
      </w:pPr>
      <w:r w:rsidRPr="00BB06DE">
        <w:rPr>
          <w:rFonts w:ascii="Times New Roman" w:eastAsia="Times New Roman" w:hAnsi="Times New Roman" w:cs="Times New Roman"/>
          <w:sz w:val="26"/>
          <w:szCs w:val="26"/>
        </w:rPr>
        <w:t xml:space="preserve">After a review of the terms of the Settlement, we find that the Settlement is in the public interest.  The Commission has promulgated a Policy Statement at </w:t>
      </w:r>
      <w:r w:rsidR="001778BB" w:rsidRPr="00BB06DE">
        <w:rPr>
          <w:rFonts w:ascii="Times New Roman" w:eastAsia="Times New Roman" w:hAnsi="Times New Roman" w:cs="Times New Roman"/>
          <w:sz w:val="26"/>
          <w:szCs w:val="26"/>
        </w:rPr>
        <w:t>52</w:t>
      </w:r>
      <w:r w:rsidR="00C97A15">
        <w:rPr>
          <w:rFonts w:ascii="Times New Roman" w:eastAsia="Times New Roman" w:hAnsi="Times New Roman" w:cs="Times New Roman"/>
          <w:sz w:val="26"/>
          <w:szCs w:val="26"/>
        </w:rPr>
        <w:t> </w:t>
      </w:r>
      <w:r w:rsidR="001778BB" w:rsidRPr="00BB06DE">
        <w:rPr>
          <w:rFonts w:ascii="Times New Roman" w:eastAsia="Times New Roman" w:hAnsi="Times New Roman" w:cs="Times New Roman"/>
          <w:sz w:val="26"/>
          <w:szCs w:val="26"/>
        </w:rPr>
        <w:t>Pa.</w:t>
      </w:r>
      <w:r w:rsidR="00C97A15">
        <w:rPr>
          <w:rFonts w:ascii="Times New Roman" w:eastAsia="Times New Roman" w:hAnsi="Times New Roman" w:cs="Times New Roman"/>
          <w:sz w:val="26"/>
          <w:szCs w:val="26"/>
        </w:rPr>
        <w:t> </w:t>
      </w:r>
      <w:r w:rsidR="001778BB" w:rsidRPr="00BB06DE">
        <w:rPr>
          <w:rFonts w:ascii="Times New Roman" w:eastAsia="Times New Roman" w:hAnsi="Times New Roman" w:cs="Times New Roman"/>
          <w:sz w:val="26"/>
          <w:szCs w:val="26"/>
        </w:rPr>
        <w:t>Code §</w:t>
      </w:r>
      <w:r w:rsidR="00A32DE7" w:rsidRPr="00BB06DE">
        <w:rPr>
          <w:rFonts w:ascii="Times New Roman" w:eastAsia="Times New Roman" w:hAnsi="Times New Roman" w:cs="Times New Roman"/>
          <w:sz w:val="26"/>
          <w:szCs w:val="26"/>
        </w:rPr>
        <w:t> </w:t>
      </w:r>
      <w:r w:rsidR="001778BB" w:rsidRPr="00BB06DE">
        <w:rPr>
          <w:rFonts w:ascii="Times New Roman" w:eastAsia="Times New Roman" w:hAnsi="Times New Roman" w:cs="Times New Roman"/>
          <w:sz w:val="26"/>
          <w:szCs w:val="26"/>
        </w:rPr>
        <w:t xml:space="preserve">69.1201 that sets forth ten factors that we may consider in evaluating </w:t>
      </w:r>
      <w:r w:rsidR="00C7544B" w:rsidRPr="00BB06DE">
        <w:rPr>
          <w:rFonts w:ascii="Times New Roman" w:eastAsia="Times New Roman" w:hAnsi="Times New Roman" w:cs="Times New Roman"/>
          <w:sz w:val="26"/>
          <w:szCs w:val="26"/>
        </w:rPr>
        <w:t>whether</w:t>
      </w:r>
      <w:r w:rsidR="001778BB" w:rsidRPr="00BB06DE">
        <w:rPr>
          <w:rFonts w:ascii="Times New Roman" w:eastAsia="Times New Roman" w:hAnsi="Times New Roman" w:cs="Times New Roman"/>
          <w:sz w:val="26"/>
          <w:szCs w:val="26"/>
        </w:rPr>
        <w:t xml:space="preserve"> a civil penalty for violating a Commission Order, Regulation, or a sta</w:t>
      </w:r>
      <w:r w:rsidR="00C7544B" w:rsidRPr="00BB06DE">
        <w:rPr>
          <w:rFonts w:ascii="Times New Roman" w:eastAsia="Times New Roman" w:hAnsi="Times New Roman" w:cs="Times New Roman"/>
          <w:sz w:val="26"/>
          <w:szCs w:val="26"/>
        </w:rPr>
        <w:t>t</w:t>
      </w:r>
      <w:r w:rsidR="001778BB" w:rsidRPr="00BB06DE">
        <w:rPr>
          <w:rFonts w:ascii="Times New Roman" w:eastAsia="Times New Roman" w:hAnsi="Times New Roman" w:cs="Times New Roman"/>
          <w:sz w:val="26"/>
          <w:szCs w:val="26"/>
        </w:rPr>
        <w:t>ute i</w:t>
      </w:r>
      <w:r w:rsidR="0099024B" w:rsidRPr="00BB06DE">
        <w:rPr>
          <w:rFonts w:ascii="Times New Roman" w:eastAsia="Times New Roman" w:hAnsi="Times New Roman" w:cs="Times New Roman"/>
          <w:sz w:val="26"/>
          <w:szCs w:val="26"/>
        </w:rPr>
        <w:t xml:space="preserve">s appropriate, </w:t>
      </w:r>
      <w:r w:rsidR="00535E08" w:rsidRPr="00BB06DE">
        <w:rPr>
          <w:rFonts w:ascii="Times New Roman" w:eastAsia="Times New Roman" w:hAnsi="Times New Roman" w:cs="Times New Roman"/>
          <w:color w:val="000000"/>
          <w:sz w:val="26"/>
          <w:szCs w:val="26"/>
        </w:rPr>
        <w:t xml:space="preserve">as well as whether a proposed settlement for a violation is reasonable and in the public interest.  </w:t>
      </w:r>
      <w:r w:rsidR="00FC49EC" w:rsidRPr="00BB06DE">
        <w:rPr>
          <w:rFonts w:ascii="Times New Roman" w:eastAsia="Times New Roman" w:hAnsi="Times New Roman" w:cs="Times New Roman"/>
          <w:color w:val="000000"/>
          <w:sz w:val="26"/>
          <w:szCs w:val="26"/>
        </w:rPr>
        <w:t xml:space="preserve">The Policy Statement sets forth the guidelines we use when determining whether, and to what extent, a civil penalty is warranted.  In this case, application of these guidelines supports approval of the Settlement as filed.  </w:t>
      </w:r>
    </w:p>
    <w:p w14:paraId="41C5EAD6" w14:textId="77777777" w:rsidR="00C7544B" w:rsidRPr="00BB06DE" w:rsidRDefault="00C7544B" w:rsidP="00181D13">
      <w:pPr>
        <w:spacing w:after="0" w:line="360" w:lineRule="auto"/>
        <w:ind w:firstLine="1440"/>
        <w:rPr>
          <w:rFonts w:ascii="Times New Roman" w:eastAsia="Times New Roman" w:hAnsi="Times New Roman" w:cs="Times New Roman"/>
          <w:color w:val="000000"/>
          <w:sz w:val="26"/>
          <w:szCs w:val="26"/>
        </w:rPr>
      </w:pPr>
    </w:p>
    <w:p w14:paraId="41C5FDAF" w14:textId="328DE826" w:rsidR="004863C9" w:rsidRPr="00BB06DE" w:rsidRDefault="00535E08" w:rsidP="004863C9">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first factor considers whether the conduct at issue was of a serious nature, such as willful fraud or misrepresentation, or if the conduct was less egregious, such as an administrative or technical error.  Conduct of a more serious nature may </w:t>
      </w:r>
      <w:r w:rsidRPr="00BB06DE">
        <w:rPr>
          <w:rFonts w:ascii="Times New Roman" w:eastAsia="Times New Roman" w:hAnsi="Times New Roman" w:cs="Times New Roman"/>
          <w:sz w:val="26"/>
          <w:szCs w:val="26"/>
        </w:rPr>
        <w:lastRenderedPageBreak/>
        <w:t xml:space="preserve">warrant a higher penalty.  52 Pa. Code § 69.1201(c)(1).  </w:t>
      </w:r>
      <w:r w:rsidR="0032536C" w:rsidRPr="00BB06DE">
        <w:rPr>
          <w:rFonts w:ascii="Times New Roman" w:eastAsia="Times New Roman" w:hAnsi="Times New Roman" w:cs="Times New Roman"/>
          <w:sz w:val="26"/>
          <w:szCs w:val="26"/>
        </w:rPr>
        <w:t xml:space="preserve">In this case, </w:t>
      </w:r>
      <w:r w:rsidRPr="00BB06DE">
        <w:rPr>
          <w:rFonts w:ascii="Times New Roman" w:eastAsia="Times New Roman" w:hAnsi="Times New Roman" w:cs="Times New Roman"/>
          <w:sz w:val="26"/>
          <w:szCs w:val="26"/>
        </w:rPr>
        <w:t xml:space="preserve">I&amp;E alleges that the conduct in this matter involves fraudulent, deceptive, or unlawful marketing acts committed by two Clearview sales agents, a failure to obtain criminal background histories from the appropriate governmental agency, </w:t>
      </w:r>
      <w:r w:rsidRPr="00BB06DE">
        <w:rPr>
          <w:rFonts w:ascii="Times New Roman" w:eastAsia="Times New Roman" w:hAnsi="Times New Roman" w:cs="Times New Roman"/>
          <w:i/>
          <w:iCs/>
          <w:sz w:val="26"/>
          <w:szCs w:val="26"/>
        </w:rPr>
        <w:t>i.e.</w:t>
      </w:r>
      <w:r w:rsidRPr="00E767B3">
        <w:rPr>
          <w:rFonts w:ascii="Times New Roman" w:eastAsia="Times New Roman" w:hAnsi="Times New Roman" w:cs="Times New Roman"/>
          <w:sz w:val="26"/>
          <w:szCs w:val="26"/>
        </w:rPr>
        <w:t>,</w:t>
      </w:r>
      <w:r w:rsidRPr="00BB06DE">
        <w:rPr>
          <w:rFonts w:ascii="Times New Roman" w:eastAsia="Times New Roman" w:hAnsi="Times New Roman" w:cs="Times New Roman"/>
          <w:sz w:val="26"/>
          <w:szCs w:val="26"/>
        </w:rPr>
        <w:t xml:space="preserve"> the Pennsylvania State Police, unauthorized switching, overbilling and a failure to notify BCS and </w:t>
      </w:r>
      <w:r w:rsidR="00F71EE8" w:rsidRPr="00BB06DE">
        <w:rPr>
          <w:rFonts w:ascii="Times New Roman" w:eastAsia="Times New Roman" w:hAnsi="Times New Roman" w:cs="Times New Roman"/>
          <w:sz w:val="26"/>
          <w:szCs w:val="26"/>
        </w:rPr>
        <w:t xml:space="preserve">the </w:t>
      </w:r>
      <w:r w:rsidRPr="00BB06DE">
        <w:rPr>
          <w:rFonts w:ascii="Times New Roman" w:eastAsia="Times New Roman" w:hAnsi="Times New Roman" w:cs="Times New Roman"/>
          <w:sz w:val="26"/>
          <w:szCs w:val="26"/>
        </w:rPr>
        <w:t xml:space="preserve">EDCs of the Company’s door-to-door marketing activities.  </w:t>
      </w:r>
      <w:r w:rsidR="009245D7" w:rsidRPr="00BB06DE">
        <w:rPr>
          <w:rFonts w:ascii="Times New Roman" w:eastAsia="Times New Roman" w:hAnsi="Times New Roman" w:cs="Times New Roman"/>
          <w:sz w:val="26"/>
          <w:szCs w:val="26"/>
        </w:rPr>
        <w:t>I&amp;E provides that w</w:t>
      </w:r>
      <w:r w:rsidRPr="00BB06DE">
        <w:rPr>
          <w:rFonts w:ascii="Times New Roman" w:eastAsia="Times New Roman" w:hAnsi="Times New Roman" w:cs="Times New Roman"/>
          <w:sz w:val="26"/>
          <w:szCs w:val="26"/>
        </w:rPr>
        <w:t xml:space="preserve">hile the alleged violations pertaining to a failure to notify the Commission’s BCS and the relevant EDCs of Clearview’s intention to perform door-to-door marketing activities may be characterized as administrative errors, the remainder of the alleged misconduct is of a serious nature.  I&amp;E submits that the seriousness of the alleged violations averred in I&amp;E’s Complaint was considered in arriving at the civil penalty, refund provisions and other remedial relief set forth in the terms of the Settlement.  </w:t>
      </w:r>
      <w:bookmarkStart w:id="2" w:name="_Hlk83108553"/>
      <w:r w:rsidR="00C31525" w:rsidRPr="00BB06DE">
        <w:rPr>
          <w:rFonts w:ascii="Times New Roman" w:eastAsia="Times New Roman" w:hAnsi="Times New Roman" w:cs="Times New Roman"/>
          <w:sz w:val="26"/>
          <w:szCs w:val="26"/>
        </w:rPr>
        <w:t>I&amp;E Statement in Support at</w:t>
      </w:r>
      <w:r w:rsidR="00797C95">
        <w:rPr>
          <w:rFonts w:ascii="Times New Roman" w:eastAsia="Times New Roman" w:hAnsi="Times New Roman" w:cs="Times New Roman"/>
          <w:sz w:val="26"/>
          <w:szCs w:val="26"/>
        </w:rPr>
        <w:t> </w:t>
      </w:r>
      <w:r w:rsidR="00245764" w:rsidRPr="00BB06DE">
        <w:rPr>
          <w:rFonts w:ascii="Times New Roman" w:eastAsia="Times New Roman" w:hAnsi="Times New Roman" w:cs="Times New Roman"/>
          <w:sz w:val="26"/>
          <w:szCs w:val="26"/>
        </w:rPr>
        <w:t>10-11.</w:t>
      </w:r>
      <w:r w:rsidR="00F45C73" w:rsidRPr="00BB06DE">
        <w:rPr>
          <w:rFonts w:ascii="Times New Roman" w:eastAsia="Times New Roman" w:hAnsi="Times New Roman" w:cs="Times New Roman"/>
          <w:sz w:val="26"/>
          <w:szCs w:val="26"/>
        </w:rPr>
        <w:t xml:space="preserve">  Clearview </w:t>
      </w:r>
      <w:r w:rsidR="00B22C0B" w:rsidRPr="00BB06DE">
        <w:rPr>
          <w:rFonts w:ascii="Times New Roman" w:eastAsia="Times New Roman" w:hAnsi="Times New Roman" w:cs="Times New Roman"/>
          <w:sz w:val="26"/>
          <w:szCs w:val="26"/>
        </w:rPr>
        <w:t>acknowledges th</w:t>
      </w:r>
      <w:r w:rsidR="00636D31" w:rsidRPr="00BB06DE">
        <w:rPr>
          <w:rFonts w:ascii="Times New Roman" w:eastAsia="Times New Roman" w:hAnsi="Times New Roman" w:cs="Times New Roman"/>
          <w:sz w:val="26"/>
          <w:szCs w:val="26"/>
        </w:rPr>
        <w:t xml:space="preserve">at </w:t>
      </w:r>
      <w:r w:rsidR="006C18A8" w:rsidRPr="00BB06DE">
        <w:rPr>
          <w:rFonts w:ascii="Times New Roman" w:eastAsia="Times New Roman" w:hAnsi="Times New Roman" w:cs="Times New Roman"/>
          <w:sz w:val="26"/>
          <w:szCs w:val="26"/>
        </w:rPr>
        <w:t xml:space="preserve">the alleged violations are of a serious nature.  </w:t>
      </w:r>
      <w:r w:rsidR="004863C9" w:rsidRPr="00BB06DE">
        <w:rPr>
          <w:rFonts w:ascii="Times New Roman" w:eastAsia="Times New Roman" w:hAnsi="Times New Roman" w:cs="Times New Roman"/>
          <w:sz w:val="26"/>
          <w:szCs w:val="26"/>
        </w:rPr>
        <w:t>Clearview Statement in Support at 10-1</w:t>
      </w:r>
      <w:r w:rsidR="003F611F" w:rsidRPr="00BB06DE">
        <w:rPr>
          <w:rFonts w:ascii="Times New Roman" w:eastAsia="Times New Roman" w:hAnsi="Times New Roman" w:cs="Times New Roman"/>
          <w:sz w:val="26"/>
          <w:szCs w:val="26"/>
        </w:rPr>
        <w:t>2.</w:t>
      </w:r>
      <w:r w:rsidR="001807BF" w:rsidRPr="00BB06DE">
        <w:rPr>
          <w:rFonts w:ascii="Times New Roman" w:eastAsia="Times New Roman" w:hAnsi="Times New Roman" w:cs="Times New Roman"/>
          <w:sz w:val="26"/>
          <w:szCs w:val="26"/>
        </w:rPr>
        <w:t xml:space="preserve"> </w:t>
      </w:r>
      <w:r w:rsidR="003F611F" w:rsidRPr="00BB06DE">
        <w:rPr>
          <w:rFonts w:ascii="Times New Roman" w:eastAsia="Times New Roman" w:hAnsi="Times New Roman" w:cs="Times New Roman"/>
          <w:sz w:val="26"/>
          <w:szCs w:val="26"/>
        </w:rPr>
        <w:t xml:space="preserve"> </w:t>
      </w:r>
      <w:r w:rsidR="004902D2" w:rsidRPr="00BB06DE">
        <w:rPr>
          <w:rFonts w:ascii="Times New Roman" w:eastAsia="Times New Roman" w:hAnsi="Times New Roman" w:cs="Times New Roman"/>
          <w:sz w:val="26"/>
          <w:szCs w:val="26"/>
        </w:rPr>
        <w:t xml:space="preserve">The allegations concern </w:t>
      </w:r>
      <w:r w:rsidR="00AF520B" w:rsidRPr="00BB06DE">
        <w:rPr>
          <w:rFonts w:ascii="Times New Roman" w:eastAsia="Times New Roman" w:hAnsi="Times New Roman" w:cs="Times New Roman"/>
          <w:sz w:val="26"/>
          <w:szCs w:val="26"/>
        </w:rPr>
        <w:t xml:space="preserve">compliance with the Commission’s </w:t>
      </w:r>
      <w:r w:rsidR="005E31A8" w:rsidRPr="00BB06DE">
        <w:rPr>
          <w:rFonts w:ascii="Times New Roman" w:eastAsia="Times New Roman" w:hAnsi="Times New Roman" w:cs="Times New Roman"/>
          <w:sz w:val="26"/>
          <w:szCs w:val="26"/>
        </w:rPr>
        <w:t>R</w:t>
      </w:r>
      <w:r w:rsidR="00AF520B" w:rsidRPr="00BB06DE">
        <w:rPr>
          <w:rFonts w:ascii="Times New Roman" w:eastAsia="Times New Roman" w:hAnsi="Times New Roman" w:cs="Times New Roman"/>
          <w:sz w:val="26"/>
          <w:szCs w:val="26"/>
        </w:rPr>
        <w:t xml:space="preserve">egulations </w:t>
      </w:r>
      <w:r w:rsidR="00705029" w:rsidRPr="00BB06DE">
        <w:rPr>
          <w:rFonts w:ascii="Times New Roman" w:eastAsia="Times New Roman" w:hAnsi="Times New Roman" w:cs="Times New Roman"/>
          <w:sz w:val="26"/>
          <w:szCs w:val="26"/>
        </w:rPr>
        <w:t xml:space="preserve">regarding Clearview’s role as an EGS.  Clearview </w:t>
      </w:r>
      <w:r w:rsidR="0061067D" w:rsidRPr="00BB06DE">
        <w:rPr>
          <w:rFonts w:ascii="Times New Roman" w:eastAsia="Times New Roman" w:hAnsi="Times New Roman" w:cs="Times New Roman"/>
          <w:sz w:val="26"/>
          <w:szCs w:val="26"/>
        </w:rPr>
        <w:t xml:space="preserve">must </w:t>
      </w:r>
      <w:r w:rsidR="004B19DE" w:rsidRPr="00BB06DE">
        <w:rPr>
          <w:rFonts w:ascii="Times New Roman" w:eastAsia="Times New Roman" w:hAnsi="Times New Roman" w:cs="Times New Roman"/>
          <w:sz w:val="26"/>
          <w:szCs w:val="26"/>
        </w:rPr>
        <w:t>provide</w:t>
      </w:r>
      <w:r w:rsidR="0061067D" w:rsidRPr="00BB06DE">
        <w:rPr>
          <w:rFonts w:ascii="Times New Roman" w:eastAsia="Times New Roman" w:hAnsi="Times New Roman" w:cs="Times New Roman"/>
          <w:sz w:val="26"/>
          <w:szCs w:val="26"/>
        </w:rPr>
        <w:t xml:space="preserve"> accurate pricing and </w:t>
      </w:r>
      <w:r w:rsidR="008912B7" w:rsidRPr="00BB06DE">
        <w:rPr>
          <w:rFonts w:ascii="Times New Roman" w:eastAsia="Times New Roman" w:hAnsi="Times New Roman" w:cs="Times New Roman"/>
          <w:sz w:val="26"/>
          <w:szCs w:val="26"/>
        </w:rPr>
        <w:t>ensure that its policies and procedures</w:t>
      </w:r>
      <w:r w:rsidR="004B19DE" w:rsidRPr="00BB06DE">
        <w:rPr>
          <w:rFonts w:ascii="Times New Roman" w:eastAsia="Times New Roman" w:hAnsi="Times New Roman" w:cs="Times New Roman"/>
          <w:sz w:val="26"/>
          <w:szCs w:val="26"/>
        </w:rPr>
        <w:t xml:space="preserve"> </w:t>
      </w:r>
      <w:r w:rsidR="00287E7C" w:rsidRPr="00BB06DE">
        <w:rPr>
          <w:rFonts w:ascii="Times New Roman" w:eastAsia="Times New Roman" w:hAnsi="Times New Roman" w:cs="Times New Roman"/>
          <w:sz w:val="26"/>
          <w:szCs w:val="26"/>
        </w:rPr>
        <w:t>comply with the applicable regulations</w:t>
      </w:r>
      <w:r w:rsidR="00235DBC" w:rsidRPr="00BB06DE">
        <w:rPr>
          <w:rFonts w:ascii="Times New Roman" w:eastAsia="Times New Roman" w:hAnsi="Times New Roman" w:cs="Times New Roman"/>
          <w:sz w:val="26"/>
          <w:szCs w:val="26"/>
        </w:rPr>
        <w:t xml:space="preserve">.  </w:t>
      </w:r>
      <w:r w:rsidR="00A96E29" w:rsidRPr="00BB06DE">
        <w:rPr>
          <w:rFonts w:ascii="Times New Roman" w:eastAsia="Times New Roman" w:hAnsi="Times New Roman" w:cs="Times New Roman"/>
          <w:sz w:val="26"/>
          <w:szCs w:val="26"/>
        </w:rPr>
        <w:t>We conclude that the civil penalty should be evaluated with a consideration of the seriousness of the allegations set forth in the Complaint.  We agree with I&amp;E’s calculation and assessment of the civil penalty</w:t>
      </w:r>
      <w:r w:rsidR="00D41EC0" w:rsidRPr="00BB06DE">
        <w:rPr>
          <w:rFonts w:ascii="Times New Roman" w:eastAsia="Times New Roman" w:hAnsi="Times New Roman" w:cs="Times New Roman"/>
          <w:sz w:val="26"/>
          <w:szCs w:val="26"/>
        </w:rPr>
        <w:t xml:space="preserve"> based on this factor</w:t>
      </w:r>
      <w:r w:rsidR="00A96E29" w:rsidRPr="00BB06DE">
        <w:rPr>
          <w:rFonts w:ascii="Times New Roman" w:eastAsia="Times New Roman" w:hAnsi="Times New Roman" w:cs="Times New Roman"/>
          <w:sz w:val="26"/>
          <w:szCs w:val="26"/>
        </w:rPr>
        <w:t xml:space="preserve">.  </w:t>
      </w:r>
    </w:p>
    <w:bookmarkEnd w:id="2"/>
    <w:p w14:paraId="47CBADE8" w14:textId="77777777" w:rsidR="002B6AE6" w:rsidRPr="00BB06DE" w:rsidRDefault="002B6AE6" w:rsidP="00181D13">
      <w:pPr>
        <w:tabs>
          <w:tab w:val="num" w:pos="1440"/>
        </w:tabs>
        <w:spacing w:after="0" w:line="360" w:lineRule="auto"/>
        <w:ind w:firstLine="1440"/>
        <w:rPr>
          <w:rFonts w:ascii="Times New Roman" w:eastAsia="Times New Roman" w:hAnsi="Times New Roman" w:cs="Times New Roman"/>
          <w:sz w:val="26"/>
          <w:szCs w:val="26"/>
        </w:rPr>
      </w:pPr>
    </w:p>
    <w:p w14:paraId="73CF4CEC" w14:textId="05551EEE" w:rsidR="001B232B" w:rsidRPr="00BB06DE" w:rsidRDefault="00535E08" w:rsidP="001B232B">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second factor considered is whether the resulting consequences of Clearview’s alleged conduct were of a serious nature.  When consequences of a serious nature are involved, such as personal injury or property damage, the consequences may warrant a higher penalty.  52 Pa. Code § 69.1201(c)(2).  </w:t>
      </w:r>
      <w:r w:rsidR="001653E9" w:rsidRPr="00BB06DE">
        <w:rPr>
          <w:rFonts w:ascii="Times New Roman" w:eastAsia="Times New Roman" w:hAnsi="Times New Roman" w:cs="Times New Roman"/>
          <w:sz w:val="26"/>
          <w:szCs w:val="26"/>
        </w:rPr>
        <w:t xml:space="preserve">In this case, there are no allegations </w:t>
      </w:r>
      <w:r w:rsidR="009B4548" w:rsidRPr="00BB06DE">
        <w:rPr>
          <w:rFonts w:ascii="Times New Roman" w:eastAsia="Times New Roman" w:hAnsi="Times New Roman" w:cs="Times New Roman"/>
          <w:sz w:val="26"/>
          <w:szCs w:val="26"/>
        </w:rPr>
        <w:t xml:space="preserve">that consequences of a serious natures are involved such as </w:t>
      </w:r>
      <w:r w:rsidRPr="00BB06DE">
        <w:rPr>
          <w:rFonts w:ascii="Times New Roman" w:eastAsia="Times New Roman" w:hAnsi="Times New Roman" w:cs="Times New Roman"/>
          <w:sz w:val="26"/>
          <w:szCs w:val="26"/>
        </w:rPr>
        <w:t>personal injury or property damage</w:t>
      </w:r>
      <w:r w:rsidR="009B4548"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 xml:space="preserve"> </w:t>
      </w:r>
      <w:r w:rsidR="004F6D4E" w:rsidRPr="00BB06DE">
        <w:rPr>
          <w:rFonts w:ascii="Times New Roman" w:eastAsia="Times New Roman" w:hAnsi="Times New Roman" w:cs="Times New Roman"/>
          <w:sz w:val="26"/>
          <w:szCs w:val="26"/>
        </w:rPr>
        <w:t xml:space="preserve">I&amp;E provides that </w:t>
      </w:r>
      <w:r w:rsidRPr="00BB06DE">
        <w:rPr>
          <w:rFonts w:ascii="Times New Roman" w:eastAsia="Times New Roman" w:hAnsi="Times New Roman" w:cs="Times New Roman"/>
          <w:sz w:val="26"/>
          <w:szCs w:val="26"/>
        </w:rPr>
        <w:t xml:space="preserve">the outcome of the alleged violations resulted or may have resulted in adverse financial consequences.  For example, the customers who were switched to receive electric generation supplied by Clearview without consent could have been charged a more expensive rate than the local EDC’s price-to-compare (PTC) </w:t>
      </w:r>
      <w:r w:rsidRPr="00BB06DE">
        <w:rPr>
          <w:rFonts w:ascii="Times New Roman" w:eastAsia="Times New Roman" w:hAnsi="Times New Roman" w:cs="Times New Roman"/>
          <w:sz w:val="26"/>
          <w:szCs w:val="26"/>
        </w:rPr>
        <w:lastRenderedPageBreak/>
        <w:t xml:space="preserve">or the rate of another generation supplier.  </w:t>
      </w:r>
      <w:r w:rsidR="006E7B11" w:rsidRPr="00BB06DE">
        <w:rPr>
          <w:rFonts w:ascii="Times New Roman" w:eastAsia="Times New Roman" w:hAnsi="Times New Roman" w:cs="Times New Roman"/>
          <w:sz w:val="26"/>
          <w:szCs w:val="26"/>
        </w:rPr>
        <w:t>B</w:t>
      </w:r>
      <w:r w:rsidRPr="00BB06DE">
        <w:rPr>
          <w:rFonts w:ascii="Times New Roman" w:eastAsia="Times New Roman" w:hAnsi="Times New Roman" w:cs="Times New Roman"/>
          <w:sz w:val="26"/>
          <w:szCs w:val="26"/>
        </w:rPr>
        <w:t>etween October 2017 and February 2018, Clearview billed 137 customers in the Duquesne Light and PECO service territories a rate of one to two cents per kilowatt hour (kWh) more than the advertised rate that led them to enroll with Clearview.  Additionally, the fraudulent, deceptive</w:t>
      </w:r>
      <w:r w:rsidR="00730499">
        <w:rPr>
          <w:rFonts w:ascii="Times New Roman" w:eastAsia="Times New Roman" w:hAnsi="Times New Roman" w:cs="Times New Roman"/>
          <w:sz w:val="26"/>
          <w:szCs w:val="26"/>
        </w:rPr>
        <w:t>,</w:t>
      </w:r>
      <w:r w:rsidRPr="00BB06DE">
        <w:rPr>
          <w:rFonts w:ascii="Times New Roman" w:eastAsia="Times New Roman" w:hAnsi="Times New Roman" w:cs="Times New Roman"/>
          <w:sz w:val="26"/>
          <w:szCs w:val="26"/>
        </w:rPr>
        <w:t xml:space="preserve"> and unlawful marketing conduct of the two Clearview sales agents allegedly resulted in a wallet containing cash that was removed from a prospective customer’s residence.  </w:t>
      </w:r>
      <w:r w:rsidRPr="00BB06DE">
        <w:rPr>
          <w:rFonts w:ascii="Times New Roman" w:eastAsia="Times New Roman" w:hAnsi="Times New Roman" w:cs="Times New Roman"/>
          <w:color w:val="000000"/>
          <w:sz w:val="26"/>
          <w:szCs w:val="26"/>
        </w:rPr>
        <w:t xml:space="preserve">I&amp;E avers that some customers experienced or may have experienced adverse financial consequences </w:t>
      </w:r>
      <w:proofErr w:type="gramStart"/>
      <w:r w:rsidRPr="00BB06DE">
        <w:rPr>
          <w:rFonts w:ascii="Times New Roman" w:eastAsia="Times New Roman" w:hAnsi="Times New Roman" w:cs="Times New Roman"/>
          <w:color w:val="000000"/>
          <w:sz w:val="26"/>
          <w:szCs w:val="26"/>
        </w:rPr>
        <w:t>as a result of</w:t>
      </w:r>
      <w:proofErr w:type="gramEnd"/>
      <w:r w:rsidRPr="00BB06DE">
        <w:rPr>
          <w:rFonts w:ascii="Times New Roman" w:eastAsia="Times New Roman" w:hAnsi="Times New Roman" w:cs="Times New Roman"/>
          <w:color w:val="000000"/>
          <w:sz w:val="26"/>
          <w:szCs w:val="26"/>
        </w:rPr>
        <w:t xml:space="preserve"> the actions of Clearview and such consequences should be deemed serious.</w:t>
      </w:r>
      <w:r w:rsidR="00245764" w:rsidRPr="00BB06DE">
        <w:rPr>
          <w:rFonts w:ascii="Times New Roman" w:eastAsia="Times New Roman" w:hAnsi="Times New Roman" w:cs="Times New Roman"/>
          <w:color w:val="000000"/>
          <w:sz w:val="26"/>
          <w:szCs w:val="26"/>
        </w:rPr>
        <w:t xml:space="preserve">  </w:t>
      </w:r>
      <w:r w:rsidR="001B232B" w:rsidRPr="00BB06DE">
        <w:rPr>
          <w:rFonts w:ascii="Times New Roman" w:eastAsia="Times New Roman" w:hAnsi="Times New Roman" w:cs="Times New Roman"/>
          <w:sz w:val="26"/>
          <w:szCs w:val="26"/>
        </w:rPr>
        <w:t>I&amp;E Statement in Support at 11.</w:t>
      </w:r>
      <w:r w:rsidR="003C7D72" w:rsidRPr="00BB06DE">
        <w:rPr>
          <w:rFonts w:ascii="Times New Roman" w:eastAsia="Times New Roman" w:hAnsi="Times New Roman" w:cs="Times New Roman"/>
          <w:sz w:val="26"/>
          <w:szCs w:val="26"/>
        </w:rPr>
        <w:t xml:space="preserve">  </w:t>
      </w:r>
      <w:r w:rsidR="00734D1E" w:rsidRPr="00BB06DE">
        <w:rPr>
          <w:rFonts w:ascii="Times New Roman" w:eastAsia="Times New Roman" w:hAnsi="Times New Roman" w:cs="Times New Roman"/>
          <w:sz w:val="26"/>
          <w:szCs w:val="26"/>
        </w:rPr>
        <w:t xml:space="preserve">Clearview </w:t>
      </w:r>
      <w:r w:rsidR="0077521A" w:rsidRPr="00BB06DE">
        <w:rPr>
          <w:rFonts w:ascii="Times New Roman" w:eastAsia="Times New Roman" w:hAnsi="Times New Roman" w:cs="Times New Roman"/>
          <w:sz w:val="26"/>
          <w:szCs w:val="26"/>
        </w:rPr>
        <w:t xml:space="preserve">avers that the </w:t>
      </w:r>
      <w:r w:rsidR="00A66ADB" w:rsidRPr="00BB06DE">
        <w:rPr>
          <w:rFonts w:ascii="Times New Roman" w:eastAsia="Times New Roman" w:hAnsi="Times New Roman" w:cs="Times New Roman"/>
          <w:sz w:val="26"/>
          <w:szCs w:val="26"/>
        </w:rPr>
        <w:t xml:space="preserve">financial effects on consumers were minimal and quickly remedied by Clearview.  </w:t>
      </w:r>
      <w:r w:rsidR="006620F5" w:rsidRPr="00BB06DE">
        <w:rPr>
          <w:rFonts w:ascii="Times New Roman" w:eastAsia="Times New Roman" w:hAnsi="Times New Roman" w:cs="Times New Roman"/>
          <w:sz w:val="26"/>
          <w:szCs w:val="26"/>
        </w:rPr>
        <w:t xml:space="preserve">Clearview Statement in Support at 12.  </w:t>
      </w:r>
      <w:r w:rsidR="006B4F90" w:rsidRPr="00BB06DE">
        <w:rPr>
          <w:rFonts w:ascii="Times New Roman" w:eastAsia="Times New Roman" w:hAnsi="Times New Roman" w:cs="Times New Roman"/>
          <w:sz w:val="26"/>
          <w:szCs w:val="26"/>
        </w:rPr>
        <w:t xml:space="preserve">We note that </w:t>
      </w:r>
      <w:r w:rsidR="001B5154" w:rsidRPr="00BB06DE">
        <w:rPr>
          <w:rFonts w:ascii="Times New Roman" w:eastAsia="Times New Roman" w:hAnsi="Times New Roman" w:cs="Times New Roman"/>
          <w:sz w:val="26"/>
          <w:szCs w:val="26"/>
        </w:rPr>
        <w:t xml:space="preserve">Clearview lessened the potential negative impact on its customers by </w:t>
      </w:r>
      <w:r w:rsidR="00B40806" w:rsidRPr="00BB06DE">
        <w:rPr>
          <w:rFonts w:ascii="Times New Roman" w:eastAsia="Times New Roman" w:hAnsi="Times New Roman" w:cs="Times New Roman"/>
          <w:sz w:val="26"/>
          <w:szCs w:val="26"/>
        </w:rPr>
        <w:t>making refunds to the affected customers</w:t>
      </w:r>
      <w:r w:rsidR="00820FB0" w:rsidRPr="00BB06DE">
        <w:rPr>
          <w:rFonts w:ascii="Times New Roman" w:eastAsia="Times New Roman" w:hAnsi="Times New Roman" w:cs="Times New Roman"/>
          <w:sz w:val="26"/>
          <w:szCs w:val="26"/>
        </w:rPr>
        <w:t xml:space="preserve"> as described </w:t>
      </w:r>
      <w:r w:rsidR="00820FB0" w:rsidRPr="00BB06DE">
        <w:rPr>
          <w:rFonts w:ascii="Times New Roman" w:eastAsia="Times New Roman" w:hAnsi="Times New Roman" w:cs="Times New Roman"/>
          <w:i/>
          <w:iCs/>
          <w:sz w:val="26"/>
          <w:szCs w:val="26"/>
        </w:rPr>
        <w:t>infra.</w:t>
      </w:r>
      <w:r w:rsidR="00820FB0" w:rsidRPr="00BB06DE">
        <w:rPr>
          <w:rFonts w:ascii="Times New Roman" w:eastAsia="Times New Roman" w:hAnsi="Times New Roman" w:cs="Times New Roman"/>
          <w:sz w:val="26"/>
          <w:szCs w:val="26"/>
        </w:rPr>
        <w:t xml:space="preserve">  </w:t>
      </w:r>
      <w:r w:rsidR="00F511AD" w:rsidRPr="00BB06DE">
        <w:rPr>
          <w:rFonts w:ascii="Times New Roman" w:eastAsia="Times New Roman" w:hAnsi="Times New Roman" w:cs="Times New Roman"/>
          <w:sz w:val="26"/>
          <w:szCs w:val="26"/>
        </w:rPr>
        <w:t xml:space="preserve">Therefore, this mitigating factor supports the negotiated civil penalty.  </w:t>
      </w:r>
    </w:p>
    <w:p w14:paraId="2AD57D33" w14:textId="77777777" w:rsidR="004F6D4E" w:rsidRPr="00BB06DE" w:rsidRDefault="004F6D4E" w:rsidP="00181D13">
      <w:pPr>
        <w:tabs>
          <w:tab w:val="num" w:pos="1440"/>
        </w:tabs>
        <w:spacing w:after="0" w:line="360" w:lineRule="auto"/>
        <w:ind w:firstLine="1440"/>
        <w:rPr>
          <w:rFonts w:ascii="Times New Roman" w:eastAsia="Times New Roman" w:hAnsi="Times New Roman" w:cs="Times New Roman"/>
          <w:color w:val="000000"/>
          <w:sz w:val="26"/>
          <w:szCs w:val="26"/>
        </w:rPr>
      </w:pPr>
    </w:p>
    <w:p w14:paraId="38DF5A81" w14:textId="40FB568D" w:rsidR="001B232B" w:rsidRPr="00BB06DE" w:rsidRDefault="00535E08" w:rsidP="001B232B">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third factor to be considered under the Policy Statement is whether the alleged conduct was intentional or negligent.  52 Pa. Code § 69.1201(c)(3).  “This factor may only be considered in evaluating litigated cases.”  </w:t>
      </w:r>
      <w:r w:rsidRPr="00BB06DE">
        <w:rPr>
          <w:rFonts w:ascii="Times New Roman" w:eastAsia="Times New Roman" w:hAnsi="Times New Roman" w:cs="Times New Roman"/>
          <w:i/>
          <w:sz w:val="26"/>
          <w:szCs w:val="26"/>
        </w:rPr>
        <w:t>Id.</w:t>
      </w:r>
      <w:r w:rsidRPr="00BB06DE">
        <w:rPr>
          <w:rFonts w:ascii="Times New Roman" w:eastAsia="Times New Roman" w:hAnsi="Times New Roman" w:cs="Times New Roman"/>
          <w:sz w:val="26"/>
          <w:szCs w:val="26"/>
        </w:rPr>
        <w:t xml:space="preserve">  Whether Clearview’s alleged conduct was intentional or negligent does not apply since this matter is being resolved by settlement of the Parties.</w:t>
      </w:r>
      <w:r w:rsidR="001B232B" w:rsidRPr="00BB06DE">
        <w:rPr>
          <w:rFonts w:ascii="Times New Roman" w:eastAsia="Times New Roman" w:hAnsi="Times New Roman" w:cs="Times New Roman"/>
          <w:sz w:val="26"/>
          <w:szCs w:val="26"/>
        </w:rPr>
        <w:t xml:space="preserve"> </w:t>
      </w:r>
      <w:r w:rsidR="007B7C2E" w:rsidRPr="00BB06DE">
        <w:rPr>
          <w:rFonts w:ascii="Times New Roman" w:eastAsia="Times New Roman" w:hAnsi="Times New Roman" w:cs="Times New Roman"/>
          <w:sz w:val="26"/>
          <w:szCs w:val="26"/>
        </w:rPr>
        <w:t xml:space="preserve"> </w:t>
      </w:r>
      <w:r w:rsidR="001B232B" w:rsidRPr="00BB06DE">
        <w:rPr>
          <w:rFonts w:ascii="Times New Roman" w:eastAsia="Times New Roman" w:hAnsi="Times New Roman" w:cs="Times New Roman"/>
          <w:sz w:val="26"/>
          <w:szCs w:val="26"/>
        </w:rPr>
        <w:t>I&amp;E Statement in Support at 12.</w:t>
      </w:r>
    </w:p>
    <w:p w14:paraId="50A1E21F" w14:textId="77777777" w:rsidR="002878BA" w:rsidRPr="00BB06DE" w:rsidRDefault="002878BA" w:rsidP="00181D13">
      <w:pPr>
        <w:tabs>
          <w:tab w:val="num" w:pos="1440"/>
        </w:tabs>
        <w:spacing w:after="0" w:line="360" w:lineRule="auto"/>
        <w:ind w:firstLine="1440"/>
        <w:rPr>
          <w:rFonts w:ascii="Times New Roman" w:eastAsia="Times New Roman" w:hAnsi="Times New Roman" w:cs="Times New Roman"/>
          <w:sz w:val="26"/>
          <w:szCs w:val="26"/>
        </w:rPr>
      </w:pPr>
    </w:p>
    <w:p w14:paraId="05344055" w14:textId="0D8EE73B" w:rsidR="007B7C2E" w:rsidRDefault="00535E08" w:rsidP="007B7C2E">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The fourth factor to be considered is whether the Company has made efforts to change its practices and procedures to prevent similar conduct in the future.  52</w:t>
      </w:r>
      <w:r w:rsidR="00797C95">
        <w:rPr>
          <w:rFonts w:ascii="Times New Roman" w:eastAsia="Calibri" w:hAnsi="Times New Roman" w:cs="Times New Roman"/>
          <w:sz w:val="26"/>
          <w:szCs w:val="26"/>
        </w:rPr>
        <w:t> </w:t>
      </w:r>
      <w:r w:rsidRPr="00BB06DE">
        <w:rPr>
          <w:rFonts w:ascii="Times New Roman" w:eastAsia="Calibri" w:hAnsi="Times New Roman" w:cs="Times New Roman"/>
          <w:sz w:val="26"/>
          <w:szCs w:val="26"/>
        </w:rPr>
        <w:t>Pa. Code § 69.1201(c)(4).  Prior to the filing of the instant Settlement agreement, Clearview fully refunded customers who were overbilled the difference between the rate that was advertised on choosenergy.com and the billed rate.  Clearview also refunded the ten customer accounts that were switched without authorization the entire electric generation supply portion on the customers’ bills for the first two (2) billing periods that the customers were switched to Clearview, pursuant to 52 Pa. Code § 57.177(b).  Proof of the issuance of the above-described refunds has been provided to I&amp;E.</w:t>
      </w:r>
      <w:r w:rsidR="007B7C2E" w:rsidRPr="00BB06DE">
        <w:rPr>
          <w:rFonts w:ascii="Times New Roman" w:eastAsia="Calibri" w:hAnsi="Times New Roman" w:cs="Times New Roman"/>
          <w:sz w:val="26"/>
          <w:szCs w:val="26"/>
        </w:rPr>
        <w:t xml:space="preserve">  </w:t>
      </w:r>
      <w:r w:rsidR="007B7C2E" w:rsidRPr="00BB06DE">
        <w:rPr>
          <w:rFonts w:ascii="Times New Roman" w:eastAsia="Times New Roman" w:hAnsi="Times New Roman" w:cs="Times New Roman"/>
          <w:sz w:val="26"/>
          <w:szCs w:val="26"/>
        </w:rPr>
        <w:t xml:space="preserve">I&amp;E Statement in </w:t>
      </w:r>
      <w:r w:rsidR="007B7C2E" w:rsidRPr="00BB06DE">
        <w:rPr>
          <w:rFonts w:ascii="Times New Roman" w:eastAsia="Times New Roman" w:hAnsi="Times New Roman" w:cs="Times New Roman"/>
          <w:sz w:val="26"/>
          <w:szCs w:val="26"/>
        </w:rPr>
        <w:lastRenderedPageBreak/>
        <w:t>Support at 12.</w:t>
      </w:r>
      <w:r w:rsidR="00B46FF5" w:rsidRPr="00BB06DE">
        <w:rPr>
          <w:rFonts w:ascii="Times New Roman" w:eastAsia="Times New Roman" w:hAnsi="Times New Roman" w:cs="Times New Roman"/>
          <w:sz w:val="26"/>
          <w:szCs w:val="26"/>
        </w:rPr>
        <w:t xml:space="preserve">  Clearview also agreed to refund any early termination or cancellation fees that those customers incurred </w:t>
      </w:r>
      <w:proofErr w:type="gramStart"/>
      <w:r w:rsidR="00B46FF5" w:rsidRPr="00BB06DE">
        <w:rPr>
          <w:rFonts w:ascii="Times New Roman" w:eastAsia="Times New Roman" w:hAnsi="Times New Roman" w:cs="Times New Roman"/>
          <w:sz w:val="26"/>
          <w:szCs w:val="26"/>
        </w:rPr>
        <w:t>as a result of</w:t>
      </w:r>
      <w:proofErr w:type="gramEnd"/>
      <w:r w:rsidR="00B46FF5" w:rsidRPr="00BB06DE">
        <w:rPr>
          <w:rFonts w:ascii="Times New Roman" w:eastAsia="Times New Roman" w:hAnsi="Times New Roman" w:cs="Times New Roman"/>
          <w:sz w:val="26"/>
          <w:szCs w:val="26"/>
        </w:rPr>
        <w:t xml:space="preserve"> the switch, provided that the customer </w:t>
      </w:r>
      <w:r w:rsidR="006109A1" w:rsidRPr="00BB06DE">
        <w:rPr>
          <w:rFonts w:ascii="Times New Roman" w:eastAsia="Times New Roman" w:hAnsi="Times New Roman" w:cs="Times New Roman"/>
          <w:sz w:val="26"/>
          <w:szCs w:val="26"/>
        </w:rPr>
        <w:t xml:space="preserve">furnishes documentation.  Clearview Statement in Support at 13.  </w:t>
      </w:r>
    </w:p>
    <w:p w14:paraId="3E497A41" w14:textId="77777777" w:rsidR="00582964" w:rsidRPr="00BB06DE" w:rsidRDefault="00582964" w:rsidP="007B7C2E">
      <w:pPr>
        <w:tabs>
          <w:tab w:val="num" w:pos="1440"/>
        </w:tabs>
        <w:spacing w:after="0" w:line="360" w:lineRule="auto"/>
        <w:ind w:firstLine="1440"/>
        <w:rPr>
          <w:rFonts w:ascii="Times New Roman" w:eastAsia="Times New Roman" w:hAnsi="Times New Roman" w:cs="Times New Roman"/>
          <w:sz w:val="26"/>
          <w:szCs w:val="26"/>
        </w:rPr>
      </w:pPr>
    </w:p>
    <w:p w14:paraId="313C9CB0" w14:textId="01D3010C" w:rsidR="007B7C2E" w:rsidRPr="00BB06DE" w:rsidRDefault="00EC2F40" w:rsidP="007B7C2E">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 xml:space="preserve">I&amp;E provides that </w:t>
      </w:r>
      <w:r w:rsidR="00535E08" w:rsidRPr="00BB06DE">
        <w:rPr>
          <w:rFonts w:ascii="Times New Roman" w:eastAsia="Calibri" w:hAnsi="Times New Roman" w:cs="Times New Roman"/>
          <w:sz w:val="26"/>
          <w:szCs w:val="26"/>
        </w:rPr>
        <w:t xml:space="preserve">Clearview’s agreement to issue refunds as part of the settlement process represents a significant public benefit that might not otherwise be realized.  Had this matter been fully litigated, the Commission’s ability to order Clearview to issue refunds to customers who were switched without consent or overbilled is questionable.  </w:t>
      </w:r>
      <w:r w:rsidR="00535E08" w:rsidRPr="00BB06DE">
        <w:rPr>
          <w:rFonts w:ascii="Times New Roman" w:eastAsia="Calibri" w:hAnsi="Times New Roman" w:cs="Times New Roman"/>
          <w:i/>
          <w:iCs/>
          <w:sz w:val="26"/>
          <w:szCs w:val="26"/>
        </w:rPr>
        <w:t xml:space="preserve">See Blue Pilot Energy, LLC v. Pa. </w:t>
      </w:r>
      <w:r w:rsidR="00797C95">
        <w:rPr>
          <w:rFonts w:ascii="Times New Roman" w:eastAsia="Calibri" w:hAnsi="Times New Roman" w:cs="Times New Roman"/>
          <w:i/>
          <w:iCs/>
          <w:sz w:val="26"/>
          <w:szCs w:val="26"/>
        </w:rPr>
        <w:t>PUC</w:t>
      </w:r>
      <w:r w:rsidR="00535E08" w:rsidRPr="00BB06DE">
        <w:rPr>
          <w:rFonts w:ascii="Times New Roman" w:eastAsia="Calibri" w:hAnsi="Times New Roman" w:cs="Times New Roman"/>
          <w:sz w:val="26"/>
          <w:szCs w:val="26"/>
        </w:rPr>
        <w:t xml:space="preserve">, </w:t>
      </w:r>
      <w:r w:rsidR="00535E08" w:rsidRPr="00BB06DE">
        <w:rPr>
          <w:rFonts w:ascii="Times New Roman" w:eastAsia="Calibri" w:hAnsi="Times New Roman" w:cs="Times New Roman"/>
          <w:color w:val="212121"/>
          <w:sz w:val="26"/>
          <w:szCs w:val="26"/>
        </w:rPr>
        <w:t>241 A.3d 1254 (Pa.</w:t>
      </w:r>
      <w:r w:rsidR="00797C95">
        <w:rPr>
          <w:rFonts w:ascii="Times New Roman" w:eastAsia="Calibri" w:hAnsi="Times New Roman" w:cs="Times New Roman"/>
          <w:color w:val="212121"/>
          <w:sz w:val="26"/>
          <w:szCs w:val="26"/>
        </w:rPr>
        <w:t> </w:t>
      </w:r>
      <w:r w:rsidR="00535E08" w:rsidRPr="00BB06DE">
        <w:rPr>
          <w:rFonts w:ascii="Times New Roman" w:eastAsia="Calibri" w:hAnsi="Times New Roman" w:cs="Times New Roman"/>
          <w:color w:val="212121"/>
          <w:sz w:val="26"/>
          <w:szCs w:val="26"/>
        </w:rPr>
        <w:t>Cmwlth.</w:t>
      </w:r>
      <w:r w:rsidR="00797C95">
        <w:rPr>
          <w:rFonts w:ascii="Times New Roman" w:eastAsia="Calibri" w:hAnsi="Times New Roman" w:cs="Times New Roman"/>
          <w:color w:val="212121"/>
          <w:sz w:val="26"/>
          <w:szCs w:val="26"/>
        </w:rPr>
        <w:t> </w:t>
      </w:r>
      <w:r w:rsidR="00535E08" w:rsidRPr="00BB06DE">
        <w:rPr>
          <w:rFonts w:ascii="Times New Roman" w:eastAsia="Calibri" w:hAnsi="Times New Roman" w:cs="Times New Roman"/>
          <w:color w:val="212121"/>
          <w:sz w:val="26"/>
          <w:szCs w:val="26"/>
        </w:rPr>
        <w:t xml:space="preserve">2020) (holding, </w:t>
      </w:r>
      <w:r w:rsidR="00535E08" w:rsidRPr="00BB06DE">
        <w:rPr>
          <w:rFonts w:ascii="Times New Roman" w:eastAsia="Calibri" w:hAnsi="Times New Roman" w:cs="Times New Roman"/>
          <w:i/>
          <w:iCs/>
          <w:color w:val="212121"/>
          <w:sz w:val="26"/>
          <w:szCs w:val="26"/>
        </w:rPr>
        <w:t>inter alia</w:t>
      </w:r>
      <w:r w:rsidR="00535E08" w:rsidRPr="00BB06DE">
        <w:rPr>
          <w:rFonts w:ascii="Times New Roman" w:eastAsia="Calibri" w:hAnsi="Times New Roman" w:cs="Times New Roman"/>
          <w:color w:val="212121"/>
          <w:sz w:val="26"/>
          <w:szCs w:val="26"/>
        </w:rPr>
        <w:t xml:space="preserve">, that the Commission lacks the requisite express authority or necessary implied authority to order an EGS to issue refunds to its customers).  </w:t>
      </w:r>
      <w:r w:rsidR="00815160" w:rsidRPr="00BB06DE">
        <w:rPr>
          <w:rFonts w:ascii="Times New Roman" w:eastAsia="Calibri" w:hAnsi="Times New Roman" w:cs="Times New Roman"/>
          <w:color w:val="212121"/>
          <w:sz w:val="26"/>
          <w:szCs w:val="26"/>
        </w:rPr>
        <w:t>According to I&amp;E</w:t>
      </w:r>
      <w:r w:rsidR="00535E08" w:rsidRPr="00BB06DE">
        <w:rPr>
          <w:rFonts w:ascii="Times New Roman" w:eastAsia="Calibri" w:hAnsi="Times New Roman" w:cs="Times New Roman"/>
          <w:color w:val="212121"/>
          <w:sz w:val="26"/>
          <w:szCs w:val="26"/>
        </w:rPr>
        <w:t>, Clearview’s provision of refunds to customers weighs heavily in favor of approving the Settlement Agreement as being in the public interest.</w:t>
      </w:r>
      <w:r w:rsidR="007B7C2E" w:rsidRPr="00BB06DE">
        <w:rPr>
          <w:rFonts w:ascii="Times New Roman" w:eastAsia="Calibri" w:hAnsi="Times New Roman" w:cs="Times New Roman"/>
          <w:color w:val="212121"/>
          <w:sz w:val="26"/>
          <w:szCs w:val="26"/>
        </w:rPr>
        <w:t xml:space="preserve">  </w:t>
      </w:r>
      <w:r w:rsidR="007B7C2E" w:rsidRPr="00BB06DE">
        <w:rPr>
          <w:rFonts w:ascii="Times New Roman" w:eastAsia="Times New Roman" w:hAnsi="Times New Roman" w:cs="Times New Roman"/>
          <w:sz w:val="26"/>
          <w:szCs w:val="26"/>
        </w:rPr>
        <w:t>I&amp;E Statement in Support at 1</w:t>
      </w:r>
      <w:r w:rsidR="00F7462C" w:rsidRPr="00BB06DE">
        <w:rPr>
          <w:rFonts w:ascii="Times New Roman" w:eastAsia="Times New Roman" w:hAnsi="Times New Roman" w:cs="Times New Roman"/>
          <w:sz w:val="26"/>
          <w:szCs w:val="26"/>
        </w:rPr>
        <w:t>2</w:t>
      </w:r>
      <w:r w:rsidR="007B7C2E" w:rsidRPr="00BB06DE">
        <w:rPr>
          <w:rFonts w:ascii="Times New Roman" w:eastAsia="Times New Roman" w:hAnsi="Times New Roman" w:cs="Times New Roman"/>
          <w:sz w:val="26"/>
          <w:szCs w:val="26"/>
        </w:rPr>
        <w:t>.</w:t>
      </w:r>
    </w:p>
    <w:p w14:paraId="52BD28D7" w14:textId="7D53E5B3" w:rsidR="00535E08" w:rsidRPr="00BB06DE" w:rsidRDefault="00535E08" w:rsidP="00181D13">
      <w:pPr>
        <w:spacing w:after="0" w:line="360" w:lineRule="auto"/>
        <w:ind w:firstLine="1440"/>
        <w:rPr>
          <w:rFonts w:ascii="Times New Roman" w:eastAsia="Calibri" w:hAnsi="Times New Roman" w:cs="Times New Roman"/>
          <w:color w:val="212121"/>
          <w:sz w:val="26"/>
          <w:szCs w:val="26"/>
        </w:rPr>
      </w:pPr>
    </w:p>
    <w:p w14:paraId="2C2B41FE" w14:textId="420C62FC" w:rsidR="00F7462C" w:rsidRPr="00BB06DE" w:rsidRDefault="00473D7B" w:rsidP="00F7462C">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I&amp;E notes that</w:t>
      </w:r>
      <w:r w:rsidR="00535E08" w:rsidRPr="00BB06DE">
        <w:rPr>
          <w:rFonts w:ascii="Times New Roman" w:eastAsia="Calibri" w:hAnsi="Times New Roman" w:cs="Times New Roman"/>
          <w:sz w:val="26"/>
          <w:szCs w:val="26"/>
        </w:rPr>
        <w:t xml:space="preserve"> Clearview entered into a comprehensive agreement with a third party in 2019 to manage its billing system and perform billing related functions.  Clearview is paying a substantial cost to receive these services, which should aid in preventing future billing errors that are technical in nature.</w:t>
      </w:r>
      <w:r w:rsidR="00F7462C" w:rsidRPr="00BB06DE">
        <w:rPr>
          <w:rFonts w:ascii="Times New Roman" w:eastAsia="Calibri" w:hAnsi="Times New Roman" w:cs="Times New Roman"/>
          <w:sz w:val="26"/>
          <w:szCs w:val="26"/>
        </w:rPr>
        <w:t xml:space="preserve">  </w:t>
      </w:r>
      <w:r w:rsidR="00F7462C" w:rsidRPr="00BB06DE">
        <w:rPr>
          <w:rFonts w:ascii="Times New Roman" w:eastAsia="Times New Roman" w:hAnsi="Times New Roman" w:cs="Times New Roman"/>
          <w:sz w:val="26"/>
          <w:szCs w:val="26"/>
        </w:rPr>
        <w:t>I&amp;E Statement in Support at</w:t>
      </w:r>
      <w:r w:rsidR="004104DD">
        <w:rPr>
          <w:rFonts w:ascii="Times New Roman" w:eastAsia="Times New Roman" w:hAnsi="Times New Roman" w:cs="Times New Roman"/>
          <w:sz w:val="26"/>
          <w:szCs w:val="26"/>
        </w:rPr>
        <w:t> </w:t>
      </w:r>
      <w:r w:rsidR="00F7462C" w:rsidRPr="00BB06DE">
        <w:rPr>
          <w:rFonts w:ascii="Times New Roman" w:eastAsia="Times New Roman" w:hAnsi="Times New Roman" w:cs="Times New Roman"/>
          <w:sz w:val="26"/>
          <w:szCs w:val="26"/>
        </w:rPr>
        <w:t>13.</w:t>
      </w:r>
    </w:p>
    <w:p w14:paraId="3DD4AC14" w14:textId="128F7DF9" w:rsidR="00535E08" w:rsidRPr="00BB06DE" w:rsidRDefault="00535E08" w:rsidP="00181D13">
      <w:pPr>
        <w:spacing w:after="0" w:line="360" w:lineRule="auto"/>
        <w:ind w:firstLine="1440"/>
        <w:rPr>
          <w:rFonts w:ascii="Times New Roman" w:eastAsia="Calibri" w:hAnsi="Times New Roman" w:cs="Times New Roman"/>
          <w:sz w:val="26"/>
          <w:szCs w:val="26"/>
        </w:rPr>
      </w:pPr>
    </w:p>
    <w:p w14:paraId="176B0288" w14:textId="6DFE165B" w:rsidR="00F7462C" w:rsidRPr="00BB06DE" w:rsidRDefault="00535E08" w:rsidP="00F7462C">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 xml:space="preserve">Additionally, Clearview has revised its policies and procedures to ensure that criminal background checks include a review of the Pennsylvania State Police database.  Clearview also emphasized to its sales team the requirement to notify BCS and the local distribution companies about its door-to-door sales and marketing activities no later than the morning of the date that such activities are anticipated to begin, pursuant to </w:t>
      </w:r>
      <w:r w:rsidRPr="00BB06DE">
        <w:rPr>
          <w:rFonts w:ascii="Times New Roman" w:eastAsia="Calibri" w:hAnsi="Times New Roman" w:cs="Times New Roman"/>
          <w:color w:val="000000"/>
          <w:sz w:val="26"/>
          <w:szCs w:val="26"/>
        </w:rPr>
        <w:t>52 Pa. Code § 111.14.  Clearview’s revised policies, procedures</w:t>
      </w:r>
      <w:r w:rsidR="00A2221A">
        <w:rPr>
          <w:rFonts w:ascii="Times New Roman" w:eastAsia="Calibri" w:hAnsi="Times New Roman" w:cs="Times New Roman"/>
          <w:color w:val="000000"/>
          <w:sz w:val="26"/>
          <w:szCs w:val="26"/>
        </w:rPr>
        <w:t>,</w:t>
      </w:r>
      <w:r w:rsidRPr="00BB06DE">
        <w:rPr>
          <w:rFonts w:ascii="Times New Roman" w:eastAsia="Calibri" w:hAnsi="Times New Roman" w:cs="Times New Roman"/>
          <w:color w:val="000000"/>
          <w:sz w:val="26"/>
          <w:szCs w:val="26"/>
        </w:rPr>
        <w:t xml:space="preserve"> and internal communications to its sales teams have been provided to I&amp;E.</w:t>
      </w:r>
      <w:r w:rsidR="00F7462C" w:rsidRPr="00BB06DE">
        <w:rPr>
          <w:rFonts w:ascii="Times New Roman" w:eastAsia="Calibri" w:hAnsi="Times New Roman" w:cs="Times New Roman"/>
          <w:color w:val="000000"/>
          <w:sz w:val="26"/>
          <w:szCs w:val="26"/>
        </w:rPr>
        <w:t xml:space="preserve">  </w:t>
      </w:r>
      <w:r w:rsidR="00F7462C" w:rsidRPr="00BB06DE">
        <w:rPr>
          <w:rFonts w:ascii="Times New Roman" w:eastAsia="Times New Roman" w:hAnsi="Times New Roman" w:cs="Times New Roman"/>
          <w:sz w:val="26"/>
          <w:szCs w:val="26"/>
        </w:rPr>
        <w:t>I&amp;E Statement in Support at 13.</w:t>
      </w:r>
    </w:p>
    <w:p w14:paraId="0FA4E024" w14:textId="57A11CE6" w:rsidR="00F7462C" w:rsidRPr="00BB06DE" w:rsidRDefault="00535E08" w:rsidP="00F7462C">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color w:val="000000"/>
          <w:sz w:val="26"/>
          <w:szCs w:val="26"/>
        </w:rPr>
        <w:lastRenderedPageBreak/>
        <w:t>Finally, Clearview promptly addressed the wallet theft incident by</w:t>
      </w:r>
      <w:r w:rsidRPr="00BB06DE">
        <w:rPr>
          <w:rFonts w:ascii="Times New Roman" w:eastAsia="Calibri" w:hAnsi="Times New Roman" w:cs="Times New Roman"/>
          <w:sz w:val="26"/>
          <w:szCs w:val="26"/>
        </w:rPr>
        <w:t xml:space="preserve"> permanently removing the two sales agents who were involved from Clearview’s marketing campaign.  Clearview also cooperated with Pennsylvania State Police and OCMO concerning the incident.  </w:t>
      </w:r>
      <w:r w:rsidR="00F7462C" w:rsidRPr="00BB06DE">
        <w:rPr>
          <w:rFonts w:ascii="Times New Roman" w:eastAsia="Times New Roman" w:hAnsi="Times New Roman" w:cs="Times New Roman"/>
          <w:sz w:val="26"/>
          <w:szCs w:val="26"/>
        </w:rPr>
        <w:t>I&amp;E Statement in Support at 13.</w:t>
      </w:r>
    </w:p>
    <w:p w14:paraId="40BBFD60" w14:textId="77777777" w:rsidR="00615AEF" w:rsidRPr="00BB06DE" w:rsidRDefault="00615AEF" w:rsidP="00181D13">
      <w:pPr>
        <w:spacing w:after="0" w:line="360" w:lineRule="auto"/>
        <w:ind w:firstLine="1440"/>
        <w:rPr>
          <w:rFonts w:ascii="Times New Roman" w:eastAsia="Calibri" w:hAnsi="Times New Roman" w:cs="Times New Roman"/>
          <w:color w:val="000000"/>
          <w:sz w:val="26"/>
          <w:szCs w:val="26"/>
        </w:rPr>
      </w:pPr>
    </w:p>
    <w:p w14:paraId="48F4FE78" w14:textId="69A9B017" w:rsidR="00EC2F40" w:rsidRPr="00BB06DE" w:rsidRDefault="00535E08" w:rsidP="00EC2F40">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rPr>
        <w:t>Each of these modifications to Clearview’s internal policies and procedures, as well as post incident remedial actions taken by Clearview address</w:t>
      </w:r>
      <w:r w:rsidR="00CC372C">
        <w:rPr>
          <w:rFonts w:ascii="Times New Roman" w:eastAsia="Calibri" w:hAnsi="Times New Roman" w:cs="Times New Roman"/>
          <w:sz w:val="26"/>
          <w:szCs w:val="26"/>
        </w:rPr>
        <w:t>ing</w:t>
      </w:r>
      <w:r w:rsidRPr="00BB06DE">
        <w:rPr>
          <w:rFonts w:ascii="Times New Roman" w:eastAsia="Calibri" w:hAnsi="Times New Roman" w:cs="Times New Roman"/>
          <w:sz w:val="26"/>
          <w:szCs w:val="26"/>
        </w:rPr>
        <w:t xml:space="preserve"> the alleged conduct at issue, are designed to prevent similar incidents from occurring again and demonstrate a commitment to comply with the Commission’s </w:t>
      </w:r>
      <w:r w:rsidR="007E16D3" w:rsidRPr="00BB06DE">
        <w:rPr>
          <w:rFonts w:ascii="Times New Roman" w:eastAsia="Calibri" w:hAnsi="Times New Roman" w:cs="Times New Roman"/>
          <w:sz w:val="26"/>
          <w:szCs w:val="26"/>
        </w:rPr>
        <w:t>R</w:t>
      </w:r>
      <w:r w:rsidRPr="00BB06DE">
        <w:rPr>
          <w:rFonts w:ascii="Times New Roman" w:eastAsia="Calibri" w:hAnsi="Times New Roman" w:cs="Times New Roman"/>
          <w:sz w:val="26"/>
          <w:szCs w:val="26"/>
        </w:rPr>
        <w:t xml:space="preserve">egulations.  </w:t>
      </w:r>
      <w:r w:rsidR="00F7462C" w:rsidRPr="00BB06DE">
        <w:rPr>
          <w:rFonts w:ascii="Times New Roman" w:eastAsia="Times New Roman" w:hAnsi="Times New Roman" w:cs="Times New Roman"/>
          <w:sz w:val="26"/>
          <w:szCs w:val="26"/>
        </w:rPr>
        <w:t>I&amp;E Statement in Support at 13.</w:t>
      </w:r>
      <w:r w:rsidR="00EC2F40" w:rsidRPr="00BB06DE">
        <w:rPr>
          <w:rFonts w:ascii="Times New Roman" w:eastAsia="Times New Roman" w:hAnsi="Times New Roman" w:cs="Times New Roman"/>
          <w:sz w:val="26"/>
          <w:szCs w:val="26"/>
        </w:rPr>
        <w:t xml:space="preserve">  We find that Clearview’s actions indicate compliance and support the negotiated penalty.</w:t>
      </w:r>
    </w:p>
    <w:p w14:paraId="51DA55F4" w14:textId="77777777" w:rsidR="006A47A1" w:rsidRPr="00BB06DE" w:rsidRDefault="006A47A1" w:rsidP="00EC2F40">
      <w:pPr>
        <w:tabs>
          <w:tab w:val="num" w:pos="1440"/>
        </w:tabs>
        <w:spacing w:after="0" w:line="360" w:lineRule="auto"/>
        <w:ind w:firstLine="1440"/>
        <w:rPr>
          <w:rFonts w:ascii="Times New Roman" w:eastAsia="Times New Roman" w:hAnsi="Times New Roman" w:cs="Times New Roman"/>
          <w:sz w:val="26"/>
          <w:szCs w:val="26"/>
        </w:rPr>
      </w:pPr>
    </w:p>
    <w:p w14:paraId="68F817C5" w14:textId="23D216FF" w:rsidR="00F7462C" w:rsidRPr="00BB06DE" w:rsidRDefault="00535E08" w:rsidP="00F7462C">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lang w:val="x-none" w:eastAsia="x-none"/>
        </w:rPr>
        <w:t xml:space="preserve">The fifth factor to be considered relates to the number of customers affected by the Company's actions and the duration of </w:t>
      </w:r>
      <w:r w:rsidRPr="00BB06DE">
        <w:rPr>
          <w:rFonts w:ascii="Times New Roman" w:eastAsia="Calibri" w:hAnsi="Times New Roman" w:cs="Times New Roman"/>
          <w:sz w:val="26"/>
          <w:szCs w:val="26"/>
          <w:lang w:eastAsia="x-none"/>
        </w:rPr>
        <w:t>the</w:t>
      </w:r>
      <w:r w:rsidRPr="00BB06DE">
        <w:rPr>
          <w:rFonts w:ascii="Times New Roman" w:eastAsia="Calibri" w:hAnsi="Times New Roman" w:cs="Times New Roman"/>
          <w:sz w:val="26"/>
          <w:szCs w:val="26"/>
          <w:lang w:val="x-none" w:eastAsia="x-none"/>
        </w:rPr>
        <w:t xml:space="preserve"> violations.  52 Pa. Code §</w:t>
      </w:r>
      <w:r w:rsidR="00797C95">
        <w:rPr>
          <w:rFonts w:ascii="Times New Roman" w:eastAsia="Calibri" w:hAnsi="Times New Roman" w:cs="Times New Roman"/>
          <w:sz w:val="26"/>
          <w:szCs w:val="26"/>
          <w:lang w:eastAsia="x-none"/>
        </w:rPr>
        <w:t> </w:t>
      </w:r>
      <w:r w:rsidRPr="00BB06DE">
        <w:rPr>
          <w:rFonts w:ascii="Times New Roman" w:eastAsia="Calibri" w:hAnsi="Times New Roman" w:cs="Times New Roman"/>
          <w:sz w:val="26"/>
          <w:szCs w:val="26"/>
          <w:lang w:val="x-none" w:eastAsia="x-none"/>
        </w:rPr>
        <w:t xml:space="preserve">69.1201(c)(5).  </w:t>
      </w:r>
      <w:r w:rsidRPr="00BB06DE">
        <w:rPr>
          <w:rFonts w:ascii="Times New Roman" w:eastAsia="Calibri" w:hAnsi="Times New Roman" w:cs="Times New Roman"/>
          <w:sz w:val="26"/>
          <w:szCs w:val="26"/>
          <w:lang w:eastAsia="x-none"/>
        </w:rPr>
        <w:t xml:space="preserve">I&amp;E’s Complaint alleges that </w:t>
      </w:r>
      <w:r w:rsidR="00C66B6C" w:rsidRPr="00BB06DE">
        <w:rPr>
          <w:rFonts w:ascii="Times New Roman" w:eastAsia="Calibri" w:hAnsi="Times New Roman" w:cs="Times New Roman"/>
          <w:sz w:val="26"/>
          <w:szCs w:val="26"/>
          <w:lang w:eastAsia="x-none"/>
        </w:rPr>
        <w:t>ten</w:t>
      </w:r>
      <w:r w:rsidRPr="00BB06DE">
        <w:rPr>
          <w:rFonts w:ascii="Times New Roman" w:eastAsia="Calibri" w:hAnsi="Times New Roman" w:cs="Times New Roman"/>
          <w:sz w:val="26"/>
          <w:szCs w:val="26"/>
          <w:lang w:eastAsia="x-none"/>
        </w:rPr>
        <w:t xml:space="preserve"> customer accounts were switched to receive electric generation service provided by Clearview without the customers’ authorization. </w:t>
      </w:r>
      <w:r w:rsidR="00714AA4" w:rsidRPr="00BB06DE">
        <w:rPr>
          <w:rFonts w:ascii="Times New Roman" w:eastAsia="Calibri" w:hAnsi="Times New Roman" w:cs="Times New Roman"/>
          <w:sz w:val="26"/>
          <w:szCs w:val="26"/>
          <w:lang w:eastAsia="x-none"/>
        </w:rPr>
        <w:t xml:space="preserve"> </w:t>
      </w:r>
      <w:r w:rsidRPr="00BB06DE">
        <w:rPr>
          <w:rFonts w:ascii="Times New Roman" w:eastAsia="Calibri" w:hAnsi="Times New Roman" w:cs="Times New Roman"/>
          <w:sz w:val="26"/>
          <w:szCs w:val="26"/>
          <w:lang w:eastAsia="x-none"/>
        </w:rPr>
        <w:t xml:space="preserve">Clearview received customer complaints asserting the unauthorized switching of these accounts in the third and fourth quarters of 2017, with such unauthorized enrollments taking place in 2017.  </w:t>
      </w:r>
      <w:r w:rsidRPr="00BB06DE">
        <w:rPr>
          <w:rFonts w:ascii="Times New Roman" w:eastAsia="Calibri" w:hAnsi="Times New Roman" w:cs="Times New Roman"/>
          <w:sz w:val="26"/>
          <w:szCs w:val="26"/>
          <w:lang w:val="x-none" w:eastAsia="x-none"/>
        </w:rPr>
        <w:t>Between October 2017 and February</w:t>
      </w:r>
      <w:r w:rsidR="00797C95">
        <w:rPr>
          <w:rFonts w:ascii="Times New Roman" w:eastAsia="Calibri" w:hAnsi="Times New Roman" w:cs="Times New Roman"/>
          <w:sz w:val="26"/>
          <w:szCs w:val="26"/>
          <w:lang w:eastAsia="x-none"/>
        </w:rPr>
        <w:t> </w:t>
      </w:r>
      <w:r w:rsidRPr="00BB06DE">
        <w:rPr>
          <w:rFonts w:ascii="Times New Roman" w:eastAsia="Calibri" w:hAnsi="Times New Roman" w:cs="Times New Roman"/>
          <w:sz w:val="26"/>
          <w:szCs w:val="26"/>
          <w:lang w:val="x-none" w:eastAsia="x-none"/>
        </w:rPr>
        <w:t>2018</w:t>
      </w:r>
      <w:r w:rsidRPr="00BB06DE">
        <w:rPr>
          <w:rFonts w:ascii="Times New Roman" w:eastAsia="Calibri" w:hAnsi="Times New Roman" w:cs="Times New Roman"/>
          <w:sz w:val="26"/>
          <w:szCs w:val="26"/>
          <w:lang w:eastAsia="x-none"/>
        </w:rPr>
        <w:t>, Clearview billed 137 customers a</w:t>
      </w:r>
      <w:r w:rsidR="00046C3A" w:rsidRPr="00BB06DE">
        <w:rPr>
          <w:rFonts w:ascii="Times New Roman" w:eastAsia="Calibri" w:hAnsi="Times New Roman" w:cs="Times New Roman"/>
          <w:sz w:val="26"/>
          <w:szCs w:val="26"/>
          <w:lang w:eastAsia="x-none"/>
        </w:rPr>
        <w:t>t a</w:t>
      </w:r>
      <w:r w:rsidRPr="00BB06DE">
        <w:rPr>
          <w:rFonts w:ascii="Times New Roman" w:eastAsia="Calibri" w:hAnsi="Times New Roman" w:cs="Times New Roman"/>
          <w:sz w:val="26"/>
          <w:szCs w:val="26"/>
          <w:lang w:eastAsia="x-none"/>
        </w:rPr>
        <w:t xml:space="preserve"> rate greater than</w:t>
      </w:r>
      <w:r w:rsidRPr="00BB06DE">
        <w:rPr>
          <w:rFonts w:ascii="Times New Roman" w:eastAsia="Calibri" w:hAnsi="Times New Roman" w:cs="Times New Roman"/>
          <w:sz w:val="26"/>
          <w:szCs w:val="26"/>
          <w:lang w:val="x-none" w:eastAsia="x-none"/>
        </w:rPr>
        <w:t xml:space="preserve"> the rate that</w:t>
      </w:r>
      <w:r w:rsidRPr="00BB06DE">
        <w:rPr>
          <w:rFonts w:ascii="Times New Roman" w:eastAsia="Calibri" w:hAnsi="Times New Roman" w:cs="Times New Roman"/>
          <w:sz w:val="26"/>
          <w:szCs w:val="26"/>
          <w:lang w:eastAsia="x-none"/>
        </w:rPr>
        <w:t xml:space="preserve"> Clearview</w:t>
      </w:r>
      <w:r w:rsidRPr="00BB06DE">
        <w:rPr>
          <w:rFonts w:ascii="Times New Roman" w:eastAsia="Calibri" w:hAnsi="Times New Roman" w:cs="Times New Roman"/>
          <w:sz w:val="26"/>
          <w:szCs w:val="26"/>
          <w:lang w:val="x-none" w:eastAsia="x-none"/>
        </w:rPr>
        <w:t xml:space="preserve"> advertised on chooseenergy.com at the time of the customers</w:t>
      </w:r>
      <w:r w:rsidRPr="00BB06DE">
        <w:rPr>
          <w:rFonts w:ascii="Times New Roman" w:eastAsia="Calibri" w:hAnsi="Times New Roman" w:cs="Times New Roman"/>
          <w:sz w:val="26"/>
          <w:szCs w:val="26"/>
          <w:lang w:eastAsia="x-none"/>
        </w:rPr>
        <w:t>’</w:t>
      </w:r>
      <w:r w:rsidRPr="00BB06DE">
        <w:rPr>
          <w:rFonts w:ascii="Times New Roman" w:eastAsia="Calibri" w:hAnsi="Times New Roman" w:cs="Times New Roman"/>
          <w:sz w:val="26"/>
          <w:szCs w:val="26"/>
          <w:lang w:val="x-none" w:eastAsia="x-none"/>
        </w:rPr>
        <w:t xml:space="preserve"> enrollment</w:t>
      </w:r>
      <w:r w:rsidRPr="00BB06DE">
        <w:rPr>
          <w:rFonts w:ascii="Times New Roman" w:eastAsia="Calibri" w:hAnsi="Times New Roman" w:cs="Times New Roman"/>
          <w:sz w:val="26"/>
          <w:szCs w:val="26"/>
          <w:lang w:eastAsia="x-none"/>
        </w:rPr>
        <w:t xml:space="preserve">s.  For </w:t>
      </w:r>
      <w:proofErr w:type="gramStart"/>
      <w:r w:rsidRPr="00BB06DE">
        <w:rPr>
          <w:rFonts w:ascii="Times New Roman" w:eastAsia="Calibri" w:hAnsi="Times New Roman" w:cs="Times New Roman"/>
          <w:sz w:val="26"/>
          <w:szCs w:val="26"/>
          <w:lang w:eastAsia="x-none"/>
        </w:rPr>
        <w:t>the majority of</w:t>
      </w:r>
      <w:proofErr w:type="gramEnd"/>
      <w:r w:rsidRPr="00BB06DE">
        <w:rPr>
          <w:rFonts w:ascii="Times New Roman" w:eastAsia="Calibri" w:hAnsi="Times New Roman" w:cs="Times New Roman"/>
          <w:sz w:val="26"/>
          <w:szCs w:val="26"/>
          <w:lang w:eastAsia="x-none"/>
        </w:rPr>
        <w:t xml:space="preserve"> the month of June 2017, Clearview failed to notify </w:t>
      </w:r>
      <w:r w:rsidR="00354E87" w:rsidRPr="00BB06DE">
        <w:rPr>
          <w:rFonts w:ascii="Times New Roman" w:eastAsia="Calibri" w:hAnsi="Times New Roman" w:cs="Times New Roman"/>
          <w:sz w:val="26"/>
          <w:szCs w:val="26"/>
          <w:lang w:eastAsia="x-none"/>
        </w:rPr>
        <w:t xml:space="preserve">BCS and the local EDCs </w:t>
      </w:r>
      <w:r w:rsidRPr="00BB06DE">
        <w:rPr>
          <w:rFonts w:ascii="Times New Roman" w:eastAsia="Calibri" w:hAnsi="Times New Roman" w:cs="Times New Roman"/>
          <w:sz w:val="26"/>
          <w:szCs w:val="26"/>
          <w:lang w:eastAsia="x-none"/>
        </w:rPr>
        <w:t>in advance of its intention to conduct door-to-door sales and marketing activities.  On June 15, 2017, the fraudulent, deceptive</w:t>
      </w:r>
      <w:r w:rsidR="005D5D1E">
        <w:rPr>
          <w:rFonts w:ascii="Times New Roman" w:eastAsia="Calibri" w:hAnsi="Times New Roman" w:cs="Times New Roman"/>
          <w:sz w:val="26"/>
          <w:szCs w:val="26"/>
          <w:lang w:eastAsia="x-none"/>
        </w:rPr>
        <w:t>,</w:t>
      </w:r>
      <w:r w:rsidRPr="00BB06DE">
        <w:rPr>
          <w:rFonts w:ascii="Times New Roman" w:eastAsia="Calibri" w:hAnsi="Times New Roman" w:cs="Times New Roman"/>
          <w:sz w:val="26"/>
          <w:szCs w:val="26"/>
          <w:lang w:eastAsia="x-none"/>
        </w:rPr>
        <w:t xml:space="preserve"> and/or unlawful action of two Clearview agents resulted in the theft of a prospective customer’s wallet during a door-to-door sales campaign.  I&amp;E avers that approximately 148 customers were adversely impacted by Clearview’s misconduct over the course of several months in 2017.</w:t>
      </w:r>
      <w:r w:rsidR="00F7462C" w:rsidRPr="00BB06DE">
        <w:rPr>
          <w:rFonts w:ascii="Times New Roman" w:eastAsia="Calibri" w:hAnsi="Times New Roman" w:cs="Times New Roman"/>
          <w:sz w:val="26"/>
          <w:szCs w:val="26"/>
          <w:lang w:eastAsia="x-none"/>
        </w:rPr>
        <w:t xml:space="preserve">  </w:t>
      </w:r>
      <w:r w:rsidR="00F7462C" w:rsidRPr="00BB06DE">
        <w:rPr>
          <w:rFonts w:ascii="Times New Roman" w:eastAsia="Times New Roman" w:hAnsi="Times New Roman" w:cs="Times New Roman"/>
          <w:sz w:val="26"/>
          <w:szCs w:val="26"/>
        </w:rPr>
        <w:t>I&amp;E Statement in Support at 13-14.</w:t>
      </w:r>
      <w:r w:rsidR="00CD03D3" w:rsidRPr="00BB06DE">
        <w:rPr>
          <w:rFonts w:ascii="Times New Roman" w:eastAsia="Times New Roman" w:hAnsi="Times New Roman" w:cs="Times New Roman"/>
          <w:sz w:val="26"/>
          <w:szCs w:val="26"/>
        </w:rPr>
        <w:t xml:space="preserve">  </w:t>
      </w:r>
      <w:r w:rsidR="00AA7256" w:rsidRPr="00BB06DE">
        <w:rPr>
          <w:rFonts w:ascii="Times New Roman" w:eastAsia="Times New Roman" w:hAnsi="Times New Roman" w:cs="Times New Roman"/>
          <w:sz w:val="26"/>
          <w:szCs w:val="26"/>
        </w:rPr>
        <w:t xml:space="preserve">The number of affected customers is 148 and the alleged violations occurred </w:t>
      </w:r>
      <w:r w:rsidR="00195589" w:rsidRPr="00BB06DE">
        <w:rPr>
          <w:rFonts w:ascii="Times New Roman" w:eastAsia="Times New Roman" w:hAnsi="Times New Roman" w:cs="Times New Roman"/>
          <w:sz w:val="26"/>
          <w:szCs w:val="26"/>
        </w:rPr>
        <w:t xml:space="preserve">during June 2017 and the third and fourth quarters of 2017.  </w:t>
      </w:r>
      <w:r w:rsidR="0020601A" w:rsidRPr="00BB06DE">
        <w:rPr>
          <w:rFonts w:ascii="Times New Roman" w:eastAsia="Times New Roman" w:hAnsi="Times New Roman" w:cs="Times New Roman"/>
          <w:sz w:val="26"/>
          <w:szCs w:val="26"/>
        </w:rPr>
        <w:t xml:space="preserve">Clearview contends </w:t>
      </w:r>
      <w:r w:rsidR="0020601A" w:rsidRPr="00BB06DE">
        <w:rPr>
          <w:rFonts w:ascii="Times New Roman" w:eastAsia="Times New Roman" w:hAnsi="Times New Roman" w:cs="Times New Roman"/>
          <w:sz w:val="26"/>
          <w:szCs w:val="26"/>
        </w:rPr>
        <w:lastRenderedPageBreak/>
        <w:t xml:space="preserve">that the </w:t>
      </w:r>
      <w:r w:rsidR="00232916" w:rsidRPr="00BB06DE">
        <w:rPr>
          <w:rFonts w:ascii="Times New Roman" w:eastAsia="Times New Roman" w:hAnsi="Times New Roman" w:cs="Times New Roman"/>
          <w:sz w:val="26"/>
          <w:szCs w:val="26"/>
        </w:rPr>
        <w:t xml:space="preserve">ten </w:t>
      </w:r>
      <w:r w:rsidR="0028022C" w:rsidRPr="00BB06DE">
        <w:rPr>
          <w:rFonts w:ascii="Times New Roman" w:eastAsia="Times New Roman" w:hAnsi="Times New Roman" w:cs="Times New Roman"/>
          <w:sz w:val="26"/>
          <w:szCs w:val="26"/>
        </w:rPr>
        <w:t>instances</w:t>
      </w:r>
      <w:r w:rsidR="00232916" w:rsidRPr="00BB06DE">
        <w:rPr>
          <w:rFonts w:ascii="Times New Roman" w:eastAsia="Times New Roman" w:hAnsi="Times New Roman" w:cs="Times New Roman"/>
          <w:sz w:val="26"/>
          <w:szCs w:val="26"/>
        </w:rPr>
        <w:t xml:space="preserve"> of </w:t>
      </w:r>
      <w:r w:rsidR="0028022C" w:rsidRPr="00BB06DE">
        <w:rPr>
          <w:rFonts w:ascii="Times New Roman" w:eastAsia="Times New Roman" w:hAnsi="Times New Roman" w:cs="Times New Roman"/>
          <w:sz w:val="26"/>
          <w:szCs w:val="26"/>
        </w:rPr>
        <w:t>alleged</w:t>
      </w:r>
      <w:r w:rsidR="00232916" w:rsidRPr="00BB06DE">
        <w:rPr>
          <w:rFonts w:ascii="Times New Roman" w:eastAsia="Times New Roman" w:hAnsi="Times New Roman" w:cs="Times New Roman"/>
          <w:sz w:val="26"/>
          <w:szCs w:val="26"/>
        </w:rPr>
        <w:t xml:space="preserve"> </w:t>
      </w:r>
      <w:r w:rsidR="0028022C" w:rsidRPr="00BB06DE">
        <w:rPr>
          <w:rFonts w:ascii="Times New Roman" w:eastAsia="Times New Roman" w:hAnsi="Times New Roman" w:cs="Times New Roman"/>
          <w:sz w:val="26"/>
          <w:szCs w:val="26"/>
        </w:rPr>
        <w:t>unauthorized</w:t>
      </w:r>
      <w:r w:rsidR="00232916" w:rsidRPr="00BB06DE">
        <w:rPr>
          <w:rFonts w:ascii="Times New Roman" w:eastAsia="Times New Roman" w:hAnsi="Times New Roman" w:cs="Times New Roman"/>
          <w:sz w:val="26"/>
          <w:szCs w:val="26"/>
        </w:rPr>
        <w:t xml:space="preserve"> enrollments is not </w:t>
      </w:r>
      <w:proofErr w:type="gramStart"/>
      <w:r w:rsidR="00232916" w:rsidRPr="00BB06DE">
        <w:rPr>
          <w:rFonts w:ascii="Times New Roman" w:eastAsia="Times New Roman" w:hAnsi="Times New Roman" w:cs="Times New Roman"/>
          <w:sz w:val="26"/>
          <w:szCs w:val="26"/>
        </w:rPr>
        <w:t>a large number of</w:t>
      </w:r>
      <w:proofErr w:type="gramEnd"/>
      <w:r w:rsidR="00232916" w:rsidRPr="00BB06DE">
        <w:rPr>
          <w:rFonts w:ascii="Times New Roman" w:eastAsia="Times New Roman" w:hAnsi="Times New Roman" w:cs="Times New Roman"/>
          <w:sz w:val="26"/>
          <w:szCs w:val="26"/>
        </w:rPr>
        <w:t xml:space="preserve"> affected customers, and given </w:t>
      </w:r>
      <w:r w:rsidR="00C2234F" w:rsidRPr="00BB06DE">
        <w:rPr>
          <w:rFonts w:ascii="Times New Roman" w:eastAsia="Times New Roman" w:hAnsi="Times New Roman" w:cs="Times New Roman"/>
          <w:sz w:val="26"/>
          <w:szCs w:val="26"/>
        </w:rPr>
        <w:t xml:space="preserve">Clearview’s refunds of supply charges, the duration of the alleged violations was not </w:t>
      </w:r>
      <w:r w:rsidR="0028022C" w:rsidRPr="00BB06DE">
        <w:rPr>
          <w:rFonts w:ascii="Times New Roman" w:eastAsia="Times New Roman" w:hAnsi="Times New Roman" w:cs="Times New Roman"/>
          <w:sz w:val="26"/>
          <w:szCs w:val="26"/>
        </w:rPr>
        <w:t>lengthy</w:t>
      </w:r>
      <w:r w:rsidR="00C2234F" w:rsidRPr="00BB06DE">
        <w:rPr>
          <w:rFonts w:ascii="Times New Roman" w:eastAsia="Times New Roman" w:hAnsi="Times New Roman" w:cs="Times New Roman"/>
          <w:sz w:val="26"/>
          <w:szCs w:val="26"/>
        </w:rPr>
        <w:t xml:space="preserve">.  </w:t>
      </w:r>
      <w:r w:rsidR="00FE74B7" w:rsidRPr="00BB06DE">
        <w:rPr>
          <w:rFonts w:ascii="Times New Roman" w:eastAsia="Times New Roman" w:hAnsi="Times New Roman" w:cs="Times New Roman"/>
          <w:sz w:val="26"/>
          <w:szCs w:val="26"/>
        </w:rPr>
        <w:t xml:space="preserve">Clearview claims that it also </w:t>
      </w:r>
      <w:r w:rsidR="0028022C" w:rsidRPr="00BB06DE">
        <w:rPr>
          <w:rFonts w:ascii="Times New Roman" w:eastAsia="Times New Roman" w:hAnsi="Times New Roman" w:cs="Times New Roman"/>
          <w:sz w:val="26"/>
          <w:szCs w:val="26"/>
        </w:rPr>
        <w:t>quickly</w:t>
      </w:r>
      <w:r w:rsidR="00FE74B7" w:rsidRPr="00BB06DE">
        <w:rPr>
          <w:rFonts w:ascii="Times New Roman" w:eastAsia="Times New Roman" w:hAnsi="Times New Roman" w:cs="Times New Roman"/>
          <w:sz w:val="26"/>
          <w:szCs w:val="26"/>
        </w:rPr>
        <w:t xml:space="preserve"> remedied the price difference for the 137 customer accounts that </w:t>
      </w:r>
      <w:r w:rsidR="00483D8E" w:rsidRPr="00BB06DE">
        <w:rPr>
          <w:rFonts w:ascii="Times New Roman" w:eastAsia="Times New Roman" w:hAnsi="Times New Roman" w:cs="Times New Roman"/>
          <w:sz w:val="26"/>
          <w:szCs w:val="26"/>
        </w:rPr>
        <w:t xml:space="preserve">were affected by the billing error.  Clearview Statement in Support at 14.  </w:t>
      </w:r>
      <w:r w:rsidR="0028022C" w:rsidRPr="00BB06DE">
        <w:rPr>
          <w:rFonts w:ascii="Times New Roman" w:eastAsia="Times New Roman" w:hAnsi="Times New Roman" w:cs="Times New Roman"/>
          <w:sz w:val="26"/>
          <w:szCs w:val="26"/>
        </w:rPr>
        <w:t>Based on these considerations, we find that t</w:t>
      </w:r>
      <w:r w:rsidR="00443FB4" w:rsidRPr="00BB06DE">
        <w:rPr>
          <w:rFonts w:ascii="Times New Roman" w:eastAsia="Times New Roman" w:hAnsi="Times New Roman" w:cs="Times New Roman"/>
          <w:sz w:val="26"/>
          <w:szCs w:val="26"/>
        </w:rPr>
        <w:t xml:space="preserve">his factor supports the negotiated civil penalty.  </w:t>
      </w:r>
    </w:p>
    <w:p w14:paraId="6D860CB4" w14:textId="77777777" w:rsidR="00615AEF" w:rsidRPr="00BB06DE" w:rsidRDefault="00615AEF" w:rsidP="00181D13">
      <w:pPr>
        <w:spacing w:after="0" w:line="360" w:lineRule="auto"/>
        <w:ind w:firstLine="1440"/>
        <w:rPr>
          <w:rFonts w:ascii="Times New Roman" w:eastAsia="Calibri" w:hAnsi="Times New Roman" w:cs="Times New Roman"/>
          <w:sz w:val="26"/>
          <w:szCs w:val="26"/>
          <w:lang w:eastAsia="x-none"/>
        </w:rPr>
      </w:pPr>
    </w:p>
    <w:p w14:paraId="3616DDDC" w14:textId="696145FB" w:rsidR="00F7462C" w:rsidRPr="00BB06DE" w:rsidRDefault="00535E08" w:rsidP="00F7462C">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sixth factor to be considered relates to the compliance history of Clearview.  52 Pa. Code § 69.1201(c)(6).  An isolated incident from an otherwise compliant company may result in a lower penalty, whereas frequent, recurrent violations by a company may result in a higher penalty.  </w:t>
      </w:r>
      <w:r w:rsidRPr="00BB06DE">
        <w:rPr>
          <w:rFonts w:ascii="Times New Roman" w:eastAsia="Times New Roman" w:hAnsi="Times New Roman" w:cs="Times New Roman"/>
          <w:i/>
          <w:sz w:val="26"/>
          <w:szCs w:val="26"/>
        </w:rPr>
        <w:t>Id.</w:t>
      </w:r>
      <w:r w:rsidRPr="00BB06DE">
        <w:rPr>
          <w:rFonts w:ascii="Times New Roman" w:eastAsia="Times New Roman" w:hAnsi="Times New Roman" w:cs="Times New Roman"/>
          <w:sz w:val="26"/>
          <w:szCs w:val="26"/>
        </w:rPr>
        <w:t xml:space="preserve">  At least six customers have filed formal complaints against the Company alleging unauthorized switching, deceptive marketing, incorrect billing</w:t>
      </w:r>
      <w:r w:rsidR="008F395D">
        <w:rPr>
          <w:rFonts w:ascii="Times New Roman" w:eastAsia="Times New Roman" w:hAnsi="Times New Roman" w:cs="Times New Roman"/>
          <w:sz w:val="26"/>
          <w:szCs w:val="26"/>
        </w:rPr>
        <w:t>,</w:t>
      </w:r>
      <w:r w:rsidRPr="00BB06DE">
        <w:rPr>
          <w:rFonts w:ascii="Times New Roman" w:eastAsia="Times New Roman" w:hAnsi="Times New Roman" w:cs="Times New Roman"/>
          <w:sz w:val="26"/>
          <w:szCs w:val="26"/>
        </w:rPr>
        <w:t xml:space="preserve"> and/or an increase in rates.</w:t>
      </w:r>
      <w:r w:rsidRPr="00BB06DE">
        <w:rPr>
          <w:rFonts w:ascii="Times New Roman" w:eastAsia="Times New Roman" w:hAnsi="Times New Roman" w:cs="Times New Roman"/>
          <w:sz w:val="26"/>
          <w:szCs w:val="26"/>
          <w:vertAlign w:val="superscript"/>
        </w:rPr>
        <w:footnoteReference w:id="3"/>
      </w:r>
      <w:r w:rsidRPr="00BB06DE">
        <w:rPr>
          <w:rFonts w:ascii="Times New Roman" w:eastAsia="Times New Roman" w:hAnsi="Times New Roman" w:cs="Times New Roman"/>
          <w:sz w:val="26"/>
          <w:szCs w:val="26"/>
        </w:rPr>
        <w:t xml:space="preserve">  These matters were resolved by the filing of Certificates of Satisfaction pursuant to 52 Pa. Code § 5.24.  One formal complaint filed against Clearview by a customer was dismissed when Clearview’s Preliminary Objections were sustained.</w:t>
      </w:r>
      <w:r w:rsidRPr="00BB06DE">
        <w:rPr>
          <w:rFonts w:ascii="Times New Roman" w:eastAsia="Times New Roman" w:hAnsi="Times New Roman" w:cs="Times New Roman"/>
          <w:sz w:val="26"/>
          <w:szCs w:val="26"/>
          <w:vertAlign w:val="superscript"/>
        </w:rPr>
        <w:footnoteReference w:id="4"/>
      </w:r>
      <w:r w:rsidRPr="00BB06DE">
        <w:rPr>
          <w:rFonts w:ascii="Times New Roman" w:eastAsia="Times New Roman" w:hAnsi="Times New Roman" w:cs="Times New Roman"/>
          <w:sz w:val="26"/>
          <w:szCs w:val="26"/>
        </w:rPr>
        <w:t xml:space="preserve">  </w:t>
      </w:r>
      <w:r w:rsidR="003B0FCD" w:rsidRPr="00BB06DE">
        <w:rPr>
          <w:rFonts w:ascii="Times New Roman" w:eastAsia="Times New Roman" w:hAnsi="Times New Roman" w:cs="Times New Roman"/>
          <w:sz w:val="26"/>
          <w:szCs w:val="26"/>
        </w:rPr>
        <w:t>N</w:t>
      </w:r>
      <w:r w:rsidRPr="00BB06DE">
        <w:rPr>
          <w:rFonts w:ascii="Times New Roman" w:eastAsia="Times New Roman" w:hAnsi="Times New Roman" w:cs="Times New Roman"/>
          <w:sz w:val="26"/>
          <w:szCs w:val="26"/>
        </w:rPr>
        <w:t xml:space="preserve">o formal complaints brought by customers have been sustained against the Company. </w:t>
      </w:r>
      <w:r w:rsidR="00F7462C" w:rsidRPr="00BB06DE">
        <w:rPr>
          <w:rFonts w:ascii="Times New Roman" w:eastAsia="Times New Roman" w:hAnsi="Times New Roman" w:cs="Times New Roman"/>
          <w:sz w:val="26"/>
          <w:szCs w:val="26"/>
        </w:rPr>
        <w:t xml:space="preserve"> I&amp;E Statement in Support at 14.</w:t>
      </w:r>
      <w:r w:rsidR="00857179" w:rsidRPr="00BB06DE">
        <w:rPr>
          <w:rFonts w:ascii="Times New Roman" w:eastAsia="Times New Roman" w:hAnsi="Times New Roman" w:cs="Times New Roman"/>
          <w:sz w:val="26"/>
          <w:szCs w:val="26"/>
        </w:rPr>
        <w:t xml:space="preserve">  </w:t>
      </w:r>
      <w:r w:rsidR="0079786E" w:rsidRPr="00BB06DE">
        <w:rPr>
          <w:rFonts w:ascii="Times New Roman" w:eastAsia="Times New Roman" w:hAnsi="Times New Roman" w:cs="Times New Roman"/>
          <w:sz w:val="26"/>
          <w:szCs w:val="26"/>
        </w:rPr>
        <w:t xml:space="preserve">Clearview maintains that </w:t>
      </w:r>
      <w:r w:rsidR="000322E8" w:rsidRPr="00BB06DE">
        <w:rPr>
          <w:rFonts w:ascii="Times New Roman" w:eastAsia="Times New Roman" w:hAnsi="Times New Roman" w:cs="Times New Roman"/>
          <w:sz w:val="26"/>
          <w:szCs w:val="26"/>
        </w:rPr>
        <w:t xml:space="preserve">when formal </w:t>
      </w:r>
      <w:r w:rsidR="0024184A" w:rsidRPr="00BB06DE">
        <w:rPr>
          <w:rFonts w:ascii="Times New Roman" w:eastAsia="Times New Roman" w:hAnsi="Times New Roman" w:cs="Times New Roman"/>
          <w:sz w:val="26"/>
          <w:szCs w:val="26"/>
        </w:rPr>
        <w:t>complaints</w:t>
      </w:r>
      <w:r w:rsidR="000322E8" w:rsidRPr="00BB06DE">
        <w:rPr>
          <w:rFonts w:ascii="Times New Roman" w:eastAsia="Times New Roman" w:hAnsi="Times New Roman" w:cs="Times New Roman"/>
          <w:sz w:val="26"/>
          <w:szCs w:val="26"/>
        </w:rPr>
        <w:t xml:space="preserve"> are filed, Clearview works with consumers to reach amicable resolutions that result in the complaints being fully satisfied and withdrawn.  </w:t>
      </w:r>
      <w:r w:rsidR="0024184A" w:rsidRPr="00BB06DE">
        <w:rPr>
          <w:rFonts w:ascii="Times New Roman" w:eastAsia="Times New Roman" w:hAnsi="Times New Roman" w:cs="Times New Roman"/>
          <w:sz w:val="26"/>
          <w:szCs w:val="26"/>
        </w:rPr>
        <w:t>Clearview</w:t>
      </w:r>
      <w:r w:rsidR="000322E8" w:rsidRPr="00BB06DE">
        <w:rPr>
          <w:rFonts w:ascii="Times New Roman" w:eastAsia="Times New Roman" w:hAnsi="Times New Roman" w:cs="Times New Roman"/>
          <w:sz w:val="26"/>
          <w:szCs w:val="26"/>
        </w:rPr>
        <w:t xml:space="preserve"> </w:t>
      </w:r>
      <w:r w:rsidR="0024184A" w:rsidRPr="00BB06DE">
        <w:rPr>
          <w:rFonts w:ascii="Times New Roman" w:eastAsia="Times New Roman" w:hAnsi="Times New Roman" w:cs="Times New Roman"/>
          <w:sz w:val="26"/>
          <w:szCs w:val="26"/>
        </w:rPr>
        <w:t>states</w:t>
      </w:r>
      <w:r w:rsidR="000322E8" w:rsidRPr="00BB06DE">
        <w:rPr>
          <w:rFonts w:ascii="Times New Roman" w:eastAsia="Times New Roman" w:hAnsi="Times New Roman" w:cs="Times New Roman"/>
          <w:sz w:val="26"/>
          <w:szCs w:val="26"/>
        </w:rPr>
        <w:t xml:space="preserve"> that it </w:t>
      </w:r>
      <w:r w:rsidR="0024184A" w:rsidRPr="00BB06DE">
        <w:rPr>
          <w:rFonts w:ascii="Times New Roman" w:eastAsia="Times New Roman" w:hAnsi="Times New Roman" w:cs="Times New Roman"/>
          <w:sz w:val="26"/>
          <w:szCs w:val="26"/>
        </w:rPr>
        <w:t>takes</w:t>
      </w:r>
      <w:r w:rsidR="000322E8" w:rsidRPr="00BB06DE">
        <w:rPr>
          <w:rFonts w:ascii="Times New Roman" w:eastAsia="Times New Roman" w:hAnsi="Times New Roman" w:cs="Times New Roman"/>
          <w:sz w:val="26"/>
          <w:szCs w:val="26"/>
        </w:rPr>
        <w:t xml:space="preserve"> a similar approach in handling informal complaints with BCS.  </w:t>
      </w:r>
      <w:r w:rsidR="0024184A" w:rsidRPr="00BB06DE">
        <w:rPr>
          <w:rFonts w:ascii="Times New Roman" w:eastAsia="Times New Roman" w:hAnsi="Times New Roman" w:cs="Times New Roman"/>
          <w:sz w:val="26"/>
          <w:szCs w:val="26"/>
        </w:rPr>
        <w:t>Clearview</w:t>
      </w:r>
      <w:r w:rsidR="000322E8" w:rsidRPr="00BB06DE">
        <w:rPr>
          <w:rFonts w:ascii="Times New Roman" w:eastAsia="Times New Roman" w:hAnsi="Times New Roman" w:cs="Times New Roman"/>
          <w:sz w:val="26"/>
          <w:szCs w:val="26"/>
        </w:rPr>
        <w:t xml:space="preserve"> Statement i</w:t>
      </w:r>
      <w:r w:rsidR="0024184A" w:rsidRPr="00BB06DE">
        <w:rPr>
          <w:rFonts w:ascii="Times New Roman" w:eastAsia="Times New Roman" w:hAnsi="Times New Roman" w:cs="Times New Roman"/>
          <w:sz w:val="26"/>
          <w:szCs w:val="26"/>
        </w:rPr>
        <w:t>n</w:t>
      </w:r>
      <w:r w:rsidR="000322E8" w:rsidRPr="00BB06DE">
        <w:rPr>
          <w:rFonts w:ascii="Times New Roman" w:eastAsia="Times New Roman" w:hAnsi="Times New Roman" w:cs="Times New Roman"/>
          <w:sz w:val="26"/>
          <w:szCs w:val="26"/>
        </w:rPr>
        <w:t xml:space="preserve"> Support at 15.  </w:t>
      </w:r>
    </w:p>
    <w:p w14:paraId="25FA5D8A" w14:textId="264A15AB" w:rsidR="00535E08" w:rsidRPr="00BB06DE" w:rsidRDefault="00535E08" w:rsidP="00181D13">
      <w:pPr>
        <w:spacing w:after="0" w:line="360" w:lineRule="auto"/>
        <w:ind w:firstLine="1440"/>
        <w:rPr>
          <w:rFonts w:ascii="Times New Roman" w:eastAsia="Times New Roman" w:hAnsi="Times New Roman" w:cs="Times New Roman"/>
          <w:sz w:val="26"/>
          <w:szCs w:val="26"/>
        </w:rPr>
      </w:pPr>
    </w:p>
    <w:p w14:paraId="2AB7514B" w14:textId="6210FC90" w:rsidR="00481C68" w:rsidRPr="00BB06DE" w:rsidRDefault="0028022C" w:rsidP="00481C68">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I&amp;E provides that </w:t>
      </w:r>
      <w:r w:rsidR="00535E08" w:rsidRPr="00BB06DE">
        <w:rPr>
          <w:rFonts w:ascii="Times New Roman" w:eastAsia="Times New Roman" w:hAnsi="Times New Roman" w:cs="Times New Roman"/>
          <w:sz w:val="26"/>
          <w:szCs w:val="26"/>
        </w:rPr>
        <w:t xml:space="preserve">Clearview was also the subject of a former enforcement proceeding initiated by I&amp;E wherein I&amp;E alleged that Clearview issued 10,334 invoices </w:t>
      </w:r>
      <w:r w:rsidR="00535E08" w:rsidRPr="00BB06DE">
        <w:rPr>
          <w:rFonts w:ascii="Times New Roman" w:eastAsia="Times New Roman" w:hAnsi="Times New Roman" w:cs="Times New Roman"/>
          <w:sz w:val="26"/>
          <w:szCs w:val="26"/>
        </w:rPr>
        <w:lastRenderedPageBreak/>
        <w:t>in February, March</w:t>
      </w:r>
      <w:r w:rsidR="008202BE">
        <w:rPr>
          <w:rFonts w:ascii="Times New Roman" w:eastAsia="Times New Roman" w:hAnsi="Times New Roman" w:cs="Times New Roman"/>
          <w:sz w:val="26"/>
          <w:szCs w:val="26"/>
        </w:rPr>
        <w:t>,</w:t>
      </w:r>
      <w:r w:rsidR="00535E08" w:rsidRPr="00BB06DE">
        <w:rPr>
          <w:rFonts w:ascii="Times New Roman" w:eastAsia="Times New Roman" w:hAnsi="Times New Roman" w:cs="Times New Roman"/>
          <w:sz w:val="26"/>
          <w:szCs w:val="26"/>
        </w:rPr>
        <w:t xml:space="preserve"> and April 2014, containing charges that exceeded the rate in which customers enrolled.  </w:t>
      </w:r>
      <w:r w:rsidR="00535E08" w:rsidRPr="00BB06DE">
        <w:rPr>
          <w:rFonts w:ascii="Times New Roman" w:eastAsia="Times New Roman" w:hAnsi="Times New Roman" w:cs="Times New Roman"/>
          <w:i/>
          <w:sz w:val="26"/>
          <w:szCs w:val="26"/>
        </w:rPr>
        <w:t xml:space="preserve">Pa. </w:t>
      </w:r>
      <w:r w:rsidR="00797C95">
        <w:rPr>
          <w:rFonts w:ascii="Times New Roman" w:eastAsia="Times New Roman" w:hAnsi="Times New Roman" w:cs="Times New Roman"/>
          <w:i/>
          <w:sz w:val="26"/>
          <w:szCs w:val="26"/>
        </w:rPr>
        <w:t>PUC</w:t>
      </w:r>
      <w:r w:rsidR="00535E08" w:rsidRPr="00BB06DE">
        <w:rPr>
          <w:rFonts w:ascii="Times New Roman" w:eastAsia="Times New Roman" w:hAnsi="Times New Roman" w:cs="Times New Roman"/>
          <w:i/>
          <w:sz w:val="26"/>
          <w:szCs w:val="26"/>
        </w:rPr>
        <w:t>, Bureau of Investigation and Enforcement v. Clearview Electric, Inc.</w:t>
      </w:r>
      <w:r w:rsidR="00535E08" w:rsidRPr="00BB06DE">
        <w:rPr>
          <w:rFonts w:ascii="Times New Roman" w:eastAsia="Times New Roman" w:hAnsi="Times New Roman" w:cs="Times New Roman"/>
          <w:sz w:val="26"/>
          <w:szCs w:val="26"/>
        </w:rPr>
        <w:t xml:space="preserve">, Docket No. C-2016-2543592 (Final Order entered June 30, </w:t>
      </w:r>
      <w:r w:rsidR="00797C95" w:rsidRPr="00BB06DE">
        <w:rPr>
          <w:rFonts w:ascii="Times New Roman" w:eastAsia="Times New Roman" w:hAnsi="Times New Roman" w:cs="Times New Roman"/>
          <w:sz w:val="26"/>
          <w:szCs w:val="26"/>
        </w:rPr>
        <w:t>2017,</w:t>
      </w:r>
      <w:r w:rsidR="00535E08" w:rsidRPr="00BB06DE">
        <w:rPr>
          <w:rFonts w:ascii="Times New Roman" w:eastAsia="Times New Roman" w:hAnsi="Times New Roman" w:cs="Times New Roman"/>
          <w:sz w:val="26"/>
          <w:szCs w:val="26"/>
        </w:rPr>
        <w:t xml:space="preserve"> approving settlement agreement without modification)</w:t>
      </w:r>
      <w:r w:rsidR="00253939" w:rsidRPr="00BB06DE">
        <w:rPr>
          <w:rFonts w:ascii="Times New Roman" w:eastAsia="Times New Roman" w:hAnsi="Times New Roman" w:cs="Times New Roman"/>
          <w:sz w:val="26"/>
          <w:szCs w:val="26"/>
        </w:rPr>
        <w:t xml:space="preserve"> (</w:t>
      </w:r>
      <w:r w:rsidR="00253939" w:rsidRPr="00BB06DE">
        <w:rPr>
          <w:rFonts w:ascii="Times New Roman" w:eastAsia="Times New Roman" w:hAnsi="Times New Roman" w:cs="Times New Roman"/>
          <w:i/>
          <w:iCs/>
          <w:sz w:val="26"/>
          <w:szCs w:val="26"/>
        </w:rPr>
        <w:t>2017 Settlement</w:t>
      </w:r>
      <w:r w:rsidR="00253939" w:rsidRPr="00BB06DE">
        <w:rPr>
          <w:rFonts w:ascii="Times New Roman" w:eastAsia="Times New Roman" w:hAnsi="Times New Roman" w:cs="Times New Roman"/>
          <w:sz w:val="26"/>
          <w:szCs w:val="26"/>
        </w:rPr>
        <w:t>)</w:t>
      </w:r>
      <w:r w:rsidR="00535E08" w:rsidRPr="00BB06DE">
        <w:rPr>
          <w:rFonts w:ascii="Times New Roman" w:eastAsia="Times New Roman" w:hAnsi="Times New Roman" w:cs="Times New Roman"/>
          <w:sz w:val="26"/>
          <w:szCs w:val="26"/>
        </w:rPr>
        <w:t xml:space="preserve">.  </w:t>
      </w:r>
      <w:r w:rsidR="00253939" w:rsidRPr="00BB06DE">
        <w:rPr>
          <w:rFonts w:ascii="Times New Roman" w:eastAsia="Times New Roman" w:hAnsi="Times New Roman" w:cs="Times New Roman"/>
          <w:sz w:val="26"/>
          <w:szCs w:val="26"/>
        </w:rPr>
        <w:t>According to I&amp;E, t</w:t>
      </w:r>
      <w:r w:rsidR="00535E08" w:rsidRPr="00BB06DE">
        <w:rPr>
          <w:rFonts w:ascii="Times New Roman" w:eastAsia="Times New Roman" w:hAnsi="Times New Roman" w:cs="Times New Roman"/>
          <w:sz w:val="26"/>
          <w:szCs w:val="26"/>
        </w:rPr>
        <w:t xml:space="preserve">he matter was amicably resolved by settlement of the </w:t>
      </w:r>
      <w:r w:rsidR="002C076D" w:rsidRPr="00BB06DE">
        <w:rPr>
          <w:rFonts w:ascii="Times New Roman" w:eastAsia="Times New Roman" w:hAnsi="Times New Roman" w:cs="Times New Roman"/>
          <w:sz w:val="26"/>
          <w:szCs w:val="26"/>
        </w:rPr>
        <w:t>p</w:t>
      </w:r>
      <w:r w:rsidR="00535E08" w:rsidRPr="00BB06DE">
        <w:rPr>
          <w:rFonts w:ascii="Times New Roman" w:eastAsia="Times New Roman" w:hAnsi="Times New Roman" w:cs="Times New Roman"/>
          <w:sz w:val="26"/>
          <w:szCs w:val="26"/>
        </w:rPr>
        <w:t xml:space="preserve">arties and Clearview paid a civil penalty in the amount of $250,000, representing a “per violation” civil penalty of slightly more than $24.  </w:t>
      </w:r>
      <w:r w:rsidR="00481C68" w:rsidRPr="00BB06DE">
        <w:rPr>
          <w:rFonts w:ascii="Times New Roman" w:eastAsia="Times New Roman" w:hAnsi="Times New Roman" w:cs="Times New Roman"/>
          <w:sz w:val="26"/>
          <w:szCs w:val="26"/>
        </w:rPr>
        <w:t>I&amp;E Statement in Support at 15.</w:t>
      </w:r>
    </w:p>
    <w:p w14:paraId="29D622F9" w14:textId="77777777" w:rsidR="00775F0B" w:rsidRPr="00BB06DE" w:rsidRDefault="00775F0B" w:rsidP="00181D13">
      <w:pPr>
        <w:spacing w:after="0" w:line="360" w:lineRule="auto"/>
        <w:ind w:firstLine="1440"/>
        <w:rPr>
          <w:rFonts w:ascii="Times New Roman" w:eastAsia="Times New Roman" w:hAnsi="Times New Roman" w:cs="Times New Roman"/>
          <w:sz w:val="26"/>
          <w:szCs w:val="26"/>
        </w:rPr>
      </w:pPr>
    </w:p>
    <w:p w14:paraId="438DBEE3" w14:textId="0414FC7D" w:rsidR="00481C68" w:rsidRPr="00BB06DE" w:rsidRDefault="00535E08" w:rsidP="00481C68">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I&amp;E acknowledges that the instant matter involves allegations pertaining to the same misconduct, </w:t>
      </w:r>
      <w:r w:rsidR="00FD21F7" w:rsidRPr="00BB06DE">
        <w:rPr>
          <w:rFonts w:ascii="Times New Roman" w:eastAsia="Times New Roman" w:hAnsi="Times New Roman" w:cs="Times New Roman"/>
          <w:i/>
          <w:iCs/>
          <w:sz w:val="26"/>
          <w:szCs w:val="26"/>
        </w:rPr>
        <w:t>i.e.</w:t>
      </w:r>
      <w:r w:rsidR="00FD21F7" w:rsidRPr="0053679E">
        <w:rPr>
          <w:rFonts w:ascii="Times New Roman" w:eastAsia="Times New Roman" w:hAnsi="Times New Roman" w:cs="Times New Roman"/>
          <w:sz w:val="26"/>
          <w:szCs w:val="26"/>
        </w:rPr>
        <w:t>,</w:t>
      </w:r>
      <w:r w:rsidRPr="00BB06DE">
        <w:rPr>
          <w:rFonts w:ascii="Times New Roman" w:eastAsia="Times New Roman" w:hAnsi="Times New Roman" w:cs="Times New Roman"/>
          <w:sz w:val="26"/>
          <w:szCs w:val="26"/>
        </w:rPr>
        <w:t xml:space="preserve"> overbilling.  The Settlement considers this fact as I&amp;E demanded, and Clearview agreed to pay, a civil penalty of slightly more than $182 for each of the 137 overbilling violations.  This amount is seven times greater than the “per violation” civil penalty that was received in the prior enforcement action.</w:t>
      </w:r>
      <w:r w:rsidR="00481C68" w:rsidRPr="00BB06DE">
        <w:rPr>
          <w:rFonts w:ascii="Times New Roman" w:eastAsia="Times New Roman" w:hAnsi="Times New Roman" w:cs="Times New Roman"/>
          <w:sz w:val="26"/>
          <w:szCs w:val="26"/>
        </w:rPr>
        <w:t xml:space="preserve">  I&amp;E Statement in Support at 10-1</w:t>
      </w:r>
      <w:r w:rsidR="00201859" w:rsidRPr="00BB06DE">
        <w:rPr>
          <w:rFonts w:ascii="Times New Roman" w:eastAsia="Times New Roman" w:hAnsi="Times New Roman" w:cs="Times New Roman"/>
          <w:sz w:val="26"/>
          <w:szCs w:val="26"/>
        </w:rPr>
        <w:t>5</w:t>
      </w:r>
      <w:r w:rsidR="00481C68" w:rsidRPr="00BB06DE">
        <w:rPr>
          <w:rFonts w:ascii="Times New Roman" w:eastAsia="Times New Roman" w:hAnsi="Times New Roman" w:cs="Times New Roman"/>
          <w:sz w:val="26"/>
          <w:szCs w:val="26"/>
        </w:rPr>
        <w:t>.</w:t>
      </w:r>
      <w:r w:rsidR="000250C3" w:rsidRPr="00BB06DE">
        <w:rPr>
          <w:rFonts w:ascii="Times New Roman" w:eastAsia="Times New Roman" w:hAnsi="Times New Roman" w:cs="Times New Roman"/>
          <w:sz w:val="26"/>
          <w:szCs w:val="26"/>
        </w:rPr>
        <w:t xml:space="preserve">  </w:t>
      </w:r>
    </w:p>
    <w:p w14:paraId="1051F3F5" w14:textId="77777777" w:rsidR="006F2D45" w:rsidRPr="00BB06DE" w:rsidRDefault="006F2D45" w:rsidP="00481C68">
      <w:pPr>
        <w:tabs>
          <w:tab w:val="num" w:pos="1440"/>
        </w:tabs>
        <w:spacing w:after="0" w:line="360" w:lineRule="auto"/>
        <w:ind w:firstLine="1440"/>
        <w:rPr>
          <w:rFonts w:ascii="Times New Roman" w:eastAsia="Times New Roman" w:hAnsi="Times New Roman" w:cs="Times New Roman"/>
          <w:sz w:val="26"/>
          <w:szCs w:val="26"/>
        </w:rPr>
      </w:pPr>
    </w:p>
    <w:p w14:paraId="5885268D" w14:textId="35DAA27B" w:rsidR="00A36433" w:rsidRPr="00BB06DE" w:rsidRDefault="00547EAE" w:rsidP="00481C68">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Clearview </w:t>
      </w:r>
      <w:r w:rsidR="006B5C80" w:rsidRPr="00BB06DE">
        <w:rPr>
          <w:rFonts w:ascii="Times New Roman" w:eastAsia="Times New Roman" w:hAnsi="Times New Roman" w:cs="Times New Roman"/>
          <w:sz w:val="26"/>
          <w:szCs w:val="26"/>
        </w:rPr>
        <w:t>has agreed to pay</w:t>
      </w:r>
      <w:r w:rsidR="00237BC6" w:rsidRPr="00BB06DE">
        <w:rPr>
          <w:rFonts w:ascii="Times New Roman" w:eastAsia="Times New Roman" w:hAnsi="Times New Roman" w:cs="Times New Roman"/>
          <w:sz w:val="26"/>
          <w:szCs w:val="26"/>
        </w:rPr>
        <w:t xml:space="preserve"> a civil penalty of $5</w:t>
      </w:r>
      <w:r w:rsidR="005B041F" w:rsidRPr="00BB06DE">
        <w:rPr>
          <w:rFonts w:ascii="Times New Roman" w:eastAsia="Times New Roman" w:hAnsi="Times New Roman" w:cs="Times New Roman"/>
          <w:sz w:val="26"/>
          <w:szCs w:val="26"/>
        </w:rPr>
        <w:t xml:space="preserve">9,750, of which $25,000 is to resolve the </w:t>
      </w:r>
      <w:r w:rsidR="00B372D6" w:rsidRPr="00BB06DE">
        <w:rPr>
          <w:rFonts w:ascii="Times New Roman" w:eastAsia="Times New Roman" w:hAnsi="Times New Roman" w:cs="Times New Roman"/>
          <w:sz w:val="26"/>
          <w:szCs w:val="26"/>
        </w:rPr>
        <w:t xml:space="preserve">alleged 137 </w:t>
      </w:r>
      <w:r w:rsidR="005B041F" w:rsidRPr="00BB06DE">
        <w:rPr>
          <w:rFonts w:ascii="Times New Roman" w:eastAsia="Times New Roman" w:hAnsi="Times New Roman" w:cs="Times New Roman"/>
          <w:sz w:val="26"/>
          <w:szCs w:val="26"/>
        </w:rPr>
        <w:t xml:space="preserve">violations </w:t>
      </w:r>
      <w:r w:rsidR="00A97029" w:rsidRPr="00BB06DE">
        <w:rPr>
          <w:rFonts w:ascii="Times New Roman" w:eastAsia="Times New Roman" w:hAnsi="Times New Roman" w:cs="Times New Roman"/>
          <w:sz w:val="26"/>
          <w:szCs w:val="26"/>
        </w:rPr>
        <w:t>of 52</w:t>
      </w:r>
      <w:r w:rsidR="00B372D6" w:rsidRPr="00BB06DE">
        <w:rPr>
          <w:rFonts w:ascii="Times New Roman" w:eastAsia="Times New Roman" w:hAnsi="Times New Roman" w:cs="Times New Roman"/>
          <w:sz w:val="26"/>
          <w:szCs w:val="26"/>
        </w:rPr>
        <w:t xml:space="preserve"> Pa. Code § </w:t>
      </w:r>
      <w:r w:rsidR="00E04C4B" w:rsidRPr="00BB06DE">
        <w:rPr>
          <w:rFonts w:ascii="Times New Roman" w:eastAsia="Times New Roman" w:hAnsi="Times New Roman" w:cs="Times New Roman"/>
          <w:sz w:val="26"/>
          <w:szCs w:val="26"/>
        </w:rPr>
        <w:t xml:space="preserve">54.4(a).  This is an increase </w:t>
      </w:r>
      <w:r w:rsidR="00935376" w:rsidRPr="00BB06DE">
        <w:rPr>
          <w:rFonts w:ascii="Times New Roman" w:eastAsia="Times New Roman" w:hAnsi="Times New Roman" w:cs="Times New Roman"/>
          <w:sz w:val="26"/>
          <w:szCs w:val="26"/>
        </w:rPr>
        <w:t xml:space="preserve">from $24 to approximately $182 for each violation.  </w:t>
      </w:r>
      <w:r w:rsidR="00F15FDE" w:rsidRPr="00BB06DE">
        <w:rPr>
          <w:rFonts w:ascii="Times New Roman" w:eastAsia="Times New Roman" w:hAnsi="Times New Roman" w:cs="Times New Roman"/>
          <w:sz w:val="26"/>
          <w:szCs w:val="26"/>
        </w:rPr>
        <w:t xml:space="preserve">We note that the number of customers affected </w:t>
      </w:r>
      <w:r w:rsidR="00ED1FA7" w:rsidRPr="00BB06DE">
        <w:rPr>
          <w:rFonts w:ascii="Times New Roman" w:eastAsia="Times New Roman" w:hAnsi="Times New Roman" w:cs="Times New Roman"/>
          <w:sz w:val="26"/>
          <w:szCs w:val="26"/>
        </w:rPr>
        <w:t xml:space="preserve">in this proceeding </w:t>
      </w:r>
      <w:r w:rsidR="00F15FDE" w:rsidRPr="00BB06DE">
        <w:rPr>
          <w:rFonts w:ascii="Times New Roman" w:eastAsia="Times New Roman" w:hAnsi="Times New Roman" w:cs="Times New Roman"/>
          <w:sz w:val="26"/>
          <w:szCs w:val="26"/>
        </w:rPr>
        <w:t xml:space="preserve">is much lower than Clearview’s previous </w:t>
      </w:r>
      <w:r w:rsidR="00C97F19" w:rsidRPr="00BB06DE">
        <w:rPr>
          <w:rFonts w:ascii="Times New Roman" w:eastAsia="Times New Roman" w:hAnsi="Times New Roman" w:cs="Times New Roman"/>
          <w:sz w:val="26"/>
          <w:szCs w:val="26"/>
        </w:rPr>
        <w:t xml:space="preserve">alleged overbilling resolved by the </w:t>
      </w:r>
      <w:r w:rsidR="00C97F19" w:rsidRPr="00BB06DE">
        <w:rPr>
          <w:rFonts w:ascii="Times New Roman" w:eastAsia="Times New Roman" w:hAnsi="Times New Roman" w:cs="Times New Roman"/>
          <w:i/>
          <w:iCs/>
          <w:sz w:val="26"/>
          <w:szCs w:val="26"/>
        </w:rPr>
        <w:t>2017 Settlement</w:t>
      </w:r>
      <w:r w:rsidR="00C97F19" w:rsidRPr="00BB06DE">
        <w:rPr>
          <w:rFonts w:ascii="Times New Roman" w:eastAsia="Times New Roman" w:hAnsi="Times New Roman" w:cs="Times New Roman"/>
          <w:sz w:val="26"/>
          <w:szCs w:val="26"/>
        </w:rPr>
        <w:t xml:space="preserve">.  </w:t>
      </w:r>
      <w:r w:rsidR="00C340E2" w:rsidRPr="00BB06DE">
        <w:rPr>
          <w:rFonts w:ascii="Times New Roman" w:eastAsia="Times New Roman" w:hAnsi="Times New Roman" w:cs="Times New Roman"/>
          <w:sz w:val="26"/>
          <w:szCs w:val="26"/>
        </w:rPr>
        <w:t xml:space="preserve">Clearview avers that this was an administrative error.  </w:t>
      </w:r>
      <w:r w:rsidR="006B08C9" w:rsidRPr="00BB06DE">
        <w:rPr>
          <w:rFonts w:ascii="Times New Roman" w:eastAsia="Times New Roman" w:hAnsi="Times New Roman" w:cs="Times New Roman"/>
          <w:sz w:val="26"/>
          <w:szCs w:val="26"/>
        </w:rPr>
        <w:t>Upon review of this information</w:t>
      </w:r>
      <w:r w:rsidR="00A044D2" w:rsidRPr="00BB06DE">
        <w:rPr>
          <w:rFonts w:ascii="Times New Roman" w:eastAsia="Times New Roman" w:hAnsi="Times New Roman" w:cs="Times New Roman"/>
          <w:sz w:val="26"/>
          <w:szCs w:val="26"/>
        </w:rPr>
        <w:t xml:space="preserve"> and considering this factor</w:t>
      </w:r>
      <w:r w:rsidR="006B08C9" w:rsidRPr="00BB06DE">
        <w:rPr>
          <w:rFonts w:ascii="Times New Roman" w:eastAsia="Times New Roman" w:hAnsi="Times New Roman" w:cs="Times New Roman"/>
          <w:sz w:val="26"/>
          <w:szCs w:val="26"/>
        </w:rPr>
        <w:t>, w</w:t>
      </w:r>
      <w:r w:rsidR="00C97F19" w:rsidRPr="00BB06DE">
        <w:rPr>
          <w:rFonts w:ascii="Times New Roman" w:eastAsia="Times New Roman" w:hAnsi="Times New Roman" w:cs="Times New Roman"/>
          <w:sz w:val="26"/>
          <w:szCs w:val="26"/>
        </w:rPr>
        <w:t xml:space="preserve">e </w:t>
      </w:r>
      <w:r w:rsidR="00ED1FA7" w:rsidRPr="00BB06DE">
        <w:rPr>
          <w:rFonts w:ascii="Times New Roman" w:eastAsia="Times New Roman" w:hAnsi="Times New Roman" w:cs="Times New Roman"/>
          <w:sz w:val="26"/>
          <w:szCs w:val="26"/>
        </w:rPr>
        <w:t>find that the</w:t>
      </w:r>
      <w:r w:rsidR="00A56B1A" w:rsidRPr="00BB06DE">
        <w:rPr>
          <w:rFonts w:ascii="Times New Roman" w:eastAsia="Times New Roman" w:hAnsi="Times New Roman" w:cs="Times New Roman"/>
          <w:sz w:val="26"/>
          <w:szCs w:val="26"/>
        </w:rPr>
        <w:t xml:space="preserve"> compliance history of Clearview, while imperfect, is not so failing as to render the</w:t>
      </w:r>
      <w:r w:rsidR="00ED1FA7" w:rsidRPr="00BB06DE">
        <w:rPr>
          <w:rFonts w:ascii="Times New Roman" w:eastAsia="Times New Roman" w:hAnsi="Times New Roman" w:cs="Times New Roman"/>
          <w:sz w:val="26"/>
          <w:szCs w:val="26"/>
        </w:rPr>
        <w:t xml:space="preserve"> Settlement </w:t>
      </w:r>
      <w:r w:rsidR="00A56B1A" w:rsidRPr="00BB06DE">
        <w:rPr>
          <w:rFonts w:ascii="Times New Roman" w:eastAsia="Times New Roman" w:hAnsi="Times New Roman" w:cs="Times New Roman"/>
          <w:sz w:val="26"/>
          <w:szCs w:val="26"/>
        </w:rPr>
        <w:t>un</w:t>
      </w:r>
      <w:r w:rsidR="006B08C9" w:rsidRPr="00BB06DE">
        <w:rPr>
          <w:rFonts w:ascii="Times New Roman" w:eastAsia="Times New Roman" w:hAnsi="Times New Roman" w:cs="Times New Roman"/>
          <w:sz w:val="26"/>
          <w:szCs w:val="26"/>
        </w:rPr>
        <w:t>reasonable</w:t>
      </w:r>
      <w:r w:rsidR="00A56B1A" w:rsidRPr="00BB06DE">
        <w:rPr>
          <w:rFonts w:ascii="Times New Roman" w:eastAsia="Times New Roman" w:hAnsi="Times New Roman" w:cs="Times New Roman"/>
          <w:sz w:val="26"/>
          <w:szCs w:val="26"/>
        </w:rPr>
        <w:t>.</w:t>
      </w:r>
      <w:r w:rsidR="006B08C9" w:rsidRPr="00BB06DE">
        <w:rPr>
          <w:rFonts w:ascii="Times New Roman" w:eastAsia="Times New Roman" w:hAnsi="Times New Roman" w:cs="Times New Roman"/>
          <w:sz w:val="26"/>
          <w:szCs w:val="26"/>
        </w:rPr>
        <w:t xml:space="preserve"> </w:t>
      </w:r>
    </w:p>
    <w:p w14:paraId="2CAC152C" w14:textId="77777777" w:rsidR="00A36433" w:rsidRPr="00BB06DE" w:rsidRDefault="00A36433" w:rsidP="00481C68">
      <w:pPr>
        <w:tabs>
          <w:tab w:val="num" w:pos="1440"/>
        </w:tabs>
        <w:spacing w:after="0" w:line="360" w:lineRule="auto"/>
        <w:ind w:firstLine="1440"/>
        <w:rPr>
          <w:rFonts w:ascii="Times New Roman" w:eastAsia="Times New Roman" w:hAnsi="Times New Roman" w:cs="Times New Roman"/>
          <w:sz w:val="26"/>
          <w:szCs w:val="26"/>
        </w:rPr>
      </w:pPr>
    </w:p>
    <w:p w14:paraId="2B99D57C" w14:textId="6153D405" w:rsidR="00201859" w:rsidRPr="00BB06DE" w:rsidRDefault="00535E08" w:rsidP="00201859">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Calibri" w:hAnsi="Times New Roman" w:cs="Times New Roman"/>
          <w:sz w:val="26"/>
          <w:szCs w:val="26"/>
          <w:lang w:val="x-none" w:eastAsia="x-none"/>
        </w:rPr>
        <w:t xml:space="preserve">The seventh factor to be considered relates to whether the </w:t>
      </w:r>
      <w:r w:rsidRPr="00BB06DE">
        <w:rPr>
          <w:rFonts w:ascii="Times New Roman" w:eastAsia="Calibri" w:hAnsi="Times New Roman" w:cs="Times New Roman"/>
          <w:sz w:val="26"/>
          <w:szCs w:val="26"/>
          <w:lang w:eastAsia="x-none"/>
        </w:rPr>
        <w:t>Company</w:t>
      </w:r>
      <w:r w:rsidRPr="00BB06DE">
        <w:rPr>
          <w:rFonts w:ascii="Times New Roman" w:eastAsia="Calibri" w:hAnsi="Times New Roman" w:cs="Times New Roman"/>
          <w:sz w:val="26"/>
          <w:szCs w:val="26"/>
          <w:lang w:val="x-none" w:eastAsia="x-none"/>
        </w:rPr>
        <w:t xml:space="preserve"> cooperated with the Commission</w:t>
      </w:r>
      <w:r w:rsidR="002A308E">
        <w:rPr>
          <w:rFonts w:ascii="Times New Roman" w:eastAsia="Calibri" w:hAnsi="Times New Roman" w:cs="Times New Roman"/>
          <w:sz w:val="26"/>
          <w:szCs w:val="26"/>
          <w:lang w:eastAsia="x-none"/>
        </w:rPr>
        <w:t>’</w:t>
      </w:r>
      <w:r w:rsidRPr="00BB06DE">
        <w:rPr>
          <w:rFonts w:ascii="Times New Roman" w:eastAsia="Calibri" w:hAnsi="Times New Roman" w:cs="Times New Roman"/>
          <w:sz w:val="26"/>
          <w:szCs w:val="26"/>
          <w:lang w:val="x-none" w:eastAsia="x-none"/>
        </w:rPr>
        <w:t>s investigation.</w:t>
      </w:r>
      <w:r w:rsidRPr="00BB06DE">
        <w:rPr>
          <w:rFonts w:ascii="Times New Roman" w:eastAsia="Calibri" w:hAnsi="Times New Roman" w:cs="Times New Roman"/>
          <w:sz w:val="26"/>
          <w:szCs w:val="26"/>
          <w:lang w:eastAsia="x-none"/>
        </w:rPr>
        <w:t xml:space="preserve">  </w:t>
      </w:r>
      <w:r w:rsidRPr="00BB06DE">
        <w:rPr>
          <w:rFonts w:ascii="Times New Roman" w:eastAsia="Calibri" w:hAnsi="Times New Roman" w:cs="Times New Roman"/>
          <w:sz w:val="26"/>
          <w:szCs w:val="26"/>
          <w:lang w:val="x-none" w:eastAsia="x-none"/>
        </w:rPr>
        <w:t>52 Pa. Code § 69.1201(c)(7).</w:t>
      </w:r>
      <w:r w:rsidRPr="00BB06DE">
        <w:rPr>
          <w:rFonts w:ascii="Times New Roman" w:eastAsia="Calibri" w:hAnsi="Times New Roman" w:cs="Times New Roman"/>
          <w:sz w:val="26"/>
          <w:szCs w:val="26"/>
          <w:lang w:eastAsia="x-none"/>
        </w:rPr>
        <w:t xml:space="preserve">  I&amp;E submits that Clearview cooperated in the investigation, Complaint proceeding</w:t>
      </w:r>
      <w:r w:rsidR="001C029D">
        <w:rPr>
          <w:rFonts w:ascii="Times New Roman" w:eastAsia="Calibri" w:hAnsi="Times New Roman" w:cs="Times New Roman"/>
          <w:sz w:val="26"/>
          <w:szCs w:val="26"/>
          <w:lang w:eastAsia="x-none"/>
        </w:rPr>
        <w:t>,</w:t>
      </w:r>
      <w:r w:rsidRPr="00BB06DE">
        <w:rPr>
          <w:rFonts w:ascii="Times New Roman" w:eastAsia="Calibri" w:hAnsi="Times New Roman" w:cs="Times New Roman"/>
          <w:sz w:val="26"/>
          <w:szCs w:val="26"/>
          <w:lang w:eastAsia="x-none"/>
        </w:rPr>
        <w:t xml:space="preserve"> and settlement process in this matter and that such cooperation demonstrates a commitment consistent with compliance with the Commission’s </w:t>
      </w:r>
      <w:r w:rsidR="00871A9A" w:rsidRPr="00BB06DE">
        <w:rPr>
          <w:rFonts w:ascii="Times New Roman" w:eastAsia="Calibri" w:hAnsi="Times New Roman" w:cs="Times New Roman"/>
          <w:sz w:val="26"/>
          <w:szCs w:val="26"/>
          <w:lang w:eastAsia="x-none"/>
        </w:rPr>
        <w:t>R</w:t>
      </w:r>
      <w:r w:rsidRPr="00BB06DE">
        <w:rPr>
          <w:rFonts w:ascii="Times New Roman" w:eastAsia="Calibri" w:hAnsi="Times New Roman" w:cs="Times New Roman"/>
          <w:sz w:val="26"/>
          <w:szCs w:val="26"/>
          <w:lang w:eastAsia="x-none"/>
        </w:rPr>
        <w:t xml:space="preserve">egulations.  </w:t>
      </w:r>
      <w:r w:rsidR="00201859" w:rsidRPr="00BB06DE">
        <w:rPr>
          <w:rFonts w:ascii="Times New Roman" w:eastAsia="Times New Roman" w:hAnsi="Times New Roman" w:cs="Times New Roman"/>
          <w:sz w:val="26"/>
          <w:szCs w:val="26"/>
        </w:rPr>
        <w:t xml:space="preserve">I&amp;E Statement in </w:t>
      </w:r>
      <w:r w:rsidR="00201859" w:rsidRPr="00BB06DE">
        <w:rPr>
          <w:rFonts w:ascii="Times New Roman" w:eastAsia="Times New Roman" w:hAnsi="Times New Roman" w:cs="Times New Roman"/>
          <w:sz w:val="26"/>
          <w:szCs w:val="26"/>
        </w:rPr>
        <w:lastRenderedPageBreak/>
        <w:t>Support at 15.</w:t>
      </w:r>
      <w:r w:rsidR="00A044D2" w:rsidRPr="00BB06DE">
        <w:rPr>
          <w:rFonts w:ascii="Times New Roman" w:eastAsia="Times New Roman" w:hAnsi="Times New Roman" w:cs="Times New Roman"/>
          <w:sz w:val="26"/>
          <w:szCs w:val="26"/>
        </w:rPr>
        <w:t xml:space="preserve">  </w:t>
      </w:r>
      <w:r w:rsidR="00F44744" w:rsidRPr="00BB06DE">
        <w:rPr>
          <w:rFonts w:ascii="Times New Roman" w:eastAsia="Times New Roman" w:hAnsi="Times New Roman" w:cs="Times New Roman"/>
          <w:sz w:val="26"/>
          <w:szCs w:val="26"/>
        </w:rPr>
        <w:t xml:space="preserve">Clearview avers that it cooperated </w:t>
      </w:r>
      <w:r w:rsidR="000756FF" w:rsidRPr="00BB06DE">
        <w:rPr>
          <w:rFonts w:ascii="Times New Roman" w:eastAsia="Times New Roman" w:hAnsi="Times New Roman" w:cs="Times New Roman"/>
          <w:sz w:val="26"/>
          <w:szCs w:val="26"/>
        </w:rPr>
        <w:t xml:space="preserve">during the informal investigation, which preceded the filing of the Complaint, by timely responding to I&amp;E’s data requests.  Clearview Statement in Support at 15.  </w:t>
      </w:r>
      <w:r w:rsidR="00197F99" w:rsidRPr="00BB06DE">
        <w:rPr>
          <w:rFonts w:ascii="Times New Roman" w:eastAsia="Times New Roman" w:hAnsi="Times New Roman" w:cs="Times New Roman"/>
          <w:sz w:val="26"/>
          <w:szCs w:val="26"/>
        </w:rPr>
        <w:t xml:space="preserve">We note Clearview’s cooperation during the informal </w:t>
      </w:r>
      <w:r w:rsidR="00EF64BC" w:rsidRPr="00BB06DE">
        <w:rPr>
          <w:rFonts w:ascii="Times New Roman" w:eastAsia="Times New Roman" w:hAnsi="Times New Roman" w:cs="Times New Roman"/>
          <w:sz w:val="26"/>
          <w:szCs w:val="26"/>
        </w:rPr>
        <w:t xml:space="preserve">investigation and find that this mitigating factor supports the Settlement.  </w:t>
      </w:r>
    </w:p>
    <w:p w14:paraId="0CC2D991" w14:textId="77777777" w:rsidR="00775F0B" w:rsidRPr="00BB06DE" w:rsidRDefault="00775F0B" w:rsidP="00181D13">
      <w:pPr>
        <w:spacing w:after="0" w:line="360" w:lineRule="auto"/>
        <w:ind w:firstLine="1440"/>
        <w:rPr>
          <w:rFonts w:ascii="Times New Roman" w:eastAsia="Calibri" w:hAnsi="Times New Roman" w:cs="Times New Roman"/>
          <w:sz w:val="26"/>
          <w:szCs w:val="26"/>
          <w:lang w:eastAsia="x-none"/>
        </w:rPr>
      </w:pPr>
    </w:p>
    <w:p w14:paraId="6F6F1CC1" w14:textId="7A8B672B" w:rsidR="00201859" w:rsidRPr="00BB06DE" w:rsidRDefault="00535E08" w:rsidP="00201859">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eighth factor to be considered is the appropriate settlement amount necessary to deter future violations.  52 Pa. Code § 69.1201(c)(8).  I&amp;E submits that a civil penalty amount of $59,750, which is not tax deductible, in combination with the issuance of customer refunds and the monetary cost of Clearview’s performance of the remedial measures, especially its comprehensive agreement with a third party to upgrade its billing system and manage billing related functions, is substantial and sufficient to deter Clearview from committing future violations.  </w:t>
      </w:r>
      <w:r w:rsidR="00201859" w:rsidRPr="00BB06DE">
        <w:rPr>
          <w:rFonts w:ascii="Times New Roman" w:eastAsia="Times New Roman" w:hAnsi="Times New Roman" w:cs="Times New Roman"/>
          <w:sz w:val="26"/>
          <w:szCs w:val="26"/>
        </w:rPr>
        <w:t>I&amp;E Statement in Support at 15-16.</w:t>
      </w:r>
      <w:r w:rsidR="00EF64BC" w:rsidRPr="00BB06DE">
        <w:rPr>
          <w:rFonts w:ascii="Times New Roman" w:eastAsia="Times New Roman" w:hAnsi="Times New Roman" w:cs="Times New Roman"/>
          <w:sz w:val="26"/>
          <w:szCs w:val="26"/>
        </w:rPr>
        <w:t xml:space="preserve">  </w:t>
      </w:r>
      <w:r w:rsidR="00004513" w:rsidRPr="00BB06DE">
        <w:rPr>
          <w:rFonts w:ascii="Times New Roman" w:eastAsia="Times New Roman" w:hAnsi="Times New Roman" w:cs="Times New Roman"/>
          <w:sz w:val="26"/>
          <w:szCs w:val="26"/>
        </w:rPr>
        <w:t xml:space="preserve">Clearview contends that </w:t>
      </w:r>
      <w:r w:rsidR="009C7200" w:rsidRPr="00BB06DE">
        <w:rPr>
          <w:rFonts w:ascii="Times New Roman" w:eastAsia="Times New Roman" w:hAnsi="Times New Roman" w:cs="Times New Roman"/>
          <w:sz w:val="26"/>
          <w:szCs w:val="26"/>
        </w:rPr>
        <w:t xml:space="preserve">the civil penalty </w:t>
      </w:r>
      <w:r w:rsidR="00D37905" w:rsidRPr="00BB06DE">
        <w:rPr>
          <w:rFonts w:ascii="Times New Roman" w:eastAsia="Times New Roman" w:hAnsi="Times New Roman" w:cs="Times New Roman"/>
          <w:sz w:val="26"/>
          <w:szCs w:val="26"/>
        </w:rPr>
        <w:t xml:space="preserve">it agreed to pay </w:t>
      </w:r>
      <w:r w:rsidR="00A52536" w:rsidRPr="00BB06DE">
        <w:rPr>
          <w:rFonts w:ascii="Times New Roman" w:eastAsia="Times New Roman" w:hAnsi="Times New Roman" w:cs="Times New Roman"/>
          <w:sz w:val="26"/>
          <w:szCs w:val="26"/>
        </w:rPr>
        <w:t xml:space="preserve">in connection with the </w:t>
      </w:r>
      <w:r w:rsidR="00D37905" w:rsidRPr="00BB06DE">
        <w:rPr>
          <w:rFonts w:ascii="Times New Roman" w:eastAsia="Times New Roman" w:hAnsi="Times New Roman" w:cs="Times New Roman"/>
          <w:sz w:val="26"/>
          <w:szCs w:val="26"/>
        </w:rPr>
        <w:t>unauthorized</w:t>
      </w:r>
      <w:r w:rsidR="00A52536" w:rsidRPr="00BB06DE">
        <w:rPr>
          <w:rFonts w:ascii="Times New Roman" w:eastAsia="Times New Roman" w:hAnsi="Times New Roman" w:cs="Times New Roman"/>
          <w:sz w:val="26"/>
          <w:szCs w:val="26"/>
        </w:rPr>
        <w:t xml:space="preserve"> enrol</w:t>
      </w:r>
      <w:r w:rsidR="000E29CD">
        <w:rPr>
          <w:rFonts w:ascii="Times New Roman" w:eastAsia="Times New Roman" w:hAnsi="Times New Roman" w:cs="Times New Roman"/>
          <w:sz w:val="26"/>
          <w:szCs w:val="26"/>
        </w:rPr>
        <w:t>l</w:t>
      </w:r>
      <w:r w:rsidR="00A52536" w:rsidRPr="00BB06DE">
        <w:rPr>
          <w:rFonts w:ascii="Times New Roman" w:eastAsia="Times New Roman" w:hAnsi="Times New Roman" w:cs="Times New Roman"/>
          <w:sz w:val="26"/>
          <w:szCs w:val="26"/>
        </w:rPr>
        <w:t xml:space="preserve">ments, the alleged theft of a prospective </w:t>
      </w:r>
      <w:r w:rsidR="00D37905" w:rsidRPr="00BB06DE">
        <w:rPr>
          <w:rFonts w:ascii="Times New Roman" w:eastAsia="Times New Roman" w:hAnsi="Times New Roman" w:cs="Times New Roman"/>
          <w:sz w:val="26"/>
          <w:szCs w:val="26"/>
        </w:rPr>
        <w:t>customer’s</w:t>
      </w:r>
      <w:r w:rsidR="00A52536" w:rsidRPr="00BB06DE">
        <w:rPr>
          <w:rFonts w:ascii="Times New Roman" w:eastAsia="Times New Roman" w:hAnsi="Times New Roman" w:cs="Times New Roman"/>
          <w:sz w:val="26"/>
          <w:szCs w:val="26"/>
        </w:rPr>
        <w:t xml:space="preserve"> wallet, and the allegation </w:t>
      </w:r>
      <w:r w:rsidR="00D37905" w:rsidRPr="00BB06DE">
        <w:rPr>
          <w:rFonts w:ascii="Times New Roman" w:eastAsia="Times New Roman" w:hAnsi="Times New Roman" w:cs="Times New Roman"/>
          <w:sz w:val="26"/>
          <w:szCs w:val="26"/>
        </w:rPr>
        <w:t>concerning</w:t>
      </w:r>
      <w:r w:rsidR="00A52536" w:rsidRPr="00BB06DE">
        <w:rPr>
          <w:rFonts w:ascii="Times New Roman" w:eastAsia="Times New Roman" w:hAnsi="Times New Roman" w:cs="Times New Roman"/>
          <w:sz w:val="26"/>
          <w:szCs w:val="26"/>
        </w:rPr>
        <w:t xml:space="preserve"> the adequacy of Clearview’s crimi</w:t>
      </w:r>
      <w:r w:rsidR="005D696A" w:rsidRPr="00BB06DE">
        <w:rPr>
          <w:rFonts w:ascii="Times New Roman" w:eastAsia="Times New Roman" w:hAnsi="Times New Roman" w:cs="Times New Roman"/>
          <w:sz w:val="26"/>
          <w:szCs w:val="26"/>
        </w:rPr>
        <w:t xml:space="preserve">nal background checks </w:t>
      </w:r>
      <w:r w:rsidR="00D37905" w:rsidRPr="00BB06DE">
        <w:rPr>
          <w:rFonts w:ascii="Times New Roman" w:eastAsia="Times New Roman" w:hAnsi="Times New Roman" w:cs="Times New Roman"/>
          <w:sz w:val="26"/>
          <w:szCs w:val="26"/>
        </w:rPr>
        <w:t xml:space="preserve">is a sufficient deterrent.  Clearview Statement in Support at 16.  </w:t>
      </w:r>
      <w:r w:rsidR="00DD4453" w:rsidRPr="00BB06DE">
        <w:rPr>
          <w:rFonts w:ascii="Times New Roman" w:eastAsia="Times New Roman" w:hAnsi="Times New Roman" w:cs="Times New Roman"/>
          <w:sz w:val="26"/>
          <w:szCs w:val="26"/>
        </w:rPr>
        <w:t xml:space="preserve">Based on the amount of the civil penalty and the additional measures Clearview has taken to </w:t>
      </w:r>
      <w:r w:rsidR="002B79E1" w:rsidRPr="00BB06DE">
        <w:rPr>
          <w:rFonts w:ascii="Times New Roman" w:eastAsia="Times New Roman" w:hAnsi="Times New Roman" w:cs="Times New Roman"/>
          <w:sz w:val="26"/>
          <w:szCs w:val="26"/>
        </w:rPr>
        <w:t xml:space="preserve">comply with </w:t>
      </w:r>
      <w:r w:rsidR="000D54EE" w:rsidRPr="00BB06DE">
        <w:rPr>
          <w:rFonts w:ascii="Times New Roman" w:eastAsia="Times New Roman" w:hAnsi="Times New Roman" w:cs="Times New Roman"/>
          <w:sz w:val="26"/>
          <w:szCs w:val="26"/>
        </w:rPr>
        <w:t>its</w:t>
      </w:r>
      <w:r w:rsidR="002B79E1" w:rsidRPr="00BB06DE">
        <w:rPr>
          <w:rFonts w:ascii="Times New Roman" w:eastAsia="Times New Roman" w:hAnsi="Times New Roman" w:cs="Times New Roman"/>
          <w:sz w:val="26"/>
          <w:szCs w:val="26"/>
        </w:rPr>
        <w:t xml:space="preserve"> </w:t>
      </w:r>
      <w:r w:rsidR="00475F5F" w:rsidRPr="00BB06DE">
        <w:rPr>
          <w:rFonts w:ascii="Times New Roman" w:eastAsia="Times New Roman" w:hAnsi="Times New Roman" w:cs="Times New Roman"/>
          <w:sz w:val="26"/>
          <w:szCs w:val="26"/>
        </w:rPr>
        <w:t xml:space="preserve">background checks, </w:t>
      </w:r>
      <w:r w:rsidR="002B79E1" w:rsidRPr="00BB06DE">
        <w:rPr>
          <w:rFonts w:ascii="Times New Roman" w:eastAsia="Times New Roman" w:hAnsi="Times New Roman" w:cs="Times New Roman"/>
          <w:sz w:val="26"/>
          <w:szCs w:val="26"/>
        </w:rPr>
        <w:t>notification</w:t>
      </w:r>
      <w:r w:rsidR="00483324" w:rsidRPr="00BB06DE">
        <w:rPr>
          <w:rFonts w:ascii="Times New Roman" w:eastAsia="Times New Roman" w:hAnsi="Times New Roman" w:cs="Times New Roman"/>
          <w:sz w:val="26"/>
          <w:szCs w:val="26"/>
        </w:rPr>
        <w:t>s,</w:t>
      </w:r>
      <w:r w:rsidR="002B79E1" w:rsidRPr="00BB06DE">
        <w:rPr>
          <w:rFonts w:ascii="Times New Roman" w:eastAsia="Times New Roman" w:hAnsi="Times New Roman" w:cs="Times New Roman"/>
          <w:sz w:val="26"/>
          <w:szCs w:val="26"/>
        </w:rPr>
        <w:t xml:space="preserve"> and billing obligations, we conclude that </w:t>
      </w:r>
      <w:r w:rsidR="001C3A5F" w:rsidRPr="00BB06DE">
        <w:rPr>
          <w:rFonts w:ascii="Times New Roman" w:eastAsia="Times New Roman" w:hAnsi="Times New Roman" w:cs="Times New Roman"/>
          <w:sz w:val="26"/>
          <w:szCs w:val="26"/>
        </w:rPr>
        <w:t xml:space="preserve">the Settlement deters future violations.  </w:t>
      </w:r>
    </w:p>
    <w:p w14:paraId="4C7CC19D" w14:textId="14AEFA6C" w:rsidR="00535E08" w:rsidRPr="00BB06DE" w:rsidRDefault="00535E08" w:rsidP="00181D13">
      <w:pPr>
        <w:tabs>
          <w:tab w:val="num" w:pos="1440"/>
        </w:tabs>
        <w:spacing w:after="0" w:line="360" w:lineRule="auto"/>
        <w:ind w:firstLine="1440"/>
        <w:rPr>
          <w:rFonts w:ascii="Times New Roman" w:eastAsia="Times New Roman" w:hAnsi="Times New Roman" w:cs="Times New Roman"/>
          <w:sz w:val="26"/>
          <w:szCs w:val="26"/>
        </w:rPr>
      </w:pPr>
    </w:p>
    <w:p w14:paraId="0DE038C9" w14:textId="294FE2A1" w:rsidR="001511B8" w:rsidRPr="00BB06DE" w:rsidRDefault="00535E08" w:rsidP="001511B8">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ninth factor to be considered relates to past Commission decisions in similar situations.  52 Pa. Code § 69.1201(c)(9).  The Settlement Agreement between I&amp;E and Clearview provides a civil penalty of $1,000 for each of the 10 customer accounts that were physically switched to and received electric generation supply service from Clearview without the customers’ authorization.  This per account civil penalty is identical to the $1,000 per account penalty imposed by the Commission in previous slamming matters where a customer’s account was switched and received electric generation supply service from a company without the customer’s authorization.  </w:t>
      </w:r>
      <w:r w:rsidRPr="00BB06DE">
        <w:rPr>
          <w:rFonts w:ascii="Times New Roman" w:eastAsia="Times New Roman" w:hAnsi="Times New Roman" w:cs="Times New Roman"/>
          <w:i/>
          <w:sz w:val="26"/>
          <w:szCs w:val="26"/>
        </w:rPr>
        <w:t>See Pa.</w:t>
      </w:r>
      <w:r w:rsidR="005825DC">
        <w:rPr>
          <w:rFonts w:ascii="Times New Roman" w:eastAsia="Times New Roman" w:hAnsi="Times New Roman" w:cs="Times New Roman"/>
          <w:i/>
          <w:sz w:val="26"/>
          <w:szCs w:val="26"/>
        </w:rPr>
        <w:t> PUC</w:t>
      </w:r>
      <w:r w:rsidRPr="00BB06DE">
        <w:rPr>
          <w:rFonts w:ascii="Times New Roman" w:eastAsia="Times New Roman" w:hAnsi="Times New Roman" w:cs="Times New Roman"/>
          <w:i/>
          <w:sz w:val="26"/>
          <w:szCs w:val="26"/>
        </w:rPr>
        <w:t>, Law Bureau Prosecutory Staff v. MXenergy Electric, Inc.</w:t>
      </w:r>
      <w:r w:rsidRPr="00BB06DE">
        <w:rPr>
          <w:rFonts w:ascii="Times New Roman" w:eastAsia="Times New Roman" w:hAnsi="Times New Roman" w:cs="Times New Roman"/>
          <w:sz w:val="26"/>
          <w:szCs w:val="26"/>
        </w:rPr>
        <w:t xml:space="preserve">, Docket No. </w:t>
      </w:r>
      <w:r w:rsidRPr="00BB06DE">
        <w:rPr>
          <w:rFonts w:ascii="Times New Roman" w:eastAsia="Times New Roman" w:hAnsi="Times New Roman" w:cs="Times New Roman"/>
          <w:sz w:val="26"/>
          <w:szCs w:val="26"/>
        </w:rPr>
        <w:lastRenderedPageBreak/>
        <w:t>M</w:t>
      </w:r>
      <w:r w:rsidR="005825DC">
        <w:rPr>
          <w:rFonts w:ascii="Times New Roman" w:eastAsia="Times New Roman" w:hAnsi="Times New Roman" w:cs="Times New Roman"/>
          <w:sz w:val="26"/>
          <w:szCs w:val="26"/>
        </w:rPr>
        <w:noBreakHyphen/>
      </w:r>
      <w:r w:rsidRPr="00BB06DE">
        <w:rPr>
          <w:rFonts w:ascii="Times New Roman" w:eastAsia="Times New Roman" w:hAnsi="Times New Roman" w:cs="Times New Roman"/>
          <w:sz w:val="26"/>
          <w:szCs w:val="26"/>
        </w:rPr>
        <w:t>2012</w:t>
      </w:r>
      <w:r w:rsidR="005825DC">
        <w:rPr>
          <w:rFonts w:ascii="Times New Roman" w:eastAsia="Times New Roman" w:hAnsi="Times New Roman" w:cs="Times New Roman"/>
          <w:sz w:val="26"/>
          <w:szCs w:val="26"/>
        </w:rPr>
        <w:noBreakHyphen/>
      </w:r>
      <w:r w:rsidRPr="00BB06DE">
        <w:rPr>
          <w:rFonts w:ascii="Times New Roman" w:eastAsia="Times New Roman" w:hAnsi="Times New Roman" w:cs="Times New Roman"/>
          <w:sz w:val="26"/>
          <w:szCs w:val="26"/>
        </w:rPr>
        <w:t xml:space="preserve">2201861 (Order entered August 29, 2013); </w:t>
      </w:r>
      <w:r w:rsidR="009A0AA4">
        <w:rPr>
          <w:rFonts w:ascii="Times New Roman" w:eastAsia="Times New Roman" w:hAnsi="Times New Roman" w:cs="Times New Roman"/>
          <w:sz w:val="26"/>
          <w:szCs w:val="26"/>
        </w:rPr>
        <w:t>s</w:t>
      </w:r>
      <w:r w:rsidRPr="00BB06DE">
        <w:rPr>
          <w:rFonts w:ascii="Times New Roman" w:eastAsia="Times New Roman" w:hAnsi="Times New Roman" w:cs="Times New Roman"/>
          <w:i/>
          <w:iCs/>
          <w:sz w:val="26"/>
          <w:szCs w:val="26"/>
        </w:rPr>
        <w:t>ee also</w:t>
      </w:r>
      <w:r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i/>
          <w:sz w:val="26"/>
          <w:szCs w:val="26"/>
        </w:rPr>
        <w:t xml:space="preserve">Pa. </w:t>
      </w:r>
      <w:r w:rsidR="00896733">
        <w:rPr>
          <w:rFonts w:ascii="Times New Roman" w:eastAsia="Times New Roman" w:hAnsi="Times New Roman" w:cs="Times New Roman"/>
          <w:i/>
          <w:sz w:val="26"/>
          <w:szCs w:val="26"/>
        </w:rPr>
        <w:t>PUC</w:t>
      </w:r>
      <w:r w:rsidRPr="00BB06DE">
        <w:rPr>
          <w:rFonts w:ascii="Times New Roman" w:eastAsia="Times New Roman" w:hAnsi="Times New Roman" w:cs="Times New Roman"/>
          <w:i/>
          <w:sz w:val="26"/>
          <w:szCs w:val="26"/>
        </w:rPr>
        <w:t>, Bureau of Investigation and Enforcement v. Energy Services Providers, Inc. d/b/a Pa. Gas &amp; Electric and U.S. Gas &amp; Electric, Inc. d/b/a Pa. Gas &amp; Electric</w:t>
      </w:r>
      <w:r w:rsidRPr="00BB06DE">
        <w:rPr>
          <w:rFonts w:ascii="Times New Roman" w:eastAsia="Times New Roman" w:hAnsi="Times New Roman" w:cs="Times New Roman"/>
          <w:sz w:val="26"/>
          <w:szCs w:val="26"/>
        </w:rPr>
        <w:t>, Docket No. M</w:t>
      </w:r>
      <w:r w:rsidR="00896733">
        <w:rPr>
          <w:rFonts w:ascii="Times New Roman" w:eastAsia="Times New Roman" w:hAnsi="Times New Roman" w:cs="Times New Roman"/>
          <w:sz w:val="26"/>
          <w:szCs w:val="26"/>
        </w:rPr>
        <w:noBreakHyphen/>
      </w:r>
      <w:r w:rsidRPr="00BB06DE">
        <w:rPr>
          <w:rFonts w:ascii="Times New Roman" w:eastAsia="Times New Roman" w:hAnsi="Times New Roman" w:cs="Times New Roman"/>
          <w:sz w:val="26"/>
          <w:szCs w:val="26"/>
        </w:rPr>
        <w:t>2013</w:t>
      </w:r>
      <w:r w:rsidR="00896733">
        <w:rPr>
          <w:rFonts w:ascii="Times New Roman" w:eastAsia="Times New Roman" w:hAnsi="Times New Roman" w:cs="Times New Roman"/>
          <w:sz w:val="26"/>
          <w:szCs w:val="26"/>
        </w:rPr>
        <w:noBreakHyphen/>
      </w:r>
      <w:r w:rsidRPr="00BB06DE">
        <w:rPr>
          <w:rFonts w:ascii="Times New Roman" w:eastAsia="Times New Roman" w:hAnsi="Times New Roman" w:cs="Times New Roman"/>
          <w:sz w:val="26"/>
          <w:szCs w:val="26"/>
        </w:rPr>
        <w:t xml:space="preserve">2325122 (Order entered October 2, 2014); and </w:t>
      </w:r>
      <w:r w:rsidRPr="00BB06DE">
        <w:rPr>
          <w:rFonts w:ascii="Times New Roman" w:eastAsia="Times New Roman" w:hAnsi="Times New Roman" w:cs="Times New Roman"/>
          <w:i/>
          <w:iCs/>
          <w:sz w:val="26"/>
          <w:szCs w:val="26"/>
        </w:rPr>
        <w:t>See also</w:t>
      </w:r>
      <w:r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i/>
          <w:iCs/>
          <w:sz w:val="26"/>
          <w:szCs w:val="26"/>
        </w:rPr>
        <w:t xml:space="preserve">Pa. </w:t>
      </w:r>
      <w:r w:rsidR="00896733">
        <w:rPr>
          <w:rFonts w:ascii="Times New Roman" w:eastAsia="Times New Roman" w:hAnsi="Times New Roman" w:cs="Times New Roman"/>
          <w:i/>
          <w:iCs/>
          <w:sz w:val="26"/>
          <w:szCs w:val="26"/>
        </w:rPr>
        <w:t>PUC</w:t>
      </w:r>
      <w:r w:rsidRPr="00BB06DE">
        <w:rPr>
          <w:rFonts w:ascii="Times New Roman" w:eastAsia="Times New Roman" w:hAnsi="Times New Roman" w:cs="Times New Roman"/>
          <w:i/>
          <w:iCs/>
          <w:sz w:val="26"/>
          <w:szCs w:val="26"/>
        </w:rPr>
        <w:t>, Bureau of Investigation and Enforcement v. Reliant Energy Northeast LLC d/b/a Reliant Energy, NRG Business Solutions, Reliant-NRG, NRG Residential Solutions, NRG Retail Solutions, NRG Home and NRG Business</w:t>
      </w:r>
      <w:r w:rsidRPr="00BB06DE">
        <w:rPr>
          <w:rFonts w:ascii="Times New Roman" w:eastAsia="Times New Roman" w:hAnsi="Times New Roman" w:cs="Times New Roman"/>
          <w:sz w:val="26"/>
          <w:szCs w:val="26"/>
        </w:rPr>
        <w:t>, Docket No. M-2020-3006647 (Order entered March 25, 2021).</w:t>
      </w:r>
      <w:r w:rsidR="001511B8" w:rsidRPr="00BB06DE">
        <w:rPr>
          <w:rFonts w:ascii="Times New Roman" w:eastAsia="Times New Roman" w:hAnsi="Times New Roman" w:cs="Times New Roman"/>
          <w:sz w:val="26"/>
          <w:szCs w:val="26"/>
        </w:rPr>
        <w:t xml:space="preserve">  I&amp;E Statement in Support at 16.</w:t>
      </w:r>
    </w:p>
    <w:p w14:paraId="48837E43" w14:textId="77777777" w:rsidR="002768D2" w:rsidRPr="00BB06DE" w:rsidRDefault="002768D2" w:rsidP="00181D13">
      <w:pPr>
        <w:tabs>
          <w:tab w:val="num" w:pos="1440"/>
        </w:tabs>
        <w:spacing w:after="0" w:line="360" w:lineRule="auto"/>
        <w:ind w:firstLine="1440"/>
        <w:rPr>
          <w:rFonts w:ascii="Times New Roman" w:eastAsia="Times New Roman" w:hAnsi="Times New Roman" w:cs="Times New Roman"/>
          <w:sz w:val="26"/>
          <w:szCs w:val="26"/>
        </w:rPr>
      </w:pPr>
    </w:p>
    <w:p w14:paraId="4A61D0A3" w14:textId="38EF9462" w:rsidR="001511B8" w:rsidRPr="00BB06DE" w:rsidRDefault="00535E08" w:rsidP="001511B8">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Settlement Agreement also provides for a civil penalty of $25,000 to resolve 137 alleged overbilling violations, which represents a “per violation” civil penalty of more than $182 per count.  As noted herein, </w:t>
      </w:r>
      <w:r w:rsidRPr="00BB06DE">
        <w:rPr>
          <w:rFonts w:ascii="Times New Roman" w:eastAsia="Times New Roman" w:hAnsi="Times New Roman" w:cs="Times New Roman"/>
          <w:i/>
          <w:iCs/>
          <w:sz w:val="26"/>
          <w:szCs w:val="26"/>
        </w:rPr>
        <w:t>supra.</w:t>
      </w:r>
      <w:r w:rsidRPr="00BB06DE">
        <w:rPr>
          <w:rFonts w:ascii="Times New Roman" w:eastAsia="Times New Roman" w:hAnsi="Times New Roman" w:cs="Times New Roman"/>
          <w:sz w:val="26"/>
          <w:szCs w:val="26"/>
        </w:rPr>
        <w:t xml:space="preserve">, this civil penalty amount considers that the instant matter is Clearview’s second offense with respect to overbilling violations brought forth by I&amp;E and it greatly exceeds the $24 “per violation” civil penalty that was imposed by the Commission in </w:t>
      </w:r>
      <w:r w:rsidRPr="00BB06DE">
        <w:rPr>
          <w:rFonts w:ascii="Times New Roman" w:eastAsia="Times New Roman" w:hAnsi="Times New Roman" w:cs="Times New Roman"/>
          <w:i/>
          <w:sz w:val="26"/>
          <w:szCs w:val="26"/>
        </w:rPr>
        <w:t>Pa. P</w:t>
      </w:r>
      <w:r w:rsidR="000074E0">
        <w:rPr>
          <w:rFonts w:ascii="Times New Roman" w:eastAsia="Times New Roman" w:hAnsi="Times New Roman" w:cs="Times New Roman"/>
          <w:i/>
          <w:sz w:val="26"/>
          <w:szCs w:val="26"/>
        </w:rPr>
        <w:t>UC</w:t>
      </w:r>
      <w:r w:rsidRPr="00BB06DE">
        <w:rPr>
          <w:rFonts w:ascii="Times New Roman" w:eastAsia="Times New Roman" w:hAnsi="Times New Roman" w:cs="Times New Roman"/>
          <w:i/>
          <w:sz w:val="26"/>
          <w:szCs w:val="26"/>
        </w:rPr>
        <w:t>, Bureau of Investigation and Enforcement v. Clearview Electric, Inc.</w:t>
      </w:r>
      <w:r w:rsidRPr="00BB06DE">
        <w:rPr>
          <w:rFonts w:ascii="Times New Roman" w:eastAsia="Times New Roman" w:hAnsi="Times New Roman" w:cs="Times New Roman"/>
          <w:sz w:val="26"/>
          <w:szCs w:val="26"/>
        </w:rPr>
        <w:t xml:space="preserve">, Docket No. C-2016-2543592.  The $182 “per violation” civil penalty is also larger than the $125 “per violation” imposed by the Commission in </w:t>
      </w:r>
      <w:r w:rsidRPr="00BB06DE">
        <w:rPr>
          <w:rFonts w:ascii="Times New Roman" w:eastAsia="Times New Roman" w:hAnsi="Times New Roman" w:cs="Times New Roman"/>
          <w:i/>
          <w:iCs/>
          <w:sz w:val="26"/>
          <w:szCs w:val="26"/>
        </w:rPr>
        <w:t>Pa.</w:t>
      </w:r>
      <w:r w:rsidR="000074E0">
        <w:rPr>
          <w:rFonts w:ascii="Times New Roman" w:eastAsia="Times New Roman" w:hAnsi="Times New Roman" w:cs="Times New Roman"/>
          <w:i/>
          <w:iCs/>
          <w:sz w:val="26"/>
          <w:szCs w:val="26"/>
        </w:rPr>
        <w:t> PUC</w:t>
      </w:r>
      <w:r w:rsidRPr="00BB06DE">
        <w:rPr>
          <w:rFonts w:ascii="Times New Roman" w:eastAsia="Times New Roman" w:hAnsi="Times New Roman" w:cs="Times New Roman"/>
          <w:i/>
          <w:iCs/>
          <w:sz w:val="26"/>
          <w:szCs w:val="26"/>
        </w:rPr>
        <w:t>, Bureau of Investigation and Enforcement v. HIKO Energy, LLC</w:t>
      </w:r>
      <w:r w:rsidRPr="00BB06DE">
        <w:rPr>
          <w:rFonts w:ascii="Times New Roman" w:eastAsia="Times New Roman" w:hAnsi="Times New Roman" w:cs="Times New Roman"/>
          <w:sz w:val="26"/>
          <w:szCs w:val="26"/>
        </w:rPr>
        <w:t>, Docket No. C-2014-2431410 (Order entered December 3, 2015), which was a fully litigated matter involving allegations that company management deliberately overcharged customers to save the company from financial peril – facts which are not present in the instant matter.</w:t>
      </w:r>
      <w:r w:rsidR="001511B8" w:rsidRPr="00BB06DE">
        <w:rPr>
          <w:rFonts w:ascii="Times New Roman" w:eastAsia="Times New Roman" w:hAnsi="Times New Roman" w:cs="Times New Roman"/>
          <w:sz w:val="26"/>
          <w:szCs w:val="26"/>
        </w:rPr>
        <w:t xml:space="preserve">  I&amp;E Statement in Support at 16-17.</w:t>
      </w:r>
    </w:p>
    <w:p w14:paraId="06188069" w14:textId="258DDE66" w:rsidR="00535E08" w:rsidRPr="00BB06DE" w:rsidRDefault="00535E08" w:rsidP="00181D13">
      <w:pPr>
        <w:tabs>
          <w:tab w:val="num" w:pos="1440"/>
        </w:tabs>
        <w:spacing w:after="0" w:line="360" w:lineRule="auto"/>
        <w:ind w:firstLine="1440"/>
        <w:rPr>
          <w:rFonts w:ascii="Times New Roman" w:eastAsia="Times New Roman" w:hAnsi="Times New Roman" w:cs="Times New Roman"/>
          <w:sz w:val="26"/>
          <w:szCs w:val="26"/>
        </w:rPr>
      </w:pPr>
    </w:p>
    <w:p w14:paraId="68408BC2" w14:textId="0DBD47B2" w:rsidR="00B31137" w:rsidRPr="00BB06DE" w:rsidRDefault="00535E08" w:rsidP="00B31137">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Regarding the allegations that Clearview failed to obtain criminal background histories from the Pennsylvania State Police of the two sales agents implicated in the June 2017 wallet theft incident, the Settlement provides for a $2,000 civil penalty.  This civil penalty, which is the statutory maximum pursuant to 66 Pa.</w:t>
      </w:r>
      <w:r w:rsidR="00E23DD0">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 xml:space="preserve">C.S. § 3301, is larger than the $425 “per violation” civil penalty imposed by the Commission in </w:t>
      </w:r>
      <w:r w:rsidRPr="00BB06DE">
        <w:rPr>
          <w:rFonts w:ascii="Times New Roman" w:eastAsia="Times New Roman" w:hAnsi="Times New Roman" w:cs="Times New Roman"/>
          <w:i/>
          <w:iCs/>
          <w:sz w:val="26"/>
          <w:szCs w:val="26"/>
        </w:rPr>
        <w:t>Pa. P</w:t>
      </w:r>
      <w:r w:rsidR="000074E0">
        <w:rPr>
          <w:rFonts w:ascii="Times New Roman" w:eastAsia="Times New Roman" w:hAnsi="Times New Roman" w:cs="Times New Roman"/>
          <w:i/>
          <w:iCs/>
          <w:sz w:val="26"/>
          <w:szCs w:val="26"/>
        </w:rPr>
        <w:t>UC</w:t>
      </w:r>
      <w:r w:rsidRPr="00BB06DE">
        <w:rPr>
          <w:rFonts w:ascii="Times New Roman" w:eastAsia="Times New Roman" w:hAnsi="Times New Roman" w:cs="Times New Roman"/>
          <w:i/>
          <w:iCs/>
          <w:sz w:val="26"/>
          <w:szCs w:val="26"/>
        </w:rPr>
        <w:t>, Bureau of Investigation and Enforcement v. Vista Energy Marketing, L.P.</w:t>
      </w:r>
      <w:r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lastRenderedPageBreak/>
        <w:t>Docket No. M-2018-2624484 (Order entered March 27, 2019) (related to an I&amp;E investigation of an EGS finding that 124 sales agents were conditionally approved to conduct sales and marketing activities while the results of Pennsylvania State Police criminal background checks were pending).</w:t>
      </w:r>
      <w:r w:rsidR="00B31137" w:rsidRPr="00BB06DE">
        <w:rPr>
          <w:rFonts w:ascii="Times New Roman" w:eastAsia="Times New Roman" w:hAnsi="Times New Roman" w:cs="Times New Roman"/>
          <w:sz w:val="26"/>
          <w:szCs w:val="26"/>
        </w:rPr>
        <w:t xml:space="preserve">  I&amp;E Statement in Support at 17.</w:t>
      </w:r>
    </w:p>
    <w:p w14:paraId="0BAD4201" w14:textId="77777777" w:rsidR="002768D2" w:rsidRPr="00BB06DE" w:rsidRDefault="002768D2" w:rsidP="00181D13">
      <w:pPr>
        <w:tabs>
          <w:tab w:val="num" w:pos="1440"/>
        </w:tabs>
        <w:spacing w:after="0" w:line="360" w:lineRule="auto"/>
        <w:ind w:firstLine="1440"/>
        <w:rPr>
          <w:rFonts w:ascii="Times New Roman" w:eastAsia="Times New Roman" w:hAnsi="Times New Roman" w:cs="Times New Roman"/>
          <w:sz w:val="26"/>
          <w:szCs w:val="26"/>
          <w:highlight w:val="yellow"/>
        </w:rPr>
      </w:pPr>
    </w:p>
    <w:p w14:paraId="6EC3FAD2" w14:textId="600146D4" w:rsidR="00B31137" w:rsidRPr="00BB06DE" w:rsidRDefault="00535E08" w:rsidP="00B31137">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Settlement Agreement also provides for a civil penalty of $1,000 to resolve the alleged violation of 52 Pa. Code </w:t>
      </w:r>
      <w:r w:rsidRPr="00BB06DE">
        <w:rPr>
          <w:rFonts w:ascii="Times New Roman" w:eastAsia="Times New Roman" w:hAnsi="Times New Roman" w:cs="Times New Roman"/>
          <w:color w:val="000000"/>
          <w:sz w:val="26"/>
          <w:szCs w:val="26"/>
        </w:rPr>
        <w:t xml:space="preserve">§ 54.43(f) and 52 Pa. Code § 111.9(b), which represent the maximum civil penalty authorized under </w:t>
      </w:r>
      <w:r w:rsidRPr="00BB06DE">
        <w:rPr>
          <w:rFonts w:ascii="Times New Roman" w:eastAsia="Times New Roman" w:hAnsi="Times New Roman" w:cs="Times New Roman"/>
          <w:sz w:val="26"/>
          <w:szCs w:val="26"/>
        </w:rPr>
        <w:t>66 Pa.</w:t>
      </w:r>
      <w:r w:rsidR="0057242C"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C.S. § 3301.  Furthermore, regarding the allegations that Clearview failed to notify BCS and local EDCs of its door-to-door marketing activities, the Settlement provides for a “per violation” civil penalty of $375, which I&amp;E asserts is reasonable and sufficient to address what can be fairly characterized as an administrative error.</w:t>
      </w:r>
      <w:r w:rsidR="00B31137" w:rsidRPr="00BB06DE">
        <w:rPr>
          <w:rFonts w:ascii="Times New Roman" w:eastAsia="Times New Roman" w:hAnsi="Times New Roman" w:cs="Times New Roman"/>
          <w:sz w:val="26"/>
          <w:szCs w:val="26"/>
        </w:rPr>
        <w:t xml:space="preserve">  I&amp;E Statement in Support at 17.</w:t>
      </w:r>
    </w:p>
    <w:p w14:paraId="01EA7116" w14:textId="77777777" w:rsidR="008C022A" w:rsidRPr="00BB06DE" w:rsidRDefault="008C022A" w:rsidP="00181D13">
      <w:pPr>
        <w:tabs>
          <w:tab w:val="num" w:pos="1440"/>
        </w:tabs>
        <w:spacing w:after="0" w:line="360" w:lineRule="auto"/>
        <w:ind w:firstLine="1440"/>
        <w:rPr>
          <w:rFonts w:ascii="Times New Roman" w:eastAsia="Times New Roman" w:hAnsi="Times New Roman" w:cs="Times New Roman"/>
          <w:color w:val="000000"/>
          <w:sz w:val="26"/>
          <w:szCs w:val="26"/>
        </w:rPr>
      </w:pPr>
    </w:p>
    <w:p w14:paraId="068F567C" w14:textId="625D89F4" w:rsidR="00874D62" w:rsidRPr="00BB06DE" w:rsidRDefault="00535E08" w:rsidP="00874D62">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I&amp;E submits that the instant Settlement Agreement should be viewed on its own merits as there are no past Commission decisions that are directly responsive to an identical situation.  However, in looking at the relevant factors that are comparable to other matters involving allegations of unauthorized switching, fraudulent, deceptive or unlawful marketing acts, a failure to obtain criminal background histories from the appropriate governmental agency, overbilling and a failure to notify BCS and EDCs of the Company’s door-to-door marketing activities, and comparing the allegations to the relief provided in the Settlement - specifically, a civil penalty and customer refunds - this Settlement is consistent with past Commission actions and presents a fair and reasonable outcome. </w:t>
      </w:r>
      <w:r w:rsidR="00874D62" w:rsidRPr="00BB06DE">
        <w:rPr>
          <w:rFonts w:ascii="Times New Roman" w:eastAsia="Times New Roman" w:hAnsi="Times New Roman" w:cs="Times New Roman"/>
          <w:sz w:val="26"/>
          <w:szCs w:val="26"/>
        </w:rPr>
        <w:t xml:space="preserve"> I&amp;E Statement in Support at 18.</w:t>
      </w:r>
    </w:p>
    <w:p w14:paraId="2A88A881" w14:textId="77777777" w:rsidR="002768D2" w:rsidRPr="00BB06DE" w:rsidRDefault="002768D2" w:rsidP="00181D13">
      <w:pPr>
        <w:tabs>
          <w:tab w:val="num" w:pos="1440"/>
        </w:tabs>
        <w:spacing w:after="0" w:line="360" w:lineRule="auto"/>
        <w:ind w:firstLine="1440"/>
        <w:rPr>
          <w:rFonts w:ascii="Times New Roman" w:eastAsia="Times New Roman" w:hAnsi="Times New Roman" w:cs="Times New Roman"/>
          <w:sz w:val="26"/>
          <w:szCs w:val="26"/>
        </w:rPr>
      </w:pPr>
    </w:p>
    <w:p w14:paraId="518F1AFF" w14:textId="1185BCAC" w:rsidR="00874D62" w:rsidRPr="00BB06DE" w:rsidRDefault="00535E08" w:rsidP="00874D62">
      <w:pPr>
        <w:tabs>
          <w:tab w:val="num" w:pos="1440"/>
        </w:tabs>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The tenth factor </w:t>
      </w:r>
      <w:r w:rsidR="005915EE" w:rsidRPr="00BB06DE">
        <w:rPr>
          <w:rFonts w:ascii="Times New Roman" w:eastAsia="Times New Roman" w:hAnsi="Times New Roman" w:cs="Times New Roman"/>
          <w:sz w:val="26"/>
          <w:szCs w:val="26"/>
        </w:rPr>
        <w:t xml:space="preserve">we may consider is </w:t>
      </w:r>
      <w:r w:rsidRPr="00BB06DE">
        <w:rPr>
          <w:rFonts w:ascii="Times New Roman" w:eastAsia="Times New Roman" w:hAnsi="Times New Roman" w:cs="Times New Roman"/>
          <w:sz w:val="26"/>
          <w:szCs w:val="26"/>
        </w:rPr>
        <w:t>other relevant factors.  52 Pa. Code § 69.1201(c)(10).</w:t>
      </w:r>
      <w:r w:rsidR="006673E1" w:rsidRPr="00BB06DE">
        <w:rPr>
          <w:rFonts w:ascii="Times New Roman" w:eastAsia="Times New Roman" w:hAnsi="Times New Roman" w:cs="Times New Roman"/>
          <w:sz w:val="26"/>
          <w:szCs w:val="26"/>
        </w:rPr>
        <w:t xml:space="preserve">  </w:t>
      </w:r>
      <w:r w:rsidRPr="00BB06DE">
        <w:rPr>
          <w:rFonts w:ascii="Times New Roman" w:eastAsia="Times New Roman" w:hAnsi="Times New Roman" w:cs="Times New Roman"/>
          <w:sz w:val="26"/>
          <w:szCs w:val="26"/>
        </w:rPr>
        <w:t xml:space="preserve">I&amp;E submits that an additional relevant factor – whether the case was settled or litigated – is of pivotal importance to this Settlement Agreement.  A settlement avoids the necessity for the governmental agency to prove elements of each allegation.  In return, the opposing party in a settlement agrees to a lesser fine or penalty, or other </w:t>
      </w:r>
      <w:r w:rsidRPr="00BB06DE">
        <w:rPr>
          <w:rFonts w:ascii="Times New Roman" w:eastAsia="Times New Roman" w:hAnsi="Times New Roman" w:cs="Times New Roman"/>
          <w:sz w:val="26"/>
          <w:szCs w:val="26"/>
        </w:rPr>
        <w:lastRenderedPageBreak/>
        <w:t>remedial action.  Both parties negotiate from their initial litigation positions.  The fines and penalties, and other remedial actions resulting from a fully litigated proceeding are difficult to predict and can differ from those that result from a settlement.  Reasonable settlement terms can represent economic and programmatic compromise while allowing the parties to move forward and to focus on implementing the agreed</w:t>
      </w:r>
      <w:r w:rsidR="00A56B1A" w:rsidRPr="00BB06DE">
        <w:rPr>
          <w:rFonts w:ascii="Times New Roman" w:eastAsia="Times New Roman" w:hAnsi="Times New Roman" w:cs="Times New Roman"/>
          <w:sz w:val="26"/>
          <w:szCs w:val="26"/>
        </w:rPr>
        <w:t>-</w:t>
      </w:r>
      <w:r w:rsidRPr="00BB06DE">
        <w:rPr>
          <w:rFonts w:ascii="Times New Roman" w:eastAsia="Times New Roman" w:hAnsi="Times New Roman" w:cs="Times New Roman"/>
          <w:sz w:val="26"/>
          <w:szCs w:val="26"/>
        </w:rPr>
        <w:t xml:space="preserve">upon remedial actions. </w:t>
      </w:r>
      <w:r w:rsidR="00874D62" w:rsidRPr="00BB06DE">
        <w:rPr>
          <w:rFonts w:ascii="Times New Roman" w:eastAsia="Times New Roman" w:hAnsi="Times New Roman" w:cs="Times New Roman"/>
          <w:sz w:val="26"/>
          <w:szCs w:val="26"/>
        </w:rPr>
        <w:t xml:space="preserve"> I&amp;E Statement in Support at 18.</w:t>
      </w:r>
      <w:r w:rsidR="006A7C0B" w:rsidRPr="00BB06DE">
        <w:rPr>
          <w:rFonts w:ascii="Times New Roman" w:eastAsia="Times New Roman" w:hAnsi="Times New Roman" w:cs="Times New Roman"/>
          <w:sz w:val="26"/>
          <w:szCs w:val="26"/>
        </w:rPr>
        <w:t xml:space="preserve">  Clearview </w:t>
      </w:r>
      <w:r w:rsidR="00832954" w:rsidRPr="00BB06DE">
        <w:rPr>
          <w:rFonts w:ascii="Times New Roman" w:eastAsia="Times New Roman" w:hAnsi="Times New Roman" w:cs="Times New Roman"/>
          <w:sz w:val="26"/>
          <w:szCs w:val="26"/>
        </w:rPr>
        <w:t>submits that the Settlement provides for refunds to affected customers and reflects modifications to Clearview’s business practices</w:t>
      </w:r>
      <w:r w:rsidR="004E2D94" w:rsidRPr="00BB06DE">
        <w:rPr>
          <w:rFonts w:ascii="Times New Roman" w:eastAsia="Times New Roman" w:hAnsi="Times New Roman" w:cs="Times New Roman"/>
          <w:sz w:val="26"/>
          <w:szCs w:val="26"/>
        </w:rPr>
        <w:t xml:space="preserve"> that will benefit future customers</w:t>
      </w:r>
      <w:r w:rsidR="00F551C2" w:rsidRPr="00BB06DE">
        <w:rPr>
          <w:rFonts w:ascii="Times New Roman" w:eastAsia="Times New Roman" w:hAnsi="Times New Roman" w:cs="Times New Roman"/>
          <w:sz w:val="26"/>
          <w:szCs w:val="26"/>
        </w:rPr>
        <w:t xml:space="preserve">.  Clearview Statement in Support at 16.  </w:t>
      </w:r>
      <w:r w:rsidR="00F806C8" w:rsidRPr="00BB06DE">
        <w:rPr>
          <w:rFonts w:ascii="Times New Roman" w:eastAsia="Times New Roman" w:hAnsi="Times New Roman" w:cs="Times New Roman"/>
          <w:sz w:val="26"/>
          <w:szCs w:val="26"/>
        </w:rPr>
        <w:t xml:space="preserve">We find that </w:t>
      </w:r>
      <w:r w:rsidR="00EF5609" w:rsidRPr="00BB06DE">
        <w:rPr>
          <w:rFonts w:ascii="Times New Roman" w:eastAsia="Times New Roman" w:hAnsi="Times New Roman" w:cs="Times New Roman"/>
          <w:sz w:val="26"/>
          <w:szCs w:val="26"/>
        </w:rPr>
        <w:t>it</w:t>
      </w:r>
      <w:r w:rsidR="00F806C8" w:rsidRPr="00BB06DE">
        <w:rPr>
          <w:rFonts w:ascii="Times New Roman" w:eastAsia="Times New Roman" w:hAnsi="Times New Roman" w:cs="Times New Roman"/>
          <w:sz w:val="26"/>
          <w:szCs w:val="26"/>
        </w:rPr>
        <w:t xml:space="preserve"> is in the public interest to approve the settlement of this matter </w:t>
      </w:r>
      <w:proofErr w:type="gramStart"/>
      <w:r w:rsidR="00F806C8" w:rsidRPr="00BB06DE">
        <w:rPr>
          <w:rFonts w:ascii="Times New Roman" w:eastAsia="Times New Roman" w:hAnsi="Times New Roman" w:cs="Times New Roman"/>
          <w:sz w:val="26"/>
          <w:szCs w:val="26"/>
        </w:rPr>
        <w:t>so as to</w:t>
      </w:r>
      <w:proofErr w:type="gramEnd"/>
      <w:r w:rsidR="00F806C8" w:rsidRPr="00BB06DE">
        <w:rPr>
          <w:rFonts w:ascii="Times New Roman" w:eastAsia="Times New Roman" w:hAnsi="Times New Roman" w:cs="Times New Roman"/>
          <w:sz w:val="26"/>
          <w:szCs w:val="26"/>
        </w:rPr>
        <w:t xml:space="preserve"> avoid the expense of litigation and the possibility of appeals</w:t>
      </w:r>
      <w:r w:rsidR="00EF5609" w:rsidRPr="00BB06DE">
        <w:rPr>
          <w:rFonts w:ascii="Times New Roman" w:eastAsia="Times New Roman" w:hAnsi="Times New Roman" w:cs="Times New Roman"/>
          <w:sz w:val="26"/>
          <w:szCs w:val="26"/>
        </w:rPr>
        <w:t xml:space="preserve"> and we note the refunds for the affected customers and the improvements to Clearview’s policies and procedures. </w:t>
      </w:r>
    </w:p>
    <w:p w14:paraId="1D19B4CE" w14:textId="6D8F399E" w:rsidR="00535E08" w:rsidRPr="00BB06DE" w:rsidRDefault="00535E08" w:rsidP="00181D13">
      <w:pPr>
        <w:tabs>
          <w:tab w:val="num" w:pos="1440"/>
        </w:tabs>
        <w:spacing w:after="0" w:line="360" w:lineRule="auto"/>
        <w:ind w:firstLine="1440"/>
        <w:rPr>
          <w:rFonts w:ascii="Times New Roman" w:eastAsia="Times New Roman" w:hAnsi="Times New Roman" w:cs="Times New Roman"/>
          <w:sz w:val="26"/>
          <w:szCs w:val="26"/>
        </w:rPr>
      </w:pPr>
    </w:p>
    <w:p w14:paraId="6B76228B" w14:textId="706BBE7F" w:rsidR="00F44833" w:rsidRPr="00BB06DE" w:rsidRDefault="00DB3902" w:rsidP="00181D13">
      <w:pPr>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For the reasons set forth above, after reviewing the terms of the Settlement Agreement, we find that approval of the Settlement is in the public interest and is consistent with the terms of our Policy Statement.</w:t>
      </w:r>
    </w:p>
    <w:p w14:paraId="72CEEB7F" w14:textId="77777777" w:rsidR="005D14EC" w:rsidRPr="00BB06DE" w:rsidRDefault="005D14EC" w:rsidP="00F44833">
      <w:pPr>
        <w:spacing w:after="0" w:line="360" w:lineRule="auto"/>
        <w:rPr>
          <w:rFonts w:ascii="Times New Roman" w:eastAsia="Times New Roman" w:hAnsi="Times New Roman" w:cs="Times New Roman"/>
          <w:sz w:val="26"/>
          <w:szCs w:val="26"/>
        </w:rPr>
      </w:pPr>
    </w:p>
    <w:p w14:paraId="2E182FAD" w14:textId="77777777" w:rsidR="00F44833" w:rsidRPr="00BB06DE" w:rsidRDefault="00F44833" w:rsidP="00F44833">
      <w:pPr>
        <w:keepNext/>
        <w:spacing w:after="0" w:line="360" w:lineRule="auto"/>
        <w:ind w:left="720" w:hanging="720"/>
        <w:jc w:val="center"/>
        <w:rPr>
          <w:rFonts w:ascii="Times New Roman" w:eastAsia="Times New Roman" w:hAnsi="Times New Roman" w:cs="Times New Roman"/>
          <w:b/>
          <w:sz w:val="26"/>
          <w:szCs w:val="26"/>
        </w:rPr>
      </w:pPr>
      <w:r w:rsidRPr="00BB06DE">
        <w:rPr>
          <w:rFonts w:ascii="Times New Roman" w:eastAsia="Times New Roman" w:hAnsi="Times New Roman" w:cs="Times New Roman"/>
          <w:b/>
          <w:sz w:val="26"/>
          <w:szCs w:val="26"/>
        </w:rPr>
        <w:t>Conclusion</w:t>
      </w:r>
    </w:p>
    <w:p w14:paraId="70E9B904" w14:textId="77777777" w:rsidR="00F44833" w:rsidRPr="00BB06DE" w:rsidRDefault="00F44833" w:rsidP="00F44833">
      <w:pPr>
        <w:keepNext/>
        <w:spacing w:after="0" w:line="360" w:lineRule="auto"/>
        <w:rPr>
          <w:rFonts w:ascii="Times New Roman" w:eastAsia="Times New Roman" w:hAnsi="Times New Roman" w:cs="Times New Roman"/>
          <w:sz w:val="26"/>
          <w:szCs w:val="26"/>
        </w:rPr>
      </w:pPr>
    </w:p>
    <w:p w14:paraId="516BBEFF" w14:textId="5248F015" w:rsidR="00F44833" w:rsidRPr="00BB06DE" w:rsidRDefault="006D1417" w:rsidP="00252D99">
      <w:pPr>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It is the Commission’s policy to promote settlements.  52 Pa. Code § </w:t>
      </w:r>
      <w:r w:rsidR="00152166" w:rsidRPr="00BB06DE">
        <w:rPr>
          <w:rFonts w:ascii="Times New Roman" w:eastAsia="Times New Roman" w:hAnsi="Times New Roman" w:cs="Times New Roman"/>
          <w:sz w:val="26"/>
          <w:szCs w:val="26"/>
        </w:rPr>
        <w:t xml:space="preserve">5.231.  The Parties herein have provided the Commission with sufficient information upon which to thoroughly consider the terms of the proposed </w:t>
      </w:r>
      <w:r w:rsidR="00006E89" w:rsidRPr="00BB06DE">
        <w:rPr>
          <w:rFonts w:ascii="Times New Roman" w:eastAsia="Times New Roman" w:hAnsi="Times New Roman" w:cs="Times New Roman"/>
          <w:sz w:val="26"/>
          <w:szCs w:val="26"/>
        </w:rPr>
        <w:t>Settlement</w:t>
      </w:r>
      <w:r w:rsidR="00152166" w:rsidRPr="00BB06DE">
        <w:rPr>
          <w:rFonts w:ascii="Times New Roman" w:eastAsia="Times New Roman" w:hAnsi="Times New Roman" w:cs="Times New Roman"/>
          <w:sz w:val="26"/>
          <w:szCs w:val="26"/>
        </w:rPr>
        <w:t xml:space="preserve">.  Based on our review of the record in this case, including the Settlement Agreement and the Statements in Support </w:t>
      </w:r>
      <w:r w:rsidR="00006E89" w:rsidRPr="00BB06DE">
        <w:rPr>
          <w:rFonts w:ascii="Times New Roman" w:eastAsia="Times New Roman" w:hAnsi="Times New Roman" w:cs="Times New Roman"/>
          <w:sz w:val="26"/>
          <w:szCs w:val="26"/>
        </w:rPr>
        <w:t>thereof</w:t>
      </w:r>
      <w:r w:rsidR="00152166" w:rsidRPr="00BB06DE">
        <w:rPr>
          <w:rFonts w:ascii="Times New Roman" w:eastAsia="Times New Roman" w:hAnsi="Times New Roman" w:cs="Times New Roman"/>
          <w:sz w:val="26"/>
          <w:szCs w:val="26"/>
        </w:rPr>
        <w:t xml:space="preserve">, we find that the proposed Settlement is in the public interest and merits </w:t>
      </w:r>
      <w:r w:rsidR="00006E89" w:rsidRPr="00BB06DE">
        <w:rPr>
          <w:rFonts w:ascii="Times New Roman" w:eastAsia="Times New Roman" w:hAnsi="Times New Roman" w:cs="Times New Roman"/>
          <w:sz w:val="26"/>
          <w:szCs w:val="26"/>
        </w:rPr>
        <w:t xml:space="preserve">approval; </w:t>
      </w:r>
      <w:r w:rsidR="00006E89" w:rsidRPr="00BB06DE">
        <w:rPr>
          <w:rFonts w:ascii="Times New Roman" w:eastAsia="Times New Roman" w:hAnsi="Times New Roman" w:cs="Times New Roman"/>
          <w:b/>
          <w:bCs/>
          <w:sz w:val="26"/>
          <w:szCs w:val="26"/>
        </w:rPr>
        <w:t>THEREFORE</w:t>
      </w:r>
      <w:r w:rsidR="00F44833" w:rsidRPr="00BB06DE">
        <w:rPr>
          <w:rFonts w:ascii="Times New Roman" w:eastAsia="Times New Roman" w:hAnsi="Times New Roman" w:cs="Times New Roman"/>
          <w:b/>
          <w:sz w:val="26"/>
          <w:szCs w:val="26"/>
        </w:rPr>
        <w:t>,</w:t>
      </w:r>
    </w:p>
    <w:p w14:paraId="2D8B0FE2" w14:textId="77777777" w:rsidR="00F44833" w:rsidRPr="00BB06DE" w:rsidRDefault="00F44833" w:rsidP="00252D99">
      <w:pPr>
        <w:tabs>
          <w:tab w:val="left" w:pos="-720"/>
        </w:tabs>
        <w:suppressAutoHyphens/>
        <w:spacing w:after="0" w:line="360" w:lineRule="auto"/>
        <w:rPr>
          <w:rFonts w:ascii="Times New Roman" w:eastAsia="Times New Roman" w:hAnsi="Times New Roman" w:cs="Times New Roman"/>
          <w:sz w:val="26"/>
          <w:szCs w:val="26"/>
        </w:rPr>
      </w:pPr>
    </w:p>
    <w:p w14:paraId="4AED235F" w14:textId="77777777" w:rsidR="00F44833" w:rsidRPr="00BB06DE" w:rsidRDefault="00F44833" w:rsidP="00252D99">
      <w:pPr>
        <w:spacing w:after="0" w:line="360" w:lineRule="auto"/>
        <w:rPr>
          <w:rFonts w:ascii="Times New Roman" w:eastAsia="Times New Roman" w:hAnsi="Times New Roman" w:cs="Times New Roman"/>
          <w:b/>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b/>
          <w:sz w:val="26"/>
          <w:szCs w:val="26"/>
        </w:rPr>
        <w:t>IT IS ORDERED:</w:t>
      </w:r>
    </w:p>
    <w:p w14:paraId="0672DE4A" w14:textId="77777777" w:rsidR="00F44833" w:rsidRPr="00BB06DE" w:rsidRDefault="00F44833" w:rsidP="00252D99">
      <w:pPr>
        <w:spacing w:after="0" w:line="360" w:lineRule="auto"/>
        <w:rPr>
          <w:rFonts w:ascii="Times New Roman" w:eastAsia="Times New Roman" w:hAnsi="Times New Roman" w:cs="Times New Roman"/>
          <w:sz w:val="26"/>
          <w:szCs w:val="26"/>
        </w:rPr>
      </w:pPr>
    </w:p>
    <w:p w14:paraId="7FC66A23" w14:textId="18E8A90D" w:rsidR="00F44833" w:rsidRDefault="00F44833" w:rsidP="00252D99">
      <w:pPr>
        <w:spacing w:after="0" w:line="36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ab/>
      </w:r>
      <w:r w:rsidRPr="00BB06DE">
        <w:rPr>
          <w:rFonts w:ascii="Times New Roman" w:eastAsia="Times New Roman" w:hAnsi="Times New Roman" w:cs="Times New Roman"/>
          <w:sz w:val="26"/>
          <w:szCs w:val="26"/>
        </w:rPr>
        <w:tab/>
        <w:t>1.</w:t>
      </w:r>
      <w:r w:rsidRPr="00BB06DE">
        <w:rPr>
          <w:rFonts w:ascii="Times New Roman" w:eastAsia="Times New Roman" w:hAnsi="Times New Roman" w:cs="Times New Roman"/>
          <w:sz w:val="26"/>
          <w:szCs w:val="26"/>
        </w:rPr>
        <w:tab/>
        <w:t>That th</w:t>
      </w:r>
      <w:r w:rsidR="00617145" w:rsidRPr="00BB06DE">
        <w:rPr>
          <w:rFonts w:ascii="Times New Roman" w:eastAsia="Times New Roman" w:hAnsi="Times New Roman" w:cs="Times New Roman"/>
          <w:sz w:val="26"/>
          <w:szCs w:val="26"/>
        </w:rPr>
        <w:t>e Joint Petition for Approval of Settlement filed on May</w:t>
      </w:r>
      <w:r w:rsidR="00252D99">
        <w:rPr>
          <w:rFonts w:ascii="Times New Roman" w:eastAsia="Times New Roman" w:hAnsi="Times New Roman" w:cs="Times New Roman"/>
          <w:sz w:val="26"/>
          <w:szCs w:val="26"/>
        </w:rPr>
        <w:t> </w:t>
      </w:r>
      <w:r w:rsidR="00617145" w:rsidRPr="00BB06DE">
        <w:rPr>
          <w:rFonts w:ascii="Times New Roman" w:eastAsia="Times New Roman" w:hAnsi="Times New Roman" w:cs="Times New Roman"/>
          <w:sz w:val="26"/>
          <w:szCs w:val="26"/>
        </w:rPr>
        <w:t>13,</w:t>
      </w:r>
      <w:r w:rsidR="00252D99">
        <w:rPr>
          <w:rFonts w:ascii="Times New Roman" w:eastAsia="Times New Roman" w:hAnsi="Times New Roman" w:cs="Times New Roman"/>
          <w:sz w:val="26"/>
          <w:szCs w:val="26"/>
        </w:rPr>
        <w:t> </w:t>
      </w:r>
      <w:r w:rsidR="00617145" w:rsidRPr="00BB06DE">
        <w:rPr>
          <w:rFonts w:ascii="Times New Roman" w:eastAsia="Times New Roman" w:hAnsi="Times New Roman" w:cs="Times New Roman"/>
          <w:sz w:val="26"/>
          <w:szCs w:val="26"/>
        </w:rPr>
        <w:t xml:space="preserve">2021, by the Commission’s Bureau of Investigation and Enforcement and </w:t>
      </w:r>
      <w:r w:rsidR="00957A22" w:rsidRPr="00BB06DE">
        <w:rPr>
          <w:rFonts w:ascii="Times New Roman" w:eastAsia="Times New Roman" w:hAnsi="Times New Roman" w:cs="Times New Roman"/>
          <w:sz w:val="26"/>
          <w:szCs w:val="26"/>
        </w:rPr>
        <w:lastRenderedPageBreak/>
        <w:t xml:space="preserve">Clearview Electric, Inc. d/b/a Clearview Energy </w:t>
      </w:r>
      <w:r w:rsidR="00D12DB4" w:rsidRPr="00BB06DE">
        <w:rPr>
          <w:rFonts w:ascii="Times New Roman" w:eastAsia="Times New Roman" w:hAnsi="Times New Roman" w:cs="Times New Roman"/>
          <w:sz w:val="26"/>
          <w:szCs w:val="26"/>
        </w:rPr>
        <w:t xml:space="preserve">is </w:t>
      </w:r>
      <w:r w:rsidR="00E165BC" w:rsidRPr="00BB06DE">
        <w:rPr>
          <w:rFonts w:ascii="Times New Roman" w:eastAsia="Times New Roman" w:hAnsi="Times New Roman" w:cs="Times New Roman"/>
          <w:sz w:val="26"/>
          <w:szCs w:val="26"/>
        </w:rPr>
        <w:t xml:space="preserve">approved in its entirety without modification.  </w:t>
      </w:r>
    </w:p>
    <w:p w14:paraId="30AA1251" w14:textId="77777777" w:rsidR="0029073E" w:rsidRPr="00BB06DE" w:rsidRDefault="0029073E" w:rsidP="00252D99">
      <w:pPr>
        <w:spacing w:after="0" w:line="360" w:lineRule="auto"/>
        <w:rPr>
          <w:rFonts w:ascii="Times New Roman" w:eastAsia="Times New Roman" w:hAnsi="Times New Roman" w:cs="Times New Roman"/>
          <w:sz w:val="26"/>
          <w:szCs w:val="26"/>
        </w:rPr>
      </w:pPr>
    </w:p>
    <w:p w14:paraId="09665C43" w14:textId="668C98CD" w:rsidR="00F44833" w:rsidRPr="00BB06DE" w:rsidRDefault="00F44833" w:rsidP="00252D99">
      <w:pPr>
        <w:pStyle w:val="ListParagraph"/>
        <w:numPr>
          <w:ilvl w:val="0"/>
          <w:numId w:val="17"/>
        </w:numPr>
        <w:spacing w:after="0" w:line="360" w:lineRule="auto"/>
        <w:ind w:left="0" w:firstLine="1440"/>
        <w:contextualSpacing w:val="0"/>
        <w:rPr>
          <w:rFonts w:eastAsia="Times New Roman"/>
          <w:sz w:val="26"/>
          <w:szCs w:val="26"/>
        </w:rPr>
      </w:pPr>
      <w:r w:rsidRPr="00BB06DE">
        <w:rPr>
          <w:rFonts w:eastAsia="Times New Roman"/>
          <w:sz w:val="26"/>
          <w:szCs w:val="26"/>
        </w:rPr>
        <w:t>That</w:t>
      </w:r>
      <w:r w:rsidR="002C0F32" w:rsidRPr="00BB06DE">
        <w:rPr>
          <w:rFonts w:eastAsia="Times New Roman"/>
          <w:sz w:val="26"/>
          <w:szCs w:val="26"/>
        </w:rPr>
        <w:t>, in accordance with Section 3301 of the Public Utility Code, 66</w:t>
      </w:r>
      <w:r w:rsidR="00252D99">
        <w:rPr>
          <w:rFonts w:eastAsia="Times New Roman"/>
          <w:sz w:val="26"/>
          <w:szCs w:val="26"/>
        </w:rPr>
        <w:t> </w:t>
      </w:r>
      <w:r w:rsidR="002C0F32" w:rsidRPr="00BB06DE">
        <w:rPr>
          <w:rFonts w:eastAsia="Times New Roman"/>
          <w:sz w:val="26"/>
          <w:szCs w:val="26"/>
        </w:rPr>
        <w:t>Pa.</w:t>
      </w:r>
      <w:r w:rsidR="00AD6C17" w:rsidRPr="00BB06DE">
        <w:rPr>
          <w:rFonts w:eastAsia="Times New Roman"/>
          <w:sz w:val="26"/>
          <w:szCs w:val="26"/>
        </w:rPr>
        <w:t xml:space="preserve"> </w:t>
      </w:r>
      <w:r w:rsidR="002C0F32" w:rsidRPr="00BB06DE">
        <w:rPr>
          <w:rFonts w:eastAsia="Times New Roman"/>
          <w:sz w:val="26"/>
          <w:szCs w:val="26"/>
        </w:rPr>
        <w:t xml:space="preserve">C.S. § </w:t>
      </w:r>
      <w:r w:rsidR="003549A7" w:rsidRPr="00BB06DE">
        <w:rPr>
          <w:rFonts w:eastAsia="Times New Roman"/>
          <w:sz w:val="26"/>
          <w:szCs w:val="26"/>
        </w:rPr>
        <w:t>3301, within thirty (30) days of the date this Order becomes final, Clearview Electric, In</w:t>
      </w:r>
      <w:r w:rsidR="002C362A" w:rsidRPr="00BB06DE">
        <w:rPr>
          <w:rFonts w:eastAsia="Times New Roman"/>
          <w:sz w:val="26"/>
          <w:szCs w:val="26"/>
        </w:rPr>
        <w:t xml:space="preserve">c. d/b/a Clearview Energy shall pay a civil penalty of </w:t>
      </w:r>
      <w:r w:rsidR="009D4D7F" w:rsidRPr="00BB06DE">
        <w:rPr>
          <w:rFonts w:eastAsia="Times New Roman"/>
          <w:sz w:val="26"/>
          <w:szCs w:val="26"/>
        </w:rPr>
        <w:t>Fifty</w:t>
      </w:r>
      <w:r w:rsidR="002C362A" w:rsidRPr="00BB06DE">
        <w:rPr>
          <w:rFonts w:eastAsia="Times New Roman"/>
          <w:sz w:val="26"/>
          <w:szCs w:val="26"/>
        </w:rPr>
        <w:t xml:space="preserve">-Nine Thousand Seven Hundred Fifty Dollars ($59,750).  </w:t>
      </w:r>
      <w:r w:rsidR="00DA1CBC" w:rsidRPr="00BB06DE">
        <w:rPr>
          <w:rFonts w:eastAsia="Times New Roman"/>
          <w:sz w:val="26"/>
          <w:szCs w:val="26"/>
        </w:rPr>
        <w:t>Said payment shall be made by certified check or money order payable to “Commonwealth of Pennsylvania” and shall be sent to:</w:t>
      </w:r>
    </w:p>
    <w:p w14:paraId="42C8959E" w14:textId="20E48253" w:rsidR="00DA1CBC" w:rsidRPr="00BB06DE" w:rsidRDefault="00DA1CBC" w:rsidP="00252D99">
      <w:pPr>
        <w:spacing w:after="0" w:line="240" w:lineRule="auto"/>
        <w:ind w:firstLine="1440"/>
        <w:rPr>
          <w:rFonts w:ascii="Times New Roman" w:eastAsia="Times New Roman" w:hAnsi="Times New Roman" w:cs="Times New Roman"/>
          <w:sz w:val="26"/>
          <w:szCs w:val="26"/>
        </w:rPr>
      </w:pPr>
    </w:p>
    <w:p w14:paraId="79687441" w14:textId="5DF95AFF" w:rsidR="00DA1CBC" w:rsidRPr="00BB06DE" w:rsidRDefault="00406B92" w:rsidP="008E1464">
      <w:pPr>
        <w:spacing w:after="0" w:line="240" w:lineRule="auto"/>
        <w:ind w:left="144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Rosemary Chiavetta, </w:t>
      </w:r>
      <w:r w:rsidR="0068120C" w:rsidRPr="00BB06DE">
        <w:rPr>
          <w:rFonts w:ascii="Times New Roman" w:eastAsia="Times New Roman" w:hAnsi="Times New Roman" w:cs="Times New Roman"/>
          <w:sz w:val="26"/>
          <w:szCs w:val="26"/>
        </w:rPr>
        <w:t>Secretary</w:t>
      </w:r>
    </w:p>
    <w:p w14:paraId="5E7CA5AE" w14:textId="2726CF92" w:rsidR="0068120C" w:rsidRPr="00BB06DE" w:rsidRDefault="0068120C" w:rsidP="008E1464">
      <w:pPr>
        <w:spacing w:after="0" w:line="240" w:lineRule="auto"/>
        <w:ind w:left="1440"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Pennsylvania Public Utility Commission</w:t>
      </w:r>
    </w:p>
    <w:p w14:paraId="16F5E8B6" w14:textId="43C97BAE" w:rsidR="0068120C" w:rsidRPr="00BB06DE" w:rsidRDefault="0068120C" w:rsidP="008E1464">
      <w:pPr>
        <w:spacing w:after="0" w:line="240" w:lineRule="auto"/>
        <w:ind w:left="1440"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Commonwealth Keystone Building</w:t>
      </w:r>
    </w:p>
    <w:p w14:paraId="2A7E190D" w14:textId="032210AC" w:rsidR="0068120C" w:rsidRPr="00BB06DE" w:rsidRDefault="0068120C" w:rsidP="008E1464">
      <w:pPr>
        <w:spacing w:after="0" w:line="240" w:lineRule="auto"/>
        <w:ind w:left="1440"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400 North Street</w:t>
      </w:r>
    </w:p>
    <w:p w14:paraId="4CE65BA5" w14:textId="773EB6CC" w:rsidR="0068120C" w:rsidRPr="00BB06DE" w:rsidRDefault="0068120C" w:rsidP="000D124E">
      <w:pPr>
        <w:spacing w:after="0" w:line="360" w:lineRule="auto"/>
        <w:ind w:left="1440" w:firstLine="72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Harrisburg, PA  17120</w:t>
      </w:r>
    </w:p>
    <w:p w14:paraId="62BBFF52" w14:textId="77777777" w:rsidR="00166A7D" w:rsidRPr="00BB06DE" w:rsidRDefault="00166A7D" w:rsidP="000D124E">
      <w:pPr>
        <w:spacing w:after="0" w:line="360" w:lineRule="auto"/>
        <w:ind w:firstLine="1440"/>
        <w:rPr>
          <w:rFonts w:ascii="Times New Roman" w:eastAsia="Times New Roman" w:hAnsi="Times New Roman" w:cs="Times New Roman"/>
          <w:sz w:val="26"/>
          <w:szCs w:val="26"/>
        </w:rPr>
      </w:pPr>
    </w:p>
    <w:p w14:paraId="1812B16E" w14:textId="63F7B801" w:rsidR="004553EF" w:rsidRPr="00BB06DE" w:rsidRDefault="004553EF" w:rsidP="000D124E">
      <w:pPr>
        <w:pStyle w:val="ListParagraph"/>
        <w:numPr>
          <w:ilvl w:val="0"/>
          <w:numId w:val="17"/>
        </w:numPr>
        <w:spacing w:after="0" w:line="360" w:lineRule="auto"/>
        <w:ind w:left="0" w:firstLine="1440"/>
        <w:contextualSpacing w:val="0"/>
        <w:textAlignment w:val="baseline"/>
        <w:rPr>
          <w:sz w:val="26"/>
          <w:szCs w:val="26"/>
        </w:rPr>
      </w:pPr>
      <w:r w:rsidRPr="00BB06DE">
        <w:rPr>
          <w:sz w:val="26"/>
          <w:szCs w:val="26"/>
        </w:rPr>
        <w:t xml:space="preserve">A copy of this Opinion and Order shall be </w:t>
      </w:r>
      <w:r w:rsidR="00CE4FD9" w:rsidRPr="00BB06DE">
        <w:rPr>
          <w:sz w:val="26"/>
          <w:szCs w:val="26"/>
        </w:rPr>
        <w:t>served</w:t>
      </w:r>
      <w:r w:rsidRPr="00BB06DE">
        <w:rPr>
          <w:sz w:val="26"/>
          <w:szCs w:val="26"/>
        </w:rPr>
        <w:t xml:space="preserve"> upon the Financial and Assessment Chief, Bureau of Administration.</w:t>
      </w:r>
    </w:p>
    <w:p w14:paraId="051DA75D" w14:textId="77777777" w:rsidR="00585F80" w:rsidRPr="00BB06DE" w:rsidRDefault="00585F80" w:rsidP="000D124E">
      <w:pPr>
        <w:pStyle w:val="ListParagraph"/>
        <w:spacing w:after="0" w:line="360" w:lineRule="auto"/>
        <w:ind w:left="0" w:firstLine="1440"/>
        <w:contextualSpacing w:val="0"/>
        <w:textAlignment w:val="baseline"/>
        <w:rPr>
          <w:sz w:val="26"/>
          <w:szCs w:val="26"/>
        </w:rPr>
      </w:pPr>
    </w:p>
    <w:p w14:paraId="0F618D5F" w14:textId="45245E29" w:rsidR="00F44833" w:rsidRPr="00BB06DE" w:rsidRDefault="00F44833" w:rsidP="000D124E">
      <w:pPr>
        <w:spacing w:after="0" w:line="360" w:lineRule="auto"/>
        <w:ind w:firstLine="14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4.</w:t>
      </w:r>
      <w:r w:rsidRPr="00BB06DE">
        <w:rPr>
          <w:rFonts w:ascii="Times New Roman" w:eastAsia="Times New Roman" w:hAnsi="Times New Roman" w:cs="Times New Roman"/>
          <w:sz w:val="26"/>
          <w:szCs w:val="26"/>
        </w:rPr>
        <w:tab/>
        <w:t>That</w:t>
      </w:r>
      <w:r w:rsidR="00585F80" w:rsidRPr="00BB06DE">
        <w:rPr>
          <w:rFonts w:ascii="Times New Roman" w:eastAsia="Times New Roman" w:hAnsi="Times New Roman" w:cs="Times New Roman"/>
          <w:sz w:val="26"/>
          <w:szCs w:val="26"/>
        </w:rPr>
        <w:t xml:space="preserve"> the above-captioned matter shall be marked closed upon receipt of the civil penalty.  </w:t>
      </w:r>
    </w:p>
    <w:p w14:paraId="2C793940" w14:textId="2A91B59A" w:rsidR="00F44833" w:rsidRPr="00BB06DE" w:rsidRDefault="00F44833" w:rsidP="008E1464">
      <w:pPr>
        <w:spacing w:after="0" w:line="240" w:lineRule="auto"/>
        <w:rPr>
          <w:rFonts w:ascii="Times New Roman" w:eastAsia="Times New Roman" w:hAnsi="Times New Roman" w:cs="Times New Roman"/>
          <w:sz w:val="26"/>
          <w:szCs w:val="26"/>
        </w:rPr>
      </w:pPr>
    </w:p>
    <w:p w14:paraId="41960785" w14:textId="32F095E9" w:rsidR="00F44833" w:rsidRPr="00BB06DE" w:rsidRDefault="00C90052" w:rsidP="008E1464">
      <w:pPr>
        <w:spacing w:after="0" w:line="240" w:lineRule="auto"/>
        <w:ind w:left="504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4732269B" wp14:editId="42057036">
            <wp:simplePos x="0" y="0"/>
            <wp:positionH relativeFrom="column">
              <wp:posOffset>3143250</wp:posOffset>
            </wp:positionH>
            <wp:positionV relativeFrom="paragraph">
              <wp:posOffset>153035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44833" w:rsidRPr="00BB06DE">
        <w:rPr>
          <w:rFonts w:ascii="Times New Roman" w:eastAsia="Times New Roman" w:hAnsi="Times New Roman" w:cs="Times New Roman"/>
          <w:b/>
          <w:sz w:val="26"/>
          <w:szCs w:val="26"/>
        </w:rPr>
        <w:t>BY THE COMMISSION,</w:t>
      </w:r>
    </w:p>
    <w:p w14:paraId="0D56F4A3" w14:textId="22A9996E" w:rsidR="005A530B" w:rsidRDefault="005A530B" w:rsidP="008E1464">
      <w:pPr>
        <w:spacing w:after="0" w:line="240" w:lineRule="auto"/>
        <w:ind w:left="5040"/>
        <w:rPr>
          <w:rFonts w:ascii="Times New Roman" w:eastAsia="Times New Roman" w:hAnsi="Times New Roman" w:cs="Times New Roman"/>
          <w:sz w:val="26"/>
          <w:szCs w:val="26"/>
        </w:rPr>
      </w:pPr>
    </w:p>
    <w:p w14:paraId="5F6FC688" w14:textId="77777777" w:rsidR="004B4303" w:rsidRPr="00BB06DE" w:rsidRDefault="004B4303" w:rsidP="008E1464">
      <w:pPr>
        <w:spacing w:after="0" w:line="240" w:lineRule="auto"/>
        <w:ind w:left="5040"/>
        <w:rPr>
          <w:rFonts w:ascii="Times New Roman" w:eastAsia="Times New Roman" w:hAnsi="Times New Roman" w:cs="Times New Roman"/>
          <w:sz w:val="26"/>
          <w:szCs w:val="26"/>
        </w:rPr>
      </w:pPr>
    </w:p>
    <w:p w14:paraId="4CC7AC8B" w14:textId="77777777" w:rsidR="00F44833" w:rsidRPr="00BB06DE" w:rsidRDefault="00F44833" w:rsidP="008E1464">
      <w:pPr>
        <w:spacing w:after="0" w:line="240" w:lineRule="auto"/>
        <w:ind w:left="5040"/>
        <w:rPr>
          <w:rFonts w:ascii="Times New Roman" w:eastAsia="Times New Roman" w:hAnsi="Times New Roman" w:cs="Times New Roman"/>
          <w:sz w:val="26"/>
          <w:szCs w:val="26"/>
        </w:rPr>
      </w:pPr>
    </w:p>
    <w:p w14:paraId="23331F53" w14:textId="77777777" w:rsidR="00F44833" w:rsidRPr="00BB06DE" w:rsidRDefault="00F44833" w:rsidP="008E1464">
      <w:pPr>
        <w:spacing w:after="0" w:line="240" w:lineRule="auto"/>
        <w:ind w:left="5040"/>
        <w:rPr>
          <w:rFonts w:ascii="Times New Roman" w:eastAsia="Times New Roman" w:hAnsi="Times New Roman" w:cs="Times New Roman"/>
          <w:sz w:val="26"/>
          <w:szCs w:val="26"/>
        </w:rPr>
      </w:pPr>
    </w:p>
    <w:p w14:paraId="7B4569EC" w14:textId="487EE1F6" w:rsidR="00F44833" w:rsidRPr="00BB06DE" w:rsidRDefault="00F44833" w:rsidP="008E1464">
      <w:pPr>
        <w:spacing w:after="0" w:line="240" w:lineRule="auto"/>
        <w:ind w:left="50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Rosemary Chiavetta</w:t>
      </w:r>
    </w:p>
    <w:p w14:paraId="30FD7A79" w14:textId="46AF6F90" w:rsidR="00F44833" w:rsidRPr="00BB06DE" w:rsidRDefault="00F44833" w:rsidP="008E1464">
      <w:pPr>
        <w:spacing w:after="0" w:line="240" w:lineRule="auto"/>
        <w:ind w:left="5040"/>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Secretary</w:t>
      </w:r>
    </w:p>
    <w:p w14:paraId="075031A0" w14:textId="77777777" w:rsidR="00F44833" w:rsidRPr="00BB06DE" w:rsidRDefault="00F44833" w:rsidP="008E1464">
      <w:pPr>
        <w:tabs>
          <w:tab w:val="left" w:pos="-720"/>
        </w:tabs>
        <w:suppressAutoHyphens/>
        <w:spacing w:after="0" w:line="240" w:lineRule="auto"/>
        <w:rPr>
          <w:rFonts w:ascii="Times New Roman" w:eastAsia="Times New Roman" w:hAnsi="Times New Roman" w:cs="Times New Roman"/>
          <w:sz w:val="26"/>
          <w:szCs w:val="26"/>
        </w:rPr>
      </w:pPr>
    </w:p>
    <w:p w14:paraId="6D19B727" w14:textId="77777777" w:rsidR="00F44833" w:rsidRPr="00BB06DE" w:rsidRDefault="00F44833" w:rsidP="008E1464">
      <w:pPr>
        <w:tabs>
          <w:tab w:val="left" w:pos="-720"/>
        </w:tabs>
        <w:suppressAutoHyphens/>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(SEAL)</w:t>
      </w:r>
    </w:p>
    <w:p w14:paraId="0E945459" w14:textId="77777777" w:rsidR="00F44833" w:rsidRPr="00BB06DE" w:rsidRDefault="00F44833" w:rsidP="008E1464">
      <w:pPr>
        <w:tabs>
          <w:tab w:val="left" w:pos="-720"/>
        </w:tabs>
        <w:suppressAutoHyphens/>
        <w:spacing w:after="0" w:line="240" w:lineRule="auto"/>
        <w:rPr>
          <w:rFonts w:ascii="Times New Roman" w:eastAsia="Times New Roman" w:hAnsi="Times New Roman" w:cs="Times New Roman"/>
          <w:sz w:val="26"/>
          <w:szCs w:val="26"/>
        </w:rPr>
      </w:pPr>
    </w:p>
    <w:p w14:paraId="6B749380" w14:textId="324975B5" w:rsidR="00F44833" w:rsidRPr="00BB06DE" w:rsidRDefault="0092538B" w:rsidP="008E1464">
      <w:pPr>
        <w:tabs>
          <w:tab w:val="left" w:pos="-720"/>
        </w:tabs>
        <w:suppressAutoHyphens/>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 xml:space="preserve">ORDER ADOPTED:  </w:t>
      </w:r>
      <w:r w:rsidR="0010149E" w:rsidRPr="00BB06DE">
        <w:rPr>
          <w:rFonts w:ascii="Times New Roman" w:eastAsia="Times New Roman" w:hAnsi="Times New Roman" w:cs="Times New Roman"/>
          <w:sz w:val="26"/>
          <w:szCs w:val="26"/>
        </w:rPr>
        <w:t xml:space="preserve">October </w:t>
      </w:r>
      <w:r w:rsidR="00BF0717" w:rsidRPr="00BB06DE">
        <w:rPr>
          <w:rFonts w:ascii="Times New Roman" w:eastAsia="Times New Roman" w:hAnsi="Times New Roman" w:cs="Times New Roman"/>
          <w:sz w:val="26"/>
          <w:szCs w:val="26"/>
        </w:rPr>
        <w:t>28</w:t>
      </w:r>
      <w:r w:rsidR="00CB6C24" w:rsidRPr="00BB06DE">
        <w:rPr>
          <w:rFonts w:ascii="Times New Roman" w:eastAsia="Times New Roman" w:hAnsi="Times New Roman" w:cs="Times New Roman"/>
          <w:sz w:val="26"/>
          <w:szCs w:val="26"/>
        </w:rPr>
        <w:t>, 2021</w:t>
      </w:r>
    </w:p>
    <w:p w14:paraId="724B860A" w14:textId="77777777" w:rsidR="00984785" w:rsidRPr="00BB06DE" w:rsidRDefault="00984785" w:rsidP="008E1464">
      <w:pPr>
        <w:spacing w:after="0" w:line="240" w:lineRule="auto"/>
        <w:rPr>
          <w:rFonts w:ascii="Times New Roman" w:eastAsia="Times New Roman" w:hAnsi="Times New Roman" w:cs="Times New Roman"/>
          <w:sz w:val="26"/>
          <w:szCs w:val="26"/>
        </w:rPr>
      </w:pPr>
    </w:p>
    <w:p w14:paraId="6ADC048F" w14:textId="31DF7F6A" w:rsidR="00093521" w:rsidRPr="00FD21F7" w:rsidRDefault="00F44833" w:rsidP="008E1464">
      <w:pPr>
        <w:spacing w:after="0" w:line="240" w:lineRule="auto"/>
        <w:rPr>
          <w:rFonts w:ascii="Times New Roman" w:eastAsia="Times New Roman" w:hAnsi="Times New Roman" w:cs="Times New Roman"/>
          <w:sz w:val="26"/>
          <w:szCs w:val="26"/>
        </w:rPr>
      </w:pPr>
      <w:r w:rsidRPr="00BB06DE">
        <w:rPr>
          <w:rFonts w:ascii="Times New Roman" w:eastAsia="Times New Roman" w:hAnsi="Times New Roman" w:cs="Times New Roman"/>
          <w:sz w:val="26"/>
          <w:szCs w:val="26"/>
        </w:rPr>
        <w:t>ORDER ENTERED:</w:t>
      </w:r>
      <w:r w:rsidR="0092538B" w:rsidRPr="00BB06DE">
        <w:rPr>
          <w:rFonts w:ascii="Times New Roman" w:eastAsia="Times New Roman" w:hAnsi="Times New Roman" w:cs="Times New Roman"/>
          <w:sz w:val="26"/>
          <w:szCs w:val="26"/>
        </w:rPr>
        <w:t xml:space="preserve">  </w:t>
      </w:r>
      <w:r w:rsidR="00C90052">
        <w:rPr>
          <w:rFonts w:ascii="Times New Roman" w:eastAsia="Times New Roman" w:hAnsi="Times New Roman" w:cs="Times New Roman"/>
          <w:sz w:val="26"/>
          <w:szCs w:val="26"/>
        </w:rPr>
        <w:t>October 28, 2021</w:t>
      </w:r>
    </w:p>
    <w:sectPr w:rsidR="00093521" w:rsidRPr="00FD21F7" w:rsidSect="00BC69AB">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7393" w14:textId="77777777" w:rsidR="00E90A40" w:rsidRDefault="00E90A40" w:rsidP="00F44833">
      <w:pPr>
        <w:spacing w:after="0" w:line="240" w:lineRule="auto"/>
      </w:pPr>
      <w:r>
        <w:separator/>
      </w:r>
    </w:p>
  </w:endnote>
  <w:endnote w:type="continuationSeparator" w:id="0">
    <w:p w14:paraId="082F903B" w14:textId="77777777" w:rsidR="00E90A40" w:rsidRDefault="00E90A40"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321805"/>
      <w:docPartObj>
        <w:docPartGallery w:val="Page Numbers (Bottom of Page)"/>
        <w:docPartUnique/>
      </w:docPartObj>
    </w:sdtPr>
    <w:sdtEndPr>
      <w:rPr>
        <w:rFonts w:ascii="Times New Roman" w:hAnsi="Times New Roman" w:cs="Times New Roman"/>
        <w:noProof/>
        <w:sz w:val="26"/>
        <w:szCs w:val="26"/>
      </w:rPr>
    </w:sdtEndPr>
    <w:sdtContent>
      <w:p w14:paraId="59DA6162" w14:textId="6DC76E31" w:rsidR="00266191" w:rsidRPr="00BB06DE" w:rsidRDefault="00266191" w:rsidP="00266191">
        <w:pPr>
          <w:pStyle w:val="Footer"/>
          <w:jc w:val="center"/>
          <w:rPr>
            <w:rFonts w:ascii="Times New Roman" w:hAnsi="Times New Roman" w:cs="Times New Roman"/>
            <w:sz w:val="26"/>
            <w:szCs w:val="26"/>
          </w:rPr>
        </w:pPr>
        <w:r w:rsidRPr="00BB06DE">
          <w:rPr>
            <w:rFonts w:ascii="Times New Roman" w:hAnsi="Times New Roman" w:cs="Times New Roman"/>
            <w:sz w:val="26"/>
            <w:szCs w:val="26"/>
          </w:rPr>
          <w:fldChar w:fldCharType="begin"/>
        </w:r>
        <w:r w:rsidRPr="00BB06DE">
          <w:rPr>
            <w:rFonts w:ascii="Times New Roman" w:hAnsi="Times New Roman" w:cs="Times New Roman"/>
            <w:sz w:val="26"/>
            <w:szCs w:val="26"/>
          </w:rPr>
          <w:instrText xml:space="preserve"> PAGE   \* MERGEFORMAT </w:instrText>
        </w:r>
        <w:r w:rsidRPr="00BB06DE">
          <w:rPr>
            <w:rFonts w:ascii="Times New Roman" w:hAnsi="Times New Roman" w:cs="Times New Roman"/>
            <w:sz w:val="26"/>
            <w:szCs w:val="26"/>
          </w:rPr>
          <w:fldChar w:fldCharType="separate"/>
        </w:r>
        <w:r w:rsidRPr="00BB06DE">
          <w:rPr>
            <w:rFonts w:ascii="Times New Roman" w:hAnsi="Times New Roman" w:cs="Times New Roman"/>
            <w:noProof/>
            <w:sz w:val="26"/>
            <w:szCs w:val="26"/>
          </w:rPr>
          <w:t>2</w:t>
        </w:r>
        <w:r w:rsidRPr="00BB06D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CD2E" w14:textId="77777777" w:rsidR="00E90A40" w:rsidRDefault="00E90A40" w:rsidP="00F44833">
      <w:pPr>
        <w:spacing w:after="0" w:line="240" w:lineRule="auto"/>
      </w:pPr>
      <w:r>
        <w:separator/>
      </w:r>
    </w:p>
  </w:footnote>
  <w:footnote w:type="continuationSeparator" w:id="0">
    <w:p w14:paraId="1CD96653" w14:textId="77777777" w:rsidR="00E90A40" w:rsidRDefault="00E90A40" w:rsidP="00F44833">
      <w:pPr>
        <w:spacing w:after="0" w:line="240" w:lineRule="auto"/>
      </w:pPr>
      <w:r>
        <w:continuationSeparator/>
      </w:r>
    </w:p>
  </w:footnote>
  <w:footnote w:id="1">
    <w:p w14:paraId="0149E865" w14:textId="2A97EF18" w:rsidR="000932B1" w:rsidRPr="00CA1DB5" w:rsidRDefault="000932B1" w:rsidP="00AF5FBE">
      <w:pPr>
        <w:pStyle w:val="FootnoteText"/>
        <w:ind w:firstLine="720"/>
        <w:rPr>
          <w:rFonts w:ascii="Times New Roman" w:hAnsi="Times New Roman" w:cs="Times New Roman"/>
          <w:sz w:val="26"/>
          <w:szCs w:val="26"/>
        </w:rPr>
      </w:pPr>
      <w:r w:rsidRPr="00CA1DB5">
        <w:rPr>
          <w:rStyle w:val="FootnoteReference"/>
          <w:rFonts w:ascii="Times New Roman" w:hAnsi="Times New Roman" w:cs="Times New Roman"/>
          <w:sz w:val="26"/>
          <w:szCs w:val="26"/>
        </w:rPr>
        <w:footnoteRef/>
      </w:r>
      <w:r w:rsidR="0087550E" w:rsidRPr="00CA1DB5">
        <w:rPr>
          <w:rFonts w:ascii="Times New Roman" w:hAnsi="Times New Roman" w:cs="Times New Roman"/>
          <w:sz w:val="26"/>
          <w:szCs w:val="26"/>
        </w:rPr>
        <w:t xml:space="preserve"> </w:t>
      </w:r>
      <w:hyperlink r:id="rId1" w:history="1">
        <w:r w:rsidR="00AF5FBE" w:rsidRPr="009F69A1">
          <w:rPr>
            <w:rStyle w:val="Hyperlink"/>
            <w:rFonts w:ascii="Times New Roman" w:hAnsi="Times New Roman" w:cs="Times New Roman"/>
            <w:sz w:val="26"/>
            <w:szCs w:val="26"/>
          </w:rPr>
          <w:t>https://www.pennlive.com/news/2017/06/man_let_energy_company_reps_in.html</w:t>
        </w:r>
      </w:hyperlink>
    </w:p>
  </w:footnote>
  <w:footnote w:id="2">
    <w:p w14:paraId="7D68827D" w14:textId="032BDF41" w:rsidR="005127BF" w:rsidRPr="005127BF" w:rsidRDefault="005127BF" w:rsidP="005127BF">
      <w:pPr>
        <w:pStyle w:val="FootnoteText"/>
        <w:ind w:firstLine="720"/>
        <w:rPr>
          <w:rFonts w:ascii="Times New Roman" w:hAnsi="Times New Roman" w:cs="Times New Roman"/>
          <w:sz w:val="26"/>
          <w:szCs w:val="26"/>
        </w:rPr>
      </w:pPr>
      <w:r w:rsidRPr="005127BF">
        <w:rPr>
          <w:rStyle w:val="FootnoteReference"/>
          <w:rFonts w:ascii="Times New Roman" w:hAnsi="Times New Roman" w:cs="Times New Roman"/>
          <w:sz w:val="26"/>
          <w:szCs w:val="26"/>
        </w:rPr>
        <w:footnoteRef/>
      </w:r>
      <w:r w:rsidRPr="005127BF">
        <w:rPr>
          <w:rFonts w:ascii="Times New Roman" w:hAnsi="Times New Roman" w:cs="Times New Roman"/>
          <w:sz w:val="26"/>
          <w:szCs w:val="26"/>
        </w:rPr>
        <w:t xml:space="preserve"> </w:t>
      </w:r>
      <w:r>
        <w:rPr>
          <w:rFonts w:ascii="Times New Roman" w:hAnsi="Times New Roman" w:cs="Times New Roman"/>
          <w:sz w:val="26"/>
          <w:szCs w:val="26"/>
        </w:rPr>
        <w:tab/>
      </w:r>
      <w:r w:rsidRPr="005127BF">
        <w:rPr>
          <w:rFonts w:ascii="Times New Roman" w:hAnsi="Times New Roman" w:cs="Times New Roman"/>
          <w:i/>
          <w:sz w:val="26"/>
          <w:szCs w:val="26"/>
        </w:rPr>
        <w:t>Pa. P</w:t>
      </w:r>
      <w:r w:rsidR="004E5CA0">
        <w:rPr>
          <w:rFonts w:ascii="Times New Roman" w:hAnsi="Times New Roman" w:cs="Times New Roman"/>
          <w:i/>
          <w:sz w:val="26"/>
          <w:szCs w:val="26"/>
        </w:rPr>
        <w:t>UC</w:t>
      </w:r>
      <w:r w:rsidRPr="005127BF">
        <w:rPr>
          <w:rFonts w:ascii="Times New Roman" w:hAnsi="Times New Roman" w:cs="Times New Roman"/>
          <w:i/>
          <w:sz w:val="26"/>
          <w:szCs w:val="26"/>
        </w:rPr>
        <w:t>, Bureau of Investigation and Enforcement v. Clearview Electric, Inc.</w:t>
      </w:r>
      <w:r w:rsidRPr="005127BF">
        <w:rPr>
          <w:rFonts w:ascii="Times New Roman" w:hAnsi="Times New Roman" w:cs="Times New Roman"/>
          <w:sz w:val="26"/>
          <w:szCs w:val="26"/>
        </w:rPr>
        <w:t>, Docket No. C-2016-2543592 (Final Order entered June</w:t>
      </w:r>
      <w:r w:rsidR="005C3A5B">
        <w:rPr>
          <w:rFonts w:ascii="Times New Roman" w:hAnsi="Times New Roman" w:cs="Times New Roman"/>
          <w:sz w:val="26"/>
          <w:szCs w:val="26"/>
        </w:rPr>
        <w:t> </w:t>
      </w:r>
      <w:r w:rsidRPr="005127BF">
        <w:rPr>
          <w:rFonts w:ascii="Times New Roman" w:hAnsi="Times New Roman" w:cs="Times New Roman"/>
          <w:sz w:val="26"/>
          <w:szCs w:val="26"/>
        </w:rPr>
        <w:t>30,</w:t>
      </w:r>
      <w:r w:rsidR="005C3A5B">
        <w:rPr>
          <w:rFonts w:ascii="Times New Roman" w:hAnsi="Times New Roman" w:cs="Times New Roman"/>
          <w:sz w:val="26"/>
          <w:szCs w:val="26"/>
        </w:rPr>
        <w:t> </w:t>
      </w:r>
      <w:r w:rsidRPr="005127BF">
        <w:rPr>
          <w:rFonts w:ascii="Times New Roman" w:hAnsi="Times New Roman" w:cs="Times New Roman"/>
          <w:sz w:val="26"/>
          <w:szCs w:val="26"/>
        </w:rPr>
        <w:t>2017</w:t>
      </w:r>
      <w:r w:rsidR="00C20C7B">
        <w:rPr>
          <w:rFonts w:ascii="Times New Roman" w:hAnsi="Times New Roman" w:cs="Times New Roman"/>
          <w:sz w:val="26"/>
          <w:szCs w:val="26"/>
        </w:rPr>
        <w:t>,</w:t>
      </w:r>
      <w:r w:rsidRPr="005127BF">
        <w:rPr>
          <w:rFonts w:ascii="Times New Roman" w:hAnsi="Times New Roman" w:cs="Times New Roman"/>
          <w:sz w:val="26"/>
          <w:szCs w:val="26"/>
        </w:rPr>
        <w:t xml:space="preserve"> approving settlement agreement without modification).  </w:t>
      </w:r>
    </w:p>
  </w:footnote>
  <w:footnote w:id="3">
    <w:p w14:paraId="7E3A0C56" w14:textId="74DD145D" w:rsidR="00535E08" w:rsidRPr="00181D13" w:rsidRDefault="00535E08" w:rsidP="00FD21F7">
      <w:pPr>
        <w:pStyle w:val="FootnoteText"/>
        <w:spacing w:after="120"/>
        <w:ind w:firstLine="720"/>
        <w:rPr>
          <w:rFonts w:ascii="Times New Roman" w:hAnsi="Times New Roman" w:cs="Times New Roman"/>
          <w:sz w:val="26"/>
          <w:szCs w:val="26"/>
        </w:rPr>
      </w:pPr>
      <w:r w:rsidRPr="00181D13">
        <w:rPr>
          <w:rStyle w:val="FootnoteReference"/>
          <w:rFonts w:ascii="Times New Roman" w:hAnsi="Times New Roman" w:cs="Times New Roman"/>
          <w:sz w:val="26"/>
          <w:szCs w:val="26"/>
        </w:rPr>
        <w:footnoteRef/>
      </w:r>
      <w:r w:rsidRPr="00181D13">
        <w:rPr>
          <w:rFonts w:ascii="Times New Roman" w:hAnsi="Times New Roman" w:cs="Times New Roman"/>
          <w:sz w:val="26"/>
          <w:szCs w:val="26"/>
        </w:rPr>
        <w:t xml:space="preserve"> </w:t>
      </w:r>
      <w:r w:rsidRPr="00181D13">
        <w:rPr>
          <w:rFonts w:ascii="Times New Roman" w:hAnsi="Times New Roman" w:cs="Times New Roman"/>
          <w:sz w:val="26"/>
          <w:szCs w:val="26"/>
        </w:rPr>
        <w:tab/>
        <w:t xml:space="preserve">The six formal complaints are docketed as follows: </w:t>
      </w:r>
      <w:r w:rsidR="00BA5A2D">
        <w:rPr>
          <w:rFonts w:ascii="Times New Roman" w:hAnsi="Times New Roman" w:cs="Times New Roman"/>
          <w:sz w:val="26"/>
          <w:szCs w:val="26"/>
        </w:rPr>
        <w:t xml:space="preserve"> </w:t>
      </w:r>
      <w:r w:rsidRPr="00181D13">
        <w:rPr>
          <w:rFonts w:ascii="Times New Roman" w:hAnsi="Times New Roman" w:cs="Times New Roman"/>
          <w:sz w:val="26"/>
          <w:szCs w:val="26"/>
        </w:rPr>
        <w:t>C-2017-2616037, F</w:t>
      </w:r>
      <w:r w:rsidR="00797C95">
        <w:rPr>
          <w:rFonts w:ascii="Times New Roman" w:hAnsi="Times New Roman" w:cs="Times New Roman"/>
          <w:sz w:val="26"/>
          <w:szCs w:val="26"/>
        </w:rPr>
        <w:noBreakHyphen/>
      </w:r>
      <w:r w:rsidRPr="00181D13">
        <w:rPr>
          <w:rFonts w:ascii="Times New Roman" w:hAnsi="Times New Roman" w:cs="Times New Roman"/>
          <w:sz w:val="26"/>
          <w:szCs w:val="26"/>
        </w:rPr>
        <w:t>2016-2559912, F-2015-2478664, C-2014-2411137, C-2013-2381987</w:t>
      </w:r>
      <w:r w:rsidR="00BA5A2D">
        <w:rPr>
          <w:rFonts w:ascii="Times New Roman" w:hAnsi="Times New Roman" w:cs="Times New Roman"/>
          <w:sz w:val="26"/>
          <w:szCs w:val="26"/>
        </w:rPr>
        <w:t>,</w:t>
      </w:r>
      <w:r w:rsidRPr="00181D13">
        <w:rPr>
          <w:rFonts w:ascii="Times New Roman" w:hAnsi="Times New Roman" w:cs="Times New Roman"/>
          <w:sz w:val="26"/>
          <w:szCs w:val="26"/>
        </w:rPr>
        <w:t xml:space="preserve"> and C</w:t>
      </w:r>
      <w:r w:rsidR="00797C95">
        <w:rPr>
          <w:rFonts w:ascii="Times New Roman" w:hAnsi="Times New Roman" w:cs="Times New Roman"/>
          <w:sz w:val="26"/>
          <w:szCs w:val="26"/>
        </w:rPr>
        <w:noBreakHyphen/>
      </w:r>
      <w:r w:rsidRPr="00181D13">
        <w:rPr>
          <w:rFonts w:ascii="Times New Roman" w:hAnsi="Times New Roman" w:cs="Times New Roman"/>
          <w:sz w:val="26"/>
          <w:szCs w:val="26"/>
        </w:rPr>
        <w:t>2012</w:t>
      </w:r>
      <w:r w:rsidR="00797C95">
        <w:rPr>
          <w:rFonts w:ascii="Times New Roman" w:hAnsi="Times New Roman" w:cs="Times New Roman"/>
          <w:sz w:val="26"/>
          <w:szCs w:val="26"/>
        </w:rPr>
        <w:noBreakHyphen/>
      </w:r>
      <w:r w:rsidRPr="00181D13">
        <w:rPr>
          <w:rFonts w:ascii="Times New Roman" w:hAnsi="Times New Roman" w:cs="Times New Roman"/>
          <w:sz w:val="26"/>
          <w:szCs w:val="26"/>
        </w:rPr>
        <w:t>2335048.</w:t>
      </w:r>
    </w:p>
  </w:footnote>
  <w:footnote w:id="4">
    <w:p w14:paraId="13F846B7" w14:textId="41B39284" w:rsidR="00535E08" w:rsidRPr="00181D13" w:rsidRDefault="00535E08" w:rsidP="00797C95">
      <w:pPr>
        <w:pStyle w:val="FootnoteText"/>
        <w:ind w:firstLine="720"/>
        <w:rPr>
          <w:rFonts w:ascii="Times New Roman" w:hAnsi="Times New Roman" w:cs="Times New Roman"/>
          <w:sz w:val="26"/>
          <w:szCs w:val="26"/>
        </w:rPr>
      </w:pPr>
      <w:r w:rsidRPr="00181D13">
        <w:rPr>
          <w:rStyle w:val="FootnoteReference"/>
          <w:rFonts w:ascii="Times New Roman" w:hAnsi="Times New Roman" w:cs="Times New Roman"/>
          <w:sz w:val="26"/>
          <w:szCs w:val="26"/>
        </w:rPr>
        <w:footnoteRef/>
      </w:r>
      <w:r w:rsidRPr="00181D13">
        <w:rPr>
          <w:rFonts w:ascii="Times New Roman" w:hAnsi="Times New Roman" w:cs="Times New Roman"/>
          <w:sz w:val="26"/>
          <w:szCs w:val="26"/>
        </w:rPr>
        <w:t xml:space="preserve"> </w:t>
      </w:r>
      <w:r w:rsidRPr="00181D13">
        <w:rPr>
          <w:rFonts w:ascii="Times New Roman" w:hAnsi="Times New Roman" w:cs="Times New Roman"/>
          <w:sz w:val="26"/>
          <w:szCs w:val="26"/>
        </w:rPr>
        <w:tab/>
      </w:r>
      <w:r w:rsidRPr="00181D13">
        <w:rPr>
          <w:rFonts w:ascii="Times New Roman" w:hAnsi="Times New Roman" w:cs="Times New Roman"/>
          <w:i/>
          <w:iCs/>
          <w:sz w:val="26"/>
          <w:szCs w:val="26"/>
        </w:rPr>
        <w:t>Fortunato Vangeli v. Clearview Electric, Inc.</w:t>
      </w:r>
      <w:r w:rsidRPr="00181D13">
        <w:rPr>
          <w:rFonts w:ascii="Times New Roman" w:hAnsi="Times New Roman" w:cs="Times New Roman"/>
          <w:sz w:val="26"/>
          <w:szCs w:val="26"/>
        </w:rPr>
        <w:t>, Docket No. F-2020-3021497 (Final Order entered December 15,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17"/>
    <w:multiLevelType w:val="hybridMultilevel"/>
    <w:tmpl w:val="042C57D2"/>
    <w:lvl w:ilvl="0" w:tplc="757A4E3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62B"/>
    <w:multiLevelType w:val="hybridMultilevel"/>
    <w:tmpl w:val="697C390A"/>
    <w:lvl w:ilvl="0" w:tplc="A5AA077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46E81"/>
    <w:multiLevelType w:val="hybridMultilevel"/>
    <w:tmpl w:val="530EB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D247F"/>
    <w:multiLevelType w:val="multilevel"/>
    <w:tmpl w:val="0D025166"/>
    <w:lvl w:ilvl="0">
      <w:start w:val="2"/>
      <w:numFmt w:val="upperRoman"/>
      <w:lvlText w:val="%1."/>
      <w:lvlJc w:val="left"/>
      <w:pPr>
        <w:ind w:left="720" w:hanging="720"/>
      </w:pPr>
      <w:rPr>
        <w:rFonts w:ascii="Times New Roman Bold" w:hAnsi="Times New Roman Bold" w:hint="default"/>
        <w:b/>
        <w:i w:val="0"/>
        <w:sz w:val="26"/>
      </w:rPr>
    </w:lvl>
    <w:lvl w:ilvl="1">
      <w:start w:val="16"/>
      <w:numFmt w:val="decimal"/>
      <w:lvlText w:val="%2."/>
      <w:lvlJc w:val="left"/>
      <w:pPr>
        <w:ind w:left="1080" w:hanging="360"/>
      </w:pPr>
      <w:rPr>
        <w:rFonts w:hint="default"/>
        <w:b w:val="0"/>
        <w:i w:val="0"/>
        <w:sz w:val="26"/>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36D024B"/>
    <w:multiLevelType w:val="hybridMultilevel"/>
    <w:tmpl w:val="64EC0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EC42AB"/>
    <w:multiLevelType w:val="hybridMultilevel"/>
    <w:tmpl w:val="0D109FE2"/>
    <w:lvl w:ilvl="0" w:tplc="4F10697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C249BA"/>
    <w:multiLevelType w:val="hybridMultilevel"/>
    <w:tmpl w:val="441AF43C"/>
    <w:lvl w:ilvl="0" w:tplc="150A6500">
      <w:start w:val="1"/>
      <w:numFmt w:val="upperRoman"/>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0FFF"/>
    <w:multiLevelType w:val="hybridMultilevel"/>
    <w:tmpl w:val="968C241E"/>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63496"/>
    <w:multiLevelType w:val="hybridMultilevel"/>
    <w:tmpl w:val="1E9A4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D7156"/>
    <w:multiLevelType w:val="hybridMultilevel"/>
    <w:tmpl w:val="525882BA"/>
    <w:lvl w:ilvl="0" w:tplc="86A287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D35254"/>
    <w:multiLevelType w:val="hybridMultilevel"/>
    <w:tmpl w:val="3A44B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A067FF"/>
    <w:multiLevelType w:val="hybridMultilevel"/>
    <w:tmpl w:val="CBF07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FB59A6"/>
    <w:multiLevelType w:val="hybridMultilevel"/>
    <w:tmpl w:val="40402CD2"/>
    <w:lvl w:ilvl="0" w:tplc="D4A2EE5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E674F"/>
    <w:multiLevelType w:val="hybridMultilevel"/>
    <w:tmpl w:val="AEAEC89C"/>
    <w:lvl w:ilvl="0" w:tplc="CD720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27543"/>
    <w:multiLevelType w:val="hybridMultilevel"/>
    <w:tmpl w:val="2FDC96AC"/>
    <w:lvl w:ilvl="0" w:tplc="0D362C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7817EE"/>
    <w:multiLevelType w:val="hybridMultilevel"/>
    <w:tmpl w:val="EC425E7A"/>
    <w:lvl w:ilvl="0" w:tplc="EBA6F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71E1A4E"/>
    <w:multiLevelType w:val="multilevel"/>
    <w:tmpl w:val="64A8E10E"/>
    <w:lvl w:ilvl="0">
      <w:start w:val="1"/>
      <w:numFmt w:val="upperRoman"/>
      <w:lvlText w:val="%1."/>
      <w:lvlJc w:val="left"/>
      <w:pPr>
        <w:ind w:left="720" w:hanging="720"/>
      </w:pPr>
      <w:rPr>
        <w:rFonts w:ascii="Times New Roman Bold" w:hAnsi="Times New Roman Bold" w:hint="default"/>
        <w:b/>
        <w:i w:val="0"/>
        <w:sz w:val="26"/>
      </w:rPr>
    </w:lvl>
    <w:lvl w:ilvl="1">
      <w:start w:val="41"/>
      <w:numFmt w:val="decimal"/>
      <w:lvlText w:val="%2."/>
      <w:lvlJc w:val="left"/>
      <w:pPr>
        <w:ind w:left="720" w:hanging="360"/>
      </w:pPr>
      <w:rPr>
        <w:rFonts w:hint="default"/>
        <w:b w:val="0"/>
        <w:i w:val="0"/>
        <w:sz w:val="26"/>
      </w:rPr>
    </w:lvl>
    <w:lvl w:ilvl="2">
      <w:start w:val="1"/>
      <w:numFmt w:val="lowerLetter"/>
      <w:lvlText w:val="%3."/>
      <w:lvlJc w:val="left"/>
      <w:pPr>
        <w:ind w:left="1800" w:hanging="360"/>
      </w:pPr>
      <w:rPr>
        <w:rFonts w:hint="default"/>
        <w:b w:val="0"/>
        <w:bCs/>
        <w:i w:val="0"/>
        <w:sz w:val="26"/>
      </w:rPr>
    </w:lvl>
    <w:lvl w:ilvl="3">
      <w:start w:val="1"/>
      <w:numFmt w:val="lowerLetter"/>
      <w:lvlText w:val="%4."/>
      <w:lvlJc w:val="left"/>
      <w:pPr>
        <w:ind w:left="2160" w:hanging="720"/>
      </w:pPr>
      <w:rPr>
        <w:rFonts w:ascii="Times New Roman" w:hAnsi="Times New Roman" w:hint="default"/>
        <w:b w:val="0"/>
        <w:i w:val="0"/>
        <w:sz w:val="26"/>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7CF22E85"/>
    <w:multiLevelType w:val="hybridMultilevel"/>
    <w:tmpl w:val="9EEE9AB4"/>
    <w:lvl w:ilvl="0" w:tplc="18E0AD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7"/>
  </w:num>
  <w:num w:numId="5">
    <w:abstractNumId w:val="13"/>
  </w:num>
  <w:num w:numId="6">
    <w:abstractNumId w:val="15"/>
  </w:num>
  <w:num w:numId="7">
    <w:abstractNumId w:val="14"/>
  </w:num>
  <w:num w:numId="8">
    <w:abstractNumId w:val="1"/>
  </w:num>
  <w:num w:numId="9">
    <w:abstractNumId w:val="11"/>
  </w:num>
  <w:num w:numId="10">
    <w:abstractNumId w:val="10"/>
  </w:num>
  <w:num w:numId="11">
    <w:abstractNumId w:val="8"/>
  </w:num>
  <w:num w:numId="12">
    <w:abstractNumId w:val="3"/>
  </w:num>
  <w:num w:numId="13">
    <w:abstractNumId w:val="16"/>
  </w:num>
  <w:num w:numId="14">
    <w:abstractNumId w:val="6"/>
  </w:num>
  <w:num w:numId="15">
    <w:abstractNumId w:val="12"/>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33"/>
    <w:rsid w:val="00003FF9"/>
    <w:rsid w:val="00004513"/>
    <w:rsid w:val="00004D0E"/>
    <w:rsid w:val="000059A7"/>
    <w:rsid w:val="00006E89"/>
    <w:rsid w:val="000074E0"/>
    <w:rsid w:val="0000754B"/>
    <w:rsid w:val="00010129"/>
    <w:rsid w:val="0001016D"/>
    <w:rsid w:val="000162A3"/>
    <w:rsid w:val="0002071A"/>
    <w:rsid w:val="0002170C"/>
    <w:rsid w:val="00021B13"/>
    <w:rsid w:val="000250C3"/>
    <w:rsid w:val="00026AE6"/>
    <w:rsid w:val="00026C34"/>
    <w:rsid w:val="00026C60"/>
    <w:rsid w:val="00026DFB"/>
    <w:rsid w:val="00027C35"/>
    <w:rsid w:val="000322E8"/>
    <w:rsid w:val="0003493F"/>
    <w:rsid w:val="00036DF0"/>
    <w:rsid w:val="00041386"/>
    <w:rsid w:val="000460AD"/>
    <w:rsid w:val="00046C3A"/>
    <w:rsid w:val="00047710"/>
    <w:rsid w:val="00050C2B"/>
    <w:rsid w:val="000518DA"/>
    <w:rsid w:val="000529AD"/>
    <w:rsid w:val="0005441E"/>
    <w:rsid w:val="00056461"/>
    <w:rsid w:val="0005787B"/>
    <w:rsid w:val="00060D64"/>
    <w:rsid w:val="000618DE"/>
    <w:rsid w:val="00062118"/>
    <w:rsid w:val="00066E0A"/>
    <w:rsid w:val="00070942"/>
    <w:rsid w:val="00072DFB"/>
    <w:rsid w:val="00072EB3"/>
    <w:rsid w:val="000747C7"/>
    <w:rsid w:val="000756FF"/>
    <w:rsid w:val="00076DA5"/>
    <w:rsid w:val="00083168"/>
    <w:rsid w:val="00084308"/>
    <w:rsid w:val="00085649"/>
    <w:rsid w:val="000932B1"/>
    <w:rsid w:val="00093521"/>
    <w:rsid w:val="00095552"/>
    <w:rsid w:val="00097E1B"/>
    <w:rsid w:val="00097F92"/>
    <w:rsid w:val="000A1056"/>
    <w:rsid w:val="000A192C"/>
    <w:rsid w:val="000A1ABD"/>
    <w:rsid w:val="000A2FF9"/>
    <w:rsid w:val="000A38C4"/>
    <w:rsid w:val="000A47F7"/>
    <w:rsid w:val="000A637A"/>
    <w:rsid w:val="000A6694"/>
    <w:rsid w:val="000A797E"/>
    <w:rsid w:val="000B102B"/>
    <w:rsid w:val="000B12CD"/>
    <w:rsid w:val="000B12D6"/>
    <w:rsid w:val="000B3F14"/>
    <w:rsid w:val="000B6FB1"/>
    <w:rsid w:val="000C58A3"/>
    <w:rsid w:val="000C674F"/>
    <w:rsid w:val="000D124E"/>
    <w:rsid w:val="000D1FEC"/>
    <w:rsid w:val="000D36D3"/>
    <w:rsid w:val="000D3751"/>
    <w:rsid w:val="000D4552"/>
    <w:rsid w:val="000D54EE"/>
    <w:rsid w:val="000E06BE"/>
    <w:rsid w:val="000E0704"/>
    <w:rsid w:val="000E1629"/>
    <w:rsid w:val="000E29CD"/>
    <w:rsid w:val="000E36D7"/>
    <w:rsid w:val="000E57CD"/>
    <w:rsid w:val="000E7DCB"/>
    <w:rsid w:val="000F4CEE"/>
    <w:rsid w:val="000F57C3"/>
    <w:rsid w:val="000F5CB7"/>
    <w:rsid w:val="000F5FD3"/>
    <w:rsid w:val="00100BB0"/>
    <w:rsid w:val="0010149E"/>
    <w:rsid w:val="00104E49"/>
    <w:rsid w:val="00111918"/>
    <w:rsid w:val="001135AF"/>
    <w:rsid w:val="00114759"/>
    <w:rsid w:val="00117DE8"/>
    <w:rsid w:val="001211E1"/>
    <w:rsid w:val="00123F36"/>
    <w:rsid w:val="00124414"/>
    <w:rsid w:val="00124B21"/>
    <w:rsid w:val="00124EFA"/>
    <w:rsid w:val="00132D49"/>
    <w:rsid w:val="00136B19"/>
    <w:rsid w:val="00136D30"/>
    <w:rsid w:val="00140A37"/>
    <w:rsid w:val="00150F2C"/>
    <w:rsid w:val="001511B8"/>
    <w:rsid w:val="00152166"/>
    <w:rsid w:val="0016261E"/>
    <w:rsid w:val="00163A1B"/>
    <w:rsid w:val="00164401"/>
    <w:rsid w:val="00164743"/>
    <w:rsid w:val="001653E9"/>
    <w:rsid w:val="00166A7D"/>
    <w:rsid w:val="0017126E"/>
    <w:rsid w:val="0017188E"/>
    <w:rsid w:val="0017455F"/>
    <w:rsid w:val="00176BC5"/>
    <w:rsid w:val="001778BB"/>
    <w:rsid w:val="00177AAF"/>
    <w:rsid w:val="001807BF"/>
    <w:rsid w:val="00181CE4"/>
    <w:rsid w:val="00181D13"/>
    <w:rsid w:val="00183096"/>
    <w:rsid w:val="00193C5A"/>
    <w:rsid w:val="00195589"/>
    <w:rsid w:val="00195A5D"/>
    <w:rsid w:val="00197F99"/>
    <w:rsid w:val="001A1BFC"/>
    <w:rsid w:val="001A2DB5"/>
    <w:rsid w:val="001A6DA8"/>
    <w:rsid w:val="001B0067"/>
    <w:rsid w:val="001B1AFA"/>
    <w:rsid w:val="001B1C39"/>
    <w:rsid w:val="001B20F0"/>
    <w:rsid w:val="001B232B"/>
    <w:rsid w:val="001B2B83"/>
    <w:rsid w:val="001B2F2B"/>
    <w:rsid w:val="001B5154"/>
    <w:rsid w:val="001B516C"/>
    <w:rsid w:val="001B7F9A"/>
    <w:rsid w:val="001C029D"/>
    <w:rsid w:val="001C1DE2"/>
    <w:rsid w:val="001C2670"/>
    <w:rsid w:val="001C2E2F"/>
    <w:rsid w:val="001C3A5F"/>
    <w:rsid w:val="001D21A5"/>
    <w:rsid w:val="001D41E8"/>
    <w:rsid w:val="001D4687"/>
    <w:rsid w:val="001D549C"/>
    <w:rsid w:val="001D59AA"/>
    <w:rsid w:val="001E1B3B"/>
    <w:rsid w:val="001E3DAA"/>
    <w:rsid w:val="001E6984"/>
    <w:rsid w:val="001F370C"/>
    <w:rsid w:val="001F5692"/>
    <w:rsid w:val="001F66FF"/>
    <w:rsid w:val="001F78B8"/>
    <w:rsid w:val="00201859"/>
    <w:rsid w:val="002037DC"/>
    <w:rsid w:val="0020601A"/>
    <w:rsid w:val="0021289D"/>
    <w:rsid w:val="00213B86"/>
    <w:rsid w:val="002169C6"/>
    <w:rsid w:val="00217F32"/>
    <w:rsid w:val="00220BEC"/>
    <w:rsid w:val="00221006"/>
    <w:rsid w:val="00225A89"/>
    <w:rsid w:val="00227820"/>
    <w:rsid w:val="002308B0"/>
    <w:rsid w:val="002325D2"/>
    <w:rsid w:val="00232916"/>
    <w:rsid w:val="00234989"/>
    <w:rsid w:val="00235DBC"/>
    <w:rsid w:val="00237B07"/>
    <w:rsid w:val="00237BC6"/>
    <w:rsid w:val="002414BC"/>
    <w:rsid w:val="0024184A"/>
    <w:rsid w:val="00244EF7"/>
    <w:rsid w:val="00245764"/>
    <w:rsid w:val="00250DF7"/>
    <w:rsid w:val="00251BCB"/>
    <w:rsid w:val="00252D99"/>
    <w:rsid w:val="00253939"/>
    <w:rsid w:val="002556F8"/>
    <w:rsid w:val="002571C4"/>
    <w:rsid w:val="00257C69"/>
    <w:rsid w:val="00263A3B"/>
    <w:rsid w:val="00263AE5"/>
    <w:rsid w:val="00266191"/>
    <w:rsid w:val="00272F50"/>
    <w:rsid w:val="00274EFD"/>
    <w:rsid w:val="002768D2"/>
    <w:rsid w:val="0027699B"/>
    <w:rsid w:val="0028022C"/>
    <w:rsid w:val="00280341"/>
    <w:rsid w:val="00282116"/>
    <w:rsid w:val="002878BA"/>
    <w:rsid w:val="00287E7C"/>
    <w:rsid w:val="0029073E"/>
    <w:rsid w:val="00290C33"/>
    <w:rsid w:val="00293480"/>
    <w:rsid w:val="002A308E"/>
    <w:rsid w:val="002A4AC8"/>
    <w:rsid w:val="002A70C8"/>
    <w:rsid w:val="002A7FCB"/>
    <w:rsid w:val="002B0DAE"/>
    <w:rsid w:val="002B5ADA"/>
    <w:rsid w:val="002B6AE6"/>
    <w:rsid w:val="002B76FD"/>
    <w:rsid w:val="002B79E1"/>
    <w:rsid w:val="002C02C9"/>
    <w:rsid w:val="002C06B7"/>
    <w:rsid w:val="002C076D"/>
    <w:rsid w:val="002C091F"/>
    <w:rsid w:val="002C0EE4"/>
    <w:rsid w:val="002C0F32"/>
    <w:rsid w:val="002C362A"/>
    <w:rsid w:val="002C388E"/>
    <w:rsid w:val="002C49C1"/>
    <w:rsid w:val="002C66A7"/>
    <w:rsid w:val="002D0A6C"/>
    <w:rsid w:val="002D15AB"/>
    <w:rsid w:val="002D2A2F"/>
    <w:rsid w:val="002D4B29"/>
    <w:rsid w:val="002E18A0"/>
    <w:rsid w:val="002E1DB5"/>
    <w:rsid w:val="002E2F3E"/>
    <w:rsid w:val="002E3FD9"/>
    <w:rsid w:val="002E68A7"/>
    <w:rsid w:val="002E7157"/>
    <w:rsid w:val="002F164C"/>
    <w:rsid w:val="002F6116"/>
    <w:rsid w:val="00300007"/>
    <w:rsid w:val="00300236"/>
    <w:rsid w:val="00305B3C"/>
    <w:rsid w:val="00305E22"/>
    <w:rsid w:val="0030728F"/>
    <w:rsid w:val="00315BE1"/>
    <w:rsid w:val="0032127D"/>
    <w:rsid w:val="00323FFA"/>
    <w:rsid w:val="003240C5"/>
    <w:rsid w:val="00324453"/>
    <w:rsid w:val="0032536C"/>
    <w:rsid w:val="003275FD"/>
    <w:rsid w:val="00335F40"/>
    <w:rsid w:val="00336A38"/>
    <w:rsid w:val="00337AE9"/>
    <w:rsid w:val="003410E6"/>
    <w:rsid w:val="00343F8A"/>
    <w:rsid w:val="0034429D"/>
    <w:rsid w:val="00344DDF"/>
    <w:rsid w:val="00345E2E"/>
    <w:rsid w:val="00350B95"/>
    <w:rsid w:val="00351CB9"/>
    <w:rsid w:val="003549A7"/>
    <w:rsid w:val="00354E87"/>
    <w:rsid w:val="0035603E"/>
    <w:rsid w:val="00363E57"/>
    <w:rsid w:val="003649C2"/>
    <w:rsid w:val="003712B4"/>
    <w:rsid w:val="0037296A"/>
    <w:rsid w:val="00375392"/>
    <w:rsid w:val="0037727B"/>
    <w:rsid w:val="00380309"/>
    <w:rsid w:val="00382C0B"/>
    <w:rsid w:val="003838B2"/>
    <w:rsid w:val="00384C8C"/>
    <w:rsid w:val="00384CB1"/>
    <w:rsid w:val="00384E59"/>
    <w:rsid w:val="00385FD0"/>
    <w:rsid w:val="00387C34"/>
    <w:rsid w:val="00391093"/>
    <w:rsid w:val="003919F5"/>
    <w:rsid w:val="00393726"/>
    <w:rsid w:val="00393D96"/>
    <w:rsid w:val="003949AC"/>
    <w:rsid w:val="00395EF4"/>
    <w:rsid w:val="003A0187"/>
    <w:rsid w:val="003A033D"/>
    <w:rsid w:val="003A2D38"/>
    <w:rsid w:val="003B0FCD"/>
    <w:rsid w:val="003B1203"/>
    <w:rsid w:val="003B1A2C"/>
    <w:rsid w:val="003B5039"/>
    <w:rsid w:val="003B5FBA"/>
    <w:rsid w:val="003B6598"/>
    <w:rsid w:val="003B67D8"/>
    <w:rsid w:val="003B7A7D"/>
    <w:rsid w:val="003C68C2"/>
    <w:rsid w:val="003C7D72"/>
    <w:rsid w:val="003D7918"/>
    <w:rsid w:val="003E1A05"/>
    <w:rsid w:val="003E442D"/>
    <w:rsid w:val="003F1077"/>
    <w:rsid w:val="003F611F"/>
    <w:rsid w:val="003F762E"/>
    <w:rsid w:val="0040004F"/>
    <w:rsid w:val="00400586"/>
    <w:rsid w:val="00405174"/>
    <w:rsid w:val="00406B92"/>
    <w:rsid w:val="004103BA"/>
    <w:rsid w:val="004104DD"/>
    <w:rsid w:val="004111CB"/>
    <w:rsid w:val="00414CF0"/>
    <w:rsid w:val="00414D40"/>
    <w:rsid w:val="00421D3D"/>
    <w:rsid w:val="00423B5B"/>
    <w:rsid w:val="004240B1"/>
    <w:rsid w:val="00424FBA"/>
    <w:rsid w:val="00431C5E"/>
    <w:rsid w:val="00431E4E"/>
    <w:rsid w:val="00432DEB"/>
    <w:rsid w:val="00432F9F"/>
    <w:rsid w:val="004334B2"/>
    <w:rsid w:val="00433793"/>
    <w:rsid w:val="004337E6"/>
    <w:rsid w:val="0043552E"/>
    <w:rsid w:val="00442940"/>
    <w:rsid w:val="00442A5F"/>
    <w:rsid w:val="00443629"/>
    <w:rsid w:val="00443C12"/>
    <w:rsid w:val="00443FB4"/>
    <w:rsid w:val="00447337"/>
    <w:rsid w:val="00453F85"/>
    <w:rsid w:val="00454012"/>
    <w:rsid w:val="004553EF"/>
    <w:rsid w:val="00457E26"/>
    <w:rsid w:val="004605F5"/>
    <w:rsid w:val="0046153E"/>
    <w:rsid w:val="00465059"/>
    <w:rsid w:val="0046580D"/>
    <w:rsid w:val="004676AB"/>
    <w:rsid w:val="00470DEA"/>
    <w:rsid w:val="004722FB"/>
    <w:rsid w:val="00473D7B"/>
    <w:rsid w:val="004740D1"/>
    <w:rsid w:val="0047453B"/>
    <w:rsid w:val="00475F5F"/>
    <w:rsid w:val="0047625C"/>
    <w:rsid w:val="00480937"/>
    <w:rsid w:val="00481559"/>
    <w:rsid w:val="004817BA"/>
    <w:rsid w:val="00481C68"/>
    <w:rsid w:val="004831B4"/>
    <w:rsid w:val="00483324"/>
    <w:rsid w:val="00483D8E"/>
    <w:rsid w:val="004863C9"/>
    <w:rsid w:val="00487D26"/>
    <w:rsid w:val="004902D2"/>
    <w:rsid w:val="004911F1"/>
    <w:rsid w:val="004928D5"/>
    <w:rsid w:val="00493BFF"/>
    <w:rsid w:val="00494814"/>
    <w:rsid w:val="004970F9"/>
    <w:rsid w:val="004A53D2"/>
    <w:rsid w:val="004B075B"/>
    <w:rsid w:val="004B19DE"/>
    <w:rsid w:val="004B35B6"/>
    <w:rsid w:val="004B4303"/>
    <w:rsid w:val="004B568F"/>
    <w:rsid w:val="004C02E6"/>
    <w:rsid w:val="004C04B5"/>
    <w:rsid w:val="004C12C4"/>
    <w:rsid w:val="004C2755"/>
    <w:rsid w:val="004C4C09"/>
    <w:rsid w:val="004C694B"/>
    <w:rsid w:val="004D1621"/>
    <w:rsid w:val="004D281C"/>
    <w:rsid w:val="004D5491"/>
    <w:rsid w:val="004E2D94"/>
    <w:rsid w:val="004E488E"/>
    <w:rsid w:val="004E5CA0"/>
    <w:rsid w:val="004E6E4A"/>
    <w:rsid w:val="004E791A"/>
    <w:rsid w:val="004E7AB8"/>
    <w:rsid w:val="004F36C1"/>
    <w:rsid w:val="004F4E97"/>
    <w:rsid w:val="004F6476"/>
    <w:rsid w:val="004F68BB"/>
    <w:rsid w:val="004F6D4E"/>
    <w:rsid w:val="005011D3"/>
    <w:rsid w:val="00510BB1"/>
    <w:rsid w:val="005127BF"/>
    <w:rsid w:val="00513E19"/>
    <w:rsid w:val="00513E4C"/>
    <w:rsid w:val="005268A9"/>
    <w:rsid w:val="0052704A"/>
    <w:rsid w:val="005303B8"/>
    <w:rsid w:val="00530610"/>
    <w:rsid w:val="005315BE"/>
    <w:rsid w:val="005325EE"/>
    <w:rsid w:val="00533C13"/>
    <w:rsid w:val="00535E08"/>
    <w:rsid w:val="0053679E"/>
    <w:rsid w:val="0053699E"/>
    <w:rsid w:val="005433F7"/>
    <w:rsid w:val="005439DE"/>
    <w:rsid w:val="00545258"/>
    <w:rsid w:val="005453B6"/>
    <w:rsid w:val="0054780C"/>
    <w:rsid w:val="00547EAE"/>
    <w:rsid w:val="005500AC"/>
    <w:rsid w:val="005501A8"/>
    <w:rsid w:val="00553556"/>
    <w:rsid w:val="005569AE"/>
    <w:rsid w:val="00556CA2"/>
    <w:rsid w:val="00562FEA"/>
    <w:rsid w:val="00564AAB"/>
    <w:rsid w:val="00566EAB"/>
    <w:rsid w:val="00570550"/>
    <w:rsid w:val="00570B5D"/>
    <w:rsid w:val="0057242C"/>
    <w:rsid w:val="0057449C"/>
    <w:rsid w:val="00576BA0"/>
    <w:rsid w:val="005770B3"/>
    <w:rsid w:val="005770E0"/>
    <w:rsid w:val="005801A6"/>
    <w:rsid w:val="00580550"/>
    <w:rsid w:val="00581592"/>
    <w:rsid w:val="005825DC"/>
    <w:rsid w:val="00582964"/>
    <w:rsid w:val="005835D9"/>
    <w:rsid w:val="00584774"/>
    <w:rsid w:val="00585C47"/>
    <w:rsid w:val="00585F80"/>
    <w:rsid w:val="005915EE"/>
    <w:rsid w:val="005944CF"/>
    <w:rsid w:val="005948AE"/>
    <w:rsid w:val="00595383"/>
    <w:rsid w:val="0059789A"/>
    <w:rsid w:val="005A0C39"/>
    <w:rsid w:val="005A2DCD"/>
    <w:rsid w:val="005A31E2"/>
    <w:rsid w:val="005A494E"/>
    <w:rsid w:val="005A530B"/>
    <w:rsid w:val="005B041F"/>
    <w:rsid w:val="005B30F6"/>
    <w:rsid w:val="005C0FF7"/>
    <w:rsid w:val="005C212E"/>
    <w:rsid w:val="005C3A5B"/>
    <w:rsid w:val="005C3C7C"/>
    <w:rsid w:val="005D0F2B"/>
    <w:rsid w:val="005D14EC"/>
    <w:rsid w:val="005D195C"/>
    <w:rsid w:val="005D406F"/>
    <w:rsid w:val="005D4FC9"/>
    <w:rsid w:val="005D504C"/>
    <w:rsid w:val="005D5D1E"/>
    <w:rsid w:val="005D696A"/>
    <w:rsid w:val="005D69EB"/>
    <w:rsid w:val="005E00EA"/>
    <w:rsid w:val="005E31A8"/>
    <w:rsid w:val="005E4CBE"/>
    <w:rsid w:val="005E7DEA"/>
    <w:rsid w:val="005F3AE6"/>
    <w:rsid w:val="005F4E9A"/>
    <w:rsid w:val="0060384A"/>
    <w:rsid w:val="0060712D"/>
    <w:rsid w:val="0061067D"/>
    <w:rsid w:val="006109A1"/>
    <w:rsid w:val="00612F19"/>
    <w:rsid w:val="00615966"/>
    <w:rsid w:val="00615AEF"/>
    <w:rsid w:val="00617145"/>
    <w:rsid w:val="00617AB9"/>
    <w:rsid w:val="006227AB"/>
    <w:rsid w:val="00630CAA"/>
    <w:rsid w:val="006361F8"/>
    <w:rsid w:val="00636CD8"/>
    <w:rsid w:val="00636D31"/>
    <w:rsid w:val="00637421"/>
    <w:rsid w:val="00640398"/>
    <w:rsid w:val="00640538"/>
    <w:rsid w:val="00640D13"/>
    <w:rsid w:val="00640E8D"/>
    <w:rsid w:val="00641793"/>
    <w:rsid w:val="00641D9F"/>
    <w:rsid w:val="0064676A"/>
    <w:rsid w:val="00650E47"/>
    <w:rsid w:val="0065459D"/>
    <w:rsid w:val="006563FD"/>
    <w:rsid w:val="0065749E"/>
    <w:rsid w:val="006620F5"/>
    <w:rsid w:val="006673E1"/>
    <w:rsid w:val="0066740B"/>
    <w:rsid w:val="006705D7"/>
    <w:rsid w:val="00674BB9"/>
    <w:rsid w:val="00677E39"/>
    <w:rsid w:val="006804F3"/>
    <w:rsid w:val="0068120C"/>
    <w:rsid w:val="00682A5A"/>
    <w:rsid w:val="00684EF1"/>
    <w:rsid w:val="0068624F"/>
    <w:rsid w:val="006867E0"/>
    <w:rsid w:val="00686FD1"/>
    <w:rsid w:val="00696D80"/>
    <w:rsid w:val="00697E31"/>
    <w:rsid w:val="006A029E"/>
    <w:rsid w:val="006A0373"/>
    <w:rsid w:val="006A0452"/>
    <w:rsid w:val="006A0D21"/>
    <w:rsid w:val="006A1CED"/>
    <w:rsid w:val="006A2F8D"/>
    <w:rsid w:val="006A328C"/>
    <w:rsid w:val="006A4528"/>
    <w:rsid w:val="006A47A1"/>
    <w:rsid w:val="006A7C0B"/>
    <w:rsid w:val="006B08C9"/>
    <w:rsid w:val="006B27C5"/>
    <w:rsid w:val="006B4F90"/>
    <w:rsid w:val="006B537D"/>
    <w:rsid w:val="006B5462"/>
    <w:rsid w:val="006B5C80"/>
    <w:rsid w:val="006B6011"/>
    <w:rsid w:val="006B66E9"/>
    <w:rsid w:val="006B6FE8"/>
    <w:rsid w:val="006C0634"/>
    <w:rsid w:val="006C06F5"/>
    <w:rsid w:val="006C0F82"/>
    <w:rsid w:val="006C18A8"/>
    <w:rsid w:val="006D1417"/>
    <w:rsid w:val="006D6253"/>
    <w:rsid w:val="006D70F0"/>
    <w:rsid w:val="006D71EF"/>
    <w:rsid w:val="006D733D"/>
    <w:rsid w:val="006E07A3"/>
    <w:rsid w:val="006E3317"/>
    <w:rsid w:val="006E55CC"/>
    <w:rsid w:val="006E6176"/>
    <w:rsid w:val="006E7B11"/>
    <w:rsid w:val="006F13AD"/>
    <w:rsid w:val="006F2D45"/>
    <w:rsid w:val="006F7205"/>
    <w:rsid w:val="00702670"/>
    <w:rsid w:val="00705029"/>
    <w:rsid w:val="00705064"/>
    <w:rsid w:val="0070558C"/>
    <w:rsid w:val="00706719"/>
    <w:rsid w:val="00714AA4"/>
    <w:rsid w:val="007170A2"/>
    <w:rsid w:val="00720E9D"/>
    <w:rsid w:val="00721F70"/>
    <w:rsid w:val="007225E8"/>
    <w:rsid w:val="0072636A"/>
    <w:rsid w:val="00730499"/>
    <w:rsid w:val="0073318C"/>
    <w:rsid w:val="00734D1E"/>
    <w:rsid w:val="00734F80"/>
    <w:rsid w:val="0073537F"/>
    <w:rsid w:val="007371B3"/>
    <w:rsid w:val="007408FC"/>
    <w:rsid w:val="007411D2"/>
    <w:rsid w:val="00742C81"/>
    <w:rsid w:val="007450CD"/>
    <w:rsid w:val="00745673"/>
    <w:rsid w:val="00752ACF"/>
    <w:rsid w:val="00755BCB"/>
    <w:rsid w:val="007570FC"/>
    <w:rsid w:val="00761D9C"/>
    <w:rsid w:val="0076203D"/>
    <w:rsid w:val="00762BDE"/>
    <w:rsid w:val="0076372B"/>
    <w:rsid w:val="00764B6A"/>
    <w:rsid w:val="0077521A"/>
    <w:rsid w:val="00775F0B"/>
    <w:rsid w:val="007837C8"/>
    <w:rsid w:val="00787E35"/>
    <w:rsid w:val="00790329"/>
    <w:rsid w:val="0079786E"/>
    <w:rsid w:val="00797C95"/>
    <w:rsid w:val="007A1344"/>
    <w:rsid w:val="007A1753"/>
    <w:rsid w:val="007A1E2A"/>
    <w:rsid w:val="007A3DFA"/>
    <w:rsid w:val="007A747D"/>
    <w:rsid w:val="007A7797"/>
    <w:rsid w:val="007B1EDF"/>
    <w:rsid w:val="007B5074"/>
    <w:rsid w:val="007B5831"/>
    <w:rsid w:val="007B7C2E"/>
    <w:rsid w:val="007C1050"/>
    <w:rsid w:val="007C126F"/>
    <w:rsid w:val="007C6686"/>
    <w:rsid w:val="007C7AE6"/>
    <w:rsid w:val="007D1788"/>
    <w:rsid w:val="007D7245"/>
    <w:rsid w:val="007E16D3"/>
    <w:rsid w:val="007E3E00"/>
    <w:rsid w:val="007E4101"/>
    <w:rsid w:val="007E42DC"/>
    <w:rsid w:val="007E5F1C"/>
    <w:rsid w:val="007F0F77"/>
    <w:rsid w:val="007F1479"/>
    <w:rsid w:val="007F17BC"/>
    <w:rsid w:val="007F2C07"/>
    <w:rsid w:val="007F4D21"/>
    <w:rsid w:val="007F5A48"/>
    <w:rsid w:val="007F7F24"/>
    <w:rsid w:val="008141B4"/>
    <w:rsid w:val="00814A67"/>
    <w:rsid w:val="00815160"/>
    <w:rsid w:val="00815A8C"/>
    <w:rsid w:val="00816C0B"/>
    <w:rsid w:val="008202BE"/>
    <w:rsid w:val="0082035D"/>
    <w:rsid w:val="00820FB0"/>
    <w:rsid w:val="00821C4A"/>
    <w:rsid w:val="00823471"/>
    <w:rsid w:val="00830BB2"/>
    <w:rsid w:val="00831EB3"/>
    <w:rsid w:val="00832871"/>
    <w:rsid w:val="00832954"/>
    <w:rsid w:val="00842B18"/>
    <w:rsid w:val="00851BF8"/>
    <w:rsid w:val="00853496"/>
    <w:rsid w:val="00854C0C"/>
    <w:rsid w:val="0085509A"/>
    <w:rsid w:val="00855966"/>
    <w:rsid w:val="00857179"/>
    <w:rsid w:val="00860A43"/>
    <w:rsid w:val="00860F3C"/>
    <w:rsid w:val="00861585"/>
    <w:rsid w:val="00862AD4"/>
    <w:rsid w:val="00863031"/>
    <w:rsid w:val="00863323"/>
    <w:rsid w:val="00863B03"/>
    <w:rsid w:val="00866103"/>
    <w:rsid w:val="00870462"/>
    <w:rsid w:val="00871A9A"/>
    <w:rsid w:val="00873345"/>
    <w:rsid w:val="00874D62"/>
    <w:rsid w:val="00874F9D"/>
    <w:rsid w:val="0087550E"/>
    <w:rsid w:val="008767AB"/>
    <w:rsid w:val="00880A09"/>
    <w:rsid w:val="008831E9"/>
    <w:rsid w:val="00884406"/>
    <w:rsid w:val="00887024"/>
    <w:rsid w:val="008912B7"/>
    <w:rsid w:val="0089334B"/>
    <w:rsid w:val="00895BF7"/>
    <w:rsid w:val="00896733"/>
    <w:rsid w:val="008A2629"/>
    <w:rsid w:val="008A2700"/>
    <w:rsid w:val="008B0C79"/>
    <w:rsid w:val="008B20DC"/>
    <w:rsid w:val="008B2D6E"/>
    <w:rsid w:val="008B2E54"/>
    <w:rsid w:val="008B6C36"/>
    <w:rsid w:val="008C022A"/>
    <w:rsid w:val="008C1151"/>
    <w:rsid w:val="008C2B2E"/>
    <w:rsid w:val="008C3120"/>
    <w:rsid w:val="008C5EAC"/>
    <w:rsid w:val="008C5F3E"/>
    <w:rsid w:val="008D08B4"/>
    <w:rsid w:val="008D0EEF"/>
    <w:rsid w:val="008D4C27"/>
    <w:rsid w:val="008D7AB8"/>
    <w:rsid w:val="008E1464"/>
    <w:rsid w:val="008E1F3A"/>
    <w:rsid w:val="008E3215"/>
    <w:rsid w:val="008F2C2A"/>
    <w:rsid w:val="008F395D"/>
    <w:rsid w:val="008F7573"/>
    <w:rsid w:val="0090176F"/>
    <w:rsid w:val="00904B50"/>
    <w:rsid w:val="00905F02"/>
    <w:rsid w:val="009068D9"/>
    <w:rsid w:val="00910EA4"/>
    <w:rsid w:val="009135A1"/>
    <w:rsid w:val="0091374D"/>
    <w:rsid w:val="00916E40"/>
    <w:rsid w:val="00917171"/>
    <w:rsid w:val="00923EA4"/>
    <w:rsid w:val="009245D7"/>
    <w:rsid w:val="0092538B"/>
    <w:rsid w:val="009265D6"/>
    <w:rsid w:val="00932B82"/>
    <w:rsid w:val="00935376"/>
    <w:rsid w:val="00935DF0"/>
    <w:rsid w:val="00936061"/>
    <w:rsid w:val="00936209"/>
    <w:rsid w:val="009417DE"/>
    <w:rsid w:val="00941A06"/>
    <w:rsid w:val="00947277"/>
    <w:rsid w:val="00947476"/>
    <w:rsid w:val="00953514"/>
    <w:rsid w:val="00955DEA"/>
    <w:rsid w:val="00957A22"/>
    <w:rsid w:val="00966989"/>
    <w:rsid w:val="009676B8"/>
    <w:rsid w:val="00970A0C"/>
    <w:rsid w:val="00971344"/>
    <w:rsid w:val="00974910"/>
    <w:rsid w:val="00975062"/>
    <w:rsid w:val="00984785"/>
    <w:rsid w:val="00986504"/>
    <w:rsid w:val="0099024B"/>
    <w:rsid w:val="00992B42"/>
    <w:rsid w:val="00994537"/>
    <w:rsid w:val="00996E96"/>
    <w:rsid w:val="009A0884"/>
    <w:rsid w:val="009A0AA4"/>
    <w:rsid w:val="009A4BF0"/>
    <w:rsid w:val="009B0C49"/>
    <w:rsid w:val="009B195F"/>
    <w:rsid w:val="009B273A"/>
    <w:rsid w:val="009B4548"/>
    <w:rsid w:val="009B54E6"/>
    <w:rsid w:val="009B7DAA"/>
    <w:rsid w:val="009B7E11"/>
    <w:rsid w:val="009C12EF"/>
    <w:rsid w:val="009C428B"/>
    <w:rsid w:val="009C4B40"/>
    <w:rsid w:val="009C5885"/>
    <w:rsid w:val="009C64F0"/>
    <w:rsid w:val="009C7200"/>
    <w:rsid w:val="009D3472"/>
    <w:rsid w:val="009D4BB5"/>
    <w:rsid w:val="009D4D7F"/>
    <w:rsid w:val="009E0D34"/>
    <w:rsid w:val="009E2A2E"/>
    <w:rsid w:val="009E2B12"/>
    <w:rsid w:val="009E6332"/>
    <w:rsid w:val="009E7AC0"/>
    <w:rsid w:val="009E7E4F"/>
    <w:rsid w:val="009F2EEC"/>
    <w:rsid w:val="00A02ECA"/>
    <w:rsid w:val="00A036F0"/>
    <w:rsid w:val="00A0413C"/>
    <w:rsid w:val="00A044D2"/>
    <w:rsid w:val="00A05CF0"/>
    <w:rsid w:val="00A112FE"/>
    <w:rsid w:val="00A11DB6"/>
    <w:rsid w:val="00A12957"/>
    <w:rsid w:val="00A221BC"/>
    <w:rsid w:val="00A2221A"/>
    <w:rsid w:val="00A22521"/>
    <w:rsid w:val="00A2453B"/>
    <w:rsid w:val="00A245AE"/>
    <w:rsid w:val="00A2476F"/>
    <w:rsid w:val="00A268B9"/>
    <w:rsid w:val="00A26DC5"/>
    <w:rsid w:val="00A27203"/>
    <w:rsid w:val="00A30ECF"/>
    <w:rsid w:val="00A3251D"/>
    <w:rsid w:val="00A32DE7"/>
    <w:rsid w:val="00A34AAE"/>
    <w:rsid w:val="00A36433"/>
    <w:rsid w:val="00A43F39"/>
    <w:rsid w:val="00A44803"/>
    <w:rsid w:val="00A45C0A"/>
    <w:rsid w:val="00A52536"/>
    <w:rsid w:val="00A53B32"/>
    <w:rsid w:val="00A54A22"/>
    <w:rsid w:val="00A550FF"/>
    <w:rsid w:val="00A56B1A"/>
    <w:rsid w:val="00A60F33"/>
    <w:rsid w:val="00A61E56"/>
    <w:rsid w:val="00A62B1F"/>
    <w:rsid w:val="00A6328D"/>
    <w:rsid w:val="00A63701"/>
    <w:rsid w:val="00A64154"/>
    <w:rsid w:val="00A66ADB"/>
    <w:rsid w:val="00A6729D"/>
    <w:rsid w:val="00A67973"/>
    <w:rsid w:val="00A70E96"/>
    <w:rsid w:val="00A734E6"/>
    <w:rsid w:val="00A75AAE"/>
    <w:rsid w:val="00A768D8"/>
    <w:rsid w:val="00A77F6A"/>
    <w:rsid w:val="00A81BFB"/>
    <w:rsid w:val="00A830B1"/>
    <w:rsid w:val="00A83FF8"/>
    <w:rsid w:val="00A8625A"/>
    <w:rsid w:val="00A8682F"/>
    <w:rsid w:val="00A86A92"/>
    <w:rsid w:val="00A91A7B"/>
    <w:rsid w:val="00A96E29"/>
    <w:rsid w:val="00A97029"/>
    <w:rsid w:val="00AA2B8A"/>
    <w:rsid w:val="00AA623F"/>
    <w:rsid w:val="00AA717A"/>
    <w:rsid w:val="00AA7256"/>
    <w:rsid w:val="00AB14E4"/>
    <w:rsid w:val="00AB3E5B"/>
    <w:rsid w:val="00AB6FEB"/>
    <w:rsid w:val="00AC4357"/>
    <w:rsid w:val="00AC488D"/>
    <w:rsid w:val="00AD104D"/>
    <w:rsid w:val="00AD16F5"/>
    <w:rsid w:val="00AD1AA1"/>
    <w:rsid w:val="00AD3B62"/>
    <w:rsid w:val="00AD5AA8"/>
    <w:rsid w:val="00AD6C17"/>
    <w:rsid w:val="00AD71A7"/>
    <w:rsid w:val="00AE1215"/>
    <w:rsid w:val="00AE1E01"/>
    <w:rsid w:val="00AE2509"/>
    <w:rsid w:val="00AE4A88"/>
    <w:rsid w:val="00AE7048"/>
    <w:rsid w:val="00AE71DB"/>
    <w:rsid w:val="00AF087E"/>
    <w:rsid w:val="00AF0B18"/>
    <w:rsid w:val="00AF3939"/>
    <w:rsid w:val="00AF445C"/>
    <w:rsid w:val="00AF520B"/>
    <w:rsid w:val="00AF5FBE"/>
    <w:rsid w:val="00AF6242"/>
    <w:rsid w:val="00AF664C"/>
    <w:rsid w:val="00B02BF3"/>
    <w:rsid w:val="00B05425"/>
    <w:rsid w:val="00B07EDD"/>
    <w:rsid w:val="00B07F7F"/>
    <w:rsid w:val="00B139D0"/>
    <w:rsid w:val="00B150B5"/>
    <w:rsid w:val="00B159E7"/>
    <w:rsid w:val="00B21F72"/>
    <w:rsid w:val="00B22C0B"/>
    <w:rsid w:val="00B23E17"/>
    <w:rsid w:val="00B243A1"/>
    <w:rsid w:val="00B25360"/>
    <w:rsid w:val="00B31137"/>
    <w:rsid w:val="00B372D6"/>
    <w:rsid w:val="00B40806"/>
    <w:rsid w:val="00B40E0E"/>
    <w:rsid w:val="00B46FF5"/>
    <w:rsid w:val="00B51F27"/>
    <w:rsid w:val="00B53BD3"/>
    <w:rsid w:val="00B53FBB"/>
    <w:rsid w:val="00B55830"/>
    <w:rsid w:val="00B6456A"/>
    <w:rsid w:val="00B663D8"/>
    <w:rsid w:val="00B70441"/>
    <w:rsid w:val="00B708FD"/>
    <w:rsid w:val="00B713E3"/>
    <w:rsid w:val="00B71B38"/>
    <w:rsid w:val="00B73DA8"/>
    <w:rsid w:val="00B810EB"/>
    <w:rsid w:val="00B815F4"/>
    <w:rsid w:val="00B81D21"/>
    <w:rsid w:val="00B8214E"/>
    <w:rsid w:val="00B83D9A"/>
    <w:rsid w:val="00B84690"/>
    <w:rsid w:val="00B848CB"/>
    <w:rsid w:val="00B849C3"/>
    <w:rsid w:val="00B85CE0"/>
    <w:rsid w:val="00B87955"/>
    <w:rsid w:val="00B928AF"/>
    <w:rsid w:val="00B9753F"/>
    <w:rsid w:val="00BA0E40"/>
    <w:rsid w:val="00BA1547"/>
    <w:rsid w:val="00BA2956"/>
    <w:rsid w:val="00BA553A"/>
    <w:rsid w:val="00BA5A2D"/>
    <w:rsid w:val="00BB06DE"/>
    <w:rsid w:val="00BB1AB9"/>
    <w:rsid w:val="00BB453C"/>
    <w:rsid w:val="00BB508E"/>
    <w:rsid w:val="00BB7926"/>
    <w:rsid w:val="00BC0F7E"/>
    <w:rsid w:val="00BC2211"/>
    <w:rsid w:val="00BC29BE"/>
    <w:rsid w:val="00BC2C9D"/>
    <w:rsid w:val="00BC4D42"/>
    <w:rsid w:val="00BC69AB"/>
    <w:rsid w:val="00BD0148"/>
    <w:rsid w:val="00BD0621"/>
    <w:rsid w:val="00BD0634"/>
    <w:rsid w:val="00BD2331"/>
    <w:rsid w:val="00BD63D4"/>
    <w:rsid w:val="00BD66E3"/>
    <w:rsid w:val="00BD6B39"/>
    <w:rsid w:val="00BD70C1"/>
    <w:rsid w:val="00BD779B"/>
    <w:rsid w:val="00BE0869"/>
    <w:rsid w:val="00BE18E6"/>
    <w:rsid w:val="00BE620D"/>
    <w:rsid w:val="00BE6CBB"/>
    <w:rsid w:val="00BE761A"/>
    <w:rsid w:val="00BE76DB"/>
    <w:rsid w:val="00BF0717"/>
    <w:rsid w:val="00BF60BA"/>
    <w:rsid w:val="00C01087"/>
    <w:rsid w:val="00C01ADE"/>
    <w:rsid w:val="00C01F3E"/>
    <w:rsid w:val="00C030C4"/>
    <w:rsid w:val="00C046C5"/>
    <w:rsid w:val="00C053CF"/>
    <w:rsid w:val="00C1588F"/>
    <w:rsid w:val="00C15C41"/>
    <w:rsid w:val="00C200F0"/>
    <w:rsid w:val="00C20716"/>
    <w:rsid w:val="00C208FD"/>
    <w:rsid w:val="00C20C7B"/>
    <w:rsid w:val="00C214FC"/>
    <w:rsid w:val="00C220F1"/>
    <w:rsid w:val="00C2234F"/>
    <w:rsid w:val="00C26158"/>
    <w:rsid w:val="00C30FD3"/>
    <w:rsid w:val="00C31525"/>
    <w:rsid w:val="00C31D2B"/>
    <w:rsid w:val="00C32CC8"/>
    <w:rsid w:val="00C340E2"/>
    <w:rsid w:val="00C36EC5"/>
    <w:rsid w:val="00C40237"/>
    <w:rsid w:val="00C40600"/>
    <w:rsid w:val="00C45F3B"/>
    <w:rsid w:val="00C514F0"/>
    <w:rsid w:val="00C558D8"/>
    <w:rsid w:val="00C57B23"/>
    <w:rsid w:val="00C61760"/>
    <w:rsid w:val="00C626F0"/>
    <w:rsid w:val="00C66B6C"/>
    <w:rsid w:val="00C6740F"/>
    <w:rsid w:val="00C674F2"/>
    <w:rsid w:val="00C70D07"/>
    <w:rsid w:val="00C72D7B"/>
    <w:rsid w:val="00C7544B"/>
    <w:rsid w:val="00C77EE0"/>
    <w:rsid w:val="00C808EC"/>
    <w:rsid w:val="00C8159D"/>
    <w:rsid w:val="00C872A9"/>
    <w:rsid w:val="00C90052"/>
    <w:rsid w:val="00C91C1A"/>
    <w:rsid w:val="00C95D12"/>
    <w:rsid w:val="00C962D8"/>
    <w:rsid w:val="00C97A15"/>
    <w:rsid w:val="00C97F19"/>
    <w:rsid w:val="00CA09AC"/>
    <w:rsid w:val="00CA1BC1"/>
    <w:rsid w:val="00CA1DB5"/>
    <w:rsid w:val="00CA4702"/>
    <w:rsid w:val="00CA4A6A"/>
    <w:rsid w:val="00CA7E79"/>
    <w:rsid w:val="00CB0BD7"/>
    <w:rsid w:val="00CB2DBF"/>
    <w:rsid w:val="00CB43E6"/>
    <w:rsid w:val="00CB6C24"/>
    <w:rsid w:val="00CB78B0"/>
    <w:rsid w:val="00CC1C2C"/>
    <w:rsid w:val="00CC372C"/>
    <w:rsid w:val="00CC3F15"/>
    <w:rsid w:val="00CC5201"/>
    <w:rsid w:val="00CD03D3"/>
    <w:rsid w:val="00CD2320"/>
    <w:rsid w:val="00CD2970"/>
    <w:rsid w:val="00CD4672"/>
    <w:rsid w:val="00CD7E94"/>
    <w:rsid w:val="00CE06F4"/>
    <w:rsid w:val="00CE4FD9"/>
    <w:rsid w:val="00CE59B1"/>
    <w:rsid w:val="00CF1965"/>
    <w:rsid w:val="00CF3AF8"/>
    <w:rsid w:val="00CF4302"/>
    <w:rsid w:val="00CF5021"/>
    <w:rsid w:val="00CF7FD6"/>
    <w:rsid w:val="00D02990"/>
    <w:rsid w:val="00D05AFA"/>
    <w:rsid w:val="00D06A31"/>
    <w:rsid w:val="00D11D66"/>
    <w:rsid w:val="00D120CF"/>
    <w:rsid w:val="00D12DB4"/>
    <w:rsid w:val="00D13633"/>
    <w:rsid w:val="00D14417"/>
    <w:rsid w:val="00D144ED"/>
    <w:rsid w:val="00D1728D"/>
    <w:rsid w:val="00D17356"/>
    <w:rsid w:val="00D205AF"/>
    <w:rsid w:val="00D21CAB"/>
    <w:rsid w:val="00D22DD3"/>
    <w:rsid w:val="00D24B2A"/>
    <w:rsid w:val="00D255E3"/>
    <w:rsid w:val="00D26E87"/>
    <w:rsid w:val="00D31505"/>
    <w:rsid w:val="00D31E0C"/>
    <w:rsid w:val="00D329AA"/>
    <w:rsid w:val="00D331FF"/>
    <w:rsid w:val="00D36807"/>
    <w:rsid w:val="00D36857"/>
    <w:rsid w:val="00D37905"/>
    <w:rsid w:val="00D403B0"/>
    <w:rsid w:val="00D41EC0"/>
    <w:rsid w:val="00D53853"/>
    <w:rsid w:val="00D54C0C"/>
    <w:rsid w:val="00D559F9"/>
    <w:rsid w:val="00D574CE"/>
    <w:rsid w:val="00D662B2"/>
    <w:rsid w:val="00D706FB"/>
    <w:rsid w:val="00D713A5"/>
    <w:rsid w:val="00D71559"/>
    <w:rsid w:val="00D728F4"/>
    <w:rsid w:val="00D73F19"/>
    <w:rsid w:val="00D75091"/>
    <w:rsid w:val="00D766ED"/>
    <w:rsid w:val="00D80B94"/>
    <w:rsid w:val="00D80FE5"/>
    <w:rsid w:val="00D814DC"/>
    <w:rsid w:val="00D834AF"/>
    <w:rsid w:val="00D83C57"/>
    <w:rsid w:val="00D86FA4"/>
    <w:rsid w:val="00D924B5"/>
    <w:rsid w:val="00D95DEF"/>
    <w:rsid w:val="00D969EF"/>
    <w:rsid w:val="00DA1AC1"/>
    <w:rsid w:val="00DA1CBC"/>
    <w:rsid w:val="00DA1F51"/>
    <w:rsid w:val="00DA4D7D"/>
    <w:rsid w:val="00DA7BC9"/>
    <w:rsid w:val="00DB31CE"/>
    <w:rsid w:val="00DB324E"/>
    <w:rsid w:val="00DB3902"/>
    <w:rsid w:val="00DB4916"/>
    <w:rsid w:val="00DB6E08"/>
    <w:rsid w:val="00DB72D5"/>
    <w:rsid w:val="00DC0DDF"/>
    <w:rsid w:val="00DC1007"/>
    <w:rsid w:val="00DC42F7"/>
    <w:rsid w:val="00DC665E"/>
    <w:rsid w:val="00DD4331"/>
    <w:rsid w:val="00DD4453"/>
    <w:rsid w:val="00DD4AB3"/>
    <w:rsid w:val="00DD4C6A"/>
    <w:rsid w:val="00DD62AF"/>
    <w:rsid w:val="00DD6D5B"/>
    <w:rsid w:val="00DE004C"/>
    <w:rsid w:val="00DE08C4"/>
    <w:rsid w:val="00DE1217"/>
    <w:rsid w:val="00DE33EE"/>
    <w:rsid w:val="00DE3983"/>
    <w:rsid w:val="00DE56F7"/>
    <w:rsid w:val="00DE677B"/>
    <w:rsid w:val="00DF2858"/>
    <w:rsid w:val="00DF48D9"/>
    <w:rsid w:val="00E00D9F"/>
    <w:rsid w:val="00E04C4B"/>
    <w:rsid w:val="00E10941"/>
    <w:rsid w:val="00E10DD1"/>
    <w:rsid w:val="00E165BC"/>
    <w:rsid w:val="00E17771"/>
    <w:rsid w:val="00E1786B"/>
    <w:rsid w:val="00E17A93"/>
    <w:rsid w:val="00E201ED"/>
    <w:rsid w:val="00E21236"/>
    <w:rsid w:val="00E23721"/>
    <w:rsid w:val="00E23DD0"/>
    <w:rsid w:val="00E26E53"/>
    <w:rsid w:val="00E2771E"/>
    <w:rsid w:val="00E27B4B"/>
    <w:rsid w:val="00E3026F"/>
    <w:rsid w:val="00E30D65"/>
    <w:rsid w:val="00E37CF7"/>
    <w:rsid w:val="00E43495"/>
    <w:rsid w:val="00E4395E"/>
    <w:rsid w:val="00E466B7"/>
    <w:rsid w:val="00E509B9"/>
    <w:rsid w:val="00E50E14"/>
    <w:rsid w:val="00E521F2"/>
    <w:rsid w:val="00E52B1F"/>
    <w:rsid w:val="00E52E86"/>
    <w:rsid w:val="00E53F5D"/>
    <w:rsid w:val="00E5452B"/>
    <w:rsid w:val="00E561D0"/>
    <w:rsid w:val="00E62727"/>
    <w:rsid w:val="00E6399C"/>
    <w:rsid w:val="00E643E4"/>
    <w:rsid w:val="00E67DDE"/>
    <w:rsid w:val="00E730EB"/>
    <w:rsid w:val="00E73153"/>
    <w:rsid w:val="00E7435B"/>
    <w:rsid w:val="00E767B3"/>
    <w:rsid w:val="00E812CC"/>
    <w:rsid w:val="00E90A40"/>
    <w:rsid w:val="00E933E8"/>
    <w:rsid w:val="00E94BAE"/>
    <w:rsid w:val="00E95552"/>
    <w:rsid w:val="00E965AE"/>
    <w:rsid w:val="00E97FA8"/>
    <w:rsid w:val="00EA110B"/>
    <w:rsid w:val="00EA36AD"/>
    <w:rsid w:val="00EB0FA5"/>
    <w:rsid w:val="00EB27F0"/>
    <w:rsid w:val="00EB4964"/>
    <w:rsid w:val="00EB5AC8"/>
    <w:rsid w:val="00EB74D3"/>
    <w:rsid w:val="00EB7817"/>
    <w:rsid w:val="00EC2547"/>
    <w:rsid w:val="00EC2F19"/>
    <w:rsid w:val="00EC2F40"/>
    <w:rsid w:val="00EC4098"/>
    <w:rsid w:val="00EC5063"/>
    <w:rsid w:val="00EC7880"/>
    <w:rsid w:val="00ED1318"/>
    <w:rsid w:val="00ED1CE6"/>
    <w:rsid w:val="00ED1FA7"/>
    <w:rsid w:val="00ED2472"/>
    <w:rsid w:val="00ED271E"/>
    <w:rsid w:val="00ED299B"/>
    <w:rsid w:val="00ED4EAD"/>
    <w:rsid w:val="00ED57DE"/>
    <w:rsid w:val="00ED657C"/>
    <w:rsid w:val="00EE026E"/>
    <w:rsid w:val="00EE0AEC"/>
    <w:rsid w:val="00EE126E"/>
    <w:rsid w:val="00EF0825"/>
    <w:rsid w:val="00EF085C"/>
    <w:rsid w:val="00EF2D48"/>
    <w:rsid w:val="00EF4651"/>
    <w:rsid w:val="00EF5609"/>
    <w:rsid w:val="00EF64BC"/>
    <w:rsid w:val="00F019AE"/>
    <w:rsid w:val="00F01F68"/>
    <w:rsid w:val="00F11EE5"/>
    <w:rsid w:val="00F1278B"/>
    <w:rsid w:val="00F132A5"/>
    <w:rsid w:val="00F15FDE"/>
    <w:rsid w:val="00F17584"/>
    <w:rsid w:val="00F17A9A"/>
    <w:rsid w:val="00F20DB9"/>
    <w:rsid w:val="00F2342F"/>
    <w:rsid w:val="00F25260"/>
    <w:rsid w:val="00F26699"/>
    <w:rsid w:val="00F27B4F"/>
    <w:rsid w:val="00F3491B"/>
    <w:rsid w:val="00F35907"/>
    <w:rsid w:val="00F40C64"/>
    <w:rsid w:val="00F44744"/>
    <w:rsid w:val="00F44833"/>
    <w:rsid w:val="00F45C73"/>
    <w:rsid w:val="00F4744A"/>
    <w:rsid w:val="00F511AD"/>
    <w:rsid w:val="00F51D04"/>
    <w:rsid w:val="00F551C2"/>
    <w:rsid w:val="00F5569E"/>
    <w:rsid w:val="00F56D83"/>
    <w:rsid w:val="00F56F30"/>
    <w:rsid w:val="00F57DC4"/>
    <w:rsid w:val="00F65119"/>
    <w:rsid w:val="00F7018B"/>
    <w:rsid w:val="00F71EE8"/>
    <w:rsid w:val="00F7462C"/>
    <w:rsid w:val="00F7498C"/>
    <w:rsid w:val="00F7548B"/>
    <w:rsid w:val="00F755FE"/>
    <w:rsid w:val="00F75A45"/>
    <w:rsid w:val="00F75A46"/>
    <w:rsid w:val="00F765E5"/>
    <w:rsid w:val="00F77210"/>
    <w:rsid w:val="00F806C8"/>
    <w:rsid w:val="00F80CA7"/>
    <w:rsid w:val="00F81F74"/>
    <w:rsid w:val="00F82325"/>
    <w:rsid w:val="00F83F8E"/>
    <w:rsid w:val="00F8641C"/>
    <w:rsid w:val="00F87AAF"/>
    <w:rsid w:val="00F906C6"/>
    <w:rsid w:val="00FA2ED6"/>
    <w:rsid w:val="00FB18A7"/>
    <w:rsid w:val="00FC0802"/>
    <w:rsid w:val="00FC143A"/>
    <w:rsid w:val="00FC3217"/>
    <w:rsid w:val="00FC3B9A"/>
    <w:rsid w:val="00FC49EC"/>
    <w:rsid w:val="00FC5270"/>
    <w:rsid w:val="00FC6396"/>
    <w:rsid w:val="00FC67A1"/>
    <w:rsid w:val="00FC773F"/>
    <w:rsid w:val="00FD21F7"/>
    <w:rsid w:val="00FD2835"/>
    <w:rsid w:val="00FD28E5"/>
    <w:rsid w:val="00FD7B2F"/>
    <w:rsid w:val="00FE0358"/>
    <w:rsid w:val="00FE0A2D"/>
    <w:rsid w:val="00FE33BD"/>
    <w:rsid w:val="00FE425D"/>
    <w:rsid w:val="00FE498B"/>
    <w:rsid w:val="00FE4DF2"/>
    <w:rsid w:val="00FE515C"/>
    <w:rsid w:val="00FE73E1"/>
    <w:rsid w:val="00FE74B7"/>
    <w:rsid w:val="00FF0DEF"/>
    <w:rsid w:val="00FF4ADB"/>
    <w:rsid w:val="00FF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4BF04"/>
  <w15:docId w15:val="{F9BD79E1-B7ED-4820-B17A-10513728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ALTS FOOTNOTE,fn,Footnote Text 2,Footnote text,FOOTNOTE,ALTS FOOTNOTE Char,fn Char,Footnote Text Char1 Char,Footnote Text Char Char Char,ALTS FOOTNOTE Char Char Char,fn Char Char Char,Footnote Text Char2 Char Char Char,ft"/>
    <w:basedOn w:val="Normal"/>
    <w:link w:val="FootnoteTextChar"/>
    <w:uiPriority w:val="99"/>
    <w:unhideWhenUsed/>
    <w:qFormat/>
    <w:rsid w:val="00F44833"/>
    <w:pPr>
      <w:spacing w:after="0" w:line="240" w:lineRule="auto"/>
    </w:pPr>
    <w:rPr>
      <w:sz w:val="20"/>
      <w:szCs w:val="20"/>
    </w:rPr>
  </w:style>
  <w:style w:type="character" w:customStyle="1" w:styleId="FootnoteTextChar">
    <w:name w:val="Footnote Text Char"/>
    <w:aliases w:val="Car Char,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rsid w:val="00F44833"/>
    <w:rPr>
      <w:sz w:val="20"/>
      <w:szCs w:val="20"/>
    </w:rPr>
  </w:style>
  <w:style w:type="character" w:styleId="FootnoteReference">
    <w:name w:val="footnote reference"/>
    <w:aliases w:val="o,fr"/>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CommentReference">
    <w:name w:val="annotation reference"/>
    <w:basedOn w:val="DefaultParagraphFont"/>
    <w:uiPriority w:val="99"/>
    <w:semiHidden/>
    <w:unhideWhenUsed/>
    <w:rsid w:val="0002071A"/>
    <w:rPr>
      <w:sz w:val="16"/>
      <w:szCs w:val="16"/>
    </w:rPr>
  </w:style>
  <w:style w:type="paragraph" w:styleId="CommentText">
    <w:name w:val="annotation text"/>
    <w:basedOn w:val="Normal"/>
    <w:link w:val="CommentTextChar"/>
    <w:uiPriority w:val="99"/>
    <w:semiHidden/>
    <w:unhideWhenUsed/>
    <w:rsid w:val="0002071A"/>
    <w:pPr>
      <w:spacing w:line="240" w:lineRule="auto"/>
    </w:pPr>
    <w:rPr>
      <w:sz w:val="20"/>
      <w:szCs w:val="20"/>
    </w:rPr>
  </w:style>
  <w:style w:type="character" w:customStyle="1" w:styleId="CommentTextChar">
    <w:name w:val="Comment Text Char"/>
    <w:basedOn w:val="DefaultParagraphFont"/>
    <w:link w:val="CommentText"/>
    <w:uiPriority w:val="99"/>
    <w:semiHidden/>
    <w:rsid w:val="0002071A"/>
    <w:rPr>
      <w:sz w:val="20"/>
      <w:szCs w:val="20"/>
    </w:rPr>
  </w:style>
  <w:style w:type="paragraph" w:styleId="CommentSubject">
    <w:name w:val="annotation subject"/>
    <w:basedOn w:val="CommentText"/>
    <w:next w:val="CommentText"/>
    <w:link w:val="CommentSubjectChar"/>
    <w:uiPriority w:val="99"/>
    <w:semiHidden/>
    <w:unhideWhenUsed/>
    <w:rsid w:val="0002071A"/>
    <w:rPr>
      <w:b/>
      <w:bCs/>
    </w:rPr>
  </w:style>
  <w:style w:type="character" w:customStyle="1" w:styleId="CommentSubjectChar">
    <w:name w:val="Comment Subject Char"/>
    <w:basedOn w:val="CommentTextChar"/>
    <w:link w:val="CommentSubject"/>
    <w:uiPriority w:val="99"/>
    <w:semiHidden/>
    <w:rsid w:val="0002071A"/>
    <w:rPr>
      <w:b/>
      <w:bCs/>
      <w:sz w:val="20"/>
      <w:szCs w:val="20"/>
    </w:rPr>
  </w:style>
  <w:style w:type="character" w:styleId="Hyperlink">
    <w:name w:val="Hyperlink"/>
    <w:basedOn w:val="DefaultParagraphFont"/>
    <w:uiPriority w:val="99"/>
    <w:unhideWhenUsed/>
    <w:rsid w:val="00DD6D5B"/>
    <w:rPr>
      <w:color w:val="0563C1"/>
      <w:u w:val="single"/>
    </w:rPr>
  </w:style>
  <w:style w:type="table" w:customStyle="1" w:styleId="TableGrid1">
    <w:name w:val="Table Grid1"/>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D59A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1D59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20E9D"/>
    <w:pPr>
      <w:spacing w:after="160" w:line="259" w:lineRule="auto"/>
      <w:ind w:left="720"/>
      <w:contextualSpacing/>
    </w:pPr>
    <w:rPr>
      <w:rFonts w:ascii="Times New Roman" w:hAnsi="Times New Roman" w:cs="Times New Roman"/>
      <w:sz w:val="24"/>
      <w:szCs w:val="24"/>
    </w:rPr>
  </w:style>
  <w:style w:type="table" w:customStyle="1" w:styleId="TableGrid4">
    <w:name w:val="Table Grid4"/>
    <w:basedOn w:val="TableNormal"/>
    <w:next w:val="TableGrid"/>
    <w:uiPriority w:val="39"/>
    <w:rsid w:val="00CF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5FBE"/>
    <w:rPr>
      <w:color w:val="605E5C"/>
      <w:shd w:val="clear" w:color="auto" w:fill="E1DFDD"/>
    </w:rPr>
  </w:style>
  <w:style w:type="character" w:styleId="FollowedHyperlink">
    <w:name w:val="FollowedHyperlink"/>
    <w:basedOn w:val="DefaultParagraphFont"/>
    <w:uiPriority w:val="99"/>
    <w:semiHidden/>
    <w:unhideWhenUsed/>
    <w:rsid w:val="0073318C"/>
    <w:rPr>
      <w:color w:val="800080" w:themeColor="followedHyperlink"/>
      <w:u w:val="single"/>
    </w:rPr>
  </w:style>
  <w:style w:type="character" w:styleId="Emphasis">
    <w:name w:val="Emphasis"/>
    <w:basedOn w:val="DefaultParagraphFont"/>
    <w:uiPriority w:val="20"/>
    <w:qFormat/>
    <w:rsid w:val="00266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ooseenerg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ennlive.com/news/2017/06/man_let_energy_company_reps_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0765E-6446-48E5-841B-4A92E0F5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FFB2D-EE56-4C92-B2C0-A18E10555E8F}">
  <ds:schemaRefs>
    <ds:schemaRef ds:uri="http://schemas.openxmlformats.org/officeDocument/2006/bibliography"/>
  </ds:schemaRefs>
</ds:datastoreItem>
</file>

<file path=customXml/itemProps3.xml><?xml version="1.0" encoding="utf-8"?>
<ds:datastoreItem xmlns:ds="http://schemas.openxmlformats.org/officeDocument/2006/customXml" ds:itemID="{AE2E346B-BE32-461C-8E11-59160FE933B3}">
  <ds:schemaRefs>
    <ds:schemaRef ds:uri="http://schemas.microsoft.com/sharepoint/v3/contenttype/forms"/>
  </ds:schemaRefs>
</ds:datastoreItem>
</file>

<file path=customXml/itemProps4.xml><?xml version="1.0" encoding="utf-8"?>
<ds:datastoreItem xmlns:ds="http://schemas.openxmlformats.org/officeDocument/2006/customXml" ds:itemID="{E767760A-ABEB-4024-96E6-357C0B8D9D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6080</Words>
  <Characters>34656</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Capper, Thomas</dc:creator>
  <cp:lastModifiedBy>Wagner, Nathan R</cp:lastModifiedBy>
  <cp:revision>2</cp:revision>
  <cp:lastPrinted>2018-03-01T14:44:00Z</cp:lastPrinted>
  <dcterms:created xsi:type="dcterms:W3CDTF">2021-10-28T15:23:00Z</dcterms:created>
  <dcterms:modified xsi:type="dcterms:W3CDTF">2021-10-28T15:23:00Z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