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FE71" w14:textId="77777777" w:rsidR="00B513F9" w:rsidRPr="00F024AA" w:rsidRDefault="00B513F9" w:rsidP="00F024AA">
      <w:pPr>
        <w:spacing w:after="0" w:line="240" w:lineRule="auto"/>
        <w:jc w:val="center"/>
        <w:rPr>
          <w:rFonts w:ascii="Times New Roman" w:hAnsi="Times New Roman" w:cs="Times New Roman"/>
          <w:b/>
          <w:bCs/>
          <w:sz w:val="26"/>
          <w:szCs w:val="26"/>
        </w:rPr>
      </w:pPr>
      <w:r w:rsidRPr="00F024AA">
        <w:rPr>
          <w:rFonts w:ascii="Times New Roman" w:hAnsi="Times New Roman" w:cs="Times New Roman"/>
          <w:b/>
          <w:bCs/>
          <w:sz w:val="26"/>
          <w:szCs w:val="26"/>
        </w:rPr>
        <w:t>PENNSYLVANIA</w:t>
      </w:r>
    </w:p>
    <w:p w14:paraId="75A9FD21" w14:textId="77777777" w:rsidR="00B513F9" w:rsidRPr="00755937" w:rsidRDefault="00B513F9" w:rsidP="00B513F9">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PUBLIC UTILITY COMMISSION</w:t>
      </w:r>
    </w:p>
    <w:p w14:paraId="1560D127" w14:textId="77777777" w:rsidR="00B513F9" w:rsidRPr="00755937" w:rsidRDefault="00B513F9" w:rsidP="00B513F9">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Harrisburg, PA</w:t>
      </w:r>
      <w:r>
        <w:rPr>
          <w:rFonts w:ascii="Times New Roman" w:hAnsi="Times New Roman"/>
          <w:b/>
          <w:sz w:val="26"/>
          <w:szCs w:val="26"/>
        </w:rPr>
        <w:t xml:space="preserve">  </w:t>
      </w:r>
      <w:r w:rsidRPr="00755937">
        <w:rPr>
          <w:rFonts w:ascii="Times New Roman" w:hAnsi="Times New Roman"/>
          <w:b/>
          <w:sz w:val="26"/>
          <w:szCs w:val="26"/>
        </w:rPr>
        <w:t>17120</w:t>
      </w:r>
    </w:p>
    <w:p w14:paraId="3E4489E1" w14:textId="77777777" w:rsidR="00B513F9" w:rsidRPr="00755937" w:rsidRDefault="00B513F9" w:rsidP="008E0728">
      <w:pPr>
        <w:tabs>
          <w:tab w:val="right" w:pos="9360"/>
        </w:tabs>
        <w:suppressAutoHyphens/>
        <w:spacing w:after="0" w:line="240" w:lineRule="auto"/>
        <w:contextualSpacing/>
        <w:jc w:val="right"/>
        <w:rPr>
          <w:rFonts w:ascii="Times New Roman" w:hAnsi="Times New Roman"/>
          <w:sz w:val="26"/>
          <w:szCs w:val="26"/>
        </w:rPr>
      </w:pPr>
    </w:p>
    <w:p w14:paraId="0C4841EF" w14:textId="77777777" w:rsidR="004D52A9" w:rsidRDefault="004D52A9" w:rsidP="008E0728">
      <w:pPr>
        <w:tabs>
          <w:tab w:val="right" w:pos="9360"/>
        </w:tabs>
        <w:suppressAutoHyphens/>
        <w:spacing w:after="0" w:line="240" w:lineRule="auto"/>
        <w:contextualSpacing/>
        <w:jc w:val="right"/>
        <w:rPr>
          <w:rFonts w:ascii="Times New Roman" w:hAnsi="Times New Roman"/>
          <w:sz w:val="26"/>
          <w:szCs w:val="26"/>
        </w:rPr>
      </w:pPr>
    </w:p>
    <w:p w14:paraId="16073A48" w14:textId="17A30BFD" w:rsidR="00B513F9" w:rsidRPr="00755937" w:rsidRDefault="00B513F9" w:rsidP="008E0728">
      <w:pPr>
        <w:tabs>
          <w:tab w:val="right" w:pos="9360"/>
        </w:tabs>
        <w:suppressAutoHyphens/>
        <w:spacing w:after="0" w:line="240" w:lineRule="auto"/>
        <w:contextualSpacing/>
        <w:jc w:val="right"/>
        <w:rPr>
          <w:rFonts w:ascii="Times New Roman" w:hAnsi="Times New Roman"/>
          <w:sz w:val="26"/>
          <w:szCs w:val="26"/>
        </w:rPr>
      </w:pPr>
      <w:r w:rsidRPr="00755937">
        <w:rPr>
          <w:rFonts w:ascii="Times New Roman" w:hAnsi="Times New Roman"/>
          <w:sz w:val="26"/>
          <w:szCs w:val="26"/>
        </w:rPr>
        <w:t xml:space="preserve">Public Meeting held </w:t>
      </w:r>
      <w:r w:rsidR="004579D8">
        <w:rPr>
          <w:rFonts w:ascii="Times New Roman" w:hAnsi="Times New Roman"/>
          <w:sz w:val="26"/>
          <w:szCs w:val="26"/>
        </w:rPr>
        <w:t>November 18</w:t>
      </w:r>
      <w:r w:rsidRPr="004579D8">
        <w:rPr>
          <w:rFonts w:ascii="Times New Roman" w:hAnsi="Times New Roman"/>
          <w:sz w:val="26"/>
          <w:szCs w:val="26"/>
        </w:rPr>
        <w:t>, 2021</w:t>
      </w:r>
    </w:p>
    <w:p w14:paraId="2E538D76" w14:textId="778BE77C" w:rsidR="00B513F9" w:rsidRDefault="00B513F9" w:rsidP="008E0728">
      <w:pPr>
        <w:tabs>
          <w:tab w:val="left" w:pos="-720"/>
        </w:tabs>
        <w:suppressAutoHyphens/>
        <w:spacing w:after="0" w:line="240" w:lineRule="auto"/>
        <w:contextualSpacing/>
        <w:rPr>
          <w:rFonts w:ascii="Times New Roman" w:hAnsi="Times New Roman"/>
          <w:sz w:val="26"/>
          <w:szCs w:val="26"/>
        </w:rPr>
      </w:pPr>
    </w:p>
    <w:p w14:paraId="4D3C74EF" w14:textId="77777777" w:rsidR="008E0728" w:rsidRPr="00755937" w:rsidRDefault="008E0728" w:rsidP="008E0728">
      <w:pPr>
        <w:tabs>
          <w:tab w:val="left" w:pos="-720"/>
        </w:tabs>
        <w:suppressAutoHyphens/>
        <w:spacing w:after="0" w:line="240" w:lineRule="auto"/>
        <w:contextualSpacing/>
        <w:rPr>
          <w:rFonts w:ascii="Times New Roman" w:hAnsi="Times New Roman"/>
          <w:sz w:val="26"/>
          <w:szCs w:val="26"/>
        </w:rPr>
      </w:pPr>
    </w:p>
    <w:p w14:paraId="5666AF46" w14:textId="77777777" w:rsidR="00B513F9" w:rsidRPr="00755937" w:rsidRDefault="00B513F9" w:rsidP="008E0728">
      <w:pPr>
        <w:tabs>
          <w:tab w:val="left" w:pos="-720"/>
        </w:tabs>
        <w:suppressAutoHyphens/>
        <w:spacing w:after="0" w:line="240" w:lineRule="auto"/>
        <w:contextualSpacing/>
        <w:rPr>
          <w:rFonts w:ascii="Times New Roman" w:hAnsi="Times New Roman"/>
          <w:sz w:val="26"/>
          <w:szCs w:val="26"/>
        </w:rPr>
      </w:pPr>
      <w:r w:rsidRPr="00755937">
        <w:rPr>
          <w:rFonts w:ascii="Times New Roman" w:hAnsi="Times New Roman"/>
          <w:sz w:val="26"/>
          <w:szCs w:val="26"/>
        </w:rPr>
        <w:t>Commissioners Present:</w:t>
      </w:r>
    </w:p>
    <w:p w14:paraId="3C5EEE3E" w14:textId="77777777" w:rsidR="00B513F9" w:rsidRPr="00755937" w:rsidRDefault="00B513F9" w:rsidP="008E0728">
      <w:pPr>
        <w:tabs>
          <w:tab w:val="left" w:pos="-720"/>
        </w:tabs>
        <w:suppressAutoHyphens/>
        <w:spacing w:after="0" w:line="240" w:lineRule="auto"/>
        <w:contextualSpacing/>
        <w:rPr>
          <w:rFonts w:ascii="Times New Roman" w:hAnsi="Times New Roman"/>
          <w:sz w:val="26"/>
          <w:szCs w:val="26"/>
        </w:rPr>
      </w:pPr>
    </w:p>
    <w:p w14:paraId="20E683E3" w14:textId="77777777" w:rsidR="00B513F9" w:rsidRPr="00755937" w:rsidRDefault="00B513F9" w:rsidP="008E0728">
      <w:pPr>
        <w:tabs>
          <w:tab w:val="left" w:pos="705"/>
        </w:tabs>
        <w:spacing w:after="0" w:line="240" w:lineRule="auto"/>
        <w:ind w:firstLine="720"/>
        <w:contextualSpacing/>
        <w:rPr>
          <w:rFonts w:ascii="Times New Roman" w:hAnsi="Times New Roman"/>
          <w:sz w:val="26"/>
          <w:szCs w:val="26"/>
        </w:rPr>
      </w:pPr>
      <w:r w:rsidRPr="00755937">
        <w:rPr>
          <w:rFonts w:ascii="Times New Roman" w:hAnsi="Times New Roman"/>
          <w:sz w:val="26"/>
          <w:szCs w:val="26"/>
        </w:rPr>
        <w:t>Gladys</w:t>
      </w:r>
      <w:r>
        <w:rPr>
          <w:rFonts w:ascii="Times New Roman" w:hAnsi="Times New Roman"/>
          <w:sz w:val="26"/>
          <w:szCs w:val="26"/>
        </w:rPr>
        <w:t xml:space="preserve"> Brown</w:t>
      </w:r>
      <w:r w:rsidRPr="00755937">
        <w:rPr>
          <w:rFonts w:ascii="Times New Roman" w:hAnsi="Times New Roman"/>
          <w:sz w:val="26"/>
          <w:szCs w:val="26"/>
        </w:rPr>
        <w:t xml:space="preserve"> Dutrieuille, Chairman</w:t>
      </w:r>
    </w:p>
    <w:p w14:paraId="2CB951B2" w14:textId="6EF28410" w:rsidR="00B513F9" w:rsidRPr="00755937" w:rsidRDefault="00B513F9" w:rsidP="008E0728">
      <w:pPr>
        <w:tabs>
          <w:tab w:val="left" w:pos="705"/>
        </w:tabs>
        <w:spacing w:after="0" w:line="240" w:lineRule="auto"/>
        <w:ind w:firstLine="720"/>
        <w:contextualSpacing/>
        <w:rPr>
          <w:rFonts w:ascii="Times New Roman" w:hAnsi="Times New Roman"/>
          <w:sz w:val="26"/>
          <w:szCs w:val="26"/>
        </w:rPr>
      </w:pPr>
      <w:r w:rsidRPr="00755937">
        <w:rPr>
          <w:rFonts w:ascii="Times New Roman" w:hAnsi="Times New Roman"/>
          <w:sz w:val="26"/>
          <w:szCs w:val="26"/>
        </w:rPr>
        <w:t>John F. Coleman, Jr.</w:t>
      </w:r>
      <w:r w:rsidR="00160965">
        <w:rPr>
          <w:rFonts w:ascii="Times New Roman" w:hAnsi="Times New Roman"/>
          <w:sz w:val="26"/>
          <w:szCs w:val="26"/>
        </w:rPr>
        <w:t>, Vice Chairman</w:t>
      </w:r>
    </w:p>
    <w:p w14:paraId="5C7FEA96" w14:textId="77777777" w:rsidR="00B513F9" w:rsidRPr="00755937" w:rsidRDefault="00B513F9" w:rsidP="008E0728">
      <w:pPr>
        <w:tabs>
          <w:tab w:val="left" w:pos="705"/>
        </w:tabs>
        <w:spacing w:after="0" w:line="240" w:lineRule="auto"/>
        <w:ind w:firstLine="720"/>
        <w:contextualSpacing/>
        <w:rPr>
          <w:rFonts w:ascii="Times New Roman" w:hAnsi="Times New Roman"/>
          <w:sz w:val="26"/>
          <w:szCs w:val="26"/>
        </w:rPr>
      </w:pPr>
      <w:r w:rsidRPr="00755937">
        <w:rPr>
          <w:rFonts w:ascii="Times New Roman" w:hAnsi="Times New Roman"/>
          <w:sz w:val="26"/>
          <w:szCs w:val="26"/>
        </w:rPr>
        <w:t>Ralph V. Yanora</w:t>
      </w:r>
    </w:p>
    <w:p w14:paraId="32575CED" w14:textId="3B359C1E" w:rsidR="00B513F9" w:rsidRDefault="00B513F9" w:rsidP="008E0728">
      <w:pPr>
        <w:tabs>
          <w:tab w:val="left" w:pos="-720"/>
        </w:tabs>
        <w:suppressAutoHyphens/>
        <w:spacing w:after="0" w:line="240" w:lineRule="auto"/>
        <w:contextualSpacing/>
        <w:rPr>
          <w:rFonts w:ascii="Times New Roman" w:hAnsi="Times New Roman"/>
          <w:sz w:val="26"/>
          <w:szCs w:val="26"/>
        </w:rPr>
      </w:pPr>
    </w:p>
    <w:p w14:paraId="12B30C15" w14:textId="3AC32883" w:rsidR="0067442A" w:rsidRDefault="0067442A" w:rsidP="008E0728">
      <w:pPr>
        <w:tabs>
          <w:tab w:val="left" w:pos="-720"/>
        </w:tabs>
        <w:suppressAutoHyphens/>
        <w:spacing w:after="0" w:line="240" w:lineRule="auto"/>
        <w:contextualSpacing/>
        <w:rPr>
          <w:rFonts w:ascii="Times New Roman" w:hAnsi="Times New Roman"/>
          <w:sz w:val="26"/>
          <w:szCs w:val="26"/>
        </w:rPr>
      </w:pPr>
    </w:p>
    <w:p w14:paraId="6BF5F856" w14:textId="77777777" w:rsidR="00A927B3" w:rsidRDefault="00A927B3" w:rsidP="008E0728">
      <w:pPr>
        <w:tabs>
          <w:tab w:val="left" w:pos="-720"/>
        </w:tabs>
        <w:suppressAutoHyphens/>
        <w:spacing w:after="0" w:line="240" w:lineRule="auto"/>
        <w:contextualSpacing/>
        <w:rPr>
          <w:rFonts w:ascii="Times New Roman" w:hAnsi="Times New Roman"/>
          <w:sz w:val="26"/>
          <w:szCs w:val="2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503E7E" w14:paraId="015F86F2" w14:textId="77777777" w:rsidTr="0067442A">
        <w:tc>
          <w:tcPr>
            <w:tcW w:w="5485" w:type="dxa"/>
          </w:tcPr>
          <w:p w14:paraId="0FF347BF" w14:textId="77777777" w:rsidR="00503E7E" w:rsidRDefault="00503E7E" w:rsidP="008E0728">
            <w:pPr>
              <w:tabs>
                <w:tab w:val="left" w:pos="-720"/>
              </w:tabs>
              <w:suppressAutoHyphens/>
              <w:contextualSpacing/>
              <w:rPr>
                <w:rFonts w:ascii="Times New Roman" w:hAnsi="Times New Roman"/>
                <w:sz w:val="26"/>
                <w:szCs w:val="26"/>
              </w:rPr>
            </w:pPr>
            <w:r>
              <w:rPr>
                <w:rFonts w:ascii="Times New Roman" w:hAnsi="Times New Roman"/>
                <w:sz w:val="26"/>
                <w:szCs w:val="26"/>
              </w:rPr>
              <w:t>Petition of Twin Lakes Utilities, Inc. for a</w:t>
            </w:r>
          </w:p>
          <w:p w14:paraId="37F69203" w14:textId="77777777" w:rsidR="00503E7E" w:rsidRDefault="00503E7E" w:rsidP="008E0728">
            <w:pPr>
              <w:tabs>
                <w:tab w:val="left" w:pos="-720"/>
              </w:tabs>
              <w:suppressAutoHyphens/>
              <w:contextualSpacing/>
              <w:rPr>
                <w:rFonts w:ascii="Times New Roman" w:hAnsi="Times New Roman"/>
                <w:sz w:val="26"/>
                <w:szCs w:val="26"/>
              </w:rPr>
            </w:pPr>
            <w:r>
              <w:rPr>
                <w:rFonts w:ascii="Times New Roman" w:hAnsi="Times New Roman"/>
                <w:sz w:val="26"/>
                <w:szCs w:val="26"/>
              </w:rPr>
              <w:t>Commission Order Authorizing the Acquisition of</w:t>
            </w:r>
          </w:p>
          <w:p w14:paraId="365C97C2" w14:textId="77777777" w:rsidR="00503E7E" w:rsidRDefault="00503E7E" w:rsidP="008E0728">
            <w:pPr>
              <w:tabs>
                <w:tab w:val="left" w:pos="-720"/>
              </w:tabs>
              <w:suppressAutoHyphens/>
              <w:contextualSpacing/>
              <w:rPr>
                <w:rFonts w:ascii="Times New Roman" w:hAnsi="Times New Roman"/>
                <w:sz w:val="26"/>
                <w:szCs w:val="26"/>
              </w:rPr>
            </w:pPr>
            <w:r>
              <w:rPr>
                <w:rFonts w:ascii="Times New Roman" w:hAnsi="Times New Roman"/>
                <w:sz w:val="26"/>
                <w:szCs w:val="26"/>
              </w:rPr>
              <w:t>Twin Lakes Utilities, Inc. by a Capable Public</w:t>
            </w:r>
          </w:p>
          <w:p w14:paraId="038D3ED9" w14:textId="7DA62DB5" w:rsidR="00503E7E" w:rsidRDefault="00503E7E" w:rsidP="008E0728">
            <w:pPr>
              <w:tabs>
                <w:tab w:val="left" w:pos="-720"/>
              </w:tabs>
              <w:suppressAutoHyphens/>
              <w:contextualSpacing/>
              <w:rPr>
                <w:rFonts w:ascii="Times New Roman" w:hAnsi="Times New Roman"/>
                <w:sz w:val="26"/>
                <w:szCs w:val="26"/>
              </w:rPr>
            </w:pPr>
            <w:r>
              <w:rPr>
                <w:rFonts w:ascii="Times New Roman" w:hAnsi="Times New Roman"/>
                <w:sz w:val="26"/>
                <w:szCs w:val="26"/>
              </w:rPr>
              <w:t>Utility Pursuant to 66 Pa. C.S. § 529</w:t>
            </w:r>
          </w:p>
        </w:tc>
        <w:tc>
          <w:tcPr>
            <w:tcW w:w="3865" w:type="dxa"/>
          </w:tcPr>
          <w:p w14:paraId="5CB0B012" w14:textId="39C8265F" w:rsidR="00503E7E" w:rsidRDefault="00503E7E" w:rsidP="00503E7E">
            <w:pPr>
              <w:tabs>
                <w:tab w:val="left" w:pos="-720"/>
              </w:tabs>
              <w:suppressAutoHyphens/>
              <w:contextualSpacing/>
              <w:jc w:val="right"/>
              <w:rPr>
                <w:rFonts w:ascii="Times New Roman" w:hAnsi="Times New Roman"/>
                <w:sz w:val="26"/>
                <w:szCs w:val="26"/>
              </w:rPr>
            </w:pPr>
            <w:r>
              <w:rPr>
                <w:rFonts w:ascii="Times New Roman" w:hAnsi="Times New Roman"/>
                <w:sz w:val="26"/>
                <w:szCs w:val="26"/>
              </w:rPr>
              <w:t>P-2020-302</w:t>
            </w:r>
            <w:r w:rsidR="004E594A">
              <w:rPr>
                <w:rFonts w:ascii="Times New Roman" w:hAnsi="Times New Roman"/>
                <w:sz w:val="26"/>
                <w:szCs w:val="26"/>
              </w:rPr>
              <w:t>0</w:t>
            </w:r>
            <w:r>
              <w:rPr>
                <w:rFonts w:ascii="Times New Roman" w:hAnsi="Times New Roman"/>
                <w:sz w:val="26"/>
                <w:szCs w:val="26"/>
              </w:rPr>
              <w:t>914</w:t>
            </w:r>
          </w:p>
        </w:tc>
      </w:tr>
      <w:tr w:rsidR="00F16290" w14:paraId="65833DDD" w14:textId="77777777" w:rsidTr="0067442A">
        <w:tc>
          <w:tcPr>
            <w:tcW w:w="5485" w:type="dxa"/>
          </w:tcPr>
          <w:p w14:paraId="0916D334" w14:textId="77777777" w:rsidR="00F16290" w:rsidRDefault="00F16290" w:rsidP="008E0728">
            <w:pPr>
              <w:tabs>
                <w:tab w:val="left" w:pos="-720"/>
              </w:tabs>
              <w:suppressAutoHyphens/>
              <w:contextualSpacing/>
              <w:rPr>
                <w:rFonts w:ascii="Times New Roman" w:hAnsi="Times New Roman"/>
                <w:sz w:val="26"/>
                <w:szCs w:val="26"/>
              </w:rPr>
            </w:pPr>
          </w:p>
        </w:tc>
        <w:tc>
          <w:tcPr>
            <w:tcW w:w="3865" w:type="dxa"/>
          </w:tcPr>
          <w:p w14:paraId="4BB12272" w14:textId="77777777" w:rsidR="00F16290" w:rsidRDefault="00F16290" w:rsidP="00503E7E">
            <w:pPr>
              <w:tabs>
                <w:tab w:val="left" w:pos="-720"/>
              </w:tabs>
              <w:suppressAutoHyphens/>
              <w:contextualSpacing/>
              <w:jc w:val="right"/>
              <w:rPr>
                <w:rFonts w:ascii="Times New Roman" w:hAnsi="Times New Roman"/>
                <w:sz w:val="26"/>
                <w:szCs w:val="26"/>
              </w:rPr>
            </w:pPr>
          </w:p>
        </w:tc>
      </w:tr>
      <w:tr w:rsidR="00F16290" w14:paraId="7E6F324A" w14:textId="77777777" w:rsidTr="0067442A">
        <w:tc>
          <w:tcPr>
            <w:tcW w:w="5485" w:type="dxa"/>
          </w:tcPr>
          <w:p w14:paraId="7D51B3EF" w14:textId="77777777" w:rsidR="00F16290" w:rsidRDefault="00F16290" w:rsidP="008E0728">
            <w:pPr>
              <w:tabs>
                <w:tab w:val="left" w:pos="-720"/>
              </w:tabs>
              <w:suppressAutoHyphens/>
              <w:contextualSpacing/>
              <w:rPr>
                <w:rFonts w:ascii="Times New Roman" w:hAnsi="Times New Roman"/>
                <w:sz w:val="26"/>
                <w:szCs w:val="26"/>
              </w:rPr>
            </w:pPr>
            <w:r>
              <w:rPr>
                <w:rFonts w:ascii="Times New Roman" w:hAnsi="Times New Roman"/>
                <w:sz w:val="26"/>
                <w:szCs w:val="26"/>
              </w:rPr>
              <w:t xml:space="preserve">Application of Twin Lakes Utilities, Inc. for a </w:t>
            </w:r>
          </w:p>
          <w:p w14:paraId="2BED55F3" w14:textId="77777777" w:rsidR="00F16290" w:rsidRDefault="00F16290" w:rsidP="008E0728">
            <w:pPr>
              <w:tabs>
                <w:tab w:val="left" w:pos="-720"/>
              </w:tabs>
              <w:suppressAutoHyphens/>
              <w:contextualSpacing/>
              <w:rPr>
                <w:rFonts w:ascii="Times New Roman" w:hAnsi="Times New Roman"/>
                <w:sz w:val="26"/>
                <w:szCs w:val="26"/>
              </w:rPr>
            </w:pPr>
            <w:r>
              <w:rPr>
                <w:rFonts w:ascii="Times New Roman" w:hAnsi="Times New Roman"/>
                <w:sz w:val="26"/>
                <w:szCs w:val="26"/>
              </w:rPr>
              <w:t xml:space="preserve">Commission Order </w:t>
            </w:r>
            <w:r w:rsidRPr="00F16290">
              <w:rPr>
                <w:rFonts w:ascii="Times New Roman" w:hAnsi="Times New Roman"/>
                <w:i/>
                <w:iCs/>
                <w:sz w:val="26"/>
                <w:szCs w:val="26"/>
              </w:rPr>
              <w:t>Nunc Pro Tunc</w:t>
            </w:r>
            <w:r>
              <w:rPr>
                <w:rFonts w:ascii="Times New Roman" w:hAnsi="Times New Roman"/>
                <w:sz w:val="26"/>
                <w:szCs w:val="26"/>
              </w:rPr>
              <w:t xml:space="preserve"> of Service</w:t>
            </w:r>
          </w:p>
          <w:p w14:paraId="02D5B580" w14:textId="77777777" w:rsidR="00F16290" w:rsidRDefault="00F16290" w:rsidP="008E0728">
            <w:pPr>
              <w:tabs>
                <w:tab w:val="left" w:pos="-720"/>
              </w:tabs>
              <w:suppressAutoHyphens/>
              <w:contextualSpacing/>
              <w:rPr>
                <w:rFonts w:ascii="Times New Roman" w:hAnsi="Times New Roman"/>
                <w:sz w:val="26"/>
                <w:szCs w:val="26"/>
              </w:rPr>
            </w:pPr>
            <w:r>
              <w:rPr>
                <w:rFonts w:ascii="Times New Roman" w:hAnsi="Times New Roman"/>
                <w:sz w:val="26"/>
                <w:szCs w:val="26"/>
              </w:rPr>
              <w:t>Agreement Between Middlesex Water Company</w:t>
            </w:r>
          </w:p>
          <w:p w14:paraId="4B556B57" w14:textId="77777777" w:rsidR="00F16290" w:rsidRDefault="00F16290" w:rsidP="008E0728">
            <w:pPr>
              <w:tabs>
                <w:tab w:val="left" w:pos="-720"/>
              </w:tabs>
              <w:suppressAutoHyphens/>
              <w:contextualSpacing/>
              <w:rPr>
                <w:rFonts w:ascii="Times New Roman" w:hAnsi="Times New Roman"/>
                <w:sz w:val="26"/>
                <w:szCs w:val="26"/>
              </w:rPr>
            </w:pPr>
            <w:r>
              <w:rPr>
                <w:rFonts w:ascii="Times New Roman" w:hAnsi="Times New Roman"/>
                <w:sz w:val="26"/>
                <w:szCs w:val="26"/>
              </w:rPr>
              <w:t>And Twin Lakes Utilities, Inc., and Five</w:t>
            </w:r>
          </w:p>
          <w:p w14:paraId="36C9AE69" w14:textId="77777777" w:rsidR="00F16290" w:rsidRDefault="00F16290" w:rsidP="008E0728">
            <w:pPr>
              <w:tabs>
                <w:tab w:val="left" w:pos="-720"/>
              </w:tabs>
              <w:suppressAutoHyphens/>
              <w:contextualSpacing/>
              <w:rPr>
                <w:rFonts w:ascii="Times New Roman" w:hAnsi="Times New Roman"/>
                <w:sz w:val="26"/>
                <w:szCs w:val="26"/>
              </w:rPr>
            </w:pPr>
            <w:r>
              <w:rPr>
                <w:rFonts w:ascii="Times New Roman" w:hAnsi="Times New Roman"/>
                <w:sz w:val="26"/>
                <w:szCs w:val="26"/>
              </w:rPr>
              <w:t>Amendments to Service Agreement</w:t>
            </w:r>
            <w:r w:rsidR="00EB54BA">
              <w:rPr>
                <w:rFonts w:ascii="Times New Roman" w:hAnsi="Times New Roman"/>
                <w:sz w:val="26"/>
                <w:szCs w:val="26"/>
              </w:rPr>
              <w:t xml:space="preserve"> Between </w:t>
            </w:r>
          </w:p>
          <w:p w14:paraId="638BFF11" w14:textId="77777777" w:rsidR="00EB54BA" w:rsidRDefault="00EB54BA" w:rsidP="008E0728">
            <w:pPr>
              <w:tabs>
                <w:tab w:val="left" w:pos="-720"/>
              </w:tabs>
              <w:suppressAutoHyphens/>
              <w:contextualSpacing/>
              <w:rPr>
                <w:rFonts w:ascii="Times New Roman" w:hAnsi="Times New Roman"/>
                <w:sz w:val="26"/>
                <w:szCs w:val="26"/>
              </w:rPr>
            </w:pPr>
            <w:r>
              <w:rPr>
                <w:rFonts w:ascii="Times New Roman" w:hAnsi="Times New Roman"/>
                <w:sz w:val="26"/>
                <w:szCs w:val="26"/>
              </w:rPr>
              <w:t>Middlesex Water Company and Twin Lakes</w:t>
            </w:r>
          </w:p>
          <w:p w14:paraId="5A3BD31F" w14:textId="73A31E8B" w:rsidR="00EB54BA" w:rsidRDefault="00EB54BA" w:rsidP="008E0728">
            <w:pPr>
              <w:tabs>
                <w:tab w:val="left" w:pos="-720"/>
              </w:tabs>
              <w:suppressAutoHyphens/>
              <w:contextualSpacing/>
              <w:rPr>
                <w:rFonts w:ascii="Times New Roman" w:hAnsi="Times New Roman"/>
                <w:sz w:val="26"/>
                <w:szCs w:val="26"/>
              </w:rPr>
            </w:pPr>
            <w:r>
              <w:rPr>
                <w:rFonts w:ascii="Times New Roman" w:hAnsi="Times New Roman"/>
                <w:sz w:val="26"/>
                <w:szCs w:val="26"/>
              </w:rPr>
              <w:t>Utilities, Inc. Pursuant to 66 Pa. C.S. § 2102</w:t>
            </w:r>
          </w:p>
        </w:tc>
        <w:tc>
          <w:tcPr>
            <w:tcW w:w="3865" w:type="dxa"/>
          </w:tcPr>
          <w:p w14:paraId="441F438C" w14:textId="1232DB7D" w:rsidR="00F16290" w:rsidRDefault="00EB54BA" w:rsidP="00503E7E">
            <w:pPr>
              <w:tabs>
                <w:tab w:val="left" w:pos="-720"/>
              </w:tabs>
              <w:suppressAutoHyphens/>
              <w:contextualSpacing/>
              <w:jc w:val="right"/>
              <w:rPr>
                <w:rFonts w:ascii="Times New Roman" w:hAnsi="Times New Roman"/>
                <w:sz w:val="26"/>
                <w:szCs w:val="26"/>
              </w:rPr>
            </w:pPr>
            <w:r>
              <w:rPr>
                <w:rFonts w:ascii="Times New Roman" w:hAnsi="Times New Roman"/>
                <w:sz w:val="26"/>
                <w:szCs w:val="26"/>
              </w:rPr>
              <w:t>G-2020-3020941</w:t>
            </w:r>
          </w:p>
        </w:tc>
      </w:tr>
      <w:tr w:rsidR="00EB54BA" w14:paraId="2174DD51" w14:textId="77777777" w:rsidTr="0067442A">
        <w:tc>
          <w:tcPr>
            <w:tcW w:w="5485" w:type="dxa"/>
          </w:tcPr>
          <w:p w14:paraId="3B84E18A" w14:textId="77777777" w:rsidR="00EB54BA" w:rsidRDefault="00EB54BA" w:rsidP="008E0728">
            <w:pPr>
              <w:tabs>
                <w:tab w:val="left" w:pos="-720"/>
              </w:tabs>
              <w:suppressAutoHyphens/>
              <w:contextualSpacing/>
              <w:rPr>
                <w:rFonts w:ascii="Times New Roman" w:hAnsi="Times New Roman"/>
                <w:sz w:val="26"/>
                <w:szCs w:val="26"/>
              </w:rPr>
            </w:pPr>
          </w:p>
        </w:tc>
        <w:tc>
          <w:tcPr>
            <w:tcW w:w="3865" w:type="dxa"/>
          </w:tcPr>
          <w:p w14:paraId="73CD2E44" w14:textId="77777777" w:rsidR="00EB54BA" w:rsidRDefault="00EB54BA" w:rsidP="00503E7E">
            <w:pPr>
              <w:tabs>
                <w:tab w:val="left" w:pos="-720"/>
              </w:tabs>
              <w:suppressAutoHyphens/>
              <w:contextualSpacing/>
              <w:jc w:val="right"/>
              <w:rPr>
                <w:rFonts w:ascii="Times New Roman" w:hAnsi="Times New Roman"/>
                <w:sz w:val="26"/>
                <w:szCs w:val="26"/>
              </w:rPr>
            </w:pPr>
          </w:p>
        </w:tc>
      </w:tr>
      <w:tr w:rsidR="00EB54BA" w14:paraId="5D577D21" w14:textId="77777777" w:rsidTr="0067442A">
        <w:tc>
          <w:tcPr>
            <w:tcW w:w="5485" w:type="dxa"/>
          </w:tcPr>
          <w:p w14:paraId="66714BD7" w14:textId="77777777" w:rsidR="00EB54BA" w:rsidRDefault="00EB54BA" w:rsidP="008E0728">
            <w:pPr>
              <w:tabs>
                <w:tab w:val="left" w:pos="-720"/>
              </w:tabs>
              <w:suppressAutoHyphens/>
              <w:contextualSpacing/>
              <w:rPr>
                <w:rFonts w:ascii="Times New Roman" w:hAnsi="Times New Roman"/>
                <w:sz w:val="26"/>
                <w:szCs w:val="26"/>
              </w:rPr>
            </w:pPr>
            <w:r>
              <w:rPr>
                <w:rFonts w:ascii="Times New Roman" w:hAnsi="Times New Roman"/>
                <w:sz w:val="26"/>
                <w:szCs w:val="26"/>
              </w:rPr>
              <w:t>Affiliated Interest Agreement Between Twin</w:t>
            </w:r>
          </w:p>
          <w:p w14:paraId="4B314E11" w14:textId="746FF9B8" w:rsidR="00EB54BA" w:rsidRDefault="00EB54BA" w:rsidP="008E0728">
            <w:pPr>
              <w:tabs>
                <w:tab w:val="left" w:pos="-720"/>
              </w:tabs>
              <w:suppressAutoHyphens/>
              <w:contextualSpacing/>
              <w:rPr>
                <w:rFonts w:ascii="Times New Roman" w:hAnsi="Times New Roman"/>
                <w:sz w:val="26"/>
                <w:szCs w:val="26"/>
              </w:rPr>
            </w:pPr>
            <w:r>
              <w:rPr>
                <w:rFonts w:ascii="Times New Roman" w:hAnsi="Times New Roman"/>
                <w:sz w:val="26"/>
                <w:szCs w:val="26"/>
              </w:rPr>
              <w:t>Lakes Utilities, Inc. and Middlesex Water Company</w:t>
            </w:r>
          </w:p>
        </w:tc>
        <w:tc>
          <w:tcPr>
            <w:tcW w:w="3865" w:type="dxa"/>
          </w:tcPr>
          <w:p w14:paraId="3A67BCFD" w14:textId="77777777" w:rsidR="00EB54BA" w:rsidRDefault="00EB54BA" w:rsidP="00503E7E">
            <w:pPr>
              <w:tabs>
                <w:tab w:val="left" w:pos="-720"/>
              </w:tabs>
              <w:suppressAutoHyphens/>
              <w:contextualSpacing/>
              <w:jc w:val="right"/>
              <w:rPr>
                <w:rFonts w:ascii="Times New Roman" w:hAnsi="Times New Roman"/>
                <w:sz w:val="26"/>
                <w:szCs w:val="26"/>
              </w:rPr>
            </w:pPr>
            <w:r>
              <w:rPr>
                <w:rFonts w:ascii="Times New Roman" w:hAnsi="Times New Roman"/>
                <w:sz w:val="26"/>
                <w:szCs w:val="26"/>
              </w:rPr>
              <w:t>G-2020-3021018</w:t>
            </w:r>
          </w:p>
          <w:p w14:paraId="33D81A6F" w14:textId="77777777" w:rsidR="00EB54BA" w:rsidRDefault="0067442A" w:rsidP="00503E7E">
            <w:pPr>
              <w:tabs>
                <w:tab w:val="left" w:pos="-720"/>
              </w:tabs>
              <w:suppressAutoHyphens/>
              <w:contextualSpacing/>
              <w:jc w:val="right"/>
              <w:rPr>
                <w:rFonts w:ascii="Times New Roman" w:hAnsi="Times New Roman"/>
                <w:sz w:val="26"/>
                <w:szCs w:val="26"/>
              </w:rPr>
            </w:pPr>
            <w:r>
              <w:rPr>
                <w:rFonts w:ascii="Times New Roman" w:hAnsi="Times New Roman"/>
                <w:sz w:val="26"/>
                <w:szCs w:val="26"/>
              </w:rPr>
              <w:t>G-2020-3021021</w:t>
            </w:r>
          </w:p>
          <w:p w14:paraId="3D8CCB13" w14:textId="01330ECC" w:rsidR="0067442A" w:rsidRDefault="0067442A" w:rsidP="00503E7E">
            <w:pPr>
              <w:tabs>
                <w:tab w:val="left" w:pos="-720"/>
              </w:tabs>
              <w:suppressAutoHyphens/>
              <w:contextualSpacing/>
              <w:jc w:val="right"/>
              <w:rPr>
                <w:rFonts w:ascii="Times New Roman" w:hAnsi="Times New Roman"/>
                <w:sz w:val="26"/>
                <w:szCs w:val="26"/>
              </w:rPr>
            </w:pPr>
            <w:r>
              <w:rPr>
                <w:rFonts w:ascii="Times New Roman" w:hAnsi="Times New Roman"/>
                <w:sz w:val="26"/>
                <w:szCs w:val="26"/>
              </w:rPr>
              <w:t>G-2020-3021024</w:t>
            </w:r>
          </w:p>
        </w:tc>
      </w:tr>
    </w:tbl>
    <w:p w14:paraId="6C897933" w14:textId="0EB510AE" w:rsidR="00503E7E" w:rsidRDefault="00503E7E" w:rsidP="008E0728">
      <w:pPr>
        <w:tabs>
          <w:tab w:val="left" w:pos="-720"/>
        </w:tabs>
        <w:suppressAutoHyphens/>
        <w:spacing w:after="0" w:line="240" w:lineRule="auto"/>
        <w:contextualSpacing/>
        <w:rPr>
          <w:rFonts w:ascii="Times New Roman" w:hAnsi="Times New Roman"/>
          <w:sz w:val="26"/>
          <w:szCs w:val="26"/>
        </w:rPr>
      </w:pPr>
    </w:p>
    <w:p w14:paraId="418A4D77" w14:textId="77777777" w:rsidR="00B513F9" w:rsidRPr="00755937" w:rsidRDefault="00B513F9" w:rsidP="00B513F9">
      <w:pPr>
        <w:tabs>
          <w:tab w:val="left" w:pos="-720"/>
        </w:tabs>
        <w:suppressAutoHyphens/>
        <w:contextualSpacing/>
        <w:rPr>
          <w:rFonts w:ascii="Times New Roman" w:hAnsi="Times New Roman"/>
          <w:sz w:val="26"/>
          <w:szCs w:val="26"/>
        </w:rPr>
      </w:pPr>
    </w:p>
    <w:p w14:paraId="71CA9423" w14:textId="77777777" w:rsidR="00B513F9" w:rsidRDefault="00B513F9" w:rsidP="00B513F9">
      <w:pPr>
        <w:tabs>
          <w:tab w:val="center" w:pos="4680"/>
        </w:tabs>
        <w:suppressAutoHyphens/>
        <w:contextualSpacing/>
        <w:jc w:val="center"/>
        <w:rPr>
          <w:rFonts w:ascii="Times New Roman" w:hAnsi="Times New Roman"/>
          <w:b/>
          <w:sz w:val="26"/>
          <w:szCs w:val="26"/>
        </w:rPr>
      </w:pPr>
    </w:p>
    <w:p w14:paraId="492C1234" w14:textId="77777777" w:rsidR="00A927B3" w:rsidRDefault="00A927B3" w:rsidP="00A927B3">
      <w:pPr>
        <w:tabs>
          <w:tab w:val="center" w:pos="4680"/>
        </w:tabs>
        <w:suppressAutoHyphens/>
        <w:contextualSpacing/>
        <w:jc w:val="center"/>
        <w:rPr>
          <w:rFonts w:ascii="Times New Roman" w:hAnsi="Times New Roman"/>
          <w:b/>
          <w:sz w:val="26"/>
          <w:szCs w:val="26"/>
        </w:rPr>
      </w:pPr>
    </w:p>
    <w:p w14:paraId="056E6528" w14:textId="5A88B246" w:rsidR="00E43D63" w:rsidRPr="00755937" w:rsidRDefault="00E43D63" w:rsidP="00A927B3">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OPINION AND ORDER</w:t>
      </w:r>
    </w:p>
    <w:p w14:paraId="772B5AC3" w14:textId="1870CE15" w:rsidR="00E43D63" w:rsidRDefault="00E43D63" w:rsidP="00A927B3">
      <w:pPr>
        <w:tabs>
          <w:tab w:val="left" w:pos="-720"/>
        </w:tabs>
        <w:suppressAutoHyphens/>
        <w:spacing w:after="120" w:line="480" w:lineRule="auto"/>
        <w:contextualSpacing/>
        <w:rPr>
          <w:rFonts w:ascii="Times New Roman" w:hAnsi="Times New Roman"/>
          <w:b/>
          <w:sz w:val="26"/>
          <w:szCs w:val="26"/>
        </w:rPr>
      </w:pPr>
    </w:p>
    <w:p w14:paraId="474CFF00" w14:textId="77777777" w:rsidR="00C95BC1" w:rsidRDefault="00C95BC1" w:rsidP="00A927B3">
      <w:pPr>
        <w:tabs>
          <w:tab w:val="left" w:pos="-720"/>
        </w:tabs>
        <w:suppressAutoHyphens/>
        <w:spacing w:after="120" w:line="480" w:lineRule="auto"/>
        <w:contextualSpacing/>
        <w:rPr>
          <w:rFonts w:ascii="Times New Roman" w:hAnsi="Times New Roman"/>
          <w:b/>
          <w:sz w:val="26"/>
          <w:szCs w:val="26"/>
        </w:rPr>
        <w:sectPr w:rsidR="00C95BC1" w:rsidSect="00A927B3">
          <w:footerReference w:type="default" r:id="rId11"/>
          <w:pgSz w:w="12240" w:h="15840" w:code="1"/>
          <w:pgMar w:top="1440" w:right="1440" w:bottom="1440" w:left="1440" w:header="720" w:footer="720" w:gutter="0"/>
          <w:cols w:space="720"/>
          <w:titlePg/>
          <w:docGrid w:linePitch="360"/>
        </w:sectPr>
      </w:pPr>
    </w:p>
    <w:p w14:paraId="531573D0" w14:textId="4A6FF284" w:rsidR="00C95BC1" w:rsidRPr="00C95BC1" w:rsidRDefault="00C95BC1" w:rsidP="00BD7F2C">
      <w:pPr>
        <w:tabs>
          <w:tab w:val="left" w:pos="-720"/>
        </w:tabs>
        <w:suppressAutoHyphens/>
        <w:spacing w:after="0" w:line="360" w:lineRule="auto"/>
        <w:contextualSpacing/>
        <w:jc w:val="center"/>
        <w:rPr>
          <w:rFonts w:ascii="Times New Roman" w:hAnsi="Times New Roman"/>
          <w:b/>
          <w:sz w:val="32"/>
          <w:szCs w:val="32"/>
        </w:rPr>
      </w:pPr>
      <w:r>
        <w:rPr>
          <w:rFonts w:ascii="Times New Roman" w:hAnsi="Times New Roman"/>
          <w:b/>
          <w:sz w:val="32"/>
          <w:szCs w:val="32"/>
        </w:rPr>
        <w:lastRenderedPageBreak/>
        <w:t>TABLE OF CONTENTS</w:t>
      </w:r>
    </w:p>
    <w:p w14:paraId="70A18A62" w14:textId="77777777" w:rsidR="00C95BC1" w:rsidRDefault="00C95BC1" w:rsidP="00BD7F2C">
      <w:pPr>
        <w:tabs>
          <w:tab w:val="left" w:pos="-720"/>
        </w:tabs>
        <w:suppressAutoHyphens/>
        <w:spacing w:after="0" w:line="360" w:lineRule="auto"/>
        <w:contextualSpacing/>
        <w:rPr>
          <w:rFonts w:ascii="Times New Roman" w:hAnsi="Times New Roman"/>
          <w:b/>
          <w:sz w:val="26"/>
          <w:szCs w:val="26"/>
        </w:rPr>
      </w:pPr>
    </w:p>
    <w:p w14:paraId="2E0A7B03" w14:textId="746D4F4D" w:rsidR="00970E33" w:rsidRPr="00970E33" w:rsidRDefault="00BD7F2C" w:rsidP="00C66701">
      <w:pPr>
        <w:pStyle w:val="TOC1"/>
        <w:rPr>
          <w:rFonts w:eastAsiaTheme="minorEastAsia"/>
          <w:noProof/>
        </w:rPr>
      </w:pPr>
      <w:r w:rsidRPr="00970E33">
        <w:rPr>
          <w:b/>
        </w:rPr>
        <w:fldChar w:fldCharType="begin"/>
      </w:r>
      <w:r w:rsidRPr="00970E33">
        <w:rPr>
          <w:b/>
        </w:rPr>
        <w:instrText xml:space="preserve"> TOC \o "1-4" \h \z \u </w:instrText>
      </w:r>
      <w:r w:rsidRPr="00970E33">
        <w:rPr>
          <w:b/>
        </w:rPr>
        <w:fldChar w:fldCharType="separate"/>
      </w:r>
      <w:hyperlink w:anchor="_Toc87265451" w:history="1">
        <w:r w:rsidR="00970E33" w:rsidRPr="00970E33">
          <w:rPr>
            <w:rStyle w:val="Hyperlink"/>
            <w:rFonts w:ascii="Times New Roman" w:hAnsi="Times New Roman" w:cs="Times New Roman"/>
            <w:noProof/>
            <w:sz w:val="26"/>
            <w:szCs w:val="26"/>
          </w:rPr>
          <w:t>I.</w:t>
        </w:r>
        <w:r w:rsidR="00970E33" w:rsidRPr="00970E33">
          <w:rPr>
            <w:rFonts w:eastAsiaTheme="minorEastAsia"/>
            <w:noProof/>
          </w:rPr>
          <w:tab/>
        </w:r>
        <w:r w:rsidR="00970E33" w:rsidRPr="00970E33">
          <w:rPr>
            <w:rStyle w:val="Hyperlink"/>
            <w:rFonts w:ascii="Times New Roman" w:hAnsi="Times New Roman" w:cs="Times New Roman"/>
            <w:noProof/>
            <w:sz w:val="26"/>
            <w:szCs w:val="26"/>
          </w:rPr>
          <w:t>Background</w:t>
        </w:r>
        <w:r w:rsidR="00970E33" w:rsidRPr="00970E33">
          <w:rPr>
            <w:noProof/>
            <w:webHidden/>
          </w:rPr>
          <w:tab/>
        </w:r>
        <w:r w:rsidR="00970E33" w:rsidRPr="00970E33">
          <w:rPr>
            <w:noProof/>
            <w:webHidden/>
          </w:rPr>
          <w:fldChar w:fldCharType="begin"/>
        </w:r>
        <w:r w:rsidR="00970E33" w:rsidRPr="00970E33">
          <w:rPr>
            <w:noProof/>
            <w:webHidden/>
          </w:rPr>
          <w:instrText xml:space="preserve"> PAGEREF _Toc87265451 \h </w:instrText>
        </w:r>
        <w:r w:rsidR="00970E33" w:rsidRPr="00970E33">
          <w:rPr>
            <w:noProof/>
            <w:webHidden/>
          </w:rPr>
        </w:r>
        <w:r w:rsidR="00970E33" w:rsidRPr="00970E33">
          <w:rPr>
            <w:noProof/>
            <w:webHidden/>
          </w:rPr>
          <w:fldChar w:fldCharType="separate"/>
        </w:r>
        <w:r w:rsidR="00B80A47">
          <w:rPr>
            <w:noProof/>
            <w:webHidden/>
          </w:rPr>
          <w:t>4</w:t>
        </w:r>
        <w:r w:rsidR="00970E33" w:rsidRPr="00970E33">
          <w:rPr>
            <w:noProof/>
            <w:webHidden/>
          </w:rPr>
          <w:fldChar w:fldCharType="end"/>
        </w:r>
      </w:hyperlink>
    </w:p>
    <w:p w14:paraId="631DF110" w14:textId="4C1777CF" w:rsidR="00970E33" w:rsidRPr="00970E33" w:rsidRDefault="00A95009" w:rsidP="00C66701">
      <w:pPr>
        <w:pStyle w:val="TOC1"/>
        <w:rPr>
          <w:rFonts w:eastAsiaTheme="minorEastAsia"/>
          <w:noProof/>
        </w:rPr>
      </w:pPr>
      <w:hyperlink w:anchor="_Toc87265452" w:history="1">
        <w:r w:rsidR="00970E33" w:rsidRPr="00970E33">
          <w:rPr>
            <w:rStyle w:val="Hyperlink"/>
            <w:rFonts w:ascii="Times New Roman" w:hAnsi="Times New Roman" w:cs="Times New Roman"/>
            <w:noProof/>
            <w:sz w:val="26"/>
            <w:szCs w:val="26"/>
          </w:rPr>
          <w:t>II.</w:t>
        </w:r>
        <w:r w:rsidR="00970E33" w:rsidRPr="00970E33">
          <w:rPr>
            <w:rFonts w:eastAsiaTheme="minorEastAsia"/>
            <w:noProof/>
          </w:rPr>
          <w:tab/>
        </w:r>
        <w:r w:rsidR="00970E33" w:rsidRPr="00970E33">
          <w:rPr>
            <w:rStyle w:val="Hyperlink"/>
            <w:rFonts w:ascii="Times New Roman" w:hAnsi="Times New Roman" w:cs="Times New Roman"/>
            <w:noProof/>
            <w:sz w:val="26"/>
            <w:szCs w:val="26"/>
          </w:rPr>
          <w:t>History of the Proceeding</w:t>
        </w:r>
        <w:r w:rsidR="00970E33" w:rsidRPr="00970E33">
          <w:rPr>
            <w:noProof/>
            <w:webHidden/>
          </w:rPr>
          <w:tab/>
        </w:r>
        <w:r w:rsidR="00970E33" w:rsidRPr="00970E33">
          <w:rPr>
            <w:noProof/>
            <w:webHidden/>
          </w:rPr>
          <w:fldChar w:fldCharType="begin"/>
        </w:r>
        <w:r w:rsidR="00970E33" w:rsidRPr="00970E33">
          <w:rPr>
            <w:noProof/>
            <w:webHidden/>
          </w:rPr>
          <w:instrText xml:space="preserve"> PAGEREF _Toc87265452 \h </w:instrText>
        </w:r>
        <w:r w:rsidR="00970E33" w:rsidRPr="00970E33">
          <w:rPr>
            <w:noProof/>
            <w:webHidden/>
          </w:rPr>
        </w:r>
        <w:r w:rsidR="00970E33" w:rsidRPr="00970E33">
          <w:rPr>
            <w:noProof/>
            <w:webHidden/>
          </w:rPr>
          <w:fldChar w:fldCharType="separate"/>
        </w:r>
        <w:r w:rsidR="00B80A47">
          <w:rPr>
            <w:noProof/>
            <w:webHidden/>
          </w:rPr>
          <w:t>8</w:t>
        </w:r>
        <w:r w:rsidR="00970E33" w:rsidRPr="00970E33">
          <w:rPr>
            <w:noProof/>
            <w:webHidden/>
          </w:rPr>
          <w:fldChar w:fldCharType="end"/>
        </w:r>
      </w:hyperlink>
    </w:p>
    <w:p w14:paraId="0EB5DDE3" w14:textId="7B985504" w:rsidR="00970E33" w:rsidRPr="00970E33" w:rsidRDefault="00A95009" w:rsidP="00C66701">
      <w:pPr>
        <w:pStyle w:val="TOC1"/>
        <w:rPr>
          <w:rFonts w:eastAsiaTheme="minorEastAsia"/>
          <w:noProof/>
        </w:rPr>
      </w:pPr>
      <w:hyperlink w:anchor="_Toc87265453" w:history="1">
        <w:r w:rsidR="00970E33" w:rsidRPr="00970E33">
          <w:rPr>
            <w:rStyle w:val="Hyperlink"/>
            <w:rFonts w:ascii="Times New Roman" w:hAnsi="Times New Roman" w:cs="Times New Roman"/>
            <w:noProof/>
            <w:sz w:val="26"/>
            <w:szCs w:val="26"/>
          </w:rPr>
          <w:t>III.</w:t>
        </w:r>
        <w:r w:rsidR="00970E33" w:rsidRPr="00970E33">
          <w:rPr>
            <w:rFonts w:eastAsiaTheme="minorEastAsia"/>
            <w:noProof/>
          </w:rPr>
          <w:tab/>
        </w:r>
        <w:r w:rsidR="00970E33" w:rsidRPr="00970E33">
          <w:rPr>
            <w:rStyle w:val="Hyperlink"/>
            <w:rFonts w:ascii="Times New Roman" w:hAnsi="Times New Roman" w:cs="Times New Roman"/>
            <w:noProof/>
            <w:sz w:val="26"/>
            <w:szCs w:val="26"/>
          </w:rPr>
          <w:t>Legal Standards</w:t>
        </w:r>
        <w:r w:rsidR="00970E33" w:rsidRPr="00970E33">
          <w:rPr>
            <w:noProof/>
            <w:webHidden/>
          </w:rPr>
          <w:tab/>
        </w:r>
        <w:r w:rsidR="00970E33" w:rsidRPr="00970E33">
          <w:rPr>
            <w:noProof/>
            <w:webHidden/>
          </w:rPr>
          <w:fldChar w:fldCharType="begin"/>
        </w:r>
        <w:r w:rsidR="00970E33" w:rsidRPr="00970E33">
          <w:rPr>
            <w:noProof/>
            <w:webHidden/>
          </w:rPr>
          <w:instrText xml:space="preserve"> PAGEREF _Toc87265453 \h </w:instrText>
        </w:r>
        <w:r w:rsidR="00970E33" w:rsidRPr="00970E33">
          <w:rPr>
            <w:noProof/>
            <w:webHidden/>
          </w:rPr>
        </w:r>
        <w:r w:rsidR="00970E33" w:rsidRPr="00970E33">
          <w:rPr>
            <w:noProof/>
            <w:webHidden/>
          </w:rPr>
          <w:fldChar w:fldCharType="separate"/>
        </w:r>
        <w:r w:rsidR="00B80A47">
          <w:rPr>
            <w:noProof/>
            <w:webHidden/>
          </w:rPr>
          <w:t>15</w:t>
        </w:r>
        <w:r w:rsidR="00970E33" w:rsidRPr="00970E33">
          <w:rPr>
            <w:noProof/>
            <w:webHidden/>
          </w:rPr>
          <w:fldChar w:fldCharType="end"/>
        </w:r>
      </w:hyperlink>
    </w:p>
    <w:p w14:paraId="720E1698" w14:textId="3568F2DF" w:rsidR="00970E33" w:rsidRPr="00970E33" w:rsidRDefault="00A95009" w:rsidP="00C66701">
      <w:pPr>
        <w:pStyle w:val="TOC1"/>
        <w:rPr>
          <w:rFonts w:eastAsiaTheme="minorEastAsia"/>
          <w:noProof/>
        </w:rPr>
      </w:pPr>
      <w:hyperlink w:anchor="_Toc87265454" w:history="1">
        <w:r w:rsidR="00970E33" w:rsidRPr="00970E33">
          <w:rPr>
            <w:rStyle w:val="Hyperlink"/>
            <w:rFonts w:ascii="Times New Roman" w:hAnsi="Times New Roman" w:cs="Times New Roman"/>
            <w:noProof/>
            <w:sz w:val="26"/>
            <w:szCs w:val="26"/>
          </w:rPr>
          <w:t>IV.</w:t>
        </w:r>
        <w:r w:rsidR="00970E33" w:rsidRPr="00970E33">
          <w:rPr>
            <w:rFonts w:eastAsiaTheme="minorEastAsia"/>
            <w:noProof/>
          </w:rPr>
          <w:tab/>
        </w:r>
        <w:r w:rsidR="00970E33" w:rsidRPr="00970E33">
          <w:rPr>
            <w:rStyle w:val="Hyperlink"/>
            <w:rFonts w:ascii="Times New Roman" w:hAnsi="Times New Roman" w:cs="Times New Roman"/>
            <w:noProof/>
            <w:sz w:val="26"/>
            <w:szCs w:val="26"/>
          </w:rPr>
          <w:t>Discussion</w:t>
        </w:r>
        <w:r w:rsidR="00970E33" w:rsidRPr="00970E33">
          <w:rPr>
            <w:noProof/>
            <w:webHidden/>
          </w:rPr>
          <w:tab/>
        </w:r>
        <w:r w:rsidR="00970E33" w:rsidRPr="00970E33">
          <w:rPr>
            <w:noProof/>
            <w:webHidden/>
          </w:rPr>
          <w:fldChar w:fldCharType="begin"/>
        </w:r>
        <w:r w:rsidR="00970E33" w:rsidRPr="00970E33">
          <w:rPr>
            <w:noProof/>
            <w:webHidden/>
          </w:rPr>
          <w:instrText xml:space="preserve"> PAGEREF _Toc87265454 \h </w:instrText>
        </w:r>
        <w:r w:rsidR="00970E33" w:rsidRPr="00970E33">
          <w:rPr>
            <w:noProof/>
            <w:webHidden/>
          </w:rPr>
        </w:r>
        <w:r w:rsidR="00970E33" w:rsidRPr="00970E33">
          <w:rPr>
            <w:noProof/>
            <w:webHidden/>
          </w:rPr>
          <w:fldChar w:fldCharType="separate"/>
        </w:r>
        <w:r w:rsidR="00B80A47">
          <w:rPr>
            <w:noProof/>
            <w:webHidden/>
          </w:rPr>
          <w:t>20</w:t>
        </w:r>
        <w:r w:rsidR="00970E33" w:rsidRPr="00970E33">
          <w:rPr>
            <w:noProof/>
            <w:webHidden/>
          </w:rPr>
          <w:fldChar w:fldCharType="end"/>
        </w:r>
      </w:hyperlink>
    </w:p>
    <w:p w14:paraId="2185A9DA" w14:textId="62E794D2" w:rsidR="00970E33" w:rsidRPr="00970E33" w:rsidRDefault="00A95009">
      <w:pPr>
        <w:pStyle w:val="TOC2"/>
        <w:rPr>
          <w:rFonts w:ascii="Times New Roman" w:eastAsiaTheme="minorEastAsia" w:hAnsi="Times New Roman" w:cs="Times New Roman"/>
          <w:noProof/>
          <w:sz w:val="26"/>
          <w:szCs w:val="26"/>
        </w:rPr>
      </w:pPr>
      <w:hyperlink w:anchor="_Toc87265455" w:history="1">
        <w:r w:rsidR="00970E33" w:rsidRPr="00970E33">
          <w:rPr>
            <w:rStyle w:val="Hyperlink"/>
            <w:rFonts w:ascii="Times New Roman" w:hAnsi="Times New Roman" w:cs="Times New Roman"/>
            <w:noProof/>
            <w:sz w:val="26"/>
            <w:szCs w:val="26"/>
          </w:rPr>
          <w:t>A.</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ALJ’ s Recommended Decision</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_Toc87265455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20</w:t>
        </w:r>
        <w:r w:rsidR="00970E33" w:rsidRPr="00970E33">
          <w:rPr>
            <w:rFonts w:ascii="Times New Roman" w:hAnsi="Times New Roman" w:cs="Times New Roman"/>
            <w:noProof/>
            <w:webHidden/>
            <w:sz w:val="26"/>
            <w:szCs w:val="26"/>
          </w:rPr>
          <w:fldChar w:fldCharType="end"/>
        </w:r>
      </w:hyperlink>
    </w:p>
    <w:p w14:paraId="1FD1C193" w14:textId="082AACA7" w:rsidR="00970E33" w:rsidRPr="00970E33" w:rsidRDefault="00A95009">
      <w:pPr>
        <w:pStyle w:val="TOC2"/>
        <w:rPr>
          <w:rFonts w:ascii="Times New Roman" w:eastAsiaTheme="minorEastAsia" w:hAnsi="Times New Roman" w:cs="Times New Roman"/>
          <w:noProof/>
          <w:sz w:val="26"/>
          <w:szCs w:val="26"/>
        </w:rPr>
      </w:pPr>
      <w:hyperlink w:anchor="_Toc87265456" w:history="1">
        <w:r w:rsidR="00970E33" w:rsidRPr="00970E33">
          <w:rPr>
            <w:rStyle w:val="Hyperlink"/>
            <w:rFonts w:ascii="Times New Roman" w:hAnsi="Times New Roman" w:cs="Times New Roman"/>
            <w:noProof/>
            <w:sz w:val="26"/>
            <w:szCs w:val="26"/>
          </w:rPr>
          <w:t>B.</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Exceptions and Replies</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_Toc87265456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26</w:t>
        </w:r>
        <w:r w:rsidR="00970E33" w:rsidRPr="00970E33">
          <w:rPr>
            <w:rFonts w:ascii="Times New Roman" w:hAnsi="Times New Roman" w:cs="Times New Roman"/>
            <w:noProof/>
            <w:webHidden/>
            <w:sz w:val="26"/>
            <w:szCs w:val="26"/>
          </w:rPr>
          <w:fldChar w:fldCharType="end"/>
        </w:r>
      </w:hyperlink>
    </w:p>
    <w:p w14:paraId="4CFBF2C7" w14:textId="77E76A2E" w:rsidR="00970E33" w:rsidRPr="00970E33" w:rsidRDefault="00A95009" w:rsidP="00970E33">
      <w:pPr>
        <w:pStyle w:val="TOC3"/>
        <w:tabs>
          <w:tab w:val="right" w:leader="dot" w:pos="9350"/>
        </w:tabs>
        <w:ind w:left="2160" w:hanging="720"/>
        <w:rPr>
          <w:rFonts w:eastAsiaTheme="minorEastAsia"/>
          <w:noProof/>
          <w:color w:val="auto"/>
          <w:szCs w:val="26"/>
        </w:rPr>
      </w:pPr>
      <w:hyperlink w:anchor="_Toc87265457" w:history="1">
        <w:r w:rsidR="00970E33" w:rsidRPr="00970E33">
          <w:rPr>
            <w:rStyle w:val="Hyperlink"/>
            <w:noProof/>
            <w:szCs w:val="26"/>
          </w:rPr>
          <w:t>1.</w:t>
        </w:r>
        <w:r w:rsidR="00970E33" w:rsidRPr="00970E33">
          <w:rPr>
            <w:rFonts w:eastAsiaTheme="minorEastAsia"/>
            <w:noProof/>
            <w:color w:val="auto"/>
            <w:szCs w:val="26"/>
          </w:rPr>
          <w:tab/>
        </w:r>
        <w:r w:rsidR="00970E33" w:rsidRPr="00970E33">
          <w:rPr>
            <w:rStyle w:val="Hyperlink"/>
            <w:noProof/>
            <w:szCs w:val="26"/>
          </w:rPr>
          <w:t>Exceptions of Aqua and Replies</w:t>
        </w:r>
        <w:r w:rsidR="00970E33" w:rsidRPr="00970E33">
          <w:rPr>
            <w:noProof/>
            <w:webHidden/>
            <w:szCs w:val="26"/>
          </w:rPr>
          <w:tab/>
        </w:r>
        <w:r w:rsidR="00970E33" w:rsidRPr="00970E33">
          <w:rPr>
            <w:noProof/>
            <w:webHidden/>
            <w:szCs w:val="26"/>
          </w:rPr>
          <w:fldChar w:fldCharType="begin"/>
        </w:r>
        <w:r w:rsidR="00970E33" w:rsidRPr="00970E33">
          <w:rPr>
            <w:noProof/>
            <w:webHidden/>
            <w:szCs w:val="26"/>
          </w:rPr>
          <w:instrText xml:space="preserve"> PAGEREF _Toc87265457 \h </w:instrText>
        </w:r>
        <w:r w:rsidR="00970E33" w:rsidRPr="00970E33">
          <w:rPr>
            <w:noProof/>
            <w:webHidden/>
            <w:szCs w:val="26"/>
          </w:rPr>
        </w:r>
        <w:r w:rsidR="00970E33" w:rsidRPr="00970E33">
          <w:rPr>
            <w:noProof/>
            <w:webHidden/>
            <w:szCs w:val="26"/>
          </w:rPr>
          <w:fldChar w:fldCharType="separate"/>
        </w:r>
        <w:r w:rsidR="00B80A47">
          <w:rPr>
            <w:noProof/>
            <w:webHidden/>
            <w:szCs w:val="26"/>
          </w:rPr>
          <w:t>26</w:t>
        </w:r>
        <w:r w:rsidR="00970E33" w:rsidRPr="00970E33">
          <w:rPr>
            <w:noProof/>
            <w:webHidden/>
            <w:szCs w:val="26"/>
          </w:rPr>
          <w:fldChar w:fldCharType="end"/>
        </w:r>
      </w:hyperlink>
    </w:p>
    <w:p w14:paraId="789D95FB" w14:textId="45239DCC" w:rsidR="00970E33" w:rsidRPr="00970E33" w:rsidRDefault="00A95009">
      <w:pPr>
        <w:pStyle w:val="TOC4"/>
        <w:tabs>
          <w:tab w:val="left" w:pos="2880"/>
        </w:tabs>
        <w:rPr>
          <w:rFonts w:ascii="Times New Roman" w:eastAsiaTheme="minorEastAsia" w:hAnsi="Times New Roman" w:cs="Times New Roman"/>
          <w:noProof/>
          <w:sz w:val="26"/>
          <w:szCs w:val="26"/>
        </w:rPr>
      </w:pPr>
      <w:hyperlink w:anchor="_Toc87265458" w:history="1">
        <w:r w:rsidR="00970E33" w:rsidRPr="00970E33">
          <w:rPr>
            <w:rStyle w:val="Hyperlink"/>
            <w:rFonts w:ascii="Times New Roman" w:hAnsi="Times New Roman" w:cs="Times New Roman"/>
            <w:noProof/>
            <w:sz w:val="26"/>
            <w:szCs w:val="26"/>
          </w:rPr>
          <w:t>i.</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Aqua’s Exception No. 1: Improper Application of Section</w:t>
        </w:r>
        <w:r w:rsidR="00C66701">
          <w:rPr>
            <w:rStyle w:val="Hyperlink"/>
            <w:rFonts w:ascii="Times New Roman" w:hAnsi="Times New Roman" w:cs="Times New Roman"/>
            <w:noProof/>
            <w:sz w:val="26"/>
            <w:szCs w:val="26"/>
          </w:rPr>
          <w:t> </w:t>
        </w:r>
        <w:r w:rsidR="00970E33" w:rsidRPr="00970E33">
          <w:rPr>
            <w:rStyle w:val="Hyperlink"/>
            <w:rFonts w:ascii="Times New Roman" w:hAnsi="Times New Roman" w:cs="Times New Roman"/>
            <w:noProof/>
            <w:sz w:val="26"/>
            <w:szCs w:val="26"/>
          </w:rPr>
          <w:t>529 and Replies</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_Toc87265458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26</w:t>
        </w:r>
        <w:r w:rsidR="00970E33" w:rsidRPr="00970E33">
          <w:rPr>
            <w:rFonts w:ascii="Times New Roman" w:hAnsi="Times New Roman" w:cs="Times New Roman"/>
            <w:noProof/>
            <w:webHidden/>
            <w:sz w:val="26"/>
            <w:szCs w:val="26"/>
          </w:rPr>
          <w:fldChar w:fldCharType="end"/>
        </w:r>
      </w:hyperlink>
    </w:p>
    <w:p w14:paraId="508FA848" w14:textId="66AE936C" w:rsidR="00970E33" w:rsidRPr="00970E33" w:rsidRDefault="00A95009">
      <w:pPr>
        <w:pStyle w:val="TOC4"/>
        <w:tabs>
          <w:tab w:val="left" w:pos="2880"/>
        </w:tabs>
        <w:rPr>
          <w:rFonts w:ascii="Times New Roman" w:eastAsiaTheme="minorEastAsia" w:hAnsi="Times New Roman" w:cs="Times New Roman"/>
          <w:noProof/>
          <w:sz w:val="26"/>
          <w:szCs w:val="26"/>
        </w:rPr>
      </w:pPr>
      <w:hyperlink w:anchor="_Toc87265459" w:history="1">
        <w:r w:rsidR="00970E33" w:rsidRPr="00970E33">
          <w:rPr>
            <w:rStyle w:val="Hyperlink"/>
            <w:rFonts w:ascii="Times New Roman" w:hAnsi="Times New Roman" w:cs="Times New Roman"/>
            <w:noProof/>
            <w:sz w:val="26"/>
            <w:szCs w:val="26"/>
          </w:rPr>
          <w:t>ii.</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Aqua’s Exception No. 2: Twin Lakes Fails to Satisfy Section</w:t>
        </w:r>
        <w:r w:rsidR="00C66701">
          <w:rPr>
            <w:rStyle w:val="Hyperlink"/>
            <w:rFonts w:ascii="Times New Roman" w:hAnsi="Times New Roman" w:cs="Times New Roman"/>
            <w:noProof/>
            <w:sz w:val="26"/>
            <w:szCs w:val="26"/>
          </w:rPr>
          <w:t> </w:t>
        </w:r>
        <w:r w:rsidR="00970E33" w:rsidRPr="00970E33">
          <w:rPr>
            <w:rStyle w:val="Hyperlink"/>
            <w:rFonts w:ascii="Times New Roman" w:hAnsi="Times New Roman" w:cs="Times New Roman"/>
            <w:noProof/>
            <w:sz w:val="26"/>
            <w:szCs w:val="26"/>
          </w:rPr>
          <w:t>529 (a)(3) and Replies</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_Toc87265459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30</w:t>
        </w:r>
        <w:r w:rsidR="00970E33" w:rsidRPr="00970E33">
          <w:rPr>
            <w:rFonts w:ascii="Times New Roman" w:hAnsi="Times New Roman" w:cs="Times New Roman"/>
            <w:noProof/>
            <w:webHidden/>
            <w:sz w:val="26"/>
            <w:szCs w:val="26"/>
          </w:rPr>
          <w:fldChar w:fldCharType="end"/>
        </w:r>
      </w:hyperlink>
    </w:p>
    <w:p w14:paraId="3237B3CA" w14:textId="3FC8A9F0" w:rsidR="00970E33" w:rsidRPr="00970E33" w:rsidRDefault="00A95009" w:rsidP="00970E33">
      <w:pPr>
        <w:pStyle w:val="TOC3"/>
        <w:tabs>
          <w:tab w:val="right" w:leader="dot" w:pos="9350"/>
        </w:tabs>
        <w:ind w:left="2160" w:hanging="720"/>
        <w:rPr>
          <w:rFonts w:eastAsiaTheme="minorEastAsia"/>
          <w:noProof/>
          <w:color w:val="auto"/>
          <w:szCs w:val="26"/>
        </w:rPr>
      </w:pPr>
      <w:hyperlink w:anchor="_Toc87265460" w:history="1">
        <w:r w:rsidR="00970E33" w:rsidRPr="00970E33">
          <w:rPr>
            <w:rStyle w:val="Hyperlink"/>
            <w:noProof/>
            <w:szCs w:val="26"/>
          </w:rPr>
          <w:t>2.</w:t>
        </w:r>
        <w:r w:rsidR="00970E33" w:rsidRPr="00970E33">
          <w:rPr>
            <w:rFonts w:eastAsiaTheme="minorEastAsia"/>
            <w:noProof/>
            <w:color w:val="auto"/>
            <w:szCs w:val="26"/>
          </w:rPr>
          <w:tab/>
        </w:r>
        <w:r w:rsidR="00970E33" w:rsidRPr="00970E33">
          <w:rPr>
            <w:rStyle w:val="Hyperlink"/>
            <w:noProof/>
            <w:szCs w:val="26"/>
          </w:rPr>
          <w:t>Exceptions of Twin Lakes and Replies</w:t>
        </w:r>
        <w:r w:rsidR="00970E33" w:rsidRPr="00970E33">
          <w:rPr>
            <w:noProof/>
            <w:webHidden/>
            <w:szCs w:val="26"/>
          </w:rPr>
          <w:tab/>
        </w:r>
        <w:r w:rsidR="00970E33" w:rsidRPr="00970E33">
          <w:rPr>
            <w:noProof/>
            <w:webHidden/>
            <w:szCs w:val="26"/>
          </w:rPr>
          <w:fldChar w:fldCharType="begin"/>
        </w:r>
        <w:r w:rsidR="00970E33" w:rsidRPr="00970E33">
          <w:rPr>
            <w:noProof/>
            <w:webHidden/>
            <w:szCs w:val="26"/>
          </w:rPr>
          <w:instrText xml:space="preserve"> PAGEREF _Toc87265460 \h </w:instrText>
        </w:r>
        <w:r w:rsidR="00970E33" w:rsidRPr="00970E33">
          <w:rPr>
            <w:noProof/>
            <w:webHidden/>
            <w:szCs w:val="26"/>
          </w:rPr>
        </w:r>
        <w:r w:rsidR="00970E33" w:rsidRPr="00970E33">
          <w:rPr>
            <w:noProof/>
            <w:webHidden/>
            <w:szCs w:val="26"/>
          </w:rPr>
          <w:fldChar w:fldCharType="separate"/>
        </w:r>
        <w:r w:rsidR="00B80A47">
          <w:rPr>
            <w:noProof/>
            <w:webHidden/>
            <w:szCs w:val="26"/>
          </w:rPr>
          <w:t>32</w:t>
        </w:r>
        <w:r w:rsidR="00970E33" w:rsidRPr="00970E33">
          <w:rPr>
            <w:noProof/>
            <w:webHidden/>
            <w:szCs w:val="26"/>
          </w:rPr>
          <w:fldChar w:fldCharType="end"/>
        </w:r>
      </w:hyperlink>
    </w:p>
    <w:p w14:paraId="1DF919DC" w14:textId="034BFBD7" w:rsidR="00970E33" w:rsidRPr="00970E33" w:rsidRDefault="00A95009">
      <w:pPr>
        <w:pStyle w:val="TOC4"/>
        <w:tabs>
          <w:tab w:val="left" w:pos="2880"/>
        </w:tabs>
        <w:rPr>
          <w:rFonts w:ascii="Times New Roman" w:eastAsiaTheme="minorEastAsia" w:hAnsi="Times New Roman" w:cs="Times New Roman"/>
          <w:noProof/>
          <w:sz w:val="26"/>
          <w:szCs w:val="26"/>
        </w:rPr>
      </w:pPr>
      <w:hyperlink w:anchor="_Toc87265461" w:history="1">
        <w:r w:rsidR="00970E33" w:rsidRPr="00970E33">
          <w:rPr>
            <w:rStyle w:val="Hyperlink"/>
            <w:rFonts w:ascii="Times New Roman" w:hAnsi="Times New Roman" w:cs="Times New Roman"/>
            <w:noProof/>
            <w:sz w:val="26"/>
            <w:szCs w:val="26"/>
          </w:rPr>
          <w:t>i.</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Twin Lakes’ Exception No. 1:  The ALJ Erred In Finding That The Commission Has Jurisdiction Over Middlesex and</w:t>
        </w:r>
        <w:r w:rsidR="00C66701">
          <w:rPr>
            <w:rStyle w:val="Hyperlink"/>
            <w:rFonts w:ascii="Times New Roman" w:hAnsi="Times New Roman" w:cs="Times New Roman"/>
            <w:noProof/>
            <w:sz w:val="26"/>
            <w:szCs w:val="26"/>
          </w:rPr>
          <w:t> </w:t>
        </w:r>
        <w:r w:rsidR="00970E33" w:rsidRPr="00970E33">
          <w:rPr>
            <w:rStyle w:val="Hyperlink"/>
            <w:rFonts w:ascii="Times New Roman" w:hAnsi="Times New Roman" w:cs="Times New Roman"/>
            <w:noProof/>
            <w:sz w:val="26"/>
            <w:szCs w:val="26"/>
          </w:rPr>
          <w:t>Replies</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_Toc87265461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32</w:t>
        </w:r>
        <w:r w:rsidR="00970E33" w:rsidRPr="00970E33">
          <w:rPr>
            <w:rFonts w:ascii="Times New Roman" w:hAnsi="Times New Roman" w:cs="Times New Roman"/>
            <w:noProof/>
            <w:webHidden/>
            <w:sz w:val="26"/>
            <w:szCs w:val="26"/>
          </w:rPr>
          <w:fldChar w:fldCharType="end"/>
        </w:r>
      </w:hyperlink>
    </w:p>
    <w:p w14:paraId="7861DFB7" w14:textId="102F6928" w:rsidR="00970E33" w:rsidRPr="00970E33" w:rsidRDefault="00A95009">
      <w:pPr>
        <w:pStyle w:val="TOC4"/>
        <w:tabs>
          <w:tab w:val="left" w:pos="2880"/>
        </w:tabs>
        <w:rPr>
          <w:rFonts w:ascii="Times New Roman" w:eastAsiaTheme="minorEastAsia" w:hAnsi="Times New Roman" w:cs="Times New Roman"/>
          <w:noProof/>
          <w:sz w:val="26"/>
          <w:szCs w:val="26"/>
        </w:rPr>
      </w:pPr>
      <w:hyperlink w:anchor="_Toc87265462" w:history="1">
        <w:r w:rsidR="00970E33" w:rsidRPr="00970E33">
          <w:rPr>
            <w:rStyle w:val="Hyperlink"/>
            <w:rFonts w:ascii="Times New Roman" w:hAnsi="Times New Roman" w:cs="Times New Roman"/>
            <w:noProof/>
            <w:sz w:val="26"/>
            <w:szCs w:val="26"/>
          </w:rPr>
          <w:t>ii.</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Twin Lakes’ Exception No. 2:  The ALJ Erred By Conditioning Approval of Relief Under Section 529 of the Public Utility Code on Middlesex Placing $1.675 Million in</w:t>
        </w:r>
        <w:r w:rsidR="00C66701">
          <w:rPr>
            <w:rStyle w:val="Hyperlink"/>
            <w:rFonts w:ascii="Times New Roman" w:hAnsi="Times New Roman" w:cs="Times New Roman"/>
            <w:noProof/>
            <w:sz w:val="26"/>
            <w:szCs w:val="26"/>
          </w:rPr>
          <w:t> </w:t>
        </w:r>
        <w:r w:rsidR="00970E33" w:rsidRPr="00970E33">
          <w:rPr>
            <w:rStyle w:val="Hyperlink"/>
            <w:rFonts w:ascii="Times New Roman" w:hAnsi="Times New Roman" w:cs="Times New Roman"/>
            <w:noProof/>
            <w:sz w:val="26"/>
            <w:szCs w:val="26"/>
          </w:rPr>
          <w:t>Escrow and Replies</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_Toc87265462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34</w:t>
        </w:r>
        <w:r w:rsidR="00970E33" w:rsidRPr="00970E33">
          <w:rPr>
            <w:rFonts w:ascii="Times New Roman" w:hAnsi="Times New Roman" w:cs="Times New Roman"/>
            <w:noProof/>
            <w:webHidden/>
            <w:sz w:val="26"/>
            <w:szCs w:val="26"/>
          </w:rPr>
          <w:fldChar w:fldCharType="end"/>
        </w:r>
      </w:hyperlink>
    </w:p>
    <w:p w14:paraId="5DD064AB" w14:textId="24038020" w:rsidR="00970E33" w:rsidRPr="00970E33" w:rsidRDefault="00A95009">
      <w:pPr>
        <w:pStyle w:val="TOC2"/>
        <w:rPr>
          <w:rFonts w:ascii="Times New Roman" w:eastAsiaTheme="minorEastAsia" w:hAnsi="Times New Roman" w:cs="Times New Roman"/>
          <w:noProof/>
          <w:sz w:val="26"/>
          <w:szCs w:val="26"/>
        </w:rPr>
      </w:pPr>
      <w:hyperlink w:anchor="_Toc87265463" w:history="1">
        <w:r w:rsidR="00970E33" w:rsidRPr="00970E33">
          <w:rPr>
            <w:rStyle w:val="Hyperlink"/>
            <w:rFonts w:ascii="Times New Roman" w:hAnsi="Times New Roman" w:cs="Times New Roman"/>
            <w:noProof/>
            <w:sz w:val="26"/>
            <w:szCs w:val="26"/>
          </w:rPr>
          <w:t>C.</w:t>
        </w:r>
        <w:r w:rsidR="00970E33" w:rsidRPr="00970E33">
          <w:rPr>
            <w:rFonts w:ascii="Times New Roman" w:eastAsiaTheme="minorEastAsia" w:hAnsi="Times New Roman" w:cs="Times New Roman"/>
            <w:noProof/>
            <w:sz w:val="26"/>
            <w:szCs w:val="26"/>
          </w:rPr>
          <w:tab/>
        </w:r>
        <w:r w:rsidR="00970E33" w:rsidRPr="00970E33">
          <w:rPr>
            <w:rStyle w:val="Hyperlink"/>
            <w:rFonts w:ascii="Times New Roman" w:hAnsi="Times New Roman" w:cs="Times New Roman"/>
            <w:noProof/>
            <w:sz w:val="26"/>
            <w:szCs w:val="26"/>
          </w:rPr>
          <w:t>Disposition</w:t>
        </w:r>
        <w:r w:rsidR="00970E33" w:rsidRPr="00970E33">
          <w:rPr>
            <w:rFonts w:ascii="Times New Roman" w:hAnsi="Times New Roman" w:cs="Times New Roman"/>
            <w:noProof/>
            <w:webHidden/>
            <w:sz w:val="26"/>
            <w:szCs w:val="26"/>
          </w:rPr>
          <w:tab/>
        </w:r>
        <w:r w:rsidR="00970E33" w:rsidRPr="00970E33">
          <w:rPr>
            <w:rFonts w:ascii="Times New Roman" w:hAnsi="Times New Roman" w:cs="Times New Roman"/>
            <w:noProof/>
            <w:webHidden/>
            <w:sz w:val="26"/>
            <w:szCs w:val="26"/>
          </w:rPr>
          <w:fldChar w:fldCharType="begin"/>
        </w:r>
        <w:r w:rsidR="00970E33" w:rsidRPr="00970E33">
          <w:rPr>
            <w:rFonts w:ascii="Times New Roman" w:hAnsi="Times New Roman" w:cs="Times New Roman"/>
            <w:noProof/>
            <w:webHidden/>
            <w:sz w:val="26"/>
            <w:szCs w:val="26"/>
          </w:rPr>
          <w:instrText xml:space="preserve"> PAGEREF _Toc87265463 \h </w:instrText>
        </w:r>
        <w:r w:rsidR="00970E33" w:rsidRPr="00970E33">
          <w:rPr>
            <w:rFonts w:ascii="Times New Roman" w:hAnsi="Times New Roman" w:cs="Times New Roman"/>
            <w:noProof/>
            <w:webHidden/>
            <w:sz w:val="26"/>
            <w:szCs w:val="26"/>
          </w:rPr>
        </w:r>
        <w:r w:rsidR="00970E33" w:rsidRPr="00970E33">
          <w:rPr>
            <w:rFonts w:ascii="Times New Roman" w:hAnsi="Times New Roman" w:cs="Times New Roman"/>
            <w:noProof/>
            <w:webHidden/>
            <w:sz w:val="26"/>
            <w:szCs w:val="26"/>
          </w:rPr>
          <w:fldChar w:fldCharType="separate"/>
        </w:r>
        <w:r w:rsidR="00B80A47">
          <w:rPr>
            <w:rFonts w:ascii="Times New Roman" w:hAnsi="Times New Roman" w:cs="Times New Roman"/>
            <w:noProof/>
            <w:webHidden/>
            <w:sz w:val="26"/>
            <w:szCs w:val="26"/>
          </w:rPr>
          <w:t>36</w:t>
        </w:r>
        <w:r w:rsidR="00970E33" w:rsidRPr="00970E33">
          <w:rPr>
            <w:rFonts w:ascii="Times New Roman" w:hAnsi="Times New Roman" w:cs="Times New Roman"/>
            <w:noProof/>
            <w:webHidden/>
            <w:sz w:val="26"/>
            <w:szCs w:val="26"/>
          </w:rPr>
          <w:fldChar w:fldCharType="end"/>
        </w:r>
      </w:hyperlink>
    </w:p>
    <w:p w14:paraId="1EB2D142" w14:textId="7496709C" w:rsidR="00970E33" w:rsidRPr="00970E33" w:rsidRDefault="00A95009" w:rsidP="00C66701">
      <w:pPr>
        <w:pStyle w:val="TOC1"/>
        <w:rPr>
          <w:rFonts w:eastAsiaTheme="minorEastAsia"/>
          <w:noProof/>
        </w:rPr>
      </w:pPr>
      <w:hyperlink w:anchor="_Toc87265464" w:history="1">
        <w:r w:rsidR="00970E33" w:rsidRPr="00970E33">
          <w:rPr>
            <w:rStyle w:val="Hyperlink"/>
            <w:rFonts w:ascii="Times New Roman" w:hAnsi="Times New Roman" w:cs="Times New Roman"/>
            <w:noProof/>
            <w:sz w:val="26"/>
            <w:szCs w:val="26"/>
          </w:rPr>
          <w:t>V.</w:t>
        </w:r>
        <w:r w:rsidR="00970E33" w:rsidRPr="00970E33">
          <w:rPr>
            <w:rFonts w:eastAsiaTheme="minorEastAsia"/>
            <w:noProof/>
          </w:rPr>
          <w:tab/>
        </w:r>
        <w:r w:rsidR="00970E33" w:rsidRPr="00970E33">
          <w:rPr>
            <w:rStyle w:val="Hyperlink"/>
            <w:rFonts w:ascii="Times New Roman" w:hAnsi="Times New Roman" w:cs="Times New Roman"/>
            <w:noProof/>
            <w:sz w:val="26"/>
            <w:szCs w:val="26"/>
          </w:rPr>
          <w:t>Conclusion</w:t>
        </w:r>
        <w:r w:rsidR="00970E33" w:rsidRPr="00970E33">
          <w:rPr>
            <w:noProof/>
            <w:webHidden/>
          </w:rPr>
          <w:tab/>
        </w:r>
        <w:r w:rsidR="00970E33" w:rsidRPr="00970E33">
          <w:rPr>
            <w:noProof/>
            <w:webHidden/>
          </w:rPr>
          <w:fldChar w:fldCharType="begin"/>
        </w:r>
        <w:r w:rsidR="00970E33" w:rsidRPr="00970E33">
          <w:rPr>
            <w:noProof/>
            <w:webHidden/>
          </w:rPr>
          <w:instrText xml:space="preserve"> PAGEREF _Toc87265464 \h </w:instrText>
        </w:r>
        <w:r w:rsidR="00970E33" w:rsidRPr="00970E33">
          <w:rPr>
            <w:noProof/>
            <w:webHidden/>
          </w:rPr>
        </w:r>
        <w:r w:rsidR="00970E33" w:rsidRPr="00970E33">
          <w:rPr>
            <w:noProof/>
            <w:webHidden/>
          </w:rPr>
          <w:fldChar w:fldCharType="separate"/>
        </w:r>
        <w:r w:rsidR="00B80A47">
          <w:rPr>
            <w:noProof/>
            <w:webHidden/>
          </w:rPr>
          <w:t>54</w:t>
        </w:r>
        <w:r w:rsidR="00970E33" w:rsidRPr="00970E33">
          <w:rPr>
            <w:noProof/>
            <w:webHidden/>
          </w:rPr>
          <w:fldChar w:fldCharType="end"/>
        </w:r>
      </w:hyperlink>
    </w:p>
    <w:p w14:paraId="4CDDB7D4" w14:textId="4D12A259" w:rsidR="00BD7F2C" w:rsidRDefault="00BD7F2C" w:rsidP="00A927B3">
      <w:pPr>
        <w:tabs>
          <w:tab w:val="left" w:pos="-720"/>
        </w:tabs>
        <w:suppressAutoHyphens/>
        <w:spacing w:after="120" w:line="480" w:lineRule="auto"/>
        <w:contextualSpacing/>
        <w:rPr>
          <w:rFonts w:ascii="Times New Roman" w:hAnsi="Times New Roman"/>
          <w:b/>
          <w:sz w:val="26"/>
          <w:szCs w:val="26"/>
        </w:rPr>
        <w:sectPr w:rsidR="00BD7F2C" w:rsidSect="00A927B3">
          <w:pgSz w:w="12240" w:h="15840" w:code="1"/>
          <w:pgMar w:top="1440" w:right="1440" w:bottom="1440" w:left="1440" w:header="720" w:footer="720" w:gutter="0"/>
          <w:cols w:space="720"/>
          <w:titlePg/>
          <w:docGrid w:linePitch="360"/>
        </w:sectPr>
      </w:pPr>
      <w:r w:rsidRPr="00970E33">
        <w:rPr>
          <w:rFonts w:ascii="Times New Roman" w:hAnsi="Times New Roman" w:cs="Times New Roman"/>
          <w:b/>
          <w:sz w:val="26"/>
          <w:szCs w:val="26"/>
        </w:rPr>
        <w:fldChar w:fldCharType="end"/>
      </w:r>
    </w:p>
    <w:p w14:paraId="5545E3A0" w14:textId="77777777" w:rsidR="00E43D63" w:rsidRDefault="00E43D63" w:rsidP="00A927B3">
      <w:pPr>
        <w:keepNext/>
        <w:tabs>
          <w:tab w:val="left" w:pos="-720"/>
        </w:tabs>
        <w:suppressAutoHyphens/>
        <w:spacing w:after="120" w:line="360" w:lineRule="auto"/>
        <w:contextualSpacing/>
        <w:rPr>
          <w:rFonts w:ascii="Times New Roman" w:hAnsi="Times New Roman"/>
          <w:b/>
          <w:sz w:val="26"/>
          <w:szCs w:val="26"/>
        </w:rPr>
      </w:pPr>
      <w:r w:rsidRPr="00755937">
        <w:rPr>
          <w:rFonts w:ascii="Times New Roman" w:hAnsi="Times New Roman"/>
          <w:b/>
          <w:sz w:val="26"/>
          <w:szCs w:val="26"/>
        </w:rPr>
        <w:lastRenderedPageBreak/>
        <w:t>BY THE COMMISSION:</w:t>
      </w:r>
    </w:p>
    <w:p w14:paraId="753A4378" w14:textId="77777777" w:rsidR="00E43D63" w:rsidRDefault="00E43D63" w:rsidP="00A927B3">
      <w:pPr>
        <w:keepNext/>
        <w:tabs>
          <w:tab w:val="left" w:pos="-720"/>
        </w:tabs>
        <w:suppressAutoHyphens/>
        <w:spacing w:after="120"/>
        <w:contextualSpacing/>
        <w:rPr>
          <w:rFonts w:ascii="Times New Roman" w:hAnsi="Times New Roman"/>
          <w:b/>
          <w:sz w:val="26"/>
          <w:szCs w:val="26"/>
        </w:rPr>
      </w:pPr>
    </w:p>
    <w:p w14:paraId="3A80FE02" w14:textId="3372C1A9" w:rsidR="00282FC0" w:rsidRDefault="00C72B7A" w:rsidP="00A927B3">
      <w:pPr>
        <w:keepNext/>
        <w:spacing w:after="0" w:line="360" w:lineRule="auto"/>
        <w:ind w:firstLine="1440"/>
        <w:rPr>
          <w:rFonts w:ascii="Times New Roman" w:hAnsi="Times New Roman" w:cs="Times New Roman"/>
          <w:sz w:val="26"/>
          <w:szCs w:val="26"/>
        </w:rPr>
      </w:pPr>
      <w:r w:rsidRPr="00C72B7A">
        <w:rPr>
          <w:rFonts w:ascii="Times New Roman" w:hAnsi="Times New Roman" w:cs="Times New Roman"/>
          <w:sz w:val="26"/>
          <w:szCs w:val="26"/>
        </w:rPr>
        <w:t xml:space="preserve">Before the Pennsylvania Public Utility Commission (Commission) for consideration and disposition are the </w:t>
      </w:r>
      <w:r w:rsidRPr="006D0619">
        <w:rPr>
          <w:rFonts w:ascii="Times New Roman" w:hAnsi="Times New Roman" w:cs="Times New Roman"/>
          <w:sz w:val="26"/>
          <w:szCs w:val="26"/>
        </w:rPr>
        <w:t xml:space="preserve">Exceptions of </w:t>
      </w:r>
      <w:r w:rsidR="00334B53">
        <w:rPr>
          <w:rFonts w:ascii="Times New Roman" w:hAnsi="Times New Roman" w:cs="Times New Roman"/>
          <w:sz w:val="26"/>
          <w:szCs w:val="26"/>
        </w:rPr>
        <w:t xml:space="preserve">Twin Lakes Utilities, Inc. (Twin </w:t>
      </w:r>
      <w:r w:rsidR="00580C5D">
        <w:rPr>
          <w:rFonts w:ascii="Times New Roman" w:hAnsi="Times New Roman" w:cs="Times New Roman"/>
          <w:sz w:val="26"/>
          <w:szCs w:val="26"/>
        </w:rPr>
        <w:t>L</w:t>
      </w:r>
      <w:r w:rsidR="00334B53">
        <w:rPr>
          <w:rFonts w:ascii="Times New Roman" w:hAnsi="Times New Roman" w:cs="Times New Roman"/>
          <w:sz w:val="26"/>
          <w:szCs w:val="26"/>
        </w:rPr>
        <w:t>akes</w:t>
      </w:r>
      <w:r w:rsidR="003374B1">
        <w:rPr>
          <w:rFonts w:ascii="Times New Roman" w:hAnsi="Times New Roman" w:cs="Times New Roman"/>
          <w:sz w:val="26"/>
          <w:szCs w:val="26"/>
        </w:rPr>
        <w:t xml:space="preserve"> or the Company</w:t>
      </w:r>
      <w:r w:rsidR="00580C5D">
        <w:rPr>
          <w:rFonts w:ascii="Times New Roman" w:hAnsi="Times New Roman" w:cs="Times New Roman"/>
          <w:sz w:val="26"/>
          <w:szCs w:val="26"/>
        </w:rPr>
        <w:t>)</w:t>
      </w:r>
      <w:r w:rsidR="00334B53">
        <w:rPr>
          <w:rFonts w:ascii="Times New Roman" w:hAnsi="Times New Roman" w:cs="Times New Roman"/>
          <w:sz w:val="26"/>
          <w:szCs w:val="26"/>
        </w:rPr>
        <w:t xml:space="preserve">, </w:t>
      </w:r>
      <w:r w:rsidR="00580C5D">
        <w:rPr>
          <w:rFonts w:ascii="Times New Roman" w:hAnsi="Times New Roman" w:cs="Times New Roman"/>
          <w:sz w:val="26"/>
          <w:szCs w:val="26"/>
        </w:rPr>
        <w:t xml:space="preserve">and </w:t>
      </w:r>
      <w:r w:rsidR="004A1289">
        <w:rPr>
          <w:rFonts w:ascii="Times New Roman" w:hAnsi="Times New Roman" w:cs="Times New Roman"/>
          <w:sz w:val="26"/>
          <w:szCs w:val="26"/>
        </w:rPr>
        <w:t xml:space="preserve">Aqua Pennsylvania, </w:t>
      </w:r>
      <w:r w:rsidR="00B06425">
        <w:rPr>
          <w:rFonts w:ascii="Times New Roman" w:hAnsi="Times New Roman" w:cs="Times New Roman"/>
          <w:sz w:val="26"/>
          <w:szCs w:val="26"/>
        </w:rPr>
        <w:t>I</w:t>
      </w:r>
      <w:r w:rsidR="004A1289">
        <w:rPr>
          <w:rFonts w:ascii="Times New Roman" w:hAnsi="Times New Roman" w:cs="Times New Roman"/>
          <w:sz w:val="26"/>
          <w:szCs w:val="26"/>
        </w:rPr>
        <w:t xml:space="preserve">nc. (Aqua) </w:t>
      </w:r>
      <w:r w:rsidRPr="009B3259">
        <w:rPr>
          <w:rFonts w:ascii="Times New Roman" w:hAnsi="Times New Roman" w:cs="Times New Roman"/>
          <w:sz w:val="26"/>
          <w:szCs w:val="26"/>
        </w:rPr>
        <w:t xml:space="preserve">filed </w:t>
      </w:r>
      <w:r w:rsidR="006D0619" w:rsidRPr="009B3259">
        <w:rPr>
          <w:rFonts w:ascii="Times New Roman" w:hAnsi="Times New Roman" w:cs="Times New Roman"/>
          <w:sz w:val="26"/>
          <w:szCs w:val="26"/>
        </w:rPr>
        <w:t xml:space="preserve">on </w:t>
      </w:r>
      <w:r w:rsidR="00080926">
        <w:rPr>
          <w:rFonts w:ascii="Times New Roman" w:hAnsi="Times New Roman" w:cs="Times New Roman"/>
          <w:sz w:val="26"/>
          <w:szCs w:val="26"/>
        </w:rPr>
        <w:t>May 12, 2021</w:t>
      </w:r>
      <w:r w:rsidRPr="009B3259">
        <w:rPr>
          <w:rFonts w:ascii="Times New Roman" w:hAnsi="Times New Roman" w:cs="Times New Roman"/>
          <w:sz w:val="26"/>
          <w:szCs w:val="26"/>
        </w:rPr>
        <w:t>,</w:t>
      </w:r>
      <w:r w:rsidR="009B3259">
        <w:rPr>
          <w:rFonts w:ascii="Times New Roman" w:hAnsi="Times New Roman" w:cs="Times New Roman"/>
          <w:sz w:val="26"/>
          <w:szCs w:val="26"/>
        </w:rPr>
        <w:t xml:space="preserve"> respectively, </w:t>
      </w:r>
      <w:r w:rsidRPr="00C72B7A">
        <w:rPr>
          <w:rFonts w:ascii="Times New Roman" w:hAnsi="Times New Roman" w:cs="Times New Roman"/>
          <w:sz w:val="26"/>
          <w:szCs w:val="26"/>
        </w:rPr>
        <w:t xml:space="preserve">to the </w:t>
      </w:r>
      <w:r w:rsidR="00816CF9">
        <w:rPr>
          <w:rFonts w:ascii="Times New Roman" w:hAnsi="Times New Roman" w:cs="Times New Roman"/>
          <w:sz w:val="26"/>
          <w:szCs w:val="26"/>
        </w:rPr>
        <w:t xml:space="preserve">Recommended </w:t>
      </w:r>
      <w:r w:rsidRPr="00C72B7A">
        <w:rPr>
          <w:rFonts w:ascii="Times New Roman" w:hAnsi="Times New Roman" w:cs="Times New Roman"/>
          <w:sz w:val="26"/>
          <w:szCs w:val="26"/>
        </w:rPr>
        <w:t>Decision (</w:t>
      </w:r>
      <w:r w:rsidR="00816CF9">
        <w:rPr>
          <w:rFonts w:ascii="Times New Roman" w:hAnsi="Times New Roman" w:cs="Times New Roman"/>
          <w:sz w:val="26"/>
          <w:szCs w:val="26"/>
        </w:rPr>
        <w:t>R</w:t>
      </w:r>
      <w:r w:rsidRPr="00C72B7A">
        <w:rPr>
          <w:rFonts w:ascii="Times New Roman" w:hAnsi="Times New Roman" w:cs="Times New Roman"/>
          <w:sz w:val="26"/>
          <w:szCs w:val="26"/>
        </w:rPr>
        <w:t xml:space="preserve">.D.) of </w:t>
      </w:r>
      <w:r w:rsidR="004A1289">
        <w:rPr>
          <w:rFonts w:ascii="Times New Roman" w:hAnsi="Times New Roman" w:cs="Times New Roman"/>
          <w:sz w:val="26"/>
          <w:szCs w:val="26"/>
        </w:rPr>
        <w:t xml:space="preserve">Deputy Chief </w:t>
      </w:r>
      <w:r w:rsidRPr="00C72B7A">
        <w:rPr>
          <w:rFonts w:ascii="Times New Roman" w:hAnsi="Times New Roman" w:cs="Times New Roman"/>
          <w:sz w:val="26"/>
          <w:szCs w:val="26"/>
        </w:rPr>
        <w:t xml:space="preserve">Administrative Law Judge (ALJ) </w:t>
      </w:r>
      <w:r>
        <w:rPr>
          <w:rFonts w:ascii="Times New Roman" w:hAnsi="Times New Roman" w:cs="Times New Roman"/>
          <w:sz w:val="26"/>
          <w:szCs w:val="26"/>
        </w:rPr>
        <w:t>Joel H. Cheskis</w:t>
      </w:r>
      <w:r w:rsidRPr="00C72B7A">
        <w:rPr>
          <w:rFonts w:ascii="Times New Roman" w:hAnsi="Times New Roman" w:cs="Times New Roman"/>
          <w:sz w:val="26"/>
          <w:szCs w:val="26"/>
        </w:rPr>
        <w:t xml:space="preserve"> issued </w:t>
      </w:r>
      <w:r w:rsidR="004D08D0">
        <w:rPr>
          <w:rFonts w:ascii="Times New Roman" w:hAnsi="Times New Roman" w:cs="Times New Roman"/>
          <w:sz w:val="26"/>
          <w:szCs w:val="26"/>
        </w:rPr>
        <w:t>April 22, 2021</w:t>
      </w:r>
      <w:r w:rsidR="007A68ED">
        <w:rPr>
          <w:rFonts w:ascii="Times New Roman" w:hAnsi="Times New Roman" w:cs="Times New Roman"/>
          <w:sz w:val="26"/>
          <w:szCs w:val="26"/>
        </w:rPr>
        <w:t>.</w:t>
      </w:r>
      <w:r w:rsidR="00BF44CB">
        <w:rPr>
          <w:rStyle w:val="FootnoteReference"/>
          <w:rFonts w:ascii="Times New Roman" w:hAnsi="Times New Roman" w:cs="Times New Roman"/>
          <w:sz w:val="26"/>
          <w:szCs w:val="26"/>
        </w:rPr>
        <w:footnoteReference w:id="1"/>
      </w:r>
      <w:r w:rsidRPr="00C72B7A">
        <w:rPr>
          <w:rFonts w:ascii="Times New Roman" w:hAnsi="Times New Roman" w:cs="Times New Roman"/>
          <w:sz w:val="26"/>
          <w:szCs w:val="26"/>
        </w:rPr>
        <w:t xml:space="preserve">  Replies to Exceptions were filed by </w:t>
      </w:r>
      <w:r w:rsidR="00080926">
        <w:rPr>
          <w:rFonts w:ascii="Times New Roman" w:hAnsi="Times New Roman" w:cs="Times New Roman"/>
          <w:sz w:val="26"/>
          <w:szCs w:val="26"/>
        </w:rPr>
        <w:t xml:space="preserve">the </w:t>
      </w:r>
      <w:r w:rsidR="008132B4">
        <w:rPr>
          <w:rFonts w:ascii="Times New Roman" w:hAnsi="Times New Roman" w:cs="Times New Roman"/>
          <w:sz w:val="26"/>
          <w:szCs w:val="26"/>
        </w:rPr>
        <w:t xml:space="preserve">Commission’s Bureau of Investigation and Enforcement (I&amp;E), </w:t>
      </w:r>
      <w:r w:rsidR="00D5605E">
        <w:rPr>
          <w:rFonts w:ascii="Times New Roman" w:hAnsi="Times New Roman" w:cs="Times New Roman"/>
          <w:sz w:val="26"/>
          <w:szCs w:val="26"/>
        </w:rPr>
        <w:t xml:space="preserve">the </w:t>
      </w:r>
      <w:r w:rsidR="00080926">
        <w:rPr>
          <w:rFonts w:ascii="Times New Roman" w:hAnsi="Times New Roman" w:cs="Times New Roman"/>
          <w:sz w:val="26"/>
          <w:szCs w:val="26"/>
        </w:rPr>
        <w:t xml:space="preserve">Office of Consumer </w:t>
      </w:r>
      <w:r w:rsidR="00080926" w:rsidRPr="009B3259">
        <w:rPr>
          <w:rFonts w:ascii="Times New Roman" w:hAnsi="Times New Roman" w:cs="Times New Roman"/>
          <w:sz w:val="26"/>
          <w:szCs w:val="26"/>
        </w:rPr>
        <w:t xml:space="preserve">Advocate </w:t>
      </w:r>
      <w:r w:rsidR="00080926">
        <w:rPr>
          <w:rFonts w:ascii="Times New Roman" w:hAnsi="Times New Roman" w:cs="Times New Roman"/>
          <w:sz w:val="26"/>
          <w:szCs w:val="26"/>
        </w:rPr>
        <w:t>(OCA)</w:t>
      </w:r>
      <w:r w:rsidR="00D5605E">
        <w:rPr>
          <w:rFonts w:ascii="Times New Roman" w:hAnsi="Times New Roman" w:cs="Times New Roman"/>
          <w:sz w:val="26"/>
          <w:szCs w:val="26"/>
        </w:rPr>
        <w:t xml:space="preserve">, Twin </w:t>
      </w:r>
      <w:r w:rsidR="00A71167">
        <w:rPr>
          <w:rFonts w:ascii="Times New Roman" w:hAnsi="Times New Roman" w:cs="Times New Roman"/>
          <w:sz w:val="26"/>
          <w:szCs w:val="26"/>
        </w:rPr>
        <w:t>L</w:t>
      </w:r>
      <w:r w:rsidR="00D5605E">
        <w:rPr>
          <w:rFonts w:ascii="Times New Roman" w:hAnsi="Times New Roman" w:cs="Times New Roman"/>
          <w:sz w:val="26"/>
          <w:szCs w:val="26"/>
        </w:rPr>
        <w:t>akes</w:t>
      </w:r>
      <w:r w:rsidR="004A1289">
        <w:rPr>
          <w:rFonts w:ascii="Times New Roman" w:hAnsi="Times New Roman" w:cs="Times New Roman"/>
          <w:sz w:val="26"/>
          <w:szCs w:val="26"/>
        </w:rPr>
        <w:t>,</w:t>
      </w:r>
      <w:r w:rsidR="00D5605E">
        <w:rPr>
          <w:rFonts w:ascii="Times New Roman" w:hAnsi="Times New Roman" w:cs="Times New Roman"/>
          <w:sz w:val="26"/>
          <w:szCs w:val="26"/>
        </w:rPr>
        <w:t xml:space="preserve"> and Aqua</w:t>
      </w:r>
      <w:r w:rsidR="00BB1BE9">
        <w:rPr>
          <w:rFonts w:ascii="Times New Roman" w:hAnsi="Times New Roman" w:cs="Times New Roman"/>
          <w:sz w:val="26"/>
          <w:szCs w:val="26"/>
        </w:rPr>
        <w:t xml:space="preserve">, respectively, </w:t>
      </w:r>
      <w:r w:rsidRPr="00C72B7A">
        <w:rPr>
          <w:rFonts w:ascii="Times New Roman" w:hAnsi="Times New Roman" w:cs="Times New Roman"/>
          <w:sz w:val="26"/>
          <w:szCs w:val="26"/>
        </w:rPr>
        <w:t xml:space="preserve">on </w:t>
      </w:r>
      <w:r w:rsidR="00BB1BE9">
        <w:rPr>
          <w:rFonts w:ascii="Times New Roman" w:hAnsi="Times New Roman" w:cs="Times New Roman"/>
          <w:sz w:val="26"/>
          <w:szCs w:val="26"/>
        </w:rPr>
        <w:t>May 24, 2021</w:t>
      </w:r>
      <w:r w:rsidRPr="00C72B7A">
        <w:rPr>
          <w:rFonts w:ascii="Times New Roman" w:hAnsi="Times New Roman" w:cs="Times New Roman"/>
          <w:sz w:val="26"/>
          <w:szCs w:val="26"/>
        </w:rPr>
        <w:t>.</w:t>
      </w:r>
      <w:r w:rsidR="004A1289">
        <w:rPr>
          <w:rFonts w:ascii="Times New Roman" w:hAnsi="Times New Roman" w:cs="Times New Roman"/>
          <w:sz w:val="26"/>
          <w:szCs w:val="26"/>
        </w:rPr>
        <w:t xml:space="preserve">  </w:t>
      </w:r>
    </w:p>
    <w:p w14:paraId="0D1BE237" w14:textId="77777777" w:rsidR="00282FC0" w:rsidRDefault="00282FC0" w:rsidP="00634DF9">
      <w:pPr>
        <w:spacing w:after="0" w:line="360" w:lineRule="auto"/>
        <w:ind w:firstLine="1440"/>
        <w:rPr>
          <w:rFonts w:ascii="Times New Roman" w:hAnsi="Times New Roman" w:cs="Times New Roman"/>
          <w:sz w:val="26"/>
          <w:szCs w:val="26"/>
        </w:rPr>
      </w:pPr>
    </w:p>
    <w:p w14:paraId="42ADB34E" w14:textId="6D24E161" w:rsidR="000D1461" w:rsidRPr="00F90CBF" w:rsidRDefault="00C72B7A" w:rsidP="00634DF9">
      <w:pPr>
        <w:spacing w:after="0" w:line="360" w:lineRule="auto"/>
        <w:ind w:firstLine="1440"/>
        <w:rPr>
          <w:rFonts w:ascii="Times New Roman" w:hAnsi="Times New Roman" w:cs="Times New Roman"/>
          <w:sz w:val="26"/>
          <w:szCs w:val="26"/>
        </w:rPr>
      </w:pPr>
      <w:r w:rsidRPr="00C72B7A">
        <w:rPr>
          <w:rFonts w:ascii="Times New Roman" w:hAnsi="Times New Roman" w:cs="Times New Roman"/>
          <w:sz w:val="26"/>
          <w:szCs w:val="26"/>
        </w:rPr>
        <w:t xml:space="preserve">This matter is </w:t>
      </w:r>
      <w:r w:rsidR="00430D86">
        <w:rPr>
          <w:rFonts w:ascii="Times New Roman" w:hAnsi="Times New Roman" w:cs="Times New Roman"/>
          <w:sz w:val="26"/>
          <w:szCs w:val="26"/>
        </w:rPr>
        <w:t xml:space="preserve">the consolidated </w:t>
      </w:r>
      <w:r w:rsidR="001E1CAC">
        <w:rPr>
          <w:rFonts w:ascii="Times New Roman" w:hAnsi="Times New Roman" w:cs="Times New Roman"/>
          <w:sz w:val="26"/>
          <w:szCs w:val="26"/>
        </w:rPr>
        <w:t>proceeding</w:t>
      </w:r>
      <w:r w:rsidR="00734224">
        <w:rPr>
          <w:rFonts w:ascii="Times New Roman" w:hAnsi="Times New Roman" w:cs="Times New Roman"/>
          <w:sz w:val="26"/>
          <w:szCs w:val="26"/>
        </w:rPr>
        <w:t>s</w:t>
      </w:r>
      <w:r w:rsidR="003263B6">
        <w:rPr>
          <w:rFonts w:ascii="Times New Roman" w:hAnsi="Times New Roman" w:cs="Times New Roman"/>
          <w:sz w:val="26"/>
          <w:szCs w:val="26"/>
        </w:rPr>
        <w:t xml:space="preserve"> related to Twin Lakes’ </w:t>
      </w:r>
      <w:r w:rsidR="00441787">
        <w:rPr>
          <w:rFonts w:ascii="Times New Roman" w:hAnsi="Times New Roman" w:cs="Times New Roman"/>
          <w:sz w:val="26"/>
          <w:szCs w:val="26"/>
        </w:rPr>
        <w:t xml:space="preserve">Petition for a Commission order authorizing the </w:t>
      </w:r>
      <w:r w:rsidR="007159F9">
        <w:rPr>
          <w:rFonts w:ascii="Times New Roman" w:hAnsi="Times New Roman" w:cs="Times New Roman"/>
          <w:sz w:val="26"/>
          <w:szCs w:val="26"/>
        </w:rPr>
        <w:t xml:space="preserve">acquisition of Twin Lakes by a capable </w:t>
      </w:r>
      <w:r w:rsidR="00F20882">
        <w:rPr>
          <w:rFonts w:ascii="Times New Roman" w:hAnsi="Times New Roman" w:cs="Times New Roman"/>
          <w:sz w:val="26"/>
          <w:szCs w:val="26"/>
        </w:rPr>
        <w:t xml:space="preserve">public </w:t>
      </w:r>
      <w:r w:rsidR="000665DE">
        <w:rPr>
          <w:rFonts w:ascii="Times New Roman" w:hAnsi="Times New Roman" w:cs="Times New Roman"/>
          <w:sz w:val="26"/>
          <w:szCs w:val="26"/>
        </w:rPr>
        <w:t>u</w:t>
      </w:r>
      <w:r w:rsidR="00F20882">
        <w:rPr>
          <w:rFonts w:ascii="Times New Roman" w:hAnsi="Times New Roman" w:cs="Times New Roman"/>
          <w:sz w:val="26"/>
          <w:szCs w:val="26"/>
        </w:rPr>
        <w:t xml:space="preserve">tility pursuant to Section 529 </w:t>
      </w:r>
      <w:r w:rsidR="00CA13C7">
        <w:rPr>
          <w:rFonts w:ascii="Times New Roman" w:hAnsi="Times New Roman" w:cs="Times New Roman"/>
          <w:sz w:val="26"/>
          <w:szCs w:val="26"/>
        </w:rPr>
        <w:t xml:space="preserve">(Twin Lakes Petition or Petition) </w:t>
      </w:r>
      <w:r w:rsidR="00F20882">
        <w:rPr>
          <w:rFonts w:ascii="Times New Roman" w:hAnsi="Times New Roman" w:cs="Times New Roman"/>
          <w:sz w:val="26"/>
          <w:szCs w:val="26"/>
        </w:rPr>
        <w:t>of the Public Utility Code</w:t>
      </w:r>
      <w:r w:rsidR="00704D98">
        <w:rPr>
          <w:rFonts w:ascii="Times New Roman" w:hAnsi="Times New Roman" w:cs="Times New Roman"/>
          <w:sz w:val="26"/>
          <w:szCs w:val="26"/>
        </w:rPr>
        <w:t xml:space="preserve"> (the Code)</w:t>
      </w:r>
      <w:r w:rsidR="007A68ED">
        <w:rPr>
          <w:rFonts w:ascii="Times New Roman" w:hAnsi="Times New Roman" w:cs="Times New Roman"/>
          <w:sz w:val="26"/>
          <w:szCs w:val="26"/>
        </w:rPr>
        <w:t>,</w:t>
      </w:r>
      <w:r w:rsidR="00B40B4E">
        <w:rPr>
          <w:rStyle w:val="FootnoteReference"/>
          <w:rFonts w:ascii="Times New Roman" w:hAnsi="Times New Roman" w:cs="Times New Roman"/>
          <w:sz w:val="26"/>
          <w:szCs w:val="26"/>
        </w:rPr>
        <w:footnoteReference w:id="2"/>
      </w:r>
      <w:r w:rsidR="00F20882">
        <w:rPr>
          <w:rFonts w:ascii="Times New Roman" w:hAnsi="Times New Roman" w:cs="Times New Roman"/>
          <w:sz w:val="26"/>
          <w:szCs w:val="26"/>
        </w:rPr>
        <w:t xml:space="preserve"> </w:t>
      </w:r>
      <w:r w:rsidR="00942E7E">
        <w:rPr>
          <w:rFonts w:ascii="Times New Roman" w:hAnsi="Times New Roman" w:cs="Times New Roman"/>
          <w:sz w:val="26"/>
          <w:szCs w:val="26"/>
        </w:rPr>
        <w:t xml:space="preserve">including Twin Lakes’ </w:t>
      </w:r>
      <w:r w:rsidR="007871C3">
        <w:rPr>
          <w:rFonts w:ascii="Times New Roman" w:hAnsi="Times New Roman" w:cs="Times New Roman"/>
          <w:sz w:val="26"/>
          <w:szCs w:val="26"/>
        </w:rPr>
        <w:t xml:space="preserve">Application for </w:t>
      </w:r>
      <w:r w:rsidR="00C50A42">
        <w:rPr>
          <w:rFonts w:ascii="Times New Roman" w:hAnsi="Times New Roman" w:cs="Times New Roman"/>
          <w:sz w:val="26"/>
          <w:szCs w:val="26"/>
        </w:rPr>
        <w:t>a Commission order of servi</w:t>
      </w:r>
      <w:r w:rsidR="00F03ECE">
        <w:rPr>
          <w:rFonts w:ascii="Times New Roman" w:hAnsi="Times New Roman" w:cs="Times New Roman"/>
          <w:sz w:val="26"/>
          <w:szCs w:val="26"/>
        </w:rPr>
        <w:t>c</w:t>
      </w:r>
      <w:r w:rsidR="00C50A42">
        <w:rPr>
          <w:rFonts w:ascii="Times New Roman" w:hAnsi="Times New Roman" w:cs="Times New Roman"/>
          <w:sz w:val="26"/>
          <w:szCs w:val="26"/>
        </w:rPr>
        <w:t xml:space="preserve">e agreement </w:t>
      </w:r>
      <w:r w:rsidR="000154D7">
        <w:rPr>
          <w:rFonts w:ascii="Times New Roman" w:hAnsi="Times New Roman" w:cs="Times New Roman"/>
          <w:sz w:val="26"/>
          <w:szCs w:val="26"/>
        </w:rPr>
        <w:t xml:space="preserve">between Twin Lakes and </w:t>
      </w:r>
      <w:r w:rsidR="003D17F8">
        <w:rPr>
          <w:rFonts w:ascii="Times New Roman" w:hAnsi="Times New Roman" w:cs="Times New Roman"/>
          <w:sz w:val="26"/>
          <w:szCs w:val="26"/>
        </w:rPr>
        <w:t>Middlesex</w:t>
      </w:r>
      <w:r w:rsidR="000154D7">
        <w:rPr>
          <w:rFonts w:ascii="Times New Roman" w:hAnsi="Times New Roman" w:cs="Times New Roman"/>
          <w:sz w:val="26"/>
          <w:szCs w:val="26"/>
        </w:rPr>
        <w:t xml:space="preserve"> Water Company (</w:t>
      </w:r>
      <w:r w:rsidR="003D17F8">
        <w:rPr>
          <w:rFonts w:ascii="Times New Roman" w:hAnsi="Times New Roman" w:cs="Times New Roman"/>
          <w:sz w:val="26"/>
          <w:szCs w:val="26"/>
        </w:rPr>
        <w:t>Middlesex</w:t>
      </w:r>
      <w:r w:rsidR="000154D7">
        <w:rPr>
          <w:rFonts w:ascii="Times New Roman" w:hAnsi="Times New Roman" w:cs="Times New Roman"/>
          <w:sz w:val="26"/>
          <w:szCs w:val="26"/>
        </w:rPr>
        <w:t>)</w:t>
      </w:r>
      <w:r w:rsidR="00392B1C">
        <w:rPr>
          <w:rFonts w:ascii="Times New Roman" w:hAnsi="Times New Roman" w:cs="Times New Roman"/>
          <w:sz w:val="26"/>
          <w:szCs w:val="26"/>
        </w:rPr>
        <w:t>, and the amendments thereto</w:t>
      </w:r>
      <w:r w:rsidR="000154D7">
        <w:rPr>
          <w:rFonts w:ascii="Times New Roman" w:hAnsi="Times New Roman" w:cs="Times New Roman"/>
          <w:sz w:val="26"/>
          <w:szCs w:val="26"/>
        </w:rPr>
        <w:t xml:space="preserve">, </w:t>
      </w:r>
      <w:r w:rsidR="00C50A42">
        <w:rPr>
          <w:rFonts w:ascii="Times New Roman" w:hAnsi="Times New Roman" w:cs="Times New Roman"/>
          <w:sz w:val="26"/>
          <w:szCs w:val="26"/>
        </w:rPr>
        <w:t xml:space="preserve">and </w:t>
      </w:r>
      <w:r w:rsidR="000A0EE1">
        <w:rPr>
          <w:rFonts w:ascii="Times New Roman" w:hAnsi="Times New Roman" w:cs="Times New Roman"/>
          <w:sz w:val="26"/>
          <w:szCs w:val="26"/>
        </w:rPr>
        <w:t xml:space="preserve">Twin Lakes’ </w:t>
      </w:r>
      <w:r w:rsidR="004C04E5">
        <w:rPr>
          <w:rFonts w:ascii="Times New Roman" w:hAnsi="Times New Roman" w:cs="Times New Roman"/>
          <w:sz w:val="26"/>
          <w:szCs w:val="26"/>
        </w:rPr>
        <w:t>request for approval of affiliated interest agreement</w:t>
      </w:r>
      <w:r w:rsidR="00A12BEF">
        <w:rPr>
          <w:rFonts w:ascii="Times New Roman" w:hAnsi="Times New Roman" w:cs="Times New Roman"/>
          <w:sz w:val="26"/>
          <w:szCs w:val="26"/>
        </w:rPr>
        <w:t>s</w:t>
      </w:r>
      <w:r w:rsidR="004C04E5">
        <w:rPr>
          <w:rFonts w:ascii="Times New Roman" w:hAnsi="Times New Roman" w:cs="Times New Roman"/>
          <w:sz w:val="26"/>
          <w:szCs w:val="26"/>
        </w:rPr>
        <w:t xml:space="preserve"> between Twin Lakes </w:t>
      </w:r>
      <w:r w:rsidR="00F76151">
        <w:rPr>
          <w:rFonts w:ascii="Times New Roman" w:hAnsi="Times New Roman" w:cs="Times New Roman"/>
          <w:sz w:val="26"/>
          <w:szCs w:val="26"/>
        </w:rPr>
        <w:t xml:space="preserve">and </w:t>
      </w:r>
      <w:r w:rsidR="003D17F8">
        <w:rPr>
          <w:rFonts w:ascii="Times New Roman" w:hAnsi="Times New Roman" w:cs="Times New Roman"/>
          <w:sz w:val="26"/>
          <w:szCs w:val="26"/>
        </w:rPr>
        <w:t>Middlesex</w:t>
      </w:r>
      <w:r w:rsidR="000154D7">
        <w:rPr>
          <w:rFonts w:ascii="Times New Roman" w:hAnsi="Times New Roman" w:cs="Times New Roman"/>
          <w:sz w:val="26"/>
          <w:szCs w:val="26"/>
        </w:rPr>
        <w:t>.</w:t>
      </w:r>
      <w:r w:rsidR="001E1CAC">
        <w:rPr>
          <w:rFonts w:ascii="Times New Roman" w:hAnsi="Times New Roman" w:cs="Times New Roman"/>
          <w:sz w:val="26"/>
          <w:szCs w:val="26"/>
        </w:rPr>
        <w:t xml:space="preserve"> </w:t>
      </w:r>
    </w:p>
    <w:p w14:paraId="35EA78F6" w14:textId="77777777" w:rsidR="006070EE" w:rsidRDefault="006070EE" w:rsidP="006070EE">
      <w:pPr>
        <w:spacing w:after="0" w:line="360" w:lineRule="auto"/>
        <w:ind w:firstLine="1440"/>
      </w:pPr>
    </w:p>
    <w:p w14:paraId="0BD3A83E" w14:textId="4BE749CF" w:rsidR="00EF6FE4" w:rsidRDefault="000D1461" w:rsidP="00A927B3">
      <w:pPr>
        <w:spacing w:after="0" w:line="360" w:lineRule="auto"/>
        <w:ind w:firstLine="1440"/>
        <w:rPr>
          <w:rFonts w:ascii="Times New Roman" w:hAnsi="Times New Roman" w:cs="Times New Roman"/>
          <w:sz w:val="26"/>
          <w:szCs w:val="26"/>
        </w:rPr>
      </w:pPr>
      <w:r w:rsidRPr="000D1461">
        <w:rPr>
          <w:rFonts w:ascii="Times New Roman" w:eastAsia="Times New Roman" w:hAnsi="Times New Roman" w:cs="Times New Roman"/>
          <w:sz w:val="26"/>
          <w:szCs w:val="26"/>
        </w:rPr>
        <w:t>For the reasons stated</w:t>
      </w:r>
      <w:r w:rsidR="00547257">
        <w:rPr>
          <w:rFonts w:ascii="Times New Roman" w:eastAsia="Times New Roman" w:hAnsi="Times New Roman" w:cs="Times New Roman"/>
          <w:sz w:val="26"/>
          <w:szCs w:val="26"/>
        </w:rPr>
        <w:t xml:space="preserve"> more fully</w:t>
      </w:r>
      <w:r w:rsidRPr="000D1461">
        <w:rPr>
          <w:rFonts w:ascii="Times New Roman" w:eastAsia="Times New Roman" w:hAnsi="Times New Roman" w:cs="Times New Roman"/>
          <w:sz w:val="26"/>
          <w:szCs w:val="26"/>
        </w:rPr>
        <w:t xml:space="preserve">, </w:t>
      </w:r>
      <w:r w:rsidRPr="000D1461">
        <w:rPr>
          <w:rFonts w:ascii="Times New Roman" w:eastAsia="Times New Roman" w:hAnsi="Times New Roman" w:cs="Times New Roman"/>
          <w:i/>
          <w:sz w:val="26"/>
          <w:szCs w:val="26"/>
        </w:rPr>
        <w:t>infra</w:t>
      </w:r>
      <w:r w:rsidRPr="000D1461">
        <w:rPr>
          <w:rFonts w:ascii="Times New Roman" w:eastAsia="Times New Roman" w:hAnsi="Times New Roman" w:cs="Times New Roman"/>
          <w:sz w:val="26"/>
          <w:szCs w:val="26"/>
        </w:rPr>
        <w:t xml:space="preserve">, </w:t>
      </w:r>
      <w:bookmarkStart w:id="0" w:name="_Hlk79948018"/>
      <w:r w:rsidR="00817016">
        <w:rPr>
          <w:rFonts w:ascii="Times New Roman" w:eastAsia="Times New Roman" w:hAnsi="Times New Roman" w:cs="Times New Roman"/>
          <w:sz w:val="26"/>
          <w:szCs w:val="26"/>
        </w:rPr>
        <w:t xml:space="preserve">based upon the record in this proceeding, and </w:t>
      </w:r>
      <w:r w:rsidR="00DD36CC">
        <w:rPr>
          <w:rFonts w:ascii="Times New Roman" w:eastAsia="Times New Roman" w:hAnsi="Times New Roman" w:cs="Times New Roman"/>
          <w:sz w:val="26"/>
          <w:szCs w:val="26"/>
        </w:rPr>
        <w:t xml:space="preserve">upon consideration of the Exceptions and Replies thereto, </w:t>
      </w:r>
      <w:r w:rsidRPr="000D1461">
        <w:rPr>
          <w:rFonts w:ascii="Times New Roman" w:eastAsia="Times New Roman" w:hAnsi="Times New Roman" w:cs="Times New Roman"/>
          <w:sz w:val="26"/>
          <w:szCs w:val="26"/>
        </w:rPr>
        <w:t xml:space="preserve">we shall </w:t>
      </w:r>
      <w:r w:rsidR="001E1CAC">
        <w:rPr>
          <w:rFonts w:ascii="Times New Roman" w:eastAsia="Times New Roman" w:hAnsi="Times New Roman" w:cs="Times New Roman"/>
          <w:sz w:val="26"/>
          <w:szCs w:val="26"/>
        </w:rPr>
        <w:t xml:space="preserve">deny </w:t>
      </w:r>
      <w:r w:rsidRPr="000D1461">
        <w:rPr>
          <w:rFonts w:ascii="Times New Roman" w:eastAsia="Times New Roman" w:hAnsi="Times New Roman" w:cs="Times New Roman"/>
          <w:sz w:val="26"/>
          <w:szCs w:val="26"/>
        </w:rPr>
        <w:t xml:space="preserve">the Exceptions </w:t>
      </w:r>
      <w:r w:rsidR="000A168C">
        <w:rPr>
          <w:rFonts w:ascii="Times New Roman" w:eastAsia="Times New Roman" w:hAnsi="Times New Roman" w:cs="Times New Roman"/>
          <w:sz w:val="26"/>
          <w:szCs w:val="26"/>
        </w:rPr>
        <w:t>and adopt the ALJ</w:t>
      </w:r>
      <w:r w:rsidR="00D71E1F">
        <w:rPr>
          <w:rFonts w:ascii="Times New Roman" w:eastAsia="Times New Roman" w:hAnsi="Times New Roman" w:cs="Times New Roman"/>
          <w:sz w:val="26"/>
          <w:szCs w:val="26"/>
        </w:rPr>
        <w:t xml:space="preserve">’s </w:t>
      </w:r>
      <w:r w:rsidR="000A168C">
        <w:rPr>
          <w:rFonts w:ascii="Times New Roman" w:eastAsia="Times New Roman" w:hAnsi="Times New Roman" w:cs="Times New Roman"/>
          <w:sz w:val="26"/>
          <w:szCs w:val="26"/>
        </w:rPr>
        <w:t xml:space="preserve">Recommended </w:t>
      </w:r>
      <w:r w:rsidRPr="000D1461">
        <w:rPr>
          <w:rFonts w:ascii="Times New Roman" w:eastAsia="Times New Roman" w:hAnsi="Times New Roman" w:cs="Times New Roman"/>
          <w:sz w:val="26"/>
          <w:szCs w:val="26"/>
        </w:rPr>
        <w:t>Decision, consistent with this Opinion and Order</w:t>
      </w:r>
      <w:r w:rsidR="00AB6ECD">
        <w:rPr>
          <w:rFonts w:ascii="Times New Roman" w:eastAsia="Times New Roman" w:hAnsi="Times New Roman" w:cs="Times New Roman"/>
          <w:sz w:val="26"/>
          <w:szCs w:val="26"/>
        </w:rPr>
        <w:t>.</w:t>
      </w:r>
      <w:r w:rsidR="000A168C">
        <w:rPr>
          <w:rFonts w:ascii="Times New Roman" w:eastAsia="Times New Roman" w:hAnsi="Times New Roman" w:cs="Times New Roman"/>
          <w:sz w:val="26"/>
          <w:szCs w:val="26"/>
        </w:rPr>
        <w:t xml:space="preserve">  </w:t>
      </w:r>
      <w:r w:rsidRPr="000D1461">
        <w:rPr>
          <w:rFonts w:ascii="Times New Roman" w:eastAsia="Times New Roman" w:hAnsi="Times New Roman" w:cs="Times New Roman"/>
          <w:sz w:val="26"/>
          <w:szCs w:val="26"/>
        </w:rPr>
        <w:t xml:space="preserve">Accordingly, as discussed </w:t>
      </w:r>
      <w:r w:rsidRPr="000D1461">
        <w:rPr>
          <w:rFonts w:ascii="Times New Roman" w:eastAsia="Times New Roman" w:hAnsi="Times New Roman" w:cs="Times New Roman"/>
          <w:i/>
          <w:sz w:val="26"/>
          <w:szCs w:val="26"/>
        </w:rPr>
        <w:t>infra</w:t>
      </w:r>
      <w:r w:rsidRPr="000D1461">
        <w:rPr>
          <w:rFonts w:ascii="Times New Roman" w:eastAsia="Times New Roman" w:hAnsi="Times New Roman" w:cs="Times New Roman"/>
          <w:sz w:val="26"/>
          <w:szCs w:val="26"/>
        </w:rPr>
        <w:t>, we conclude that</w:t>
      </w:r>
      <w:r w:rsidR="00EF6FE4" w:rsidRPr="00EF6FE4">
        <w:rPr>
          <w:rFonts w:ascii="Times New Roman" w:hAnsi="Times New Roman" w:cs="Times New Roman"/>
          <w:sz w:val="26"/>
          <w:szCs w:val="26"/>
        </w:rPr>
        <w:t xml:space="preserve"> </w:t>
      </w:r>
      <w:r w:rsidR="00DD6251">
        <w:rPr>
          <w:rFonts w:ascii="Times New Roman" w:hAnsi="Times New Roman" w:cs="Times New Roman"/>
          <w:sz w:val="26"/>
          <w:szCs w:val="26"/>
        </w:rPr>
        <w:t xml:space="preserve">the Section 529 </w:t>
      </w:r>
      <w:r w:rsidR="00DD6251">
        <w:rPr>
          <w:rFonts w:ascii="Times New Roman" w:hAnsi="Times New Roman" w:cs="Times New Roman"/>
          <w:sz w:val="26"/>
          <w:szCs w:val="26"/>
        </w:rPr>
        <w:lastRenderedPageBreak/>
        <w:t xml:space="preserve">order authorizing the </w:t>
      </w:r>
      <w:r w:rsidR="00EF6FE4" w:rsidRPr="00966C5F">
        <w:rPr>
          <w:rFonts w:ascii="Times New Roman" w:hAnsi="Times New Roman" w:cs="Times New Roman"/>
          <w:sz w:val="26"/>
          <w:szCs w:val="26"/>
        </w:rPr>
        <w:t xml:space="preserve">acquisition of Twin Lakes by Aqua </w:t>
      </w:r>
      <w:r w:rsidR="00B47C0E">
        <w:rPr>
          <w:rFonts w:ascii="Times New Roman" w:hAnsi="Times New Roman" w:cs="Times New Roman"/>
          <w:sz w:val="26"/>
          <w:szCs w:val="26"/>
        </w:rPr>
        <w:t xml:space="preserve">is warranted </w:t>
      </w:r>
      <w:r w:rsidR="000C2439">
        <w:rPr>
          <w:rFonts w:ascii="Times New Roman" w:hAnsi="Times New Roman" w:cs="Times New Roman"/>
          <w:sz w:val="26"/>
          <w:szCs w:val="26"/>
        </w:rPr>
        <w:t>under</w:t>
      </w:r>
      <w:r w:rsidR="00B47C0E">
        <w:rPr>
          <w:rFonts w:ascii="Times New Roman" w:hAnsi="Times New Roman" w:cs="Times New Roman"/>
          <w:sz w:val="26"/>
          <w:szCs w:val="26"/>
        </w:rPr>
        <w:t xml:space="preserve"> the circumstances, </w:t>
      </w:r>
      <w:r w:rsidR="00EF6FE4" w:rsidRPr="00966C5F">
        <w:rPr>
          <w:rFonts w:ascii="Times New Roman" w:hAnsi="Times New Roman" w:cs="Times New Roman"/>
          <w:sz w:val="26"/>
          <w:szCs w:val="26"/>
        </w:rPr>
        <w:t xml:space="preserve">on the condition that </w:t>
      </w:r>
      <w:r w:rsidR="00E00BFB">
        <w:rPr>
          <w:rFonts w:ascii="Times New Roman" w:hAnsi="Times New Roman" w:cs="Times New Roman"/>
          <w:sz w:val="26"/>
          <w:szCs w:val="26"/>
        </w:rPr>
        <w:t>Middlesex</w:t>
      </w:r>
      <w:r w:rsidR="00B47C0E">
        <w:rPr>
          <w:rFonts w:ascii="Times New Roman" w:hAnsi="Times New Roman" w:cs="Times New Roman"/>
          <w:sz w:val="26"/>
          <w:szCs w:val="26"/>
        </w:rPr>
        <w:t>, the c</w:t>
      </w:r>
      <w:r w:rsidR="00EF6FE4" w:rsidRPr="00966C5F">
        <w:rPr>
          <w:rFonts w:ascii="Times New Roman" w:hAnsi="Times New Roman" w:cs="Times New Roman"/>
          <w:sz w:val="26"/>
          <w:szCs w:val="26"/>
        </w:rPr>
        <w:t xml:space="preserve">ompany which wholly owns Twin Lakes, be directed to escrow funds in the amount of $1,675,000, to offset the costs of replacing and remediating the existing infrastructure, which was left to deteriorate from the time Twin Lakes was acquired by </w:t>
      </w:r>
      <w:r w:rsidR="00E00BFB" w:rsidRPr="00966C5F">
        <w:rPr>
          <w:rFonts w:ascii="Times New Roman" w:hAnsi="Times New Roman" w:cs="Times New Roman"/>
          <w:sz w:val="26"/>
          <w:szCs w:val="26"/>
        </w:rPr>
        <w:t>Middlesex</w:t>
      </w:r>
      <w:r w:rsidR="00B15AB3">
        <w:rPr>
          <w:rFonts w:ascii="Times New Roman" w:hAnsi="Times New Roman" w:cs="Times New Roman"/>
          <w:sz w:val="26"/>
          <w:szCs w:val="26"/>
        </w:rPr>
        <w:t xml:space="preserve"> </w:t>
      </w:r>
      <w:r w:rsidR="00E00BFB">
        <w:rPr>
          <w:rFonts w:ascii="Times New Roman" w:hAnsi="Times New Roman" w:cs="Times New Roman"/>
          <w:sz w:val="26"/>
          <w:szCs w:val="26"/>
        </w:rPr>
        <w:t>by Commission approval in 2008.</w:t>
      </w:r>
      <w:bookmarkEnd w:id="0"/>
      <w:r w:rsidR="00B15AB3">
        <w:rPr>
          <w:rFonts w:ascii="Times New Roman" w:hAnsi="Times New Roman" w:cs="Times New Roman"/>
          <w:sz w:val="26"/>
          <w:szCs w:val="26"/>
        </w:rPr>
        <w:t xml:space="preserve"> </w:t>
      </w:r>
    </w:p>
    <w:p w14:paraId="38F1DABA" w14:textId="77777777" w:rsidR="009D4CC2" w:rsidRDefault="009D4CC2" w:rsidP="00A927B3">
      <w:pPr>
        <w:spacing w:after="0" w:line="360" w:lineRule="auto"/>
        <w:ind w:firstLine="1440"/>
        <w:rPr>
          <w:rFonts w:ascii="Times New Roman" w:hAnsi="Times New Roman" w:cs="Times New Roman"/>
          <w:sz w:val="26"/>
          <w:szCs w:val="26"/>
        </w:rPr>
      </w:pPr>
    </w:p>
    <w:p w14:paraId="288D24D2" w14:textId="096408F9" w:rsidR="00B513F9" w:rsidRPr="00F054D1" w:rsidRDefault="00B513F9" w:rsidP="007273B8">
      <w:pPr>
        <w:pStyle w:val="Heading1"/>
      </w:pPr>
      <w:bookmarkStart w:id="1" w:name="_Toc87265451"/>
      <w:r w:rsidRPr="00F054D1">
        <w:t>Background</w:t>
      </w:r>
      <w:bookmarkEnd w:id="1"/>
    </w:p>
    <w:p w14:paraId="49CA54E5" w14:textId="51D1BB74" w:rsidR="00B513F9" w:rsidRDefault="00B513F9" w:rsidP="00A927B3">
      <w:pPr>
        <w:spacing w:after="0" w:line="360" w:lineRule="auto"/>
        <w:jc w:val="center"/>
        <w:rPr>
          <w:rFonts w:ascii="Times New Roman" w:hAnsi="Times New Roman" w:cs="Times New Roman"/>
          <w:b/>
          <w:bCs/>
          <w:sz w:val="26"/>
          <w:szCs w:val="26"/>
        </w:rPr>
      </w:pPr>
    </w:p>
    <w:p w14:paraId="5B80EBDF" w14:textId="3849455C" w:rsidR="00057CDA" w:rsidRPr="00057CDA" w:rsidRDefault="00057CDA" w:rsidP="00A927B3">
      <w:pPr>
        <w:spacing w:after="0" w:line="360" w:lineRule="auto"/>
        <w:ind w:firstLine="1440"/>
        <w:textAlignment w:val="baseline"/>
        <w:rPr>
          <w:rFonts w:ascii="Times New Roman" w:eastAsia="Times New Roman" w:hAnsi="Times New Roman" w:cs="Times New Roman"/>
          <w:color w:val="000000"/>
          <w:sz w:val="26"/>
          <w:szCs w:val="26"/>
        </w:rPr>
      </w:pPr>
      <w:r w:rsidRPr="00057CDA">
        <w:rPr>
          <w:rFonts w:ascii="Times New Roman" w:eastAsia="Times New Roman" w:hAnsi="Times New Roman" w:cs="Times New Roman"/>
          <w:sz w:val="26"/>
          <w:szCs w:val="26"/>
        </w:rPr>
        <w:t>Twin Lakes is a public utility corporation that provides water service to 113</w:t>
      </w:r>
      <w:r w:rsidR="009F30AA">
        <w:rPr>
          <w:rFonts w:ascii="Times New Roman" w:eastAsia="Times New Roman" w:hAnsi="Times New Roman" w:cs="Times New Roman"/>
          <w:sz w:val="26"/>
          <w:szCs w:val="26"/>
        </w:rPr>
        <w:t> </w:t>
      </w:r>
      <w:r w:rsidRPr="00057CDA">
        <w:rPr>
          <w:rFonts w:ascii="Times New Roman" w:eastAsia="Times New Roman" w:hAnsi="Times New Roman" w:cs="Times New Roman"/>
          <w:sz w:val="26"/>
          <w:szCs w:val="26"/>
        </w:rPr>
        <w:t xml:space="preserve">residential customers in the Sagamore Estates community located in Shohola Township, Pike County, Pennsylvania.  Twin Lakes’ Petition at 1.  Twin Lakes is a wholly owned subsidiary of Middlesex, a New Jersey Corporation.  </w:t>
      </w:r>
      <w:r w:rsidR="008C3E71">
        <w:rPr>
          <w:rFonts w:ascii="Times New Roman" w:eastAsia="Times New Roman" w:hAnsi="Times New Roman" w:cs="Times New Roman"/>
          <w:sz w:val="26"/>
          <w:szCs w:val="26"/>
        </w:rPr>
        <w:t xml:space="preserve">Twin Lakes asserts that </w:t>
      </w:r>
      <w:r w:rsidRPr="00057CDA">
        <w:rPr>
          <w:rFonts w:ascii="Times New Roman" w:eastAsia="Times New Roman" w:hAnsi="Times New Roman" w:cs="Times New Roman"/>
          <w:color w:val="000000"/>
          <w:sz w:val="26"/>
          <w:szCs w:val="26"/>
        </w:rPr>
        <w:t xml:space="preserve">Middlesex is Twin Lakes’ only source of financial and operational support.  </w:t>
      </w:r>
      <w:r w:rsidRPr="00057CDA">
        <w:rPr>
          <w:rFonts w:ascii="Times New Roman" w:eastAsia="Times New Roman" w:hAnsi="Times New Roman" w:cs="Times New Roman"/>
          <w:i/>
          <w:iCs/>
          <w:sz w:val="26"/>
          <w:szCs w:val="26"/>
        </w:rPr>
        <w:t>Id</w:t>
      </w:r>
      <w:r w:rsidRPr="00057CDA">
        <w:rPr>
          <w:rFonts w:ascii="Times New Roman" w:eastAsia="Times New Roman" w:hAnsi="Times New Roman" w:cs="Times New Roman"/>
          <w:sz w:val="26"/>
          <w:szCs w:val="26"/>
        </w:rPr>
        <w:t>. at 2.</w:t>
      </w:r>
    </w:p>
    <w:p w14:paraId="7BE5B89A" w14:textId="77777777"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p>
    <w:p w14:paraId="36E7F00B" w14:textId="02B114B1"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r w:rsidRPr="00057CDA">
        <w:rPr>
          <w:rFonts w:ascii="Times New Roman" w:eastAsia="Times New Roman" w:hAnsi="Times New Roman" w:cs="Times New Roman"/>
          <w:color w:val="000000"/>
          <w:sz w:val="26"/>
          <w:szCs w:val="26"/>
        </w:rPr>
        <w:t>Middlesex has extended financial credit to Twin Lakes through three promissory notes which provided Middlesex the right to demand payment from Twin Lakes for the total amount due plus interest.  Twin Lakes Exh. 1, Appendices D and G.</w:t>
      </w:r>
      <w:r w:rsidR="003220B4">
        <w:rPr>
          <w:rFonts w:ascii="Times New Roman" w:eastAsia="Times New Roman" w:hAnsi="Times New Roman" w:cs="Times New Roman"/>
          <w:color w:val="000000"/>
          <w:sz w:val="26"/>
          <w:szCs w:val="26"/>
        </w:rPr>
        <w:t xml:space="preserve"> </w:t>
      </w:r>
      <w:r w:rsidRPr="00057CDA">
        <w:rPr>
          <w:rFonts w:ascii="Times New Roman" w:eastAsia="Times New Roman" w:hAnsi="Times New Roman" w:cs="Times New Roman"/>
          <w:color w:val="000000"/>
          <w:sz w:val="26"/>
          <w:szCs w:val="26"/>
        </w:rPr>
        <w:t xml:space="preserve"> Middlesex provides operational support to Twin Lakes through a Service Agreement between Middlesex and Twin Lakes dated December 1, 2009</w:t>
      </w:r>
      <w:r w:rsidR="00944BCB">
        <w:rPr>
          <w:rFonts w:ascii="Times New Roman" w:eastAsia="Times New Roman" w:hAnsi="Times New Roman" w:cs="Times New Roman"/>
          <w:color w:val="000000"/>
          <w:sz w:val="26"/>
          <w:szCs w:val="26"/>
        </w:rPr>
        <w:t xml:space="preserve"> (Service Agreement)</w:t>
      </w:r>
      <w:r w:rsidRPr="00057CDA">
        <w:rPr>
          <w:rFonts w:ascii="Times New Roman" w:eastAsia="Times New Roman" w:hAnsi="Times New Roman" w:cs="Times New Roman"/>
          <w:color w:val="000000"/>
          <w:sz w:val="26"/>
          <w:szCs w:val="26"/>
        </w:rPr>
        <w:t xml:space="preserve">.  Twin Lakes Exh. 1, Appendix E.  The Company’s system is comprised of </w:t>
      </w:r>
      <w:r w:rsidR="009D4CC2">
        <w:rPr>
          <w:rFonts w:ascii="Times New Roman" w:eastAsia="Times New Roman" w:hAnsi="Times New Roman" w:cs="Times New Roman"/>
          <w:color w:val="000000"/>
          <w:sz w:val="26"/>
          <w:szCs w:val="26"/>
        </w:rPr>
        <w:t xml:space="preserve">two wells: </w:t>
      </w:r>
      <w:r w:rsidR="00325100">
        <w:rPr>
          <w:rFonts w:ascii="Times New Roman" w:eastAsia="Times New Roman" w:hAnsi="Times New Roman" w:cs="Times New Roman"/>
          <w:color w:val="000000"/>
          <w:sz w:val="26"/>
          <w:szCs w:val="26"/>
        </w:rPr>
        <w:t xml:space="preserve"> </w:t>
      </w:r>
      <w:r w:rsidR="009D4CC2">
        <w:rPr>
          <w:rFonts w:ascii="Times New Roman" w:eastAsia="Times New Roman" w:hAnsi="Times New Roman" w:cs="Times New Roman"/>
          <w:color w:val="000000"/>
          <w:sz w:val="26"/>
          <w:szCs w:val="26"/>
        </w:rPr>
        <w:t xml:space="preserve">(1) </w:t>
      </w:r>
      <w:r w:rsidR="00135F12" w:rsidRPr="00057CDA">
        <w:rPr>
          <w:rFonts w:ascii="Times New Roman" w:eastAsia="Times New Roman" w:hAnsi="Times New Roman" w:cs="Times New Roman"/>
          <w:color w:val="000000"/>
          <w:sz w:val="26"/>
          <w:szCs w:val="26"/>
        </w:rPr>
        <w:t>Well No. 1, which is inoperable</w:t>
      </w:r>
      <w:r w:rsidR="00135F12">
        <w:rPr>
          <w:rFonts w:ascii="Times New Roman" w:eastAsia="Times New Roman" w:hAnsi="Times New Roman" w:cs="Times New Roman"/>
          <w:color w:val="000000"/>
          <w:sz w:val="26"/>
          <w:szCs w:val="26"/>
        </w:rPr>
        <w:t>; and (2)</w:t>
      </w:r>
      <w:r w:rsidR="00135F12" w:rsidRPr="00057CDA">
        <w:rPr>
          <w:rFonts w:ascii="Times New Roman" w:eastAsia="Times New Roman" w:hAnsi="Times New Roman" w:cs="Times New Roman"/>
          <w:color w:val="000000"/>
          <w:sz w:val="26"/>
          <w:szCs w:val="26"/>
        </w:rPr>
        <w:t xml:space="preserve"> </w:t>
      </w:r>
      <w:r w:rsidRPr="00057CDA">
        <w:rPr>
          <w:rFonts w:ascii="Times New Roman" w:eastAsia="Times New Roman" w:hAnsi="Times New Roman" w:cs="Times New Roman"/>
          <w:color w:val="000000"/>
          <w:sz w:val="26"/>
          <w:szCs w:val="26"/>
        </w:rPr>
        <w:t xml:space="preserve">Well No. 2, </w:t>
      </w:r>
      <w:r w:rsidR="00135F12">
        <w:rPr>
          <w:rFonts w:ascii="Times New Roman" w:eastAsia="Times New Roman" w:hAnsi="Times New Roman" w:cs="Times New Roman"/>
          <w:color w:val="000000"/>
          <w:sz w:val="26"/>
          <w:szCs w:val="26"/>
        </w:rPr>
        <w:t xml:space="preserve">which </w:t>
      </w:r>
      <w:r w:rsidR="00CE0594">
        <w:rPr>
          <w:rFonts w:ascii="Times New Roman" w:eastAsia="Times New Roman" w:hAnsi="Times New Roman" w:cs="Times New Roman"/>
          <w:color w:val="000000"/>
          <w:sz w:val="26"/>
          <w:szCs w:val="26"/>
        </w:rPr>
        <w:t>is the system’s</w:t>
      </w:r>
      <w:r w:rsidRPr="00057CDA">
        <w:rPr>
          <w:rFonts w:ascii="Times New Roman" w:eastAsia="Times New Roman" w:hAnsi="Times New Roman" w:cs="Times New Roman"/>
          <w:color w:val="000000"/>
          <w:sz w:val="26"/>
          <w:szCs w:val="26"/>
        </w:rPr>
        <w:t xml:space="preserve"> only working well</w:t>
      </w:r>
      <w:r w:rsidR="00C82CB0">
        <w:rPr>
          <w:rFonts w:ascii="Times New Roman" w:eastAsia="Times New Roman" w:hAnsi="Times New Roman" w:cs="Times New Roman"/>
          <w:color w:val="000000"/>
          <w:sz w:val="26"/>
          <w:szCs w:val="26"/>
        </w:rPr>
        <w:t>, and is at risk of collapse due to over pumping</w:t>
      </w:r>
      <w:r w:rsidR="00CE0594">
        <w:rPr>
          <w:rFonts w:ascii="Times New Roman" w:eastAsia="Times New Roman" w:hAnsi="Times New Roman" w:cs="Times New Roman"/>
          <w:color w:val="000000"/>
          <w:sz w:val="26"/>
          <w:szCs w:val="26"/>
        </w:rPr>
        <w:t xml:space="preserve">. </w:t>
      </w:r>
      <w:r w:rsidRPr="00057CDA">
        <w:rPr>
          <w:rFonts w:ascii="Times New Roman" w:eastAsia="Times New Roman" w:hAnsi="Times New Roman" w:cs="Times New Roman"/>
          <w:color w:val="000000"/>
          <w:sz w:val="26"/>
          <w:szCs w:val="26"/>
        </w:rPr>
        <w:t xml:space="preserve"> OCA Exhs. 6 and 7.  Twin Lakes also suffers from significant unaccounted for water (UFW) levels </w:t>
      </w:r>
      <w:r w:rsidR="00CE0594">
        <w:rPr>
          <w:rFonts w:ascii="Times New Roman" w:eastAsia="Times New Roman" w:hAnsi="Times New Roman" w:cs="Times New Roman"/>
          <w:color w:val="000000"/>
          <w:sz w:val="26"/>
          <w:szCs w:val="26"/>
        </w:rPr>
        <w:t>which ha</w:t>
      </w:r>
      <w:r w:rsidR="00E34479">
        <w:rPr>
          <w:rFonts w:ascii="Times New Roman" w:eastAsia="Times New Roman" w:hAnsi="Times New Roman" w:cs="Times New Roman"/>
          <w:color w:val="000000"/>
          <w:sz w:val="26"/>
          <w:szCs w:val="26"/>
        </w:rPr>
        <w:t>ve</w:t>
      </w:r>
      <w:r w:rsidR="00CE0594">
        <w:rPr>
          <w:rFonts w:ascii="Times New Roman" w:eastAsia="Times New Roman" w:hAnsi="Times New Roman" w:cs="Times New Roman"/>
          <w:color w:val="000000"/>
          <w:sz w:val="26"/>
          <w:szCs w:val="26"/>
        </w:rPr>
        <w:t xml:space="preserve"> </w:t>
      </w:r>
      <w:r w:rsidR="008206F0">
        <w:rPr>
          <w:rFonts w:ascii="Times New Roman" w:eastAsia="Times New Roman" w:hAnsi="Times New Roman" w:cs="Times New Roman"/>
          <w:color w:val="000000"/>
          <w:sz w:val="26"/>
          <w:szCs w:val="26"/>
        </w:rPr>
        <w:t>risen to</w:t>
      </w:r>
      <w:r w:rsidRPr="00057CDA">
        <w:rPr>
          <w:rFonts w:ascii="Times New Roman" w:eastAsia="Times New Roman" w:hAnsi="Times New Roman" w:cs="Times New Roman"/>
          <w:color w:val="000000"/>
          <w:sz w:val="26"/>
          <w:szCs w:val="26"/>
        </w:rPr>
        <w:t xml:space="preserve"> as high as 86% in recent years.  </w:t>
      </w:r>
      <w:r w:rsidRPr="00057CDA">
        <w:rPr>
          <w:rFonts w:ascii="Times New Roman" w:eastAsia="Times New Roman" w:hAnsi="Times New Roman" w:cs="Times New Roman"/>
          <w:i/>
          <w:iCs/>
          <w:color w:val="000000"/>
          <w:sz w:val="26"/>
          <w:szCs w:val="26"/>
        </w:rPr>
        <w:t>Pa. PUC v. Twin Lakes Utilities, Inc.</w:t>
      </w:r>
      <w:r w:rsidRPr="00057CDA">
        <w:rPr>
          <w:rFonts w:ascii="Times New Roman" w:eastAsia="Times New Roman" w:hAnsi="Times New Roman" w:cs="Times New Roman"/>
          <w:color w:val="000000"/>
          <w:sz w:val="26"/>
          <w:szCs w:val="26"/>
        </w:rPr>
        <w:t>, Docket No. R</w:t>
      </w:r>
      <w:r w:rsidR="009F30AA">
        <w:rPr>
          <w:rFonts w:ascii="Times New Roman" w:eastAsia="Times New Roman" w:hAnsi="Times New Roman" w:cs="Times New Roman"/>
          <w:color w:val="000000"/>
          <w:sz w:val="26"/>
          <w:szCs w:val="26"/>
        </w:rPr>
        <w:noBreakHyphen/>
      </w:r>
      <w:r w:rsidRPr="00057CDA">
        <w:rPr>
          <w:rFonts w:ascii="Times New Roman" w:eastAsia="Times New Roman" w:hAnsi="Times New Roman" w:cs="Times New Roman"/>
          <w:color w:val="000000"/>
          <w:sz w:val="26"/>
          <w:szCs w:val="26"/>
        </w:rPr>
        <w:t>2019</w:t>
      </w:r>
      <w:r w:rsidR="009F30AA">
        <w:rPr>
          <w:rFonts w:ascii="Times New Roman" w:eastAsia="Times New Roman" w:hAnsi="Times New Roman" w:cs="Times New Roman"/>
          <w:color w:val="000000"/>
          <w:sz w:val="26"/>
          <w:szCs w:val="26"/>
        </w:rPr>
        <w:noBreakHyphen/>
      </w:r>
      <w:r w:rsidRPr="00057CDA">
        <w:rPr>
          <w:rFonts w:ascii="Times New Roman" w:eastAsia="Times New Roman" w:hAnsi="Times New Roman" w:cs="Times New Roman"/>
          <w:color w:val="000000"/>
          <w:sz w:val="26"/>
          <w:szCs w:val="26"/>
        </w:rPr>
        <w:t>3010958 (Order entered March 26, 2020) (</w:t>
      </w:r>
      <w:r w:rsidRPr="00057CDA">
        <w:rPr>
          <w:rFonts w:ascii="Times New Roman" w:eastAsia="Times New Roman" w:hAnsi="Times New Roman" w:cs="Times New Roman"/>
          <w:i/>
          <w:iCs/>
          <w:color w:val="000000"/>
          <w:sz w:val="26"/>
          <w:szCs w:val="26"/>
        </w:rPr>
        <w:t>2020 Rate Case Order</w:t>
      </w:r>
      <w:r w:rsidRPr="00057CDA">
        <w:rPr>
          <w:rFonts w:ascii="Times New Roman" w:eastAsia="Times New Roman" w:hAnsi="Times New Roman" w:cs="Times New Roman"/>
          <w:color w:val="000000"/>
          <w:sz w:val="26"/>
          <w:szCs w:val="26"/>
        </w:rPr>
        <w:t>) at 65; OCA</w:t>
      </w:r>
      <w:r w:rsidR="00C66701">
        <w:rPr>
          <w:rFonts w:ascii="Times New Roman" w:eastAsia="Times New Roman" w:hAnsi="Times New Roman" w:cs="Times New Roman"/>
          <w:color w:val="000000"/>
          <w:sz w:val="26"/>
          <w:szCs w:val="26"/>
        </w:rPr>
        <w:t> </w:t>
      </w:r>
      <w:proofErr w:type="spellStart"/>
      <w:r w:rsidRPr="00057CDA">
        <w:rPr>
          <w:rFonts w:ascii="Times New Roman" w:eastAsia="Times New Roman" w:hAnsi="Times New Roman" w:cs="Times New Roman"/>
          <w:color w:val="000000"/>
          <w:sz w:val="26"/>
          <w:szCs w:val="26"/>
        </w:rPr>
        <w:t>Exhs</w:t>
      </w:r>
      <w:proofErr w:type="spellEnd"/>
      <w:r w:rsidRPr="00057CDA">
        <w:rPr>
          <w:rFonts w:ascii="Times New Roman" w:eastAsia="Times New Roman" w:hAnsi="Times New Roman" w:cs="Times New Roman"/>
          <w:color w:val="000000"/>
          <w:sz w:val="26"/>
          <w:szCs w:val="26"/>
        </w:rPr>
        <w:t xml:space="preserve">. 6 and 7.  </w:t>
      </w:r>
    </w:p>
    <w:p w14:paraId="7AF0B8D3" w14:textId="77777777"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p>
    <w:p w14:paraId="7FEF66E4" w14:textId="2727E40E"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r w:rsidRPr="00057CDA">
        <w:rPr>
          <w:rFonts w:ascii="Times New Roman" w:eastAsia="Times New Roman" w:hAnsi="Times New Roman" w:cs="Times New Roman"/>
          <w:color w:val="000000"/>
          <w:sz w:val="26"/>
          <w:szCs w:val="26"/>
        </w:rPr>
        <w:t xml:space="preserve">Since 2011, Twin Lakes has requested and received rate increases three times, and in the 2011 and 2015 cases, the rate increases were tied to specific </w:t>
      </w:r>
      <w:r w:rsidRPr="00057CDA">
        <w:rPr>
          <w:rFonts w:ascii="Times New Roman" w:eastAsia="Times New Roman" w:hAnsi="Times New Roman" w:cs="Times New Roman"/>
          <w:color w:val="000000"/>
          <w:sz w:val="26"/>
          <w:szCs w:val="26"/>
        </w:rPr>
        <w:lastRenderedPageBreak/>
        <w:t xml:space="preserve">improvements to its facilities.  On June 10, 2011, Twin Lakes filed a request to increase revenues by $124,420, or 368%.  The Commission approved a settlement which provided for increased revenues of $42,060, or 124%, starting with an increase of $21,060, followed by two additional increases phased in over the next two years.  In exchange, Twin Lakes was required to reduce UFW from 55% to 49.5% within </w:t>
      </w:r>
      <w:r w:rsidR="00DA28A3">
        <w:rPr>
          <w:rFonts w:ascii="Times New Roman" w:eastAsia="Times New Roman" w:hAnsi="Times New Roman" w:cs="Times New Roman"/>
          <w:color w:val="000000"/>
          <w:sz w:val="26"/>
          <w:szCs w:val="26"/>
        </w:rPr>
        <w:t xml:space="preserve">eighteen </w:t>
      </w:r>
      <w:r w:rsidRPr="00057CDA">
        <w:rPr>
          <w:rFonts w:ascii="Times New Roman" w:eastAsia="Times New Roman" w:hAnsi="Times New Roman" w:cs="Times New Roman"/>
          <w:color w:val="000000"/>
          <w:sz w:val="26"/>
          <w:szCs w:val="26"/>
        </w:rPr>
        <w:t xml:space="preserve">months; conduct an annual pressure survey as required by Commission Regulations, and provide an annual bill insert to describe how it would notify its customers about boil water advisories or other emergency situations.  </w:t>
      </w:r>
      <w:r w:rsidRPr="00057CDA">
        <w:rPr>
          <w:rFonts w:ascii="Times New Roman" w:eastAsia="Times New Roman" w:hAnsi="Times New Roman" w:cs="Times New Roman"/>
          <w:i/>
          <w:iCs/>
          <w:color w:val="000000"/>
          <w:sz w:val="26"/>
          <w:szCs w:val="26"/>
        </w:rPr>
        <w:t>Pa. PUC v. Twin Lakes Utilities, Inc.</w:t>
      </w:r>
      <w:r w:rsidRPr="00057CDA">
        <w:rPr>
          <w:rFonts w:ascii="Times New Roman" w:eastAsia="Times New Roman" w:hAnsi="Times New Roman" w:cs="Times New Roman"/>
          <w:color w:val="000000"/>
          <w:sz w:val="26"/>
          <w:szCs w:val="26"/>
        </w:rPr>
        <w:t>, Docket No. R</w:t>
      </w:r>
      <w:r w:rsidRPr="00057CDA">
        <w:rPr>
          <w:rFonts w:ascii="Times New Roman" w:eastAsia="Times New Roman" w:hAnsi="Times New Roman" w:cs="Times New Roman"/>
          <w:color w:val="000000"/>
          <w:sz w:val="26"/>
          <w:szCs w:val="26"/>
        </w:rPr>
        <w:noBreakHyphen/>
        <w:t>2011</w:t>
      </w:r>
      <w:r w:rsidRPr="00057CDA">
        <w:rPr>
          <w:rFonts w:ascii="Times New Roman" w:eastAsia="Times New Roman" w:hAnsi="Times New Roman" w:cs="Times New Roman"/>
          <w:color w:val="000000"/>
          <w:sz w:val="26"/>
          <w:szCs w:val="26"/>
        </w:rPr>
        <w:noBreakHyphen/>
        <w:t xml:space="preserve">2246415 (Recommended Decision issued January 26, 2012; Final Order entered March 1, 2012) at 18-23. </w:t>
      </w:r>
    </w:p>
    <w:p w14:paraId="1E4B3CEE" w14:textId="77777777"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p>
    <w:p w14:paraId="476D32EE" w14:textId="4064AF3F"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r w:rsidRPr="00057CDA">
        <w:rPr>
          <w:rFonts w:ascii="Times New Roman" w:eastAsia="Times New Roman" w:hAnsi="Times New Roman" w:cs="Times New Roman"/>
          <w:color w:val="000000"/>
          <w:sz w:val="26"/>
          <w:szCs w:val="26"/>
        </w:rPr>
        <w:t xml:space="preserve">On November 16, 2015, Twin Lakes filed a rate increase request asking for additional revenues of $195,287, or 257%.  Thereafter, the Commission approved a settlement for an increase in revenues of $125,000, or a 164.54% increase over three years, including an immediate 82% increase ($62,500) along with two subsequent increases based on specific improvements being made to trigger </w:t>
      </w:r>
      <w:r w:rsidR="00742441">
        <w:rPr>
          <w:rFonts w:ascii="Times New Roman" w:eastAsia="Times New Roman" w:hAnsi="Times New Roman" w:cs="Times New Roman"/>
          <w:color w:val="000000"/>
          <w:sz w:val="26"/>
          <w:szCs w:val="26"/>
        </w:rPr>
        <w:t>P</w:t>
      </w:r>
      <w:r w:rsidRPr="00057CDA">
        <w:rPr>
          <w:rFonts w:ascii="Times New Roman" w:eastAsia="Times New Roman" w:hAnsi="Times New Roman" w:cs="Times New Roman"/>
          <w:color w:val="000000"/>
          <w:sz w:val="26"/>
          <w:szCs w:val="26"/>
        </w:rPr>
        <w:t xml:space="preserve">hases 2 and 3.  Pursuant to the Settlement, Twin Lakes was required, </w:t>
      </w:r>
      <w:r w:rsidRPr="00057CDA">
        <w:rPr>
          <w:rFonts w:ascii="Times New Roman" w:eastAsia="Times New Roman" w:hAnsi="Times New Roman" w:cs="Times New Roman"/>
          <w:i/>
          <w:color w:val="000000"/>
          <w:sz w:val="26"/>
          <w:szCs w:val="26"/>
        </w:rPr>
        <w:t>inter alia</w:t>
      </w:r>
      <w:r w:rsidRPr="00057CDA">
        <w:rPr>
          <w:rFonts w:ascii="Times New Roman" w:eastAsia="Times New Roman" w:hAnsi="Times New Roman" w:cs="Times New Roman"/>
          <w:color w:val="000000"/>
          <w:sz w:val="26"/>
          <w:szCs w:val="26"/>
        </w:rPr>
        <w:t xml:space="preserve">, to replace Well No. 1 to trigger the second phase of the rate increase (additional 25%); install and/or replace various mains in the distribution system to trigger the third phase of the rate increase (additional 25%), and send outage alert billing inserts two times per year, and pressure readings protocol for customers complaining about low pressure, as well as a commitment to increase pressure by a certain amount when it replaced Well No. 1.  </w:t>
      </w:r>
      <w:r w:rsidRPr="00057CDA">
        <w:rPr>
          <w:rFonts w:ascii="Times New Roman" w:eastAsia="Times New Roman" w:hAnsi="Times New Roman" w:cs="Times New Roman"/>
          <w:i/>
          <w:iCs/>
          <w:color w:val="000000"/>
          <w:sz w:val="26"/>
          <w:szCs w:val="26"/>
        </w:rPr>
        <w:t>Pa. PUC v. Twin Lakes Utilities, Inc.</w:t>
      </w:r>
      <w:r w:rsidRPr="00057CDA">
        <w:rPr>
          <w:rFonts w:ascii="Times New Roman" w:eastAsia="Times New Roman" w:hAnsi="Times New Roman" w:cs="Times New Roman"/>
          <w:color w:val="000000"/>
          <w:sz w:val="26"/>
          <w:szCs w:val="26"/>
        </w:rPr>
        <w:t>, Docket No. R-2015-2506337 (Recommended Decision issued May 5, 2016; Final Order entered June 9, 2016) at 17-22.</w:t>
      </w:r>
    </w:p>
    <w:p w14:paraId="43479E57" w14:textId="77777777" w:rsidR="00057CDA" w:rsidRPr="00057CDA" w:rsidRDefault="00057CDA" w:rsidP="00057CDA">
      <w:pPr>
        <w:spacing w:after="0" w:line="360" w:lineRule="auto"/>
        <w:ind w:firstLine="720"/>
        <w:textAlignment w:val="baseline"/>
        <w:rPr>
          <w:rFonts w:ascii="Times New Roman" w:eastAsia="Times New Roman" w:hAnsi="Times New Roman" w:cs="Times New Roman"/>
          <w:color w:val="000000"/>
          <w:sz w:val="26"/>
          <w:szCs w:val="26"/>
        </w:rPr>
      </w:pPr>
    </w:p>
    <w:p w14:paraId="2D924D31" w14:textId="0D0F9D9B" w:rsidR="00057CDA" w:rsidRPr="00057CDA" w:rsidRDefault="00057CDA" w:rsidP="00057CDA">
      <w:pPr>
        <w:spacing w:after="0" w:line="360" w:lineRule="auto"/>
        <w:ind w:firstLine="1440"/>
        <w:textAlignment w:val="baseline"/>
        <w:rPr>
          <w:rFonts w:ascii="Times New Roman" w:eastAsia="Times New Roman" w:hAnsi="Times New Roman" w:cs="Times New Roman"/>
          <w:sz w:val="26"/>
          <w:szCs w:val="26"/>
        </w:rPr>
      </w:pPr>
      <w:r w:rsidRPr="00057CDA">
        <w:rPr>
          <w:rFonts w:ascii="Times New Roman" w:eastAsia="Times New Roman" w:hAnsi="Times New Roman" w:cs="Times New Roman"/>
          <w:color w:val="000000"/>
          <w:sz w:val="26"/>
          <w:szCs w:val="26"/>
        </w:rPr>
        <w:t xml:space="preserve">On July 23, 2019, Twin Lakes filed its most recent rate increase request with the Commission.  In the </w:t>
      </w:r>
      <w:r w:rsidRPr="00057CDA">
        <w:rPr>
          <w:rFonts w:ascii="Times New Roman" w:eastAsia="Times New Roman" w:hAnsi="Times New Roman" w:cs="Times New Roman"/>
          <w:i/>
          <w:iCs/>
          <w:color w:val="000000"/>
          <w:sz w:val="26"/>
          <w:szCs w:val="26"/>
        </w:rPr>
        <w:t>2020 Rate Case Order</w:t>
      </w:r>
      <w:r w:rsidRPr="00057CDA">
        <w:rPr>
          <w:rFonts w:ascii="Times New Roman" w:eastAsia="Times New Roman" w:hAnsi="Times New Roman" w:cs="Times New Roman"/>
          <w:color w:val="000000"/>
          <w:sz w:val="26"/>
          <w:szCs w:val="26"/>
        </w:rPr>
        <w:t xml:space="preserve">, the Commission approved an annual increase of $117,374 (88%) as opposed to the initially requested amount of $211,793 (158.63%).  However, we noted </w:t>
      </w:r>
      <w:r w:rsidRPr="00057CDA">
        <w:rPr>
          <w:rFonts w:ascii="Times New Roman" w:eastAsia="Times New Roman" w:hAnsi="Times New Roman" w:cs="Times New Roman"/>
          <w:sz w:val="26"/>
          <w:szCs w:val="26"/>
        </w:rPr>
        <w:t xml:space="preserve">our serious concern regarding the evidence of record </w:t>
      </w:r>
      <w:r w:rsidRPr="00057CDA">
        <w:rPr>
          <w:rFonts w:ascii="Times New Roman" w:eastAsia="Times New Roman" w:hAnsi="Times New Roman" w:cs="Times New Roman"/>
          <w:sz w:val="26"/>
          <w:szCs w:val="26"/>
        </w:rPr>
        <w:lastRenderedPageBreak/>
        <w:t xml:space="preserve">revealing the poor and worsening condition of the system operated by Twin Lakes, citing the undisputed record that the system’s Well No. 1 is collapsed and non-usable and Well No. 2’s operational viability is at risk due to the stress on it caused by </w:t>
      </w:r>
      <w:r w:rsidR="00742441">
        <w:rPr>
          <w:rFonts w:ascii="Times New Roman" w:eastAsia="Times New Roman" w:hAnsi="Times New Roman" w:cs="Times New Roman"/>
          <w:sz w:val="26"/>
          <w:szCs w:val="26"/>
        </w:rPr>
        <w:t xml:space="preserve">the </w:t>
      </w:r>
      <w:r w:rsidRPr="00057CDA">
        <w:rPr>
          <w:rFonts w:ascii="Times New Roman" w:eastAsia="Times New Roman" w:hAnsi="Times New Roman" w:cs="Times New Roman"/>
          <w:sz w:val="26"/>
          <w:szCs w:val="26"/>
        </w:rPr>
        <w:t>over-pumping</w:t>
      </w:r>
      <w:r w:rsidR="00742441">
        <w:rPr>
          <w:rFonts w:ascii="Times New Roman" w:eastAsia="Times New Roman" w:hAnsi="Times New Roman" w:cs="Times New Roman"/>
          <w:sz w:val="26"/>
          <w:szCs w:val="26"/>
        </w:rPr>
        <w:t xml:space="preserve"> of the well</w:t>
      </w:r>
      <w:r w:rsidRPr="00057CDA">
        <w:rPr>
          <w:rFonts w:ascii="Times New Roman" w:eastAsia="Times New Roman" w:hAnsi="Times New Roman" w:cs="Times New Roman"/>
          <w:sz w:val="26"/>
          <w:szCs w:val="26"/>
        </w:rPr>
        <w:t>.  We also acknowledged the UFW levels ranging from 78.7%-82.9% in 2015</w:t>
      </w:r>
      <w:r w:rsidR="00A944B9">
        <w:rPr>
          <w:rFonts w:ascii="Times New Roman" w:eastAsia="Times New Roman" w:hAnsi="Times New Roman" w:cs="Times New Roman"/>
          <w:sz w:val="26"/>
          <w:szCs w:val="26"/>
        </w:rPr>
        <w:noBreakHyphen/>
      </w:r>
      <w:r w:rsidRPr="00057CDA">
        <w:rPr>
          <w:rFonts w:ascii="Times New Roman" w:eastAsia="Times New Roman" w:hAnsi="Times New Roman" w:cs="Times New Roman"/>
          <w:sz w:val="26"/>
          <w:szCs w:val="26"/>
        </w:rPr>
        <w:t xml:space="preserve">2018.  Thus, we cautioned that we fully expected the Company to meet its future service obligations under Section 1501 of the Code.  </w:t>
      </w:r>
      <w:r w:rsidRPr="00057CDA">
        <w:rPr>
          <w:rFonts w:ascii="Times New Roman" w:eastAsia="Times New Roman" w:hAnsi="Times New Roman" w:cs="Times New Roman"/>
          <w:i/>
          <w:iCs/>
          <w:color w:val="000000"/>
          <w:sz w:val="26"/>
          <w:szCs w:val="26"/>
        </w:rPr>
        <w:t xml:space="preserve">2020 Rate Case Order </w:t>
      </w:r>
      <w:r w:rsidRPr="00057CDA">
        <w:rPr>
          <w:rFonts w:ascii="Times New Roman" w:eastAsia="Times New Roman" w:hAnsi="Times New Roman" w:cs="Times New Roman"/>
          <w:color w:val="000000"/>
          <w:sz w:val="26"/>
          <w:szCs w:val="26"/>
        </w:rPr>
        <w:t xml:space="preserve">at 4, 65.  </w:t>
      </w:r>
    </w:p>
    <w:p w14:paraId="60A8259E" w14:textId="77777777" w:rsidR="00057CDA" w:rsidRPr="00057CDA" w:rsidRDefault="00057CDA" w:rsidP="00057CDA">
      <w:pPr>
        <w:spacing w:after="0" w:line="360" w:lineRule="auto"/>
        <w:ind w:firstLine="1440"/>
        <w:rPr>
          <w:rFonts w:ascii="Times New Roman" w:eastAsia="Times New Roman" w:hAnsi="Times New Roman" w:cs="Times New Roman"/>
          <w:sz w:val="26"/>
          <w:szCs w:val="26"/>
        </w:rPr>
      </w:pPr>
    </w:p>
    <w:p w14:paraId="2DB80FEB" w14:textId="77777777" w:rsidR="00057CDA" w:rsidRPr="00057CDA" w:rsidRDefault="00057CDA" w:rsidP="00057CDA">
      <w:pPr>
        <w:spacing w:after="0" w:line="360" w:lineRule="auto"/>
        <w:ind w:firstLine="1440"/>
        <w:rPr>
          <w:rFonts w:ascii="Times New Roman" w:eastAsia="Times New Roman" w:hAnsi="Times New Roman" w:cs="Times New Roman"/>
          <w:color w:val="000000"/>
          <w:sz w:val="26"/>
          <w:szCs w:val="26"/>
        </w:rPr>
      </w:pPr>
      <w:r w:rsidRPr="00057CDA">
        <w:rPr>
          <w:rFonts w:ascii="Times New Roman" w:eastAsia="Times New Roman" w:hAnsi="Times New Roman" w:cs="Times New Roman"/>
          <w:sz w:val="26"/>
          <w:szCs w:val="26"/>
        </w:rPr>
        <w:t xml:space="preserve">At the time, however, we acknowledged that Twin Lakes has taken affirmative steps toward the necessary repairs and improvements to its system.  Therein, we cited to the Company’s application for a PENNVEST loan to help fund system improvements and the development of a $4.8 million, five-year capital improvement plan comprised of projects that Twin Lakes deemed necessary to provide safe, adequate and proper service.  </w:t>
      </w:r>
      <w:r w:rsidRPr="00057CDA">
        <w:rPr>
          <w:rFonts w:ascii="Times New Roman" w:eastAsia="Times New Roman" w:hAnsi="Times New Roman" w:cs="Times New Roman"/>
          <w:i/>
          <w:iCs/>
          <w:sz w:val="26"/>
          <w:szCs w:val="26"/>
        </w:rPr>
        <w:t>Id</w:t>
      </w:r>
      <w:r w:rsidRPr="00057CDA">
        <w:rPr>
          <w:rFonts w:ascii="Times New Roman" w:eastAsia="Times New Roman" w:hAnsi="Times New Roman" w:cs="Times New Roman"/>
          <w:sz w:val="26"/>
          <w:szCs w:val="26"/>
        </w:rPr>
        <w:t xml:space="preserve">. at 65.  </w:t>
      </w:r>
      <w:r w:rsidRPr="00057CDA">
        <w:rPr>
          <w:rFonts w:ascii="Times New Roman" w:eastAsia="Times New Roman" w:hAnsi="Times New Roman" w:cs="Times New Roman"/>
          <w:color w:val="000000"/>
          <w:sz w:val="26"/>
          <w:szCs w:val="26"/>
        </w:rPr>
        <w:t xml:space="preserve">Twin Lakes recently applied for PENNVEST funding and was notified that it was eligible to receive a grant of $4.66 million and a loan amount of $304,573.  According to Twin Lakes, however, an award of a PENNVEST grant could be considered a Contribution in Aid of Construction that is subject to income tax under the Tax Cuts and Jobs Act of 2017.  Thus, a PENNVEST grant of $4.66 million would result in an income tax liability of $1.358 million and would be recoverable from the Company’s customers if Twin Lakes were to accept the funds.  </w:t>
      </w:r>
      <w:r w:rsidRPr="00057CDA">
        <w:rPr>
          <w:rFonts w:ascii="Times New Roman" w:eastAsia="Calibri" w:hAnsi="Times New Roman" w:cs="Times New Roman"/>
          <w:sz w:val="26"/>
          <w:szCs w:val="26"/>
        </w:rPr>
        <w:t xml:space="preserve">Twin Lakes determined it would not accept the PENNVEST grant award due to the high income tax liability it would carry that could be passed onto its customers and the significant remaining investment that would be required for capital improvements not funded by the PENNVEST grant award.  Twin Lakes’ Petition at 7-8.  </w:t>
      </w:r>
      <w:r w:rsidRPr="00057CDA">
        <w:rPr>
          <w:rFonts w:ascii="Times New Roman" w:eastAsia="Times New Roman" w:hAnsi="Times New Roman" w:cs="Times New Roman"/>
          <w:color w:val="000000"/>
          <w:sz w:val="26"/>
          <w:szCs w:val="26"/>
        </w:rPr>
        <w:t>Twin Lakes’ Petition at 7-8; Twin Lakes Exh. 1, Appendix F.</w:t>
      </w:r>
    </w:p>
    <w:p w14:paraId="094764F8" w14:textId="77777777"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p>
    <w:p w14:paraId="12F93339" w14:textId="0003E213" w:rsidR="00057CDA" w:rsidRPr="00057CDA" w:rsidRDefault="00057CDA" w:rsidP="00057CDA">
      <w:pPr>
        <w:spacing w:after="0" w:line="360" w:lineRule="auto"/>
        <w:ind w:firstLine="1440"/>
        <w:rPr>
          <w:rFonts w:ascii="Times New Roman" w:eastAsia="Calibri" w:hAnsi="Times New Roman" w:cs="Times New Roman"/>
          <w:sz w:val="26"/>
          <w:szCs w:val="26"/>
        </w:rPr>
      </w:pPr>
      <w:r w:rsidRPr="00057CDA">
        <w:rPr>
          <w:rFonts w:ascii="Times New Roman" w:eastAsia="Times New Roman" w:hAnsi="Times New Roman" w:cs="Times New Roman"/>
          <w:color w:val="000000"/>
          <w:sz w:val="26"/>
          <w:szCs w:val="26"/>
        </w:rPr>
        <w:t xml:space="preserve">On May 28, 2020, Middlesex demanded payment on the three outstanding promissory notes it holds with Twin Lakes and on May 29, 2020, the Company replied that it was unable to meet Middlesex’s demand.  On June 1, 2020, Middlesex notified Twin Lakes of its intention to terminate the Service Agreement.  Twin Lakes’ Petition </w:t>
      </w:r>
      <w:r w:rsidRPr="00057CDA">
        <w:rPr>
          <w:rFonts w:ascii="Times New Roman" w:eastAsia="Times New Roman" w:hAnsi="Times New Roman" w:cs="Times New Roman"/>
          <w:color w:val="000000"/>
          <w:sz w:val="26"/>
          <w:szCs w:val="26"/>
        </w:rPr>
        <w:lastRenderedPageBreak/>
        <w:t>at 8; Twin Lakes Exh. 1, Appendices G, H</w:t>
      </w:r>
      <w:r w:rsidR="00D25A0A">
        <w:rPr>
          <w:rFonts w:ascii="Times New Roman" w:eastAsia="Times New Roman" w:hAnsi="Times New Roman" w:cs="Times New Roman"/>
          <w:color w:val="000000"/>
          <w:sz w:val="26"/>
          <w:szCs w:val="26"/>
        </w:rPr>
        <w:t>,</w:t>
      </w:r>
      <w:r w:rsidRPr="00057CDA">
        <w:rPr>
          <w:rFonts w:ascii="Times New Roman" w:eastAsia="Times New Roman" w:hAnsi="Times New Roman" w:cs="Times New Roman"/>
          <w:color w:val="000000"/>
          <w:sz w:val="26"/>
          <w:szCs w:val="26"/>
        </w:rPr>
        <w:t xml:space="preserve"> and I.  Thereafter, Twin Lakes provided notice to its customers that Middlesex would no longer provide operational and financial support to the Company, that water service would cease at 12:01 a.m. on September 1, 2020, and that the Company had filed its Petition with the Commission.  OCA Exh. 1.  </w:t>
      </w:r>
      <w:r w:rsidRPr="00057CDA">
        <w:rPr>
          <w:rFonts w:ascii="Times New Roman" w:eastAsia="Calibri" w:hAnsi="Times New Roman" w:cs="Times New Roman"/>
          <w:sz w:val="26"/>
          <w:szCs w:val="26"/>
        </w:rPr>
        <w:t>Twin Lakes indicated that it will not have the ongoing ability to pay its vendors, including its Licensed Operator, and, as such, will not have any possible ways to maintain water quality or to distribute water to its customers.  Twin Lakes stated that it is unable to establish a credit arrangement at a reasonable cost with any financial institution as a stand-alone entity based on the Company’s inability to demonstrate that it has the net income and cash flow to support debt repayment.  Twin Lakes’ Petition at 9.</w:t>
      </w:r>
    </w:p>
    <w:p w14:paraId="7D2EBCDD" w14:textId="77777777" w:rsidR="00057CDA" w:rsidRPr="00057CDA" w:rsidRDefault="00057CDA" w:rsidP="00057CDA">
      <w:pPr>
        <w:spacing w:after="0" w:line="360" w:lineRule="auto"/>
        <w:ind w:firstLine="1440"/>
        <w:textAlignment w:val="baseline"/>
        <w:rPr>
          <w:rFonts w:ascii="Times New Roman" w:eastAsia="Times New Roman" w:hAnsi="Times New Roman" w:cs="Times New Roman"/>
          <w:color w:val="000000"/>
          <w:sz w:val="26"/>
          <w:szCs w:val="26"/>
        </w:rPr>
      </w:pPr>
    </w:p>
    <w:p w14:paraId="05105C1B" w14:textId="11FA10A0" w:rsidR="00057CDA" w:rsidRPr="0040049F" w:rsidRDefault="00057CDA" w:rsidP="0040049F">
      <w:pPr>
        <w:spacing w:after="0" w:line="360" w:lineRule="auto"/>
        <w:ind w:firstLine="1440"/>
        <w:rPr>
          <w:rFonts w:ascii="Times New Roman" w:eastAsia="Times New Roman" w:hAnsi="Times New Roman" w:cs="Times New Roman"/>
          <w:color w:val="000000"/>
          <w:sz w:val="26"/>
          <w:szCs w:val="26"/>
        </w:rPr>
      </w:pPr>
      <w:r w:rsidRPr="00057CDA">
        <w:rPr>
          <w:rFonts w:ascii="Times New Roman" w:eastAsia="Times New Roman" w:hAnsi="Times New Roman" w:cs="Times New Roman"/>
          <w:color w:val="000000"/>
          <w:sz w:val="26"/>
          <w:szCs w:val="26"/>
        </w:rPr>
        <w:t>On July 14, 2020, Twin Lakes issued its R</w:t>
      </w:r>
      <w:r w:rsidR="007C1A32">
        <w:rPr>
          <w:rFonts w:ascii="Times New Roman" w:eastAsia="Times New Roman" w:hAnsi="Times New Roman" w:cs="Times New Roman"/>
          <w:color w:val="000000"/>
          <w:sz w:val="26"/>
          <w:szCs w:val="26"/>
        </w:rPr>
        <w:t xml:space="preserve">equest </w:t>
      </w:r>
      <w:r w:rsidR="007C1A32" w:rsidRPr="00057CDA">
        <w:rPr>
          <w:rFonts w:ascii="Times New Roman" w:eastAsia="Times New Roman" w:hAnsi="Times New Roman" w:cs="Times New Roman"/>
          <w:color w:val="000000"/>
          <w:sz w:val="26"/>
          <w:szCs w:val="26"/>
        </w:rPr>
        <w:t>for</w:t>
      </w:r>
      <w:r w:rsidR="007C1A32">
        <w:rPr>
          <w:rFonts w:ascii="Times New Roman" w:eastAsia="Times New Roman" w:hAnsi="Times New Roman" w:cs="Times New Roman"/>
          <w:color w:val="000000"/>
          <w:sz w:val="26"/>
          <w:szCs w:val="26"/>
        </w:rPr>
        <w:t xml:space="preserve"> </w:t>
      </w:r>
      <w:r w:rsidRPr="00057CDA">
        <w:rPr>
          <w:rFonts w:ascii="Times New Roman" w:eastAsia="Times New Roman" w:hAnsi="Times New Roman" w:cs="Times New Roman"/>
          <w:color w:val="000000"/>
          <w:sz w:val="26"/>
          <w:szCs w:val="26"/>
        </w:rPr>
        <w:t>P</w:t>
      </w:r>
      <w:r w:rsidR="007C1A32">
        <w:rPr>
          <w:rFonts w:ascii="Times New Roman" w:eastAsia="Times New Roman" w:hAnsi="Times New Roman" w:cs="Times New Roman"/>
          <w:color w:val="000000"/>
          <w:sz w:val="26"/>
          <w:szCs w:val="26"/>
        </w:rPr>
        <w:t>roposal</w:t>
      </w:r>
      <w:r w:rsidRPr="00057CDA">
        <w:rPr>
          <w:rFonts w:ascii="Times New Roman" w:eastAsia="Times New Roman" w:hAnsi="Times New Roman" w:cs="Times New Roman"/>
          <w:color w:val="000000"/>
          <w:sz w:val="26"/>
          <w:szCs w:val="26"/>
        </w:rPr>
        <w:t xml:space="preserve"> seeking third parties to operate its system beginning on September 1, 2020.  However, the Company did not receive a viable offer by the response due date of August 14, 2020.  Twin Lakes Exh. 1, Appendix J; Tr. at 95-96</w:t>
      </w:r>
      <w:r w:rsidR="006C7F0D">
        <w:rPr>
          <w:rFonts w:ascii="Times New Roman" w:eastAsia="Times New Roman" w:hAnsi="Times New Roman" w:cs="Times New Roman"/>
          <w:color w:val="000000"/>
          <w:sz w:val="26"/>
          <w:szCs w:val="26"/>
        </w:rPr>
        <w:t>,</w:t>
      </w:r>
      <w:r w:rsidRPr="00057CDA">
        <w:rPr>
          <w:rFonts w:ascii="Times New Roman" w:eastAsia="Times New Roman" w:hAnsi="Times New Roman" w:cs="Times New Roman"/>
          <w:color w:val="000000"/>
          <w:sz w:val="26"/>
          <w:szCs w:val="26"/>
        </w:rPr>
        <w:t xml:space="preserve"> 99-100.  During the hearing on the </w:t>
      </w:r>
      <w:r w:rsidR="0040049F">
        <w:rPr>
          <w:rFonts w:ascii="Times New Roman" w:eastAsia="Times New Roman" w:hAnsi="Times New Roman" w:cs="Times New Roman"/>
          <w:color w:val="000000"/>
          <w:sz w:val="26"/>
          <w:szCs w:val="26"/>
        </w:rPr>
        <w:t xml:space="preserve">OCA’s </w:t>
      </w:r>
      <w:r w:rsidR="00945AA8" w:rsidRPr="00CA7734">
        <w:rPr>
          <w:rFonts w:ascii="Times New Roman" w:eastAsia="Times New Roman" w:hAnsi="Times New Roman" w:cs="Times New Roman"/>
          <w:color w:val="000000"/>
          <w:sz w:val="26"/>
          <w:szCs w:val="26"/>
        </w:rPr>
        <w:t xml:space="preserve">Petition for Issuance of an Interim Emergency Order on an Expedited Basis </w:t>
      </w:r>
      <w:r w:rsidR="00945AA8" w:rsidRPr="0040049F">
        <w:rPr>
          <w:rFonts w:ascii="Times New Roman" w:eastAsia="Times New Roman" w:hAnsi="Times New Roman" w:cs="Times New Roman"/>
          <w:color w:val="000000"/>
          <w:sz w:val="26"/>
          <w:szCs w:val="26"/>
        </w:rPr>
        <w:t>(OCA Petition)</w:t>
      </w:r>
      <w:r w:rsidRPr="0040049F">
        <w:rPr>
          <w:rFonts w:ascii="Times New Roman" w:eastAsia="Times New Roman" w:hAnsi="Times New Roman" w:cs="Times New Roman"/>
          <w:color w:val="000000"/>
          <w:sz w:val="26"/>
          <w:szCs w:val="26"/>
        </w:rPr>
        <w:t>,</w:t>
      </w:r>
      <w:r w:rsidRPr="00057CDA">
        <w:rPr>
          <w:rFonts w:ascii="Times New Roman" w:eastAsia="Times New Roman" w:hAnsi="Times New Roman" w:cs="Times New Roman"/>
          <w:color w:val="000000"/>
          <w:sz w:val="26"/>
          <w:szCs w:val="26"/>
        </w:rPr>
        <w:t xml:space="preserve"> Twin Lakes stated that it will cease providing water service as of 12:01 a.m. on September</w:t>
      </w:r>
      <w:r w:rsidR="00A944B9">
        <w:rPr>
          <w:rFonts w:ascii="Times New Roman" w:eastAsia="Times New Roman" w:hAnsi="Times New Roman" w:cs="Times New Roman"/>
          <w:color w:val="000000"/>
          <w:sz w:val="26"/>
          <w:szCs w:val="26"/>
        </w:rPr>
        <w:t> </w:t>
      </w:r>
      <w:r w:rsidRPr="00057CDA">
        <w:rPr>
          <w:rFonts w:ascii="Times New Roman" w:eastAsia="Times New Roman" w:hAnsi="Times New Roman" w:cs="Times New Roman"/>
          <w:color w:val="000000"/>
          <w:sz w:val="26"/>
          <w:szCs w:val="26"/>
        </w:rPr>
        <w:t>1,</w:t>
      </w:r>
      <w:r w:rsidR="00A944B9">
        <w:rPr>
          <w:rFonts w:ascii="Times New Roman" w:eastAsia="Times New Roman" w:hAnsi="Times New Roman" w:cs="Times New Roman"/>
          <w:color w:val="000000"/>
          <w:sz w:val="26"/>
          <w:szCs w:val="26"/>
        </w:rPr>
        <w:t> </w:t>
      </w:r>
      <w:r w:rsidRPr="00057CDA">
        <w:rPr>
          <w:rFonts w:ascii="Times New Roman" w:eastAsia="Times New Roman" w:hAnsi="Times New Roman" w:cs="Times New Roman"/>
          <w:color w:val="000000"/>
          <w:sz w:val="26"/>
          <w:szCs w:val="26"/>
        </w:rPr>
        <w:t>2020.  Tr. at 102.  As noted above, however, on September 1, 2020, Twin Lakes filed an</w:t>
      </w:r>
      <w:r w:rsidRPr="00057CDA">
        <w:rPr>
          <w:rFonts w:ascii="Times New Roman" w:eastAsia="Times New Roman" w:hAnsi="Times New Roman" w:cs="Times New Roman"/>
          <w:sz w:val="26"/>
          <w:szCs w:val="26"/>
        </w:rPr>
        <w:t xml:space="preserve"> Amended Service Agreement which extend</w:t>
      </w:r>
      <w:r w:rsidR="0062535E">
        <w:rPr>
          <w:rFonts w:ascii="Times New Roman" w:eastAsia="Times New Roman" w:hAnsi="Times New Roman" w:cs="Times New Roman"/>
          <w:sz w:val="26"/>
          <w:szCs w:val="26"/>
        </w:rPr>
        <w:t>ed</w:t>
      </w:r>
      <w:r w:rsidRPr="00057CDA">
        <w:rPr>
          <w:rFonts w:ascii="Times New Roman" w:eastAsia="Times New Roman" w:hAnsi="Times New Roman" w:cs="Times New Roman"/>
          <w:sz w:val="26"/>
          <w:szCs w:val="26"/>
        </w:rPr>
        <w:t xml:space="preserve"> the duration of the original Service Agreement until 12:01 a.m. on October 1, 2020.  Amended Service Agreement Application at 2.</w:t>
      </w:r>
    </w:p>
    <w:p w14:paraId="3DD2C1AA" w14:textId="77777777" w:rsidR="005948F1" w:rsidRDefault="005948F1" w:rsidP="00875D37">
      <w:pPr>
        <w:spacing w:after="0" w:line="360" w:lineRule="auto"/>
        <w:ind w:firstLine="1440"/>
        <w:rPr>
          <w:rFonts w:ascii="Times New Roman" w:hAnsi="Times New Roman" w:cs="Times New Roman"/>
          <w:sz w:val="26"/>
          <w:szCs w:val="26"/>
        </w:rPr>
      </w:pPr>
    </w:p>
    <w:p w14:paraId="5BD54E6C" w14:textId="5F972CE3" w:rsidR="0059381B" w:rsidRDefault="002A1B81" w:rsidP="001612B6">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In recogni</w:t>
      </w:r>
      <w:r w:rsidR="00E70E5B">
        <w:rPr>
          <w:rFonts w:ascii="Times New Roman" w:hAnsi="Times New Roman" w:cs="Times New Roman"/>
          <w:sz w:val="26"/>
          <w:szCs w:val="26"/>
        </w:rPr>
        <w:t xml:space="preserve">tion of </w:t>
      </w:r>
      <w:r>
        <w:rPr>
          <w:rFonts w:ascii="Times New Roman" w:hAnsi="Times New Roman" w:cs="Times New Roman"/>
          <w:sz w:val="26"/>
          <w:szCs w:val="26"/>
        </w:rPr>
        <w:t xml:space="preserve">the </w:t>
      </w:r>
      <w:r w:rsidR="00E70E5B">
        <w:rPr>
          <w:rFonts w:ascii="Times New Roman" w:hAnsi="Times New Roman" w:cs="Times New Roman"/>
          <w:sz w:val="26"/>
          <w:szCs w:val="26"/>
        </w:rPr>
        <w:t>imminent</w:t>
      </w:r>
      <w:r>
        <w:rPr>
          <w:rFonts w:ascii="Times New Roman" w:hAnsi="Times New Roman" w:cs="Times New Roman"/>
          <w:sz w:val="26"/>
          <w:szCs w:val="26"/>
        </w:rPr>
        <w:t xml:space="preserve"> risk to the </w:t>
      </w:r>
      <w:r w:rsidR="00E70E5B">
        <w:rPr>
          <w:rFonts w:ascii="Times New Roman" w:hAnsi="Times New Roman" w:cs="Times New Roman"/>
          <w:sz w:val="26"/>
          <w:szCs w:val="26"/>
        </w:rPr>
        <w:t xml:space="preserve">continued </w:t>
      </w:r>
      <w:r>
        <w:rPr>
          <w:rFonts w:ascii="Times New Roman" w:hAnsi="Times New Roman" w:cs="Times New Roman"/>
          <w:sz w:val="26"/>
          <w:szCs w:val="26"/>
        </w:rPr>
        <w:t xml:space="preserve">provision of water service </w:t>
      </w:r>
      <w:r w:rsidR="00E70E5B">
        <w:rPr>
          <w:rFonts w:ascii="Times New Roman" w:hAnsi="Times New Roman" w:cs="Times New Roman"/>
          <w:sz w:val="26"/>
          <w:szCs w:val="26"/>
        </w:rPr>
        <w:t>to Twin Lakes’ customers, b</w:t>
      </w:r>
      <w:r w:rsidR="005948F1">
        <w:rPr>
          <w:rFonts w:ascii="Times New Roman" w:hAnsi="Times New Roman" w:cs="Times New Roman"/>
          <w:sz w:val="26"/>
          <w:szCs w:val="26"/>
        </w:rPr>
        <w:t xml:space="preserve">y our </w:t>
      </w:r>
      <w:r w:rsidR="006E1C2D">
        <w:rPr>
          <w:rFonts w:ascii="Times New Roman" w:hAnsi="Times New Roman" w:cs="Times New Roman"/>
          <w:sz w:val="26"/>
          <w:szCs w:val="26"/>
        </w:rPr>
        <w:t xml:space="preserve">Order entered on </w:t>
      </w:r>
      <w:r w:rsidR="005948F1">
        <w:rPr>
          <w:rFonts w:ascii="Times New Roman" w:hAnsi="Times New Roman" w:cs="Times New Roman"/>
          <w:sz w:val="26"/>
          <w:szCs w:val="26"/>
        </w:rPr>
        <w:t>September 17, 2020</w:t>
      </w:r>
      <w:r w:rsidR="006A1044">
        <w:rPr>
          <w:rFonts w:ascii="Times New Roman" w:hAnsi="Times New Roman" w:cs="Times New Roman"/>
          <w:sz w:val="26"/>
          <w:szCs w:val="26"/>
        </w:rPr>
        <w:t>,</w:t>
      </w:r>
      <w:r w:rsidR="005948F1">
        <w:rPr>
          <w:rFonts w:ascii="Times New Roman" w:hAnsi="Times New Roman" w:cs="Times New Roman"/>
          <w:sz w:val="26"/>
          <w:szCs w:val="26"/>
        </w:rPr>
        <w:t xml:space="preserve"> in this </w:t>
      </w:r>
      <w:r w:rsidR="00E80E0B">
        <w:rPr>
          <w:rFonts w:ascii="Times New Roman" w:hAnsi="Times New Roman" w:cs="Times New Roman"/>
          <w:sz w:val="26"/>
          <w:szCs w:val="26"/>
        </w:rPr>
        <w:t>proceeding</w:t>
      </w:r>
      <w:r w:rsidR="006E1C2D">
        <w:rPr>
          <w:rFonts w:ascii="Times New Roman" w:hAnsi="Times New Roman" w:cs="Times New Roman"/>
          <w:sz w:val="26"/>
          <w:szCs w:val="26"/>
        </w:rPr>
        <w:t xml:space="preserve"> (</w:t>
      </w:r>
      <w:r w:rsidR="006E1C2D" w:rsidRPr="003F7F6B">
        <w:rPr>
          <w:rFonts w:ascii="Times New Roman" w:hAnsi="Times New Roman" w:cs="Times New Roman"/>
          <w:i/>
          <w:iCs/>
          <w:sz w:val="26"/>
          <w:szCs w:val="26"/>
        </w:rPr>
        <w:t xml:space="preserve">September </w:t>
      </w:r>
      <w:r w:rsidR="001A4EAB" w:rsidRPr="003F7F6B">
        <w:rPr>
          <w:rFonts w:ascii="Times New Roman" w:hAnsi="Times New Roman" w:cs="Times New Roman"/>
          <w:i/>
          <w:iCs/>
          <w:sz w:val="26"/>
          <w:szCs w:val="26"/>
        </w:rPr>
        <w:t>17 Order</w:t>
      </w:r>
      <w:r w:rsidR="001A4EAB">
        <w:rPr>
          <w:rFonts w:ascii="Times New Roman" w:hAnsi="Times New Roman" w:cs="Times New Roman"/>
          <w:sz w:val="26"/>
          <w:szCs w:val="26"/>
        </w:rPr>
        <w:t>)</w:t>
      </w:r>
      <w:r w:rsidR="00E80E0B">
        <w:rPr>
          <w:rFonts w:ascii="Times New Roman" w:hAnsi="Times New Roman" w:cs="Times New Roman"/>
          <w:sz w:val="26"/>
          <w:szCs w:val="26"/>
        </w:rPr>
        <w:t xml:space="preserve">, we directed that the </w:t>
      </w:r>
      <w:r w:rsidR="00950FAA">
        <w:rPr>
          <w:rFonts w:ascii="Times New Roman" w:hAnsi="Times New Roman" w:cs="Times New Roman"/>
          <w:sz w:val="26"/>
          <w:szCs w:val="26"/>
        </w:rPr>
        <w:t>P</w:t>
      </w:r>
      <w:r w:rsidR="00E80E0B">
        <w:rPr>
          <w:rFonts w:ascii="Times New Roman" w:hAnsi="Times New Roman" w:cs="Times New Roman"/>
          <w:sz w:val="26"/>
          <w:szCs w:val="26"/>
        </w:rPr>
        <w:t xml:space="preserve">arties proceed with a Section 529 Investigation </w:t>
      </w:r>
      <w:r w:rsidR="00BC0196">
        <w:rPr>
          <w:rFonts w:ascii="Times New Roman" w:hAnsi="Times New Roman" w:cs="Times New Roman"/>
          <w:sz w:val="26"/>
          <w:szCs w:val="26"/>
        </w:rPr>
        <w:t xml:space="preserve">into </w:t>
      </w:r>
      <w:r w:rsidR="00E80E0B">
        <w:rPr>
          <w:rFonts w:ascii="Times New Roman" w:hAnsi="Times New Roman" w:cs="Times New Roman"/>
          <w:sz w:val="26"/>
          <w:szCs w:val="26"/>
        </w:rPr>
        <w:t>whether</w:t>
      </w:r>
      <w:r w:rsidR="00950FAA">
        <w:rPr>
          <w:rFonts w:ascii="Times New Roman" w:hAnsi="Times New Roman" w:cs="Times New Roman"/>
          <w:sz w:val="26"/>
          <w:szCs w:val="26"/>
        </w:rPr>
        <w:t xml:space="preserve">, under </w:t>
      </w:r>
      <w:r w:rsidR="00E80E0B">
        <w:rPr>
          <w:rFonts w:ascii="Times New Roman" w:hAnsi="Times New Roman" w:cs="Times New Roman"/>
          <w:sz w:val="26"/>
          <w:szCs w:val="26"/>
        </w:rPr>
        <w:t>the circumstances</w:t>
      </w:r>
      <w:r w:rsidR="005B79F4">
        <w:rPr>
          <w:rFonts w:ascii="Times New Roman" w:hAnsi="Times New Roman" w:cs="Times New Roman"/>
          <w:sz w:val="26"/>
          <w:szCs w:val="26"/>
        </w:rPr>
        <w:t>,</w:t>
      </w:r>
      <w:r w:rsidR="00E80E0B">
        <w:rPr>
          <w:rFonts w:ascii="Times New Roman" w:hAnsi="Times New Roman" w:cs="Times New Roman"/>
          <w:sz w:val="26"/>
          <w:szCs w:val="26"/>
        </w:rPr>
        <w:t xml:space="preserve"> the </w:t>
      </w:r>
      <w:r w:rsidR="00916E2A">
        <w:rPr>
          <w:rFonts w:ascii="Times New Roman" w:hAnsi="Times New Roman" w:cs="Times New Roman"/>
          <w:sz w:val="26"/>
          <w:szCs w:val="26"/>
        </w:rPr>
        <w:t xml:space="preserve">Commission should authorize the acquisition of Twin Lakes by a capable public utility.  </w:t>
      </w:r>
      <w:r w:rsidR="003F6768" w:rsidRPr="006D3E39">
        <w:rPr>
          <w:rFonts w:ascii="Times New Roman" w:hAnsi="Times New Roman" w:cs="Times New Roman"/>
          <w:i/>
          <w:iCs/>
          <w:sz w:val="26"/>
          <w:szCs w:val="26"/>
        </w:rPr>
        <w:t>September 17 Order</w:t>
      </w:r>
      <w:r w:rsidR="003F6768">
        <w:rPr>
          <w:rFonts w:ascii="Times New Roman" w:hAnsi="Times New Roman" w:cs="Times New Roman"/>
          <w:sz w:val="26"/>
          <w:szCs w:val="26"/>
        </w:rPr>
        <w:t xml:space="preserve"> at 22.  </w:t>
      </w:r>
      <w:r w:rsidR="001B0203">
        <w:rPr>
          <w:rFonts w:ascii="Times New Roman" w:hAnsi="Times New Roman" w:cs="Times New Roman"/>
          <w:sz w:val="26"/>
          <w:szCs w:val="26"/>
        </w:rPr>
        <w:t xml:space="preserve">Further by our Order </w:t>
      </w:r>
      <w:r w:rsidR="00917E87">
        <w:rPr>
          <w:rFonts w:ascii="Times New Roman" w:hAnsi="Times New Roman" w:cs="Times New Roman"/>
          <w:sz w:val="26"/>
          <w:szCs w:val="26"/>
        </w:rPr>
        <w:t>e</w:t>
      </w:r>
      <w:r w:rsidR="001B0203">
        <w:rPr>
          <w:rFonts w:ascii="Times New Roman" w:hAnsi="Times New Roman" w:cs="Times New Roman"/>
          <w:sz w:val="26"/>
          <w:szCs w:val="26"/>
        </w:rPr>
        <w:t xml:space="preserve">ntered </w:t>
      </w:r>
      <w:r w:rsidR="001612B6">
        <w:rPr>
          <w:rFonts w:ascii="Times New Roman" w:hAnsi="Times New Roman" w:cs="Times New Roman"/>
          <w:sz w:val="26"/>
          <w:szCs w:val="26"/>
        </w:rPr>
        <w:t>September 2</w:t>
      </w:r>
      <w:r w:rsidR="0057072A">
        <w:rPr>
          <w:rFonts w:ascii="Times New Roman" w:hAnsi="Times New Roman" w:cs="Times New Roman"/>
          <w:sz w:val="26"/>
          <w:szCs w:val="26"/>
        </w:rPr>
        <w:t>2</w:t>
      </w:r>
      <w:r w:rsidR="001612B6">
        <w:rPr>
          <w:rFonts w:ascii="Times New Roman" w:hAnsi="Times New Roman" w:cs="Times New Roman"/>
          <w:sz w:val="26"/>
          <w:szCs w:val="26"/>
        </w:rPr>
        <w:t xml:space="preserve">, 2020, </w:t>
      </w:r>
      <w:r w:rsidR="001A4EAB">
        <w:rPr>
          <w:rFonts w:ascii="Times New Roman" w:hAnsi="Times New Roman" w:cs="Times New Roman"/>
          <w:sz w:val="26"/>
          <w:szCs w:val="26"/>
        </w:rPr>
        <w:t>at this Docket</w:t>
      </w:r>
      <w:r w:rsidR="004B6804">
        <w:rPr>
          <w:rFonts w:ascii="Times New Roman" w:hAnsi="Times New Roman" w:cs="Times New Roman"/>
          <w:sz w:val="26"/>
          <w:szCs w:val="26"/>
        </w:rPr>
        <w:t xml:space="preserve"> (</w:t>
      </w:r>
      <w:r w:rsidR="004B6804" w:rsidRPr="006D3E39">
        <w:rPr>
          <w:rFonts w:ascii="Times New Roman" w:hAnsi="Times New Roman" w:cs="Times New Roman"/>
          <w:i/>
          <w:iCs/>
          <w:sz w:val="26"/>
          <w:szCs w:val="26"/>
        </w:rPr>
        <w:t>September 22 Order</w:t>
      </w:r>
      <w:r w:rsidR="004B6804">
        <w:rPr>
          <w:rFonts w:ascii="Times New Roman" w:hAnsi="Times New Roman" w:cs="Times New Roman"/>
          <w:sz w:val="26"/>
          <w:szCs w:val="26"/>
        </w:rPr>
        <w:t xml:space="preserve">), </w:t>
      </w:r>
      <w:r w:rsidR="001612B6">
        <w:rPr>
          <w:rFonts w:ascii="Times New Roman" w:hAnsi="Times New Roman" w:cs="Times New Roman"/>
          <w:sz w:val="26"/>
          <w:szCs w:val="26"/>
        </w:rPr>
        <w:t xml:space="preserve">we directed that Aqua conduct its due diligence whether it should </w:t>
      </w:r>
      <w:r w:rsidR="00411DDD">
        <w:rPr>
          <w:rFonts w:ascii="Times New Roman" w:hAnsi="Times New Roman" w:cs="Times New Roman"/>
          <w:sz w:val="26"/>
          <w:szCs w:val="26"/>
        </w:rPr>
        <w:t xml:space="preserve">be appointed to act as </w:t>
      </w:r>
      <w:r w:rsidR="00411DDD">
        <w:rPr>
          <w:rFonts w:ascii="Times New Roman" w:hAnsi="Times New Roman" w:cs="Times New Roman"/>
          <w:sz w:val="26"/>
          <w:szCs w:val="26"/>
        </w:rPr>
        <w:lastRenderedPageBreak/>
        <w:t>receiver during the pendency of the Section 529 proceeding.</w:t>
      </w:r>
      <w:r w:rsidR="00DC3D5B">
        <w:rPr>
          <w:rFonts w:ascii="Times New Roman" w:hAnsi="Times New Roman" w:cs="Times New Roman"/>
          <w:sz w:val="26"/>
          <w:szCs w:val="26"/>
        </w:rPr>
        <w:t xml:space="preserve">  </w:t>
      </w:r>
      <w:r w:rsidR="00DC3D5B" w:rsidRPr="006D3E39">
        <w:rPr>
          <w:rFonts w:ascii="Times New Roman" w:hAnsi="Times New Roman" w:cs="Times New Roman"/>
          <w:i/>
          <w:iCs/>
          <w:sz w:val="26"/>
          <w:szCs w:val="26"/>
        </w:rPr>
        <w:t>September 2</w:t>
      </w:r>
      <w:r w:rsidR="0057072A" w:rsidRPr="006D3E39">
        <w:rPr>
          <w:rFonts w:ascii="Times New Roman" w:hAnsi="Times New Roman" w:cs="Times New Roman"/>
          <w:i/>
          <w:iCs/>
          <w:sz w:val="26"/>
          <w:szCs w:val="26"/>
        </w:rPr>
        <w:t>2</w:t>
      </w:r>
      <w:r w:rsidR="00DC3D5B" w:rsidRPr="006D3E39">
        <w:rPr>
          <w:rFonts w:ascii="Times New Roman" w:hAnsi="Times New Roman" w:cs="Times New Roman"/>
          <w:i/>
          <w:iCs/>
          <w:sz w:val="26"/>
          <w:szCs w:val="26"/>
        </w:rPr>
        <w:t xml:space="preserve"> Order</w:t>
      </w:r>
      <w:r w:rsidR="00DC3D5B">
        <w:rPr>
          <w:rFonts w:ascii="Times New Roman" w:hAnsi="Times New Roman" w:cs="Times New Roman"/>
          <w:sz w:val="26"/>
          <w:szCs w:val="26"/>
        </w:rPr>
        <w:t xml:space="preserve"> </w:t>
      </w:r>
      <w:r w:rsidR="00DC3D5B" w:rsidRPr="00444B58">
        <w:rPr>
          <w:rFonts w:ascii="Times New Roman" w:hAnsi="Times New Roman" w:cs="Times New Roman"/>
          <w:sz w:val="26"/>
          <w:szCs w:val="26"/>
        </w:rPr>
        <w:t xml:space="preserve">at </w:t>
      </w:r>
      <w:r w:rsidR="00444B58" w:rsidRPr="00444B58">
        <w:rPr>
          <w:rFonts w:ascii="Times New Roman" w:hAnsi="Times New Roman" w:cs="Times New Roman"/>
          <w:sz w:val="26"/>
          <w:szCs w:val="26"/>
        </w:rPr>
        <w:t>43</w:t>
      </w:r>
      <w:r w:rsidR="00DC3D5B" w:rsidRPr="00444B58">
        <w:rPr>
          <w:rFonts w:ascii="Times New Roman" w:hAnsi="Times New Roman" w:cs="Times New Roman"/>
          <w:sz w:val="26"/>
          <w:szCs w:val="26"/>
        </w:rPr>
        <w:t>.</w:t>
      </w:r>
      <w:r w:rsidR="00411DDD">
        <w:rPr>
          <w:rFonts w:ascii="Times New Roman" w:hAnsi="Times New Roman" w:cs="Times New Roman"/>
          <w:sz w:val="26"/>
          <w:szCs w:val="26"/>
        </w:rPr>
        <w:t xml:space="preserve"> </w:t>
      </w:r>
      <w:r w:rsidR="00A71167">
        <w:rPr>
          <w:rFonts w:ascii="Times New Roman" w:hAnsi="Times New Roman" w:cs="Times New Roman"/>
          <w:sz w:val="26"/>
          <w:szCs w:val="26"/>
        </w:rPr>
        <w:t xml:space="preserve"> </w:t>
      </w:r>
      <w:r w:rsidR="00CA489E">
        <w:rPr>
          <w:rFonts w:ascii="Times New Roman" w:hAnsi="Times New Roman" w:cs="Times New Roman"/>
          <w:sz w:val="26"/>
          <w:szCs w:val="26"/>
        </w:rPr>
        <w:t xml:space="preserve">Ultimately, </w:t>
      </w:r>
      <w:r w:rsidR="0054680D">
        <w:rPr>
          <w:rFonts w:ascii="Times New Roman" w:hAnsi="Times New Roman" w:cs="Times New Roman"/>
          <w:sz w:val="26"/>
          <w:szCs w:val="26"/>
        </w:rPr>
        <w:t>by o</w:t>
      </w:r>
      <w:r w:rsidR="000501B1">
        <w:rPr>
          <w:rFonts w:ascii="Times New Roman" w:hAnsi="Times New Roman" w:cs="Times New Roman"/>
          <w:sz w:val="26"/>
          <w:szCs w:val="26"/>
        </w:rPr>
        <w:t>u</w:t>
      </w:r>
      <w:r w:rsidR="0054680D">
        <w:rPr>
          <w:rFonts w:ascii="Times New Roman" w:hAnsi="Times New Roman" w:cs="Times New Roman"/>
          <w:sz w:val="26"/>
          <w:szCs w:val="26"/>
        </w:rPr>
        <w:t xml:space="preserve">r Order entered </w:t>
      </w:r>
      <w:r w:rsidR="00BC49B6">
        <w:rPr>
          <w:rFonts w:ascii="Times New Roman" w:hAnsi="Times New Roman" w:cs="Times New Roman"/>
          <w:sz w:val="26"/>
          <w:szCs w:val="26"/>
        </w:rPr>
        <w:t xml:space="preserve">January 14, 2021, </w:t>
      </w:r>
      <w:r w:rsidR="0054680D">
        <w:rPr>
          <w:rFonts w:ascii="Times New Roman" w:hAnsi="Times New Roman" w:cs="Times New Roman"/>
          <w:sz w:val="26"/>
          <w:szCs w:val="26"/>
        </w:rPr>
        <w:t xml:space="preserve">we approved Aqua’s agreement to voluntarily assume </w:t>
      </w:r>
      <w:r w:rsidR="00E6540C">
        <w:rPr>
          <w:rFonts w:ascii="Times New Roman" w:hAnsi="Times New Roman" w:cs="Times New Roman"/>
          <w:sz w:val="26"/>
          <w:szCs w:val="26"/>
        </w:rPr>
        <w:t>the duties of re</w:t>
      </w:r>
      <w:r w:rsidR="00EB3DC3">
        <w:rPr>
          <w:rFonts w:ascii="Times New Roman" w:hAnsi="Times New Roman" w:cs="Times New Roman"/>
          <w:sz w:val="26"/>
          <w:szCs w:val="26"/>
        </w:rPr>
        <w:t>c</w:t>
      </w:r>
      <w:r w:rsidR="00E6540C">
        <w:rPr>
          <w:rFonts w:ascii="Times New Roman" w:hAnsi="Times New Roman" w:cs="Times New Roman"/>
          <w:sz w:val="26"/>
          <w:szCs w:val="26"/>
        </w:rPr>
        <w:t xml:space="preserve">eiver </w:t>
      </w:r>
      <w:r w:rsidR="00EB3DC3">
        <w:rPr>
          <w:rFonts w:ascii="Times New Roman" w:hAnsi="Times New Roman" w:cs="Times New Roman"/>
          <w:sz w:val="26"/>
          <w:szCs w:val="26"/>
        </w:rPr>
        <w:t>of the water systems o</w:t>
      </w:r>
      <w:r w:rsidR="005526AC">
        <w:rPr>
          <w:rFonts w:ascii="Times New Roman" w:hAnsi="Times New Roman" w:cs="Times New Roman"/>
          <w:sz w:val="26"/>
          <w:szCs w:val="26"/>
        </w:rPr>
        <w:t xml:space="preserve">perated </w:t>
      </w:r>
      <w:r w:rsidR="00EB3DC3">
        <w:rPr>
          <w:rFonts w:ascii="Times New Roman" w:hAnsi="Times New Roman" w:cs="Times New Roman"/>
          <w:sz w:val="26"/>
          <w:szCs w:val="26"/>
        </w:rPr>
        <w:t xml:space="preserve">by Twin </w:t>
      </w:r>
      <w:r w:rsidR="005526AC">
        <w:rPr>
          <w:rFonts w:ascii="Times New Roman" w:hAnsi="Times New Roman" w:cs="Times New Roman"/>
          <w:sz w:val="26"/>
          <w:szCs w:val="26"/>
        </w:rPr>
        <w:t xml:space="preserve">Lakes </w:t>
      </w:r>
      <w:r w:rsidR="00E6540C">
        <w:rPr>
          <w:rFonts w:ascii="Times New Roman" w:hAnsi="Times New Roman" w:cs="Times New Roman"/>
          <w:sz w:val="26"/>
          <w:szCs w:val="26"/>
        </w:rPr>
        <w:t xml:space="preserve">and appointed Aqua </w:t>
      </w:r>
      <w:r w:rsidR="00F36861">
        <w:rPr>
          <w:rFonts w:ascii="Times New Roman" w:hAnsi="Times New Roman" w:cs="Times New Roman"/>
          <w:sz w:val="26"/>
          <w:szCs w:val="26"/>
        </w:rPr>
        <w:t>to act in the capacity of the receiver during the pendency of the Section 529 proceeding.</w:t>
      </w:r>
    </w:p>
    <w:p w14:paraId="198F3528" w14:textId="77777777" w:rsidR="00D578B0" w:rsidRDefault="00D578B0" w:rsidP="007A41FA">
      <w:pPr>
        <w:spacing w:after="0" w:line="360" w:lineRule="auto"/>
        <w:ind w:firstLine="1440"/>
        <w:rPr>
          <w:rFonts w:ascii="Times New Roman" w:hAnsi="Times New Roman" w:cs="Times New Roman"/>
          <w:sz w:val="26"/>
          <w:szCs w:val="26"/>
        </w:rPr>
      </w:pPr>
    </w:p>
    <w:p w14:paraId="7BBB0E4A" w14:textId="5FE95F76" w:rsidR="00C65E9F" w:rsidRDefault="006A749C" w:rsidP="00875D37">
      <w:pPr>
        <w:spacing w:after="0" w:line="360" w:lineRule="auto"/>
        <w:ind w:firstLine="1440"/>
        <w:rPr>
          <w:rFonts w:ascii="Times New Roman" w:hAnsi="Times New Roman" w:cs="Times New Roman"/>
          <w:sz w:val="26"/>
          <w:szCs w:val="26"/>
        </w:rPr>
      </w:pPr>
      <w:r w:rsidRPr="00966C5F">
        <w:rPr>
          <w:rFonts w:ascii="Times New Roman" w:hAnsi="Times New Roman" w:cs="Times New Roman"/>
          <w:sz w:val="26"/>
          <w:szCs w:val="26"/>
        </w:rPr>
        <w:t>The</w:t>
      </w:r>
      <w:r w:rsidR="00AB7889" w:rsidRPr="00966C5F">
        <w:rPr>
          <w:rFonts w:ascii="Times New Roman" w:hAnsi="Times New Roman" w:cs="Times New Roman"/>
          <w:sz w:val="26"/>
          <w:szCs w:val="26"/>
        </w:rPr>
        <w:t xml:space="preserve"> ALJ </w:t>
      </w:r>
      <w:r w:rsidR="00046A7E" w:rsidRPr="00966C5F">
        <w:rPr>
          <w:rFonts w:ascii="Times New Roman" w:hAnsi="Times New Roman" w:cs="Times New Roman"/>
          <w:sz w:val="26"/>
          <w:szCs w:val="26"/>
        </w:rPr>
        <w:t>recommend</w:t>
      </w:r>
      <w:r w:rsidR="00870E6D">
        <w:rPr>
          <w:rFonts w:ascii="Times New Roman" w:hAnsi="Times New Roman" w:cs="Times New Roman"/>
          <w:sz w:val="26"/>
          <w:szCs w:val="26"/>
        </w:rPr>
        <w:t>ed</w:t>
      </w:r>
      <w:r w:rsidR="00046A7E" w:rsidRPr="00966C5F">
        <w:rPr>
          <w:rFonts w:ascii="Times New Roman" w:hAnsi="Times New Roman" w:cs="Times New Roman"/>
          <w:sz w:val="26"/>
          <w:szCs w:val="26"/>
        </w:rPr>
        <w:t xml:space="preserve"> approval of </w:t>
      </w:r>
      <w:r w:rsidR="00870E6D">
        <w:rPr>
          <w:rFonts w:ascii="Times New Roman" w:hAnsi="Times New Roman" w:cs="Times New Roman"/>
          <w:sz w:val="26"/>
          <w:szCs w:val="26"/>
        </w:rPr>
        <w:t xml:space="preserve">the </w:t>
      </w:r>
      <w:r w:rsidR="00046A7E" w:rsidRPr="00966C5F">
        <w:rPr>
          <w:rFonts w:ascii="Times New Roman" w:hAnsi="Times New Roman" w:cs="Times New Roman"/>
          <w:sz w:val="26"/>
          <w:szCs w:val="26"/>
        </w:rPr>
        <w:t xml:space="preserve">acquisition of Twin Lakes by Aqua on the condition that </w:t>
      </w:r>
      <w:r w:rsidR="00C83802">
        <w:rPr>
          <w:rFonts w:ascii="Times New Roman" w:hAnsi="Times New Roman" w:cs="Times New Roman"/>
          <w:sz w:val="26"/>
          <w:szCs w:val="26"/>
        </w:rPr>
        <w:t>Middlesex</w:t>
      </w:r>
      <w:r w:rsidR="00C34BBD">
        <w:rPr>
          <w:rFonts w:ascii="Times New Roman" w:hAnsi="Times New Roman" w:cs="Times New Roman"/>
          <w:sz w:val="26"/>
          <w:szCs w:val="26"/>
        </w:rPr>
        <w:t xml:space="preserve">, </w:t>
      </w:r>
      <w:r w:rsidR="005270AB" w:rsidRPr="00966C5F">
        <w:rPr>
          <w:rFonts w:ascii="Times New Roman" w:hAnsi="Times New Roman" w:cs="Times New Roman"/>
          <w:sz w:val="26"/>
          <w:szCs w:val="26"/>
        </w:rPr>
        <w:t xml:space="preserve">which wholly owns Twin Lakes, </w:t>
      </w:r>
      <w:r w:rsidR="00932CEE" w:rsidRPr="00966C5F">
        <w:rPr>
          <w:rFonts w:ascii="Times New Roman" w:hAnsi="Times New Roman" w:cs="Times New Roman"/>
          <w:sz w:val="26"/>
          <w:szCs w:val="26"/>
        </w:rPr>
        <w:t xml:space="preserve">be directed to escrow </w:t>
      </w:r>
      <w:r w:rsidR="007944A2" w:rsidRPr="00966C5F">
        <w:rPr>
          <w:rFonts w:ascii="Times New Roman" w:hAnsi="Times New Roman" w:cs="Times New Roman"/>
          <w:sz w:val="26"/>
          <w:szCs w:val="26"/>
        </w:rPr>
        <w:t xml:space="preserve">funds </w:t>
      </w:r>
      <w:r w:rsidR="00C65E9F" w:rsidRPr="00966C5F">
        <w:rPr>
          <w:rFonts w:ascii="Times New Roman" w:hAnsi="Times New Roman" w:cs="Times New Roman"/>
          <w:sz w:val="26"/>
          <w:szCs w:val="26"/>
        </w:rPr>
        <w:t>in the amount of $</w:t>
      </w:r>
      <w:r w:rsidR="0012105F" w:rsidRPr="00966C5F">
        <w:rPr>
          <w:rFonts w:ascii="Times New Roman" w:hAnsi="Times New Roman" w:cs="Times New Roman"/>
          <w:sz w:val="26"/>
          <w:szCs w:val="26"/>
        </w:rPr>
        <w:t xml:space="preserve">1,675,000, </w:t>
      </w:r>
      <w:r w:rsidR="007944A2" w:rsidRPr="00966C5F">
        <w:rPr>
          <w:rFonts w:ascii="Times New Roman" w:hAnsi="Times New Roman" w:cs="Times New Roman"/>
          <w:sz w:val="26"/>
          <w:szCs w:val="26"/>
        </w:rPr>
        <w:t xml:space="preserve">to </w:t>
      </w:r>
      <w:r w:rsidR="00540841" w:rsidRPr="00966C5F">
        <w:rPr>
          <w:rFonts w:ascii="Times New Roman" w:hAnsi="Times New Roman" w:cs="Times New Roman"/>
          <w:sz w:val="26"/>
          <w:szCs w:val="26"/>
        </w:rPr>
        <w:t xml:space="preserve">offset </w:t>
      </w:r>
      <w:r w:rsidR="00112DEE" w:rsidRPr="00966C5F">
        <w:rPr>
          <w:rFonts w:ascii="Times New Roman" w:hAnsi="Times New Roman" w:cs="Times New Roman"/>
          <w:sz w:val="26"/>
          <w:szCs w:val="26"/>
        </w:rPr>
        <w:t>the costs</w:t>
      </w:r>
      <w:r w:rsidR="00540841" w:rsidRPr="00966C5F">
        <w:rPr>
          <w:rFonts w:ascii="Times New Roman" w:hAnsi="Times New Roman" w:cs="Times New Roman"/>
          <w:sz w:val="26"/>
          <w:szCs w:val="26"/>
        </w:rPr>
        <w:t xml:space="preserve"> of replacing and remediating the existing infrastructure, which </w:t>
      </w:r>
      <w:r w:rsidR="00D1012B" w:rsidRPr="00966C5F">
        <w:rPr>
          <w:rFonts w:ascii="Times New Roman" w:hAnsi="Times New Roman" w:cs="Times New Roman"/>
          <w:sz w:val="26"/>
          <w:szCs w:val="26"/>
        </w:rPr>
        <w:t>was left to deter</w:t>
      </w:r>
      <w:r w:rsidR="001C4D4C" w:rsidRPr="00966C5F">
        <w:rPr>
          <w:rFonts w:ascii="Times New Roman" w:hAnsi="Times New Roman" w:cs="Times New Roman"/>
          <w:sz w:val="26"/>
          <w:szCs w:val="26"/>
        </w:rPr>
        <w:t xml:space="preserve">iorate from the time Twin </w:t>
      </w:r>
      <w:r w:rsidR="00C81849" w:rsidRPr="00966C5F">
        <w:rPr>
          <w:rFonts w:ascii="Times New Roman" w:hAnsi="Times New Roman" w:cs="Times New Roman"/>
          <w:sz w:val="26"/>
          <w:szCs w:val="26"/>
        </w:rPr>
        <w:t>L</w:t>
      </w:r>
      <w:r w:rsidR="001C4D4C" w:rsidRPr="00966C5F">
        <w:rPr>
          <w:rFonts w:ascii="Times New Roman" w:hAnsi="Times New Roman" w:cs="Times New Roman"/>
          <w:sz w:val="26"/>
          <w:szCs w:val="26"/>
        </w:rPr>
        <w:t xml:space="preserve">akes was acquired by </w:t>
      </w:r>
      <w:r w:rsidR="00063D27" w:rsidRPr="00966C5F">
        <w:rPr>
          <w:rFonts w:ascii="Times New Roman" w:hAnsi="Times New Roman" w:cs="Times New Roman"/>
          <w:sz w:val="26"/>
          <w:szCs w:val="26"/>
        </w:rPr>
        <w:t>Middlesex</w:t>
      </w:r>
      <w:r w:rsidR="001C4D4C" w:rsidRPr="00966C5F">
        <w:rPr>
          <w:rFonts w:ascii="Times New Roman" w:hAnsi="Times New Roman" w:cs="Times New Roman"/>
          <w:sz w:val="26"/>
          <w:szCs w:val="26"/>
        </w:rPr>
        <w:t>.</w:t>
      </w:r>
      <w:r w:rsidR="001C4D4C">
        <w:rPr>
          <w:rFonts w:ascii="Times New Roman" w:hAnsi="Times New Roman" w:cs="Times New Roman"/>
          <w:sz w:val="26"/>
          <w:szCs w:val="26"/>
        </w:rPr>
        <w:t xml:space="preserve"> </w:t>
      </w:r>
    </w:p>
    <w:p w14:paraId="28861E04" w14:textId="3C3A3A7F" w:rsidR="00B3489D" w:rsidRDefault="00B3489D" w:rsidP="00875D37">
      <w:pPr>
        <w:spacing w:after="0" w:line="360" w:lineRule="auto"/>
        <w:ind w:firstLine="1440"/>
        <w:rPr>
          <w:rFonts w:ascii="Times New Roman" w:hAnsi="Times New Roman" w:cs="Times New Roman"/>
          <w:sz w:val="26"/>
          <w:szCs w:val="26"/>
        </w:rPr>
      </w:pPr>
    </w:p>
    <w:p w14:paraId="20E2F913" w14:textId="6B4267CF" w:rsidR="00B3489D" w:rsidRDefault="00B3489D" w:rsidP="00875D37">
      <w:pPr>
        <w:spacing w:after="0" w:line="360" w:lineRule="auto"/>
        <w:ind w:firstLine="1440"/>
        <w:rPr>
          <w:rFonts w:ascii="Times New Roman" w:hAnsi="Times New Roman" w:cs="Times New Roman"/>
          <w:sz w:val="26"/>
          <w:szCs w:val="26"/>
        </w:rPr>
      </w:pPr>
      <w:r w:rsidRPr="00B3489D">
        <w:rPr>
          <w:rFonts w:ascii="Times New Roman" w:hAnsi="Times New Roman" w:cs="Times New Roman"/>
          <w:sz w:val="26"/>
          <w:szCs w:val="26"/>
        </w:rPr>
        <w:t>The matter now remaining before us is whether to adopt the ALJ’s recommendation to approve the acquisition of Twin Lakes by Aqua as a capable public utility pursuant to Section 529 of the Code</w:t>
      </w:r>
      <w:r w:rsidR="00444B58">
        <w:rPr>
          <w:rFonts w:ascii="Times New Roman" w:hAnsi="Times New Roman" w:cs="Times New Roman"/>
          <w:sz w:val="26"/>
          <w:szCs w:val="26"/>
        </w:rPr>
        <w:t>, subject to specif</w:t>
      </w:r>
      <w:r w:rsidR="00B5100C">
        <w:rPr>
          <w:rFonts w:ascii="Times New Roman" w:hAnsi="Times New Roman" w:cs="Times New Roman"/>
          <w:sz w:val="26"/>
          <w:szCs w:val="26"/>
        </w:rPr>
        <w:t>ied conditions.</w:t>
      </w:r>
    </w:p>
    <w:p w14:paraId="7227AF67" w14:textId="77777777" w:rsidR="00B513F9" w:rsidRPr="00F054D1" w:rsidRDefault="00B513F9" w:rsidP="00875D37">
      <w:pPr>
        <w:pStyle w:val="NoSpacing"/>
        <w:tabs>
          <w:tab w:val="clear" w:pos="1440"/>
        </w:tabs>
        <w:spacing w:line="360" w:lineRule="auto"/>
        <w:jc w:val="center"/>
        <w:rPr>
          <w:b/>
          <w:bCs/>
          <w:sz w:val="26"/>
          <w:szCs w:val="26"/>
        </w:rPr>
      </w:pPr>
    </w:p>
    <w:p w14:paraId="7780F6EE" w14:textId="003969BE" w:rsidR="00B513F9" w:rsidRDefault="00B513F9" w:rsidP="007273B8">
      <w:pPr>
        <w:pStyle w:val="Heading1"/>
      </w:pPr>
      <w:bookmarkStart w:id="2" w:name="_Toc87265452"/>
      <w:r w:rsidRPr="00F054D1">
        <w:t>History of the Proceeding</w:t>
      </w:r>
      <w:bookmarkEnd w:id="2"/>
    </w:p>
    <w:p w14:paraId="331BC230" w14:textId="77777777" w:rsidR="00CA7734" w:rsidRPr="008C5AEF" w:rsidRDefault="00CA7734" w:rsidP="008C5AEF">
      <w:pPr>
        <w:spacing w:after="0" w:line="360" w:lineRule="auto"/>
        <w:rPr>
          <w:rFonts w:ascii="Times New Roman" w:hAnsi="Times New Roman" w:cs="Times New Roman"/>
          <w:sz w:val="26"/>
          <w:szCs w:val="26"/>
        </w:rPr>
      </w:pPr>
    </w:p>
    <w:p w14:paraId="28C7409E" w14:textId="0F093458" w:rsidR="00CA7734" w:rsidRPr="00CA7734" w:rsidRDefault="00CA7734" w:rsidP="006C5BFF">
      <w:pPr>
        <w:spacing w:after="0" w:line="360" w:lineRule="auto"/>
        <w:ind w:firstLine="1440"/>
        <w:rPr>
          <w:rFonts w:ascii="Times New Roman" w:eastAsia="Times New Roman" w:hAnsi="Times New Roman" w:cs="Times New Roman"/>
          <w:sz w:val="26"/>
          <w:szCs w:val="26"/>
        </w:rPr>
      </w:pPr>
      <w:r w:rsidRPr="00CA7734">
        <w:rPr>
          <w:rFonts w:ascii="Times New Roman" w:eastAsia="Times New Roman" w:hAnsi="Times New Roman" w:cs="Times New Roman"/>
          <w:color w:val="000000"/>
          <w:sz w:val="26"/>
          <w:szCs w:val="26"/>
        </w:rPr>
        <w:t>On July 16, 2020, Twin Lakes filed a Petition for a Commission Order Authorizing the Acquisition of Twin Lakes by a Capable Public Utility Pursuant to 66</w:t>
      </w:r>
      <w:r w:rsidR="006C5BFF">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Pa.</w:t>
      </w:r>
      <w:r w:rsidR="006C5BFF">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C.S. § 529</w:t>
      </w:r>
      <w:r w:rsidR="00CC657E">
        <w:rPr>
          <w:rFonts w:ascii="Times New Roman" w:eastAsia="Times New Roman" w:hAnsi="Times New Roman" w:cs="Times New Roman"/>
          <w:color w:val="000000"/>
          <w:sz w:val="26"/>
          <w:szCs w:val="26"/>
        </w:rPr>
        <w:t>.</w:t>
      </w:r>
      <w:r w:rsidRPr="00CA7734">
        <w:rPr>
          <w:rFonts w:ascii="Times New Roman" w:eastAsia="Times New Roman" w:hAnsi="Times New Roman" w:cs="Times New Roman"/>
          <w:color w:val="000000"/>
          <w:sz w:val="26"/>
          <w:szCs w:val="26"/>
        </w:rPr>
        <w:t xml:space="preserve">  In its Petition, Twin Lakes represented itself as a wholly owned subsidiary of Middlesex, a water company incorporated in the state of New Jersey.  </w:t>
      </w:r>
      <w:r w:rsidRPr="00CA7734">
        <w:rPr>
          <w:rFonts w:ascii="Times New Roman" w:eastAsia="Times New Roman" w:hAnsi="Times New Roman" w:cs="Times New Roman"/>
          <w:sz w:val="26"/>
          <w:szCs w:val="26"/>
        </w:rPr>
        <w:t>Twin Lakes requested that the Commission issue, on an expedited basis, an Order approving its Petition and ordering a “capable public utility” to acquire Twin Lakes pursuant to Section</w:t>
      </w:r>
      <w:r w:rsidR="00C66701">
        <w:rPr>
          <w:rFonts w:ascii="Times New Roman" w:eastAsia="Times New Roman" w:hAnsi="Times New Roman" w:cs="Times New Roman"/>
          <w:sz w:val="26"/>
          <w:szCs w:val="26"/>
        </w:rPr>
        <w:t> </w:t>
      </w:r>
      <w:r w:rsidRPr="00CA7734">
        <w:rPr>
          <w:rFonts w:ascii="Times New Roman" w:eastAsia="Times New Roman" w:hAnsi="Times New Roman" w:cs="Times New Roman"/>
          <w:sz w:val="26"/>
          <w:szCs w:val="26"/>
        </w:rPr>
        <w:t xml:space="preserve">529 of the Code based on a finding that Twin Lakes “cannot reasonably be expected to furnish and maintain adequate, efficient, safe and reasonable service and facilities in the future.”  Twin Lakes’ Petition at 1, 12. </w:t>
      </w:r>
    </w:p>
    <w:p w14:paraId="7F06C237" w14:textId="77777777" w:rsidR="00CA7734" w:rsidRPr="00CA7734" w:rsidRDefault="00CA7734" w:rsidP="00CA7734">
      <w:pPr>
        <w:spacing w:after="0" w:line="360" w:lineRule="auto"/>
        <w:ind w:firstLine="1440"/>
        <w:rPr>
          <w:rFonts w:ascii="Times New Roman" w:eastAsia="Times New Roman" w:hAnsi="Times New Roman" w:cs="Times New Roman"/>
          <w:sz w:val="26"/>
          <w:szCs w:val="26"/>
        </w:rPr>
      </w:pPr>
    </w:p>
    <w:p w14:paraId="4155A97F" w14:textId="416E6395"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bookmarkStart w:id="3" w:name="_Hlk85804225"/>
      <w:r w:rsidRPr="00CA7734">
        <w:rPr>
          <w:rFonts w:ascii="Times New Roman" w:eastAsia="Times New Roman" w:hAnsi="Times New Roman" w:cs="Times New Roman"/>
          <w:color w:val="000000"/>
          <w:sz w:val="26"/>
          <w:szCs w:val="26"/>
        </w:rPr>
        <w:lastRenderedPageBreak/>
        <w:t xml:space="preserve">Twin Lakes’ Petition further asserted that Middlesex provided operations support to Twin Lakes through </w:t>
      </w:r>
      <w:r w:rsidR="00887857">
        <w:rPr>
          <w:rFonts w:ascii="Times New Roman" w:eastAsia="Times New Roman" w:hAnsi="Times New Roman" w:cs="Times New Roman"/>
          <w:color w:val="000000"/>
          <w:sz w:val="26"/>
          <w:szCs w:val="26"/>
        </w:rPr>
        <w:t>the</w:t>
      </w:r>
      <w:r w:rsidRPr="00CA7734">
        <w:rPr>
          <w:rFonts w:ascii="Times New Roman" w:eastAsia="Times New Roman" w:hAnsi="Times New Roman" w:cs="Times New Roman"/>
          <w:color w:val="000000"/>
          <w:sz w:val="26"/>
          <w:szCs w:val="26"/>
        </w:rPr>
        <w:t xml:space="preserve"> Service Agreement and that on June 1, 2020, Middlesex issued a letter notice of termination of the Service Agreement advising termination of the agreement effective September 1, 2020.  On the basis that Twin Lakes’ continued operation was not viable without operation</w:t>
      </w:r>
      <w:r w:rsidR="00D0146B">
        <w:rPr>
          <w:rFonts w:ascii="Times New Roman" w:eastAsia="Times New Roman" w:hAnsi="Times New Roman" w:cs="Times New Roman"/>
          <w:color w:val="000000"/>
          <w:sz w:val="26"/>
          <w:szCs w:val="26"/>
        </w:rPr>
        <w:t>al</w:t>
      </w:r>
      <w:r w:rsidRPr="00CA7734">
        <w:rPr>
          <w:rFonts w:ascii="Times New Roman" w:eastAsia="Times New Roman" w:hAnsi="Times New Roman" w:cs="Times New Roman"/>
          <w:color w:val="000000"/>
          <w:sz w:val="26"/>
          <w:szCs w:val="26"/>
        </w:rPr>
        <w:t xml:space="preserve"> support provided by Middlesex, Twin Lakes requested that the Commission grant its requested relief on an expedited basis</w:t>
      </w:r>
      <w:r w:rsidR="00D0146B">
        <w:rPr>
          <w:rFonts w:ascii="Times New Roman" w:eastAsia="Times New Roman" w:hAnsi="Times New Roman" w:cs="Times New Roman"/>
          <w:color w:val="000000"/>
          <w:sz w:val="26"/>
          <w:szCs w:val="26"/>
        </w:rPr>
        <w:t xml:space="preserve"> </w:t>
      </w:r>
      <w:r w:rsidR="00D0146B" w:rsidRPr="00CA7734">
        <w:rPr>
          <w:rFonts w:ascii="Times New Roman" w:eastAsia="Times New Roman" w:hAnsi="Times New Roman" w:cs="Times New Roman"/>
          <w:color w:val="000000"/>
          <w:sz w:val="26"/>
          <w:szCs w:val="26"/>
        </w:rPr>
        <w:t>effective September 1, 2020</w:t>
      </w:r>
      <w:r w:rsidRPr="00CA7734">
        <w:rPr>
          <w:rFonts w:ascii="Times New Roman" w:eastAsia="Times New Roman" w:hAnsi="Times New Roman" w:cs="Times New Roman"/>
          <w:color w:val="000000"/>
          <w:sz w:val="26"/>
          <w:szCs w:val="26"/>
        </w:rPr>
        <w:t xml:space="preserve">. </w:t>
      </w:r>
    </w:p>
    <w:bookmarkEnd w:id="3"/>
    <w:p w14:paraId="0E544E2C" w14:textId="18005496"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5347AA13" w14:textId="5400E56D"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By Hearing Notice dated July 23, 2020, the Commission scheduled an Initial Call-in Telephonic Pre-Hearing Conference for Monday, July 27, 2020, at 2:00</w:t>
      </w:r>
      <w:r w:rsidR="00A944B9">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 xml:space="preserve">p.m. and assigned ALJ Cheskis as the presiding officer.  The prehearing conference convened on July 27, 2020, as scheduled.  Twin Lakes, the OCA, I&amp;E, and the Department of Environmental Protection participated. </w:t>
      </w:r>
    </w:p>
    <w:p w14:paraId="7F548EAA" w14:textId="5FB9AD3F"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69F201F2"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A scheduling order was issued on July 28, 2020. </w:t>
      </w:r>
    </w:p>
    <w:p w14:paraId="04419A3A" w14:textId="713830E9"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63C65977" w14:textId="77777777" w:rsidR="00CA7734" w:rsidRPr="00CA7734" w:rsidRDefault="00CA7734" w:rsidP="00CA7734">
      <w:pPr>
        <w:spacing w:after="0" w:line="360" w:lineRule="auto"/>
        <w:ind w:firstLine="1440"/>
        <w:rPr>
          <w:rFonts w:ascii="Times New Roman" w:eastAsia="Times New Roman" w:hAnsi="Times New Roman" w:cs="Times New Roman"/>
          <w:sz w:val="26"/>
          <w:szCs w:val="26"/>
        </w:rPr>
      </w:pPr>
      <w:r w:rsidRPr="00CA7734">
        <w:rPr>
          <w:rFonts w:ascii="Times New Roman" w:eastAsia="Times New Roman" w:hAnsi="Times New Roman" w:cs="Times New Roman"/>
          <w:sz w:val="26"/>
          <w:szCs w:val="26"/>
        </w:rPr>
        <w:t>On August 5, 2020, I&amp;E filed an Answer to Twin Lakes’ Petition, requesting that the Commission deny the Petition.  On the same date, the OCA filed an Answer in Support of Twin Lakes’ Petition.</w:t>
      </w:r>
    </w:p>
    <w:p w14:paraId="4B63257D" w14:textId="77777777" w:rsidR="00CA7734" w:rsidRPr="00CA7734" w:rsidRDefault="00CA7734" w:rsidP="00CA7734">
      <w:pPr>
        <w:spacing w:after="0" w:line="360" w:lineRule="auto"/>
        <w:ind w:firstLine="1440"/>
        <w:rPr>
          <w:rFonts w:ascii="Times New Roman" w:eastAsia="Times New Roman" w:hAnsi="Times New Roman" w:cs="Times New Roman"/>
          <w:sz w:val="26"/>
          <w:szCs w:val="26"/>
        </w:rPr>
      </w:pPr>
    </w:p>
    <w:p w14:paraId="22AE843F" w14:textId="78794CC5" w:rsidR="00CA7734" w:rsidRPr="00CA7734" w:rsidRDefault="0077056F" w:rsidP="00E33435">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OCA Petition was filed o</w:t>
      </w:r>
      <w:r w:rsidR="00CA7734" w:rsidRPr="00CA7734">
        <w:rPr>
          <w:rFonts w:ascii="Times New Roman" w:eastAsia="Times New Roman" w:hAnsi="Times New Roman" w:cs="Times New Roman"/>
          <w:color w:val="000000"/>
          <w:sz w:val="26"/>
          <w:szCs w:val="26"/>
        </w:rPr>
        <w:t>n August 18, 2020</w:t>
      </w:r>
      <w:r w:rsidR="00B5381B">
        <w:rPr>
          <w:rFonts w:ascii="Times New Roman" w:eastAsia="Times New Roman" w:hAnsi="Times New Roman" w:cs="Times New Roman"/>
          <w:color w:val="000000"/>
          <w:sz w:val="26"/>
          <w:szCs w:val="26"/>
        </w:rPr>
        <w:t>.</w:t>
      </w:r>
      <w:r w:rsidR="00CA7734" w:rsidRPr="00CA7734">
        <w:rPr>
          <w:rFonts w:ascii="Times New Roman" w:eastAsia="Times New Roman" w:hAnsi="Times New Roman" w:cs="Times New Roman"/>
          <w:color w:val="000000"/>
          <w:sz w:val="26"/>
          <w:szCs w:val="26"/>
        </w:rPr>
        <w:t xml:space="preserve">  In </w:t>
      </w:r>
      <w:r w:rsidR="000E2FF5">
        <w:rPr>
          <w:rFonts w:ascii="Times New Roman" w:eastAsia="Times New Roman" w:hAnsi="Times New Roman" w:cs="Times New Roman"/>
          <w:color w:val="000000"/>
          <w:sz w:val="26"/>
          <w:szCs w:val="26"/>
        </w:rPr>
        <w:t>its</w:t>
      </w:r>
      <w:r w:rsidR="00CA7734" w:rsidRPr="00CA7734">
        <w:rPr>
          <w:rFonts w:ascii="Times New Roman" w:eastAsia="Times New Roman" w:hAnsi="Times New Roman" w:cs="Times New Roman"/>
          <w:color w:val="000000"/>
          <w:sz w:val="26"/>
          <w:szCs w:val="26"/>
        </w:rPr>
        <w:t xml:space="preserve"> petition, the OCA requested that the Commission appoint a receiver pursuant to Section 529 if Twin Lakes is unable to secure a new system operator by the September 1, 2020 deadline.  The OCA noted that Twin Lakes has an ongoing obligation pursuant to its </w:t>
      </w:r>
      <w:r w:rsidR="00675E82">
        <w:rPr>
          <w:rFonts w:ascii="Times New Roman" w:eastAsia="Times New Roman" w:hAnsi="Times New Roman" w:cs="Times New Roman"/>
          <w:color w:val="000000"/>
          <w:sz w:val="26"/>
          <w:szCs w:val="26"/>
        </w:rPr>
        <w:t>C</w:t>
      </w:r>
      <w:r w:rsidR="00CA7734" w:rsidRPr="00CA7734">
        <w:rPr>
          <w:rFonts w:ascii="Times New Roman" w:eastAsia="Times New Roman" w:hAnsi="Times New Roman" w:cs="Times New Roman"/>
          <w:color w:val="000000"/>
          <w:sz w:val="26"/>
          <w:szCs w:val="26"/>
        </w:rPr>
        <w:t xml:space="preserve">ertificate of </w:t>
      </w:r>
      <w:r w:rsidR="00675E82">
        <w:rPr>
          <w:rFonts w:ascii="Times New Roman" w:eastAsia="Times New Roman" w:hAnsi="Times New Roman" w:cs="Times New Roman"/>
          <w:color w:val="000000"/>
          <w:sz w:val="26"/>
          <w:szCs w:val="26"/>
        </w:rPr>
        <w:t>P</w:t>
      </w:r>
      <w:r w:rsidR="00CA7734" w:rsidRPr="00CA7734">
        <w:rPr>
          <w:rFonts w:ascii="Times New Roman" w:eastAsia="Times New Roman" w:hAnsi="Times New Roman" w:cs="Times New Roman"/>
          <w:color w:val="000000"/>
          <w:sz w:val="26"/>
          <w:szCs w:val="26"/>
        </w:rPr>
        <w:t xml:space="preserve">ublic </w:t>
      </w:r>
      <w:r w:rsidR="00675E82">
        <w:rPr>
          <w:rFonts w:ascii="Times New Roman" w:eastAsia="Times New Roman" w:hAnsi="Times New Roman" w:cs="Times New Roman"/>
          <w:color w:val="000000"/>
          <w:sz w:val="26"/>
          <w:szCs w:val="26"/>
        </w:rPr>
        <w:t>C</w:t>
      </w:r>
      <w:r w:rsidR="00CA7734" w:rsidRPr="00CA7734">
        <w:rPr>
          <w:rFonts w:ascii="Times New Roman" w:eastAsia="Times New Roman" w:hAnsi="Times New Roman" w:cs="Times New Roman"/>
          <w:color w:val="000000"/>
          <w:sz w:val="26"/>
          <w:szCs w:val="26"/>
        </w:rPr>
        <w:t>onvenience</w:t>
      </w:r>
      <w:r w:rsidR="00675E82">
        <w:rPr>
          <w:rFonts w:ascii="Times New Roman" w:eastAsia="Times New Roman" w:hAnsi="Times New Roman" w:cs="Times New Roman"/>
          <w:color w:val="000000"/>
          <w:sz w:val="26"/>
          <w:szCs w:val="26"/>
        </w:rPr>
        <w:t xml:space="preserve"> (</w:t>
      </w:r>
      <w:r w:rsidR="00EF196E">
        <w:rPr>
          <w:rFonts w:ascii="Times New Roman" w:eastAsia="Times New Roman" w:hAnsi="Times New Roman" w:cs="Times New Roman"/>
          <w:color w:val="000000"/>
          <w:sz w:val="26"/>
          <w:szCs w:val="26"/>
        </w:rPr>
        <w:t>C</w:t>
      </w:r>
      <w:r w:rsidR="00675E82">
        <w:rPr>
          <w:rFonts w:ascii="Times New Roman" w:eastAsia="Times New Roman" w:hAnsi="Times New Roman" w:cs="Times New Roman"/>
          <w:color w:val="000000"/>
          <w:sz w:val="26"/>
          <w:szCs w:val="26"/>
        </w:rPr>
        <w:t>ertificate</w:t>
      </w:r>
      <w:r w:rsidR="00EF196E">
        <w:rPr>
          <w:rFonts w:ascii="Times New Roman" w:eastAsia="Times New Roman" w:hAnsi="Times New Roman" w:cs="Times New Roman"/>
          <w:color w:val="000000"/>
          <w:sz w:val="26"/>
          <w:szCs w:val="26"/>
        </w:rPr>
        <w:t>)</w:t>
      </w:r>
      <w:r w:rsidR="00CA7734" w:rsidRPr="00CA7734">
        <w:rPr>
          <w:rFonts w:ascii="Times New Roman" w:eastAsia="Times New Roman" w:hAnsi="Times New Roman" w:cs="Times New Roman"/>
          <w:color w:val="000000"/>
          <w:sz w:val="26"/>
          <w:szCs w:val="26"/>
        </w:rPr>
        <w:t xml:space="preserve"> to provide service to its customers until the resolution of the Section 529 proceeding or the Commission otherwise approves an abandonment of service.  The OCA requested expedited treatment of </w:t>
      </w:r>
      <w:r w:rsidR="009B0521">
        <w:rPr>
          <w:rFonts w:ascii="Times New Roman" w:eastAsia="Times New Roman" w:hAnsi="Times New Roman" w:cs="Times New Roman"/>
          <w:color w:val="000000"/>
          <w:sz w:val="26"/>
          <w:szCs w:val="26"/>
        </w:rPr>
        <w:t>the OCA Petition</w:t>
      </w:r>
      <w:r w:rsidR="00CA7734" w:rsidRPr="00CA7734">
        <w:rPr>
          <w:rFonts w:ascii="Times New Roman" w:eastAsia="Times New Roman" w:hAnsi="Times New Roman" w:cs="Times New Roman"/>
          <w:color w:val="000000"/>
          <w:sz w:val="26"/>
          <w:szCs w:val="26"/>
        </w:rPr>
        <w:t xml:space="preserve"> to permit the receiver to have time to work with Twin Lakes before the </w:t>
      </w:r>
      <w:r w:rsidR="00CA7734" w:rsidRPr="009A2EE4">
        <w:rPr>
          <w:rFonts w:ascii="Times New Roman" w:eastAsia="Times New Roman" w:hAnsi="Times New Roman" w:cs="Times New Roman"/>
          <w:color w:val="000000"/>
          <w:sz w:val="26"/>
          <w:szCs w:val="26"/>
        </w:rPr>
        <w:t>September 1, 2020 deadline</w:t>
      </w:r>
      <w:r w:rsidR="00CA7734" w:rsidRPr="00CA7734">
        <w:rPr>
          <w:rFonts w:ascii="Times New Roman" w:eastAsia="Times New Roman" w:hAnsi="Times New Roman" w:cs="Times New Roman"/>
          <w:color w:val="000000"/>
          <w:sz w:val="26"/>
          <w:szCs w:val="26"/>
        </w:rPr>
        <w:t xml:space="preserve">. </w:t>
      </w:r>
    </w:p>
    <w:p w14:paraId="1C141A63"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4A4515F7" w14:textId="25D0EC7F"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lastRenderedPageBreak/>
        <w:t xml:space="preserve">In addition, on August 19, 2020, I&amp;E filed a </w:t>
      </w:r>
      <w:r w:rsidR="0084268F">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 xml:space="preserve">etition for </w:t>
      </w:r>
      <w:r w:rsidR="0084268F">
        <w:rPr>
          <w:rFonts w:ascii="Times New Roman" w:eastAsia="Times New Roman" w:hAnsi="Times New Roman" w:cs="Times New Roman"/>
          <w:color w:val="000000"/>
          <w:sz w:val="26"/>
          <w:szCs w:val="26"/>
        </w:rPr>
        <w:t>I</w:t>
      </w:r>
      <w:r w:rsidRPr="00CA7734">
        <w:rPr>
          <w:rFonts w:ascii="Times New Roman" w:eastAsia="Times New Roman" w:hAnsi="Times New Roman" w:cs="Times New Roman"/>
          <w:color w:val="000000"/>
          <w:sz w:val="26"/>
          <w:szCs w:val="26"/>
        </w:rPr>
        <w:t xml:space="preserve">nterlocutory </w:t>
      </w:r>
      <w:r w:rsidR="0084268F">
        <w:rPr>
          <w:rFonts w:ascii="Times New Roman" w:eastAsia="Times New Roman" w:hAnsi="Times New Roman" w:cs="Times New Roman"/>
          <w:color w:val="000000"/>
          <w:sz w:val="26"/>
          <w:szCs w:val="26"/>
        </w:rPr>
        <w:t>R</w:t>
      </w:r>
      <w:r w:rsidRPr="00CA7734">
        <w:rPr>
          <w:rFonts w:ascii="Times New Roman" w:eastAsia="Times New Roman" w:hAnsi="Times New Roman" w:cs="Times New Roman"/>
          <w:color w:val="000000"/>
          <w:sz w:val="26"/>
          <w:szCs w:val="26"/>
        </w:rPr>
        <w:t xml:space="preserve">eview and order regarding the scheduling order issued on July 28, 2020.  In its petition, I&amp;E asked the Commission to answer:  </w:t>
      </w:r>
    </w:p>
    <w:p w14:paraId="576881F1"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p>
    <w:p w14:paraId="5F4DD2E4" w14:textId="15D8A686" w:rsidR="00CA7734" w:rsidRPr="00CA7734" w:rsidRDefault="00CA7734" w:rsidP="0045471D">
      <w:pPr>
        <w:spacing w:after="0" w:line="240" w:lineRule="auto"/>
        <w:ind w:left="1440" w:right="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Should the Commission permit a certificated small water or wastewater public utility to proceed by its own petition pursuant to 66 Pa.C.S. § 529 of the Public Utility Code</w:t>
      </w:r>
      <w:r w:rsidR="005C5096">
        <w:rPr>
          <w:rFonts w:ascii="Times New Roman" w:eastAsia="Times New Roman" w:hAnsi="Times New Roman" w:cs="Times New Roman"/>
          <w:color w:val="000000"/>
          <w:sz w:val="26"/>
          <w:szCs w:val="26"/>
        </w:rPr>
        <w:t>?</w:t>
      </w:r>
      <w:r w:rsidRPr="00CA7734">
        <w:rPr>
          <w:rFonts w:ascii="Times New Roman" w:eastAsia="Times New Roman" w:hAnsi="Times New Roman" w:cs="Times New Roman"/>
          <w:color w:val="000000"/>
          <w:sz w:val="26"/>
          <w:szCs w:val="26"/>
        </w:rPr>
        <w:t xml:space="preserve">  </w:t>
      </w:r>
    </w:p>
    <w:p w14:paraId="47A05496" w14:textId="77777777" w:rsidR="00CA7734" w:rsidRPr="00CA7734" w:rsidRDefault="00CA7734" w:rsidP="007D6C62">
      <w:pPr>
        <w:spacing w:after="0" w:line="240" w:lineRule="auto"/>
        <w:rPr>
          <w:rFonts w:ascii="Times New Roman" w:eastAsia="Times New Roman" w:hAnsi="Times New Roman" w:cs="Times New Roman"/>
          <w:color w:val="000000"/>
          <w:sz w:val="26"/>
          <w:szCs w:val="26"/>
        </w:rPr>
      </w:pPr>
    </w:p>
    <w:p w14:paraId="6CD9DD93" w14:textId="400D716B" w:rsidR="00CA7734" w:rsidRPr="00CA7734" w:rsidRDefault="009A4214" w:rsidP="007D6C62">
      <w:pPr>
        <w:spacing w:after="0" w:line="360" w:lineRule="auto"/>
        <w:ind w:left="720" w:firstLine="720"/>
        <w:rPr>
          <w:rFonts w:ascii="Times New Roman" w:eastAsia="Times New Roman" w:hAnsi="Times New Roman" w:cs="Times New Roman"/>
          <w:color w:val="000000"/>
          <w:sz w:val="26"/>
          <w:szCs w:val="26"/>
        </w:rPr>
      </w:pPr>
      <w:r w:rsidRPr="0045471D">
        <w:rPr>
          <w:rFonts w:ascii="Times New Roman" w:eastAsia="Times New Roman" w:hAnsi="Times New Roman" w:cs="Times New Roman"/>
          <w:i/>
          <w:iCs/>
          <w:color w:val="000000"/>
          <w:sz w:val="26"/>
          <w:szCs w:val="26"/>
        </w:rPr>
        <w:t>S</w:t>
      </w:r>
      <w:r w:rsidR="00CA7734" w:rsidRPr="0045471D">
        <w:rPr>
          <w:rFonts w:ascii="Times New Roman" w:eastAsia="Times New Roman" w:hAnsi="Times New Roman" w:cs="Times New Roman"/>
          <w:i/>
          <w:iCs/>
          <w:color w:val="000000"/>
          <w:sz w:val="26"/>
          <w:szCs w:val="26"/>
        </w:rPr>
        <w:t xml:space="preserve">uggested </w:t>
      </w:r>
      <w:r>
        <w:rPr>
          <w:rFonts w:ascii="Times New Roman" w:eastAsia="Times New Roman" w:hAnsi="Times New Roman" w:cs="Times New Roman"/>
          <w:i/>
          <w:iCs/>
          <w:color w:val="000000"/>
          <w:sz w:val="26"/>
          <w:szCs w:val="26"/>
        </w:rPr>
        <w:t>A</w:t>
      </w:r>
      <w:r w:rsidR="00CA7734" w:rsidRPr="0045471D">
        <w:rPr>
          <w:rFonts w:ascii="Times New Roman" w:eastAsia="Times New Roman" w:hAnsi="Times New Roman" w:cs="Times New Roman"/>
          <w:i/>
          <w:iCs/>
          <w:color w:val="000000"/>
          <w:sz w:val="26"/>
          <w:szCs w:val="26"/>
        </w:rPr>
        <w:t>nswer</w:t>
      </w:r>
      <w:r w:rsidR="008D15F8">
        <w:rPr>
          <w:rFonts w:ascii="Times New Roman" w:eastAsia="Times New Roman" w:hAnsi="Times New Roman" w:cs="Times New Roman"/>
          <w:i/>
          <w:iCs/>
          <w:color w:val="000000"/>
          <w:sz w:val="26"/>
          <w:szCs w:val="26"/>
        </w:rPr>
        <w:t>:</w:t>
      </w:r>
      <w:r w:rsidR="00CA7734" w:rsidRPr="0045471D">
        <w:rPr>
          <w:rFonts w:ascii="Times New Roman" w:eastAsia="Times New Roman" w:hAnsi="Times New Roman" w:cs="Times New Roman"/>
          <w:i/>
          <w:iCs/>
          <w:color w:val="000000"/>
          <w:sz w:val="26"/>
          <w:szCs w:val="26"/>
        </w:rPr>
        <w:t xml:space="preserve"> </w:t>
      </w:r>
      <w:r w:rsidR="003C055E">
        <w:rPr>
          <w:rFonts w:ascii="Times New Roman" w:eastAsia="Times New Roman" w:hAnsi="Times New Roman" w:cs="Times New Roman"/>
          <w:i/>
          <w:iCs/>
          <w:color w:val="000000"/>
          <w:sz w:val="26"/>
          <w:szCs w:val="26"/>
        </w:rPr>
        <w:t>N</w:t>
      </w:r>
      <w:r w:rsidR="00CA7734" w:rsidRPr="0045471D">
        <w:rPr>
          <w:rFonts w:ascii="Times New Roman" w:eastAsia="Times New Roman" w:hAnsi="Times New Roman" w:cs="Times New Roman"/>
          <w:i/>
          <w:iCs/>
          <w:color w:val="000000"/>
          <w:sz w:val="26"/>
          <w:szCs w:val="26"/>
        </w:rPr>
        <w:t>o.</w:t>
      </w:r>
      <w:r w:rsidR="00CA7734" w:rsidRPr="00CA7734">
        <w:rPr>
          <w:rFonts w:ascii="Times New Roman" w:eastAsia="Times New Roman" w:hAnsi="Times New Roman" w:cs="Times New Roman"/>
          <w:color w:val="000000"/>
          <w:sz w:val="26"/>
          <w:szCs w:val="26"/>
        </w:rPr>
        <w:t xml:space="preserve">  </w:t>
      </w:r>
    </w:p>
    <w:p w14:paraId="7D163D7F" w14:textId="77777777" w:rsidR="00CA7734" w:rsidRPr="00CA7734" w:rsidRDefault="00CA7734" w:rsidP="007D6C62">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59421CF5" w14:textId="1BC03F40" w:rsidR="00CA7734" w:rsidRPr="00CA7734" w:rsidRDefault="00CA7734" w:rsidP="007D6C62">
      <w:pPr>
        <w:spacing w:after="0" w:line="360" w:lineRule="auto"/>
        <w:ind w:firstLine="1440"/>
        <w:rPr>
          <w:rFonts w:ascii="Times New Roman" w:eastAsia="Times New Roman" w:hAnsi="Times New Roman" w:cs="Times New Roman"/>
          <w:sz w:val="26"/>
          <w:szCs w:val="26"/>
        </w:rPr>
      </w:pPr>
      <w:r w:rsidRPr="00CA7734">
        <w:rPr>
          <w:rFonts w:ascii="Times New Roman" w:eastAsia="Times New Roman" w:hAnsi="Times New Roman" w:cs="Times New Roman"/>
          <w:color w:val="000000"/>
          <w:sz w:val="26"/>
          <w:szCs w:val="26"/>
        </w:rPr>
        <w:t xml:space="preserve">On August 28, 2020, an order denying the OCA’s </w:t>
      </w:r>
      <w:r w:rsidR="00F8186A">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 xml:space="preserve">etition for </w:t>
      </w:r>
      <w:r w:rsidR="00F8186A">
        <w:rPr>
          <w:rFonts w:ascii="Times New Roman" w:eastAsia="Times New Roman" w:hAnsi="Times New Roman" w:cs="Times New Roman"/>
          <w:color w:val="000000"/>
          <w:sz w:val="26"/>
          <w:szCs w:val="26"/>
        </w:rPr>
        <w:t>E</w:t>
      </w:r>
      <w:r w:rsidRPr="00CA7734">
        <w:rPr>
          <w:rFonts w:ascii="Times New Roman" w:eastAsia="Times New Roman" w:hAnsi="Times New Roman" w:cs="Times New Roman"/>
          <w:color w:val="000000"/>
          <w:sz w:val="26"/>
          <w:szCs w:val="26"/>
        </w:rPr>
        <w:t xml:space="preserve">mergency </w:t>
      </w:r>
      <w:r w:rsidR="00F8186A">
        <w:rPr>
          <w:rFonts w:ascii="Times New Roman" w:eastAsia="Times New Roman" w:hAnsi="Times New Roman" w:cs="Times New Roman"/>
          <w:color w:val="000000"/>
          <w:sz w:val="26"/>
          <w:szCs w:val="26"/>
        </w:rPr>
        <w:t>O</w:t>
      </w:r>
      <w:r w:rsidRPr="00CA7734">
        <w:rPr>
          <w:rFonts w:ascii="Times New Roman" w:eastAsia="Times New Roman" w:hAnsi="Times New Roman" w:cs="Times New Roman"/>
          <w:color w:val="000000"/>
          <w:sz w:val="26"/>
          <w:szCs w:val="26"/>
        </w:rPr>
        <w:t>rder was issued</w:t>
      </w:r>
      <w:r w:rsidR="00B87964">
        <w:rPr>
          <w:rFonts w:ascii="Times New Roman" w:eastAsia="Times New Roman" w:hAnsi="Times New Roman" w:cs="Times New Roman"/>
          <w:color w:val="000000"/>
          <w:sz w:val="26"/>
          <w:szCs w:val="26"/>
        </w:rPr>
        <w:t xml:space="preserve"> (</w:t>
      </w:r>
      <w:r w:rsidR="00B87964" w:rsidRPr="0045471D">
        <w:rPr>
          <w:rFonts w:ascii="Times New Roman" w:eastAsia="Times New Roman" w:hAnsi="Times New Roman" w:cs="Times New Roman"/>
          <w:i/>
          <w:iCs/>
          <w:color w:val="000000"/>
          <w:sz w:val="26"/>
          <w:szCs w:val="26"/>
        </w:rPr>
        <w:t>Emergency Order</w:t>
      </w:r>
      <w:r w:rsidR="00B87964">
        <w:rPr>
          <w:rFonts w:ascii="Times New Roman" w:eastAsia="Times New Roman" w:hAnsi="Times New Roman" w:cs="Times New Roman"/>
          <w:color w:val="000000"/>
          <w:sz w:val="26"/>
          <w:szCs w:val="26"/>
        </w:rPr>
        <w:t>)</w:t>
      </w:r>
      <w:r w:rsidRPr="00CA7734">
        <w:rPr>
          <w:rFonts w:ascii="Times New Roman" w:eastAsia="Times New Roman" w:hAnsi="Times New Roman" w:cs="Times New Roman"/>
          <w:color w:val="000000"/>
          <w:sz w:val="26"/>
          <w:szCs w:val="26"/>
        </w:rPr>
        <w:t xml:space="preserve">.  The </w:t>
      </w:r>
      <w:r w:rsidR="00B87964" w:rsidRPr="00B66B2A">
        <w:rPr>
          <w:rFonts w:ascii="Times New Roman" w:eastAsia="Times New Roman" w:hAnsi="Times New Roman" w:cs="Times New Roman"/>
          <w:i/>
          <w:iCs/>
          <w:color w:val="000000"/>
          <w:sz w:val="26"/>
          <w:szCs w:val="26"/>
        </w:rPr>
        <w:t>Emergency Order</w:t>
      </w:r>
      <w:r w:rsidRPr="00CA7734">
        <w:rPr>
          <w:rFonts w:ascii="Times New Roman" w:eastAsia="Times New Roman" w:hAnsi="Times New Roman" w:cs="Times New Roman"/>
          <w:color w:val="000000"/>
          <w:sz w:val="26"/>
          <w:szCs w:val="26"/>
        </w:rPr>
        <w:t xml:space="preserve"> directed Twin Lakes to continue to provide service to its customers consistent with its </w:t>
      </w:r>
      <w:r w:rsidR="003C055E">
        <w:rPr>
          <w:rFonts w:ascii="Times New Roman" w:eastAsia="Times New Roman" w:hAnsi="Times New Roman" w:cs="Times New Roman"/>
          <w:color w:val="000000"/>
          <w:sz w:val="26"/>
          <w:szCs w:val="26"/>
        </w:rPr>
        <w:t>Certificate</w:t>
      </w:r>
      <w:r w:rsidRPr="00CA7734">
        <w:rPr>
          <w:rFonts w:ascii="Times New Roman" w:eastAsia="Times New Roman" w:hAnsi="Times New Roman" w:cs="Times New Roman"/>
          <w:color w:val="000000"/>
          <w:sz w:val="26"/>
          <w:szCs w:val="26"/>
        </w:rPr>
        <w:t xml:space="preserve"> until given an opportunity to abandon service by the Commission.  The </w:t>
      </w:r>
      <w:r w:rsidR="00B87964" w:rsidRPr="00B66B2A">
        <w:rPr>
          <w:rFonts w:ascii="Times New Roman" w:eastAsia="Times New Roman" w:hAnsi="Times New Roman" w:cs="Times New Roman"/>
          <w:i/>
          <w:iCs/>
          <w:color w:val="000000"/>
          <w:sz w:val="26"/>
          <w:szCs w:val="26"/>
        </w:rPr>
        <w:t>Emergency Order</w:t>
      </w:r>
      <w:r w:rsidR="00B87964"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also certified a material question to the Commission regarding whether the Commission should order Aqua to act as a receiver to operate Twin Lakes until the resolution of the Section 529 proceeding.</w:t>
      </w:r>
      <w:r w:rsidR="00DF6E7F">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i/>
          <w:iCs/>
          <w:sz w:val="26"/>
          <w:szCs w:val="26"/>
        </w:rPr>
        <w:t>Emergency Order</w:t>
      </w:r>
      <w:r w:rsidRPr="00CA7734">
        <w:rPr>
          <w:rFonts w:ascii="Times New Roman" w:eastAsia="Times New Roman" w:hAnsi="Times New Roman" w:cs="Times New Roman"/>
          <w:sz w:val="26"/>
          <w:szCs w:val="26"/>
        </w:rPr>
        <w:t xml:space="preserve"> at 37.</w:t>
      </w:r>
    </w:p>
    <w:p w14:paraId="585DCB87" w14:textId="77777777" w:rsidR="00CA7734" w:rsidRPr="00CA7734" w:rsidRDefault="00CA7734" w:rsidP="00CA7734">
      <w:pPr>
        <w:spacing w:after="0" w:line="360" w:lineRule="auto"/>
        <w:ind w:firstLine="1440"/>
        <w:rPr>
          <w:rFonts w:ascii="Times New Roman" w:eastAsia="Calibri" w:hAnsi="Times New Roman" w:cs="Times New Roman"/>
          <w:sz w:val="26"/>
          <w:szCs w:val="26"/>
        </w:rPr>
      </w:pPr>
    </w:p>
    <w:p w14:paraId="2155E2CB" w14:textId="77777777" w:rsidR="00CA7734" w:rsidRPr="00CA7734" w:rsidRDefault="00CA7734" w:rsidP="00CA7734">
      <w:pPr>
        <w:spacing w:after="0" w:line="360" w:lineRule="auto"/>
        <w:ind w:firstLine="1440"/>
        <w:rPr>
          <w:rFonts w:ascii="Times New Roman" w:eastAsia="Calibri" w:hAnsi="Times New Roman" w:cs="Times New Roman"/>
          <w:sz w:val="26"/>
          <w:szCs w:val="26"/>
        </w:rPr>
      </w:pPr>
      <w:r w:rsidRPr="00CA7734">
        <w:rPr>
          <w:rFonts w:ascii="Times New Roman" w:eastAsia="Calibri" w:hAnsi="Times New Roman" w:cs="Times New Roman"/>
          <w:sz w:val="26"/>
          <w:szCs w:val="26"/>
        </w:rPr>
        <w:t>By Secretarial Letter issued September 1, 2020, the Commission provided notice of the Section 529 acquisition investigation to proximate service providers and proximate municipalities.</w:t>
      </w:r>
    </w:p>
    <w:p w14:paraId="76EA5D09"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18001390" w14:textId="0738BB96"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Also on September 1, 2020, Twin Lakes filed an application for Commission approval, </w:t>
      </w:r>
      <w:r w:rsidRPr="00CA7734">
        <w:rPr>
          <w:rFonts w:ascii="Times New Roman" w:eastAsia="Times New Roman" w:hAnsi="Times New Roman" w:cs="Times New Roman"/>
          <w:i/>
          <w:color w:val="000000"/>
          <w:sz w:val="26"/>
          <w:szCs w:val="26"/>
        </w:rPr>
        <w:t>nunc pro tunc</w:t>
      </w:r>
      <w:r w:rsidRPr="00CA7734">
        <w:rPr>
          <w:rFonts w:ascii="Times New Roman" w:eastAsia="Times New Roman" w:hAnsi="Times New Roman" w:cs="Times New Roman"/>
          <w:color w:val="000000"/>
          <w:sz w:val="26"/>
          <w:szCs w:val="26"/>
        </w:rPr>
        <w:t xml:space="preserve">, of the First Amendment to the Service Agreement between Middlesex and Twin Lakes, Pursuant to 66 Pa. C.S. § 2102 (Amended Service Agreement) at Docket No. G-2020-3020941.  The </w:t>
      </w:r>
      <w:r w:rsidR="007B31DF">
        <w:rPr>
          <w:rFonts w:ascii="Times New Roman" w:eastAsia="Times New Roman" w:hAnsi="Times New Roman" w:cs="Times New Roman"/>
          <w:color w:val="000000"/>
          <w:sz w:val="26"/>
          <w:szCs w:val="26"/>
        </w:rPr>
        <w:t>A</w:t>
      </w:r>
      <w:r w:rsidRPr="00CA7734">
        <w:rPr>
          <w:rFonts w:ascii="Times New Roman" w:eastAsia="Times New Roman" w:hAnsi="Times New Roman" w:cs="Times New Roman"/>
          <w:color w:val="000000"/>
          <w:sz w:val="26"/>
          <w:szCs w:val="26"/>
        </w:rPr>
        <w:t xml:space="preserve">mended </w:t>
      </w:r>
      <w:r w:rsidR="007B31DF">
        <w:rPr>
          <w:rFonts w:ascii="Times New Roman" w:eastAsia="Times New Roman" w:hAnsi="Times New Roman" w:cs="Times New Roman"/>
          <w:color w:val="000000"/>
          <w:sz w:val="26"/>
          <w:szCs w:val="26"/>
        </w:rPr>
        <w:t>Service A</w:t>
      </w:r>
      <w:r w:rsidRPr="00CA7734">
        <w:rPr>
          <w:rFonts w:ascii="Times New Roman" w:eastAsia="Times New Roman" w:hAnsi="Times New Roman" w:cs="Times New Roman"/>
          <w:color w:val="000000"/>
          <w:sz w:val="26"/>
          <w:szCs w:val="26"/>
        </w:rPr>
        <w:t>greement extended the duration of the original service agreement until October 1, 2020</w:t>
      </w:r>
      <w:r w:rsidR="00ED4C9E">
        <w:rPr>
          <w:rFonts w:ascii="Times New Roman" w:eastAsia="Times New Roman" w:hAnsi="Times New Roman" w:cs="Times New Roman"/>
          <w:color w:val="000000"/>
          <w:sz w:val="26"/>
          <w:szCs w:val="26"/>
        </w:rPr>
        <w:t>.</w:t>
      </w:r>
      <w:r w:rsidRPr="00CA7734">
        <w:rPr>
          <w:rFonts w:ascii="Times New Roman" w:eastAsia="Times New Roman" w:hAnsi="Times New Roman" w:cs="Times New Roman"/>
          <w:color w:val="000000"/>
          <w:sz w:val="26"/>
          <w:szCs w:val="26"/>
          <w:vertAlign w:val="superscript"/>
        </w:rPr>
        <w:footnoteReference w:id="3"/>
      </w:r>
      <w:r w:rsidRPr="00CA7734">
        <w:rPr>
          <w:rFonts w:ascii="Times New Roman" w:eastAsia="Times New Roman" w:hAnsi="Times New Roman" w:cs="Times New Roman"/>
          <w:color w:val="000000"/>
          <w:sz w:val="26"/>
          <w:szCs w:val="26"/>
        </w:rPr>
        <w:t xml:space="preserve">  </w:t>
      </w:r>
    </w:p>
    <w:p w14:paraId="6E85179C" w14:textId="011ACD37" w:rsidR="00CA7734" w:rsidRPr="00CA7734" w:rsidRDefault="00D15AD2" w:rsidP="00323989">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In the </w:t>
      </w:r>
      <w:r w:rsidRPr="00793F52">
        <w:rPr>
          <w:rFonts w:ascii="Times New Roman" w:eastAsia="Times New Roman" w:hAnsi="Times New Roman" w:cs="Times New Roman"/>
          <w:i/>
          <w:iCs/>
          <w:color w:val="000000"/>
          <w:sz w:val="26"/>
          <w:szCs w:val="26"/>
        </w:rPr>
        <w:t>September 17 Order</w:t>
      </w:r>
      <w:r>
        <w:rPr>
          <w:rFonts w:ascii="Times New Roman" w:eastAsia="Times New Roman" w:hAnsi="Times New Roman" w:cs="Times New Roman"/>
          <w:color w:val="000000"/>
          <w:sz w:val="26"/>
          <w:szCs w:val="26"/>
        </w:rPr>
        <w:t xml:space="preserve">, </w:t>
      </w:r>
      <w:r w:rsidR="00CA7734" w:rsidRPr="00CA7734">
        <w:rPr>
          <w:rFonts w:ascii="Times New Roman" w:eastAsia="Times New Roman" w:hAnsi="Times New Roman" w:cs="Times New Roman"/>
          <w:color w:val="000000"/>
          <w:sz w:val="26"/>
          <w:szCs w:val="26"/>
        </w:rPr>
        <w:t>the Commission answer</w:t>
      </w:r>
      <w:r w:rsidR="000D58B7">
        <w:rPr>
          <w:rFonts w:ascii="Times New Roman" w:eastAsia="Times New Roman" w:hAnsi="Times New Roman" w:cs="Times New Roman"/>
          <w:color w:val="000000"/>
          <w:sz w:val="26"/>
          <w:szCs w:val="26"/>
        </w:rPr>
        <w:t>ed</w:t>
      </w:r>
      <w:r w:rsidR="00CA7734" w:rsidRPr="00CA7734">
        <w:rPr>
          <w:rFonts w:ascii="Times New Roman" w:eastAsia="Times New Roman" w:hAnsi="Times New Roman" w:cs="Times New Roman"/>
          <w:color w:val="000000"/>
          <w:sz w:val="26"/>
          <w:szCs w:val="26"/>
        </w:rPr>
        <w:t xml:space="preserve"> I&amp;E’s question of whether the Commission should permit a certificated small water or wastewater public utility to proceed by its own petition pursuant to Section 529 of the Code.  In doing so, the Commission instituted a Section 529 investigation to determine whether it should order a capable public utility to acquire Twin Lakes consistent with the Order.  The Commission also directed I&amp;E to participate in the investigation and returned the matter to the Office of Administrative Law Judge for further proceedings as may be necessary.  </w:t>
      </w:r>
    </w:p>
    <w:p w14:paraId="02E7B80F"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0E8CB8A5" w14:textId="78AC1BC0" w:rsidR="00CA7734" w:rsidRPr="00CA7734" w:rsidRDefault="00C84C95" w:rsidP="00CA7734">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t>
      </w:r>
      <w:r w:rsidRPr="008157FE">
        <w:rPr>
          <w:rFonts w:ascii="Times New Roman" w:eastAsia="Times New Roman" w:hAnsi="Times New Roman" w:cs="Times New Roman"/>
          <w:i/>
          <w:iCs/>
          <w:color w:val="000000"/>
          <w:sz w:val="26"/>
          <w:szCs w:val="26"/>
        </w:rPr>
        <w:t>September 22 Order</w:t>
      </w:r>
      <w:r>
        <w:rPr>
          <w:rFonts w:ascii="Times New Roman" w:eastAsia="Times New Roman" w:hAnsi="Times New Roman" w:cs="Times New Roman"/>
          <w:color w:val="000000"/>
          <w:sz w:val="26"/>
          <w:szCs w:val="26"/>
        </w:rPr>
        <w:t>,</w:t>
      </w:r>
      <w:r w:rsidR="00CA7734" w:rsidRPr="00CA7734">
        <w:rPr>
          <w:rFonts w:ascii="Times New Roman" w:eastAsia="Times New Roman" w:hAnsi="Times New Roman" w:cs="Times New Roman"/>
          <w:color w:val="000000"/>
          <w:sz w:val="26"/>
          <w:szCs w:val="26"/>
        </w:rPr>
        <w:t xml:space="preserve"> the Commission affirmed the denial of the OCA’s Petition for emergency relief, and further prohibited Twin Lakes from terminating water utility service pursuant to its Commission approved </w:t>
      </w:r>
      <w:r w:rsidR="001A54A2">
        <w:rPr>
          <w:rFonts w:ascii="Times New Roman" w:eastAsia="Times New Roman" w:hAnsi="Times New Roman" w:cs="Times New Roman"/>
          <w:color w:val="000000"/>
          <w:sz w:val="26"/>
          <w:szCs w:val="26"/>
        </w:rPr>
        <w:t>Certificate</w:t>
      </w:r>
      <w:r w:rsidR="00CA7734" w:rsidRPr="00CA7734">
        <w:rPr>
          <w:rFonts w:ascii="Times New Roman" w:eastAsia="Times New Roman" w:hAnsi="Times New Roman" w:cs="Times New Roman"/>
          <w:color w:val="000000"/>
          <w:sz w:val="26"/>
          <w:szCs w:val="26"/>
        </w:rPr>
        <w:t xml:space="preserve"> until otherwise directed by the Commission.  </w:t>
      </w:r>
    </w:p>
    <w:p w14:paraId="47945754"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20E703A4" w14:textId="16BF4D2F"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The Commission’s </w:t>
      </w:r>
      <w:r w:rsidRPr="008157FE">
        <w:rPr>
          <w:rFonts w:ascii="Times New Roman" w:eastAsia="Times New Roman" w:hAnsi="Times New Roman" w:cs="Times New Roman"/>
          <w:i/>
          <w:iCs/>
          <w:color w:val="000000"/>
          <w:sz w:val="26"/>
          <w:szCs w:val="26"/>
        </w:rPr>
        <w:t>September 22 Order</w:t>
      </w:r>
      <w:r w:rsidRPr="00CA7734">
        <w:rPr>
          <w:rFonts w:ascii="Times New Roman" w:eastAsia="Times New Roman" w:hAnsi="Times New Roman" w:cs="Times New Roman"/>
          <w:color w:val="000000"/>
          <w:sz w:val="26"/>
          <w:szCs w:val="26"/>
        </w:rPr>
        <w:t xml:space="preserve"> also directed that Aqua conduct its due diligence and a reasonable investigation within 90 days as to whether it w</w:t>
      </w:r>
      <w:r w:rsidR="000040E9">
        <w:rPr>
          <w:rFonts w:ascii="Times New Roman" w:eastAsia="Times New Roman" w:hAnsi="Times New Roman" w:cs="Times New Roman"/>
          <w:color w:val="000000"/>
          <w:sz w:val="26"/>
          <w:szCs w:val="26"/>
        </w:rPr>
        <w:t>ould</w:t>
      </w:r>
      <w:r w:rsidRPr="00CA7734">
        <w:rPr>
          <w:rFonts w:ascii="Times New Roman" w:eastAsia="Times New Roman" w:hAnsi="Times New Roman" w:cs="Times New Roman"/>
          <w:color w:val="000000"/>
          <w:sz w:val="26"/>
          <w:szCs w:val="26"/>
        </w:rPr>
        <w:t xml:space="preserve"> voluntarily act as a receiver of the Twin Lakes water system and inform the Commission as to whether it w</w:t>
      </w:r>
      <w:r w:rsidR="000040E9">
        <w:rPr>
          <w:rFonts w:ascii="Times New Roman" w:eastAsia="Times New Roman" w:hAnsi="Times New Roman" w:cs="Times New Roman"/>
          <w:color w:val="000000"/>
          <w:sz w:val="26"/>
          <w:szCs w:val="26"/>
        </w:rPr>
        <w:t>ould</w:t>
      </w:r>
      <w:r w:rsidRPr="00CA7734">
        <w:rPr>
          <w:rFonts w:ascii="Times New Roman" w:eastAsia="Times New Roman" w:hAnsi="Times New Roman" w:cs="Times New Roman"/>
          <w:color w:val="000000"/>
          <w:sz w:val="26"/>
          <w:szCs w:val="26"/>
        </w:rPr>
        <w:t xml:space="preserve"> do so.  The Order further consolidated Twin Lakes’ applications for approval, </w:t>
      </w:r>
      <w:r w:rsidRPr="00CA7734">
        <w:rPr>
          <w:rFonts w:ascii="Times New Roman" w:eastAsia="Times New Roman" w:hAnsi="Times New Roman" w:cs="Times New Roman"/>
          <w:i/>
          <w:color w:val="000000"/>
          <w:sz w:val="26"/>
          <w:szCs w:val="26"/>
        </w:rPr>
        <w:t>nunc pro tunc</w:t>
      </w:r>
      <w:r w:rsidRPr="00CA7734">
        <w:rPr>
          <w:rFonts w:ascii="Times New Roman" w:eastAsia="Times New Roman" w:hAnsi="Times New Roman" w:cs="Times New Roman"/>
          <w:color w:val="000000"/>
          <w:sz w:val="26"/>
          <w:szCs w:val="26"/>
        </w:rPr>
        <w:t xml:space="preserve">, of the Amended Service Agreement.  The Commission acknowledged that there are three outstanding petitions for approval of affiliated service agreements between Twin Lakes and Middlesex regarding unsecured revolving promissory notes.  The Commission declined to consolidate those additional proceedings but deferred to the </w:t>
      </w:r>
      <w:r w:rsidR="00E6601A">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 xml:space="preserve">arties and the presiding officer if those proceedings should be consolidated with the Section 529 proceeding. </w:t>
      </w:r>
    </w:p>
    <w:p w14:paraId="5983610D"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202F0B96" w14:textId="22719BAE"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ALJ Cheskis convened a further prehearing conference on October 2, 2020.  The OCA, I&amp;E, Aqua, Twin Lakes, and the Sagamore Estates Property Owners Association participated</w:t>
      </w:r>
      <w:r w:rsidR="0062605D">
        <w:rPr>
          <w:rFonts w:ascii="Times New Roman" w:eastAsia="Times New Roman" w:hAnsi="Times New Roman" w:cs="Times New Roman"/>
          <w:color w:val="000000"/>
          <w:sz w:val="26"/>
          <w:szCs w:val="26"/>
        </w:rPr>
        <w:t xml:space="preserve"> in the </w:t>
      </w:r>
      <w:r w:rsidR="00C92752">
        <w:rPr>
          <w:rFonts w:ascii="Times New Roman" w:eastAsia="Times New Roman" w:hAnsi="Times New Roman" w:cs="Times New Roman"/>
          <w:color w:val="000000"/>
          <w:sz w:val="26"/>
          <w:szCs w:val="26"/>
        </w:rPr>
        <w:t xml:space="preserve">further </w:t>
      </w:r>
      <w:r w:rsidR="0062605D">
        <w:rPr>
          <w:rFonts w:ascii="Times New Roman" w:eastAsia="Times New Roman" w:hAnsi="Times New Roman" w:cs="Times New Roman"/>
          <w:color w:val="000000"/>
          <w:sz w:val="26"/>
          <w:szCs w:val="26"/>
        </w:rPr>
        <w:t>prehearing conference.</w:t>
      </w:r>
      <w:r w:rsidRPr="00CA7734">
        <w:rPr>
          <w:rFonts w:ascii="Times New Roman" w:eastAsia="Times New Roman" w:hAnsi="Times New Roman" w:cs="Times New Roman"/>
          <w:color w:val="000000"/>
          <w:sz w:val="26"/>
          <w:szCs w:val="26"/>
        </w:rPr>
        <w:t xml:space="preserve">  </w:t>
      </w:r>
    </w:p>
    <w:p w14:paraId="47DC477E"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68AF89FB" w14:textId="135CC615" w:rsidR="00CA7734" w:rsidRDefault="00CA7734" w:rsidP="00CA7734">
      <w:pPr>
        <w:spacing w:after="0" w:line="360" w:lineRule="auto"/>
        <w:ind w:firstLine="1440"/>
        <w:rPr>
          <w:rFonts w:ascii="Times New Roman" w:hAnsi="Times New Roman" w:cs="Times New Roman"/>
          <w:sz w:val="26"/>
          <w:szCs w:val="26"/>
        </w:rPr>
      </w:pPr>
      <w:r w:rsidRPr="00CA7734">
        <w:rPr>
          <w:rFonts w:ascii="Times New Roman" w:eastAsia="Times New Roman" w:hAnsi="Times New Roman" w:cs="Times New Roman"/>
          <w:color w:val="000000"/>
          <w:sz w:val="26"/>
          <w:szCs w:val="26"/>
        </w:rPr>
        <w:lastRenderedPageBreak/>
        <w:t xml:space="preserve">A third scheduling order was issued on October 5, 2020, memorializing the matters agreed to during the further prehearing conference held on October 2, 2020, and formally consolidating the petitions regarding the unsecured revolving promissory notes at Docket Nos. </w:t>
      </w:r>
      <w:r w:rsidRPr="00CA7734">
        <w:rPr>
          <w:rFonts w:ascii="Times New Roman" w:hAnsi="Times New Roman" w:cs="Times New Roman"/>
          <w:sz w:val="26"/>
          <w:szCs w:val="26"/>
        </w:rPr>
        <w:t>G-2020-3021018, G-2020-3021021, and</w:t>
      </w:r>
      <w:r w:rsidR="00C92752">
        <w:rPr>
          <w:rFonts w:ascii="Times New Roman" w:hAnsi="Times New Roman" w:cs="Times New Roman"/>
          <w:sz w:val="26"/>
          <w:szCs w:val="26"/>
        </w:rPr>
        <w:t xml:space="preserve"> </w:t>
      </w:r>
      <w:r w:rsidRPr="00CA7734">
        <w:rPr>
          <w:rFonts w:ascii="Times New Roman" w:hAnsi="Times New Roman" w:cs="Times New Roman"/>
          <w:sz w:val="26"/>
          <w:szCs w:val="26"/>
        </w:rPr>
        <w:t>G-2020-3021024.</w:t>
      </w:r>
    </w:p>
    <w:p w14:paraId="6927BF4F" w14:textId="77777777" w:rsidR="005C5096" w:rsidRPr="00CA7734" w:rsidRDefault="005C5096" w:rsidP="00CA7734">
      <w:pPr>
        <w:spacing w:after="0" w:line="360" w:lineRule="auto"/>
        <w:ind w:firstLine="1440"/>
        <w:rPr>
          <w:rFonts w:ascii="Times New Roman" w:eastAsia="Times New Roman" w:hAnsi="Times New Roman" w:cs="Times New Roman"/>
          <w:color w:val="000000"/>
          <w:sz w:val="26"/>
          <w:szCs w:val="26"/>
        </w:rPr>
      </w:pPr>
    </w:p>
    <w:p w14:paraId="008AC43A" w14:textId="7A299544"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The </w:t>
      </w:r>
      <w:r w:rsidR="00E6601A">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arties submitted the following pre-served written testimony and accompanying attachments pursuant to the litigation schedule</w:t>
      </w:r>
      <w:r w:rsidR="00E6601A">
        <w:rPr>
          <w:rFonts w:ascii="Times New Roman" w:eastAsia="Times New Roman" w:hAnsi="Times New Roman" w:cs="Times New Roman"/>
          <w:color w:val="000000"/>
          <w:sz w:val="26"/>
          <w:szCs w:val="26"/>
        </w:rPr>
        <w:t>:</w:t>
      </w:r>
      <w:r w:rsidRPr="00CA7734">
        <w:rPr>
          <w:rFonts w:ascii="Times New Roman" w:eastAsia="Times New Roman" w:hAnsi="Times New Roman" w:cs="Times New Roman"/>
          <w:color w:val="000000"/>
          <w:sz w:val="26"/>
          <w:szCs w:val="26"/>
          <w:vertAlign w:val="superscript"/>
        </w:rPr>
        <w:footnoteReference w:id="4"/>
      </w:r>
      <w:r w:rsidRPr="00CA7734">
        <w:rPr>
          <w:rFonts w:ascii="Times New Roman" w:eastAsia="Times New Roman" w:hAnsi="Times New Roman" w:cs="Times New Roman"/>
          <w:color w:val="000000"/>
          <w:sz w:val="26"/>
          <w:szCs w:val="26"/>
        </w:rPr>
        <w:t xml:space="preserve"> </w:t>
      </w:r>
    </w:p>
    <w:p w14:paraId="66969DCA"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3B303B7B" w14:textId="50D9AABB" w:rsidR="00CA7734" w:rsidRDefault="00CA7734" w:rsidP="00F55B21">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u w:val="single"/>
        </w:rPr>
        <w:t>Twin Lakes</w:t>
      </w:r>
      <w:r w:rsidRPr="00CA7734">
        <w:rPr>
          <w:rFonts w:ascii="Times New Roman" w:eastAsia="Times New Roman" w:hAnsi="Times New Roman" w:cs="Times New Roman"/>
          <w:color w:val="000000"/>
          <w:sz w:val="26"/>
          <w:szCs w:val="26"/>
        </w:rPr>
        <w:t xml:space="preserve"> </w:t>
      </w:r>
    </w:p>
    <w:p w14:paraId="324550BE" w14:textId="7F815AC8"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No. 1 – Direct Testimony of Robert K. Fullagar </w:t>
      </w:r>
    </w:p>
    <w:p w14:paraId="28375A19"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No. 2 – Direct Testimony of Bruce O’Connor </w:t>
      </w:r>
    </w:p>
    <w:p w14:paraId="6E883916"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No. 2-R – Rebuttal Testimony of Bruce O’Connor </w:t>
      </w:r>
    </w:p>
    <w:p w14:paraId="7B02F02F" w14:textId="7E975C53"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Statement No. 2-SR – Surrebut</w:t>
      </w:r>
      <w:r w:rsidR="009559B6">
        <w:rPr>
          <w:rFonts w:ascii="Times New Roman" w:eastAsia="Times New Roman" w:hAnsi="Times New Roman" w:cs="Times New Roman"/>
          <w:color w:val="000000"/>
          <w:sz w:val="26"/>
          <w:szCs w:val="26"/>
        </w:rPr>
        <w:t>t</w:t>
      </w:r>
      <w:r w:rsidRPr="00CA7734">
        <w:rPr>
          <w:rFonts w:ascii="Times New Roman" w:eastAsia="Times New Roman" w:hAnsi="Times New Roman" w:cs="Times New Roman"/>
          <w:color w:val="000000"/>
          <w:sz w:val="26"/>
          <w:szCs w:val="26"/>
        </w:rPr>
        <w:t xml:space="preserve">al Testimony of Bruce O’Connor </w:t>
      </w:r>
    </w:p>
    <w:p w14:paraId="42723A5E" w14:textId="77777777" w:rsidR="005C5096" w:rsidRDefault="005C5096" w:rsidP="005C5096">
      <w:pPr>
        <w:spacing w:after="0" w:line="240" w:lineRule="auto"/>
        <w:ind w:firstLine="1440"/>
        <w:rPr>
          <w:rFonts w:ascii="Times New Roman" w:eastAsia="Times New Roman" w:hAnsi="Times New Roman" w:cs="Times New Roman"/>
          <w:color w:val="000000"/>
          <w:sz w:val="26"/>
          <w:szCs w:val="26"/>
          <w:u w:val="single"/>
        </w:rPr>
      </w:pPr>
    </w:p>
    <w:p w14:paraId="3AC52A32" w14:textId="11546EC3" w:rsidR="00CA7734" w:rsidRDefault="00CA7734" w:rsidP="00F55B21">
      <w:pPr>
        <w:spacing w:after="0" w:line="360" w:lineRule="auto"/>
        <w:ind w:firstLine="1440"/>
        <w:rPr>
          <w:rFonts w:ascii="Times New Roman" w:eastAsia="Times New Roman" w:hAnsi="Times New Roman" w:cs="Times New Roman"/>
          <w:color w:val="000000"/>
          <w:sz w:val="26"/>
          <w:szCs w:val="26"/>
          <w:u w:val="single"/>
        </w:rPr>
      </w:pPr>
      <w:r w:rsidRPr="005C5096">
        <w:rPr>
          <w:rFonts w:ascii="Times New Roman" w:eastAsia="Times New Roman" w:hAnsi="Times New Roman" w:cs="Times New Roman"/>
          <w:color w:val="000000"/>
          <w:sz w:val="26"/>
          <w:szCs w:val="26"/>
          <w:u w:val="single"/>
        </w:rPr>
        <w:t xml:space="preserve">I&amp;E </w:t>
      </w:r>
    </w:p>
    <w:p w14:paraId="38F08207"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1 – Direct Testimony of Esyan Sakaya </w:t>
      </w:r>
    </w:p>
    <w:p w14:paraId="7DB9136A"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1-SR – Surrebuttal Testimony of Esyan Sakaya </w:t>
      </w:r>
    </w:p>
    <w:p w14:paraId="402AD7A6"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2 – Direct Testimony of Christopher Keller </w:t>
      </w:r>
    </w:p>
    <w:p w14:paraId="469FC4CF"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2-SR – Surrebuttal Testimony of Christopher Keller </w:t>
      </w:r>
    </w:p>
    <w:p w14:paraId="371739B1" w14:textId="77777777" w:rsidR="005C5096" w:rsidRDefault="005C5096" w:rsidP="005C5096">
      <w:pPr>
        <w:spacing w:after="0" w:line="240" w:lineRule="auto"/>
        <w:ind w:firstLine="1440"/>
        <w:rPr>
          <w:rFonts w:ascii="Times New Roman" w:eastAsia="Times New Roman" w:hAnsi="Times New Roman" w:cs="Times New Roman"/>
          <w:color w:val="000000"/>
          <w:sz w:val="26"/>
          <w:szCs w:val="26"/>
        </w:rPr>
      </w:pPr>
    </w:p>
    <w:p w14:paraId="7A4E1A4E" w14:textId="38264935" w:rsidR="00CA7734" w:rsidRDefault="00CA7734" w:rsidP="00F55B21">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u w:val="single"/>
        </w:rPr>
        <w:t>OCA</w:t>
      </w:r>
      <w:r w:rsidRPr="00CA7734">
        <w:rPr>
          <w:rFonts w:ascii="Times New Roman" w:eastAsia="Times New Roman" w:hAnsi="Times New Roman" w:cs="Times New Roman"/>
          <w:color w:val="000000"/>
          <w:sz w:val="26"/>
          <w:szCs w:val="26"/>
        </w:rPr>
        <w:t xml:space="preserve"> </w:t>
      </w:r>
    </w:p>
    <w:p w14:paraId="21540BC3"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1 – Direct Testimony of Morgan DeAngelo </w:t>
      </w:r>
    </w:p>
    <w:p w14:paraId="30540132" w14:textId="163E68F8"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Statement 1-S</w:t>
      </w:r>
      <w:r w:rsidR="00D12469">
        <w:rPr>
          <w:rFonts w:ascii="Times New Roman" w:eastAsia="Times New Roman" w:hAnsi="Times New Roman" w:cs="Times New Roman"/>
          <w:color w:val="000000"/>
          <w:sz w:val="26"/>
          <w:szCs w:val="26"/>
        </w:rPr>
        <w:t>R</w:t>
      </w:r>
      <w:r w:rsidRPr="00CA7734">
        <w:rPr>
          <w:rFonts w:ascii="Times New Roman" w:eastAsia="Times New Roman" w:hAnsi="Times New Roman" w:cs="Times New Roman"/>
          <w:color w:val="000000"/>
          <w:sz w:val="26"/>
          <w:szCs w:val="26"/>
        </w:rPr>
        <w:t xml:space="preserve"> – Surrebuttal Testimony of Morgan DeAngelo </w:t>
      </w:r>
    </w:p>
    <w:p w14:paraId="21BEAE56"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2 – Direct Testimony of Terry Fought </w:t>
      </w:r>
    </w:p>
    <w:p w14:paraId="2B32E48C" w14:textId="734DAFD5"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Statement 2-S</w:t>
      </w:r>
      <w:r w:rsidR="00D12469">
        <w:rPr>
          <w:rFonts w:ascii="Times New Roman" w:eastAsia="Times New Roman" w:hAnsi="Times New Roman" w:cs="Times New Roman"/>
          <w:color w:val="000000"/>
          <w:sz w:val="26"/>
          <w:szCs w:val="26"/>
        </w:rPr>
        <w:t>R</w:t>
      </w:r>
      <w:r w:rsidRPr="00CA7734">
        <w:rPr>
          <w:rFonts w:ascii="Times New Roman" w:eastAsia="Times New Roman" w:hAnsi="Times New Roman" w:cs="Times New Roman"/>
          <w:color w:val="000000"/>
          <w:sz w:val="26"/>
          <w:szCs w:val="26"/>
        </w:rPr>
        <w:t xml:space="preserve"> – Surrebuttal Testimony of Terry Fought </w:t>
      </w:r>
    </w:p>
    <w:p w14:paraId="5A769764"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129AAA94" w14:textId="55EB9A76" w:rsidR="00CA7734" w:rsidRDefault="00CA7734" w:rsidP="00F55B21">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u w:val="single"/>
        </w:rPr>
        <w:t>Aqua</w:t>
      </w:r>
      <w:r w:rsidRPr="00CA7734">
        <w:rPr>
          <w:rFonts w:ascii="Times New Roman" w:eastAsia="Times New Roman" w:hAnsi="Times New Roman" w:cs="Times New Roman"/>
          <w:color w:val="000000"/>
          <w:sz w:val="26"/>
          <w:szCs w:val="26"/>
        </w:rPr>
        <w:t xml:space="preserve"> </w:t>
      </w:r>
    </w:p>
    <w:p w14:paraId="528E9BAC"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1 – Direct Testimony of Stephen Clark </w:t>
      </w:r>
    </w:p>
    <w:p w14:paraId="43F70042"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1-R – Rebuttal Testimony of Stephen Clark </w:t>
      </w:r>
    </w:p>
    <w:p w14:paraId="75D1B798"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2-R – Rebuttal Testimony of William Packer </w:t>
      </w:r>
    </w:p>
    <w:p w14:paraId="097D3756" w14:textId="77777777" w:rsidR="00CA7734" w:rsidRPr="00CA7734" w:rsidRDefault="00CA7734" w:rsidP="005C5096">
      <w:pPr>
        <w:spacing w:after="0" w:line="24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r w:rsidRPr="00CA7734">
        <w:rPr>
          <w:rFonts w:ascii="Times New Roman" w:eastAsia="Times New Roman" w:hAnsi="Times New Roman" w:cs="Times New Roman"/>
          <w:color w:val="000000"/>
          <w:sz w:val="26"/>
          <w:szCs w:val="26"/>
        </w:rPr>
        <w:tab/>
        <w:t xml:space="preserve">Statement 2-SR – Surrebuttal Testimony of William Packer  </w:t>
      </w:r>
    </w:p>
    <w:p w14:paraId="23C08E20"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1720CA77" w14:textId="28503C0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lastRenderedPageBreak/>
        <w:t xml:space="preserve">On December 16, 2020, Aqua submitted a letter pursuant to the Commission’s </w:t>
      </w:r>
      <w:r w:rsidRPr="00FD1613">
        <w:rPr>
          <w:rFonts w:ascii="Times New Roman" w:eastAsia="Times New Roman" w:hAnsi="Times New Roman" w:cs="Times New Roman"/>
          <w:i/>
          <w:iCs/>
          <w:color w:val="000000"/>
          <w:sz w:val="26"/>
          <w:szCs w:val="26"/>
        </w:rPr>
        <w:t>September 22 Order</w:t>
      </w:r>
      <w:r w:rsidRPr="00CA7734">
        <w:rPr>
          <w:rFonts w:ascii="Times New Roman" w:eastAsia="Times New Roman" w:hAnsi="Times New Roman" w:cs="Times New Roman"/>
          <w:color w:val="000000"/>
          <w:sz w:val="26"/>
          <w:szCs w:val="26"/>
        </w:rPr>
        <w:t xml:space="preserve">, indicating that it will voluntarily act as receiver of Twin Lakes effective January 4, 2021 until resolution of the Section 529 proceeding.  </w:t>
      </w:r>
    </w:p>
    <w:p w14:paraId="6003EC34"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118970D8" w14:textId="675F849E"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On December 22, 2020, Aqua submitted a second letter wherein Aqua indicated that it would begin acting as receiver on January 15, 2021, instead of January</w:t>
      </w:r>
      <w:r w:rsidR="00A426A8">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4,</w:t>
      </w:r>
      <w:r w:rsidR="00A426A8">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2021, in order to allow the Commission to act on this request at its January</w:t>
      </w:r>
      <w:r w:rsidR="00F00604">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14,</w:t>
      </w:r>
      <w:r w:rsidR="00F00604">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2021 Public Meeting.  Aqua also attached to its letter a proposed Order Appointing Receiver which is a proposed form of order that appoints Aqua receiver as of January 15, 2021 and specifies Aqua’s duties and responsibilities as receiver.  Aqua noted that neither I&amp;E, OCA nor Twin Lakes object</w:t>
      </w:r>
      <w:r w:rsidR="00777F9A">
        <w:rPr>
          <w:rFonts w:ascii="Times New Roman" w:eastAsia="Times New Roman" w:hAnsi="Times New Roman" w:cs="Times New Roman"/>
          <w:color w:val="000000"/>
          <w:sz w:val="26"/>
          <w:szCs w:val="26"/>
        </w:rPr>
        <w:t>ed</w:t>
      </w:r>
      <w:r w:rsidRPr="00CA7734">
        <w:rPr>
          <w:rFonts w:ascii="Times New Roman" w:eastAsia="Times New Roman" w:hAnsi="Times New Roman" w:cs="Times New Roman"/>
          <w:color w:val="000000"/>
          <w:sz w:val="26"/>
          <w:szCs w:val="26"/>
        </w:rPr>
        <w:t xml:space="preserve"> to the proposed Order Appointing Receiver. </w:t>
      </w:r>
    </w:p>
    <w:p w14:paraId="60BABBCC"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76C37D30" w14:textId="5A437B40"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An </w:t>
      </w:r>
      <w:r w:rsidR="00A1329F">
        <w:rPr>
          <w:rFonts w:ascii="Times New Roman" w:eastAsia="Times New Roman" w:hAnsi="Times New Roman" w:cs="Times New Roman"/>
          <w:color w:val="000000"/>
          <w:sz w:val="26"/>
          <w:szCs w:val="26"/>
        </w:rPr>
        <w:t>O</w:t>
      </w:r>
      <w:r w:rsidRPr="00CA7734">
        <w:rPr>
          <w:rFonts w:ascii="Times New Roman" w:eastAsia="Times New Roman" w:hAnsi="Times New Roman" w:cs="Times New Roman"/>
          <w:color w:val="000000"/>
          <w:sz w:val="26"/>
          <w:szCs w:val="26"/>
        </w:rPr>
        <w:t xml:space="preserve">rder </w:t>
      </w:r>
      <w:r w:rsidR="00A1329F">
        <w:rPr>
          <w:rFonts w:ascii="Times New Roman" w:eastAsia="Times New Roman" w:hAnsi="Times New Roman" w:cs="Times New Roman"/>
          <w:color w:val="000000"/>
          <w:sz w:val="26"/>
          <w:szCs w:val="26"/>
        </w:rPr>
        <w:t>C</w:t>
      </w:r>
      <w:r w:rsidRPr="00CA7734">
        <w:rPr>
          <w:rFonts w:ascii="Times New Roman" w:eastAsia="Times New Roman" w:hAnsi="Times New Roman" w:cs="Times New Roman"/>
          <w:color w:val="000000"/>
          <w:sz w:val="26"/>
          <w:szCs w:val="26"/>
        </w:rPr>
        <w:t xml:space="preserve">ertifying </w:t>
      </w:r>
      <w:r w:rsidR="00A1329F">
        <w:rPr>
          <w:rFonts w:ascii="Times New Roman" w:eastAsia="Times New Roman" w:hAnsi="Times New Roman" w:cs="Times New Roman"/>
          <w:color w:val="000000"/>
          <w:sz w:val="26"/>
          <w:szCs w:val="26"/>
        </w:rPr>
        <w:t>a M</w:t>
      </w:r>
      <w:r w:rsidRPr="00CA7734">
        <w:rPr>
          <w:rFonts w:ascii="Times New Roman" w:eastAsia="Times New Roman" w:hAnsi="Times New Roman" w:cs="Times New Roman"/>
          <w:color w:val="000000"/>
          <w:sz w:val="26"/>
          <w:szCs w:val="26"/>
        </w:rPr>
        <w:t xml:space="preserve">aterial </w:t>
      </w:r>
      <w:r w:rsidR="00A1329F">
        <w:rPr>
          <w:rFonts w:ascii="Times New Roman" w:eastAsia="Times New Roman" w:hAnsi="Times New Roman" w:cs="Times New Roman"/>
          <w:color w:val="000000"/>
          <w:sz w:val="26"/>
          <w:szCs w:val="26"/>
        </w:rPr>
        <w:t>Q</w:t>
      </w:r>
      <w:r w:rsidRPr="00CA7734">
        <w:rPr>
          <w:rFonts w:ascii="Times New Roman" w:eastAsia="Times New Roman" w:hAnsi="Times New Roman" w:cs="Times New Roman"/>
          <w:color w:val="000000"/>
          <w:sz w:val="26"/>
          <w:szCs w:val="26"/>
        </w:rPr>
        <w:t xml:space="preserve">uestion pursuant to Section 5.305 of the Commission’s </w:t>
      </w:r>
      <w:r w:rsidR="00600BB5">
        <w:rPr>
          <w:rFonts w:ascii="Times New Roman" w:eastAsia="Times New Roman" w:hAnsi="Times New Roman" w:cs="Times New Roman"/>
          <w:color w:val="000000"/>
          <w:sz w:val="26"/>
          <w:szCs w:val="26"/>
        </w:rPr>
        <w:t>R</w:t>
      </w:r>
      <w:r w:rsidRPr="00CA7734">
        <w:rPr>
          <w:rFonts w:ascii="Times New Roman" w:eastAsia="Times New Roman" w:hAnsi="Times New Roman" w:cs="Times New Roman"/>
          <w:color w:val="000000"/>
          <w:sz w:val="26"/>
          <w:szCs w:val="26"/>
        </w:rPr>
        <w:t xml:space="preserve">egulations, was issued on December 30, 2020, to answer the question:  </w:t>
      </w:r>
    </w:p>
    <w:p w14:paraId="44A692D9" w14:textId="352571CD" w:rsidR="00CA7734" w:rsidRPr="00CA7734" w:rsidRDefault="00CA7734" w:rsidP="00F00604">
      <w:pPr>
        <w:spacing w:after="0" w:line="240" w:lineRule="auto"/>
        <w:ind w:firstLine="1440"/>
        <w:rPr>
          <w:rFonts w:ascii="Times New Roman" w:eastAsia="Times New Roman" w:hAnsi="Times New Roman" w:cs="Times New Roman"/>
          <w:color w:val="000000"/>
          <w:sz w:val="26"/>
          <w:szCs w:val="26"/>
        </w:rPr>
      </w:pPr>
    </w:p>
    <w:p w14:paraId="455C64C6" w14:textId="77777777" w:rsidR="00CA7734" w:rsidRPr="00CA7734" w:rsidRDefault="00CA7734" w:rsidP="00583049">
      <w:pPr>
        <w:spacing w:after="0" w:line="240" w:lineRule="auto"/>
        <w:ind w:left="1440" w:right="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Whether the Commission should adopt the offer of Aqua Pennsylvania, Inc. to voluntarily act as a receiver of the Twin Lakes Utilities, Inc. water system effective January 15, 2021 with the duties and responsibilities as set forth in Aqua Pennsylvania, Inc.’s letters to the Commission dated December 16, 2020 and December 22, 2020, including the unopposed proposed Order Appointing Receiver attached to the December 22, 2020 letter. </w:t>
      </w:r>
    </w:p>
    <w:p w14:paraId="0492E6E3"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12B0359C" w14:textId="695B3360" w:rsidR="00CA7734" w:rsidRPr="00CA7734" w:rsidRDefault="00CA7734" w:rsidP="00F0060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i/>
          <w:color w:val="000000"/>
          <w:sz w:val="26"/>
          <w:szCs w:val="26"/>
        </w:rPr>
        <w:t xml:space="preserve">Suggested Answer:  </w:t>
      </w:r>
      <w:r w:rsidR="00775976">
        <w:rPr>
          <w:rFonts w:ascii="Times New Roman" w:eastAsia="Times New Roman" w:hAnsi="Times New Roman" w:cs="Times New Roman"/>
          <w:i/>
          <w:color w:val="000000"/>
          <w:sz w:val="26"/>
          <w:szCs w:val="26"/>
        </w:rPr>
        <w:t>Y</w:t>
      </w:r>
      <w:r w:rsidRPr="00CA7734">
        <w:rPr>
          <w:rFonts w:ascii="Times New Roman" w:eastAsia="Times New Roman" w:hAnsi="Times New Roman" w:cs="Times New Roman"/>
          <w:i/>
          <w:color w:val="000000"/>
          <w:sz w:val="26"/>
          <w:szCs w:val="26"/>
        </w:rPr>
        <w:t xml:space="preserve">es. </w:t>
      </w:r>
    </w:p>
    <w:p w14:paraId="0D055C6B" w14:textId="77777777" w:rsidR="00CA7734" w:rsidRPr="00CA7734" w:rsidRDefault="00CA7734" w:rsidP="00F0060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21B737EF" w14:textId="7B41E509" w:rsidR="00CA7734" w:rsidRDefault="00CA7734" w:rsidP="00F0060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On January 5, 2021, a hearing was held on the Twin Lakes </w:t>
      </w:r>
      <w:r w:rsidR="00554EA4">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 xml:space="preserve">etition, now treated as an investigation instituted under Section 529, as directed by the Commission’s </w:t>
      </w:r>
      <w:r w:rsidRPr="00583049">
        <w:rPr>
          <w:rFonts w:ascii="Times New Roman" w:eastAsia="Times New Roman" w:hAnsi="Times New Roman" w:cs="Times New Roman"/>
          <w:i/>
          <w:iCs/>
          <w:color w:val="000000"/>
          <w:sz w:val="26"/>
          <w:szCs w:val="26"/>
        </w:rPr>
        <w:t xml:space="preserve">September 17 </w:t>
      </w:r>
      <w:r w:rsidR="00160909" w:rsidRPr="00583049">
        <w:rPr>
          <w:rFonts w:ascii="Times New Roman" w:eastAsia="Times New Roman" w:hAnsi="Times New Roman" w:cs="Times New Roman"/>
          <w:i/>
          <w:iCs/>
          <w:color w:val="000000"/>
          <w:sz w:val="26"/>
          <w:szCs w:val="26"/>
        </w:rPr>
        <w:t>O</w:t>
      </w:r>
      <w:r w:rsidRPr="00583049">
        <w:rPr>
          <w:rFonts w:ascii="Times New Roman" w:eastAsia="Times New Roman" w:hAnsi="Times New Roman" w:cs="Times New Roman"/>
          <w:i/>
          <w:iCs/>
          <w:color w:val="000000"/>
          <w:sz w:val="26"/>
          <w:szCs w:val="26"/>
        </w:rPr>
        <w:t>rder</w:t>
      </w:r>
      <w:r w:rsidRPr="00CA7734">
        <w:rPr>
          <w:rFonts w:ascii="Times New Roman" w:eastAsia="Times New Roman" w:hAnsi="Times New Roman" w:cs="Times New Roman"/>
          <w:color w:val="000000"/>
          <w:sz w:val="26"/>
          <w:szCs w:val="26"/>
        </w:rPr>
        <w:t xml:space="preserve">.  Jay Kooper, Esquire and Lauren Burge, Esquire appeared on behalf of Twin Lakes; Christine Hoover, Esquire and Lauren Guerra, Esquire appeared on behalf of the OCA; Scott Granger, Esquire appeared on behalf of I&amp;E; and Garrett Lent, </w:t>
      </w:r>
      <w:r w:rsidRPr="00CA7734">
        <w:rPr>
          <w:rFonts w:ascii="Times New Roman" w:eastAsia="Times New Roman" w:hAnsi="Times New Roman" w:cs="Times New Roman"/>
          <w:color w:val="000000"/>
          <w:sz w:val="26"/>
          <w:szCs w:val="26"/>
        </w:rPr>
        <w:lastRenderedPageBreak/>
        <w:t>Esquire, Alex Stahl, Esquire and Kim Joyce, Esquire, appeared on behalf of Aqua.  Witnesses were subject to cross examination and pre-served testimony and accompanying attachments were admitted into the record.  A briefing order was issued on January</w:t>
      </w:r>
      <w:r w:rsidR="00F00604">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5,</w:t>
      </w:r>
      <w:r w:rsidR="00F00604">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2021</w:t>
      </w:r>
      <w:r w:rsidR="00220FBA">
        <w:rPr>
          <w:rFonts w:ascii="Times New Roman" w:eastAsia="Times New Roman" w:hAnsi="Times New Roman" w:cs="Times New Roman"/>
          <w:color w:val="000000"/>
          <w:sz w:val="26"/>
          <w:szCs w:val="26"/>
        </w:rPr>
        <w:t>,</w:t>
      </w:r>
      <w:r w:rsidRPr="00CA7734">
        <w:rPr>
          <w:rFonts w:ascii="Times New Roman" w:eastAsia="Times New Roman" w:hAnsi="Times New Roman" w:cs="Times New Roman"/>
          <w:color w:val="000000"/>
          <w:sz w:val="26"/>
          <w:szCs w:val="26"/>
        </w:rPr>
        <w:t xml:space="preserve"> memorializing the briefing schedule agreed upon by the </w:t>
      </w:r>
      <w:r w:rsidR="00712E5B">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 xml:space="preserve">arties and addressing additional procedural issues regarding briefs.  </w:t>
      </w:r>
    </w:p>
    <w:p w14:paraId="56E0B1BF" w14:textId="77777777" w:rsidR="00F00604" w:rsidRPr="00CA7734" w:rsidRDefault="00F00604" w:rsidP="00F00604">
      <w:pPr>
        <w:spacing w:after="0" w:line="360" w:lineRule="auto"/>
        <w:ind w:firstLine="1440"/>
        <w:rPr>
          <w:rFonts w:ascii="Times New Roman" w:eastAsia="Times New Roman" w:hAnsi="Times New Roman" w:cs="Times New Roman"/>
          <w:color w:val="000000"/>
          <w:sz w:val="26"/>
          <w:szCs w:val="26"/>
        </w:rPr>
      </w:pPr>
    </w:p>
    <w:p w14:paraId="7809F902" w14:textId="553719B6"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At </w:t>
      </w:r>
      <w:r w:rsidR="008461AB">
        <w:rPr>
          <w:rFonts w:ascii="Times New Roman" w:eastAsia="Times New Roman" w:hAnsi="Times New Roman" w:cs="Times New Roman"/>
          <w:color w:val="000000"/>
          <w:sz w:val="26"/>
          <w:szCs w:val="26"/>
        </w:rPr>
        <w:t xml:space="preserve">the </w:t>
      </w:r>
      <w:r w:rsidR="0022227A">
        <w:rPr>
          <w:rFonts w:ascii="Times New Roman" w:eastAsia="Times New Roman" w:hAnsi="Times New Roman" w:cs="Times New Roman"/>
          <w:color w:val="000000"/>
          <w:sz w:val="26"/>
          <w:szCs w:val="26"/>
        </w:rPr>
        <w:t>P</w:t>
      </w:r>
      <w:r w:rsidRPr="00CA7734">
        <w:rPr>
          <w:rFonts w:ascii="Times New Roman" w:eastAsia="Times New Roman" w:hAnsi="Times New Roman" w:cs="Times New Roman"/>
          <w:color w:val="000000"/>
          <w:sz w:val="26"/>
          <w:szCs w:val="26"/>
        </w:rPr>
        <w:t>ublic Meeting held January 14, 2021, the Commission issued an order approving the appointment of Aqua as the receiver of Twin Lakes, effective January 15, 2021, to continue during the pendency of the Section 529 proceeding.  Aqua</w:t>
      </w:r>
      <w:r w:rsidR="00F00604">
        <w:rPr>
          <w:rFonts w:ascii="Times New Roman" w:eastAsia="Times New Roman" w:hAnsi="Times New Roman" w:cs="Times New Roman"/>
          <w:color w:val="000000"/>
          <w:sz w:val="26"/>
          <w:szCs w:val="26"/>
        </w:rPr>
        <w:t> </w:t>
      </w:r>
      <w:r w:rsidRPr="00CA7734">
        <w:rPr>
          <w:rFonts w:ascii="Times New Roman" w:eastAsia="Times New Roman" w:hAnsi="Times New Roman" w:cs="Times New Roman"/>
          <w:color w:val="000000"/>
          <w:sz w:val="26"/>
          <w:szCs w:val="26"/>
        </w:rPr>
        <w:t xml:space="preserve">assumed receivership of Twin Lakes on January 15, 2021. </w:t>
      </w:r>
    </w:p>
    <w:p w14:paraId="31A2B784"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4A670B1C"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Twin Lakes, Aqua, I&amp;E and the OCA each submitted main briefs on February 5, 2021, and reply briefs were filed on February 25, 2021, pursuant to the agreed upon schedule. </w:t>
      </w:r>
    </w:p>
    <w:p w14:paraId="6E2207F0"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 </w:t>
      </w:r>
    </w:p>
    <w:p w14:paraId="2A976911"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The record in this case closed on February 25, 2021, when the reply briefs were filed.  </w:t>
      </w:r>
    </w:p>
    <w:p w14:paraId="0DA673CA"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45B4D237" w14:textId="21C4707D"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t xml:space="preserve">On April 22, 2021, the ALJ issued a Recommended Decision, recommending approval, pursuant to Section 529, of the acquisition of Twin Lakes by a capable public utility, subject to the condition that Middlesex place into escrow $1,675,000 to be used to offset the costs of replacing and remediating the existing infrastructure.  In addition, the ALJ recommended that Twin Lakes and Aqua be directed to commence arms-length negotiations for a purchase price for the Commission’s approval.  Finally, </w:t>
      </w:r>
      <w:r w:rsidR="0087547D">
        <w:rPr>
          <w:rFonts w:ascii="Times New Roman" w:eastAsia="Times New Roman" w:hAnsi="Times New Roman" w:cs="Times New Roman"/>
          <w:color w:val="000000"/>
          <w:sz w:val="26"/>
          <w:szCs w:val="26"/>
        </w:rPr>
        <w:t xml:space="preserve">the </w:t>
      </w:r>
      <w:r w:rsidRPr="00CA7734">
        <w:rPr>
          <w:rFonts w:ascii="Times New Roman" w:eastAsia="Times New Roman" w:hAnsi="Times New Roman" w:cs="Times New Roman"/>
          <w:color w:val="000000"/>
          <w:sz w:val="26"/>
          <w:szCs w:val="26"/>
        </w:rPr>
        <w:t xml:space="preserve">ALJ’s decision also recommended the approval of the three outstanding unsecured revolving promissory notes of Twin Lakes held by </w:t>
      </w:r>
      <w:r w:rsidR="00B25463" w:rsidRPr="00CA7734">
        <w:rPr>
          <w:rFonts w:ascii="Times New Roman" w:eastAsia="Times New Roman" w:hAnsi="Times New Roman" w:cs="Times New Roman"/>
          <w:color w:val="000000"/>
          <w:sz w:val="26"/>
          <w:szCs w:val="26"/>
        </w:rPr>
        <w:t>Middlesex</w:t>
      </w:r>
      <w:r w:rsidRPr="00CA7734">
        <w:rPr>
          <w:rFonts w:ascii="Times New Roman" w:eastAsia="Times New Roman" w:hAnsi="Times New Roman" w:cs="Times New Roman"/>
          <w:color w:val="000000"/>
          <w:sz w:val="26"/>
          <w:szCs w:val="26"/>
        </w:rPr>
        <w:t xml:space="preserve"> and the denial of the outstanding amendments to the operational agreement between Twin Lakes and </w:t>
      </w:r>
      <w:r w:rsidR="00B5100C" w:rsidRPr="00CA7734">
        <w:rPr>
          <w:rFonts w:ascii="Times New Roman" w:eastAsia="Times New Roman" w:hAnsi="Times New Roman" w:cs="Times New Roman"/>
          <w:color w:val="000000"/>
          <w:sz w:val="26"/>
          <w:szCs w:val="26"/>
        </w:rPr>
        <w:t>Middlesex</w:t>
      </w:r>
      <w:r w:rsidRPr="00CA7734">
        <w:rPr>
          <w:rFonts w:ascii="Times New Roman" w:eastAsia="Times New Roman" w:hAnsi="Times New Roman" w:cs="Times New Roman"/>
          <w:color w:val="000000"/>
          <w:sz w:val="26"/>
          <w:szCs w:val="26"/>
        </w:rPr>
        <w:t xml:space="preserve"> as moot. </w:t>
      </w:r>
    </w:p>
    <w:p w14:paraId="44F16CE9" w14:textId="77777777"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p>
    <w:p w14:paraId="7CEBF3D1" w14:textId="1BB12D48" w:rsidR="00CA7734" w:rsidRPr="00CA7734" w:rsidRDefault="00CA7734" w:rsidP="00CA7734">
      <w:pPr>
        <w:spacing w:after="0" w:line="360" w:lineRule="auto"/>
        <w:ind w:firstLine="1440"/>
        <w:rPr>
          <w:rFonts w:ascii="Times New Roman" w:eastAsia="Times New Roman" w:hAnsi="Times New Roman" w:cs="Times New Roman"/>
          <w:color w:val="000000"/>
          <w:sz w:val="26"/>
          <w:szCs w:val="26"/>
        </w:rPr>
      </w:pPr>
      <w:r w:rsidRPr="00CA7734">
        <w:rPr>
          <w:rFonts w:ascii="Times New Roman" w:eastAsia="Times New Roman" w:hAnsi="Times New Roman" w:cs="Times New Roman"/>
          <w:color w:val="000000"/>
          <w:sz w:val="26"/>
          <w:szCs w:val="26"/>
        </w:rPr>
        <w:lastRenderedPageBreak/>
        <w:t xml:space="preserve">As previously noted, </w:t>
      </w:r>
      <w:r w:rsidR="006122ED">
        <w:rPr>
          <w:rFonts w:ascii="Times New Roman" w:eastAsia="Times New Roman" w:hAnsi="Times New Roman" w:cs="Times New Roman"/>
          <w:color w:val="000000"/>
          <w:sz w:val="26"/>
          <w:szCs w:val="26"/>
        </w:rPr>
        <w:t>E</w:t>
      </w:r>
      <w:r w:rsidRPr="00CA7734">
        <w:rPr>
          <w:rFonts w:ascii="Times New Roman" w:eastAsia="Times New Roman" w:hAnsi="Times New Roman" w:cs="Times New Roman"/>
          <w:color w:val="000000"/>
          <w:sz w:val="26"/>
          <w:szCs w:val="26"/>
        </w:rPr>
        <w:t xml:space="preserve">xceptions and </w:t>
      </w:r>
      <w:r w:rsidR="006122ED">
        <w:rPr>
          <w:rFonts w:ascii="Times New Roman" w:eastAsia="Times New Roman" w:hAnsi="Times New Roman" w:cs="Times New Roman"/>
          <w:color w:val="000000"/>
          <w:sz w:val="26"/>
          <w:szCs w:val="26"/>
        </w:rPr>
        <w:t>R</w:t>
      </w:r>
      <w:r w:rsidRPr="00CA7734">
        <w:rPr>
          <w:rFonts w:ascii="Times New Roman" w:eastAsia="Times New Roman" w:hAnsi="Times New Roman" w:cs="Times New Roman"/>
          <w:color w:val="000000"/>
          <w:sz w:val="26"/>
          <w:szCs w:val="26"/>
        </w:rPr>
        <w:t>eplies</w:t>
      </w:r>
      <w:r w:rsidR="006122ED">
        <w:rPr>
          <w:rFonts w:ascii="Times New Roman" w:eastAsia="Times New Roman" w:hAnsi="Times New Roman" w:cs="Times New Roman"/>
          <w:color w:val="000000"/>
          <w:sz w:val="26"/>
          <w:szCs w:val="26"/>
        </w:rPr>
        <w:t xml:space="preserve"> thereto</w:t>
      </w:r>
      <w:r w:rsidRPr="00CA7734">
        <w:rPr>
          <w:rFonts w:ascii="Times New Roman" w:eastAsia="Times New Roman" w:hAnsi="Times New Roman" w:cs="Times New Roman"/>
          <w:color w:val="000000"/>
          <w:sz w:val="26"/>
          <w:szCs w:val="26"/>
        </w:rPr>
        <w:t xml:space="preserve"> were filed to the ALJ’s Recommended Decision.  </w:t>
      </w:r>
    </w:p>
    <w:p w14:paraId="16002054" w14:textId="77777777" w:rsidR="00DC699E" w:rsidRPr="00DC699E" w:rsidRDefault="00DC699E" w:rsidP="008754CD">
      <w:pPr>
        <w:spacing w:after="0" w:line="360" w:lineRule="auto"/>
      </w:pPr>
    </w:p>
    <w:p w14:paraId="7E93EAD5" w14:textId="45554124" w:rsidR="00B513F9" w:rsidRDefault="00B513F9" w:rsidP="007273B8">
      <w:pPr>
        <w:pStyle w:val="Heading1"/>
      </w:pPr>
      <w:bookmarkStart w:id="4" w:name="_Toc87265453"/>
      <w:r w:rsidRPr="00F054D1">
        <w:t>Legal Standards</w:t>
      </w:r>
      <w:bookmarkEnd w:id="4"/>
    </w:p>
    <w:p w14:paraId="72B0CE81" w14:textId="03EF0F32" w:rsidR="00E02DFF" w:rsidRDefault="00E02DFF" w:rsidP="00652980">
      <w:pPr>
        <w:keepNext/>
      </w:pPr>
    </w:p>
    <w:p w14:paraId="4C529087" w14:textId="25273BD4" w:rsidR="00E02DFF" w:rsidRPr="00E02DFF" w:rsidRDefault="00E02DFF" w:rsidP="00652980">
      <w:pPr>
        <w:keepNext/>
        <w:spacing w:after="0" w:line="360" w:lineRule="auto"/>
        <w:ind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In this case, Twin Lakes filed its petition </w:t>
      </w:r>
      <w:r w:rsidR="00915E5E">
        <w:rPr>
          <w:rFonts w:ascii="Times New Roman" w:eastAsia="Times New Roman" w:hAnsi="Times New Roman" w:cs="Times New Roman"/>
          <w:color w:val="000000"/>
          <w:sz w:val="26"/>
          <w:szCs w:val="26"/>
        </w:rPr>
        <w:t xml:space="preserve">for relief seeking a Commission </w:t>
      </w:r>
      <w:r w:rsidR="00BB3164">
        <w:rPr>
          <w:rFonts w:ascii="Times New Roman" w:eastAsia="Times New Roman" w:hAnsi="Times New Roman" w:cs="Times New Roman"/>
          <w:color w:val="000000"/>
          <w:sz w:val="26"/>
          <w:szCs w:val="26"/>
        </w:rPr>
        <w:t xml:space="preserve">order that </w:t>
      </w:r>
      <w:r w:rsidR="00DB6165">
        <w:rPr>
          <w:rFonts w:ascii="Times New Roman" w:eastAsia="Times New Roman" w:hAnsi="Times New Roman" w:cs="Times New Roman"/>
          <w:color w:val="000000"/>
          <w:sz w:val="26"/>
          <w:szCs w:val="26"/>
        </w:rPr>
        <w:t xml:space="preserve">Twin Lakes be </w:t>
      </w:r>
      <w:r w:rsidR="00B816C3">
        <w:rPr>
          <w:rFonts w:ascii="Times New Roman" w:eastAsia="Times New Roman" w:hAnsi="Times New Roman" w:cs="Times New Roman"/>
          <w:color w:val="000000"/>
          <w:sz w:val="26"/>
          <w:szCs w:val="26"/>
        </w:rPr>
        <w:t xml:space="preserve">found to be unable to provide reasonable service to its customers and, therefore, be </w:t>
      </w:r>
      <w:r w:rsidR="00DB6165">
        <w:rPr>
          <w:rFonts w:ascii="Times New Roman" w:eastAsia="Times New Roman" w:hAnsi="Times New Roman" w:cs="Times New Roman"/>
          <w:color w:val="000000"/>
          <w:sz w:val="26"/>
          <w:szCs w:val="26"/>
        </w:rPr>
        <w:t xml:space="preserve">acquired </w:t>
      </w:r>
      <w:r w:rsidR="00371627">
        <w:rPr>
          <w:rFonts w:ascii="Times New Roman" w:eastAsia="Times New Roman" w:hAnsi="Times New Roman" w:cs="Times New Roman"/>
          <w:color w:val="000000"/>
          <w:sz w:val="26"/>
          <w:szCs w:val="26"/>
        </w:rPr>
        <w:t xml:space="preserve">by another </w:t>
      </w:r>
      <w:r w:rsidR="00BB3164">
        <w:rPr>
          <w:rFonts w:ascii="Times New Roman" w:eastAsia="Times New Roman" w:hAnsi="Times New Roman" w:cs="Times New Roman"/>
          <w:color w:val="000000"/>
          <w:sz w:val="26"/>
          <w:szCs w:val="26"/>
        </w:rPr>
        <w:t xml:space="preserve">capable </w:t>
      </w:r>
      <w:r w:rsidR="00371627">
        <w:rPr>
          <w:rFonts w:ascii="Times New Roman" w:eastAsia="Times New Roman" w:hAnsi="Times New Roman" w:cs="Times New Roman"/>
          <w:color w:val="000000"/>
          <w:sz w:val="26"/>
          <w:szCs w:val="26"/>
        </w:rPr>
        <w:t xml:space="preserve">water company </w:t>
      </w:r>
      <w:r w:rsidRPr="00E02DFF">
        <w:rPr>
          <w:rFonts w:ascii="Times New Roman" w:eastAsia="Times New Roman" w:hAnsi="Times New Roman" w:cs="Times New Roman"/>
          <w:color w:val="000000"/>
          <w:sz w:val="26"/>
          <w:szCs w:val="26"/>
        </w:rPr>
        <w:t>pursuant to Section 529 of the Code</w:t>
      </w:r>
      <w:r w:rsidR="00371627">
        <w:rPr>
          <w:rFonts w:ascii="Times New Roman" w:eastAsia="Times New Roman" w:hAnsi="Times New Roman" w:cs="Times New Roman"/>
          <w:color w:val="000000"/>
          <w:sz w:val="26"/>
          <w:szCs w:val="26"/>
        </w:rPr>
        <w:t xml:space="preserve">, which </w:t>
      </w:r>
      <w:r w:rsidRPr="00E02DFF">
        <w:rPr>
          <w:rFonts w:ascii="Times New Roman" w:eastAsia="Times New Roman" w:hAnsi="Times New Roman" w:cs="Times New Roman"/>
          <w:color w:val="000000"/>
          <w:sz w:val="26"/>
          <w:szCs w:val="26"/>
        </w:rPr>
        <w:t xml:space="preserve">provides: </w:t>
      </w:r>
    </w:p>
    <w:p w14:paraId="167F7764" w14:textId="77777777" w:rsidR="00E02DFF" w:rsidRPr="00E02DFF" w:rsidRDefault="00E02DFF" w:rsidP="00F00604">
      <w:pPr>
        <w:spacing w:after="0" w:line="240" w:lineRule="auto"/>
        <w:ind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 </w:t>
      </w:r>
    </w:p>
    <w:p w14:paraId="331403D5" w14:textId="762FD101" w:rsidR="00E02DFF" w:rsidRDefault="00E02DFF" w:rsidP="00A2675D">
      <w:pPr>
        <w:spacing w:after="0" w:line="240" w:lineRule="auto"/>
        <w:ind w:left="2250" w:right="720" w:hanging="81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529.</w:t>
      </w:r>
      <w:r w:rsidR="00BB5B05">
        <w:rPr>
          <w:rFonts w:ascii="Times New Roman" w:eastAsia="Times New Roman" w:hAnsi="Times New Roman" w:cs="Times New Roman"/>
          <w:b/>
          <w:color w:val="000000"/>
          <w:sz w:val="26"/>
          <w:szCs w:val="26"/>
        </w:rPr>
        <w:t xml:space="preserve"> </w:t>
      </w:r>
      <w:r w:rsidRPr="00E02DFF">
        <w:rPr>
          <w:rFonts w:ascii="Times New Roman" w:eastAsia="Times New Roman" w:hAnsi="Times New Roman" w:cs="Times New Roman"/>
          <w:b/>
          <w:color w:val="000000"/>
          <w:sz w:val="26"/>
          <w:szCs w:val="26"/>
        </w:rPr>
        <w:t xml:space="preserve"> Power of commission to order acquisition of small water and sewer utilities.</w:t>
      </w:r>
      <w:r w:rsidRPr="00E02DFF">
        <w:rPr>
          <w:rFonts w:ascii="Times New Roman" w:eastAsia="Times New Roman" w:hAnsi="Times New Roman" w:cs="Times New Roman"/>
          <w:color w:val="000000"/>
          <w:sz w:val="26"/>
          <w:szCs w:val="26"/>
        </w:rPr>
        <w:t xml:space="preserve"> </w:t>
      </w:r>
    </w:p>
    <w:p w14:paraId="552E6E9E" w14:textId="77777777" w:rsidR="00F0784A" w:rsidRPr="00E02DFF" w:rsidRDefault="00F0784A" w:rsidP="00A2675D">
      <w:pPr>
        <w:spacing w:after="0" w:line="240" w:lineRule="auto"/>
        <w:ind w:left="1440"/>
        <w:rPr>
          <w:rFonts w:ascii="Times New Roman" w:eastAsia="Times New Roman" w:hAnsi="Times New Roman" w:cs="Times New Roman"/>
          <w:color w:val="000000"/>
          <w:sz w:val="26"/>
          <w:szCs w:val="26"/>
        </w:rPr>
      </w:pPr>
    </w:p>
    <w:p w14:paraId="3A622619" w14:textId="6B7A8214" w:rsidR="00E02DFF" w:rsidRPr="00E02DFF" w:rsidRDefault="00E02DFF" w:rsidP="00652980">
      <w:pPr>
        <w:spacing w:after="0" w:line="240" w:lineRule="auto"/>
        <w:ind w:left="1440" w:right="72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(a)</w:t>
      </w:r>
      <w:r w:rsidR="00652980">
        <w:rPr>
          <w:rFonts w:ascii="Times New Roman" w:eastAsia="Times New Roman" w:hAnsi="Times New Roman" w:cs="Times New Roman"/>
          <w:b/>
          <w:color w:val="000000"/>
          <w:sz w:val="26"/>
          <w:szCs w:val="26"/>
        </w:rPr>
        <w:tab/>
      </w:r>
      <w:r w:rsidRPr="00E02DFF">
        <w:rPr>
          <w:rFonts w:ascii="Times New Roman" w:eastAsia="Times New Roman" w:hAnsi="Times New Roman" w:cs="Times New Roman"/>
          <w:b/>
          <w:i/>
          <w:color w:val="000000"/>
          <w:sz w:val="26"/>
          <w:szCs w:val="26"/>
        </w:rPr>
        <w:t xml:space="preserve">General rule. </w:t>
      </w:r>
      <w:r w:rsidRPr="00E02DFF">
        <w:rPr>
          <w:rFonts w:ascii="Times New Roman" w:eastAsia="Times New Roman" w:hAnsi="Times New Roman" w:cs="Times New Roman"/>
          <w:b/>
          <w:color w:val="000000"/>
          <w:sz w:val="26"/>
          <w:szCs w:val="26"/>
        </w:rPr>
        <w:t>—</w:t>
      </w:r>
      <w:r w:rsidR="00652980">
        <w:rPr>
          <w:rFonts w:ascii="Times New Roman" w:eastAsia="Times New Roman" w:hAnsi="Times New Roman" w:cs="Times New Roman"/>
          <w:b/>
          <w:color w:val="000000"/>
          <w:sz w:val="26"/>
          <w:szCs w:val="26"/>
        </w:rPr>
        <w:t xml:space="preserve"> </w:t>
      </w:r>
      <w:r w:rsidRPr="00E02DFF">
        <w:rPr>
          <w:rFonts w:ascii="Times New Roman" w:eastAsia="Times New Roman" w:hAnsi="Times New Roman" w:cs="Times New Roman"/>
          <w:color w:val="000000"/>
          <w:sz w:val="26"/>
          <w:szCs w:val="26"/>
        </w:rPr>
        <w:t xml:space="preserve">The commission may order a capable public utility to acquire a small water or sewer utility if the commission, after notice and an opportunity to be heard, determines: </w:t>
      </w:r>
    </w:p>
    <w:p w14:paraId="625C6559" w14:textId="77777777" w:rsidR="00E02DFF" w:rsidRPr="00E02DFF" w:rsidRDefault="00E02DFF" w:rsidP="00E02DFF">
      <w:pPr>
        <w:spacing w:after="0" w:line="240" w:lineRule="auto"/>
        <w:ind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xml:space="preserve"> </w:t>
      </w:r>
    </w:p>
    <w:p w14:paraId="0DA8E020" w14:textId="10934A62" w:rsidR="00E02DFF" w:rsidRPr="00E02DFF" w:rsidRDefault="00E02DFF" w:rsidP="00857456">
      <w:pPr>
        <w:numPr>
          <w:ilvl w:val="0"/>
          <w:numId w:val="23"/>
        </w:numPr>
        <w:spacing w:after="0" w:line="240" w:lineRule="auto"/>
        <w:ind w:left="2160"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that the small water or sewer utility is in violation of statutory  or regulatory standards, including, but not limited to, the act of June 22, 1937 (P.L. 1987, No. 394), known as The Clean Streams Law, the act of January 24, 1966 (1965</w:t>
      </w:r>
      <w:r w:rsidR="00F00604">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P.L.</w:t>
      </w:r>
      <w:r w:rsidR="00F00604">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1535, No. 537), known as the Pennsylvania Sewage Facilities Act, and the act of May 1, 1984 (P.L.</w:t>
      </w:r>
      <w:r w:rsidR="00857456">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 xml:space="preserve">206, No. 43), known as the Pennsylvania Safe Drinking Water Act, and the regulations adopted thereunder, which affect the safety, adequacy, efficiency or reasonableness of the service provided by the small water or sewer utility; </w:t>
      </w:r>
    </w:p>
    <w:p w14:paraId="22AAE878" w14:textId="77777777" w:rsidR="00E02DFF" w:rsidRPr="00E02DFF" w:rsidRDefault="00E02DFF" w:rsidP="00857456">
      <w:pPr>
        <w:spacing w:after="0" w:line="240" w:lineRule="auto"/>
        <w:ind w:left="2160" w:right="720"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xml:space="preserve"> </w:t>
      </w:r>
    </w:p>
    <w:p w14:paraId="11A509F4" w14:textId="79182CDD" w:rsidR="00E02DFF" w:rsidRPr="00E02DFF" w:rsidRDefault="00E02DFF" w:rsidP="00857456">
      <w:pPr>
        <w:numPr>
          <w:ilvl w:val="0"/>
          <w:numId w:val="23"/>
        </w:numPr>
        <w:spacing w:after="0" w:line="240" w:lineRule="auto"/>
        <w:ind w:left="2160"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that the small water or sewer utility has failed to comply,</w:t>
      </w:r>
      <w:r w:rsidR="00B25463">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within a reasonable period of time, with any order of the Department of Environmental Resources or the commission concerning the safety, adequacy, efficiency or reasonableness of service, including, but not limited to, the availability of water, the potability of water, the palatability of water or the provision of water at adequate volume and pressure; </w:t>
      </w:r>
    </w:p>
    <w:p w14:paraId="037B9EA0" w14:textId="77777777" w:rsidR="00E02DFF" w:rsidRPr="00E02DFF" w:rsidRDefault="00E02DFF" w:rsidP="00857456">
      <w:pPr>
        <w:spacing w:after="0" w:line="240" w:lineRule="auto"/>
        <w:ind w:left="2160" w:right="720"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xml:space="preserve"> </w:t>
      </w:r>
    </w:p>
    <w:p w14:paraId="38811074" w14:textId="57EAEB99" w:rsidR="00E02DFF" w:rsidRPr="00E02DFF" w:rsidRDefault="00E02DFF" w:rsidP="00857456">
      <w:pPr>
        <w:numPr>
          <w:ilvl w:val="0"/>
          <w:numId w:val="23"/>
        </w:numPr>
        <w:spacing w:after="0" w:line="240" w:lineRule="auto"/>
        <w:ind w:left="2160"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lastRenderedPageBreak/>
        <w:t xml:space="preserve">that the small water or sewer utility cannot reasonably </w:t>
      </w:r>
      <w:r w:rsidR="00B65025" w:rsidRPr="00E02DFF">
        <w:rPr>
          <w:rFonts w:ascii="Times New Roman" w:eastAsia="Times New Roman" w:hAnsi="Times New Roman" w:cs="Times New Roman"/>
          <w:color w:val="000000"/>
          <w:sz w:val="26"/>
          <w:szCs w:val="26"/>
        </w:rPr>
        <w:t>be expected</w:t>
      </w:r>
      <w:r w:rsidRPr="00E02DFF">
        <w:rPr>
          <w:rFonts w:ascii="Times New Roman" w:eastAsia="Times New Roman" w:hAnsi="Times New Roman" w:cs="Times New Roman"/>
          <w:color w:val="000000"/>
          <w:sz w:val="26"/>
          <w:szCs w:val="26"/>
        </w:rPr>
        <w:t xml:space="preserve"> to furnish and maintain adequate, efficient, safe and reasonable service and facilities in the future; </w:t>
      </w:r>
    </w:p>
    <w:p w14:paraId="4A61120C" w14:textId="590DC96E" w:rsidR="00E02DFF" w:rsidRPr="00E02DFF" w:rsidRDefault="00E02DFF" w:rsidP="00BB5B05">
      <w:pPr>
        <w:spacing w:after="0" w:line="240" w:lineRule="auto"/>
        <w:ind w:left="2160" w:right="720"/>
        <w:rPr>
          <w:rFonts w:ascii="Times New Roman" w:eastAsia="Times New Roman" w:hAnsi="Times New Roman" w:cs="Times New Roman"/>
          <w:color w:val="000000"/>
          <w:sz w:val="26"/>
          <w:szCs w:val="26"/>
        </w:rPr>
      </w:pPr>
    </w:p>
    <w:p w14:paraId="08FE4362" w14:textId="3E057B53" w:rsidR="00E02DFF" w:rsidRPr="00E02DFF" w:rsidRDefault="00E02DFF" w:rsidP="00857456">
      <w:pPr>
        <w:numPr>
          <w:ilvl w:val="0"/>
          <w:numId w:val="23"/>
        </w:numPr>
        <w:spacing w:after="0" w:line="240" w:lineRule="auto"/>
        <w:ind w:left="2160"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that alternatives to acquisition have been considered in accordance with subsection (b) and have been determined by the commission to be impractical or not economically feasible; </w:t>
      </w:r>
    </w:p>
    <w:p w14:paraId="1D6BC518" w14:textId="65E791C1" w:rsidR="00E02DFF" w:rsidRPr="00E02DFF" w:rsidRDefault="00E02DFF" w:rsidP="00BB5B05">
      <w:pPr>
        <w:spacing w:after="0" w:line="240" w:lineRule="auto"/>
        <w:ind w:left="2160"/>
        <w:rPr>
          <w:rFonts w:ascii="Times New Roman" w:eastAsia="Times New Roman" w:hAnsi="Times New Roman" w:cs="Times New Roman"/>
          <w:color w:val="000000"/>
          <w:sz w:val="26"/>
          <w:szCs w:val="26"/>
        </w:rPr>
      </w:pPr>
    </w:p>
    <w:p w14:paraId="03253882" w14:textId="7DDDA833" w:rsidR="00E02DFF" w:rsidRPr="00BB5B05" w:rsidRDefault="00E02DFF" w:rsidP="00857456">
      <w:pPr>
        <w:numPr>
          <w:ilvl w:val="0"/>
          <w:numId w:val="23"/>
        </w:numPr>
        <w:spacing w:after="0" w:line="240" w:lineRule="auto"/>
        <w:ind w:left="2160" w:right="720" w:hanging="10"/>
        <w:rPr>
          <w:rFonts w:ascii="Times New Roman" w:eastAsia="Times New Roman" w:hAnsi="Times New Roman" w:cs="Times New Roman"/>
          <w:color w:val="000000"/>
          <w:sz w:val="26"/>
          <w:szCs w:val="26"/>
        </w:rPr>
      </w:pPr>
      <w:r w:rsidRPr="00BB5B05">
        <w:rPr>
          <w:rFonts w:ascii="Times New Roman" w:eastAsia="Times New Roman" w:hAnsi="Times New Roman" w:cs="Times New Roman"/>
          <w:color w:val="000000"/>
          <w:sz w:val="26"/>
          <w:szCs w:val="26"/>
        </w:rPr>
        <w:t xml:space="preserve">that the acquiring capable public utility is financially, managerially and technically capable of acquiring and operating the small water or sewer utility in compliance with applicable statutory and regulatory standards; and </w:t>
      </w:r>
    </w:p>
    <w:p w14:paraId="45F58BCC" w14:textId="5B7FA576" w:rsidR="00E02DFF" w:rsidRPr="00E02DFF" w:rsidRDefault="00E02DFF" w:rsidP="00857456">
      <w:pPr>
        <w:spacing w:after="0" w:line="240" w:lineRule="auto"/>
        <w:ind w:left="2160" w:hanging="450"/>
        <w:rPr>
          <w:rFonts w:ascii="Times New Roman" w:eastAsia="Times New Roman" w:hAnsi="Times New Roman" w:cs="Times New Roman"/>
          <w:color w:val="000000"/>
          <w:sz w:val="26"/>
          <w:szCs w:val="26"/>
        </w:rPr>
      </w:pPr>
    </w:p>
    <w:p w14:paraId="7800F044" w14:textId="0C88256B" w:rsidR="00E02DFF" w:rsidRPr="00E02DFF" w:rsidRDefault="00E02DFF" w:rsidP="00857456">
      <w:pPr>
        <w:numPr>
          <w:ilvl w:val="0"/>
          <w:numId w:val="23"/>
        </w:numPr>
        <w:spacing w:after="0" w:line="240" w:lineRule="auto"/>
        <w:ind w:left="2160"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that the rates charged by the acquiring capable public utility to its preacquisition customers will not increase unreasonably because of the acquisition. </w:t>
      </w:r>
    </w:p>
    <w:p w14:paraId="570E6BC5" w14:textId="3987E353" w:rsidR="00E02DFF" w:rsidRPr="00E02DFF" w:rsidRDefault="00E02DFF" w:rsidP="00E02DFF">
      <w:pPr>
        <w:spacing w:after="0" w:line="360" w:lineRule="auto"/>
        <w:ind w:firstLine="1440"/>
        <w:rPr>
          <w:rFonts w:ascii="Times New Roman" w:eastAsia="Times New Roman" w:hAnsi="Times New Roman" w:cs="Times New Roman"/>
          <w:color w:val="000000"/>
          <w:sz w:val="26"/>
          <w:szCs w:val="26"/>
        </w:rPr>
      </w:pPr>
    </w:p>
    <w:p w14:paraId="5F494333" w14:textId="39B68A3C" w:rsidR="00E02DFF" w:rsidRPr="00E02DFF" w:rsidRDefault="00E02DFF" w:rsidP="00881332">
      <w:pPr>
        <w:spacing w:after="0" w:line="360" w:lineRule="auto"/>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66 Pa.</w:t>
      </w:r>
      <w:r w:rsidR="002A5467">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C.S. § 529(a).  </w:t>
      </w:r>
    </w:p>
    <w:p w14:paraId="18A3E52E" w14:textId="77777777" w:rsidR="00E02DFF" w:rsidRPr="00E02DFF" w:rsidRDefault="00E02DFF" w:rsidP="00881332">
      <w:pPr>
        <w:spacing w:after="0" w:line="360" w:lineRule="auto"/>
        <w:rPr>
          <w:rFonts w:ascii="Times New Roman" w:eastAsia="Times New Roman" w:hAnsi="Times New Roman" w:cs="Times New Roman"/>
          <w:color w:val="000000"/>
          <w:sz w:val="26"/>
          <w:szCs w:val="26"/>
        </w:rPr>
      </w:pPr>
    </w:p>
    <w:p w14:paraId="629BCD88" w14:textId="77777777" w:rsidR="00E02DFF" w:rsidRPr="00E02DFF" w:rsidRDefault="00E02DFF" w:rsidP="00881332">
      <w:pPr>
        <w:spacing w:after="0" w:line="360" w:lineRule="auto"/>
        <w:ind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In addition, Section 529(b) provides for the consideration of alternatives to an acquisition and states that before the Commission may order the acquisition of a small water or sewer utility in accordance with Section 529, the Commission shall discuss with the small water or sewer utility, and shall give such utility a reasonable opportunity to investigate, alternatives to acquisition, including, but not limited to: </w:t>
      </w:r>
    </w:p>
    <w:p w14:paraId="0E28C09D" w14:textId="77777777" w:rsidR="00E02DFF" w:rsidRPr="00E02DFF" w:rsidRDefault="00E02DFF" w:rsidP="00F00604">
      <w:pPr>
        <w:spacing w:after="0" w:line="240" w:lineRule="auto"/>
        <w:ind w:right="720"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 </w:t>
      </w:r>
    </w:p>
    <w:p w14:paraId="4C71F138" w14:textId="6D2F03D0" w:rsidR="00E02DFF" w:rsidRPr="00E02DFF" w:rsidRDefault="00E02DFF" w:rsidP="00A44674">
      <w:pPr>
        <w:numPr>
          <w:ilvl w:val="0"/>
          <w:numId w:val="24"/>
        </w:numPr>
        <w:spacing w:after="0" w:line="240" w:lineRule="auto"/>
        <w:ind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reorganization of the small water or sewer utility under new management. </w:t>
      </w:r>
    </w:p>
    <w:p w14:paraId="4A3FD54C" w14:textId="77777777" w:rsidR="00E02DFF" w:rsidRPr="00E02DFF" w:rsidRDefault="00E02DFF" w:rsidP="00A44674">
      <w:pPr>
        <w:spacing w:after="0" w:line="240" w:lineRule="auto"/>
        <w:ind w:right="720"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xml:space="preserve"> </w:t>
      </w:r>
    </w:p>
    <w:p w14:paraId="0DE6AA4A" w14:textId="3FB22D8F" w:rsidR="00E02DFF" w:rsidRPr="00E02DFF" w:rsidRDefault="00E02DFF" w:rsidP="00A44674">
      <w:pPr>
        <w:numPr>
          <w:ilvl w:val="0"/>
          <w:numId w:val="24"/>
        </w:numPr>
        <w:spacing w:after="0" w:line="240" w:lineRule="auto"/>
        <w:ind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entering of a contract with another public utility or a management or service company to operate the small water or sewer utility. </w:t>
      </w:r>
    </w:p>
    <w:p w14:paraId="651F9F04" w14:textId="77777777" w:rsidR="00E02DFF" w:rsidRPr="00E02DFF" w:rsidRDefault="00E02DFF" w:rsidP="00A44674">
      <w:pPr>
        <w:spacing w:after="0" w:line="240" w:lineRule="auto"/>
        <w:ind w:right="720"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xml:space="preserve"> </w:t>
      </w:r>
    </w:p>
    <w:p w14:paraId="092436E5" w14:textId="318AAF7A" w:rsidR="00E02DFF" w:rsidRPr="00E02DFF" w:rsidRDefault="00E02DFF" w:rsidP="00A44674">
      <w:pPr>
        <w:numPr>
          <w:ilvl w:val="0"/>
          <w:numId w:val="24"/>
        </w:numPr>
        <w:spacing w:after="0" w:line="240" w:lineRule="auto"/>
        <w:ind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appointment of a receiver to assure the provision of adequate, efficient, safe and reasonable service and facilities to the public. </w:t>
      </w:r>
    </w:p>
    <w:p w14:paraId="4D5AABE2" w14:textId="77777777" w:rsidR="00E02DFF" w:rsidRPr="00E02DFF" w:rsidRDefault="00E02DFF" w:rsidP="00A44674">
      <w:pPr>
        <w:spacing w:after="0" w:line="240" w:lineRule="auto"/>
        <w:ind w:right="720"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b/>
          <w:color w:val="000000"/>
          <w:sz w:val="26"/>
          <w:szCs w:val="26"/>
        </w:rPr>
        <w:t xml:space="preserve"> </w:t>
      </w:r>
    </w:p>
    <w:p w14:paraId="2A80DBE3" w14:textId="77777777" w:rsidR="00E02DFF" w:rsidRPr="00E02DFF" w:rsidRDefault="00E02DFF" w:rsidP="00BB5B05">
      <w:pPr>
        <w:numPr>
          <w:ilvl w:val="0"/>
          <w:numId w:val="24"/>
        </w:numPr>
        <w:spacing w:after="0" w:line="240" w:lineRule="auto"/>
        <w:ind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merger of the small water or sewer utility with one or more other public utilities. </w:t>
      </w:r>
    </w:p>
    <w:p w14:paraId="2C8064B0" w14:textId="37EEF476" w:rsidR="00E02DFF" w:rsidRPr="00E02DFF" w:rsidRDefault="00E02DFF" w:rsidP="00BB5B05">
      <w:pPr>
        <w:spacing w:after="0" w:line="240" w:lineRule="auto"/>
        <w:ind w:right="720" w:firstLine="1440"/>
        <w:rPr>
          <w:rFonts w:ascii="Times New Roman" w:eastAsia="Times New Roman" w:hAnsi="Times New Roman" w:cs="Times New Roman"/>
          <w:color w:val="000000"/>
          <w:sz w:val="26"/>
          <w:szCs w:val="26"/>
        </w:rPr>
      </w:pPr>
    </w:p>
    <w:p w14:paraId="54A389E1" w14:textId="307A9DB5" w:rsidR="00E02DFF" w:rsidRPr="00E02DFF" w:rsidRDefault="00E02DFF" w:rsidP="00BB5B05">
      <w:pPr>
        <w:keepNext/>
        <w:numPr>
          <w:ilvl w:val="0"/>
          <w:numId w:val="24"/>
        </w:numPr>
        <w:spacing w:after="0" w:line="240" w:lineRule="auto"/>
        <w:ind w:right="72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acquisition of the small water or sewer utility by a municipality, a municipal authority or a cooperative. </w:t>
      </w:r>
    </w:p>
    <w:p w14:paraId="20ED63B1" w14:textId="1517BE20" w:rsidR="00E02DFF" w:rsidRPr="00E02DFF" w:rsidRDefault="00E02DFF" w:rsidP="00BB5B05">
      <w:pPr>
        <w:keepNext/>
        <w:spacing w:after="0" w:line="360" w:lineRule="auto"/>
        <w:ind w:firstLine="1440"/>
        <w:rPr>
          <w:rFonts w:ascii="Times New Roman" w:eastAsia="Times New Roman" w:hAnsi="Times New Roman" w:cs="Times New Roman"/>
          <w:color w:val="000000"/>
          <w:sz w:val="26"/>
          <w:szCs w:val="26"/>
        </w:rPr>
      </w:pPr>
    </w:p>
    <w:p w14:paraId="4E1646CE" w14:textId="139E06BD" w:rsidR="00E02DFF" w:rsidRPr="00E02DFF" w:rsidRDefault="00E02DFF" w:rsidP="00BB5B05">
      <w:pPr>
        <w:keepNext/>
        <w:spacing w:after="0" w:line="360" w:lineRule="auto"/>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66 Pa.</w:t>
      </w:r>
      <w:r w:rsidR="00CC1D66">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C.S. § 529(b).  </w:t>
      </w:r>
    </w:p>
    <w:p w14:paraId="47A72DF1" w14:textId="77777777" w:rsidR="00E02DFF" w:rsidRPr="00E02DFF" w:rsidRDefault="00E02DFF" w:rsidP="00E02DFF">
      <w:pPr>
        <w:spacing w:after="0" w:line="360" w:lineRule="auto"/>
        <w:rPr>
          <w:rFonts w:ascii="Times New Roman" w:eastAsia="Times New Roman" w:hAnsi="Times New Roman" w:cs="Times New Roman"/>
          <w:color w:val="000000"/>
          <w:sz w:val="26"/>
          <w:szCs w:val="26"/>
        </w:rPr>
      </w:pPr>
    </w:p>
    <w:p w14:paraId="739A5FF9" w14:textId="3E822083" w:rsidR="00E02DFF" w:rsidRPr="00E02DFF" w:rsidRDefault="00E02DFF" w:rsidP="00E02DFF">
      <w:pPr>
        <w:spacing w:after="0" w:line="360" w:lineRule="auto"/>
        <w:ind w:firstLine="144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Finally, in</w:t>
      </w:r>
      <w:r w:rsidR="00164442">
        <w:rPr>
          <w:rFonts w:ascii="Times New Roman" w:eastAsia="Times New Roman" w:hAnsi="Times New Roman" w:cs="Times New Roman"/>
          <w:color w:val="000000"/>
          <w:sz w:val="26"/>
          <w:szCs w:val="26"/>
        </w:rPr>
        <w:t xml:space="preserve"> deciding whether to approve an acquisition</w:t>
      </w:r>
      <w:r w:rsidRPr="00E02DFF">
        <w:rPr>
          <w:rFonts w:ascii="Times New Roman" w:eastAsia="Times New Roman" w:hAnsi="Times New Roman" w:cs="Times New Roman"/>
          <w:color w:val="000000"/>
          <w:sz w:val="26"/>
          <w:szCs w:val="26"/>
        </w:rPr>
        <w:t xml:space="preserve"> pursuant to Section</w:t>
      </w:r>
      <w:r w:rsidR="00881332">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 xml:space="preserve">529(a)(4), the Commission shall consider the following factors: </w:t>
      </w:r>
    </w:p>
    <w:p w14:paraId="0460C31B" w14:textId="2045C0F1" w:rsidR="00E02DFF" w:rsidRPr="00E02DFF" w:rsidRDefault="00E02DFF" w:rsidP="00857456">
      <w:pPr>
        <w:spacing w:after="0" w:line="240" w:lineRule="auto"/>
        <w:ind w:firstLine="1440"/>
        <w:rPr>
          <w:rFonts w:ascii="Times New Roman" w:eastAsia="Times New Roman" w:hAnsi="Times New Roman" w:cs="Times New Roman"/>
          <w:color w:val="000000"/>
          <w:sz w:val="26"/>
          <w:szCs w:val="26"/>
        </w:rPr>
      </w:pPr>
    </w:p>
    <w:p w14:paraId="0F2988CD" w14:textId="674E6AAD" w:rsidR="00E02DFF" w:rsidRPr="00E02DFF" w:rsidRDefault="00E02DFF" w:rsidP="00434AEC">
      <w:pPr>
        <w:numPr>
          <w:ilvl w:val="0"/>
          <w:numId w:val="25"/>
        </w:numPr>
        <w:spacing w:after="0" w:line="240" w:lineRule="auto"/>
        <w:ind w:left="1440" w:right="144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financial, managerial and technical ability of the small water or sewer utility. </w:t>
      </w:r>
    </w:p>
    <w:p w14:paraId="4771D778" w14:textId="0F0700CF" w:rsidR="00E02DFF" w:rsidRPr="00E02DFF" w:rsidRDefault="00E02DFF" w:rsidP="00434AEC">
      <w:pPr>
        <w:spacing w:after="0" w:line="240" w:lineRule="auto"/>
        <w:ind w:right="1440"/>
        <w:rPr>
          <w:rFonts w:ascii="Times New Roman" w:eastAsia="Times New Roman" w:hAnsi="Times New Roman" w:cs="Times New Roman"/>
          <w:color w:val="000000"/>
          <w:sz w:val="26"/>
          <w:szCs w:val="26"/>
        </w:rPr>
      </w:pPr>
    </w:p>
    <w:p w14:paraId="7563FCDE" w14:textId="465F502E" w:rsidR="00E02DFF" w:rsidRPr="00E02DFF" w:rsidRDefault="00E02DFF" w:rsidP="00434AEC">
      <w:pPr>
        <w:numPr>
          <w:ilvl w:val="0"/>
          <w:numId w:val="25"/>
        </w:numPr>
        <w:spacing w:after="0" w:line="240" w:lineRule="auto"/>
        <w:ind w:left="1440" w:right="144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financial, managerial and technical ability of all proximate public utilities providing the same type of service. </w:t>
      </w:r>
    </w:p>
    <w:p w14:paraId="17E8CE88" w14:textId="1AB6BCB9" w:rsidR="00E02DFF" w:rsidRPr="00E02DFF" w:rsidRDefault="00E02DFF" w:rsidP="00434AEC">
      <w:pPr>
        <w:spacing w:after="0" w:line="240" w:lineRule="auto"/>
        <w:ind w:right="1440"/>
        <w:rPr>
          <w:rFonts w:ascii="Times New Roman" w:eastAsia="Times New Roman" w:hAnsi="Times New Roman" w:cs="Times New Roman"/>
          <w:color w:val="000000"/>
          <w:sz w:val="26"/>
          <w:szCs w:val="26"/>
        </w:rPr>
      </w:pPr>
    </w:p>
    <w:p w14:paraId="5947F0E0" w14:textId="5193CCAD" w:rsidR="00E02DFF" w:rsidRPr="00E02DFF" w:rsidRDefault="00E02DFF" w:rsidP="00434AEC">
      <w:pPr>
        <w:numPr>
          <w:ilvl w:val="0"/>
          <w:numId w:val="25"/>
        </w:numPr>
        <w:spacing w:after="0" w:line="240" w:lineRule="auto"/>
        <w:ind w:left="1440" w:right="144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expenditures which may be necessary to make improvements to the small water or sewer utility to assure compliance with applicable statutory and regulatory standards concerning the adequacy, efficiency, safety or reasonableness of utility service. </w:t>
      </w:r>
    </w:p>
    <w:p w14:paraId="37F0A76E" w14:textId="6F72CF89" w:rsidR="00E02DFF" w:rsidRPr="00E02DFF" w:rsidRDefault="00E02DFF" w:rsidP="00434AEC">
      <w:pPr>
        <w:spacing w:after="0" w:line="240" w:lineRule="auto"/>
        <w:ind w:right="1440"/>
        <w:rPr>
          <w:rFonts w:ascii="Times New Roman" w:eastAsia="Times New Roman" w:hAnsi="Times New Roman" w:cs="Times New Roman"/>
          <w:color w:val="000000"/>
          <w:sz w:val="26"/>
          <w:szCs w:val="26"/>
        </w:rPr>
      </w:pPr>
    </w:p>
    <w:p w14:paraId="2653E993" w14:textId="61C3A560" w:rsidR="00E02DFF" w:rsidRPr="00E02DFF" w:rsidRDefault="00E02DFF" w:rsidP="00434AEC">
      <w:pPr>
        <w:numPr>
          <w:ilvl w:val="0"/>
          <w:numId w:val="25"/>
        </w:numPr>
        <w:spacing w:after="0" w:line="240" w:lineRule="auto"/>
        <w:ind w:left="1440" w:right="144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expansion of the franchise area of the acquiring capable public utility so as to include the service area of the small water or sewer utility to be acquired. </w:t>
      </w:r>
    </w:p>
    <w:p w14:paraId="7C34723B" w14:textId="22909BCE" w:rsidR="00E02DFF" w:rsidRPr="00E02DFF" w:rsidRDefault="00E02DFF" w:rsidP="00434AEC">
      <w:pPr>
        <w:spacing w:after="0" w:line="240" w:lineRule="auto"/>
        <w:ind w:right="1440"/>
        <w:rPr>
          <w:rFonts w:ascii="Times New Roman" w:eastAsia="Times New Roman" w:hAnsi="Times New Roman" w:cs="Times New Roman"/>
          <w:color w:val="000000"/>
          <w:sz w:val="26"/>
          <w:szCs w:val="26"/>
        </w:rPr>
      </w:pPr>
    </w:p>
    <w:p w14:paraId="030F4CBB" w14:textId="29AC50A2" w:rsidR="00E02DFF" w:rsidRPr="00E02DFF" w:rsidRDefault="00E02DFF" w:rsidP="00434AEC">
      <w:pPr>
        <w:numPr>
          <w:ilvl w:val="0"/>
          <w:numId w:val="25"/>
        </w:numPr>
        <w:spacing w:after="0" w:line="240" w:lineRule="auto"/>
        <w:ind w:left="1440" w:right="144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The opinion and advice, if any, of the Department of Environmental Resources as to what steps may be necessary to assure compliance with applicable statutory or regulatory standards concerning the adequacy, efficiency, safety or reasonableness of utility service. </w:t>
      </w:r>
    </w:p>
    <w:p w14:paraId="7CFF48D1" w14:textId="20B5EA01" w:rsidR="00E02DFF" w:rsidRPr="00E02DFF" w:rsidRDefault="00E02DFF" w:rsidP="00434AEC">
      <w:pPr>
        <w:spacing w:after="0" w:line="240" w:lineRule="auto"/>
        <w:ind w:right="1440"/>
        <w:rPr>
          <w:rFonts w:ascii="Times New Roman" w:eastAsia="Times New Roman" w:hAnsi="Times New Roman" w:cs="Times New Roman"/>
          <w:color w:val="000000"/>
          <w:sz w:val="26"/>
          <w:szCs w:val="26"/>
        </w:rPr>
      </w:pPr>
    </w:p>
    <w:p w14:paraId="6899848B" w14:textId="77777777" w:rsidR="00E02DFF" w:rsidRPr="00E02DFF" w:rsidRDefault="00E02DFF" w:rsidP="00434AEC">
      <w:pPr>
        <w:numPr>
          <w:ilvl w:val="0"/>
          <w:numId w:val="25"/>
        </w:numPr>
        <w:spacing w:after="0" w:line="240" w:lineRule="auto"/>
        <w:ind w:left="1440" w:right="1440"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 xml:space="preserve">Any other matters which may be relevant. </w:t>
      </w:r>
    </w:p>
    <w:p w14:paraId="647EBAC3" w14:textId="7DDEFCBB" w:rsidR="00E02DFF" w:rsidRPr="00E02DFF" w:rsidRDefault="00E02DFF" w:rsidP="00881332">
      <w:pPr>
        <w:spacing w:after="0" w:line="360" w:lineRule="auto"/>
        <w:ind w:firstLine="1440"/>
        <w:rPr>
          <w:rFonts w:ascii="Times New Roman" w:eastAsia="Times New Roman" w:hAnsi="Times New Roman" w:cs="Times New Roman"/>
          <w:color w:val="000000"/>
          <w:sz w:val="26"/>
          <w:szCs w:val="26"/>
        </w:rPr>
      </w:pPr>
    </w:p>
    <w:p w14:paraId="74F058C0" w14:textId="6833E6F9" w:rsidR="00E02DFF" w:rsidRPr="00E02DFF" w:rsidRDefault="00E02DFF" w:rsidP="00881332">
      <w:pPr>
        <w:spacing w:after="0" w:line="360" w:lineRule="auto"/>
        <w:ind w:left="366" w:hanging="10"/>
        <w:rPr>
          <w:rFonts w:ascii="Times New Roman" w:eastAsia="Times New Roman" w:hAnsi="Times New Roman" w:cs="Times New Roman"/>
          <w:color w:val="000000"/>
          <w:sz w:val="26"/>
          <w:szCs w:val="26"/>
        </w:rPr>
      </w:pPr>
      <w:r w:rsidRPr="00E02DFF">
        <w:rPr>
          <w:rFonts w:ascii="Times New Roman" w:eastAsia="Times New Roman" w:hAnsi="Times New Roman" w:cs="Times New Roman"/>
          <w:color w:val="000000"/>
          <w:sz w:val="26"/>
          <w:szCs w:val="26"/>
        </w:rPr>
        <w:t>66 Pa.</w:t>
      </w:r>
      <w:r w:rsidR="002A5467">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C.S. § 529(c). </w:t>
      </w:r>
    </w:p>
    <w:p w14:paraId="159C9326" w14:textId="1F591026" w:rsidR="00E02DFF" w:rsidRPr="00E02DFF" w:rsidRDefault="00E02DFF" w:rsidP="00881332">
      <w:pPr>
        <w:spacing w:after="0" w:line="360" w:lineRule="auto"/>
        <w:ind w:firstLine="1440"/>
        <w:rPr>
          <w:rFonts w:ascii="Times New Roman" w:eastAsia="Times New Roman" w:hAnsi="Times New Roman" w:cs="Times New Roman"/>
          <w:color w:val="000000"/>
          <w:sz w:val="26"/>
          <w:szCs w:val="26"/>
        </w:rPr>
      </w:pPr>
    </w:p>
    <w:p w14:paraId="6CC42F17" w14:textId="46845A5E" w:rsidR="00E02DFF" w:rsidRDefault="00CE3805" w:rsidP="00881332">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Code establishes the applicable burdens regarding necessary proof </w:t>
      </w:r>
      <w:r w:rsidR="00A9401C">
        <w:rPr>
          <w:rFonts w:ascii="Times New Roman" w:eastAsia="Times New Roman" w:hAnsi="Times New Roman" w:cs="Times New Roman"/>
          <w:color w:val="000000"/>
          <w:sz w:val="26"/>
          <w:szCs w:val="26"/>
        </w:rPr>
        <w:t>in a</w:t>
      </w:r>
      <w:r w:rsidR="00842D9A">
        <w:rPr>
          <w:rFonts w:ascii="Times New Roman" w:eastAsia="Times New Roman" w:hAnsi="Times New Roman" w:cs="Times New Roman"/>
          <w:color w:val="000000"/>
          <w:sz w:val="26"/>
          <w:szCs w:val="26"/>
        </w:rPr>
        <w:t xml:space="preserve"> </w:t>
      </w:r>
      <w:r w:rsidR="004E77F5">
        <w:rPr>
          <w:rFonts w:ascii="Times New Roman" w:eastAsia="Times New Roman" w:hAnsi="Times New Roman" w:cs="Times New Roman"/>
          <w:color w:val="000000"/>
          <w:sz w:val="26"/>
          <w:szCs w:val="26"/>
        </w:rPr>
        <w:t>S</w:t>
      </w:r>
      <w:r w:rsidR="00E02DFF" w:rsidRPr="00E02DFF">
        <w:rPr>
          <w:rFonts w:ascii="Times New Roman" w:eastAsia="Times New Roman" w:hAnsi="Times New Roman" w:cs="Times New Roman"/>
          <w:color w:val="000000"/>
          <w:sz w:val="26"/>
          <w:szCs w:val="26"/>
        </w:rPr>
        <w:t xml:space="preserve">ection 529 </w:t>
      </w:r>
      <w:r w:rsidR="004E77F5">
        <w:rPr>
          <w:rFonts w:ascii="Times New Roman" w:eastAsia="Times New Roman" w:hAnsi="Times New Roman" w:cs="Times New Roman"/>
          <w:color w:val="000000"/>
          <w:sz w:val="26"/>
          <w:szCs w:val="26"/>
        </w:rPr>
        <w:t xml:space="preserve">proceeding </w:t>
      </w:r>
      <w:r w:rsidR="00D35632">
        <w:rPr>
          <w:rFonts w:ascii="Times New Roman" w:eastAsia="Times New Roman" w:hAnsi="Times New Roman" w:cs="Times New Roman"/>
          <w:color w:val="000000"/>
          <w:sz w:val="26"/>
          <w:szCs w:val="26"/>
        </w:rPr>
        <w:t xml:space="preserve">seeking </w:t>
      </w:r>
      <w:r w:rsidR="00A9401C">
        <w:rPr>
          <w:rFonts w:ascii="Times New Roman" w:eastAsia="Times New Roman" w:hAnsi="Times New Roman" w:cs="Times New Roman"/>
          <w:color w:val="000000"/>
          <w:sz w:val="26"/>
          <w:szCs w:val="26"/>
        </w:rPr>
        <w:t xml:space="preserve">the issuance of </w:t>
      </w:r>
      <w:r w:rsidR="00D35632">
        <w:rPr>
          <w:rFonts w:ascii="Times New Roman" w:eastAsia="Times New Roman" w:hAnsi="Times New Roman" w:cs="Times New Roman"/>
          <w:color w:val="000000"/>
          <w:sz w:val="26"/>
          <w:szCs w:val="26"/>
        </w:rPr>
        <w:t>a</w:t>
      </w:r>
      <w:r w:rsidR="004E77F5">
        <w:rPr>
          <w:rFonts w:ascii="Times New Roman" w:eastAsia="Times New Roman" w:hAnsi="Times New Roman" w:cs="Times New Roman"/>
          <w:color w:val="000000"/>
          <w:sz w:val="26"/>
          <w:szCs w:val="26"/>
        </w:rPr>
        <w:t xml:space="preserve"> Commission order </w:t>
      </w:r>
      <w:r w:rsidR="00A9401C">
        <w:rPr>
          <w:rFonts w:ascii="Times New Roman" w:eastAsia="Times New Roman" w:hAnsi="Times New Roman" w:cs="Times New Roman"/>
          <w:color w:val="000000"/>
          <w:sz w:val="26"/>
          <w:szCs w:val="26"/>
        </w:rPr>
        <w:t xml:space="preserve">for the </w:t>
      </w:r>
      <w:r w:rsidR="004E77F5">
        <w:rPr>
          <w:rFonts w:ascii="Times New Roman" w:eastAsia="Times New Roman" w:hAnsi="Times New Roman" w:cs="Times New Roman"/>
          <w:color w:val="000000"/>
          <w:sz w:val="26"/>
          <w:szCs w:val="26"/>
        </w:rPr>
        <w:t>acquisition of a small water company</w:t>
      </w:r>
      <w:r w:rsidR="00A9401C">
        <w:rPr>
          <w:rFonts w:ascii="Times New Roman" w:eastAsia="Times New Roman" w:hAnsi="Times New Roman" w:cs="Times New Roman"/>
          <w:color w:val="000000"/>
          <w:sz w:val="26"/>
          <w:szCs w:val="26"/>
        </w:rPr>
        <w:t>.</w:t>
      </w:r>
      <w:r w:rsidR="005D69A8">
        <w:rPr>
          <w:rFonts w:ascii="Times New Roman" w:eastAsia="Times New Roman" w:hAnsi="Times New Roman" w:cs="Times New Roman"/>
          <w:color w:val="000000"/>
          <w:sz w:val="26"/>
          <w:szCs w:val="26"/>
        </w:rPr>
        <w:t xml:space="preserve">  Specifically, Section 529 establishes </w:t>
      </w:r>
      <w:r w:rsidR="00D35632">
        <w:rPr>
          <w:rFonts w:ascii="Times New Roman" w:eastAsia="Times New Roman" w:hAnsi="Times New Roman" w:cs="Times New Roman"/>
          <w:color w:val="000000"/>
          <w:sz w:val="26"/>
          <w:szCs w:val="26"/>
        </w:rPr>
        <w:t xml:space="preserve">that </w:t>
      </w:r>
      <w:r w:rsidR="00E02DFF" w:rsidRPr="00E02DFF">
        <w:rPr>
          <w:rFonts w:ascii="Times New Roman" w:eastAsia="Times New Roman" w:hAnsi="Times New Roman" w:cs="Times New Roman"/>
          <w:color w:val="000000"/>
          <w:sz w:val="26"/>
          <w:szCs w:val="26"/>
        </w:rPr>
        <w:t xml:space="preserve">I&amp;E shall have the </w:t>
      </w:r>
      <w:r w:rsidR="00E02DFF" w:rsidRPr="00E02DFF">
        <w:rPr>
          <w:rFonts w:ascii="Times New Roman" w:eastAsia="Times New Roman" w:hAnsi="Times New Roman" w:cs="Times New Roman"/>
          <w:color w:val="000000"/>
          <w:sz w:val="26"/>
          <w:szCs w:val="26"/>
        </w:rPr>
        <w:lastRenderedPageBreak/>
        <w:t xml:space="preserve">burden of establishing a </w:t>
      </w:r>
      <w:r w:rsidR="00E02DFF" w:rsidRPr="00E02DFF">
        <w:rPr>
          <w:rFonts w:ascii="Times New Roman" w:eastAsia="Times New Roman" w:hAnsi="Times New Roman" w:cs="Times New Roman"/>
          <w:i/>
          <w:color w:val="000000"/>
          <w:sz w:val="26"/>
          <w:szCs w:val="26"/>
        </w:rPr>
        <w:t>prima facie</w:t>
      </w:r>
      <w:r w:rsidR="00E02DFF" w:rsidRPr="00E02DFF">
        <w:rPr>
          <w:rFonts w:ascii="Times New Roman" w:eastAsia="Times New Roman" w:hAnsi="Times New Roman" w:cs="Times New Roman"/>
          <w:color w:val="000000"/>
          <w:sz w:val="26"/>
          <w:szCs w:val="26"/>
        </w:rPr>
        <w:t xml:space="preserve"> case that the acquisition of the small water or sewer utility would be in the public interest and in compliance with the provisions of Section</w:t>
      </w:r>
      <w:r w:rsidR="00857456">
        <w:rPr>
          <w:rFonts w:ascii="Times New Roman" w:eastAsia="Times New Roman" w:hAnsi="Times New Roman" w:cs="Times New Roman"/>
          <w:color w:val="000000"/>
          <w:sz w:val="26"/>
          <w:szCs w:val="26"/>
        </w:rPr>
        <w:t> </w:t>
      </w:r>
      <w:r w:rsidR="00E02DFF" w:rsidRPr="00E02DFF">
        <w:rPr>
          <w:rFonts w:ascii="Times New Roman" w:eastAsia="Times New Roman" w:hAnsi="Times New Roman" w:cs="Times New Roman"/>
          <w:color w:val="000000"/>
          <w:sz w:val="26"/>
          <w:szCs w:val="26"/>
        </w:rPr>
        <w:t>529.  66 Pa.</w:t>
      </w:r>
      <w:r w:rsidR="00A07D6C">
        <w:rPr>
          <w:rFonts w:ascii="Times New Roman" w:eastAsia="Times New Roman" w:hAnsi="Times New Roman" w:cs="Times New Roman"/>
          <w:color w:val="000000"/>
          <w:sz w:val="26"/>
          <w:szCs w:val="26"/>
        </w:rPr>
        <w:t xml:space="preserve"> </w:t>
      </w:r>
      <w:r w:rsidR="00E02DFF" w:rsidRPr="00E02DFF">
        <w:rPr>
          <w:rFonts w:ascii="Times New Roman" w:eastAsia="Times New Roman" w:hAnsi="Times New Roman" w:cs="Times New Roman"/>
          <w:color w:val="000000"/>
          <w:sz w:val="26"/>
          <w:szCs w:val="26"/>
        </w:rPr>
        <w:t xml:space="preserve">C.S. § 529(i). </w:t>
      </w:r>
      <w:r w:rsidR="00857456">
        <w:rPr>
          <w:rFonts w:ascii="Times New Roman" w:eastAsia="Times New Roman" w:hAnsi="Times New Roman" w:cs="Times New Roman"/>
          <w:color w:val="000000"/>
          <w:sz w:val="26"/>
          <w:szCs w:val="26"/>
        </w:rPr>
        <w:t xml:space="preserve"> </w:t>
      </w:r>
      <w:r w:rsidR="00E02DFF" w:rsidRPr="00E02DFF">
        <w:rPr>
          <w:rFonts w:ascii="Times New Roman" w:eastAsia="Times New Roman" w:hAnsi="Times New Roman" w:cs="Times New Roman"/>
          <w:color w:val="000000"/>
          <w:sz w:val="26"/>
          <w:szCs w:val="26"/>
        </w:rPr>
        <w:t xml:space="preserve">Once the Commission determines that a </w:t>
      </w:r>
      <w:r w:rsidR="00E02DFF" w:rsidRPr="00E02DFF">
        <w:rPr>
          <w:rFonts w:ascii="Times New Roman" w:eastAsia="Times New Roman" w:hAnsi="Times New Roman" w:cs="Times New Roman"/>
          <w:i/>
          <w:color w:val="000000"/>
          <w:sz w:val="26"/>
          <w:szCs w:val="26"/>
        </w:rPr>
        <w:t>prima facie</w:t>
      </w:r>
      <w:r w:rsidR="00E02DFF" w:rsidRPr="00E02DFF">
        <w:rPr>
          <w:rFonts w:ascii="Times New Roman" w:eastAsia="Times New Roman" w:hAnsi="Times New Roman" w:cs="Times New Roman"/>
          <w:color w:val="000000"/>
          <w:sz w:val="26"/>
          <w:szCs w:val="26"/>
        </w:rPr>
        <w:t xml:space="preserve"> case has been established, the small water or sewer utility</w:t>
      </w:r>
      <w:r w:rsidR="00711EF2">
        <w:rPr>
          <w:rFonts w:ascii="Times New Roman" w:eastAsia="Times New Roman" w:hAnsi="Times New Roman" w:cs="Times New Roman"/>
          <w:color w:val="000000"/>
          <w:sz w:val="26"/>
          <w:szCs w:val="26"/>
        </w:rPr>
        <w:t xml:space="preserve"> which opposes the acquisition </w:t>
      </w:r>
      <w:r w:rsidR="00E02DFF" w:rsidRPr="00E02DFF">
        <w:rPr>
          <w:rFonts w:ascii="Times New Roman" w:eastAsia="Times New Roman" w:hAnsi="Times New Roman" w:cs="Times New Roman"/>
          <w:color w:val="000000"/>
          <w:sz w:val="26"/>
          <w:szCs w:val="26"/>
        </w:rPr>
        <w:t>shall have the burden of proving its ability to render adequate, efficient, safe and reasonable service at just and reasonable rates</w:t>
      </w:r>
      <w:r w:rsidR="004577C9">
        <w:rPr>
          <w:rFonts w:ascii="Times New Roman" w:eastAsia="Times New Roman" w:hAnsi="Times New Roman" w:cs="Times New Roman"/>
          <w:color w:val="000000"/>
          <w:sz w:val="26"/>
          <w:szCs w:val="26"/>
        </w:rPr>
        <w:t xml:space="preserve">, </w:t>
      </w:r>
      <w:r w:rsidR="00E02DFF" w:rsidRPr="00E02DFF">
        <w:rPr>
          <w:rFonts w:ascii="Times New Roman" w:eastAsia="Times New Roman" w:hAnsi="Times New Roman" w:cs="Times New Roman"/>
          <w:color w:val="000000"/>
          <w:sz w:val="26"/>
          <w:szCs w:val="26"/>
        </w:rPr>
        <w:t xml:space="preserve">and a proximate public utility </w:t>
      </w:r>
      <w:r w:rsidR="00AB55F1">
        <w:rPr>
          <w:rFonts w:ascii="Times New Roman" w:eastAsia="Times New Roman" w:hAnsi="Times New Roman" w:cs="Times New Roman"/>
          <w:color w:val="000000"/>
          <w:sz w:val="26"/>
          <w:szCs w:val="26"/>
        </w:rPr>
        <w:t>positioned to acquire the smal</w:t>
      </w:r>
      <w:r w:rsidR="002B059B">
        <w:rPr>
          <w:rFonts w:ascii="Times New Roman" w:eastAsia="Times New Roman" w:hAnsi="Times New Roman" w:cs="Times New Roman"/>
          <w:color w:val="000000"/>
          <w:sz w:val="26"/>
          <w:szCs w:val="26"/>
        </w:rPr>
        <w:t xml:space="preserve">l water or sewer </w:t>
      </w:r>
      <w:r w:rsidR="00AB794B">
        <w:rPr>
          <w:rFonts w:ascii="Times New Roman" w:eastAsia="Times New Roman" w:hAnsi="Times New Roman" w:cs="Times New Roman"/>
          <w:color w:val="000000"/>
          <w:sz w:val="26"/>
          <w:szCs w:val="26"/>
        </w:rPr>
        <w:t xml:space="preserve">utility </w:t>
      </w:r>
      <w:r w:rsidR="00E02DFF" w:rsidRPr="00E02DFF">
        <w:rPr>
          <w:rFonts w:ascii="Times New Roman" w:eastAsia="Times New Roman" w:hAnsi="Times New Roman" w:cs="Times New Roman"/>
          <w:color w:val="000000"/>
          <w:sz w:val="26"/>
          <w:szCs w:val="26"/>
        </w:rPr>
        <w:t>shall have the opportunity and burden of proving its financial, managerial or technical inability to acquire and operate the small water or sewer utility</w:t>
      </w:r>
      <w:r w:rsidR="00857456">
        <w:rPr>
          <w:rFonts w:ascii="Times New Roman" w:eastAsia="Times New Roman" w:hAnsi="Times New Roman" w:cs="Times New Roman"/>
          <w:color w:val="000000"/>
          <w:sz w:val="26"/>
          <w:szCs w:val="26"/>
        </w:rPr>
        <w:t>.</w:t>
      </w:r>
      <w:r w:rsidR="00031467">
        <w:rPr>
          <w:rStyle w:val="FootnoteReference"/>
          <w:rFonts w:ascii="Times New Roman" w:eastAsia="Times New Roman" w:hAnsi="Times New Roman" w:cs="Times New Roman"/>
          <w:color w:val="000000"/>
          <w:sz w:val="26"/>
          <w:szCs w:val="26"/>
        </w:rPr>
        <w:footnoteReference w:id="5"/>
      </w:r>
      <w:r w:rsidR="00E02DFF" w:rsidRPr="00E02DFF">
        <w:rPr>
          <w:rFonts w:ascii="Times New Roman" w:eastAsia="Times New Roman" w:hAnsi="Times New Roman" w:cs="Times New Roman"/>
          <w:color w:val="000000"/>
          <w:sz w:val="26"/>
          <w:szCs w:val="26"/>
        </w:rPr>
        <w:t xml:space="preserve">  66 Pa.</w:t>
      </w:r>
      <w:r w:rsidR="00A07D6C">
        <w:rPr>
          <w:rFonts w:ascii="Times New Roman" w:eastAsia="Times New Roman" w:hAnsi="Times New Roman" w:cs="Times New Roman"/>
          <w:color w:val="000000"/>
          <w:sz w:val="26"/>
          <w:szCs w:val="26"/>
        </w:rPr>
        <w:t xml:space="preserve"> </w:t>
      </w:r>
      <w:r w:rsidR="00E02DFF" w:rsidRPr="00E02DFF">
        <w:rPr>
          <w:rFonts w:ascii="Times New Roman" w:eastAsia="Times New Roman" w:hAnsi="Times New Roman" w:cs="Times New Roman"/>
          <w:color w:val="000000"/>
          <w:sz w:val="26"/>
          <w:szCs w:val="26"/>
        </w:rPr>
        <w:t xml:space="preserve">C.S. § 529(i).  </w:t>
      </w:r>
    </w:p>
    <w:p w14:paraId="5E8BB5B1" w14:textId="77777777" w:rsidR="00BB5B05" w:rsidRPr="00E02DFF" w:rsidRDefault="00BB5B05" w:rsidP="00735842">
      <w:pPr>
        <w:spacing w:after="0" w:line="360" w:lineRule="auto"/>
        <w:ind w:firstLine="1440"/>
        <w:rPr>
          <w:rFonts w:ascii="Times New Roman" w:eastAsia="Times New Roman" w:hAnsi="Times New Roman" w:cs="Times New Roman"/>
          <w:color w:val="000000"/>
          <w:sz w:val="26"/>
          <w:szCs w:val="26"/>
        </w:rPr>
      </w:pPr>
    </w:p>
    <w:p w14:paraId="29E128E1" w14:textId="7C3F6D13" w:rsidR="00E02DFF" w:rsidRPr="00E02DFF" w:rsidRDefault="00E02DFF" w:rsidP="00E02DFF">
      <w:pPr>
        <w:spacing w:after="0" w:line="360" w:lineRule="auto"/>
        <w:ind w:firstLine="1440"/>
        <w:rPr>
          <w:rFonts w:ascii="Times New Roman" w:eastAsia="Times New Roman" w:hAnsi="Times New Roman" w:cs="Times New Roman"/>
          <w:i/>
          <w:iCs/>
          <w:color w:val="000000"/>
          <w:sz w:val="26"/>
          <w:szCs w:val="26"/>
        </w:rPr>
      </w:pPr>
      <w:r w:rsidRPr="00E02DFF">
        <w:rPr>
          <w:rFonts w:ascii="Times New Roman" w:eastAsia="Times New Roman" w:hAnsi="Times New Roman" w:cs="Times New Roman"/>
          <w:color w:val="000000"/>
          <w:sz w:val="26"/>
          <w:szCs w:val="26"/>
        </w:rPr>
        <w:t xml:space="preserve">The issue of which party has the burden of proof was addressed previously in this proceeding because Twin Lakes filed the initial petition commencing this </w:t>
      </w:r>
      <w:r w:rsidRPr="00E02DFF">
        <w:rPr>
          <w:rFonts w:ascii="Times New Roman" w:eastAsia="Times New Roman" w:hAnsi="Times New Roman" w:cs="Times New Roman"/>
          <w:color w:val="000000"/>
          <w:sz w:val="26"/>
          <w:szCs w:val="26"/>
        </w:rPr>
        <w:lastRenderedPageBreak/>
        <w:t xml:space="preserve">proceeding.  As a result, I&amp;E filed a </w:t>
      </w:r>
      <w:r w:rsidR="00600B0A">
        <w:rPr>
          <w:rFonts w:ascii="Times New Roman" w:eastAsia="Times New Roman" w:hAnsi="Times New Roman" w:cs="Times New Roman"/>
          <w:color w:val="000000"/>
          <w:sz w:val="26"/>
          <w:szCs w:val="26"/>
        </w:rPr>
        <w:t>P</w:t>
      </w:r>
      <w:r w:rsidRPr="00E02DFF">
        <w:rPr>
          <w:rFonts w:ascii="Times New Roman" w:eastAsia="Times New Roman" w:hAnsi="Times New Roman" w:cs="Times New Roman"/>
          <w:color w:val="000000"/>
          <w:sz w:val="26"/>
          <w:szCs w:val="26"/>
        </w:rPr>
        <w:t xml:space="preserve">etition for </w:t>
      </w:r>
      <w:r w:rsidR="00600B0A">
        <w:rPr>
          <w:rFonts w:ascii="Times New Roman" w:eastAsia="Times New Roman" w:hAnsi="Times New Roman" w:cs="Times New Roman"/>
          <w:color w:val="000000"/>
          <w:sz w:val="26"/>
          <w:szCs w:val="26"/>
        </w:rPr>
        <w:t>I</w:t>
      </w:r>
      <w:r w:rsidRPr="00E02DFF">
        <w:rPr>
          <w:rFonts w:ascii="Times New Roman" w:eastAsia="Times New Roman" w:hAnsi="Times New Roman" w:cs="Times New Roman"/>
          <w:color w:val="000000"/>
          <w:sz w:val="26"/>
          <w:szCs w:val="26"/>
        </w:rPr>
        <w:t xml:space="preserve">nterlocutory </w:t>
      </w:r>
      <w:r w:rsidR="00600B0A">
        <w:rPr>
          <w:rFonts w:ascii="Times New Roman" w:eastAsia="Times New Roman" w:hAnsi="Times New Roman" w:cs="Times New Roman"/>
          <w:color w:val="000000"/>
          <w:sz w:val="26"/>
          <w:szCs w:val="26"/>
        </w:rPr>
        <w:t>R</w:t>
      </w:r>
      <w:r w:rsidRPr="00E02DFF">
        <w:rPr>
          <w:rFonts w:ascii="Times New Roman" w:eastAsia="Times New Roman" w:hAnsi="Times New Roman" w:cs="Times New Roman"/>
          <w:color w:val="000000"/>
          <w:sz w:val="26"/>
          <w:szCs w:val="26"/>
        </w:rPr>
        <w:t xml:space="preserve">eview on the issue of whether the Commission should permit a certificated small water or wastewater public utility to proceed by its own petition pursuant to Section 529.  The Commission addressed the issue of burden of proof when it disposed of I&amp;E’s petition in the </w:t>
      </w:r>
      <w:r w:rsidRPr="00E6320B">
        <w:rPr>
          <w:rFonts w:ascii="Times New Roman" w:eastAsia="Times New Roman" w:hAnsi="Times New Roman" w:cs="Times New Roman"/>
          <w:i/>
          <w:iCs/>
          <w:color w:val="000000"/>
          <w:sz w:val="26"/>
          <w:szCs w:val="26"/>
        </w:rPr>
        <w:t>September 17</w:t>
      </w:r>
      <w:r w:rsidR="00E6320B">
        <w:rPr>
          <w:rFonts w:ascii="Times New Roman" w:eastAsia="Times New Roman" w:hAnsi="Times New Roman" w:cs="Times New Roman"/>
          <w:i/>
          <w:iCs/>
          <w:color w:val="000000"/>
          <w:sz w:val="26"/>
          <w:szCs w:val="26"/>
        </w:rPr>
        <w:t xml:space="preserve"> </w:t>
      </w:r>
      <w:r w:rsidRPr="00E6320B">
        <w:rPr>
          <w:rFonts w:ascii="Times New Roman" w:eastAsia="Times New Roman" w:hAnsi="Times New Roman" w:cs="Times New Roman"/>
          <w:i/>
          <w:iCs/>
          <w:color w:val="000000"/>
          <w:sz w:val="26"/>
          <w:szCs w:val="26"/>
        </w:rPr>
        <w:t>Order</w:t>
      </w:r>
      <w:r w:rsidRPr="00E02DFF">
        <w:rPr>
          <w:rFonts w:ascii="Times New Roman" w:eastAsia="Times New Roman" w:hAnsi="Times New Roman" w:cs="Times New Roman"/>
          <w:color w:val="000000"/>
          <w:sz w:val="26"/>
          <w:szCs w:val="26"/>
        </w:rPr>
        <w:t>.  In that order, the Commission determined that “although it is accurate th</w:t>
      </w:r>
      <w:r w:rsidR="008430F5">
        <w:rPr>
          <w:rFonts w:ascii="Times New Roman" w:eastAsia="Times New Roman" w:hAnsi="Times New Roman" w:cs="Times New Roman"/>
          <w:color w:val="000000"/>
          <w:sz w:val="26"/>
          <w:szCs w:val="26"/>
        </w:rPr>
        <w:t>at</w:t>
      </w:r>
      <w:r w:rsidRPr="00E02DFF">
        <w:rPr>
          <w:rFonts w:ascii="Times New Roman" w:eastAsia="Times New Roman" w:hAnsi="Times New Roman" w:cs="Times New Roman"/>
          <w:color w:val="000000"/>
          <w:sz w:val="26"/>
          <w:szCs w:val="26"/>
        </w:rPr>
        <w:t xml:space="preserve"> I&amp;E bears the statutory burden of proof in a section 529 proceeding pursuant to 66 Pa.</w:t>
      </w:r>
      <w:r w:rsidR="00736137">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C.S. § 529(i), we have previously stated that the burden is not exclusive to I&amp;E.”  </w:t>
      </w:r>
      <w:r w:rsidRPr="00A1188E">
        <w:rPr>
          <w:rFonts w:ascii="Times New Roman" w:eastAsia="Times New Roman" w:hAnsi="Times New Roman" w:cs="Times New Roman"/>
          <w:i/>
          <w:iCs/>
          <w:color w:val="000000"/>
          <w:sz w:val="26"/>
          <w:szCs w:val="26"/>
        </w:rPr>
        <w:t>September 17 Order</w:t>
      </w:r>
      <w:r w:rsidRPr="00B5100C">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at 21.  The Commission added “Rather, any party may present or rebut a </w:t>
      </w:r>
      <w:r w:rsidRPr="00E02DFF">
        <w:rPr>
          <w:rFonts w:ascii="Times New Roman" w:eastAsia="Times New Roman" w:hAnsi="Times New Roman" w:cs="Times New Roman"/>
          <w:i/>
          <w:color w:val="000000"/>
          <w:sz w:val="26"/>
          <w:szCs w:val="26"/>
        </w:rPr>
        <w:t>prima facie</w:t>
      </w:r>
      <w:r w:rsidRPr="00E02DFF">
        <w:rPr>
          <w:rFonts w:ascii="Times New Roman" w:eastAsia="Times New Roman" w:hAnsi="Times New Roman" w:cs="Times New Roman"/>
          <w:color w:val="000000"/>
          <w:sz w:val="26"/>
          <w:szCs w:val="26"/>
        </w:rPr>
        <w:t xml:space="preserve"> case in support of its position in this proceeding.”  </w:t>
      </w:r>
      <w:r w:rsidRPr="00B5100C">
        <w:rPr>
          <w:rFonts w:ascii="Times New Roman" w:eastAsia="Times New Roman" w:hAnsi="Times New Roman" w:cs="Times New Roman"/>
          <w:i/>
          <w:iCs/>
          <w:color w:val="000000"/>
          <w:sz w:val="26"/>
          <w:szCs w:val="26"/>
        </w:rPr>
        <w:t>Id</w:t>
      </w:r>
      <w:r w:rsidRPr="00B5100C">
        <w:rPr>
          <w:rFonts w:ascii="Times New Roman" w:eastAsia="Times New Roman" w:hAnsi="Times New Roman" w:cs="Times New Roman"/>
          <w:color w:val="000000"/>
          <w:sz w:val="26"/>
          <w:szCs w:val="26"/>
        </w:rPr>
        <w:t>.,</w:t>
      </w:r>
      <w:r w:rsidRPr="00E02DFF">
        <w:rPr>
          <w:rFonts w:ascii="Times New Roman" w:eastAsia="Times New Roman" w:hAnsi="Times New Roman" w:cs="Times New Roman"/>
          <w:color w:val="000000"/>
          <w:sz w:val="26"/>
          <w:szCs w:val="26"/>
        </w:rPr>
        <w:t xml:space="preserve"> </w:t>
      </w:r>
      <w:r w:rsidRPr="00B5100C">
        <w:rPr>
          <w:rFonts w:ascii="Times New Roman" w:eastAsia="Times New Roman" w:hAnsi="Times New Roman" w:cs="Times New Roman"/>
          <w:iCs/>
          <w:color w:val="000000"/>
          <w:sz w:val="26"/>
          <w:szCs w:val="26"/>
        </w:rPr>
        <w:t>citing</w:t>
      </w:r>
      <w:r w:rsidRPr="00E02DFF">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i/>
          <w:iCs/>
          <w:color w:val="000000"/>
          <w:sz w:val="26"/>
          <w:szCs w:val="26"/>
        </w:rPr>
        <w:t>Investigation Instituted per Section 529 into Whether the Commission Shall Order a Capable Public Utility to Acquire Delaware Sewer Company</w:t>
      </w:r>
      <w:r w:rsidRPr="00E02DFF">
        <w:rPr>
          <w:rFonts w:ascii="Times New Roman" w:eastAsia="Times New Roman" w:hAnsi="Times New Roman" w:cs="Times New Roman"/>
          <w:color w:val="000000"/>
          <w:sz w:val="26"/>
          <w:szCs w:val="26"/>
        </w:rPr>
        <w:t>, Docket No. I-2016-2526085 (Order entered Jan. 28, 2016) (“While the burden of going forward with evidence is on I&amp;E, I&amp;E is not assigned this task with any predetermined or targeted result in mind and will be guided in its recommendation by the evidence it adduces.</w:t>
      </w:r>
      <w:r w:rsidR="0017567A">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This does not preclude any other party, however, from producing its own evidence to address the evidentiary and statutory requirements of Section 529.”).  The Commission concluded:  “As a result, to the extent Twin Lakes is seeking specific relief in the Section 529 proceeding, it must produce evidence demonstrating that such relief is warranted.”  </w:t>
      </w:r>
      <w:r w:rsidRPr="00E02DFF">
        <w:rPr>
          <w:rFonts w:ascii="Times New Roman" w:eastAsia="Times New Roman" w:hAnsi="Times New Roman" w:cs="Times New Roman"/>
          <w:i/>
          <w:iCs/>
          <w:color w:val="000000"/>
          <w:sz w:val="26"/>
          <w:szCs w:val="26"/>
        </w:rPr>
        <w:t>Id.</w:t>
      </w:r>
      <w:r w:rsidRPr="00E02DFF">
        <w:rPr>
          <w:rFonts w:ascii="Times New Roman" w:eastAsia="Times New Roman" w:hAnsi="Times New Roman" w:cs="Times New Roman"/>
          <w:color w:val="000000"/>
          <w:sz w:val="26"/>
          <w:szCs w:val="26"/>
        </w:rPr>
        <w:t xml:space="preserve"> </w:t>
      </w:r>
    </w:p>
    <w:p w14:paraId="1CEFC0A6" w14:textId="77777777" w:rsidR="00FA7A66" w:rsidRDefault="00FA7A66" w:rsidP="007221AD">
      <w:pPr>
        <w:spacing w:after="1" w:line="357" w:lineRule="auto"/>
        <w:ind w:left="-15" w:right="199" w:firstLine="1440"/>
        <w:rPr>
          <w:rFonts w:ascii="Times New Roman" w:eastAsia="Times New Roman" w:hAnsi="Times New Roman" w:cs="Times New Roman"/>
          <w:color w:val="000000"/>
          <w:sz w:val="26"/>
          <w:szCs w:val="26"/>
        </w:rPr>
      </w:pPr>
    </w:p>
    <w:p w14:paraId="28E310CD" w14:textId="7E65A820" w:rsidR="000F2635" w:rsidRPr="000F2635" w:rsidRDefault="00255300" w:rsidP="0084145F">
      <w:pPr>
        <w:spacing w:after="1" w:line="360" w:lineRule="auto"/>
        <w:ind w:left="-15" w:right="199" w:firstLine="1440"/>
        <w:rPr>
          <w:rFonts w:ascii="Times New Roman" w:eastAsia="Times New Roman" w:hAnsi="Times New Roman" w:cs="Times New Roman"/>
          <w:i/>
          <w:iCs/>
          <w:color w:val="000000"/>
          <w:sz w:val="26"/>
          <w:szCs w:val="26"/>
        </w:rPr>
      </w:pPr>
      <w:r w:rsidRPr="00E02DFF">
        <w:rPr>
          <w:rFonts w:ascii="Times New Roman" w:eastAsia="Times New Roman" w:hAnsi="Times New Roman" w:cs="Times New Roman"/>
          <w:color w:val="000000"/>
          <w:sz w:val="26"/>
          <w:szCs w:val="26"/>
        </w:rPr>
        <w:t>Finally, it is noted that</w:t>
      </w:r>
      <w:r>
        <w:rPr>
          <w:rFonts w:ascii="Times New Roman" w:eastAsia="Times New Roman" w:hAnsi="Times New Roman" w:cs="Times New Roman"/>
          <w:color w:val="000000"/>
          <w:sz w:val="26"/>
          <w:szCs w:val="26"/>
        </w:rPr>
        <w:t>, the</w:t>
      </w:r>
      <w:r w:rsidR="000F2635" w:rsidRPr="000F2635">
        <w:rPr>
          <w:rFonts w:ascii="Times New Roman" w:eastAsia="Times New Roman" w:hAnsi="Times New Roman" w:cs="Times New Roman"/>
          <w:color w:val="000000"/>
          <w:sz w:val="26"/>
          <w:szCs w:val="26"/>
        </w:rPr>
        <w:t xml:space="preserve"> decision of the Commission must be supported by substantial evidence.  </w:t>
      </w:r>
      <w:r w:rsidR="007221AD" w:rsidRPr="00F60BAC">
        <w:rPr>
          <w:rFonts w:ascii="Times New Roman" w:eastAsia="Times New Roman" w:hAnsi="Times New Roman" w:cs="Times New Roman"/>
          <w:i/>
          <w:iCs/>
          <w:color w:val="000000"/>
          <w:sz w:val="26"/>
          <w:szCs w:val="26"/>
        </w:rPr>
        <w:t>See</w:t>
      </w:r>
      <w:r w:rsidR="007221AD">
        <w:rPr>
          <w:rFonts w:ascii="Times New Roman" w:eastAsia="Times New Roman" w:hAnsi="Times New Roman" w:cs="Times New Roman"/>
          <w:color w:val="000000"/>
          <w:sz w:val="26"/>
          <w:szCs w:val="26"/>
        </w:rPr>
        <w:t xml:space="preserve"> </w:t>
      </w:r>
      <w:r w:rsidR="000F2635" w:rsidRPr="000F2635">
        <w:rPr>
          <w:rFonts w:ascii="Times New Roman" w:eastAsia="Times New Roman" w:hAnsi="Times New Roman" w:cs="Times New Roman"/>
          <w:color w:val="000000"/>
          <w:sz w:val="26"/>
          <w:szCs w:val="26"/>
        </w:rPr>
        <w:t>2 Pa.</w:t>
      </w:r>
      <w:r w:rsidR="00B4769F">
        <w:rPr>
          <w:rFonts w:ascii="Times New Roman" w:eastAsia="Times New Roman" w:hAnsi="Times New Roman" w:cs="Times New Roman"/>
          <w:color w:val="000000"/>
          <w:sz w:val="26"/>
          <w:szCs w:val="26"/>
        </w:rPr>
        <w:t xml:space="preserve"> </w:t>
      </w:r>
      <w:r w:rsidR="000F2635" w:rsidRPr="000F2635">
        <w:rPr>
          <w:rFonts w:ascii="Times New Roman" w:eastAsia="Times New Roman" w:hAnsi="Times New Roman" w:cs="Times New Roman"/>
          <w:color w:val="000000"/>
          <w:sz w:val="26"/>
          <w:szCs w:val="26"/>
        </w:rPr>
        <w:t>C.S. § 704.</w:t>
      </w:r>
      <w:r w:rsidR="007221AD">
        <w:rPr>
          <w:rFonts w:ascii="Times New Roman" w:eastAsia="Times New Roman" w:hAnsi="Times New Roman" w:cs="Times New Roman"/>
          <w:color w:val="000000"/>
          <w:sz w:val="26"/>
          <w:szCs w:val="26"/>
        </w:rPr>
        <w:t xml:space="preserve">  </w:t>
      </w:r>
      <w:r w:rsidR="004F58D6">
        <w:rPr>
          <w:rFonts w:ascii="Times New Roman" w:eastAsia="Times New Roman" w:hAnsi="Times New Roman" w:cs="Times New Roman"/>
          <w:color w:val="000000"/>
          <w:sz w:val="26"/>
          <w:szCs w:val="26"/>
        </w:rPr>
        <w:t>“</w:t>
      </w:r>
      <w:r w:rsidR="000F2635" w:rsidRPr="000F2635">
        <w:rPr>
          <w:rFonts w:ascii="Times New Roman" w:eastAsia="Times New Roman" w:hAnsi="Times New Roman" w:cs="Times New Roman"/>
          <w:color w:val="000000"/>
          <w:sz w:val="26"/>
          <w:szCs w:val="26"/>
        </w:rPr>
        <w:t>Substantial evidence</w:t>
      </w:r>
      <w:r w:rsidR="004F58D6">
        <w:rPr>
          <w:rFonts w:ascii="Times New Roman" w:eastAsia="Times New Roman" w:hAnsi="Times New Roman" w:cs="Times New Roman"/>
          <w:color w:val="000000"/>
          <w:sz w:val="26"/>
          <w:szCs w:val="26"/>
        </w:rPr>
        <w:t>”</w:t>
      </w:r>
      <w:r w:rsidR="000F2635" w:rsidRPr="000F2635">
        <w:rPr>
          <w:rFonts w:ascii="Times New Roman" w:eastAsia="Times New Roman" w:hAnsi="Times New Roman" w:cs="Times New Roman"/>
          <w:color w:val="000000"/>
          <w:sz w:val="26"/>
          <w:szCs w:val="26"/>
        </w:rPr>
        <w:t xml:space="preserve"> is such relevant evidence that a reasonable mind might accept as adequate to support a conclusion.  More is required than a mere trace of evidence or a suspicion of the existence of a fact sought to be established.</w:t>
      </w:r>
      <w:r w:rsidR="007221AD">
        <w:rPr>
          <w:rFonts w:ascii="Times New Roman" w:eastAsia="Times New Roman" w:hAnsi="Times New Roman" w:cs="Times New Roman"/>
          <w:color w:val="000000"/>
          <w:sz w:val="26"/>
          <w:szCs w:val="26"/>
        </w:rPr>
        <w:t xml:space="preserve">  </w:t>
      </w:r>
      <w:r w:rsidR="000F2635" w:rsidRPr="000F2635">
        <w:rPr>
          <w:rFonts w:ascii="Times New Roman" w:eastAsia="Times New Roman" w:hAnsi="Times New Roman" w:cs="Times New Roman"/>
          <w:i/>
          <w:iCs/>
          <w:color w:val="000000"/>
          <w:sz w:val="26"/>
          <w:szCs w:val="26"/>
          <w:u w:color="000000"/>
        </w:rPr>
        <w:t>Norfolk &amp; Western Ry. Co. v. Pa.</w:t>
      </w:r>
      <w:r w:rsidR="000F2635" w:rsidRPr="000F2635">
        <w:rPr>
          <w:rFonts w:ascii="Times New Roman" w:eastAsia="Times New Roman" w:hAnsi="Times New Roman" w:cs="Times New Roman"/>
          <w:i/>
          <w:iCs/>
          <w:color w:val="000000"/>
          <w:sz w:val="26"/>
          <w:szCs w:val="26"/>
        </w:rPr>
        <w:t xml:space="preserve"> </w:t>
      </w:r>
      <w:r w:rsidR="00CB06ED">
        <w:rPr>
          <w:rFonts w:ascii="Times New Roman" w:eastAsia="Times New Roman" w:hAnsi="Times New Roman" w:cs="Times New Roman"/>
          <w:i/>
          <w:iCs/>
          <w:color w:val="000000"/>
          <w:sz w:val="26"/>
          <w:szCs w:val="26"/>
        </w:rPr>
        <w:t>PUC</w:t>
      </w:r>
      <w:r w:rsidR="000F2635" w:rsidRPr="000F2635">
        <w:rPr>
          <w:rFonts w:ascii="Times New Roman" w:eastAsia="Times New Roman" w:hAnsi="Times New Roman" w:cs="Times New Roman"/>
          <w:color w:val="000000"/>
          <w:sz w:val="26"/>
          <w:szCs w:val="26"/>
        </w:rPr>
        <w:t xml:space="preserve">, 489 Pa. 109, 413 A.2d 1037 (1980); </w:t>
      </w:r>
      <w:r w:rsidR="000F2635" w:rsidRPr="000F2635">
        <w:rPr>
          <w:rFonts w:ascii="Times New Roman" w:eastAsia="Times New Roman" w:hAnsi="Times New Roman" w:cs="Times New Roman"/>
          <w:i/>
          <w:iCs/>
          <w:color w:val="000000"/>
          <w:sz w:val="26"/>
          <w:szCs w:val="26"/>
          <w:u w:color="000000"/>
        </w:rPr>
        <w:t>Erie Resistor Corp. v. Unemployment</w:t>
      </w:r>
      <w:r w:rsidR="000F2635" w:rsidRPr="000F2635">
        <w:rPr>
          <w:rFonts w:ascii="Times New Roman" w:eastAsia="Times New Roman" w:hAnsi="Times New Roman" w:cs="Times New Roman"/>
          <w:i/>
          <w:iCs/>
          <w:color w:val="000000"/>
          <w:sz w:val="26"/>
          <w:szCs w:val="26"/>
        </w:rPr>
        <w:t xml:space="preserve"> </w:t>
      </w:r>
      <w:r w:rsidR="000F2635" w:rsidRPr="000F2635">
        <w:rPr>
          <w:rFonts w:ascii="Times New Roman" w:eastAsia="Times New Roman" w:hAnsi="Times New Roman" w:cs="Times New Roman"/>
          <w:i/>
          <w:iCs/>
          <w:color w:val="000000"/>
          <w:sz w:val="26"/>
          <w:szCs w:val="26"/>
          <w:u w:color="000000"/>
        </w:rPr>
        <w:t>Comp. Bd. of Review</w:t>
      </w:r>
      <w:r w:rsidR="000F2635" w:rsidRPr="000F2635">
        <w:rPr>
          <w:rFonts w:ascii="Times New Roman" w:eastAsia="Times New Roman" w:hAnsi="Times New Roman" w:cs="Times New Roman"/>
          <w:color w:val="000000"/>
          <w:sz w:val="26"/>
          <w:szCs w:val="26"/>
        </w:rPr>
        <w:t>, 166 A.2d 96 (Pa.</w:t>
      </w:r>
      <w:r w:rsidR="00CB06ED">
        <w:rPr>
          <w:rFonts w:ascii="Times New Roman" w:eastAsia="Times New Roman" w:hAnsi="Times New Roman" w:cs="Times New Roman"/>
          <w:color w:val="000000"/>
          <w:sz w:val="26"/>
          <w:szCs w:val="26"/>
        </w:rPr>
        <w:t> </w:t>
      </w:r>
      <w:r w:rsidR="000F2635" w:rsidRPr="000F2635">
        <w:rPr>
          <w:rFonts w:ascii="Times New Roman" w:eastAsia="Times New Roman" w:hAnsi="Times New Roman" w:cs="Times New Roman"/>
          <w:color w:val="000000"/>
          <w:sz w:val="26"/>
          <w:szCs w:val="26"/>
        </w:rPr>
        <w:t xml:space="preserve">Super. 1961); and </w:t>
      </w:r>
      <w:r w:rsidR="000F2635" w:rsidRPr="000F2635">
        <w:rPr>
          <w:rFonts w:ascii="Times New Roman" w:eastAsia="Times New Roman" w:hAnsi="Times New Roman" w:cs="Times New Roman"/>
          <w:i/>
          <w:iCs/>
          <w:color w:val="000000"/>
          <w:sz w:val="26"/>
          <w:szCs w:val="26"/>
          <w:u w:color="000000"/>
        </w:rPr>
        <w:t>Murphy v. Pa. Dept. of Public</w:t>
      </w:r>
      <w:r w:rsidR="000F2635" w:rsidRPr="000F2635">
        <w:rPr>
          <w:rFonts w:ascii="Times New Roman" w:eastAsia="Times New Roman" w:hAnsi="Times New Roman" w:cs="Times New Roman"/>
          <w:i/>
          <w:iCs/>
          <w:color w:val="000000"/>
          <w:sz w:val="26"/>
          <w:szCs w:val="26"/>
        </w:rPr>
        <w:t xml:space="preserve"> </w:t>
      </w:r>
      <w:r w:rsidR="000F2635" w:rsidRPr="000F2635">
        <w:rPr>
          <w:rFonts w:ascii="Times New Roman" w:eastAsia="Times New Roman" w:hAnsi="Times New Roman" w:cs="Times New Roman"/>
          <w:i/>
          <w:iCs/>
          <w:color w:val="000000"/>
          <w:sz w:val="26"/>
          <w:szCs w:val="26"/>
          <w:u w:color="000000"/>
        </w:rPr>
        <w:t>Welfare, White Haven Center</w:t>
      </w:r>
      <w:r w:rsidR="000F2635" w:rsidRPr="000F2635">
        <w:rPr>
          <w:rFonts w:ascii="Times New Roman" w:eastAsia="Times New Roman" w:hAnsi="Times New Roman" w:cs="Times New Roman"/>
          <w:color w:val="000000"/>
          <w:sz w:val="26"/>
          <w:szCs w:val="26"/>
        </w:rPr>
        <w:t>, 480 A.2d 382 (Pa.</w:t>
      </w:r>
      <w:r w:rsidR="00CB06ED">
        <w:rPr>
          <w:rFonts w:ascii="Times New Roman" w:eastAsia="Times New Roman" w:hAnsi="Times New Roman" w:cs="Times New Roman"/>
          <w:color w:val="000000"/>
          <w:sz w:val="26"/>
          <w:szCs w:val="26"/>
        </w:rPr>
        <w:t> </w:t>
      </w:r>
      <w:r w:rsidR="000F2635" w:rsidRPr="000F2635">
        <w:rPr>
          <w:rFonts w:ascii="Times New Roman" w:eastAsia="Times New Roman" w:hAnsi="Times New Roman" w:cs="Times New Roman"/>
          <w:color w:val="000000"/>
          <w:sz w:val="26"/>
          <w:szCs w:val="26"/>
        </w:rPr>
        <w:t xml:space="preserve">Cmwlth. 1984). </w:t>
      </w:r>
    </w:p>
    <w:p w14:paraId="2A085893" w14:textId="77777777" w:rsidR="000F2635" w:rsidRPr="000F2635" w:rsidRDefault="000F2635" w:rsidP="0084145F">
      <w:pPr>
        <w:spacing w:after="0" w:line="360" w:lineRule="auto"/>
        <w:ind w:firstLine="1440"/>
        <w:rPr>
          <w:rFonts w:ascii="Times New Roman" w:eastAsia="Times New Roman" w:hAnsi="Times New Roman" w:cs="Times New Roman"/>
          <w:color w:val="000000"/>
          <w:sz w:val="26"/>
          <w:szCs w:val="26"/>
        </w:rPr>
      </w:pPr>
      <w:r w:rsidRPr="000F2635">
        <w:rPr>
          <w:rFonts w:ascii="Times New Roman" w:eastAsia="Times New Roman" w:hAnsi="Times New Roman" w:cs="Times New Roman"/>
          <w:color w:val="000000"/>
          <w:sz w:val="26"/>
          <w:szCs w:val="26"/>
        </w:rPr>
        <w:t xml:space="preserve"> </w:t>
      </w:r>
    </w:p>
    <w:p w14:paraId="3A2FB067" w14:textId="18E5370A" w:rsidR="00537F44" w:rsidRDefault="00B513F9" w:rsidP="00965350">
      <w:pPr>
        <w:pStyle w:val="Heading1"/>
      </w:pPr>
      <w:bookmarkStart w:id="5" w:name="_Toc87265454"/>
      <w:r w:rsidRPr="00F054D1">
        <w:lastRenderedPageBreak/>
        <w:t>Discussion</w:t>
      </w:r>
      <w:bookmarkEnd w:id="5"/>
    </w:p>
    <w:p w14:paraId="2C7D39B9" w14:textId="77777777" w:rsidR="00373913" w:rsidRPr="00373913" w:rsidRDefault="00373913" w:rsidP="00965350">
      <w:pPr>
        <w:keepNext/>
        <w:spacing w:after="0" w:line="360" w:lineRule="auto"/>
      </w:pPr>
    </w:p>
    <w:p w14:paraId="1B1C1C25" w14:textId="6359FCE7" w:rsidR="00115129" w:rsidRPr="00115129" w:rsidRDefault="00115129" w:rsidP="00965350">
      <w:pPr>
        <w:pStyle w:val="Heading2"/>
      </w:pPr>
      <w:bookmarkStart w:id="6" w:name="_Toc87265455"/>
      <w:r w:rsidRPr="00115129">
        <w:t xml:space="preserve">ALJ’ s </w:t>
      </w:r>
      <w:r w:rsidR="002B1B87" w:rsidRPr="00BB5B05">
        <w:t>Recommended</w:t>
      </w:r>
      <w:r w:rsidR="002B1B87">
        <w:t xml:space="preserve"> </w:t>
      </w:r>
      <w:r w:rsidRPr="00115129">
        <w:t>Decision</w:t>
      </w:r>
      <w:bookmarkEnd w:id="6"/>
    </w:p>
    <w:p w14:paraId="207068AC" w14:textId="77777777" w:rsidR="00115129" w:rsidRPr="00115129" w:rsidRDefault="00115129" w:rsidP="00965350">
      <w:pPr>
        <w:keepNext/>
        <w:spacing w:after="0" w:line="360" w:lineRule="auto"/>
        <w:rPr>
          <w:rFonts w:ascii="Times New Roman" w:eastAsia="Calibri" w:hAnsi="Times New Roman" w:cs="Times New Roman"/>
          <w:sz w:val="26"/>
          <w:szCs w:val="26"/>
        </w:rPr>
      </w:pPr>
    </w:p>
    <w:p w14:paraId="73A50F0B" w14:textId="7E947128" w:rsidR="00E66A7C" w:rsidRDefault="008C4A0F" w:rsidP="00965350">
      <w:pPr>
        <w:keepNext/>
        <w:spacing w:after="0" w:line="360" w:lineRule="auto"/>
        <w:ind w:firstLine="1440"/>
        <w:contextualSpacing/>
        <w:rPr>
          <w:rFonts w:ascii="Times New Roman" w:hAnsi="Times New Roman" w:cs="Times New Roman"/>
          <w:sz w:val="26"/>
          <w:szCs w:val="26"/>
        </w:rPr>
      </w:pPr>
      <w:r w:rsidRPr="000224BF">
        <w:rPr>
          <w:rFonts w:ascii="Times New Roman" w:eastAsia="Times New Roman" w:hAnsi="Times New Roman" w:cs="Times New Roman"/>
          <w:color w:val="000000"/>
          <w:sz w:val="26"/>
          <w:szCs w:val="26"/>
        </w:rPr>
        <w:t xml:space="preserve">ALJ Cheskis </w:t>
      </w:r>
      <w:r w:rsidR="000A40CD" w:rsidRPr="000224BF">
        <w:rPr>
          <w:rFonts w:ascii="Times New Roman" w:eastAsia="Times New Roman" w:hAnsi="Times New Roman" w:cs="Times New Roman"/>
          <w:color w:val="000000"/>
          <w:sz w:val="26"/>
          <w:szCs w:val="26"/>
        </w:rPr>
        <w:t xml:space="preserve">made </w:t>
      </w:r>
      <w:r w:rsidR="00D502BF">
        <w:rPr>
          <w:rFonts w:ascii="Times New Roman" w:eastAsia="Times New Roman" w:hAnsi="Times New Roman" w:cs="Times New Roman"/>
          <w:color w:val="000000"/>
          <w:sz w:val="26"/>
          <w:szCs w:val="26"/>
        </w:rPr>
        <w:t>one hundred eight</w:t>
      </w:r>
      <w:r w:rsidR="000A40CD" w:rsidRPr="000224BF">
        <w:rPr>
          <w:rFonts w:ascii="Times New Roman" w:eastAsia="Times New Roman" w:hAnsi="Times New Roman" w:cs="Times New Roman"/>
          <w:color w:val="000000"/>
          <w:sz w:val="26"/>
          <w:szCs w:val="26"/>
        </w:rPr>
        <w:t xml:space="preserve"> Findings of Fact and reached </w:t>
      </w:r>
      <w:r w:rsidR="00F00D7D">
        <w:rPr>
          <w:rFonts w:ascii="Times New Roman" w:eastAsia="Times New Roman" w:hAnsi="Times New Roman" w:cs="Times New Roman"/>
          <w:color w:val="000000"/>
          <w:sz w:val="26"/>
          <w:szCs w:val="26"/>
        </w:rPr>
        <w:t>twenty-three</w:t>
      </w:r>
      <w:r w:rsidR="00524F3D" w:rsidRPr="000224BF">
        <w:rPr>
          <w:rFonts w:ascii="Times New Roman" w:eastAsia="Times New Roman" w:hAnsi="Times New Roman" w:cs="Times New Roman"/>
          <w:color w:val="000000"/>
          <w:sz w:val="26"/>
          <w:szCs w:val="26"/>
        </w:rPr>
        <w:t xml:space="preserve"> Conclusions of Law.</w:t>
      </w:r>
      <w:r w:rsidR="00D43B1C">
        <w:rPr>
          <w:rFonts w:ascii="Times New Roman" w:eastAsia="Times New Roman" w:hAnsi="Times New Roman" w:cs="Times New Roman"/>
          <w:color w:val="000000"/>
          <w:sz w:val="26"/>
          <w:szCs w:val="26"/>
        </w:rPr>
        <w:t xml:space="preserve"> </w:t>
      </w:r>
      <w:r w:rsidR="00F42A30">
        <w:rPr>
          <w:rFonts w:ascii="Times New Roman" w:eastAsia="Times New Roman" w:hAnsi="Times New Roman" w:cs="Times New Roman"/>
          <w:color w:val="000000"/>
          <w:sz w:val="26"/>
          <w:szCs w:val="26"/>
        </w:rPr>
        <w:t xml:space="preserve"> </w:t>
      </w:r>
      <w:r w:rsidR="00D43B1C">
        <w:rPr>
          <w:rFonts w:ascii="Times New Roman" w:eastAsia="Times New Roman" w:hAnsi="Times New Roman" w:cs="Times New Roman"/>
          <w:color w:val="000000"/>
          <w:sz w:val="26"/>
          <w:szCs w:val="26"/>
        </w:rPr>
        <w:t>R.D</w:t>
      </w:r>
      <w:r w:rsidR="00D43B1C" w:rsidRPr="006A499C">
        <w:rPr>
          <w:rFonts w:ascii="Times New Roman" w:eastAsia="Times New Roman" w:hAnsi="Times New Roman" w:cs="Times New Roman"/>
          <w:color w:val="000000"/>
          <w:sz w:val="26"/>
          <w:szCs w:val="26"/>
        </w:rPr>
        <w:t xml:space="preserve">. at </w:t>
      </w:r>
      <w:r w:rsidR="00707D07" w:rsidRPr="006A499C">
        <w:rPr>
          <w:rFonts w:ascii="Times New Roman" w:eastAsia="Times New Roman" w:hAnsi="Times New Roman" w:cs="Times New Roman"/>
          <w:color w:val="000000"/>
          <w:sz w:val="26"/>
          <w:szCs w:val="26"/>
        </w:rPr>
        <w:t>7-2</w:t>
      </w:r>
      <w:r w:rsidR="005174DA">
        <w:rPr>
          <w:rFonts w:ascii="Times New Roman" w:eastAsia="Times New Roman" w:hAnsi="Times New Roman" w:cs="Times New Roman"/>
          <w:color w:val="000000"/>
          <w:sz w:val="26"/>
          <w:szCs w:val="26"/>
        </w:rPr>
        <w:t>1</w:t>
      </w:r>
      <w:r w:rsidR="00F00D7D">
        <w:rPr>
          <w:rFonts w:ascii="Times New Roman" w:eastAsia="Times New Roman" w:hAnsi="Times New Roman" w:cs="Times New Roman"/>
          <w:color w:val="000000"/>
          <w:sz w:val="26"/>
          <w:szCs w:val="26"/>
        </w:rPr>
        <w:t>,</w:t>
      </w:r>
      <w:r w:rsidR="006A499C" w:rsidRPr="006A499C">
        <w:rPr>
          <w:rFonts w:ascii="Times New Roman" w:eastAsia="Times New Roman" w:hAnsi="Times New Roman" w:cs="Times New Roman"/>
          <w:color w:val="000000"/>
          <w:sz w:val="26"/>
          <w:szCs w:val="26"/>
        </w:rPr>
        <w:t xml:space="preserve"> 6</w:t>
      </w:r>
      <w:r w:rsidR="007D6513">
        <w:rPr>
          <w:rFonts w:ascii="Times New Roman" w:eastAsia="Times New Roman" w:hAnsi="Times New Roman" w:cs="Times New Roman"/>
          <w:color w:val="000000"/>
          <w:sz w:val="26"/>
          <w:szCs w:val="26"/>
        </w:rPr>
        <w:t>5</w:t>
      </w:r>
      <w:r w:rsidR="006A499C" w:rsidRPr="006A499C">
        <w:rPr>
          <w:rFonts w:ascii="Times New Roman" w:eastAsia="Times New Roman" w:hAnsi="Times New Roman" w:cs="Times New Roman"/>
          <w:color w:val="000000"/>
          <w:sz w:val="26"/>
          <w:szCs w:val="26"/>
        </w:rPr>
        <w:t>-6</w:t>
      </w:r>
      <w:r w:rsidR="007D6513">
        <w:rPr>
          <w:rFonts w:ascii="Times New Roman" w:eastAsia="Times New Roman" w:hAnsi="Times New Roman" w:cs="Times New Roman"/>
          <w:color w:val="000000"/>
          <w:sz w:val="26"/>
          <w:szCs w:val="26"/>
        </w:rPr>
        <w:t>9</w:t>
      </w:r>
      <w:r w:rsidR="00D43B1C" w:rsidRPr="006A499C">
        <w:rPr>
          <w:rFonts w:ascii="Times New Roman" w:eastAsia="Times New Roman" w:hAnsi="Times New Roman" w:cs="Times New Roman"/>
          <w:color w:val="000000"/>
          <w:sz w:val="26"/>
          <w:szCs w:val="26"/>
        </w:rPr>
        <w:t>.</w:t>
      </w:r>
      <w:r w:rsidR="00D43B1C">
        <w:rPr>
          <w:rFonts w:ascii="Times New Roman" w:eastAsia="Times New Roman" w:hAnsi="Times New Roman" w:cs="Times New Roman"/>
          <w:color w:val="000000"/>
          <w:sz w:val="26"/>
          <w:szCs w:val="26"/>
        </w:rPr>
        <w:t xml:space="preserve"> </w:t>
      </w:r>
      <w:r w:rsidR="000224BF" w:rsidRPr="000224BF">
        <w:rPr>
          <w:rFonts w:ascii="Times New Roman" w:eastAsia="Times New Roman" w:hAnsi="Times New Roman" w:cs="Times New Roman"/>
          <w:color w:val="000000"/>
          <w:sz w:val="26"/>
          <w:szCs w:val="26"/>
        </w:rPr>
        <w:t xml:space="preserve"> </w:t>
      </w:r>
      <w:r w:rsidR="000224BF" w:rsidRPr="000224BF">
        <w:rPr>
          <w:rFonts w:ascii="Times New Roman" w:hAnsi="Times New Roman" w:cs="Times New Roman"/>
          <w:sz w:val="26"/>
          <w:szCs w:val="26"/>
        </w:rPr>
        <w:t>We shall adopt and incorporate herein by reference the ALJ</w:t>
      </w:r>
      <w:r w:rsidR="002608C1">
        <w:rPr>
          <w:rFonts w:ascii="Times New Roman" w:hAnsi="Times New Roman" w:cs="Times New Roman"/>
          <w:sz w:val="26"/>
          <w:szCs w:val="26"/>
        </w:rPr>
        <w:t>’</w:t>
      </w:r>
      <w:r w:rsidR="000224BF" w:rsidRPr="000224BF">
        <w:rPr>
          <w:rFonts w:ascii="Times New Roman" w:hAnsi="Times New Roman" w:cs="Times New Roman"/>
          <w:sz w:val="26"/>
          <w:szCs w:val="26"/>
        </w:rPr>
        <w:t>s Findings of Fact</w:t>
      </w:r>
      <w:r w:rsidR="003C50B6">
        <w:rPr>
          <w:rFonts w:ascii="Times New Roman" w:hAnsi="Times New Roman" w:cs="Times New Roman"/>
          <w:sz w:val="26"/>
          <w:szCs w:val="26"/>
        </w:rPr>
        <w:t xml:space="preserve"> and Conclusions of Law</w:t>
      </w:r>
      <w:r w:rsidR="00F71437">
        <w:rPr>
          <w:rFonts w:ascii="Times New Roman" w:hAnsi="Times New Roman" w:cs="Times New Roman"/>
          <w:sz w:val="26"/>
          <w:szCs w:val="26"/>
        </w:rPr>
        <w:t>.</w:t>
      </w:r>
      <w:r w:rsidR="00D43B1C">
        <w:rPr>
          <w:rFonts w:ascii="Times New Roman" w:hAnsi="Times New Roman" w:cs="Times New Roman"/>
          <w:sz w:val="26"/>
          <w:szCs w:val="26"/>
        </w:rPr>
        <w:t xml:space="preserve"> </w:t>
      </w:r>
    </w:p>
    <w:p w14:paraId="1A1C8542" w14:textId="77777777" w:rsidR="00C50F26" w:rsidRPr="00C50F26" w:rsidRDefault="00C50F26" w:rsidP="00C50F26">
      <w:pPr>
        <w:keepNext/>
        <w:spacing w:after="0" w:line="360" w:lineRule="auto"/>
        <w:ind w:firstLine="1440"/>
        <w:contextualSpacing/>
        <w:rPr>
          <w:rFonts w:ascii="Times New Roman" w:hAnsi="Times New Roman" w:cs="Times New Roman"/>
          <w:sz w:val="26"/>
          <w:szCs w:val="26"/>
        </w:rPr>
      </w:pPr>
    </w:p>
    <w:p w14:paraId="5A1501A5" w14:textId="2FEC900F" w:rsidR="00900B99" w:rsidRPr="000C7CB3" w:rsidRDefault="00A724D1" w:rsidP="00900B99">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Based upon the Findings of Fact</w:t>
      </w:r>
      <w:r w:rsidR="00900B99">
        <w:rPr>
          <w:rFonts w:ascii="Times New Roman" w:eastAsia="Times New Roman" w:hAnsi="Times New Roman" w:cs="Times New Roman"/>
          <w:color w:val="000000"/>
          <w:sz w:val="26"/>
          <w:szCs w:val="26"/>
        </w:rPr>
        <w:t xml:space="preserve"> and </w:t>
      </w:r>
      <w:r w:rsidR="00C50F26">
        <w:rPr>
          <w:rFonts w:ascii="Times New Roman" w:eastAsia="Times New Roman" w:hAnsi="Times New Roman" w:cs="Times New Roman"/>
          <w:color w:val="000000"/>
          <w:sz w:val="26"/>
          <w:szCs w:val="26"/>
        </w:rPr>
        <w:t>C</w:t>
      </w:r>
      <w:r w:rsidR="00900B99">
        <w:rPr>
          <w:rFonts w:ascii="Times New Roman" w:eastAsia="Times New Roman" w:hAnsi="Times New Roman" w:cs="Times New Roman"/>
          <w:color w:val="000000"/>
          <w:sz w:val="26"/>
          <w:szCs w:val="26"/>
        </w:rPr>
        <w:t xml:space="preserve">onclusions of </w:t>
      </w:r>
      <w:r w:rsidR="00C50F26">
        <w:rPr>
          <w:rFonts w:ascii="Times New Roman" w:eastAsia="Times New Roman" w:hAnsi="Times New Roman" w:cs="Times New Roman"/>
          <w:color w:val="000000"/>
          <w:sz w:val="26"/>
          <w:szCs w:val="26"/>
        </w:rPr>
        <w:t>L</w:t>
      </w:r>
      <w:r w:rsidR="00900B99">
        <w:rPr>
          <w:rFonts w:ascii="Times New Roman" w:eastAsia="Times New Roman" w:hAnsi="Times New Roman" w:cs="Times New Roman"/>
          <w:color w:val="000000"/>
          <w:sz w:val="26"/>
          <w:szCs w:val="26"/>
        </w:rPr>
        <w:t>aw,</w:t>
      </w:r>
      <w:r>
        <w:rPr>
          <w:rFonts w:ascii="Times New Roman" w:eastAsia="Times New Roman" w:hAnsi="Times New Roman" w:cs="Times New Roman"/>
          <w:color w:val="000000"/>
          <w:sz w:val="26"/>
          <w:szCs w:val="26"/>
        </w:rPr>
        <w:t xml:space="preserve"> </w:t>
      </w:r>
      <w:r w:rsidR="00115129" w:rsidRPr="00115129">
        <w:rPr>
          <w:rFonts w:ascii="Times New Roman" w:eastAsia="Times New Roman" w:hAnsi="Times New Roman" w:cs="Times New Roman"/>
          <w:color w:val="000000"/>
          <w:sz w:val="26"/>
          <w:szCs w:val="26"/>
        </w:rPr>
        <w:t xml:space="preserve">ALJ </w:t>
      </w:r>
      <w:r w:rsidR="00900B99" w:rsidRPr="000C7CB3">
        <w:rPr>
          <w:rFonts w:ascii="Times New Roman" w:eastAsia="Times New Roman" w:hAnsi="Times New Roman" w:cs="Times New Roman"/>
          <w:color w:val="000000"/>
          <w:sz w:val="26"/>
          <w:szCs w:val="26"/>
        </w:rPr>
        <w:t>Cheskis issued a Recommended Decision granting Twin Lakes’ Petition</w:t>
      </w:r>
      <w:r w:rsidR="006E05EF">
        <w:rPr>
          <w:rFonts w:ascii="Times New Roman" w:eastAsia="Times New Roman" w:hAnsi="Times New Roman" w:cs="Times New Roman"/>
          <w:color w:val="000000"/>
          <w:sz w:val="26"/>
          <w:szCs w:val="26"/>
        </w:rPr>
        <w:t xml:space="preserve">, and </w:t>
      </w:r>
      <w:r w:rsidR="00C4124A">
        <w:rPr>
          <w:rFonts w:ascii="Times New Roman" w:eastAsia="Times New Roman" w:hAnsi="Times New Roman" w:cs="Times New Roman"/>
          <w:color w:val="000000"/>
          <w:sz w:val="26"/>
          <w:szCs w:val="26"/>
        </w:rPr>
        <w:t xml:space="preserve">directing that Aqua acquire Twin Lakes, </w:t>
      </w:r>
      <w:r w:rsidR="00900B99" w:rsidRPr="000C7CB3">
        <w:rPr>
          <w:rFonts w:ascii="Times New Roman" w:eastAsia="Times New Roman" w:hAnsi="Times New Roman" w:cs="Times New Roman"/>
          <w:color w:val="000000"/>
          <w:sz w:val="26"/>
          <w:szCs w:val="26"/>
        </w:rPr>
        <w:t xml:space="preserve">subject to Middlesex, Twin Lakes’ </w:t>
      </w:r>
      <w:r w:rsidR="001D7275">
        <w:rPr>
          <w:rFonts w:ascii="Times New Roman" w:eastAsia="Times New Roman" w:hAnsi="Times New Roman" w:cs="Times New Roman"/>
          <w:color w:val="000000"/>
          <w:sz w:val="26"/>
          <w:szCs w:val="26"/>
        </w:rPr>
        <w:t>owner/</w:t>
      </w:r>
      <w:r w:rsidR="00900B99" w:rsidRPr="000C7CB3">
        <w:rPr>
          <w:rFonts w:ascii="Times New Roman" w:eastAsia="Times New Roman" w:hAnsi="Times New Roman" w:cs="Times New Roman"/>
          <w:color w:val="000000"/>
          <w:sz w:val="26"/>
          <w:szCs w:val="26"/>
        </w:rPr>
        <w:t>parent company, placing in escrow $1.675 million</w:t>
      </w:r>
      <w:r w:rsidR="008E3F6A">
        <w:rPr>
          <w:rFonts w:ascii="Times New Roman" w:eastAsia="Times New Roman" w:hAnsi="Times New Roman" w:cs="Times New Roman"/>
          <w:color w:val="000000"/>
          <w:sz w:val="26"/>
          <w:szCs w:val="26"/>
        </w:rPr>
        <w:t>,</w:t>
      </w:r>
      <w:r w:rsidR="00900B99" w:rsidRPr="000C7CB3">
        <w:rPr>
          <w:rFonts w:ascii="Times New Roman" w:eastAsia="Times New Roman" w:hAnsi="Times New Roman" w:cs="Times New Roman"/>
          <w:color w:val="000000"/>
          <w:sz w:val="26"/>
          <w:szCs w:val="26"/>
        </w:rPr>
        <w:t xml:space="preserve"> to offset the costs of replacing and remediating the Twin Lakes system within thirty (30) days of the Commission’s final action.  R.D.</w:t>
      </w:r>
      <w:r w:rsidR="00A9251B">
        <w:rPr>
          <w:rFonts w:ascii="Times New Roman" w:eastAsia="Times New Roman" w:hAnsi="Times New Roman" w:cs="Times New Roman"/>
          <w:color w:val="000000"/>
          <w:sz w:val="26"/>
          <w:szCs w:val="26"/>
        </w:rPr>
        <w:t xml:space="preserve"> at 70</w:t>
      </w:r>
      <w:r w:rsidR="00900B99" w:rsidRPr="000C7CB3">
        <w:rPr>
          <w:rFonts w:ascii="Times New Roman" w:eastAsia="Times New Roman" w:hAnsi="Times New Roman" w:cs="Times New Roman"/>
          <w:color w:val="000000"/>
          <w:sz w:val="26"/>
          <w:szCs w:val="26"/>
        </w:rPr>
        <w:t xml:space="preserve">.  </w:t>
      </w:r>
      <w:r w:rsidR="00F51D14">
        <w:rPr>
          <w:rFonts w:ascii="Times New Roman" w:eastAsia="Times New Roman" w:hAnsi="Times New Roman" w:cs="Times New Roman"/>
          <w:color w:val="000000"/>
          <w:sz w:val="26"/>
          <w:szCs w:val="26"/>
        </w:rPr>
        <w:t>The ALJ further recommended that,</w:t>
      </w:r>
      <w:r w:rsidR="008E3F6A">
        <w:rPr>
          <w:rFonts w:ascii="Times New Roman" w:eastAsia="Times New Roman" w:hAnsi="Times New Roman" w:cs="Times New Roman"/>
          <w:color w:val="000000"/>
          <w:sz w:val="26"/>
          <w:szCs w:val="26"/>
        </w:rPr>
        <w:t xml:space="preserve"> </w:t>
      </w:r>
      <w:r w:rsidR="00900B99" w:rsidRPr="000C7CB3">
        <w:rPr>
          <w:rFonts w:ascii="Times New Roman" w:eastAsia="Times New Roman" w:hAnsi="Times New Roman" w:cs="Times New Roman"/>
          <w:color w:val="000000"/>
          <w:sz w:val="26"/>
          <w:szCs w:val="26"/>
        </w:rPr>
        <w:t xml:space="preserve">within thirty (30) days from the Commission’s final action, Twin Lakes and Aqua </w:t>
      </w:r>
      <w:r w:rsidR="00C82981">
        <w:rPr>
          <w:rFonts w:ascii="Times New Roman" w:eastAsia="Times New Roman" w:hAnsi="Times New Roman" w:cs="Times New Roman"/>
          <w:color w:val="000000"/>
          <w:sz w:val="26"/>
          <w:szCs w:val="26"/>
        </w:rPr>
        <w:t>shall</w:t>
      </w:r>
      <w:r w:rsidR="00900B99" w:rsidRPr="000C7CB3">
        <w:rPr>
          <w:rFonts w:ascii="Times New Roman" w:eastAsia="Times New Roman" w:hAnsi="Times New Roman" w:cs="Times New Roman"/>
          <w:color w:val="000000"/>
          <w:sz w:val="26"/>
          <w:szCs w:val="26"/>
        </w:rPr>
        <w:t xml:space="preserve"> engage in good-faith, arms-length negotiations to establish a sale price subject to the Commission’s approval.  </w:t>
      </w:r>
      <w:r w:rsidR="00900B99" w:rsidRPr="000C7CB3">
        <w:rPr>
          <w:rFonts w:ascii="Times New Roman" w:eastAsia="Times New Roman" w:hAnsi="Times New Roman" w:cs="Times New Roman"/>
          <w:i/>
          <w:iCs/>
          <w:color w:val="000000"/>
          <w:sz w:val="26"/>
          <w:szCs w:val="26"/>
        </w:rPr>
        <w:t>Id</w:t>
      </w:r>
      <w:r w:rsidR="00900B99" w:rsidRPr="000C7CB3">
        <w:rPr>
          <w:rFonts w:ascii="Times New Roman" w:eastAsia="Times New Roman" w:hAnsi="Times New Roman" w:cs="Times New Roman"/>
          <w:color w:val="000000"/>
          <w:sz w:val="26"/>
          <w:szCs w:val="26"/>
        </w:rPr>
        <w:t xml:space="preserve">. </w:t>
      </w:r>
    </w:p>
    <w:p w14:paraId="105E3785" w14:textId="72ECF0DA" w:rsidR="00022598" w:rsidRDefault="00022598" w:rsidP="00CB06ED">
      <w:pPr>
        <w:spacing w:after="0" w:line="360" w:lineRule="auto"/>
        <w:ind w:firstLine="1440"/>
        <w:rPr>
          <w:rFonts w:ascii="Times New Roman" w:eastAsia="Times New Roman" w:hAnsi="Times New Roman" w:cs="Times New Roman"/>
          <w:color w:val="000000"/>
          <w:sz w:val="26"/>
          <w:szCs w:val="26"/>
        </w:rPr>
      </w:pPr>
    </w:p>
    <w:p w14:paraId="4DFE11F3" w14:textId="19BB3BD9"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As a threshold matter, the ALJ addressed the issue of whether the Commission may assert jurisdiction over Middlesex, and if so, whether the appropriate entity to evaluate under the Section 529 standards was Twin Lakes or its corporate parent and owner, Middlesex.  The ALJ acknowledged that Twin Lakes is a wholly owned subsidiary of Middlesex, a New Jersey Corporation, and that Middlesex provides operations support to Twin Lakes through </w:t>
      </w:r>
      <w:r w:rsidR="00DA5B12">
        <w:rPr>
          <w:rFonts w:ascii="Times New Roman" w:eastAsia="Times New Roman" w:hAnsi="Times New Roman" w:cs="Times New Roman"/>
          <w:color w:val="000000"/>
          <w:sz w:val="26"/>
          <w:szCs w:val="26"/>
        </w:rPr>
        <w:t>the</w:t>
      </w:r>
      <w:r w:rsidRPr="001E43E2">
        <w:rPr>
          <w:rFonts w:ascii="Times New Roman" w:eastAsia="Times New Roman" w:hAnsi="Times New Roman" w:cs="Times New Roman"/>
          <w:color w:val="000000"/>
          <w:sz w:val="26"/>
          <w:szCs w:val="26"/>
        </w:rPr>
        <w:t xml:space="preserve"> Service Agreement since December 2009, and continued to do so during the pendency of the proceeding, until Aqua was approved as the receiver.  The ALJ noted that both Twin Lakes and</w:t>
      </w:r>
      <w:r w:rsidR="004D40A4">
        <w:rPr>
          <w:rFonts w:ascii="Times New Roman" w:eastAsia="Times New Roman" w:hAnsi="Times New Roman" w:cs="Times New Roman"/>
          <w:color w:val="000000"/>
          <w:sz w:val="26"/>
          <w:szCs w:val="26"/>
        </w:rPr>
        <w:t xml:space="preserve"> the</w:t>
      </w:r>
      <w:r w:rsidRPr="001E43E2">
        <w:rPr>
          <w:rFonts w:ascii="Times New Roman" w:eastAsia="Times New Roman" w:hAnsi="Times New Roman" w:cs="Times New Roman"/>
          <w:color w:val="000000"/>
          <w:sz w:val="26"/>
          <w:szCs w:val="26"/>
        </w:rPr>
        <w:t xml:space="preserve"> OCA argued that Twin Lakes is the jurisdictional utility at issue in this matter and is therefore the correct entity to </w:t>
      </w:r>
      <w:r w:rsidR="00AA6AA8">
        <w:rPr>
          <w:rFonts w:ascii="Times New Roman" w:eastAsia="Times New Roman" w:hAnsi="Times New Roman" w:cs="Times New Roman"/>
          <w:color w:val="000000"/>
          <w:sz w:val="26"/>
          <w:szCs w:val="26"/>
        </w:rPr>
        <w:t xml:space="preserve">be </w:t>
      </w:r>
      <w:r w:rsidRPr="001E43E2">
        <w:rPr>
          <w:rFonts w:ascii="Times New Roman" w:eastAsia="Times New Roman" w:hAnsi="Times New Roman" w:cs="Times New Roman"/>
          <w:color w:val="000000"/>
          <w:sz w:val="26"/>
          <w:szCs w:val="26"/>
        </w:rPr>
        <w:t>evaluate</w:t>
      </w:r>
      <w:r w:rsidR="00AA6AA8">
        <w:rPr>
          <w:rFonts w:ascii="Times New Roman" w:eastAsia="Times New Roman" w:hAnsi="Times New Roman" w:cs="Times New Roman"/>
          <w:color w:val="000000"/>
          <w:sz w:val="26"/>
          <w:szCs w:val="26"/>
        </w:rPr>
        <w:t>d</w:t>
      </w:r>
      <w:r w:rsidRPr="001E43E2">
        <w:rPr>
          <w:rFonts w:ascii="Times New Roman" w:eastAsia="Times New Roman" w:hAnsi="Times New Roman" w:cs="Times New Roman"/>
          <w:color w:val="000000"/>
          <w:sz w:val="26"/>
          <w:szCs w:val="26"/>
        </w:rPr>
        <w:t xml:space="preserve"> under Section 529.  However, I&amp;E and Aqua, disagreed and asserted that Middlesex was the correct entity to evaluate under Section 529. </w:t>
      </w:r>
    </w:p>
    <w:p w14:paraId="2703801B" w14:textId="77777777"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p>
    <w:p w14:paraId="4C5643B4" w14:textId="4E39EC06" w:rsid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lastRenderedPageBreak/>
        <w:t>In examining the question of jurisdiction, and the proper entity to establish the facts necessary</w:t>
      </w:r>
      <w:r w:rsidR="008E3F6A">
        <w:rPr>
          <w:rFonts w:ascii="Times New Roman" w:eastAsia="Times New Roman" w:hAnsi="Times New Roman" w:cs="Times New Roman"/>
          <w:color w:val="000000"/>
          <w:sz w:val="26"/>
          <w:szCs w:val="26"/>
        </w:rPr>
        <w:t xml:space="preserve"> to approve an acquisition</w:t>
      </w:r>
      <w:r w:rsidRPr="001E43E2">
        <w:rPr>
          <w:rFonts w:ascii="Times New Roman" w:eastAsia="Times New Roman" w:hAnsi="Times New Roman" w:cs="Times New Roman"/>
          <w:color w:val="000000"/>
          <w:sz w:val="26"/>
          <w:szCs w:val="26"/>
        </w:rPr>
        <w:t xml:space="preserve"> under Section 529, the ALJ concluded that, in the present case:</w:t>
      </w:r>
    </w:p>
    <w:p w14:paraId="1F208935" w14:textId="77777777" w:rsidR="00D502BF" w:rsidRPr="001E43E2" w:rsidRDefault="00D502BF" w:rsidP="0084145F">
      <w:pPr>
        <w:spacing w:after="0" w:line="240" w:lineRule="auto"/>
        <w:ind w:firstLine="1440"/>
        <w:rPr>
          <w:rFonts w:ascii="Times New Roman" w:eastAsia="Times New Roman" w:hAnsi="Times New Roman" w:cs="Times New Roman"/>
          <w:color w:val="000000"/>
          <w:sz w:val="26"/>
          <w:szCs w:val="26"/>
        </w:rPr>
      </w:pPr>
    </w:p>
    <w:p w14:paraId="24703D90" w14:textId="77777777" w:rsidR="001E43E2" w:rsidRPr="001E43E2" w:rsidRDefault="001E43E2" w:rsidP="005F60BE">
      <w:pPr>
        <w:spacing w:after="0" w:line="240" w:lineRule="auto"/>
        <w:ind w:left="1440" w:right="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…substantial record evidence demonstrates that the Commission has jurisdiction over Middlesex.  However, for purposes of evaluating the criteria in Section 529 of the Public Utility Code, Twin Lakes is the appropriate entity to be evaluated while still recognizing Middlesex as the corporate parent. </w:t>
      </w:r>
    </w:p>
    <w:p w14:paraId="00F689BE" w14:textId="77777777" w:rsidR="001E43E2" w:rsidRPr="001E43E2" w:rsidRDefault="001E43E2" w:rsidP="0084145F">
      <w:pPr>
        <w:spacing w:after="0" w:line="360" w:lineRule="auto"/>
        <w:ind w:firstLine="1440"/>
        <w:rPr>
          <w:rFonts w:ascii="Times New Roman" w:eastAsia="Times New Roman" w:hAnsi="Times New Roman" w:cs="Times New Roman"/>
          <w:color w:val="000000"/>
          <w:sz w:val="26"/>
          <w:szCs w:val="26"/>
        </w:rPr>
      </w:pPr>
    </w:p>
    <w:p w14:paraId="0D0EFBFE" w14:textId="1C881E50" w:rsidR="001E43E2" w:rsidRPr="005F60BE" w:rsidRDefault="001E43E2" w:rsidP="0084145F">
      <w:pPr>
        <w:spacing w:after="0" w:line="360" w:lineRule="auto"/>
        <w:rPr>
          <w:rFonts w:ascii="Times New Roman" w:eastAsia="Times New Roman" w:hAnsi="Times New Roman" w:cs="Times New Roman"/>
          <w:color w:val="000000"/>
          <w:sz w:val="26"/>
          <w:szCs w:val="26"/>
        </w:rPr>
      </w:pPr>
      <w:r w:rsidRPr="005F60BE">
        <w:rPr>
          <w:rFonts w:ascii="Times New Roman" w:eastAsia="Times New Roman" w:hAnsi="Times New Roman" w:cs="Times New Roman"/>
          <w:color w:val="000000"/>
          <w:sz w:val="26"/>
          <w:szCs w:val="26"/>
        </w:rPr>
        <w:t xml:space="preserve">R.D. at </w:t>
      </w:r>
      <w:r w:rsidR="00553B48" w:rsidRPr="005F60BE">
        <w:rPr>
          <w:rFonts w:ascii="Times New Roman" w:eastAsia="Times New Roman" w:hAnsi="Times New Roman" w:cs="Times New Roman"/>
          <w:color w:val="000000"/>
          <w:sz w:val="26"/>
          <w:szCs w:val="26"/>
        </w:rPr>
        <w:t>30-33</w:t>
      </w:r>
      <w:r w:rsidRPr="005F60BE">
        <w:rPr>
          <w:rFonts w:ascii="Times New Roman" w:eastAsia="Times New Roman" w:hAnsi="Times New Roman" w:cs="Times New Roman"/>
          <w:color w:val="000000"/>
          <w:sz w:val="26"/>
          <w:szCs w:val="26"/>
        </w:rPr>
        <w:t xml:space="preserve">. </w:t>
      </w:r>
    </w:p>
    <w:p w14:paraId="12E5FB12" w14:textId="77777777" w:rsidR="001E43E2" w:rsidRPr="001E43E2" w:rsidRDefault="001E43E2" w:rsidP="0084145F">
      <w:pPr>
        <w:spacing w:after="0" w:line="360" w:lineRule="auto"/>
        <w:rPr>
          <w:rFonts w:ascii="Times New Roman" w:eastAsia="Times New Roman" w:hAnsi="Times New Roman" w:cs="Times New Roman"/>
          <w:color w:val="000000"/>
          <w:sz w:val="26"/>
          <w:szCs w:val="26"/>
          <w:highlight w:val="yellow"/>
        </w:rPr>
      </w:pPr>
    </w:p>
    <w:p w14:paraId="1BDD9E92" w14:textId="1FF21636" w:rsidR="001E43E2" w:rsidRPr="001E43E2" w:rsidRDefault="001E43E2" w:rsidP="0084145F">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The ALJ noted that, in applying Section 529 in the present case, the Commission is faced with extraordinary circumstances.  The ALJ considered both</w:t>
      </w:r>
      <w:r w:rsidR="008007BE">
        <w:rPr>
          <w:rFonts w:ascii="Times New Roman" w:eastAsia="Times New Roman" w:hAnsi="Times New Roman" w:cs="Times New Roman"/>
          <w:color w:val="000000"/>
          <w:sz w:val="26"/>
          <w:szCs w:val="26"/>
        </w:rPr>
        <w:t xml:space="preserve">: </w:t>
      </w:r>
      <w:r w:rsidR="009B251E">
        <w:rPr>
          <w:rFonts w:ascii="Times New Roman" w:eastAsia="Times New Roman" w:hAnsi="Times New Roman" w:cs="Times New Roman"/>
          <w:color w:val="000000"/>
          <w:sz w:val="26"/>
          <w:szCs w:val="26"/>
        </w:rPr>
        <w:t xml:space="preserve"> </w:t>
      </w:r>
      <w:r w:rsidR="008007BE">
        <w:rPr>
          <w:rFonts w:ascii="Times New Roman" w:eastAsia="Times New Roman" w:hAnsi="Times New Roman" w:cs="Times New Roman"/>
          <w:color w:val="000000"/>
          <w:sz w:val="26"/>
          <w:szCs w:val="26"/>
        </w:rPr>
        <w:t>(1)</w:t>
      </w:r>
      <w:r w:rsidR="0084145F">
        <w:rPr>
          <w:rFonts w:ascii="Times New Roman" w:eastAsia="Times New Roman" w:hAnsi="Times New Roman" w:cs="Times New Roman"/>
          <w:color w:val="000000"/>
          <w:sz w:val="26"/>
          <w:szCs w:val="26"/>
        </w:rPr>
        <w:t> </w:t>
      </w:r>
      <w:r w:rsidRPr="001E43E2">
        <w:rPr>
          <w:rFonts w:ascii="Times New Roman" w:eastAsia="Times New Roman" w:hAnsi="Times New Roman" w:cs="Times New Roman"/>
          <w:color w:val="000000"/>
          <w:sz w:val="26"/>
          <w:szCs w:val="26"/>
        </w:rPr>
        <w:t>that this is a case of first impression</w:t>
      </w:r>
      <w:r w:rsidR="003523A0">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 xml:space="preserve">- no other small water utility with a corporate parent has filed a petition </w:t>
      </w:r>
      <w:r w:rsidR="003C35FA">
        <w:rPr>
          <w:rFonts w:ascii="Times New Roman" w:eastAsia="Times New Roman" w:hAnsi="Times New Roman" w:cs="Times New Roman"/>
          <w:color w:val="000000"/>
          <w:sz w:val="26"/>
          <w:szCs w:val="26"/>
        </w:rPr>
        <w:t xml:space="preserve">to initiate </w:t>
      </w:r>
      <w:r w:rsidRPr="001E43E2">
        <w:rPr>
          <w:rFonts w:ascii="Times New Roman" w:eastAsia="Times New Roman" w:hAnsi="Times New Roman" w:cs="Times New Roman"/>
          <w:color w:val="000000"/>
          <w:sz w:val="26"/>
          <w:szCs w:val="26"/>
        </w:rPr>
        <w:t>an investigation under Section 529</w:t>
      </w:r>
      <w:r w:rsidR="008007BE">
        <w:rPr>
          <w:rFonts w:ascii="Times New Roman" w:eastAsia="Times New Roman" w:hAnsi="Times New Roman" w:cs="Times New Roman"/>
          <w:color w:val="000000"/>
          <w:sz w:val="26"/>
          <w:szCs w:val="26"/>
        </w:rPr>
        <w:t>;</w:t>
      </w:r>
      <w:r w:rsidR="003C35FA">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and</w:t>
      </w:r>
      <w:r w:rsidR="009B251E">
        <w:rPr>
          <w:rFonts w:ascii="Times New Roman" w:eastAsia="Times New Roman" w:hAnsi="Times New Roman" w:cs="Times New Roman"/>
          <w:color w:val="000000"/>
          <w:sz w:val="26"/>
          <w:szCs w:val="26"/>
        </w:rPr>
        <w:t xml:space="preserve"> </w:t>
      </w:r>
      <w:r w:rsidR="008007BE">
        <w:rPr>
          <w:rFonts w:ascii="Times New Roman" w:eastAsia="Times New Roman" w:hAnsi="Times New Roman" w:cs="Times New Roman"/>
          <w:color w:val="000000"/>
          <w:sz w:val="26"/>
          <w:szCs w:val="26"/>
        </w:rPr>
        <w:t>(2)</w:t>
      </w:r>
      <w:r w:rsidR="00B02880">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 xml:space="preserve">that this case involves the extreme </w:t>
      </w:r>
      <w:r w:rsidR="00B02880">
        <w:rPr>
          <w:rFonts w:ascii="Times New Roman" w:eastAsia="Times New Roman" w:hAnsi="Times New Roman" w:cs="Times New Roman"/>
          <w:color w:val="000000"/>
          <w:sz w:val="26"/>
          <w:szCs w:val="26"/>
        </w:rPr>
        <w:t xml:space="preserve">hardship to </w:t>
      </w:r>
      <w:r w:rsidRPr="001E43E2">
        <w:rPr>
          <w:rFonts w:ascii="Times New Roman" w:eastAsia="Times New Roman" w:hAnsi="Times New Roman" w:cs="Times New Roman"/>
          <w:color w:val="000000"/>
          <w:sz w:val="26"/>
          <w:szCs w:val="26"/>
        </w:rPr>
        <w:t>customers served by the Twin Lakes system having sustained three substantial rate increases and significantly poor service for more than a decade.  Given the significant public interest at stake, the ability of Twin Lakes</w:t>
      </w:r>
      <w:r w:rsidR="00D73465">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customers to receive safe and reliable service at reasonable rates, requires </w:t>
      </w:r>
      <w:r w:rsidR="00D73465">
        <w:rPr>
          <w:rFonts w:ascii="Times New Roman" w:eastAsia="Times New Roman" w:hAnsi="Times New Roman" w:cs="Times New Roman"/>
          <w:color w:val="000000"/>
          <w:sz w:val="26"/>
          <w:szCs w:val="26"/>
        </w:rPr>
        <w:t>an</w:t>
      </w:r>
      <w:r w:rsidRPr="001E43E2">
        <w:rPr>
          <w:rFonts w:ascii="Times New Roman" w:eastAsia="Times New Roman" w:hAnsi="Times New Roman" w:cs="Times New Roman"/>
          <w:color w:val="000000"/>
          <w:sz w:val="26"/>
          <w:szCs w:val="26"/>
        </w:rPr>
        <w:t xml:space="preserve"> expansive scope of consideration, which is permitted under Section 529.  The ALJ concluded, contrary to Twin Lakes’ assertions, that this Section 529 proceeding cannot properly be reviewed “in a vacuum” but must be viewed in the context of Twin Lakes system, as </w:t>
      </w:r>
      <w:r w:rsidR="007C05AE">
        <w:rPr>
          <w:rFonts w:ascii="Times New Roman" w:eastAsia="Times New Roman" w:hAnsi="Times New Roman" w:cs="Times New Roman"/>
          <w:color w:val="000000"/>
          <w:sz w:val="26"/>
          <w:szCs w:val="26"/>
        </w:rPr>
        <w:t xml:space="preserve">acquired, and wholly </w:t>
      </w:r>
      <w:r w:rsidRPr="001E43E2">
        <w:rPr>
          <w:rFonts w:ascii="Times New Roman" w:eastAsia="Times New Roman" w:hAnsi="Times New Roman" w:cs="Times New Roman"/>
          <w:color w:val="000000"/>
          <w:sz w:val="26"/>
          <w:szCs w:val="26"/>
        </w:rPr>
        <w:t xml:space="preserve">owned by its corporate parent, Middlesex.  </w:t>
      </w:r>
      <w:r w:rsidR="00553B48" w:rsidRPr="00553B48">
        <w:rPr>
          <w:rFonts w:ascii="Times New Roman" w:eastAsia="Times New Roman" w:hAnsi="Times New Roman" w:cs="Times New Roman"/>
          <w:i/>
          <w:iCs/>
          <w:color w:val="000000"/>
          <w:sz w:val="26"/>
          <w:szCs w:val="26"/>
        </w:rPr>
        <w:t>Id.</w:t>
      </w:r>
      <w:r w:rsidRPr="001E43E2">
        <w:rPr>
          <w:rFonts w:ascii="Times New Roman" w:eastAsia="Times New Roman" w:hAnsi="Times New Roman" w:cs="Times New Roman"/>
          <w:color w:val="000000"/>
          <w:sz w:val="26"/>
          <w:szCs w:val="26"/>
          <w:highlight w:val="yellow"/>
        </w:rPr>
        <w:t xml:space="preserve">  </w:t>
      </w:r>
    </w:p>
    <w:p w14:paraId="20190BA3" w14:textId="77777777" w:rsidR="001E43E2" w:rsidRPr="001E43E2" w:rsidRDefault="001E43E2" w:rsidP="001E43E2">
      <w:pPr>
        <w:spacing w:after="0" w:line="360" w:lineRule="auto"/>
        <w:rPr>
          <w:rFonts w:ascii="Times New Roman" w:eastAsia="Times New Roman" w:hAnsi="Times New Roman" w:cs="Times New Roman"/>
          <w:color w:val="000000"/>
          <w:sz w:val="26"/>
          <w:szCs w:val="26"/>
        </w:rPr>
      </w:pPr>
    </w:p>
    <w:p w14:paraId="64BA3687" w14:textId="7A061125" w:rsidR="001E43E2" w:rsidRPr="008D498E" w:rsidRDefault="001E43E2" w:rsidP="009A2EE4">
      <w:pPr>
        <w:spacing w:after="0" w:line="360" w:lineRule="auto"/>
        <w:ind w:firstLine="1440"/>
        <w:rPr>
          <w:rFonts w:ascii="Times New Roman" w:eastAsia="Times New Roman" w:hAnsi="Times New Roman" w:cs="Times New Roman"/>
          <w:color w:val="000000"/>
          <w:sz w:val="26"/>
          <w:szCs w:val="26"/>
        </w:rPr>
      </w:pPr>
      <w:r w:rsidRPr="008D498E">
        <w:rPr>
          <w:rFonts w:ascii="Times New Roman" w:eastAsia="Times New Roman" w:hAnsi="Times New Roman" w:cs="Times New Roman"/>
          <w:color w:val="000000"/>
          <w:sz w:val="26"/>
          <w:szCs w:val="26"/>
        </w:rPr>
        <w:t xml:space="preserve">Ultimately the ALJ was persuaded by the arguments raised by I&amp;E that Middlesex, as the “original filer,” has purposefully availed itself of Pennsylvania through specific acts and a course of dealing with the Commission and Pennsylvania customers.  The ALJ was persuaded by I&amp;E’s arguments regarding Pennsylvania’s “longarm statute” and Middlesex’s course of dealings and particular acts, noting Middlesex’s numerous and </w:t>
      </w:r>
      <w:r w:rsidRPr="008D498E">
        <w:rPr>
          <w:rFonts w:ascii="Times New Roman" w:eastAsia="Times New Roman" w:hAnsi="Times New Roman" w:cs="Times New Roman"/>
          <w:color w:val="000000"/>
          <w:sz w:val="26"/>
          <w:szCs w:val="26"/>
        </w:rPr>
        <w:lastRenderedPageBreak/>
        <w:t xml:space="preserve">purposeful contacts with Pennsylvania, the Commission and Pennsylvania ratepayers since 2008, </w:t>
      </w:r>
      <w:r w:rsidRPr="008D498E">
        <w:rPr>
          <w:rFonts w:ascii="Times New Roman" w:eastAsia="Times New Roman" w:hAnsi="Times New Roman" w:cs="Times New Roman"/>
          <w:i/>
          <w:iCs/>
          <w:color w:val="000000"/>
          <w:sz w:val="26"/>
          <w:szCs w:val="26"/>
        </w:rPr>
        <w:t>inter alia</w:t>
      </w:r>
      <w:r w:rsidRPr="008D498E">
        <w:rPr>
          <w:rFonts w:ascii="Times New Roman" w:eastAsia="Times New Roman" w:hAnsi="Times New Roman" w:cs="Times New Roman"/>
          <w:color w:val="000000"/>
          <w:sz w:val="26"/>
          <w:szCs w:val="26"/>
        </w:rPr>
        <w:t>, Middlesex’s original application to acquire Twin Lakes in 2008.  The ALJ was persuaded that, as argued by I&amp;E, the creation of Middlesex’s wholly owned Pennsylvania subsidiary, Twin Lakes, in April 2009 created the Pennsylvania alter ego of Middlesex.</w:t>
      </w:r>
    </w:p>
    <w:p w14:paraId="56CAD68C" w14:textId="77777777" w:rsidR="001E43E2" w:rsidRPr="008D498E" w:rsidRDefault="001E43E2" w:rsidP="001E43E2">
      <w:pPr>
        <w:spacing w:after="0" w:line="360" w:lineRule="auto"/>
        <w:ind w:left="366" w:hanging="10"/>
        <w:rPr>
          <w:rFonts w:ascii="Times New Roman" w:eastAsia="Times New Roman" w:hAnsi="Times New Roman" w:cs="Times New Roman"/>
          <w:color w:val="000000"/>
          <w:sz w:val="26"/>
          <w:szCs w:val="26"/>
        </w:rPr>
      </w:pPr>
    </w:p>
    <w:p w14:paraId="2E5E7BFF" w14:textId="77777777" w:rsidR="008B6804" w:rsidRPr="008D498E" w:rsidRDefault="001E43E2" w:rsidP="008B6804">
      <w:pPr>
        <w:spacing w:after="0" w:line="360" w:lineRule="auto"/>
        <w:ind w:left="366" w:firstLine="1074"/>
        <w:rPr>
          <w:rFonts w:ascii="Times New Roman" w:eastAsia="Times New Roman" w:hAnsi="Times New Roman" w:cs="Times New Roman"/>
          <w:color w:val="000000"/>
          <w:sz w:val="26"/>
          <w:szCs w:val="26"/>
        </w:rPr>
      </w:pPr>
      <w:r w:rsidRPr="008D498E">
        <w:rPr>
          <w:rFonts w:ascii="Times New Roman" w:eastAsia="Times New Roman" w:hAnsi="Times New Roman" w:cs="Times New Roman"/>
          <w:color w:val="000000"/>
          <w:sz w:val="26"/>
          <w:szCs w:val="26"/>
        </w:rPr>
        <w:t>Specifically, the ALJ concluded:</w:t>
      </w:r>
    </w:p>
    <w:p w14:paraId="3E959C37" w14:textId="19F90192" w:rsidR="001E43E2" w:rsidRPr="008D498E" w:rsidRDefault="001E43E2" w:rsidP="0084145F">
      <w:pPr>
        <w:spacing w:after="0" w:line="240" w:lineRule="auto"/>
        <w:ind w:left="366" w:firstLine="1074"/>
        <w:rPr>
          <w:rFonts w:ascii="Times New Roman" w:eastAsia="Times New Roman" w:hAnsi="Times New Roman" w:cs="Times New Roman"/>
          <w:color w:val="000000"/>
          <w:sz w:val="26"/>
          <w:szCs w:val="26"/>
        </w:rPr>
      </w:pPr>
    </w:p>
    <w:p w14:paraId="0E0E6A89" w14:textId="030BB6D6" w:rsidR="001E43E2" w:rsidRPr="001E43E2" w:rsidRDefault="001E43E2" w:rsidP="001E43E2">
      <w:pPr>
        <w:spacing w:after="0" w:line="240" w:lineRule="auto"/>
        <w:ind w:left="1440" w:right="1440"/>
        <w:rPr>
          <w:rFonts w:ascii="Times New Roman" w:eastAsia="Times New Roman" w:hAnsi="Times New Roman" w:cs="Times New Roman"/>
          <w:color w:val="000000"/>
          <w:sz w:val="26"/>
          <w:szCs w:val="26"/>
        </w:rPr>
      </w:pPr>
      <w:r w:rsidRPr="008D498E">
        <w:rPr>
          <w:rFonts w:ascii="Times New Roman" w:eastAsia="Times New Roman" w:hAnsi="Times New Roman" w:cs="Times New Roman"/>
          <w:color w:val="000000"/>
          <w:sz w:val="26"/>
          <w:szCs w:val="26"/>
        </w:rPr>
        <w:t>I&amp;E is correct that Middlesex has had numerous and specific contacts with Pennsylvania, the Commission and Pennsylvania ratepayers since 2008, including that Middlesex was the original filer of the letter of intent in 2008 when it sought to acquire Twin Lakes, noting that the system will be run from the New Jersey offices.  As I&amp;E noted as well, in that proceeding, Middlesex agreed to adopt the rules, rates and regulations contained in Twin Lakes’ existing tariffs.  I&amp;E also referenced a Secretarial Letter issued by the Commission’s Secretary’s Bureau in 2011 that noted that Middlesex is doing business in Pennsylvania under the name of Twin Lakes Utilities, Inc.  Similarly, Aqua is correct that, without Middlesex’s financial and operational support, Twin Lakes could not provide water utility services to its customers and that Middlesex has a controlling interest in Twin Lakes</w:t>
      </w:r>
      <w:r w:rsidRPr="001E43E2">
        <w:rPr>
          <w:rFonts w:ascii="Times New Roman" w:eastAsia="Times New Roman" w:hAnsi="Times New Roman" w:cs="Times New Roman"/>
          <w:color w:val="000000"/>
          <w:sz w:val="26"/>
          <w:szCs w:val="26"/>
        </w:rPr>
        <w:t xml:space="preserve"> with exclusive voting rights.  Executives of Twin Lakes are executives of Middlesex.  </w:t>
      </w:r>
    </w:p>
    <w:p w14:paraId="5A19BAD9" w14:textId="77777777" w:rsidR="001E43E2" w:rsidRPr="001E43E2" w:rsidRDefault="001E43E2" w:rsidP="001E43E2">
      <w:pPr>
        <w:spacing w:after="0" w:line="360" w:lineRule="auto"/>
        <w:ind w:left="366" w:hanging="10"/>
        <w:rPr>
          <w:rFonts w:ascii="Times New Roman" w:eastAsia="Times New Roman" w:hAnsi="Times New Roman" w:cs="Times New Roman"/>
          <w:color w:val="000000"/>
          <w:sz w:val="26"/>
          <w:szCs w:val="26"/>
        </w:rPr>
      </w:pPr>
    </w:p>
    <w:p w14:paraId="2821EFB3" w14:textId="5CC47863" w:rsidR="001E43E2" w:rsidRPr="001E43E2" w:rsidRDefault="001E43E2" w:rsidP="00965350">
      <w:pPr>
        <w:spacing w:after="0" w:line="360" w:lineRule="auto"/>
        <w:ind w:left="366" w:hanging="1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R.D. at</w:t>
      </w:r>
      <w:r w:rsidR="00045408" w:rsidRPr="00045408">
        <w:rPr>
          <w:rFonts w:ascii="Times New Roman" w:eastAsia="Times New Roman" w:hAnsi="Times New Roman" w:cs="Times New Roman"/>
          <w:color w:val="000000"/>
          <w:sz w:val="26"/>
          <w:szCs w:val="26"/>
        </w:rPr>
        <w:t xml:space="preserve"> 30-31</w:t>
      </w:r>
      <w:r w:rsidRPr="001E43E2">
        <w:rPr>
          <w:rFonts w:ascii="Times New Roman" w:eastAsia="Times New Roman" w:hAnsi="Times New Roman" w:cs="Times New Roman"/>
          <w:color w:val="000000"/>
          <w:sz w:val="26"/>
          <w:szCs w:val="26"/>
        </w:rPr>
        <w:t xml:space="preserve">. </w:t>
      </w:r>
    </w:p>
    <w:p w14:paraId="38F569D7" w14:textId="77777777" w:rsidR="001E43E2" w:rsidRPr="001E43E2" w:rsidRDefault="001E43E2" w:rsidP="00965350">
      <w:pPr>
        <w:spacing w:after="0" w:line="360" w:lineRule="auto"/>
        <w:ind w:firstLine="1440"/>
        <w:rPr>
          <w:rFonts w:ascii="Times New Roman" w:eastAsia="Times New Roman" w:hAnsi="Times New Roman" w:cs="Times New Roman"/>
          <w:color w:val="000000"/>
          <w:sz w:val="26"/>
          <w:szCs w:val="26"/>
        </w:rPr>
      </w:pPr>
    </w:p>
    <w:p w14:paraId="39EA1F58" w14:textId="1DBE852D" w:rsidR="001E43E2" w:rsidRPr="001E43E2" w:rsidRDefault="001E43E2" w:rsidP="00965350">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However, while concluding that the Commission could assert jurisdiction over Middlesex as the owner of Twin Lakes, for purposes of this Section 529 proceeding, the ALJ also concluded that the determination </w:t>
      </w:r>
      <w:r w:rsidR="00CE19CF">
        <w:rPr>
          <w:rFonts w:ascii="Times New Roman" w:eastAsia="Times New Roman" w:hAnsi="Times New Roman" w:cs="Times New Roman"/>
          <w:color w:val="000000"/>
          <w:sz w:val="26"/>
          <w:szCs w:val="26"/>
        </w:rPr>
        <w:t xml:space="preserve">of </w:t>
      </w:r>
      <w:r w:rsidRPr="001E43E2">
        <w:rPr>
          <w:rFonts w:ascii="Times New Roman" w:eastAsia="Times New Roman" w:hAnsi="Times New Roman" w:cs="Times New Roman"/>
          <w:color w:val="000000"/>
          <w:sz w:val="26"/>
          <w:szCs w:val="26"/>
        </w:rPr>
        <w:t xml:space="preserve">whether the Section 529 requirements are satisfied, should be based upon the examination of the facts of Twin Lakes as the appropriate entity for purposes of applying Section 529.  The ALJ also noted, however, that even if the Section 529 examination were of the facts </w:t>
      </w:r>
      <w:r w:rsidR="00CE19CF">
        <w:rPr>
          <w:rFonts w:ascii="Times New Roman" w:eastAsia="Times New Roman" w:hAnsi="Times New Roman" w:cs="Times New Roman"/>
          <w:color w:val="000000"/>
          <w:sz w:val="26"/>
          <w:szCs w:val="26"/>
        </w:rPr>
        <w:t xml:space="preserve">regarding </w:t>
      </w:r>
      <w:r w:rsidRPr="001E43E2">
        <w:rPr>
          <w:rFonts w:ascii="Times New Roman" w:eastAsia="Times New Roman" w:hAnsi="Times New Roman" w:cs="Times New Roman"/>
          <w:color w:val="000000"/>
          <w:sz w:val="26"/>
          <w:szCs w:val="26"/>
        </w:rPr>
        <w:t>Middlesex</w:t>
      </w:r>
      <w:r w:rsidR="000D6926">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as the appropriate entity, the conclusion would be the same, since, as the record reflects, </w:t>
      </w:r>
      <w:r w:rsidRPr="001E43E2">
        <w:rPr>
          <w:rFonts w:ascii="Times New Roman" w:eastAsia="Times New Roman" w:hAnsi="Times New Roman" w:cs="Times New Roman"/>
          <w:color w:val="000000"/>
          <w:sz w:val="26"/>
          <w:szCs w:val="26"/>
        </w:rPr>
        <w:lastRenderedPageBreak/>
        <w:t>Middlesex’s sustained failure to invest in financial, operational and managerial capital to sustain the Twin Lakes</w:t>
      </w:r>
      <w:r w:rsidR="00CE19CF">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water system, itself warranted a conclusion that </w:t>
      </w:r>
      <w:r w:rsidR="00BE6AB0">
        <w:rPr>
          <w:rFonts w:ascii="Times New Roman" w:eastAsia="Times New Roman" w:hAnsi="Times New Roman" w:cs="Times New Roman"/>
          <w:color w:val="000000"/>
          <w:sz w:val="26"/>
          <w:szCs w:val="26"/>
        </w:rPr>
        <w:t xml:space="preserve">a </w:t>
      </w:r>
      <w:r w:rsidRPr="001E43E2">
        <w:rPr>
          <w:rFonts w:ascii="Times New Roman" w:eastAsia="Times New Roman" w:hAnsi="Times New Roman" w:cs="Times New Roman"/>
          <w:color w:val="000000"/>
          <w:sz w:val="26"/>
          <w:szCs w:val="26"/>
        </w:rPr>
        <w:t>Section 529 acquisition is appropriate in the circumstances.</w:t>
      </w:r>
      <w:r w:rsidR="007C05AE" w:rsidRPr="002F1F80">
        <w:rPr>
          <w:rFonts w:ascii="Times New Roman" w:eastAsia="Times New Roman" w:hAnsi="Times New Roman" w:cs="Times New Roman"/>
          <w:color w:val="000000"/>
          <w:sz w:val="26"/>
          <w:szCs w:val="26"/>
        </w:rPr>
        <w:t xml:space="preserve">  R.D. at </w:t>
      </w:r>
      <w:r w:rsidR="002F1F80" w:rsidRPr="002F1F80">
        <w:rPr>
          <w:rFonts w:ascii="Times New Roman" w:eastAsia="Times New Roman" w:hAnsi="Times New Roman" w:cs="Times New Roman"/>
          <w:color w:val="000000"/>
          <w:sz w:val="26"/>
          <w:szCs w:val="26"/>
        </w:rPr>
        <w:t>32-33</w:t>
      </w:r>
      <w:r w:rsidR="007C05AE" w:rsidRPr="002F1F80">
        <w:rPr>
          <w:rFonts w:ascii="Times New Roman" w:eastAsia="Times New Roman" w:hAnsi="Times New Roman" w:cs="Times New Roman"/>
          <w:color w:val="000000"/>
          <w:sz w:val="26"/>
          <w:szCs w:val="26"/>
        </w:rPr>
        <w:t>.</w:t>
      </w:r>
      <w:r w:rsidR="007C05AE">
        <w:rPr>
          <w:rFonts w:ascii="Times New Roman" w:eastAsia="Times New Roman" w:hAnsi="Times New Roman" w:cs="Times New Roman"/>
          <w:color w:val="000000"/>
          <w:sz w:val="26"/>
          <w:szCs w:val="26"/>
        </w:rPr>
        <w:t xml:space="preserve"> </w:t>
      </w:r>
    </w:p>
    <w:p w14:paraId="65C13C52" w14:textId="77777777"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p>
    <w:p w14:paraId="41340F53" w14:textId="620FAB2A"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Turning to the application of Section 529 </w:t>
      </w:r>
      <w:r w:rsidR="00B6379D">
        <w:rPr>
          <w:rFonts w:ascii="Times New Roman" w:eastAsia="Times New Roman" w:hAnsi="Times New Roman" w:cs="Times New Roman"/>
          <w:color w:val="000000"/>
          <w:sz w:val="26"/>
          <w:szCs w:val="26"/>
        </w:rPr>
        <w:t xml:space="preserve">in the </w:t>
      </w:r>
      <w:r w:rsidRPr="001E43E2">
        <w:rPr>
          <w:rFonts w:ascii="Times New Roman" w:eastAsia="Times New Roman" w:hAnsi="Times New Roman" w:cs="Times New Roman"/>
          <w:color w:val="000000"/>
          <w:sz w:val="26"/>
          <w:szCs w:val="26"/>
        </w:rPr>
        <w:t xml:space="preserve">present circumstances, the ALJ recommended the finding that Twin Lakes has satisfied its burden of proof regarding the six elements in Section 529(a)(1)-(6) necessary to warrant a Commission directive for Aqua to acquire the Twin Lakes system.  </w:t>
      </w:r>
    </w:p>
    <w:p w14:paraId="053CAE76" w14:textId="77777777" w:rsidR="001E43E2" w:rsidRPr="001E43E2" w:rsidRDefault="001E43E2" w:rsidP="001E43E2">
      <w:pPr>
        <w:spacing w:after="0" w:line="360" w:lineRule="auto"/>
        <w:rPr>
          <w:rFonts w:ascii="Times New Roman" w:eastAsia="Times New Roman" w:hAnsi="Times New Roman" w:cs="Times New Roman"/>
          <w:color w:val="000000"/>
          <w:sz w:val="26"/>
          <w:szCs w:val="26"/>
        </w:rPr>
      </w:pPr>
    </w:p>
    <w:p w14:paraId="03FD870A" w14:textId="5A97BDEF"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The ALJ concluded that substantial record evidence demonstrates that Twin Lakes is in violation of several statutory or regulatory standards</w:t>
      </w:r>
      <w:r w:rsidR="0021364D">
        <w:rPr>
          <w:rFonts w:ascii="Times New Roman" w:eastAsia="Times New Roman" w:hAnsi="Times New Roman" w:cs="Times New Roman"/>
          <w:color w:val="000000"/>
          <w:sz w:val="26"/>
          <w:szCs w:val="26"/>
        </w:rPr>
        <w:t xml:space="preserve">, including </w:t>
      </w:r>
      <w:r w:rsidR="0035685F">
        <w:rPr>
          <w:rFonts w:ascii="Times New Roman" w:eastAsia="Times New Roman" w:hAnsi="Times New Roman" w:cs="Times New Roman"/>
          <w:color w:val="000000"/>
          <w:sz w:val="26"/>
          <w:szCs w:val="26"/>
        </w:rPr>
        <w:t xml:space="preserve">Section 1501 of the Code, 66 Pa. C.S. § 1501, </w:t>
      </w:r>
      <w:r w:rsidR="004219C0">
        <w:rPr>
          <w:rFonts w:ascii="Times New Roman" w:eastAsia="Times New Roman" w:hAnsi="Times New Roman" w:cs="Times New Roman"/>
          <w:color w:val="000000"/>
          <w:sz w:val="26"/>
          <w:szCs w:val="26"/>
        </w:rPr>
        <w:t xml:space="preserve">the Environmental Protection Agency </w:t>
      </w:r>
      <w:r w:rsidR="001E0F56">
        <w:rPr>
          <w:rFonts w:ascii="Times New Roman" w:eastAsia="Times New Roman" w:hAnsi="Times New Roman" w:cs="Times New Roman"/>
          <w:color w:val="000000"/>
          <w:sz w:val="26"/>
          <w:szCs w:val="26"/>
        </w:rPr>
        <w:t>Lead and Copper Rule, and the Pennsylvania Safe Drinking Water Act</w:t>
      </w:r>
      <w:r w:rsidR="0021191E">
        <w:rPr>
          <w:rFonts w:ascii="Times New Roman" w:eastAsia="Times New Roman" w:hAnsi="Times New Roman" w:cs="Times New Roman"/>
          <w:color w:val="000000"/>
          <w:sz w:val="26"/>
          <w:szCs w:val="26"/>
        </w:rPr>
        <w:t xml:space="preserve">, as Twin Lakes has a substantial </w:t>
      </w:r>
      <w:r w:rsidR="004B2E70">
        <w:rPr>
          <w:rFonts w:ascii="Times New Roman" w:eastAsia="Times New Roman" w:hAnsi="Times New Roman" w:cs="Times New Roman"/>
          <w:color w:val="000000"/>
          <w:sz w:val="26"/>
          <w:szCs w:val="26"/>
        </w:rPr>
        <w:t>history of high unaccounted for water levels due to leaks throughout the system</w:t>
      </w:r>
      <w:r w:rsidRPr="001E43E2">
        <w:rPr>
          <w:rFonts w:ascii="Times New Roman" w:eastAsia="Times New Roman" w:hAnsi="Times New Roman" w:cs="Times New Roman"/>
          <w:color w:val="000000"/>
          <w:sz w:val="26"/>
          <w:szCs w:val="26"/>
        </w:rPr>
        <w:t xml:space="preserve">.  </w:t>
      </w:r>
      <w:r w:rsidR="00F35C9F">
        <w:rPr>
          <w:rFonts w:ascii="Times New Roman" w:eastAsia="Times New Roman" w:hAnsi="Times New Roman" w:cs="Times New Roman"/>
          <w:color w:val="000000"/>
          <w:sz w:val="26"/>
          <w:szCs w:val="26"/>
        </w:rPr>
        <w:t xml:space="preserve">The ALJ also found that </w:t>
      </w:r>
      <w:r w:rsidR="007B1263" w:rsidRPr="00722905">
        <w:rPr>
          <w:rFonts w:ascii="Times New Roman" w:hAnsi="Times New Roman" w:cs="Times New Roman"/>
          <w:sz w:val="26"/>
          <w:szCs w:val="26"/>
        </w:rPr>
        <w:t xml:space="preserve">Twin Lakes has failed to comply with Commission </w:t>
      </w:r>
      <w:r w:rsidR="007B1263">
        <w:rPr>
          <w:rFonts w:ascii="Times New Roman" w:hAnsi="Times New Roman" w:cs="Times New Roman"/>
          <w:sz w:val="26"/>
          <w:szCs w:val="26"/>
        </w:rPr>
        <w:t>O</w:t>
      </w:r>
      <w:r w:rsidR="007B1263" w:rsidRPr="00722905">
        <w:rPr>
          <w:rFonts w:ascii="Times New Roman" w:hAnsi="Times New Roman" w:cs="Times New Roman"/>
          <w:sz w:val="26"/>
          <w:szCs w:val="26"/>
        </w:rPr>
        <w:t xml:space="preserve">rders, notably </w:t>
      </w:r>
      <w:r w:rsidR="007B1263">
        <w:rPr>
          <w:rFonts w:ascii="Times New Roman" w:hAnsi="Times New Roman" w:cs="Times New Roman"/>
          <w:sz w:val="26"/>
          <w:szCs w:val="26"/>
        </w:rPr>
        <w:t>O</w:t>
      </w:r>
      <w:r w:rsidR="007B1263" w:rsidRPr="00722905">
        <w:rPr>
          <w:rFonts w:ascii="Times New Roman" w:hAnsi="Times New Roman" w:cs="Times New Roman"/>
          <w:sz w:val="26"/>
          <w:szCs w:val="26"/>
        </w:rPr>
        <w:t xml:space="preserve">rders approving settlements </w:t>
      </w:r>
      <w:r w:rsidR="007B41C2">
        <w:rPr>
          <w:rFonts w:ascii="Times New Roman" w:hAnsi="Times New Roman" w:cs="Times New Roman"/>
          <w:sz w:val="26"/>
          <w:szCs w:val="26"/>
        </w:rPr>
        <w:t>in</w:t>
      </w:r>
      <w:r w:rsidR="007B1263" w:rsidRPr="00722905">
        <w:rPr>
          <w:rFonts w:ascii="Times New Roman" w:hAnsi="Times New Roman" w:cs="Times New Roman"/>
          <w:sz w:val="26"/>
          <w:szCs w:val="26"/>
        </w:rPr>
        <w:t xml:space="preserve"> prior Twin Lakes</w:t>
      </w:r>
      <w:r w:rsidR="00255A1E">
        <w:rPr>
          <w:rFonts w:ascii="Times New Roman" w:hAnsi="Times New Roman" w:cs="Times New Roman"/>
          <w:sz w:val="26"/>
          <w:szCs w:val="26"/>
        </w:rPr>
        <w:t>’</w:t>
      </w:r>
      <w:r w:rsidR="007B1263" w:rsidRPr="00722905">
        <w:rPr>
          <w:rFonts w:ascii="Times New Roman" w:hAnsi="Times New Roman" w:cs="Times New Roman"/>
          <w:sz w:val="26"/>
          <w:szCs w:val="26"/>
        </w:rPr>
        <w:t xml:space="preserve"> base rate proceedings </w:t>
      </w:r>
      <w:r w:rsidR="007B41C2">
        <w:rPr>
          <w:rFonts w:ascii="Times New Roman" w:hAnsi="Times New Roman" w:cs="Times New Roman"/>
          <w:sz w:val="26"/>
          <w:szCs w:val="26"/>
        </w:rPr>
        <w:t>t</w:t>
      </w:r>
      <w:r w:rsidR="007B1263" w:rsidRPr="00722905">
        <w:rPr>
          <w:rFonts w:ascii="Times New Roman" w:hAnsi="Times New Roman" w:cs="Times New Roman"/>
          <w:sz w:val="26"/>
          <w:szCs w:val="26"/>
        </w:rPr>
        <w:t>h</w:t>
      </w:r>
      <w:r w:rsidR="007B41C2">
        <w:rPr>
          <w:rFonts w:ascii="Times New Roman" w:hAnsi="Times New Roman" w:cs="Times New Roman"/>
          <w:sz w:val="26"/>
          <w:szCs w:val="26"/>
        </w:rPr>
        <w:t>at</w:t>
      </w:r>
      <w:r w:rsidR="007B1263" w:rsidRPr="00722905">
        <w:rPr>
          <w:rFonts w:ascii="Times New Roman" w:hAnsi="Times New Roman" w:cs="Times New Roman"/>
          <w:sz w:val="26"/>
          <w:szCs w:val="26"/>
        </w:rPr>
        <w:t xml:space="preserve"> required a reduction in the system</w:t>
      </w:r>
      <w:r w:rsidR="007B41C2">
        <w:rPr>
          <w:rFonts w:ascii="Times New Roman" w:hAnsi="Times New Roman" w:cs="Times New Roman"/>
          <w:sz w:val="26"/>
          <w:szCs w:val="26"/>
        </w:rPr>
        <w:t>’</w:t>
      </w:r>
      <w:r w:rsidR="007B1263" w:rsidRPr="00722905">
        <w:rPr>
          <w:rFonts w:ascii="Times New Roman" w:hAnsi="Times New Roman" w:cs="Times New Roman"/>
          <w:sz w:val="26"/>
          <w:szCs w:val="26"/>
        </w:rPr>
        <w:t xml:space="preserve">s unaccounted for water levels and </w:t>
      </w:r>
      <w:r w:rsidR="0070779D">
        <w:rPr>
          <w:rFonts w:ascii="Times New Roman" w:hAnsi="Times New Roman" w:cs="Times New Roman"/>
          <w:sz w:val="26"/>
          <w:szCs w:val="26"/>
        </w:rPr>
        <w:t xml:space="preserve">that </w:t>
      </w:r>
      <w:r w:rsidR="007B1263" w:rsidRPr="00407106">
        <w:rPr>
          <w:rFonts w:ascii="Times New Roman" w:hAnsi="Times New Roman" w:cs="Times New Roman"/>
          <w:sz w:val="26"/>
          <w:szCs w:val="26"/>
        </w:rPr>
        <w:t>various improvements be made to the system.</w:t>
      </w:r>
      <w:r w:rsidR="007B1263">
        <w:rPr>
          <w:sz w:val="23"/>
          <w:szCs w:val="23"/>
        </w:rPr>
        <w:t xml:space="preserve"> </w:t>
      </w:r>
      <w:r w:rsidR="0070779D">
        <w:rPr>
          <w:sz w:val="23"/>
          <w:szCs w:val="23"/>
        </w:rPr>
        <w:t xml:space="preserve"> </w:t>
      </w:r>
      <w:r w:rsidRPr="001E43E2">
        <w:rPr>
          <w:rFonts w:ascii="Times New Roman" w:eastAsia="Times New Roman" w:hAnsi="Times New Roman" w:cs="Times New Roman"/>
          <w:color w:val="000000"/>
          <w:sz w:val="26"/>
          <w:szCs w:val="26"/>
        </w:rPr>
        <w:t>Specifically, the ALJ recommended a finding that Twin Lakes has failed to comply within a reasonable time with orders of both the Commission and the P</w:t>
      </w:r>
      <w:r w:rsidR="00603179">
        <w:rPr>
          <w:rFonts w:ascii="Times New Roman" w:eastAsia="Times New Roman" w:hAnsi="Times New Roman" w:cs="Times New Roman"/>
          <w:color w:val="000000"/>
          <w:sz w:val="26"/>
          <w:szCs w:val="26"/>
        </w:rPr>
        <w:t xml:space="preserve">ennsylvania </w:t>
      </w:r>
      <w:r w:rsidRPr="001E43E2">
        <w:rPr>
          <w:rFonts w:ascii="Times New Roman" w:eastAsia="Times New Roman" w:hAnsi="Times New Roman" w:cs="Times New Roman"/>
          <w:color w:val="000000"/>
          <w:sz w:val="26"/>
          <w:szCs w:val="26"/>
        </w:rPr>
        <w:t>D</w:t>
      </w:r>
      <w:r w:rsidR="00603179">
        <w:rPr>
          <w:rFonts w:ascii="Times New Roman" w:eastAsia="Times New Roman" w:hAnsi="Times New Roman" w:cs="Times New Roman"/>
          <w:color w:val="000000"/>
          <w:sz w:val="26"/>
          <w:szCs w:val="26"/>
        </w:rPr>
        <w:t xml:space="preserve">epartment of </w:t>
      </w:r>
      <w:r w:rsidRPr="001E43E2">
        <w:rPr>
          <w:rFonts w:ascii="Times New Roman" w:eastAsia="Times New Roman" w:hAnsi="Times New Roman" w:cs="Times New Roman"/>
          <w:color w:val="000000"/>
          <w:sz w:val="26"/>
          <w:szCs w:val="26"/>
        </w:rPr>
        <w:t>E</w:t>
      </w:r>
      <w:r w:rsidR="00603179">
        <w:rPr>
          <w:rFonts w:ascii="Times New Roman" w:eastAsia="Times New Roman" w:hAnsi="Times New Roman" w:cs="Times New Roman"/>
          <w:color w:val="000000"/>
          <w:sz w:val="26"/>
          <w:szCs w:val="26"/>
        </w:rPr>
        <w:t>n</w:t>
      </w:r>
      <w:r w:rsidR="003275A8">
        <w:rPr>
          <w:rFonts w:ascii="Times New Roman" w:eastAsia="Times New Roman" w:hAnsi="Times New Roman" w:cs="Times New Roman"/>
          <w:color w:val="000000"/>
          <w:sz w:val="26"/>
          <w:szCs w:val="26"/>
        </w:rPr>
        <w:t xml:space="preserve">vironmental </w:t>
      </w:r>
      <w:r w:rsidRPr="001E43E2">
        <w:rPr>
          <w:rFonts w:ascii="Times New Roman" w:eastAsia="Times New Roman" w:hAnsi="Times New Roman" w:cs="Times New Roman"/>
          <w:color w:val="000000"/>
          <w:sz w:val="26"/>
          <w:szCs w:val="26"/>
        </w:rPr>
        <w:t>P</w:t>
      </w:r>
      <w:r w:rsidR="003275A8">
        <w:rPr>
          <w:rFonts w:ascii="Times New Roman" w:eastAsia="Times New Roman" w:hAnsi="Times New Roman" w:cs="Times New Roman"/>
          <w:color w:val="000000"/>
          <w:sz w:val="26"/>
          <w:szCs w:val="26"/>
        </w:rPr>
        <w:t>rotection</w:t>
      </w:r>
      <w:r w:rsidRPr="001E43E2">
        <w:rPr>
          <w:rFonts w:ascii="Times New Roman" w:eastAsia="Times New Roman" w:hAnsi="Times New Roman" w:cs="Times New Roman"/>
          <w:color w:val="000000"/>
          <w:sz w:val="26"/>
          <w:szCs w:val="26"/>
        </w:rPr>
        <w:t xml:space="preserve"> regarding the safety, adequate efficiency and/or reasonableness of service.  The ALJ, therefore, concluded that Twin Lakes cannot reasonably be expected to furnish and maintain adequate, efficient, safe and reasonable service and facilities in the future.  Further, the ALJ concluded that no reasonable or practicable alternatives exi</w:t>
      </w:r>
      <w:r w:rsidR="003275A8">
        <w:rPr>
          <w:rFonts w:ascii="Times New Roman" w:eastAsia="Times New Roman" w:hAnsi="Times New Roman" w:cs="Times New Roman"/>
          <w:color w:val="000000"/>
          <w:sz w:val="26"/>
          <w:szCs w:val="26"/>
        </w:rPr>
        <w:t>s</w:t>
      </w:r>
      <w:r w:rsidRPr="001E43E2">
        <w:rPr>
          <w:rFonts w:ascii="Times New Roman" w:eastAsia="Times New Roman" w:hAnsi="Times New Roman" w:cs="Times New Roman"/>
          <w:color w:val="000000"/>
          <w:sz w:val="26"/>
          <w:szCs w:val="26"/>
        </w:rPr>
        <w:t xml:space="preserve">t to requiring Aqua to acquire the Twin Lakes system.  The ALJ’s determinations were made viewing both Twin Lakes as a standalone system and with Middlesex as Twin Lakes’ owner and corporate parent.  Finally, the ALJ found that substantial evidence also demonstrates that Aqua is financially, managerially and technically capable of acquiring and operating the Twin Lakes system in compliance with applicable statutory and regulatory standards and that the rates charged by Aqua to </w:t>
      </w:r>
      <w:r w:rsidRPr="001E43E2">
        <w:rPr>
          <w:rFonts w:ascii="Times New Roman" w:eastAsia="Times New Roman" w:hAnsi="Times New Roman" w:cs="Times New Roman"/>
          <w:color w:val="000000"/>
          <w:sz w:val="26"/>
          <w:szCs w:val="26"/>
        </w:rPr>
        <w:lastRenderedPageBreak/>
        <w:t xml:space="preserve">its preacquisition customers will not increase unreasonably because of the acquisition.  </w:t>
      </w:r>
      <w:bookmarkStart w:id="7" w:name="_Hlk79934676"/>
      <w:r w:rsidRPr="001E43E2">
        <w:rPr>
          <w:rFonts w:ascii="Times New Roman" w:eastAsia="Times New Roman" w:hAnsi="Times New Roman" w:cs="Times New Roman"/>
          <w:color w:val="000000"/>
          <w:sz w:val="26"/>
          <w:szCs w:val="26"/>
        </w:rPr>
        <w:t xml:space="preserve">R.D. at </w:t>
      </w:r>
      <w:r w:rsidR="00F137D0" w:rsidRPr="00F137D0">
        <w:rPr>
          <w:rFonts w:ascii="Times New Roman" w:eastAsia="Times New Roman" w:hAnsi="Times New Roman" w:cs="Times New Roman"/>
          <w:color w:val="000000"/>
          <w:sz w:val="26"/>
          <w:szCs w:val="26"/>
        </w:rPr>
        <w:t>33-</w:t>
      </w:r>
      <w:r w:rsidR="0091258D">
        <w:rPr>
          <w:rFonts w:ascii="Times New Roman" w:eastAsia="Times New Roman" w:hAnsi="Times New Roman" w:cs="Times New Roman"/>
          <w:color w:val="000000"/>
          <w:sz w:val="26"/>
          <w:szCs w:val="26"/>
        </w:rPr>
        <w:t>51</w:t>
      </w:r>
      <w:r w:rsidRPr="001E43E2">
        <w:rPr>
          <w:rFonts w:ascii="Times New Roman" w:eastAsia="Times New Roman" w:hAnsi="Times New Roman" w:cs="Times New Roman"/>
          <w:color w:val="000000"/>
          <w:sz w:val="26"/>
          <w:szCs w:val="26"/>
        </w:rPr>
        <w:t xml:space="preserve">. </w:t>
      </w:r>
      <w:bookmarkEnd w:id="7"/>
    </w:p>
    <w:p w14:paraId="30323784" w14:textId="77777777" w:rsidR="001E43E2" w:rsidRPr="001E43E2" w:rsidRDefault="001E43E2" w:rsidP="001E43E2">
      <w:pPr>
        <w:spacing w:after="0" w:line="360" w:lineRule="auto"/>
        <w:ind w:firstLine="1440"/>
        <w:rPr>
          <w:rFonts w:ascii="Times New Roman" w:eastAsia="Times New Roman" w:hAnsi="Times New Roman" w:cs="Times New Roman"/>
          <w:color w:val="000000"/>
          <w:sz w:val="26"/>
          <w:szCs w:val="26"/>
          <w:highlight w:val="yellow"/>
        </w:rPr>
      </w:pPr>
    </w:p>
    <w:p w14:paraId="1188953A" w14:textId="55CCDCC0"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Finally, in addition to applying Section 529(a) to the present circumstances, the ALJ addressed the outstanding unsecured promissory notes and service agreement amendments that are related to this matter.  The ALJ also addressed the questions raised by Aqua and the OCA, including, Aqua’s assertion that if acquisition is approved it should be conditional, and the OCA-raised issues including requirements regarding separate tariffs, plan for improvement, limitations on liability and limitation on enforcement actions.  R.D. at </w:t>
      </w:r>
      <w:r w:rsidR="0091258D" w:rsidRPr="0091258D">
        <w:rPr>
          <w:rFonts w:ascii="Times New Roman" w:eastAsia="Times New Roman" w:hAnsi="Times New Roman" w:cs="Times New Roman"/>
          <w:color w:val="000000"/>
          <w:sz w:val="26"/>
          <w:szCs w:val="26"/>
        </w:rPr>
        <w:t>51-60</w:t>
      </w:r>
      <w:r w:rsidRPr="001E43E2">
        <w:rPr>
          <w:rFonts w:ascii="Times New Roman" w:eastAsia="Times New Roman" w:hAnsi="Times New Roman" w:cs="Times New Roman"/>
          <w:color w:val="000000"/>
          <w:sz w:val="26"/>
          <w:szCs w:val="26"/>
        </w:rPr>
        <w:t>.</w:t>
      </w:r>
    </w:p>
    <w:p w14:paraId="3FD1967B" w14:textId="77777777"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p>
    <w:p w14:paraId="6686C04D" w14:textId="177C78FD"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With respect to the three outstanding unsecured revolving promissory notes between Twin Lakes and Middlesex, the ALJ recommended that they be approved.  The ALJ also recommended that the outstanding amendments to the </w:t>
      </w:r>
      <w:r w:rsidR="00043CB7">
        <w:rPr>
          <w:rFonts w:ascii="Times New Roman" w:eastAsia="Times New Roman" w:hAnsi="Times New Roman" w:cs="Times New Roman"/>
          <w:color w:val="000000"/>
          <w:sz w:val="26"/>
          <w:szCs w:val="26"/>
        </w:rPr>
        <w:t>S</w:t>
      </w:r>
      <w:r w:rsidRPr="001E43E2">
        <w:rPr>
          <w:rFonts w:ascii="Times New Roman" w:eastAsia="Times New Roman" w:hAnsi="Times New Roman" w:cs="Times New Roman"/>
          <w:color w:val="000000"/>
          <w:sz w:val="26"/>
          <w:szCs w:val="26"/>
        </w:rPr>
        <w:t xml:space="preserve">ervice </w:t>
      </w:r>
      <w:r w:rsidR="00043CB7">
        <w:rPr>
          <w:rFonts w:ascii="Times New Roman" w:eastAsia="Times New Roman" w:hAnsi="Times New Roman" w:cs="Times New Roman"/>
          <w:color w:val="000000"/>
          <w:sz w:val="26"/>
          <w:szCs w:val="26"/>
        </w:rPr>
        <w:t>A</w:t>
      </w:r>
      <w:r w:rsidRPr="001E43E2">
        <w:rPr>
          <w:rFonts w:ascii="Times New Roman" w:eastAsia="Times New Roman" w:hAnsi="Times New Roman" w:cs="Times New Roman"/>
          <w:color w:val="000000"/>
          <w:sz w:val="26"/>
          <w:szCs w:val="26"/>
        </w:rPr>
        <w:t xml:space="preserve">greement between Twin Lakes and Middlesex be denied as moot.  </w:t>
      </w:r>
      <w:r w:rsidRPr="001E43E2">
        <w:rPr>
          <w:rFonts w:ascii="Times New Roman" w:eastAsia="Times New Roman" w:hAnsi="Times New Roman" w:cs="Times New Roman"/>
          <w:i/>
          <w:iCs/>
          <w:color w:val="000000"/>
          <w:sz w:val="26"/>
          <w:szCs w:val="26"/>
        </w:rPr>
        <w:t>Id</w:t>
      </w:r>
      <w:r w:rsidRPr="001E43E2">
        <w:rPr>
          <w:rFonts w:ascii="Times New Roman" w:eastAsia="Times New Roman" w:hAnsi="Times New Roman" w:cs="Times New Roman"/>
          <w:color w:val="000000"/>
          <w:sz w:val="26"/>
          <w:szCs w:val="26"/>
        </w:rPr>
        <w:t>.</w:t>
      </w:r>
      <w:r w:rsidR="00C95BC1">
        <w:rPr>
          <w:rFonts w:ascii="Times New Roman" w:eastAsia="Times New Roman" w:hAnsi="Times New Roman" w:cs="Times New Roman"/>
          <w:color w:val="000000"/>
          <w:sz w:val="26"/>
          <w:szCs w:val="26"/>
        </w:rPr>
        <w:t xml:space="preserve">  </w:t>
      </w:r>
    </w:p>
    <w:p w14:paraId="5A8C3F16" w14:textId="77777777"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p>
    <w:p w14:paraId="515D0529" w14:textId="3FD303B6"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With respect to Aqua’s assertion that any acquisition should be conditional, the ALJ agreed and recommended that it is reasonable to condition the approval of Twin Lakes’ </w:t>
      </w:r>
      <w:r w:rsidR="0003333C">
        <w:rPr>
          <w:rFonts w:ascii="Times New Roman" w:eastAsia="Times New Roman" w:hAnsi="Times New Roman" w:cs="Times New Roman"/>
          <w:color w:val="000000"/>
          <w:sz w:val="26"/>
          <w:szCs w:val="26"/>
        </w:rPr>
        <w:t>P</w:t>
      </w:r>
      <w:r w:rsidRPr="001E43E2">
        <w:rPr>
          <w:rFonts w:ascii="Times New Roman" w:eastAsia="Times New Roman" w:hAnsi="Times New Roman" w:cs="Times New Roman"/>
          <w:color w:val="000000"/>
          <w:sz w:val="26"/>
          <w:szCs w:val="26"/>
        </w:rPr>
        <w:t xml:space="preserve">etition on Middlesex placing $1,675,000 into an escrow account to be used to offset the costs of replacing and remediating the existing infrastructure so that just and reasonable service can be provided, as advocated by Aqua.  The ALJ noted that the circumstances of this case are unique, in that the small water utility in question is wholly owned by a larger corporate parent.  The ALJ concluded that, despite Middlesex being a New Jersey corporation, Middlesex has submitted itself to this Commission’s jurisdiction by, </w:t>
      </w:r>
      <w:r w:rsidRPr="001E43E2">
        <w:rPr>
          <w:rFonts w:ascii="Times New Roman" w:eastAsia="Times New Roman" w:hAnsi="Times New Roman" w:cs="Times New Roman"/>
          <w:i/>
          <w:iCs/>
          <w:color w:val="000000"/>
          <w:sz w:val="26"/>
          <w:szCs w:val="26"/>
        </w:rPr>
        <w:t>inter alia</w:t>
      </w:r>
      <w:r w:rsidRPr="001E43E2">
        <w:rPr>
          <w:rFonts w:ascii="Times New Roman" w:eastAsia="Times New Roman" w:hAnsi="Times New Roman" w:cs="Times New Roman"/>
          <w:color w:val="000000"/>
          <w:sz w:val="26"/>
          <w:szCs w:val="26"/>
        </w:rPr>
        <w:t xml:space="preserve">, seeking Commission approval to acquire Twin Lakes.  The ALJ concluded that, for purposes of the Section 529 acquisition, Middlesex will be negotiating the sale of its wholly owned subsidiary, Twin Lakes.  Further, it will be Middlesex which receives remuneration from such sale. </w:t>
      </w:r>
      <w:r w:rsidR="00467AD8">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 xml:space="preserve">R.D. at </w:t>
      </w:r>
      <w:r w:rsidR="00FD11BA" w:rsidRPr="00FD11BA">
        <w:rPr>
          <w:rFonts w:ascii="Times New Roman" w:eastAsia="Times New Roman" w:hAnsi="Times New Roman" w:cs="Times New Roman"/>
          <w:color w:val="000000"/>
          <w:sz w:val="26"/>
          <w:szCs w:val="26"/>
        </w:rPr>
        <w:t>54-60</w:t>
      </w:r>
      <w:r w:rsidRPr="001E43E2">
        <w:rPr>
          <w:rFonts w:ascii="Times New Roman" w:eastAsia="Times New Roman" w:hAnsi="Times New Roman" w:cs="Times New Roman"/>
          <w:color w:val="000000"/>
          <w:sz w:val="26"/>
          <w:szCs w:val="26"/>
        </w:rPr>
        <w:t xml:space="preserve">.  </w:t>
      </w:r>
    </w:p>
    <w:p w14:paraId="789BCB62" w14:textId="2774CAAB"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p>
    <w:p w14:paraId="78C62D7A" w14:textId="0E2644B3" w:rsidR="001E43E2" w:rsidRDefault="001E43E2" w:rsidP="00FF58FF">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lastRenderedPageBreak/>
        <w:t xml:space="preserve">The ALJ noted that Middlesex, as the corporate parent of Twin Lakes, has not made the necessary financial investment in the Twin Lakes system over the more than a decade since it purchased the system, aside from filing for three triple-digit base rate increases during that time.  The ALJ found this to be insufficient and warranted conditioning the approval of the Section 529 petition on Middlesex placing $1,675,000 into escrow for purposes of improving the system that it has not itself improved during the past decade.  The ALJ concluded Middlesex should not benefit from its failure to properly maintain the Twin Lakes system for the past decade by not having to pay, at least in part, for some of the necessary improvements which Middlesex failed to make.  </w:t>
      </w:r>
      <w:r w:rsidR="00FF58FF" w:rsidRPr="00FF58FF">
        <w:rPr>
          <w:rFonts w:ascii="Times New Roman" w:eastAsia="Times New Roman" w:hAnsi="Times New Roman" w:cs="Times New Roman"/>
          <w:i/>
          <w:iCs/>
          <w:color w:val="000000"/>
          <w:sz w:val="26"/>
          <w:szCs w:val="26"/>
        </w:rPr>
        <w:t>Id.</w:t>
      </w:r>
      <w:r w:rsidRPr="001E43E2">
        <w:rPr>
          <w:rFonts w:ascii="Times New Roman" w:eastAsia="Times New Roman" w:hAnsi="Times New Roman" w:cs="Times New Roman"/>
          <w:color w:val="000000"/>
          <w:sz w:val="26"/>
          <w:szCs w:val="26"/>
        </w:rPr>
        <w:t xml:space="preserve">  </w:t>
      </w:r>
    </w:p>
    <w:p w14:paraId="2C471FE6" w14:textId="77777777" w:rsidR="00FD15CC" w:rsidRPr="001E43E2" w:rsidRDefault="00FD15CC" w:rsidP="00FF58FF">
      <w:pPr>
        <w:spacing w:after="0" w:line="360" w:lineRule="auto"/>
        <w:ind w:firstLine="1440"/>
        <w:rPr>
          <w:rFonts w:ascii="Times New Roman" w:eastAsia="Times New Roman" w:hAnsi="Times New Roman" w:cs="Times New Roman"/>
          <w:color w:val="000000"/>
          <w:sz w:val="26"/>
          <w:szCs w:val="26"/>
        </w:rPr>
      </w:pPr>
    </w:p>
    <w:p w14:paraId="65CB88A5" w14:textId="706A91DF" w:rsidR="001E43E2" w:rsidRPr="001E43E2" w:rsidRDefault="001E43E2" w:rsidP="001E43E2">
      <w:pPr>
        <w:spacing w:after="0" w:line="360" w:lineRule="auto"/>
        <w:ind w:firstLine="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The ALJ then examined the concerns raised by the OCA under Sections</w:t>
      </w:r>
      <w:r w:rsidR="0084145F">
        <w:rPr>
          <w:rFonts w:ascii="Times New Roman" w:eastAsia="Times New Roman" w:hAnsi="Times New Roman" w:cs="Times New Roman"/>
          <w:color w:val="000000"/>
          <w:sz w:val="26"/>
          <w:szCs w:val="26"/>
        </w:rPr>
        <w:t> </w:t>
      </w:r>
      <w:r w:rsidRPr="001E43E2">
        <w:rPr>
          <w:rFonts w:ascii="Times New Roman" w:eastAsia="Times New Roman" w:hAnsi="Times New Roman" w:cs="Times New Roman"/>
          <w:color w:val="000000"/>
          <w:sz w:val="26"/>
          <w:szCs w:val="26"/>
        </w:rPr>
        <w:t xml:space="preserve">529(f), (j), (k) and (l), which address, separate tariffs, plan for improvement, limitations on liability and limitations on enforcement actions.  R.D. at </w:t>
      </w:r>
      <w:r w:rsidR="003E4A14" w:rsidRPr="003E4A14">
        <w:rPr>
          <w:rFonts w:ascii="Times New Roman" w:eastAsia="Times New Roman" w:hAnsi="Times New Roman" w:cs="Times New Roman"/>
          <w:color w:val="000000"/>
          <w:sz w:val="26"/>
          <w:szCs w:val="26"/>
        </w:rPr>
        <w:t>60-61</w:t>
      </w:r>
      <w:r w:rsidRPr="001E43E2">
        <w:rPr>
          <w:rFonts w:ascii="Times New Roman" w:eastAsia="Times New Roman" w:hAnsi="Times New Roman" w:cs="Times New Roman"/>
          <w:color w:val="000000"/>
          <w:sz w:val="26"/>
          <w:szCs w:val="26"/>
        </w:rPr>
        <w:t xml:space="preserve">, citing OCA M.B. at 20-22, </w:t>
      </w:r>
      <w:r w:rsidRPr="001145D5">
        <w:rPr>
          <w:rFonts w:ascii="Times New Roman" w:eastAsia="Times New Roman" w:hAnsi="Times New Roman" w:cs="Times New Roman"/>
          <w:iCs/>
          <w:color w:val="000000"/>
          <w:sz w:val="26"/>
          <w:szCs w:val="26"/>
        </w:rPr>
        <w:t>citing</w:t>
      </w:r>
      <w:r w:rsidRPr="001E43E2">
        <w:rPr>
          <w:rFonts w:ascii="Times New Roman" w:eastAsia="Times New Roman" w:hAnsi="Times New Roman" w:cs="Times New Roman"/>
          <w:color w:val="000000"/>
          <w:sz w:val="26"/>
          <w:szCs w:val="26"/>
        </w:rPr>
        <w:t xml:space="preserve"> 66 Pa.</w:t>
      </w:r>
      <w:r w:rsidR="00472F5F">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C.S. § 529(f), (j), (k)</w:t>
      </w:r>
      <w:r w:rsidR="00965350">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and (l).  The ALJ concluded that the issues raised by the OCA were valid.  However, the ALJ declined to impose any additional conditions, noting that, the separate tariffs, plan for improvement and liability issues, can be properly addressed when, and if, the Commission directs that Aqua acquire the Twin Lakes system at the conclusion of this Section 529 proceeding.  The ALJ found that, for purposes of this proceeding, nothing in Sections 529(f), (j), (k)</w:t>
      </w:r>
      <w:r w:rsidR="0084145F">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and (l) warrants the denial of Aqua’s</w:t>
      </w:r>
      <w:r w:rsidR="002F4ED8">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 xml:space="preserve">acquisition of Twin Lakes, consistent with Section 529.  </w:t>
      </w:r>
      <w:r w:rsidR="00FD15CC" w:rsidRPr="00FD15CC">
        <w:rPr>
          <w:rFonts w:ascii="Times New Roman" w:eastAsia="Times New Roman" w:hAnsi="Times New Roman" w:cs="Times New Roman"/>
          <w:i/>
          <w:iCs/>
          <w:color w:val="000000"/>
          <w:sz w:val="26"/>
          <w:szCs w:val="26"/>
        </w:rPr>
        <w:t>Id</w:t>
      </w:r>
      <w:r w:rsidR="00FD15CC">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w:t>
      </w:r>
    </w:p>
    <w:p w14:paraId="76E9DD61" w14:textId="04DEC1BC" w:rsidR="00A1791B" w:rsidRDefault="00A1791B" w:rsidP="00CB06ED">
      <w:pPr>
        <w:spacing w:after="0" w:line="360" w:lineRule="auto"/>
        <w:rPr>
          <w:rFonts w:ascii="Times New Roman" w:eastAsia="Calibri" w:hAnsi="Times New Roman" w:cs="Times New Roman"/>
          <w:sz w:val="26"/>
          <w:szCs w:val="26"/>
        </w:rPr>
      </w:pPr>
    </w:p>
    <w:p w14:paraId="0B7F473E" w14:textId="06E9C9AC" w:rsidR="00B513F9" w:rsidRDefault="00C80092" w:rsidP="007273B8">
      <w:pPr>
        <w:pStyle w:val="Heading2"/>
      </w:pPr>
      <w:bookmarkStart w:id="8" w:name="_Toc87265456"/>
      <w:r>
        <w:lastRenderedPageBreak/>
        <w:t>Exceptions and Replies</w:t>
      </w:r>
      <w:bookmarkEnd w:id="8"/>
      <w:r>
        <w:t xml:space="preserve"> </w:t>
      </w:r>
    </w:p>
    <w:p w14:paraId="2D269722" w14:textId="13BA6A41" w:rsidR="00C80092" w:rsidRDefault="00C80092" w:rsidP="0084145F">
      <w:pPr>
        <w:pStyle w:val="ListParagraph"/>
        <w:keepNext/>
        <w:spacing w:after="0" w:line="360" w:lineRule="auto"/>
        <w:rPr>
          <w:rFonts w:ascii="Times New Roman" w:hAnsi="Times New Roman" w:cs="Times New Roman"/>
          <w:b/>
          <w:sz w:val="26"/>
          <w:szCs w:val="26"/>
        </w:rPr>
      </w:pPr>
    </w:p>
    <w:p w14:paraId="718B0871" w14:textId="3387F8AF" w:rsidR="0094699A" w:rsidRDefault="0094699A" w:rsidP="00970E33">
      <w:pPr>
        <w:pStyle w:val="Heading3"/>
      </w:pPr>
      <w:bookmarkStart w:id="9" w:name="_Toc87265457"/>
      <w:r w:rsidRPr="007273B8">
        <w:t>Exceptions</w:t>
      </w:r>
      <w:r>
        <w:t xml:space="preserve"> of </w:t>
      </w:r>
      <w:r w:rsidRPr="00D472CD">
        <w:t>Aqua</w:t>
      </w:r>
      <w:r>
        <w:t xml:space="preserve"> and Replies</w:t>
      </w:r>
      <w:bookmarkEnd w:id="9"/>
    </w:p>
    <w:p w14:paraId="025C18E9" w14:textId="77777777" w:rsidR="0039333F" w:rsidRDefault="0039333F" w:rsidP="0084145F">
      <w:pPr>
        <w:pStyle w:val="ListParagraph"/>
        <w:keepNext/>
        <w:spacing w:after="0" w:line="360" w:lineRule="auto"/>
        <w:ind w:left="1080"/>
        <w:rPr>
          <w:rFonts w:ascii="Times New Roman" w:hAnsi="Times New Roman" w:cs="Times New Roman"/>
          <w:b/>
          <w:sz w:val="26"/>
          <w:szCs w:val="26"/>
        </w:rPr>
      </w:pPr>
    </w:p>
    <w:p w14:paraId="1BA44DA1" w14:textId="70FB30F4" w:rsidR="0012605E" w:rsidRDefault="00365134" w:rsidP="00970E33">
      <w:pPr>
        <w:pStyle w:val="Heading4"/>
      </w:pPr>
      <w:bookmarkStart w:id="10" w:name="_Toc87265458"/>
      <w:r>
        <w:t>Aqua</w:t>
      </w:r>
      <w:r w:rsidR="00E532C1">
        <w:t>’s</w:t>
      </w:r>
      <w:r>
        <w:t xml:space="preserve"> </w:t>
      </w:r>
      <w:r w:rsidRPr="00D472CD">
        <w:t>Exception</w:t>
      </w:r>
      <w:r>
        <w:t xml:space="preserve"> No. 1</w:t>
      </w:r>
      <w:r w:rsidR="00306A05">
        <w:t xml:space="preserve">: </w:t>
      </w:r>
      <w:r w:rsidR="00FD6884">
        <w:t>Improper Application of Section 529</w:t>
      </w:r>
      <w:r w:rsidR="009B5194">
        <w:t xml:space="preserve"> and Replies</w:t>
      </w:r>
      <w:bookmarkEnd w:id="10"/>
    </w:p>
    <w:p w14:paraId="378997A2" w14:textId="77777777" w:rsidR="00290A2B" w:rsidRDefault="00290A2B" w:rsidP="00965350">
      <w:pPr>
        <w:pStyle w:val="ListParagraph"/>
        <w:keepNext/>
        <w:spacing w:after="0" w:line="480" w:lineRule="auto"/>
        <w:ind w:left="1080"/>
        <w:rPr>
          <w:rFonts w:ascii="Times New Roman" w:hAnsi="Times New Roman" w:cs="Times New Roman"/>
          <w:b/>
          <w:sz w:val="26"/>
          <w:szCs w:val="26"/>
        </w:rPr>
      </w:pPr>
    </w:p>
    <w:p w14:paraId="30A899E7" w14:textId="77165620" w:rsidR="002D1763" w:rsidRDefault="00DC1AA9" w:rsidP="002B1A20">
      <w:pPr>
        <w:keepNext/>
        <w:tabs>
          <w:tab w:val="left" w:pos="2691"/>
        </w:tabs>
        <w:spacing w:after="0" w:line="360" w:lineRule="auto"/>
        <w:ind w:firstLine="1440"/>
        <w:rPr>
          <w:rFonts w:ascii="Times New Roman" w:eastAsia="Times New Roman" w:hAnsi="Times New Roman" w:cs="Times New Roman"/>
          <w:color w:val="000000"/>
          <w:sz w:val="26"/>
          <w:szCs w:val="26"/>
        </w:rPr>
      </w:pPr>
      <w:r w:rsidRPr="0039333F">
        <w:rPr>
          <w:rFonts w:ascii="Times New Roman" w:eastAsia="Times New Roman" w:hAnsi="Times New Roman" w:cs="Times New Roman"/>
          <w:bCs/>
          <w:color w:val="000000"/>
          <w:sz w:val="26"/>
          <w:szCs w:val="26"/>
        </w:rPr>
        <w:t>I</w:t>
      </w:r>
      <w:r w:rsidR="002E2C53" w:rsidRPr="0039333F">
        <w:rPr>
          <w:rFonts w:ascii="Times New Roman" w:eastAsia="Times New Roman" w:hAnsi="Times New Roman" w:cs="Times New Roman"/>
          <w:bCs/>
          <w:color w:val="000000"/>
          <w:sz w:val="26"/>
          <w:szCs w:val="26"/>
        </w:rPr>
        <w:t>n</w:t>
      </w:r>
      <w:r w:rsidR="001164C4" w:rsidRPr="0039333F">
        <w:rPr>
          <w:rFonts w:ascii="Times New Roman" w:eastAsia="Times New Roman" w:hAnsi="Times New Roman" w:cs="Times New Roman"/>
          <w:bCs/>
          <w:color w:val="000000"/>
          <w:sz w:val="26"/>
          <w:szCs w:val="26"/>
        </w:rPr>
        <w:t xml:space="preserve"> its </w:t>
      </w:r>
      <w:r w:rsidR="002E2C53" w:rsidRPr="0039333F">
        <w:rPr>
          <w:rFonts w:ascii="Times New Roman" w:eastAsia="Times New Roman" w:hAnsi="Times New Roman" w:cs="Times New Roman"/>
          <w:bCs/>
          <w:color w:val="000000"/>
          <w:sz w:val="26"/>
          <w:szCs w:val="26"/>
        </w:rPr>
        <w:t>Exception</w:t>
      </w:r>
      <w:r w:rsidR="001164C4" w:rsidRPr="0039333F">
        <w:rPr>
          <w:rFonts w:ascii="Times New Roman" w:eastAsia="Times New Roman" w:hAnsi="Times New Roman" w:cs="Times New Roman"/>
          <w:bCs/>
          <w:color w:val="000000"/>
          <w:sz w:val="26"/>
          <w:szCs w:val="26"/>
        </w:rPr>
        <w:t xml:space="preserve"> No. 1</w:t>
      </w:r>
      <w:r w:rsidR="002E2C53" w:rsidRPr="0039333F">
        <w:rPr>
          <w:rFonts w:ascii="Times New Roman" w:eastAsia="Times New Roman" w:hAnsi="Times New Roman" w:cs="Times New Roman"/>
          <w:bCs/>
          <w:color w:val="000000"/>
          <w:sz w:val="26"/>
          <w:szCs w:val="26"/>
        </w:rPr>
        <w:t xml:space="preserve">, </w:t>
      </w:r>
      <w:r w:rsidR="00A71C33" w:rsidRPr="0039333F">
        <w:rPr>
          <w:rFonts w:ascii="Times New Roman" w:hAnsi="Times New Roman" w:cs="Times New Roman"/>
          <w:sz w:val="26"/>
          <w:szCs w:val="26"/>
        </w:rPr>
        <w:t xml:space="preserve">Aqua argues that it should not be directed to acquire Twin Lakes because Twin Lakes is </w:t>
      </w:r>
      <w:r w:rsidR="00F30037" w:rsidRPr="0039333F">
        <w:rPr>
          <w:rFonts w:ascii="Times New Roman" w:hAnsi="Times New Roman" w:cs="Times New Roman"/>
          <w:sz w:val="26"/>
          <w:szCs w:val="26"/>
        </w:rPr>
        <w:t xml:space="preserve">utilizing </w:t>
      </w:r>
      <w:r w:rsidR="00A71C33" w:rsidRPr="0039333F">
        <w:rPr>
          <w:rFonts w:ascii="Times New Roman" w:hAnsi="Times New Roman" w:cs="Times New Roman"/>
          <w:sz w:val="26"/>
          <w:szCs w:val="26"/>
        </w:rPr>
        <w:t>Section 529 improperly.  Aqua Exc. at 2.</w:t>
      </w:r>
      <w:r w:rsidR="00FD6884">
        <w:rPr>
          <w:rFonts w:ascii="Times New Roman" w:eastAsia="Times New Roman" w:hAnsi="Times New Roman" w:cs="Times New Roman"/>
          <w:bCs/>
          <w:color w:val="000000"/>
          <w:sz w:val="26"/>
          <w:szCs w:val="26"/>
        </w:rPr>
        <w:t xml:space="preserve">  </w:t>
      </w:r>
      <w:r w:rsidR="00FE2123">
        <w:rPr>
          <w:rFonts w:ascii="Times New Roman" w:eastAsia="Times New Roman" w:hAnsi="Times New Roman" w:cs="Times New Roman"/>
          <w:color w:val="000000"/>
          <w:sz w:val="26"/>
          <w:szCs w:val="26"/>
        </w:rPr>
        <w:t>Aqua reiterates its assertion</w:t>
      </w:r>
      <w:r w:rsidR="00081D70">
        <w:rPr>
          <w:rFonts w:ascii="Times New Roman" w:eastAsia="Times New Roman" w:hAnsi="Times New Roman" w:cs="Times New Roman"/>
          <w:color w:val="000000"/>
          <w:sz w:val="26"/>
          <w:szCs w:val="26"/>
        </w:rPr>
        <w:t xml:space="preserve"> that Middlesex, through its wholly owned subsidiary, Twin </w:t>
      </w:r>
      <w:r w:rsidR="0039333F" w:rsidRPr="0039333F">
        <w:rPr>
          <w:rFonts w:ascii="Times New Roman" w:eastAsia="Times New Roman" w:hAnsi="Times New Roman" w:cs="Times New Roman"/>
          <w:color w:val="000000"/>
          <w:sz w:val="26"/>
          <w:szCs w:val="26"/>
        </w:rPr>
        <w:t>Lakes</w:t>
      </w:r>
      <w:r w:rsidR="00081D70">
        <w:rPr>
          <w:rFonts w:ascii="Times New Roman" w:eastAsia="Times New Roman" w:hAnsi="Times New Roman" w:cs="Times New Roman"/>
          <w:color w:val="000000"/>
          <w:sz w:val="26"/>
          <w:szCs w:val="26"/>
        </w:rPr>
        <w:t xml:space="preserve">, </w:t>
      </w:r>
      <w:r w:rsidR="0039333F" w:rsidRPr="0039333F">
        <w:rPr>
          <w:rFonts w:ascii="Times New Roman" w:eastAsia="Times New Roman" w:hAnsi="Times New Roman" w:cs="Times New Roman"/>
          <w:color w:val="000000"/>
          <w:sz w:val="26"/>
          <w:szCs w:val="26"/>
        </w:rPr>
        <w:t>is attempting to use the Section 529 process for an improper purpose.</w:t>
      </w:r>
      <w:r w:rsidR="00BF2E71">
        <w:rPr>
          <w:rFonts w:ascii="Times New Roman" w:eastAsia="Times New Roman" w:hAnsi="Times New Roman" w:cs="Times New Roman"/>
          <w:color w:val="000000"/>
          <w:sz w:val="26"/>
          <w:szCs w:val="26"/>
        </w:rPr>
        <w:t xml:space="preserve">  Aqua asserts, as it did through the proceeding, </w:t>
      </w:r>
      <w:r w:rsidR="0039333F" w:rsidRPr="0039333F">
        <w:rPr>
          <w:rFonts w:ascii="Times New Roman" w:eastAsia="Times New Roman" w:hAnsi="Times New Roman" w:cs="Times New Roman"/>
          <w:color w:val="000000"/>
          <w:sz w:val="26"/>
          <w:szCs w:val="26"/>
        </w:rPr>
        <w:t>that Middlesex is attempting to use the Section</w:t>
      </w:r>
      <w:r w:rsidR="00840140">
        <w:rPr>
          <w:rFonts w:ascii="Times New Roman" w:eastAsia="Times New Roman" w:hAnsi="Times New Roman" w:cs="Times New Roman"/>
          <w:color w:val="000000"/>
          <w:sz w:val="26"/>
          <w:szCs w:val="26"/>
        </w:rPr>
        <w:t> </w:t>
      </w:r>
      <w:r w:rsidR="0039333F" w:rsidRPr="0039333F">
        <w:rPr>
          <w:rFonts w:ascii="Times New Roman" w:eastAsia="Times New Roman" w:hAnsi="Times New Roman" w:cs="Times New Roman"/>
          <w:color w:val="000000"/>
          <w:sz w:val="26"/>
          <w:szCs w:val="26"/>
        </w:rPr>
        <w:t xml:space="preserve">529 process to </w:t>
      </w:r>
      <w:r w:rsidR="00840E4B">
        <w:rPr>
          <w:rFonts w:ascii="Times New Roman" w:eastAsia="Times New Roman" w:hAnsi="Times New Roman" w:cs="Times New Roman"/>
          <w:color w:val="000000"/>
          <w:sz w:val="26"/>
          <w:szCs w:val="26"/>
        </w:rPr>
        <w:t>“</w:t>
      </w:r>
      <w:r w:rsidR="0039333F" w:rsidRPr="0039333F">
        <w:rPr>
          <w:rFonts w:ascii="Times New Roman" w:eastAsia="Times New Roman" w:hAnsi="Times New Roman" w:cs="Times New Roman"/>
          <w:color w:val="000000"/>
          <w:sz w:val="26"/>
          <w:szCs w:val="26"/>
        </w:rPr>
        <w:t xml:space="preserve">eliminate a </w:t>
      </w:r>
      <w:r w:rsidR="00840E4B">
        <w:rPr>
          <w:rFonts w:ascii="Times New Roman" w:eastAsia="Times New Roman" w:hAnsi="Times New Roman" w:cs="Times New Roman"/>
          <w:color w:val="000000"/>
          <w:sz w:val="26"/>
          <w:szCs w:val="26"/>
        </w:rPr>
        <w:t>f</w:t>
      </w:r>
      <w:r w:rsidR="0039333F" w:rsidRPr="0039333F">
        <w:rPr>
          <w:rFonts w:ascii="Times New Roman" w:eastAsia="Times New Roman" w:hAnsi="Times New Roman" w:cs="Times New Roman"/>
          <w:color w:val="000000"/>
          <w:sz w:val="26"/>
          <w:szCs w:val="26"/>
        </w:rPr>
        <w:t>inancially poor performing segment of its overall strong business.</w:t>
      </w:r>
      <w:r w:rsidR="00C456ED">
        <w:rPr>
          <w:rFonts w:ascii="Times New Roman" w:eastAsia="Times New Roman" w:hAnsi="Times New Roman" w:cs="Times New Roman"/>
          <w:color w:val="000000"/>
          <w:sz w:val="26"/>
          <w:szCs w:val="26"/>
        </w:rPr>
        <w:t>”  Aqua Exc</w:t>
      </w:r>
      <w:r w:rsidR="00C456ED" w:rsidRPr="00C87859">
        <w:rPr>
          <w:rFonts w:ascii="Times New Roman" w:eastAsia="Times New Roman" w:hAnsi="Times New Roman" w:cs="Times New Roman"/>
          <w:color w:val="000000"/>
          <w:sz w:val="26"/>
          <w:szCs w:val="26"/>
        </w:rPr>
        <w:t xml:space="preserve">. at </w:t>
      </w:r>
      <w:r w:rsidR="00C87859" w:rsidRPr="00C87859">
        <w:rPr>
          <w:rFonts w:ascii="Times New Roman" w:eastAsia="Times New Roman" w:hAnsi="Times New Roman" w:cs="Times New Roman"/>
          <w:color w:val="000000"/>
          <w:sz w:val="26"/>
          <w:szCs w:val="26"/>
        </w:rPr>
        <w:t>2-5</w:t>
      </w:r>
      <w:r w:rsidR="00C456ED" w:rsidRPr="00C87859">
        <w:rPr>
          <w:rFonts w:ascii="Times New Roman" w:eastAsia="Times New Roman" w:hAnsi="Times New Roman" w:cs="Times New Roman"/>
          <w:color w:val="000000"/>
          <w:sz w:val="26"/>
          <w:szCs w:val="26"/>
        </w:rPr>
        <w:t>, citing</w:t>
      </w:r>
      <w:r w:rsidR="0039333F" w:rsidRPr="0039333F">
        <w:rPr>
          <w:rFonts w:ascii="Times New Roman" w:eastAsia="Times New Roman" w:hAnsi="Times New Roman" w:cs="Times New Roman"/>
          <w:i/>
          <w:color w:val="000000"/>
          <w:sz w:val="26"/>
          <w:szCs w:val="26"/>
        </w:rPr>
        <w:t>, e.g.</w:t>
      </w:r>
      <w:r w:rsidR="0039333F" w:rsidRPr="0039333F">
        <w:rPr>
          <w:rFonts w:ascii="Times New Roman" w:eastAsia="Times New Roman" w:hAnsi="Times New Roman" w:cs="Times New Roman"/>
          <w:color w:val="000000"/>
          <w:sz w:val="26"/>
          <w:szCs w:val="26"/>
        </w:rPr>
        <w:t>, Aqua M</w:t>
      </w:r>
      <w:r w:rsidR="006812FC">
        <w:rPr>
          <w:rFonts w:ascii="Times New Roman" w:eastAsia="Times New Roman" w:hAnsi="Times New Roman" w:cs="Times New Roman"/>
          <w:color w:val="000000"/>
          <w:sz w:val="26"/>
          <w:szCs w:val="26"/>
        </w:rPr>
        <w:t>.</w:t>
      </w:r>
      <w:r w:rsidR="0039333F" w:rsidRPr="0039333F">
        <w:rPr>
          <w:rFonts w:ascii="Times New Roman" w:eastAsia="Times New Roman" w:hAnsi="Times New Roman" w:cs="Times New Roman"/>
          <w:color w:val="000000"/>
          <w:sz w:val="26"/>
          <w:szCs w:val="26"/>
        </w:rPr>
        <w:t>B</w:t>
      </w:r>
      <w:r w:rsidR="006812FC">
        <w:rPr>
          <w:rFonts w:ascii="Times New Roman" w:eastAsia="Times New Roman" w:hAnsi="Times New Roman" w:cs="Times New Roman"/>
          <w:color w:val="000000"/>
          <w:sz w:val="26"/>
          <w:szCs w:val="26"/>
        </w:rPr>
        <w:t>.</w:t>
      </w:r>
      <w:r w:rsidR="0039333F" w:rsidRPr="0039333F">
        <w:rPr>
          <w:rFonts w:ascii="Times New Roman" w:eastAsia="Times New Roman" w:hAnsi="Times New Roman" w:cs="Times New Roman"/>
          <w:color w:val="000000"/>
          <w:sz w:val="26"/>
          <w:szCs w:val="26"/>
        </w:rPr>
        <w:t xml:space="preserve"> at 34-35; Aqua R</w:t>
      </w:r>
      <w:r w:rsidR="006812FC">
        <w:rPr>
          <w:rFonts w:ascii="Times New Roman" w:eastAsia="Times New Roman" w:hAnsi="Times New Roman" w:cs="Times New Roman"/>
          <w:color w:val="000000"/>
          <w:sz w:val="26"/>
          <w:szCs w:val="26"/>
        </w:rPr>
        <w:t>.</w:t>
      </w:r>
      <w:r w:rsidR="0039333F" w:rsidRPr="0039333F">
        <w:rPr>
          <w:rFonts w:ascii="Times New Roman" w:eastAsia="Times New Roman" w:hAnsi="Times New Roman" w:cs="Times New Roman"/>
          <w:color w:val="000000"/>
          <w:sz w:val="26"/>
          <w:szCs w:val="26"/>
        </w:rPr>
        <w:t>B</w:t>
      </w:r>
      <w:r w:rsidR="006812FC">
        <w:rPr>
          <w:rFonts w:ascii="Times New Roman" w:eastAsia="Times New Roman" w:hAnsi="Times New Roman" w:cs="Times New Roman"/>
          <w:color w:val="000000"/>
          <w:sz w:val="26"/>
          <w:szCs w:val="26"/>
        </w:rPr>
        <w:t>.</w:t>
      </w:r>
      <w:r w:rsidR="0039333F" w:rsidRPr="0039333F">
        <w:rPr>
          <w:rFonts w:ascii="Times New Roman" w:eastAsia="Times New Roman" w:hAnsi="Times New Roman" w:cs="Times New Roman"/>
          <w:color w:val="000000"/>
          <w:sz w:val="26"/>
          <w:szCs w:val="26"/>
        </w:rPr>
        <w:t xml:space="preserve"> at</w:t>
      </w:r>
      <w:r w:rsidR="00840140">
        <w:rPr>
          <w:rFonts w:ascii="Times New Roman" w:eastAsia="Times New Roman" w:hAnsi="Times New Roman" w:cs="Times New Roman"/>
          <w:color w:val="000000"/>
          <w:sz w:val="26"/>
          <w:szCs w:val="26"/>
        </w:rPr>
        <w:t> </w:t>
      </w:r>
      <w:r w:rsidR="0039333F" w:rsidRPr="0039333F">
        <w:rPr>
          <w:rFonts w:ascii="Times New Roman" w:eastAsia="Times New Roman" w:hAnsi="Times New Roman" w:cs="Times New Roman"/>
          <w:color w:val="000000"/>
          <w:sz w:val="26"/>
          <w:szCs w:val="26"/>
        </w:rPr>
        <w:t>13</w:t>
      </w:r>
      <w:r w:rsidR="00840140">
        <w:rPr>
          <w:rFonts w:ascii="Times New Roman" w:eastAsia="Times New Roman" w:hAnsi="Times New Roman" w:cs="Times New Roman"/>
          <w:color w:val="000000"/>
          <w:sz w:val="26"/>
          <w:szCs w:val="26"/>
        </w:rPr>
        <w:noBreakHyphen/>
      </w:r>
      <w:r w:rsidR="0039333F" w:rsidRPr="0039333F">
        <w:rPr>
          <w:rFonts w:ascii="Times New Roman" w:eastAsia="Times New Roman" w:hAnsi="Times New Roman" w:cs="Times New Roman"/>
          <w:color w:val="000000"/>
          <w:sz w:val="26"/>
          <w:szCs w:val="26"/>
        </w:rPr>
        <w:t>14.</w:t>
      </w:r>
      <w:r w:rsidR="0039333F" w:rsidRPr="0039333F">
        <w:rPr>
          <w:rFonts w:ascii="Times New Roman" w:eastAsia="Times New Roman" w:hAnsi="Times New Roman" w:cs="Times New Roman"/>
          <w:color w:val="000000"/>
          <w:sz w:val="26"/>
          <w:szCs w:val="26"/>
          <w:vertAlign w:val="superscript"/>
        </w:rPr>
        <w:footnoteReference w:id="6"/>
      </w:r>
      <w:r w:rsidR="0039333F" w:rsidRPr="0039333F">
        <w:rPr>
          <w:rFonts w:ascii="Times New Roman" w:eastAsia="Times New Roman" w:hAnsi="Times New Roman" w:cs="Times New Roman"/>
          <w:color w:val="000000"/>
          <w:sz w:val="26"/>
          <w:szCs w:val="26"/>
        </w:rPr>
        <w:t xml:space="preserve">  </w:t>
      </w:r>
    </w:p>
    <w:p w14:paraId="62E11CF8" w14:textId="77777777" w:rsidR="00ED1926" w:rsidRDefault="00ED1926" w:rsidP="00BF2E71">
      <w:pPr>
        <w:tabs>
          <w:tab w:val="left" w:pos="2691"/>
        </w:tabs>
        <w:spacing w:after="0" w:line="360" w:lineRule="auto"/>
        <w:ind w:firstLine="1440"/>
        <w:rPr>
          <w:rFonts w:ascii="Times New Roman" w:eastAsia="Times New Roman" w:hAnsi="Times New Roman" w:cs="Times New Roman"/>
          <w:color w:val="000000"/>
          <w:sz w:val="26"/>
          <w:szCs w:val="26"/>
        </w:rPr>
      </w:pPr>
    </w:p>
    <w:p w14:paraId="70F4899E" w14:textId="25B8A46A" w:rsidR="0039333F" w:rsidRDefault="0039333F" w:rsidP="00BF2E71">
      <w:pPr>
        <w:tabs>
          <w:tab w:val="left" w:pos="2691"/>
        </w:tabs>
        <w:spacing w:after="0" w:line="360" w:lineRule="auto"/>
        <w:ind w:firstLine="1440"/>
        <w:rPr>
          <w:rFonts w:ascii="Times New Roman" w:eastAsia="Times New Roman" w:hAnsi="Times New Roman" w:cs="Times New Roman"/>
          <w:color w:val="000000"/>
          <w:sz w:val="26"/>
          <w:szCs w:val="26"/>
        </w:rPr>
      </w:pPr>
      <w:r w:rsidRPr="0039333F">
        <w:rPr>
          <w:rFonts w:ascii="Times New Roman" w:eastAsia="Times New Roman" w:hAnsi="Times New Roman" w:cs="Times New Roman"/>
          <w:color w:val="000000"/>
          <w:sz w:val="26"/>
          <w:szCs w:val="26"/>
        </w:rPr>
        <w:t xml:space="preserve">Aqua </w:t>
      </w:r>
      <w:r w:rsidR="002D1763">
        <w:rPr>
          <w:rFonts w:ascii="Times New Roman" w:eastAsia="Times New Roman" w:hAnsi="Times New Roman" w:cs="Times New Roman"/>
          <w:color w:val="000000"/>
          <w:sz w:val="26"/>
          <w:szCs w:val="26"/>
        </w:rPr>
        <w:t xml:space="preserve">asserts it has </w:t>
      </w:r>
      <w:r w:rsidRPr="0039333F">
        <w:rPr>
          <w:rFonts w:ascii="Times New Roman" w:eastAsia="Times New Roman" w:hAnsi="Times New Roman" w:cs="Times New Roman"/>
          <w:color w:val="000000"/>
          <w:sz w:val="26"/>
          <w:szCs w:val="26"/>
        </w:rPr>
        <w:t xml:space="preserve">demonstrated that: </w:t>
      </w:r>
      <w:r w:rsidR="00141DE9">
        <w:rPr>
          <w:rFonts w:ascii="Times New Roman" w:eastAsia="Times New Roman" w:hAnsi="Times New Roman" w:cs="Times New Roman"/>
          <w:color w:val="000000"/>
          <w:sz w:val="26"/>
          <w:szCs w:val="26"/>
        </w:rPr>
        <w:t xml:space="preserve"> </w:t>
      </w:r>
      <w:r w:rsidRPr="0039333F">
        <w:rPr>
          <w:rFonts w:ascii="Times New Roman" w:eastAsia="Times New Roman" w:hAnsi="Times New Roman" w:cs="Times New Roman"/>
          <w:color w:val="000000"/>
          <w:sz w:val="26"/>
          <w:szCs w:val="26"/>
        </w:rPr>
        <w:t>(1) Middlesex remains capable of continuing to own and operate the Twin Lakes system; (2) Middlesex is the sole source of operational and financial support for Twin Lakes</w:t>
      </w:r>
      <w:r w:rsidR="00563EB0">
        <w:rPr>
          <w:rFonts w:ascii="Times New Roman" w:eastAsia="Times New Roman" w:hAnsi="Times New Roman" w:cs="Times New Roman"/>
          <w:color w:val="000000"/>
          <w:sz w:val="26"/>
          <w:szCs w:val="26"/>
        </w:rPr>
        <w:t xml:space="preserve"> </w:t>
      </w:r>
      <w:r w:rsidRPr="0039333F">
        <w:rPr>
          <w:rFonts w:ascii="Times New Roman" w:eastAsia="Times New Roman" w:hAnsi="Times New Roman" w:cs="Times New Roman"/>
          <w:color w:val="000000"/>
          <w:sz w:val="26"/>
          <w:szCs w:val="26"/>
        </w:rPr>
        <w:t>and has been since it acquired the system; and (3) Middlesex ultimately controls Twin Lakes.</w:t>
      </w:r>
      <w:r w:rsidR="00FE0E60">
        <w:rPr>
          <w:rFonts w:ascii="Times New Roman" w:eastAsia="Times New Roman" w:hAnsi="Times New Roman" w:cs="Times New Roman"/>
          <w:color w:val="000000"/>
          <w:sz w:val="26"/>
          <w:szCs w:val="26"/>
        </w:rPr>
        <w:t xml:space="preserve">  </w:t>
      </w:r>
      <w:r w:rsidR="001F6FEF">
        <w:rPr>
          <w:rFonts w:ascii="Times New Roman" w:eastAsia="Times New Roman" w:hAnsi="Times New Roman" w:cs="Times New Roman"/>
          <w:color w:val="000000"/>
          <w:sz w:val="26"/>
          <w:szCs w:val="26"/>
        </w:rPr>
        <w:t xml:space="preserve">Based on the facts of the Middlesex’s ownership of Twin Lakes, Aqua asserts that </w:t>
      </w:r>
      <w:r w:rsidR="009D5C76">
        <w:rPr>
          <w:rFonts w:ascii="Times New Roman" w:eastAsia="Times New Roman" w:hAnsi="Times New Roman" w:cs="Times New Roman"/>
          <w:color w:val="000000"/>
          <w:sz w:val="26"/>
          <w:szCs w:val="26"/>
        </w:rPr>
        <w:t>Twin Lakes</w:t>
      </w:r>
      <w:r w:rsidR="003F4735">
        <w:rPr>
          <w:rFonts w:ascii="Times New Roman" w:eastAsia="Times New Roman" w:hAnsi="Times New Roman" w:cs="Times New Roman"/>
          <w:color w:val="000000"/>
          <w:sz w:val="26"/>
          <w:szCs w:val="26"/>
        </w:rPr>
        <w:t>’</w:t>
      </w:r>
      <w:r w:rsidR="009D5C76">
        <w:rPr>
          <w:rFonts w:ascii="Times New Roman" w:eastAsia="Times New Roman" w:hAnsi="Times New Roman" w:cs="Times New Roman"/>
          <w:color w:val="000000"/>
          <w:sz w:val="26"/>
          <w:szCs w:val="26"/>
        </w:rPr>
        <w:t xml:space="preserve"> initiation of this Section 529 proceeding </w:t>
      </w:r>
      <w:r w:rsidR="00747FDC">
        <w:rPr>
          <w:rFonts w:ascii="Times New Roman" w:eastAsia="Times New Roman" w:hAnsi="Times New Roman" w:cs="Times New Roman"/>
          <w:color w:val="000000"/>
          <w:sz w:val="26"/>
          <w:szCs w:val="26"/>
        </w:rPr>
        <w:t xml:space="preserve">is for the evident and improper purpose of </w:t>
      </w:r>
      <w:r w:rsidR="00045F4B">
        <w:rPr>
          <w:rFonts w:ascii="Times New Roman" w:eastAsia="Times New Roman" w:hAnsi="Times New Roman" w:cs="Times New Roman"/>
          <w:color w:val="000000"/>
          <w:sz w:val="26"/>
          <w:szCs w:val="26"/>
        </w:rPr>
        <w:t>Middlesex’s</w:t>
      </w:r>
      <w:r w:rsidR="00BC7CCD">
        <w:rPr>
          <w:rFonts w:ascii="Times New Roman" w:eastAsia="Times New Roman" w:hAnsi="Times New Roman" w:cs="Times New Roman"/>
          <w:color w:val="000000"/>
          <w:sz w:val="26"/>
          <w:szCs w:val="26"/>
        </w:rPr>
        <w:t xml:space="preserve"> divesting </w:t>
      </w:r>
      <w:r w:rsidR="009C079E">
        <w:rPr>
          <w:rFonts w:ascii="Times New Roman" w:eastAsia="Times New Roman" w:hAnsi="Times New Roman" w:cs="Times New Roman"/>
          <w:color w:val="000000"/>
          <w:sz w:val="26"/>
          <w:szCs w:val="26"/>
        </w:rPr>
        <w:t>itself of Twin Lakes, without having to account for the actual</w:t>
      </w:r>
      <w:r w:rsidR="009B46B5">
        <w:rPr>
          <w:rFonts w:ascii="Times New Roman" w:eastAsia="Times New Roman" w:hAnsi="Times New Roman" w:cs="Times New Roman"/>
          <w:color w:val="000000"/>
          <w:sz w:val="26"/>
          <w:szCs w:val="26"/>
        </w:rPr>
        <w:t xml:space="preserve"> value of Twin Lakes</w:t>
      </w:r>
      <w:r w:rsidR="008B6A33">
        <w:rPr>
          <w:rFonts w:ascii="Times New Roman" w:eastAsia="Times New Roman" w:hAnsi="Times New Roman" w:cs="Times New Roman"/>
          <w:color w:val="000000"/>
          <w:sz w:val="26"/>
          <w:szCs w:val="26"/>
        </w:rPr>
        <w:t>.</w:t>
      </w:r>
      <w:r w:rsidR="00FE0E60">
        <w:rPr>
          <w:rFonts w:ascii="Times New Roman" w:eastAsia="Times New Roman" w:hAnsi="Times New Roman" w:cs="Times New Roman"/>
          <w:color w:val="000000"/>
          <w:sz w:val="26"/>
          <w:szCs w:val="26"/>
        </w:rPr>
        <w:t xml:space="preserve">  </w:t>
      </w:r>
      <w:r w:rsidR="00265669" w:rsidRPr="00265669">
        <w:rPr>
          <w:rFonts w:ascii="Times New Roman" w:eastAsia="Times New Roman" w:hAnsi="Times New Roman" w:cs="Times New Roman"/>
          <w:i/>
          <w:iCs/>
          <w:color w:val="000000"/>
          <w:sz w:val="26"/>
          <w:szCs w:val="26"/>
        </w:rPr>
        <w:t>Id.</w:t>
      </w:r>
      <w:r w:rsidR="00265669">
        <w:rPr>
          <w:rFonts w:ascii="Times New Roman" w:eastAsia="Times New Roman" w:hAnsi="Times New Roman" w:cs="Times New Roman"/>
          <w:color w:val="000000"/>
          <w:sz w:val="26"/>
          <w:szCs w:val="26"/>
        </w:rPr>
        <w:t xml:space="preserve">, </w:t>
      </w:r>
      <w:r w:rsidR="00FE0E60">
        <w:rPr>
          <w:rFonts w:ascii="Times New Roman" w:eastAsia="Times New Roman" w:hAnsi="Times New Roman" w:cs="Times New Roman"/>
          <w:color w:val="000000"/>
          <w:sz w:val="26"/>
          <w:szCs w:val="26"/>
        </w:rPr>
        <w:t>citing</w:t>
      </w:r>
      <w:r w:rsidR="00265669">
        <w:rPr>
          <w:rFonts w:ascii="Times New Roman" w:eastAsia="Times New Roman" w:hAnsi="Times New Roman" w:cs="Times New Roman"/>
          <w:color w:val="000000"/>
          <w:sz w:val="26"/>
          <w:szCs w:val="26"/>
        </w:rPr>
        <w:t>,</w:t>
      </w:r>
      <w:r w:rsidRPr="0039333F">
        <w:rPr>
          <w:rFonts w:ascii="Times New Roman" w:eastAsia="Times New Roman" w:hAnsi="Times New Roman" w:cs="Times New Roman"/>
          <w:color w:val="000000"/>
          <w:sz w:val="26"/>
          <w:szCs w:val="26"/>
        </w:rPr>
        <w:t xml:space="preserve"> </w:t>
      </w:r>
      <w:r w:rsidR="00FE0E60" w:rsidRPr="0039333F">
        <w:rPr>
          <w:rFonts w:ascii="Times New Roman" w:eastAsia="Times New Roman" w:hAnsi="Times New Roman" w:cs="Times New Roman"/>
          <w:color w:val="000000"/>
          <w:sz w:val="26"/>
          <w:szCs w:val="26"/>
        </w:rPr>
        <w:t>Aqua M</w:t>
      </w:r>
      <w:r w:rsidR="00076B42">
        <w:rPr>
          <w:rFonts w:ascii="Times New Roman" w:eastAsia="Times New Roman" w:hAnsi="Times New Roman" w:cs="Times New Roman"/>
          <w:color w:val="000000"/>
          <w:sz w:val="26"/>
          <w:szCs w:val="26"/>
        </w:rPr>
        <w:t>.</w:t>
      </w:r>
      <w:r w:rsidR="00FE0E60" w:rsidRPr="0039333F">
        <w:rPr>
          <w:rFonts w:ascii="Times New Roman" w:eastAsia="Times New Roman" w:hAnsi="Times New Roman" w:cs="Times New Roman"/>
          <w:color w:val="000000"/>
          <w:sz w:val="26"/>
          <w:szCs w:val="26"/>
        </w:rPr>
        <w:t>B</w:t>
      </w:r>
      <w:r w:rsidR="00076B42">
        <w:rPr>
          <w:rFonts w:ascii="Times New Roman" w:eastAsia="Times New Roman" w:hAnsi="Times New Roman" w:cs="Times New Roman"/>
          <w:color w:val="000000"/>
          <w:sz w:val="26"/>
          <w:szCs w:val="26"/>
        </w:rPr>
        <w:t>.</w:t>
      </w:r>
      <w:r w:rsidR="00FE0E60" w:rsidRPr="0039333F">
        <w:rPr>
          <w:rFonts w:ascii="Times New Roman" w:eastAsia="Times New Roman" w:hAnsi="Times New Roman" w:cs="Times New Roman"/>
          <w:color w:val="000000"/>
          <w:sz w:val="26"/>
          <w:szCs w:val="26"/>
        </w:rPr>
        <w:t xml:space="preserve"> at 33-34</w:t>
      </w:r>
      <w:r w:rsidR="00F122BE">
        <w:rPr>
          <w:rFonts w:ascii="Times New Roman" w:eastAsia="Times New Roman" w:hAnsi="Times New Roman" w:cs="Times New Roman"/>
          <w:color w:val="000000"/>
          <w:sz w:val="26"/>
          <w:szCs w:val="26"/>
        </w:rPr>
        <w:t>.</w:t>
      </w:r>
    </w:p>
    <w:p w14:paraId="1D769BEC" w14:textId="77777777" w:rsidR="00F122BE" w:rsidRPr="0039333F" w:rsidRDefault="00F122BE" w:rsidP="00BF2E71">
      <w:pPr>
        <w:tabs>
          <w:tab w:val="left" w:pos="2691"/>
        </w:tabs>
        <w:spacing w:after="0" w:line="360" w:lineRule="auto"/>
        <w:ind w:firstLine="1440"/>
        <w:rPr>
          <w:rFonts w:ascii="Times New Roman" w:eastAsia="Times New Roman" w:hAnsi="Times New Roman" w:cs="Times New Roman"/>
          <w:color w:val="000000"/>
          <w:sz w:val="26"/>
          <w:szCs w:val="26"/>
        </w:rPr>
      </w:pPr>
    </w:p>
    <w:p w14:paraId="077E343C" w14:textId="04FD626D" w:rsidR="002F1A67" w:rsidRDefault="0039333F" w:rsidP="002F1A67">
      <w:pPr>
        <w:tabs>
          <w:tab w:val="left" w:pos="2691"/>
        </w:tabs>
        <w:spacing w:after="0" w:line="360" w:lineRule="auto"/>
        <w:ind w:firstLine="1440"/>
        <w:rPr>
          <w:rFonts w:ascii="Times New Roman" w:eastAsia="Times New Roman" w:hAnsi="Times New Roman" w:cs="Times New Roman"/>
          <w:color w:val="000000"/>
          <w:sz w:val="26"/>
          <w:szCs w:val="26"/>
        </w:rPr>
      </w:pPr>
      <w:r w:rsidRPr="0039333F">
        <w:rPr>
          <w:rFonts w:ascii="Times New Roman" w:eastAsia="Times New Roman" w:hAnsi="Times New Roman" w:cs="Times New Roman"/>
          <w:color w:val="000000"/>
          <w:sz w:val="26"/>
          <w:szCs w:val="26"/>
        </w:rPr>
        <w:lastRenderedPageBreak/>
        <w:t>Aqua</w:t>
      </w:r>
      <w:r w:rsidR="00840153">
        <w:rPr>
          <w:rFonts w:ascii="Times New Roman" w:eastAsia="Times New Roman" w:hAnsi="Times New Roman" w:cs="Times New Roman"/>
          <w:color w:val="000000"/>
          <w:sz w:val="26"/>
          <w:szCs w:val="26"/>
        </w:rPr>
        <w:t xml:space="preserve"> asserts that the Section 529 proceeding was not intended to be used</w:t>
      </w:r>
      <w:r w:rsidR="0016296F">
        <w:rPr>
          <w:rFonts w:ascii="Times New Roman" w:eastAsia="Times New Roman" w:hAnsi="Times New Roman" w:cs="Times New Roman"/>
          <w:color w:val="000000"/>
          <w:sz w:val="26"/>
          <w:szCs w:val="26"/>
        </w:rPr>
        <w:t xml:space="preserve"> as</w:t>
      </w:r>
      <w:r w:rsidR="00840153">
        <w:rPr>
          <w:rFonts w:ascii="Times New Roman" w:eastAsia="Times New Roman" w:hAnsi="Times New Roman" w:cs="Times New Roman"/>
          <w:color w:val="000000"/>
          <w:sz w:val="26"/>
          <w:szCs w:val="26"/>
        </w:rPr>
        <w:t xml:space="preserve"> a </w:t>
      </w:r>
      <w:r w:rsidR="00AC6D40">
        <w:rPr>
          <w:rFonts w:ascii="Times New Roman" w:eastAsia="Times New Roman" w:hAnsi="Times New Roman" w:cs="Times New Roman"/>
          <w:color w:val="000000"/>
          <w:sz w:val="26"/>
          <w:szCs w:val="26"/>
        </w:rPr>
        <w:t xml:space="preserve">tool for a </w:t>
      </w:r>
      <w:r w:rsidR="006D68C3">
        <w:rPr>
          <w:rFonts w:ascii="Times New Roman" w:eastAsia="Times New Roman" w:hAnsi="Times New Roman" w:cs="Times New Roman"/>
          <w:color w:val="000000"/>
          <w:sz w:val="26"/>
          <w:szCs w:val="26"/>
        </w:rPr>
        <w:t xml:space="preserve">parent </w:t>
      </w:r>
      <w:r w:rsidR="00AC6D40">
        <w:rPr>
          <w:rFonts w:ascii="Times New Roman" w:eastAsia="Times New Roman" w:hAnsi="Times New Roman" w:cs="Times New Roman"/>
          <w:color w:val="000000"/>
          <w:sz w:val="26"/>
          <w:szCs w:val="26"/>
        </w:rPr>
        <w:t>corporation seeking</w:t>
      </w:r>
      <w:r w:rsidR="00840153">
        <w:rPr>
          <w:rFonts w:ascii="Times New Roman" w:eastAsia="Times New Roman" w:hAnsi="Times New Roman" w:cs="Times New Roman"/>
          <w:color w:val="000000"/>
          <w:sz w:val="26"/>
          <w:szCs w:val="26"/>
        </w:rPr>
        <w:t xml:space="preserve"> </w:t>
      </w:r>
      <w:r w:rsidR="00C46616">
        <w:rPr>
          <w:rFonts w:ascii="Times New Roman" w:eastAsia="Times New Roman" w:hAnsi="Times New Roman" w:cs="Times New Roman"/>
          <w:color w:val="000000"/>
          <w:sz w:val="26"/>
          <w:szCs w:val="26"/>
        </w:rPr>
        <w:t xml:space="preserve">financial advantage.  Rather, </w:t>
      </w:r>
      <w:r w:rsidR="00E3141B">
        <w:rPr>
          <w:rFonts w:ascii="Times New Roman" w:eastAsia="Times New Roman" w:hAnsi="Times New Roman" w:cs="Times New Roman"/>
          <w:color w:val="000000"/>
          <w:sz w:val="26"/>
          <w:szCs w:val="26"/>
        </w:rPr>
        <w:t>Aqua asserts that, as opined by Aqua</w:t>
      </w:r>
      <w:r w:rsidRPr="0039333F">
        <w:rPr>
          <w:rFonts w:ascii="Times New Roman" w:eastAsia="Times New Roman" w:hAnsi="Times New Roman" w:cs="Times New Roman"/>
          <w:color w:val="000000"/>
          <w:sz w:val="26"/>
          <w:szCs w:val="26"/>
        </w:rPr>
        <w:t>’s</w:t>
      </w:r>
      <w:r w:rsidR="001F3F89">
        <w:rPr>
          <w:rFonts w:ascii="Times New Roman" w:eastAsia="Times New Roman" w:hAnsi="Times New Roman" w:cs="Times New Roman"/>
          <w:color w:val="000000"/>
          <w:sz w:val="26"/>
          <w:szCs w:val="26"/>
        </w:rPr>
        <w:t xml:space="preserve"> expert witness</w:t>
      </w:r>
      <w:r w:rsidRPr="0039333F">
        <w:rPr>
          <w:rFonts w:ascii="Times New Roman" w:eastAsia="Times New Roman" w:hAnsi="Times New Roman" w:cs="Times New Roman"/>
          <w:color w:val="000000"/>
          <w:sz w:val="26"/>
          <w:szCs w:val="26"/>
        </w:rPr>
        <w:t>, typically, a Section 529 proceeding involves “systems [that] have been troubled, in that the service to customers was jeopardized by the owner’s inability to run the system or lack of an owner to do so.”  However, this proceeding is a situation where “the current owner is going through a Section 529 proceeding in order to eliminate a financially poor performing segment of their overall strong business.”</w:t>
      </w:r>
      <w:r w:rsidR="00DE1340">
        <w:rPr>
          <w:rFonts w:ascii="Times New Roman" w:eastAsia="Times New Roman" w:hAnsi="Times New Roman" w:cs="Times New Roman"/>
          <w:color w:val="000000"/>
          <w:sz w:val="26"/>
          <w:szCs w:val="26"/>
        </w:rPr>
        <w:t xml:space="preserve"> </w:t>
      </w:r>
      <w:r w:rsidRPr="0039333F">
        <w:rPr>
          <w:rFonts w:ascii="Times New Roman" w:eastAsia="Times New Roman" w:hAnsi="Times New Roman" w:cs="Times New Roman"/>
          <w:color w:val="000000"/>
          <w:sz w:val="26"/>
          <w:szCs w:val="26"/>
        </w:rPr>
        <w:t xml:space="preserve"> </w:t>
      </w:r>
      <w:r w:rsidR="001C2F3F" w:rsidRPr="001C2F3F">
        <w:rPr>
          <w:rFonts w:ascii="Times New Roman" w:eastAsia="Times New Roman" w:hAnsi="Times New Roman" w:cs="Times New Roman"/>
          <w:i/>
          <w:iCs/>
          <w:color w:val="000000"/>
          <w:sz w:val="26"/>
          <w:szCs w:val="26"/>
        </w:rPr>
        <w:t>Id.</w:t>
      </w:r>
      <w:r w:rsidR="001C2F3F">
        <w:rPr>
          <w:rFonts w:ascii="Times New Roman" w:eastAsia="Times New Roman" w:hAnsi="Times New Roman" w:cs="Times New Roman"/>
          <w:color w:val="000000"/>
          <w:sz w:val="26"/>
          <w:szCs w:val="26"/>
        </w:rPr>
        <w:t>,</w:t>
      </w:r>
      <w:r w:rsidR="002F1A67" w:rsidRPr="002F1A67">
        <w:rPr>
          <w:rFonts w:ascii="Times New Roman" w:eastAsia="Times New Roman" w:hAnsi="Times New Roman" w:cs="Times New Roman"/>
          <w:color w:val="000000"/>
          <w:sz w:val="26"/>
          <w:szCs w:val="26"/>
          <w:highlight w:val="yellow"/>
        </w:rPr>
        <w:t xml:space="preserve"> </w:t>
      </w:r>
      <w:r w:rsidR="002F1A67" w:rsidRPr="001C2F3F">
        <w:rPr>
          <w:rFonts w:ascii="Times New Roman" w:eastAsia="Times New Roman" w:hAnsi="Times New Roman" w:cs="Times New Roman"/>
          <w:color w:val="000000"/>
          <w:sz w:val="26"/>
          <w:szCs w:val="26"/>
        </w:rPr>
        <w:t>citing</w:t>
      </w:r>
      <w:r w:rsidR="001C2F3F">
        <w:rPr>
          <w:rFonts w:ascii="Times New Roman" w:eastAsia="Times New Roman" w:hAnsi="Times New Roman" w:cs="Times New Roman"/>
          <w:color w:val="000000"/>
          <w:sz w:val="26"/>
          <w:szCs w:val="26"/>
        </w:rPr>
        <w:t>,</w:t>
      </w:r>
      <w:r w:rsidR="002F1A67">
        <w:rPr>
          <w:rFonts w:ascii="Times New Roman" w:eastAsia="Times New Roman" w:hAnsi="Times New Roman" w:cs="Times New Roman"/>
          <w:color w:val="000000"/>
          <w:sz w:val="26"/>
          <w:szCs w:val="26"/>
        </w:rPr>
        <w:t xml:space="preserve"> </w:t>
      </w:r>
      <w:r w:rsidR="00CC521E" w:rsidRPr="0039333F">
        <w:rPr>
          <w:rFonts w:ascii="Times New Roman" w:eastAsia="Times New Roman" w:hAnsi="Times New Roman" w:cs="Times New Roman"/>
          <w:color w:val="000000"/>
          <w:sz w:val="26"/>
          <w:szCs w:val="26"/>
        </w:rPr>
        <w:t>Aqua St. 2-R at 4</w:t>
      </w:r>
      <w:r w:rsidR="00CC521E">
        <w:rPr>
          <w:rFonts w:ascii="Times New Roman" w:eastAsia="Times New Roman" w:hAnsi="Times New Roman" w:cs="Times New Roman"/>
          <w:color w:val="000000"/>
          <w:sz w:val="26"/>
          <w:szCs w:val="26"/>
        </w:rPr>
        <w:t xml:space="preserve">, </w:t>
      </w:r>
      <w:r w:rsidRPr="0039333F">
        <w:rPr>
          <w:rFonts w:ascii="Times New Roman" w:eastAsia="Times New Roman" w:hAnsi="Times New Roman" w:cs="Times New Roman"/>
          <w:color w:val="000000"/>
          <w:sz w:val="26"/>
          <w:szCs w:val="26"/>
        </w:rPr>
        <w:t xml:space="preserve">Aqua St. 1 at 8.  </w:t>
      </w:r>
    </w:p>
    <w:p w14:paraId="07B59FEE" w14:textId="77777777" w:rsidR="002B1A20" w:rsidRDefault="002B1A20" w:rsidP="002F1A67">
      <w:pPr>
        <w:tabs>
          <w:tab w:val="left" w:pos="2691"/>
        </w:tabs>
        <w:spacing w:after="0" w:line="360" w:lineRule="auto"/>
        <w:ind w:firstLine="1440"/>
        <w:rPr>
          <w:rFonts w:ascii="Times New Roman" w:eastAsia="Times New Roman" w:hAnsi="Times New Roman" w:cs="Times New Roman"/>
          <w:color w:val="000000"/>
          <w:sz w:val="26"/>
          <w:szCs w:val="26"/>
        </w:rPr>
      </w:pPr>
    </w:p>
    <w:p w14:paraId="59466FE5" w14:textId="5DC52701" w:rsidR="0039333F" w:rsidRPr="0039333F" w:rsidRDefault="005C071D" w:rsidP="002F1A67">
      <w:pPr>
        <w:tabs>
          <w:tab w:val="left" w:pos="2691"/>
        </w:tabs>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Aqua concludes that t</w:t>
      </w:r>
      <w:r w:rsidR="0039333F" w:rsidRPr="0039333F">
        <w:rPr>
          <w:rFonts w:ascii="Times New Roman" w:eastAsia="Times New Roman" w:hAnsi="Times New Roman" w:cs="Times New Roman"/>
          <w:color w:val="000000"/>
          <w:sz w:val="26"/>
          <w:szCs w:val="26"/>
        </w:rPr>
        <w:t xml:space="preserve">he record evidence shows that Middlesex </w:t>
      </w:r>
      <w:r w:rsidR="007E006E">
        <w:rPr>
          <w:rFonts w:ascii="Times New Roman" w:eastAsia="Times New Roman" w:hAnsi="Times New Roman" w:cs="Times New Roman"/>
          <w:color w:val="000000"/>
          <w:sz w:val="26"/>
          <w:szCs w:val="26"/>
        </w:rPr>
        <w:t xml:space="preserve">is </w:t>
      </w:r>
      <w:r w:rsidR="0039333F" w:rsidRPr="0039333F">
        <w:rPr>
          <w:rFonts w:ascii="Times New Roman" w:eastAsia="Times New Roman" w:hAnsi="Times New Roman" w:cs="Times New Roman"/>
          <w:color w:val="000000"/>
          <w:sz w:val="26"/>
          <w:szCs w:val="26"/>
        </w:rPr>
        <w:t>us</w:t>
      </w:r>
      <w:r w:rsidR="007E006E">
        <w:rPr>
          <w:rFonts w:ascii="Times New Roman" w:eastAsia="Times New Roman" w:hAnsi="Times New Roman" w:cs="Times New Roman"/>
          <w:color w:val="000000"/>
          <w:sz w:val="26"/>
          <w:szCs w:val="26"/>
        </w:rPr>
        <w:t>ing</w:t>
      </w:r>
      <w:r w:rsidR="0039333F" w:rsidRPr="0039333F">
        <w:rPr>
          <w:rFonts w:ascii="Times New Roman" w:eastAsia="Times New Roman" w:hAnsi="Times New Roman" w:cs="Times New Roman"/>
          <w:color w:val="000000"/>
          <w:sz w:val="26"/>
          <w:szCs w:val="26"/>
        </w:rPr>
        <w:t xml:space="preserve"> the Section 529 process to have </w:t>
      </w:r>
      <w:r w:rsidR="007E006E">
        <w:rPr>
          <w:rFonts w:ascii="Times New Roman" w:eastAsia="Times New Roman" w:hAnsi="Times New Roman" w:cs="Times New Roman"/>
          <w:color w:val="000000"/>
          <w:sz w:val="26"/>
          <w:szCs w:val="26"/>
        </w:rPr>
        <w:t xml:space="preserve">the Commission require </w:t>
      </w:r>
      <w:r w:rsidR="0039333F" w:rsidRPr="0039333F">
        <w:rPr>
          <w:rFonts w:ascii="Times New Roman" w:eastAsia="Times New Roman" w:hAnsi="Times New Roman" w:cs="Times New Roman"/>
          <w:color w:val="000000"/>
          <w:sz w:val="26"/>
          <w:szCs w:val="26"/>
        </w:rPr>
        <w:t xml:space="preserve">another entity </w:t>
      </w:r>
      <w:r w:rsidR="00094947">
        <w:rPr>
          <w:rFonts w:ascii="Times New Roman" w:eastAsia="Times New Roman" w:hAnsi="Times New Roman" w:cs="Times New Roman"/>
          <w:color w:val="000000"/>
          <w:sz w:val="26"/>
          <w:szCs w:val="26"/>
        </w:rPr>
        <w:t xml:space="preserve">to </w:t>
      </w:r>
      <w:r w:rsidR="0039333F" w:rsidRPr="0039333F">
        <w:rPr>
          <w:rFonts w:ascii="Times New Roman" w:eastAsia="Times New Roman" w:hAnsi="Times New Roman" w:cs="Times New Roman"/>
          <w:color w:val="000000"/>
          <w:sz w:val="26"/>
          <w:szCs w:val="26"/>
        </w:rPr>
        <w:t xml:space="preserve">acquire </w:t>
      </w:r>
      <w:r w:rsidR="00CC521E">
        <w:rPr>
          <w:rFonts w:ascii="Times New Roman" w:eastAsia="Times New Roman" w:hAnsi="Times New Roman" w:cs="Times New Roman"/>
          <w:color w:val="000000"/>
          <w:sz w:val="26"/>
          <w:szCs w:val="26"/>
        </w:rPr>
        <w:t>Middlesex’s</w:t>
      </w:r>
      <w:r w:rsidR="00094947">
        <w:rPr>
          <w:rFonts w:ascii="Times New Roman" w:eastAsia="Times New Roman" w:hAnsi="Times New Roman" w:cs="Times New Roman"/>
          <w:color w:val="000000"/>
          <w:sz w:val="26"/>
          <w:szCs w:val="26"/>
        </w:rPr>
        <w:t xml:space="preserve"> poorly performing water </w:t>
      </w:r>
      <w:r w:rsidR="0039333F" w:rsidRPr="0039333F">
        <w:rPr>
          <w:rFonts w:ascii="Times New Roman" w:eastAsia="Times New Roman" w:hAnsi="Times New Roman" w:cs="Times New Roman"/>
          <w:color w:val="000000"/>
          <w:sz w:val="26"/>
          <w:szCs w:val="26"/>
        </w:rPr>
        <w:t xml:space="preserve">system </w:t>
      </w:r>
      <w:r w:rsidR="007E12FE">
        <w:rPr>
          <w:rFonts w:ascii="Times New Roman" w:eastAsia="Times New Roman" w:hAnsi="Times New Roman" w:cs="Times New Roman"/>
          <w:color w:val="000000"/>
          <w:sz w:val="26"/>
          <w:szCs w:val="26"/>
        </w:rPr>
        <w:t>despite Middlesex’s demonstrated</w:t>
      </w:r>
      <w:r w:rsidR="0039333F" w:rsidRPr="0039333F">
        <w:rPr>
          <w:rFonts w:ascii="Times New Roman" w:eastAsia="Times New Roman" w:hAnsi="Times New Roman" w:cs="Times New Roman"/>
          <w:color w:val="000000"/>
          <w:sz w:val="26"/>
          <w:szCs w:val="26"/>
        </w:rPr>
        <w:t xml:space="preserve"> financial, operational and managerial capa</w:t>
      </w:r>
      <w:r w:rsidR="00B2219E">
        <w:rPr>
          <w:rFonts w:ascii="Times New Roman" w:eastAsia="Times New Roman" w:hAnsi="Times New Roman" w:cs="Times New Roman"/>
          <w:color w:val="000000"/>
          <w:sz w:val="26"/>
          <w:szCs w:val="26"/>
        </w:rPr>
        <w:t xml:space="preserve">city to </w:t>
      </w:r>
      <w:r w:rsidR="00094947">
        <w:rPr>
          <w:rFonts w:ascii="Times New Roman" w:eastAsia="Times New Roman" w:hAnsi="Times New Roman" w:cs="Times New Roman"/>
          <w:color w:val="000000"/>
          <w:sz w:val="26"/>
          <w:szCs w:val="26"/>
        </w:rPr>
        <w:t>operate the Twin Lakes system</w:t>
      </w:r>
      <w:r w:rsidR="00B2219E" w:rsidRPr="00F2316F">
        <w:rPr>
          <w:rFonts w:ascii="Times New Roman" w:eastAsia="Times New Roman" w:hAnsi="Times New Roman" w:cs="Times New Roman"/>
          <w:color w:val="000000"/>
          <w:sz w:val="26"/>
          <w:szCs w:val="26"/>
        </w:rPr>
        <w:t>.</w:t>
      </w:r>
      <w:r w:rsidR="003A5A52" w:rsidRPr="00F2316F">
        <w:rPr>
          <w:rFonts w:ascii="Times New Roman" w:eastAsia="Times New Roman" w:hAnsi="Times New Roman" w:cs="Times New Roman"/>
          <w:color w:val="000000"/>
          <w:sz w:val="26"/>
          <w:szCs w:val="26"/>
        </w:rPr>
        <w:t xml:space="preserve">  </w:t>
      </w:r>
      <w:r w:rsidR="001C2F3F" w:rsidRPr="00F2316F">
        <w:rPr>
          <w:rFonts w:ascii="Times New Roman" w:eastAsia="Times New Roman" w:hAnsi="Times New Roman" w:cs="Times New Roman"/>
          <w:i/>
          <w:iCs/>
          <w:color w:val="000000"/>
          <w:sz w:val="26"/>
          <w:szCs w:val="26"/>
        </w:rPr>
        <w:t>Id.</w:t>
      </w:r>
      <w:r w:rsidR="003A5A52" w:rsidRPr="00F2316F">
        <w:rPr>
          <w:rFonts w:ascii="Times New Roman" w:eastAsia="Times New Roman" w:hAnsi="Times New Roman" w:cs="Times New Roman"/>
          <w:color w:val="000000"/>
          <w:sz w:val="26"/>
          <w:szCs w:val="26"/>
        </w:rPr>
        <w:t>,</w:t>
      </w:r>
      <w:r w:rsidR="003A5A52">
        <w:rPr>
          <w:rFonts w:ascii="Times New Roman" w:eastAsia="Times New Roman" w:hAnsi="Times New Roman" w:cs="Times New Roman"/>
          <w:color w:val="000000"/>
          <w:sz w:val="26"/>
          <w:szCs w:val="26"/>
        </w:rPr>
        <w:t xml:space="preserve"> citing</w:t>
      </w:r>
      <w:r w:rsidR="005B518C">
        <w:rPr>
          <w:rFonts w:ascii="Times New Roman" w:eastAsia="Times New Roman" w:hAnsi="Times New Roman" w:cs="Times New Roman"/>
          <w:color w:val="000000"/>
          <w:sz w:val="26"/>
          <w:szCs w:val="26"/>
        </w:rPr>
        <w:t xml:space="preserve">, </w:t>
      </w:r>
      <w:r w:rsidR="0039333F" w:rsidRPr="0039333F">
        <w:rPr>
          <w:rFonts w:ascii="Times New Roman" w:eastAsia="Times New Roman" w:hAnsi="Times New Roman" w:cs="Times New Roman"/>
          <w:color w:val="000000"/>
          <w:sz w:val="26"/>
          <w:szCs w:val="26"/>
        </w:rPr>
        <w:t xml:space="preserve">Aqua St. 2-R at 5.  </w:t>
      </w:r>
    </w:p>
    <w:p w14:paraId="28900E3E" w14:textId="77777777" w:rsidR="005B518C" w:rsidRDefault="005B518C" w:rsidP="0039333F">
      <w:pPr>
        <w:tabs>
          <w:tab w:val="left" w:pos="2691"/>
        </w:tabs>
        <w:spacing w:after="0" w:line="360" w:lineRule="auto"/>
        <w:ind w:firstLine="1440"/>
        <w:rPr>
          <w:rFonts w:ascii="Times New Roman" w:eastAsia="Times New Roman" w:hAnsi="Times New Roman" w:cs="Times New Roman"/>
          <w:color w:val="000000"/>
          <w:sz w:val="26"/>
          <w:szCs w:val="26"/>
        </w:rPr>
      </w:pPr>
    </w:p>
    <w:p w14:paraId="31E68510" w14:textId="654D33AA" w:rsidR="00306A05" w:rsidRDefault="00A47971" w:rsidP="0039333F">
      <w:pPr>
        <w:tabs>
          <w:tab w:val="left" w:pos="2691"/>
        </w:tabs>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Aqua argues that, </w:t>
      </w:r>
      <w:r w:rsidR="00F53072">
        <w:rPr>
          <w:rFonts w:ascii="Times New Roman" w:eastAsia="Times New Roman" w:hAnsi="Times New Roman" w:cs="Times New Roman"/>
          <w:color w:val="000000"/>
          <w:sz w:val="26"/>
          <w:szCs w:val="26"/>
        </w:rPr>
        <w:t xml:space="preserve">if </w:t>
      </w:r>
      <w:r w:rsidR="00CC521E">
        <w:rPr>
          <w:rFonts w:ascii="Times New Roman" w:eastAsia="Times New Roman" w:hAnsi="Times New Roman" w:cs="Times New Roman"/>
          <w:color w:val="000000"/>
          <w:sz w:val="26"/>
          <w:szCs w:val="26"/>
        </w:rPr>
        <w:t>Middlesex’s</w:t>
      </w:r>
      <w:r>
        <w:rPr>
          <w:rFonts w:ascii="Times New Roman" w:eastAsia="Times New Roman" w:hAnsi="Times New Roman" w:cs="Times New Roman"/>
          <w:color w:val="000000"/>
          <w:sz w:val="26"/>
          <w:szCs w:val="26"/>
        </w:rPr>
        <w:t xml:space="preserve"> imp</w:t>
      </w:r>
      <w:r w:rsidR="00F53072">
        <w:rPr>
          <w:rFonts w:ascii="Times New Roman" w:eastAsia="Times New Roman" w:hAnsi="Times New Roman" w:cs="Times New Roman"/>
          <w:color w:val="000000"/>
          <w:sz w:val="26"/>
          <w:szCs w:val="26"/>
        </w:rPr>
        <w:t xml:space="preserve">roper </w:t>
      </w:r>
      <w:r>
        <w:rPr>
          <w:rFonts w:ascii="Times New Roman" w:eastAsia="Times New Roman" w:hAnsi="Times New Roman" w:cs="Times New Roman"/>
          <w:color w:val="000000"/>
          <w:sz w:val="26"/>
          <w:szCs w:val="26"/>
        </w:rPr>
        <w:t xml:space="preserve">use of </w:t>
      </w:r>
      <w:r w:rsidR="00F53072">
        <w:rPr>
          <w:rFonts w:ascii="Times New Roman" w:eastAsia="Times New Roman" w:hAnsi="Times New Roman" w:cs="Times New Roman"/>
          <w:color w:val="000000"/>
          <w:sz w:val="26"/>
          <w:szCs w:val="26"/>
        </w:rPr>
        <w:t xml:space="preserve">the </w:t>
      </w:r>
      <w:r>
        <w:rPr>
          <w:rFonts w:ascii="Times New Roman" w:eastAsia="Times New Roman" w:hAnsi="Times New Roman" w:cs="Times New Roman"/>
          <w:color w:val="000000"/>
          <w:sz w:val="26"/>
          <w:szCs w:val="26"/>
        </w:rPr>
        <w:t>Section 529</w:t>
      </w:r>
      <w:r w:rsidR="00F53072">
        <w:rPr>
          <w:rFonts w:ascii="Times New Roman" w:eastAsia="Times New Roman" w:hAnsi="Times New Roman" w:cs="Times New Roman"/>
          <w:color w:val="000000"/>
          <w:sz w:val="26"/>
          <w:szCs w:val="26"/>
        </w:rPr>
        <w:t xml:space="preserve"> proceeding </w:t>
      </w:r>
      <w:r>
        <w:rPr>
          <w:rFonts w:ascii="Times New Roman" w:eastAsia="Times New Roman" w:hAnsi="Times New Roman" w:cs="Times New Roman"/>
          <w:color w:val="000000"/>
          <w:sz w:val="26"/>
          <w:szCs w:val="26"/>
        </w:rPr>
        <w:t>for financial advantage</w:t>
      </w:r>
      <w:r w:rsidR="0006447C">
        <w:rPr>
          <w:rFonts w:ascii="Times New Roman" w:eastAsia="Times New Roman" w:hAnsi="Times New Roman" w:cs="Times New Roman"/>
          <w:color w:val="000000"/>
          <w:sz w:val="26"/>
          <w:szCs w:val="26"/>
        </w:rPr>
        <w:t xml:space="preserve"> is </w:t>
      </w:r>
      <w:r w:rsidR="00E532C1">
        <w:rPr>
          <w:rFonts w:ascii="Times New Roman" w:eastAsia="Times New Roman" w:hAnsi="Times New Roman" w:cs="Times New Roman"/>
          <w:color w:val="000000"/>
          <w:sz w:val="26"/>
          <w:szCs w:val="26"/>
        </w:rPr>
        <w:t>approved</w:t>
      </w:r>
      <w:r>
        <w:rPr>
          <w:rFonts w:ascii="Times New Roman" w:eastAsia="Times New Roman" w:hAnsi="Times New Roman" w:cs="Times New Roman"/>
          <w:color w:val="000000"/>
          <w:sz w:val="26"/>
          <w:szCs w:val="26"/>
        </w:rPr>
        <w:t xml:space="preserve">, </w:t>
      </w:r>
      <w:r w:rsidR="00B26765">
        <w:rPr>
          <w:rFonts w:ascii="Times New Roman" w:eastAsia="Times New Roman" w:hAnsi="Times New Roman" w:cs="Times New Roman"/>
          <w:color w:val="000000"/>
          <w:sz w:val="26"/>
          <w:szCs w:val="26"/>
        </w:rPr>
        <w:t xml:space="preserve">Aqua, or any other potential acquiring public utility would </w:t>
      </w:r>
      <w:r w:rsidR="00B26765" w:rsidRPr="0006447C">
        <w:rPr>
          <w:rFonts w:ascii="Times New Roman" w:eastAsia="Times New Roman" w:hAnsi="Times New Roman" w:cs="Times New Roman"/>
          <w:color w:val="000000"/>
          <w:sz w:val="26"/>
          <w:szCs w:val="26"/>
        </w:rPr>
        <w:t xml:space="preserve">be </w:t>
      </w:r>
      <w:r w:rsidR="00B9587C" w:rsidRPr="0006447C">
        <w:rPr>
          <w:rFonts w:ascii="Times New Roman" w:eastAsia="Times New Roman" w:hAnsi="Times New Roman" w:cs="Times New Roman"/>
          <w:color w:val="000000"/>
          <w:sz w:val="26"/>
          <w:szCs w:val="26"/>
        </w:rPr>
        <w:t>“</w:t>
      </w:r>
      <w:r w:rsidR="00EA178B" w:rsidRPr="0006447C">
        <w:rPr>
          <w:rFonts w:ascii="Times New Roman" w:eastAsia="Times New Roman" w:hAnsi="Times New Roman" w:cs="Times New Roman"/>
          <w:color w:val="000000"/>
          <w:sz w:val="26"/>
          <w:szCs w:val="26"/>
        </w:rPr>
        <w:t xml:space="preserve">forced to pay more </w:t>
      </w:r>
      <w:r w:rsidR="0039333F" w:rsidRPr="0006447C">
        <w:rPr>
          <w:rFonts w:ascii="Times New Roman" w:eastAsia="Times New Roman" w:hAnsi="Times New Roman" w:cs="Times New Roman"/>
          <w:color w:val="000000"/>
          <w:sz w:val="26"/>
          <w:szCs w:val="26"/>
        </w:rPr>
        <w:t xml:space="preserve">than it otherwise would agree to pay based upon arms-length negotiations between the parties.”  </w:t>
      </w:r>
      <w:r w:rsidR="00D03C85" w:rsidRPr="0006447C">
        <w:rPr>
          <w:rFonts w:ascii="Times New Roman" w:eastAsia="Times New Roman" w:hAnsi="Times New Roman" w:cs="Times New Roman"/>
          <w:i/>
          <w:iCs/>
          <w:color w:val="000000"/>
          <w:sz w:val="26"/>
          <w:szCs w:val="26"/>
        </w:rPr>
        <w:t>Id</w:t>
      </w:r>
      <w:r w:rsidR="00D03C85" w:rsidRPr="0006447C">
        <w:rPr>
          <w:rFonts w:ascii="Times New Roman" w:eastAsia="Times New Roman" w:hAnsi="Times New Roman" w:cs="Times New Roman"/>
          <w:color w:val="000000"/>
          <w:sz w:val="26"/>
          <w:szCs w:val="26"/>
        </w:rPr>
        <w:t xml:space="preserve">. </w:t>
      </w:r>
    </w:p>
    <w:p w14:paraId="010ECBC4" w14:textId="77777777" w:rsidR="0006447C" w:rsidRPr="0006447C" w:rsidRDefault="0006447C" w:rsidP="0039333F">
      <w:pPr>
        <w:tabs>
          <w:tab w:val="left" w:pos="2691"/>
        </w:tabs>
        <w:spacing w:after="0" w:line="360" w:lineRule="auto"/>
        <w:ind w:firstLine="1440"/>
        <w:rPr>
          <w:rFonts w:ascii="Times New Roman" w:eastAsia="Times New Roman" w:hAnsi="Times New Roman" w:cs="Times New Roman"/>
          <w:color w:val="000000"/>
          <w:sz w:val="26"/>
          <w:szCs w:val="26"/>
        </w:rPr>
      </w:pPr>
    </w:p>
    <w:p w14:paraId="0C63AD2E" w14:textId="19B8F51B" w:rsidR="00BC4878" w:rsidRPr="00770120" w:rsidRDefault="00BC4878" w:rsidP="002B1A20">
      <w:pPr>
        <w:autoSpaceDE w:val="0"/>
        <w:autoSpaceDN w:val="0"/>
        <w:adjustRightInd w:val="0"/>
        <w:spacing w:after="0" w:line="360" w:lineRule="auto"/>
        <w:ind w:firstLine="1440"/>
        <w:rPr>
          <w:rFonts w:ascii="Times New Roman" w:eastAsia="Times New Roman" w:hAnsi="Times New Roman" w:cs="Times New Roman"/>
          <w:color w:val="000000"/>
          <w:sz w:val="26"/>
          <w:szCs w:val="26"/>
        </w:rPr>
      </w:pPr>
      <w:bookmarkStart w:id="11" w:name="_Hlk79917374"/>
      <w:r w:rsidRPr="00770120">
        <w:rPr>
          <w:rFonts w:ascii="Times New Roman" w:hAnsi="Times New Roman" w:cs="Times New Roman"/>
          <w:sz w:val="26"/>
          <w:szCs w:val="26"/>
        </w:rPr>
        <w:t>Aqua further argues that</w:t>
      </w:r>
      <w:r w:rsidR="00A21D77" w:rsidRPr="00770120">
        <w:rPr>
          <w:rFonts w:ascii="Times New Roman" w:hAnsi="Times New Roman" w:cs="Times New Roman"/>
          <w:sz w:val="26"/>
          <w:szCs w:val="26"/>
        </w:rPr>
        <w:t>, should the Commission conclude that the burden of proof is met to direct acquisition</w:t>
      </w:r>
      <w:r w:rsidR="00501212" w:rsidRPr="00770120">
        <w:rPr>
          <w:rFonts w:ascii="Times New Roman" w:hAnsi="Times New Roman" w:cs="Times New Roman"/>
          <w:sz w:val="26"/>
          <w:szCs w:val="26"/>
        </w:rPr>
        <w:t xml:space="preserve"> of Twin Lakes by Aqua </w:t>
      </w:r>
      <w:r w:rsidR="00A21D77" w:rsidRPr="00770120">
        <w:rPr>
          <w:rFonts w:ascii="Times New Roman" w:hAnsi="Times New Roman" w:cs="Times New Roman"/>
          <w:sz w:val="26"/>
          <w:szCs w:val="26"/>
        </w:rPr>
        <w:t xml:space="preserve">under Section 529, </w:t>
      </w:r>
      <w:r w:rsidR="0006447C" w:rsidRPr="00770120">
        <w:rPr>
          <w:rFonts w:ascii="Times New Roman" w:hAnsi="Times New Roman" w:cs="Times New Roman"/>
          <w:sz w:val="26"/>
          <w:szCs w:val="26"/>
        </w:rPr>
        <w:t xml:space="preserve">the Commission should also adopt the ALJ’s recommendation that </w:t>
      </w:r>
      <w:r w:rsidR="00A21D77" w:rsidRPr="00770120">
        <w:rPr>
          <w:rFonts w:ascii="Times New Roman" w:hAnsi="Times New Roman" w:cs="Times New Roman"/>
          <w:sz w:val="26"/>
          <w:szCs w:val="26"/>
        </w:rPr>
        <w:t>Middl</w:t>
      </w:r>
      <w:r w:rsidR="00E912B3" w:rsidRPr="00770120">
        <w:rPr>
          <w:rFonts w:ascii="Times New Roman" w:hAnsi="Times New Roman" w:cs="Times New Roman"/>
          <w:sz w:val="26"/>
          <w:szCs w:val="26"/>
        </w:rPr>
        <w:t>e</w:t>
      </w:r>
      <w:r w:rsidR="00A21D77" w:rsidRPr="00770120">
        <w:rPr>
          <w:rFonts w:ascii="Times New Roman" w:hAnsi="Times New Roman" w:cs="Times New Roman"/>
          <w:sz w:val="26"/>
          <w:szCs w:val="26"/>
        </w:rPr>
        <w:t>sex</w:t>
      </w:r>
      <w:r w:rsidRPr="00770120">
        <w:rPr>
          <w:rFonts w:ascii="Times New Roman" w:hAnsi="Times New Roman" w:cs="Times New Roman"/>
          <w:sz w:val="26"/>
          <w:szCs w:val="26"/>
        </w:rPr>
        <w:t xml:space="preserve"> be required to place $1.675 million in escrow to cover costs to repair the system </w:t>
      </w:r>
      <w:r w:rsidR="00525F87">
        <w:rPr>
          <w:rFonts w:ascii="Times New Roman" w:hAnsi="Times New Roman" w:cs="Times New Roman"/>
          <w:sz w:val="26"/>
          <w:szCs w:val="26"/>
        </w:rPr>
        <w:t xml:space="preserve">problems </w:t>
      </w:r>
      <w:r w:rsidR="00561C65">
        <w:rPr>
          <w:rFonts w:ascii="Times New Roman" w:hAnsi="Times New Roman" w:cs="Times New Roman"/>
          <w:sz w:val="26"/>
          <w:szCs w:val="26"/>
        </w:rPr>
        <w:t>which</w:t>
      </w:r>
      <w:r w:rsidR="00E708C5">
        <w:rPr>
          <w:rFonts w:ascii="Times New Roman" w:hAnsi="Times New Roman" w:cs="Times New Roman"/>
          <w:sz w:val="26"/>
          <w:szCs w:val="26"/>
        </w:rPr>
        <w:t xml:space="preserve"> were exacerbated </w:t>
      </w:r>
      <w:r w:rsidRPr="00770120">
        <w:rPr>
          <w:rFonts w:ascii="Times New Roman" w:hAnsi="Times New Roman" w:cs="Times New Roman"/>
          <w:sz w:val="26"/>
          <w:szCs w:val="26"/>
        </w:rPr>
        <w:t xml:space="preserve">during </w:t>
      </w:r>
      <w:r w:rsidR="00A21D77" w:rsidRPr="00770120">
        <w:rPr>
          <w:rFonts w:ascii="Times New Roman" w:hAnsi="Times New Roman" w:cs="Times New Roman"/>
          <w:sz w:val="26"/>
          <w:szCs w:val="26"/>
        </w:rPr>
        <w:t>Middl</w:t>
      </w:r>
      <w:r w:rsidR="00E912B3" w:rsidRPr="00770120">
        <w:rPr>
          <w:rFonts w:ascii="Times New Roman" w:hAnsi="Times New Roman" w:cs="Times New Roman"/>
          <w:sz w:val="26"/>
          <w:szCs w:val="26"/>
        </w:rPr>
        <w:t>e</w:t>
      </w:r>
      <w:r w:rsidR="00A21D77" w:rsidRPr="00770120">
        <w:rPr>
          <w:rFonts w:ascii="Times New Roman" w:hAnsi="Times New Roman" w:cs="Times New Roman"/>
          <w:sz w:val="26"/>
          <w:szCs w:val="26"/>
        </w:rPr>
        <w:t xml:space="preserve">sex’s ownership of </w:t>
      </w:r>
      <w:r w:rsidRPr="00770120">
        <w:rPr>
          <w:rFonts w:ascii="Times New Roman" w:hAnsi="Times New Roman" w:cs="Times New Roman"/>
          <w:sz w:val="26"/>
          <w:szCs w:val="26"/>
        </w:rPr>
        <w:t>Twin Lake</w:t>
      </w:r>
      <w:r w:rsidR="0006447C" w:rsidRPr="00770120">
        <w:rPr>
          <w:rFonts w:ascii="Times New Roman" w:hAnsi="Times New Roman" w:cs="Times New Roman"/>
          <w:sz w:val="26"/>
          <w:szCs w:val="26"/>
        </w:rPr>
        <w:t>s</w:t>
      </w:r>
      <w:r w:rsidRPr="00770120">
        <w:rPr>
          <w:rFonts w:ascii="Times New Roman" w:hAnsi="Times New Roman" w:cs="Times New Roman"/>
          <w:sz w:val="26"/>
          <w:szCs w:val="26"/>
        </w:rPr>
        <w:t>.</w:t>
      </w:r>
      <w:r w:rsidR="00E912B3" w:rsidRPr="00770120">
        <w:rPr>
          <w:rFonts w:ascii="Times New Roman" w:hAnsi="Times New Roman" w:cs="Times New Roman"/>
          <w:sz w:val="26"/>
          <w:szCs w:val="26"/>
        </w:rPr>
        <w:t xml:space="preserve">  </w:t>
      </w:r>
      <w:r w:rsidR="007B2917" w:rsidRPr="00770120">
        <w:rPr>
          <w:rFonts w:ascii="Times New Roman" w:hAnsi="Times New Roman" w:cs="Times New Roman"/>
          <w:sz w:val="26"/>
          <w:szCs w:val="26"/>
        </w:rPr>
        <w:t xml:space="preserve">Aqua explains that </w:t>
      </w:r>
      <w:r w:rsidR="00770120" w:rsidRPr="00770120">
        <w:rPr>
          <w:rFonts w:ascii="Times New Roman" w:eastAsia="Times New Roman" w:hAnsi="Times New Roman" w:cs="Times New Roman"/>
          <w:sz w:val="26"/>
          <w:szCs w:val="26"/>
        </w:rPr>
        <w:t>the proposed amount to be placed</w:t>
      </w:r>
      <w:r w:rsidR="00770120">
        <w:rPr>
          <w:rFonts w:ascii="Times New Roman" w:eastAsia="Times New Roman" w:hAnsi="Times New Roman" w:cs="Times New Roman"/>
          <w:sz w:val="26"/>
          <w:szCs w:val="26"/>
        </w:rPr>
        <w:t xml:space="preserve"> </w:t>
      </w:r>
      <w:r w:rsidR="00770120" w:rsidRPr="00770120">
        <w:rPr>
          <w:rFonts w:ascii="Times New Roman" w:eastAsia="Times New Roman" w:hAnsi="Times New Roman" w:cs="Times New Roman"/>
          <w:sz w:val="26"/>
          <w:szCs w:val="26"/>
        </w:rPr>
        <w:t xml:space="preserve">in escrow, </w:t>
      </w:r>
      <w:r w:rsidR="00770120" w:rsidRPr="00770120">
        <w:rPr>
          <w:rFonts w:ascii="Times New Roman" w:eastAsia="Times New Roman" w:hAnsi="Times New Roman" w:cs="Times New Roman"/>
          <w:i/>
          <w:iCs/>
          <w:sz w:val="26"/>
          <w:szCs w:val="26"/>
        </w:rPr>
        <w:t>i.e.</w:t>
      </w:r>
      <w:r w:rsidR="00770120" w:rsidRPr="00770120">
        <w:rPr>
          <w:rFonts w:ascii="Times New Roman" w:eastAsia="Times New Roman" w:hAnsi="Times New Roman" w:cs="Times New Roman"/>
          <w:sz w:val="26"/>
          <w:szCs w:val="26"/>
        </w:rPr>
        <w:t>, $1,675,000, represents “$304,573 of [a</w:t>
      </w:r>
      <w:r w:rsidR="00840140">
        <w:rPr>
          <w:rFonts w:ascii="Times New Roman" w:eastAsia="Times New Roman" w:hAnsi="Times New Roman" w:cs="Times New Roman"/>
          <w:sz w:val="26"/>
          <w:szCs w:val="26"/>
        </w:rPr>
        <w:t> </w:t>
      </w:r>
      <w:r w:rsidR="00770120" w:rsidRPr="00770120">
        <w:rPr>
          <w:rFonts w:ascii="Times New Roman" w:eastAsia="Times New Roman" w:hAnsi="Times New Roman" w:cs="Times New Roman"/>
          <w:sz w:val="26"/>
          <w:szCs w:val="26"/>
        </w:rPr>
        <w:t>PENNVEST] loan and an estimated</w:t>
      </w:r>
      <w:r w:rsidR="00BC4B53">
        <w:rPr>
          <w:rFonts w:ascii="Times New Roman" w:eastAsia="Times New Roman" w:hAnsi="Times New Roman" w:cs="Times New Roman"/>
          <w:sz w:val="26"/>
          <w:szCs w:val="26"/>
        </w:rPr>
        <w:t xml:space="preserve"> </w:t>
      </w:r>
      <w:r w:rsidR="00770120" w:rsidRPr="00770120">
        <w:rPr>
          <w:rFonts w:ascii="Times New Roman" w:eastAsia="Times New Roman" w:hAnsi="Times New Roman" w:cs="Times New Roman"/>
          <w:sz w:val="26"/>
          <w:szCs w:val="26"/>
        </w:rPr>
        <w:t>$1,358,000 of tax liability” associated with the PENNVEST grant.</w:t>
      </w:r>
      <w:r w:rsidR="001532D1">
        <w:rPr>
          <w:rFonts w:ascii="Times New Roman" w:eastAsia="Times New Roman" w:hAnsi="Times New Roman" w:cs="Times New Roman"/>
          <w:sz w:val="26"/>
          <w:szCs w:val="26"/>
        </w:rPr>
        <w:t xml:space="preserve"> </w:t>
      </w:r>
      <w:r w:rsidR="00770120" w:rsidRPr="00770120">
        <w:rPr>
          <w:rFonts w:ascii="Times New Roman" w:eastAsia="Times New Roman" w:hAnsi="Times New Roman" w:cs="Times New Roman"/>
          <w:sz w:val="26"/>
          <w:szCs w:val="26"/>
        </w:rPr>
        <w:t xml:space="preserve"> </w:t>
      </w:r>
      <w:r w:rsidRPr="00770120">
        <w:rPr>
          <w:rFonts w:ascii="Times New Roman" w:hAnsi="Times New Roman" w:cs="Times New Roman"/>
          <w:sz w:val="26"/>
          <w:szCs w:val="26"/>
        </w:rPr>
        <w:t>Aqua Exc</w:t>
      </w:r>
      <w:r w:rsidR="00A71C33" w:rsidRPr="00770120">
        <w:rPr>
          <w:rFonts w:ascii="Times New Roman" w:hAnsi="Times New Roman" w:cs="Times New Roman"/>
          <w:sz w:val="26"/>
          <w:szCs w:val="26"/>
        </w:rPr>
        <w:t>.</w:t>
      </w:r>
      <w:r w:rsidRPr="00770120">
        <w:rPr>
          <w:rFonts w:ascii="Times New Roman" w:hAnsi="Times New Roman" w:cs="Times New Roman"/>
          <w:sz w:val="26"/>
          <w:szCs w:val="26"/>
        </w:rPr>
        <w:t xml:space="preserve"> at 4</w:t>
      </w:r>
      <w:r w:rsidR="00CE20C1" w:rsidRPr="00CE20C1">
        <w:rPr>
          <w:rFonts w:ascii="Times New Roman" w:eastAsia="Times New Roman" w:hAnsi="Times New Roman" w:cs="Times New Roman"/>
          <w:sz w:val="26"/>
          <w:szCs w:val="26"/>
        </w:rPr>
        <w:t xml:space="preserve"> </w:t>
      </w:r>
      <w:r w:rsidR="00CE20C1">
        <w:rPr>
          <w:rFonts w:ascii="Times New Roman" w:eastAsia="Times New Roman" w:hAnsi="Times New Roman" w:cs="Times New Roman"/>
          <w:sz w:val="26"/>
          <w:szCs w:val="26"/>
        </w:rPr>
        <w:t xml:space="preserve">(citing </w:t>
      </w:r>
      <w:r w:rsidR="00CE20C1" w:rsidRPr="00770120">
        <w:rPr>
          <w:rFonts w:ascii="Times New Roman" w:eastAsia="Times New Roman" w:hAnsi="Times New Roman" w:cs="Times New Roman"/>
          <w:sz w:val="26"/>
          <w:szCs w:val="26"/>
        </w:rPr>
        <w:t>Aqua St. 2-R at 7-8</w:t>
      </w:r>
      <w:r w:rsidR="00CE20C1">
        <w:rPr>
          <w:rFonts w:ascii="Times New Roman" w:eastAsia="Times New Roman" w:hAnsi="Times New Roman" w:cs="Times New Roman"/>
          <w:sz w:val="26"/>
          <w:szCs w:val="26"/>
        </w:rPr>
        <w:t>)</w:t>
      </w:r>
      <w:r w:rsidRPr="00770120">
        <w:rPr>
          <w:rFonts w:ascii="Times New Roman" w:hAnsi="Times New Roman" w:cs="Times New Roman"/>
          <w:sz w:val="26"/>
          <w:szCs w:val="26"/>
        </w:rPr>
        <w:t>.</w:t>
      </w:r>
    </w:p>
    <w:bookmarkEnd w:id="11"/>
    <w:p w14:paraId="62BF40E3" w14:textId="77777777" w:rsidR="002E2C53" w:rsidRPr="00770120" w:rsidRDefault="002E2C53" w:rsidP="00770120">
      <w:pPr>
        <w:tabs>
          <w:tab w:val="left" w:pos="2691"/>
        </w:tabs>
        <w:spacing w:after="0" w:line="360" w:lineRule="auto"/>
        <w:ind w:firstLine="1440"/>
        <w:rPr>
          <w:rFonts w:ascii="Times New Roman" w:eastAsia="Times New Roman" w:hAnsi="Times New Roman" w:cs="Times New Roman"/>
          <w:color w:val="000000"/>
          <w:sz w:val="26"/>
          <w:szCs w:val="26"/>
        </w:rPr>
      </w:pPr>
    </w:p>
    <w:p w14:paraId="0E8950F7" w14:textId="503AE085" w:rsidR="00172209" w:rsidRPr="00172209" w:rsidRDefault="00023D83" w:rsidP="00EA45C5">
      <w:pPr>
        <w:tabs>
          <w:tab w:val="left" w:pos="2691"/>
        </w:tabs>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In </w:t>
      </w:r>
      <w:r w:rsidR="00F40B2A">
        <w:rPr>
          <w:rFonts w:ascii="Times New Roman" w:eastAsia="Times New Roman" w:hAnsi="Times New Roman" w:cs="Times New Roman"/>
          <w:color w:val="000000"/>
          <w:sz w:val="26"/>
          <w:szCs w:val="26"/>
        </w:rPr>
        <w:t>its Repli</w:t>
      </w:r>
      <w:r w:rsidR="00E04C0C">
        <w:rPr>
          <w:rFonts w:ascii="Times New Roman" w:eastAsia="Times New Roman" w:hAnsi="Times New Roman" w:cs="Times New Roman"/>
          <w:color w:val="000000"/>
          <w:sz w:val="26"/>
          <w:szCs w:val="26"/>
        </w:rPr>
        <w:t>es</w:t>
      </w:r>
      <w:r>
        <w:rPr>
          <w:rFonts w:ascii="Times New Roman" w:eastAsia="Times New Roman" w:hAnsi="Times New Roman" w:cs="Times New Roman"/>
          <w:color w:val="000000"/>
          <w:sz w:val="26"/>
          <w:szCs w:val="26"/>
        </w:rPr>
        <w:t xml:space="preserve"> to Aqua’s Exception </w:t>
      </w:r>
      <w:r w:rsidR="00E0347C">
        <w:rPr>
          <w:rFonts w:ascii="Times New Roman" w:eastAsia="Times New Roman" w:hAnsi="Times New Roman" w:cs="Times New Roman"/>
          <w:color w:val="000000"/>
          <w:sz w:val="26"/>
          <w:szCs w:val="26"/>
        </w:rPr>
        <w:t xml:space="preserve">No. 1, </w:t>
      </w:r>
      <w:r>
        <w:rPr>
          <w:rFonts w:ascii="Times New Roman" w:eastAsia="Times New Roman" w:hAnsi="Times New Roman" w:cs="Times New Roman"/>
          <w:color w:val="000000"/>
          <w:sz w:val="26"/>
          <w:szCs w:val="26"/>
        </w:rPr>
        <w:t xml:space="preserve">Twin </w:t>
      </w:r>
      <w:r w:rsidR="0006447C">
        <w:rPr>
          <w:rFonts w:ascii="Times New Roman" w:eastAsia="Times New Roman" w:hAnsi="Times New Roman" w:cs="Times New Roman"/>
          <w:color w:val="000000"/>
          <w:sz w:val="26"/>
          <w:szCs w:val="26"/>
        </w:rPr>
        <w:t>L</w:t>
      </w:r>
      <w:r>
        <w:rPr>
          <w:rFonts w:ascii="Times New Roman" w:eastAsia="Times New Roman" w:hAnsi="Times New Roman" w:cs="Times New Roman"/>
          <w:color w:val="000000"/>
          <w:sz w:val="26"/>
          <w:szCs w:val="26"/>
        </w:rPr>
        <w:t>akes</w:t>
      </w:r>
      <w:r w:rsidR="00E0347C">
        <w:rPr>
          <w:rFonts w:ascii="Times New Roman" w:eastAsia="Times New Roman" w:hAnsi="Times New Roman" w:cs="Times New Roman"/>
          <w:color w:val="000000"/>
          <w:sz w:val="26"/>
          <w:szCs w:val="26"/>
        </w:rPr>
        <w:t xml:space="preserve"> reiterate</w:t>
      </w:r>
      <w:r w:rsidR="00E04C0C">
        <w:rPr>
          <w:rFonts w:ascii="Times New Roman" w:eastAsia="Times New Roman" w:hAnsi="Times New Roman" w:cs="Times New Roman"/>
          <w:color w:val="000000"/>
          <w:sz w:val="26"/>
          <w:szCs w:val="26"/>
        </w:rPr>
        <w:t>s its</w:t>
      </w:r>
      <w:r w:rsidR="00E0347C">
        <w:rPr>
          <w:rFonts w:ascii="Times New Roman" w:eastAsia="Times New Roman" w:hAnsi="Times New Roman" w:cs="Times New Roman"/>
          <w:color w:val="000000"/>
          <w:sz w:val="26"/>
          <w:szCs w:val="26"/>
        </w:rPr>
        <w:t xml:space="preserve"> arguments raised before the ALJ.  Specifically, </w:t>
      </w:r>
      <w:r w:rsidR="0032035B">
        <w:rPr>
          <w:rFonts w:ascii="Times New Roman" w:eastAsia="Times New Roman" w:hAnsi="Times New Roman" w:cs="Times New Roman"/>
          <w:color w:val="000000"/>
          <w:sz w:val="26"/>
          <w:szCs w:val="26"/>
        </w:rPr>
        <w:t xml:space="preserve">Twin Lakes argues that </w:t>
      </w:r>
      <w:r w:rsidR="00ED1565">
        <w:rPr>
          <w:rFonts w:ascii="Times New Roman" w:eastAsia="Times New Roman" w:hAnsi="Times New Roman" w:cs="Times New Roman"/>
          <w:color w:val="000000"/>
          <w:sz w:val="26"/>
          <w:szCs w:val="26"/>
        </w:rPr>
        <w:t>substantia</w:t>
      </w:r>
      <w:r w:rsidR="003B098D">
        <w:rPr>
          <w:rFonts w:ascii="Times New Roman" w:eastAsia="Times New Roman" w:hAnsi="Times New Roman" w:cs="Times New Roman"/>
          <w:color w:val="000000"/>
          <w:sz w:val="26"/>
          <w:szCs w:val="26"/>
        </w:rPr>
        <w:t xml:space="preserve">l </w:t>
      </w:r>
      <w:r w:rsidR="00ED1565">
        <w:rPr>
          <w:rFonts w:ascii="Times New Roman" w:eastAsia="Times New Roman" w:hAnsi="Times New Roman" w:cs="Times New Roman"/>
          <w:color w:val="000000"/>
          <w:sz w:val="26"/>
          <w:szCs w:val="26"/>
        </w:rPr>
        <w:t xml:space="preserve">evidence supports the ALJ’s recommendation </w:t>
      </w:r>
      <w:r w:rsidR="00CA4A72" w:rsidRPr="003B098D">
        <w:rPr>
          <w:rFonts w:ascii="Times New Roman" w:eastAsia="Times New Roman" w:hAnsi="Times New Roman" w:cs="Times New Roman"/>
          <w:color w:val="000000"/>
          <w:sz w:val="26"/>
          <w:szCs w:val="26"/>
        </w:rPr>
        <w:t xml:space="preserve">that </w:t>
      </w:r>
      <w:r w:rsidR="001664CF" w:rsidRPr="003B098D">
        <w:rPr>
          <w:rFonts w:ascii="Times New Roman" w:eastAsia="Times New Roman" w:hAnsi="Times New Roman" w:cs="Times New Roman"/>
          <w:color w:val="000000"/>
          <w:sz w:val="26"/>
          <w:szCs w:val="26"/>
        </w:rPr>
        <w:t>Twin Lakes has satisfied all necessary elements of Section 529 an</w:t>
      </w:r>
      <w:r w:rsidR="00CA4A72" w:rsidRPr="003B098D">
        <w:rPr>
          <w:rFonts w:ascii="Times New Roman" w:eastAsia="Times New Roman" w:hAnsi="Times New Roman" w:cs="Times New Roman"/>
          <w:color w:val="000000"/>
          <w:sz w:val="26"/>
          <w:szCs w:val="26"/>
        </w:rPr>
        <w:t>d properly found that Aqua</w:t>
      </w:r>
      <w:r w:rsidR="001664CF" w:rsidRPr="003B098D">
        <w:rPr>
          <w:rFonts w:ascii="Times New Roman" w:eastAsia="Times New Roman" w:hAnsi="Times New Roman" w:cs="Times New Roman"/>
          <w:color w:val="000000"/>
          <w:sz w:val="26"/>
          <w:szCs w:val="26"/>
        </w:rPr>
        <w:t xml:space="preserve"> should be </w:t>
      </w:r>
      <w:r w:rsidR="00CA4A72" w:rsidRPr="003B098D">
        <w:rPr>
          <w:rFonts w:ascii="Times New Roman" w:eastAsia="Times New Roman" w:hAnsi="Times New Roman" w:cs="Times New Roman"/>
          <w:color w:val="000000"/>
          <w:sz w:val="26"/>
          <w:szCs w:val="26"/>
        </w:rPr>
        <w:t xml:space="preserve">directed </w:t>
      </w:r>
      <w:r w:rsidR="001664CF" w:rsidRPr="003B098D">
        <w:rPr>
          <w:rFonts w:ascii="Times New Roman" w:eastAsia="Times New Roman" w:hAnsi="Times New Roman" w:cs="Times New Roman"/>
          <w:color w:val="000000"/>
          <w:sz w:val="26"/>
          <w:szCs w:val="26"/>
        </w:rPr>
        <w:t>to acquire the Twin Lakes system.</w:t>
      </w:r>
      <w:r w:rsidR="00132802" w:rsidRPr="003B098D">
        <w:rPr>
          <w:rFonts w:ascii="Times New Roman" w:eastAsia="Times New Roman" w:hAnsi="Times New Roman" w:cs="Times New Roman"/>
          <w:color w:val="000000"/>
          <w:sz w:val="26"/>
          <w:szCs w:val="26"/>
        </w:rPr>
        <w:t xml:space="preserve">  </w:t>
      </w:r>
      <w:r w:rsidR="00CA4A72" w:rsidRPr="003B098D">
        <w:rPr>
          <w:rFonts w:ascii="Times New Roman" w:eastAsia="Times New Roman" w:hAnsi="Times New Roman" w:cs="Times New Roman"/>
          <w:color w:val="000000"/>
          <w:sz w:val="26"/>
          <w:szCs w:val="26"/>
        </w:rPr>
        <w:t xml:space="preserve">Twin Lakes further asserts that the plain language of </w:t>
      </w:r>
      <w:r w:rsidR="00C24EDE" w:rsidRPr="003B098D">
        <w:rPr>
          <w:rFonts w:ascii="Times New Roman" w:eastAsia="Times New Roman" w:hAnsi="Times New Roman" w:cs="Times New Roman"/>
          <w:color w:val="000000"/>
          <w:sz w:val="26"/>
          <w:szCs w:val="26"/>
        </w:rPr>
        <w:t xml:space="preserve">Section 529 and the record in this proceeding provide no support for </w:t>
      </w:r>
      <w:r w:rsidR="001664CF" w:rsidRPr="003B098D">
        <w:rPr>
          <w:rFonts w:ascii="Times New Roman" w:eastAsia="Times New Roman" w:hAnsi="Times New Roman" w:cs="Times New Roman"/>
          <w:color w:val="000000"/>
          <w:sz w:val="26"/>
          <w:szCs w:val="26"/>
        </w:rPr>
        <w:t xml:space="preserve">Aqua’s argument that </w:t>
      </w:r>
      <w:r w:rsidR="002F22C6" w:rsidRPr="003B098D">
        <w:rPr>
          <w:rFonts w:ascii="Times New Roman" w:eastAsia="Times New Roman" w:hAnsi="Times New Roman" w:cs="Times New Roman"/>
          <w:color w:val="000000"/>
          <w:sz w:val="26"/>
          <w:szCs w:val="26"/>
        </w:rPr>
        <w:t xml:space="preserve">Twin Lakes is </w:t>
      </w:r>
      <w:r w:rsidR="00E01EBB" w:rsidRPr="003B098D">
        <w:rPr>
          <w:rFonts w:ascii="Times New Roman" w:eastAsia="Times New Roman" w:hAnsi="Times New Roman" w:cs="Times New Roman"/>
          <w:color w:val="000000"/>
          <w:sz w:val="26"/>
          <w:szCs w:val="26"/>
        </w:rPr>
        <w:t>utilizing a Section 529</w:t>
      </w:r>
      <w:r w:rsidR="001664CF" w:rsidRPr="003B098D">
        <w:rPr>
          <w:rFonts w:ascii="Times New Roman" w:eastAsia="Times New Roman" w:hAnsi="Times New Roman" w:cs="Times New Roman"/>
          <w:color w:val="000000"/>
          <w:sz w:val="26"/>
          <w:szCs w:val="26"/>
        </w:rPr>
        <w:t xml:space="preserve"> proceeding for any “improper purpose.”</w:t>
      </w:r>
      <w:r w:rsidR="00EA45C5">
        <w:rPr>
          <w:rFonts w:ascii="Times New Roman" w:eastAsia="Times New Roman" w:hAnsi="Times New Roman" w:cs="Times New Roman"/>
          <w:color w:val="000000"/>
          <w:sz w:val="26"/>
          <w:szCs w:val="26"/>
        </w:rPr>
        <w:t xml:space="preserve">  </w:t>
      </w:r>
      <w:r w:rsidR="00172209" w:rsidRPr="00172209">
        <w:rPr>
          <w:rFonts w:ascii="Times New Roman" w:eastAsia="Times New Roman" w:hAnsi="Times New Roman" w:cs="Times New Roman"/>
          <w:color w:val="000000"/>
          <w:sz w:val="26"/>
          <w:szCs w:val="26"/>
        </w:rPr>
        <w:t>Twin Lakes R.</w:t>
      </w:r>
      <w:r w:rsidR="00033B3A">
        <w:rPr>
          <w:rFonts w:ascii="Times New Roman" w:eastAsia="Times New Roman" w:hAnsi="Times New Roman" w:cs="Times New Roman"/>
          <w:color w:val="000000"/>
          <w:sz w:val="26"/>
          <w:szCs w:val="26"/>
        </w:rPr>
        <w:t> </w:t>
      </w:r>
      <w:r w:rsidR="00172209" w:rsidRPr="00172209">
        <w:rPr>
          <w:rFonts w:ascii="Times New Roman" w:eastAsia="Times New Roman" w:hAnsi="Times New Roman" w:cs="Times New Roman"/>
          <w:color w:val="000000"/>
          <w:sz w:val="26"/>
          <w:szCs w:val="26"/>
        </w:rPr>
        <w:t>Exc. at</w:t>
      </w:r>
      <w:r w:rsidR="007D5E45" w:rsidRPr="007D5E45">
        <w:rPr>
          <w:rFonts w:ascii="Times New Roman" w:eastAsia="Times New Roman" w:hAnsi="Times New Roman" w:cs="Times New Roman"/>
          <w:color w:val="000000"/>
          <w:sz w:val="26"/>
          <w:szCs w:val="26"/>
        </w:rPr>
        <w:t xml:space="preserve"> 3-5</w:t>
      </w:r>
      <w:r w:rsidR="00B4410C">
        <w:rPr>
          <w:rFonts w:ascii="Times New Roman" w:eastAsia="Times New Roman" w:hAnsi="Times New Roman" w:cs="Times New Roman"/>
          <w:color w:val="000000"/>
          <w:sz w:val="26"/>
          <w:szCs w:val="26"/>
        </w:rPr>
        <w:t>,</w:t>
      </w:r>
      <w:r w:rsidR="00A47C66">
        <w:rPr>
          <w:rFonts w:ascii="Times New Roman" w:eastAsia="Times New Roman" w:hAnsi="Times New Roman" w:cs="Times New Roman"/>
          <w:color w:val="000000"/>
          <w:sz w:val="26"/>
          <w:szCs w:val="26"/>
        </w:rPr>
        <w:t xml:space="preserve"> </w:t>
      </w:r>
      <w:r w:rsidR="00EA45C5" w:rsidRPr="007D5E45">
        <w:rPr>
          <w:rFonts w:ascii="Times New Roman" w:eastAsia="Times New Roman" w:hAnsi="Times New Roman" w:cs="Times New Roman"/>
          <w:color w:val="000000"/>
          <w:sz w:val="26"/>
          <w:szCs w:val="26"/>
        </w:rPr>
        <w:t>citing</w:t>
      </w:r>
      <w:r w:rsidR="00EA45C5">
        <w:rPr>
          <w:rFonts w:ascii="Times New Roman" w:eastAsia="Times New Roman" w:hAnsi="Times New Roman" w:cs="Times New Roman"/>
          <w:color w:val="000000"/>
          <w:sz w:val="26"/>
          <w:szCs w:val="26"/>
        </w:rPr>
        <w:t xml:space="preserve"> </w:t>
      </w:r>
      <w:r w:rsidR="00172209" w:rsidRPr="00172209">
        <w:rPr>
          <w:rFonts w:ascii="Times New Roman" w:eastAsia="Times New Roman" w:hAnsi="Times New Roman" w:cs="Times New Roman"/>
          <w:color w:val="000000"/>
          <w:sz w:val="26"/>
          <w:szCs w:val="26"/>
        </w:rPr>
        <w:t xml:space="preserve">Twin Lakes M.B. at 28-48.  On this basis, Twin Lakes asserts that Aqua’s Exceptions should be rejected. </w:t>
      </w:r>
    </w:p>
    <w:p w14:paraId="44F3C376" w14:textId="77777777" w:rsidR="00172209" w:rsidRPr="00172209" w:rsidRDefault="00172209" w:rsidP="00172209">
      <w:pPr>
        <w:tabs>
          <w:tab w:val="left" w:pos="2691"/>
        </w:tabs>
        <w:spacing w:after="0" w:line="360" w:lineRule="auto"/>
        <w:ind w:firstLine="1440"/>
        <w:rPr>
          <w:rFonts w:ascii="Times New Roman" w:eastAsia="Times New Roman" w:hAnsi="Times New Roman" w:cs="Times New Roman"/>
          <w:color w:val="000000"/>
          <w:sz w:val="26"/>
          <w:szCs w:val="26"/>
        </w:rPr>
      </w:pPr>
    </w:p>
    <w:p w14:paraId="569E5464" w14:textId="52CCD0AC" w:rsidR="00172209" w:rsidRPr="00172209" w:rsidRDefault="00172209" w:rsidP="00172209">
      <w:pPr>
        <w:tabs>
          <w:tab w:val="left" w:pos="2691"/>
        </w:tabs>
        <w:spacing w:after="0" w:line="360" w:lineRule="auto"/>
        <w:ind w:firstLine="1440"/>
        <w:rPr>
          <w:rFonts w:ascii="Times New Roman" w:eastAsia="Times New Roman" w:hAnsi="Times New Roman" w:cs="Times New Roman"/>
          <w:color w:val="000000"/>
          <w:sz w:val="26"/>
          <w:szCs w:val="26"/>
        </w:rPr>
      </w:pPr>
      <w:r w:rsidRPr="00172209">
        <w:rPr>
          <w:rFonts w:ascii="Times New Roman" w:eastAsia="Times New Roman" w:hAnsi="Times New Roman" w:cs="Times New Roman"/>
          <w:color w:val="000000"/>
          <w:sz w:val="26"/>
          <w:szCs w:val="26"/>
        </w:rPr>
        <w:t>Twin Lakes disputes Aqua’s assertion</w:t>
      </w:r>
      <w:r w:rsidR="00B47D60">
        <w:rPr>
          <w:rFonts w:ascii="Times New Roman" w:eastAsia="Times New Roman" w:hAnsi="Times New Roman" w:cs="Times New Roman"/>
          <w:color w:val="000000"/>
          <w:sz w:val="26"/>
          <w:szCs w:val="26"/>
        </w:rPr>
        <w:t>,</w:t>
      </w:r>
      <w:r w:rsidRPr="00172209">
        <w:rPr>
          <w:rFonts w:ascii="Times New Roman" w:eastAsia="Times New Roman" w:hAnsi="Times New Roman" w:cs="Times New Roman"/>
          <w:color w:val="000000"/>
          <w:sz w:val="26"/>
          <w:szCs w:val="26"/>
        </w:rPr>
        <w:t xml:space="preserve"> that this proceeding is an improper use of Section 529</w:t>
      </w:r>
      <w:r w:rsidR="004D5351">
        <w:rPr>
          <w:rFonts w:ascii="Times New Roman" w:eastAsia="Times New Roman" w:hAnsi="Times New Roman" w:cs="Times New Roman"/>
          <w:color w:val="000000"/>
          <w:sz w:val="26"/>
          <w:szCs w:val="26"/>
        </w:rPr>
        <w:t>,</w:t>
      </w:r>
      <w:r w:rsidRPr="00172209">
        <w:rPr>
          <w:rFonts w:ascii="Times New Roman" w:eastAsia="Times New Roman" w:hAnsi="Times New Roman" w:cs="Times New Roman"/>
          <w:color w:val="000000"/>
          <w:sz w:val="26"/>
          <w:szCs w:val="26"/>
        </w:rPr>
        <w:t xml:space="preserve"> as unfounded.  Twin Lakes asserts that the underlying premise of Aqua’s position, that acquisition of the small water company under Section 529 should only </w:t>
      </w:r>
      <w:r w:rsidR="00CB2C53">
        <w:rPr>
          <w:rFonts w:ascii="Times New Roman" w:eastAsia="Times New Roman" w:hAnsi="Times New Roman" w:cs="Times New Roman"/>
          <w:color w:val="000000"/>
          <w:sz w:val="26"/>
          <w:szCs w:val="26"/>
        </w:rPr>
        <w:t xml:space="preserve">be </w:t>
      </w:r>
      <w:r w:rsidRPr="00172209">
        <w:rPr>
          <w:rFonts w:ascii="Times New Roman" w:eastAsia="Times New Roman" w:hAnsi="Times New Roman" w:cs="Times New Roman"/>
          <w:color w:val="000000"/>
          <w:sz w:val="26"/>
          <w:szCs w:val="26"/>
        </w:rPr>
        <w:t xml:space="preserve">directed by the Commission where the small water company’s provision of service is “jeopardized by the </w:t>
      </w:r>
      <w:r w:rsidRPr="00172209">
        <w:rPr>
          <w:rFonts w:ascii="Times New Roman" w:eastAsia="Times New Roman" w:hAnsi="Times New Roman" w:cs="Times New Roman"/>
          <w:i/>
          <w:iCs/>
          <w:color w:val="000000"/>
          <w:sz w:val="26"/>
          <w:szCs w:val="26"/>
        </w:rPr>
        <w:t>owner’s inability to run the system</w:t>
      </w:r>
      <w:r w:rsidRPr="00172209">
        <w:rPr>
          <w:rFonts w:ascii="Times New Roman" w:eastAsia="Times New Roman" w:hAnsi="Times New Roman" w:cs="Times New Roman"/>
          <w:color w:val="000000"/>
          <w:sz w:val="26"/>
          <w:szCs w:val="26"/>
        </w:rPr>
        <w:t xml:space="preserve"> or </w:t>
      </w:r>
      <w:r w:rsidRPr="00172209">
        <w:rPr>
          <w:rFonts w:ascii="Times New Roman" w:eastAsia="Times New Roman" w:hAnsi="Times New Roman" w:cs="Times New Roman"/>
          <w:i/>
          <w:iCs/>
          <w:color w:val="000000"/>
          <w:sz w:val="26"/>
          <w:szCs w:val="26"/>
        </w:rPr>
        <w:t>lack of an owner</w:t>
      </w:r>
      <w:r w:rsidRPr="00172209">
        <w:rPr>
          <w:rFonts w:ascii="Times New Roman" w:eastAsia="Times New Roman" w:hAnsi="Times New Roman" w:cs="Times New Roman"/>
          <w:color w:val="000000"/>
          <w:sz w:val="26"/>
          <w:szCs w:val="26"/>
        </w:rPr>
        <w:t xml:space="preserve"> to do so,” is fundamentally flawed where Section 529 states no such criteria.  </w:t>
      </w:r>
      <w:r w:rsidR="00A47C66" w:rsidRPr="00A47C66">
        <w:rPr>
          <w:rFonts w:ascii="Times New Roman" w:eastAsia="Times New Roman" w:hAnsi="Times New Roman" w:cs="Times New Roman"/>
          <w:i/>
          <w:iCs/>
          <w:color w:val="000000"/>
          <w:sz w:val="26"/>
          <w:szCs w:val="26"/>
        </w:rPr>
        <w:t>Id</w:t>
      </w:r>
      <w:r w:rsidR="00A47C66" w:rsidRPr="00A47C66">
        <w:rPr>
          <w:rFonts w:ascii="Times New Roman" w:eastAsia="Times New Roman" w:hAnsi="Times New Roman" w:cs="Times New Roman"/>
          <w:color w:val="000000"/>
          <w:sz w:val="26"/>
          <w:szCs w:val="26"/>
        </w:rPr>
        <w:t>.</w:t>
      </w:r>
      <w:r w:rsidRPr="00172209">
        <w:rPr>
          <w:rFonts w:ascii="Times New Roman" w:eastAsia="Times New Roman" w:hAnsi="Times New Roman" w:cs="Times New Roman"/>
          <w:color w:val="000000"/>
          <w:sz w:val="26"/>
          <w:szCs w:val="26"/>
        </w:rPr>
        <w:t>, citing</w:t>
      </w:r>
      <w:r w:rsidR="00A47C66">
        <w:rPr>
          <w:rFonts w:ascii="Times New Roman" w:eastAsia="Times New Roman" w:hAnsi="Times New Roman" w:cs="Times New Roman"/>
          <w:color w:val="000000"/>
          <w:sz w:val="26"/>
          <w:szCs w:val="26"/>
        </w:rPr>
        <w:t>,</w:t>
      </w:r>
      <w:r w:rsidRPr="00172209">
        <w:rPr>
          <w:rFonts w:ascii="Times New Roman" w:eastAsia="Times New Roman" w:hAnsi="Times New Roman" w:cs="Times New Roman"/>
          <w:color w:val="000000"/>
          <w:sz w:val="26"/>
          <w:szCs w:val="26"/>
        </w:rPr>
        <w:t xml:space="preserve"> Aqua Exc. at 2; Aqua St. 2-R at 4.  Twin Lakes notes that the fact that Twin Lakes has an “owner</w:t>
      </w:r>
      <w:r w:rsidR="00CB2C53">
        <w:rPr>
          <w:rFonts w:ascii="Times New Roman" w:eastAsia="Times New Roman" w:hAnsi="Times New Roman" w:cs="Times New Roman"/>
          <w:color w:val="000000"/>
          <w:sz w:val="26"/>
          <w:szCs w:val="26"/>
        </w:rPr>
        <w:t>,</w:t>
      </w:r>
      <w:r w:rsidRPr="00172209">
        <w:rPr>
          <w:rFonts w:ascii="Times New Roman" w:eastAsia="Times New Roman" w:hAnsi="Times New Roman" w:cs="Times New Roman"/>
          <w:color w:val="000000"/>
          <w:sz w:val="26"/>
          <w:szCs w:val="26"/>
        </w:rPr>
        <w:t>” a corporate parent company, with adequate financial resources to run the water system does not negate the fact that the requirements for approval of acquisition under Section 529 have be</w:t>
      </w:r>
      <w:r w:rsidR="00FE3A68">
        <w:rPr>
          <w:rFonts w:ascii="Times New Roman" w:eastAsia="Times New Roman" w:hAnsi="Times New Roman" w:cs="Times New Roman"/>
          <w:color w:val="000000"/>
          <w:sz w:val="26"/>
          <w:szCs w:val="26"/>
        </w:rPr>
        <w:t>e</w:t>
      </w:r>
      <w:r w:rsidRPr="00172209">
        <w:rPr>
          <w:rFonts w:ascii="Times New Roman" w:eastAsia="Times New Roman" w:hAnsi="Times New Roman" w:cs="Times New Roman"/>
          <w:color w:val="000000"/>
          <w:sz w:val="26"/>
          <w:szCs w:val="26"/>
        </w:rPr>
        <w:t xml:space="preserve">n satisfied in the present circumstances.  </w:t>
      </w:r>
      <w:r w:rsidRPr="00172209">
        <w:rPr>
          <w:rFonts w:ascii="Times New Roman" w:eastAsia="Times New Roman" w:hAnsi="Times New Roman" w:cs="Times New Roman"/>
          <w:i/>
          <w:iCs/>
          <w:color w:val="000000"/>
          <w:sz w:val="26"/>
          <w:szCs w:val="26"/>
        </w:rPr>
        <w:t>Id</w:t>
      </w:r>
      <w:r w:rsidRPr="00172209">
        <w:rPr>
          <w:rFonts w:ascii="Times New Roman" w:eastAsia="Times New Roman" w:hAnsi="Times New Roman" w:cs="Times New Roman"/>
          <w:color w:val="000000"/>
          <w:sz w:val="26"/>
          <w:szCs w:val="26"/>
        </w:rPr>
        <w:t xml:space="preserve">. </w:t>
      </w:r>
    </w:p>
    <w:p w14:paraId="131867F5" w14:textId="77777777" w:rsidR="00172209" w:rsidRPr="00172209" w:rsidRDefault="00172209" w:rsidP="00172209">
      <w:pPr>
        <w:tabs>
          <w:tab w:val="left" w:pos="2691"/>
        </w:tabs>
        <w:spacing w:after="0" w:line="360" w:lineRule="auto"/>
        <w:ind w:firstLine="1440"/>
        <w:rPr>
          <w:rFonts w:ascii="Times New Roman" w:eastAsia="Times New Roman" w:hAnsi="Times New Roman" w:cs="Times New Roman"/>
          <w:color w:val="000000"/>
          <w:sz w:val="26"/>
          <w:szCs w:val="26"/>
        </w:rPr>
      </w:pPr>
    </w:p>
    <w:p w14:paraId="2A58DD80" w14:textId="4A427C6A" w:rsidR="00172209" w:rsidRPr="00172209" w:rsidRDefault="00172209" w:rsidP="00172209">
      <w:pPr>
        <w:tabs>
          <w:tab w:val="left" w:pos="2691"/>
        </w:tabs>
        <w:spacing w:after="0" w:line="360" w:lineRule="auto"/>
        <w:ind w:firstLine="1440"/>
        <w:rPr>
          <w:rFonts w:ascii="Times New Roman" w:eastAsia="Times New Roman" w:hAnsi="Times New Roman" w:cs="Times New Roman"/>
          <w:color w:val="000000"/>
          <w:sz w:val="26"/>
          <w:szCs w:val="26"/>
        </w:rPr>
      </w:pPr>
      <w:r w:rsidRPr="00172209">
        <w:rPr>
          <w:rFonts w:ascii="Times New Roman" w:eastAsia="Times New Roman" w:hAnsi="Times New Roman" w:cs="Times New Roman"/>
          <w:color w:val="000000"/>
          <w:sz w:val="26"/>
          <w:szCs w:val="26"/>
        </w:rPr>
        <w:t xml:space="preserve">Twin Lakes asserts that the text of Section 529 does not limit the section’s application to small water utilities that lack an owner or whose owner has a complete inability to operate the system. </w:t>
      </w:r>
      <w:r w:rsidR="00F41AE5">
        <w:rPr>
          <w:rFonts w:ascii="Times New Roman" w:eastAsia="Times New Roman" w:hAnsi="Times New Roman" w:cs="Times New Roman"/>
          <w:color w:val="000000"/>
          <w:sz w:val="26"/>
          <w:szCs w:val="26"/>
        </w:rPr>
        <w:t xml:space="preserve"> </w:t>
      </w:r>
      <w:r w:rsidRPr="00172209">
        <w:rPr>
          <w:rFonts w:ascii="Times New Roman" w:eastAsia="Times New Roman" w:hAnsi="Times New Roman" w:cs="Times New Roman"/>
          <w:color w:val="000000"/>
          <w:sz w:val="26"/>
          <w:szCs w:val="26"/>
        </w:rPr>
        <w:t xml:space="preserve">To the contrary, </w:t>
      </w:r>
      <w:r w:rsidR="001D372F">
        <w:rPr>
          <w:rFonts w:ascii="Times New Roman" w:eastAsia="Times New Roman" w:hAnsi="Times New Roman" w:cs="Times New Roman"/>
          <w:color w:val="000000"/>
          <w:sz w:val="26"/>
          <w:szCs w:val="26"/>
        </w:rPr>
        <w:t xml:space="preserve">Twin Lakes asserts that </w:t>
      </w:r>
      <w:r w:rsidRPr="00172209">
        <w:rPr>
          <w:rFonts w:ascii="Times New Roman" w:eastAsia="Times New Roman" w:hAnsi="Times New Roman" w:cs="Times New Roman"/>
          <w:color w:val="000000"/>
          <w:sz w:val="26"/>
          <w:szCs w:val="26"/>
        </w:rPr>
        <w:t>the legislative intent is concisely expressed in Section 529(a), which provides that “[t]he commission may order a capable public utility to acquire a small water or small sewer utility if the commission, after notice and an opportunity to be heard, determines [that the small water utility has met the criteria set forth in Section 529(a)(1) through (6)].” 66</w:t>
      </w:r>
      <w:r w:rsidR="00033B3A">
        <w:rPr>
          <w:rFonts w:ascii="Times New Roman" w:eastAsia="Times New Roman" w:hAnsi="Times New Roman" w:cs="Times New Roman"/>
          <w:color w:val="000000"/>
          <w:sz w:val="26"/>
          <w:szCs w:val="26"/>
        </w:rPr>
        <w:t> </w:t>
      </w:r>
      <w:r w:rsidRPr="00172209">
        <w:rPr>
          <w:rFonts w:ascii="Times New Roman" w:eastAsia="Times New Roman" w:hAnsi="Times New Roman" w:cs="Times New Roman"/>
          <w:color w:val="000000"/>
          <w:sz w:val="26"/>
          <w:szCs w:val="26"/>
        </w:rPr>
        <w:t>Pa.</w:t>
      </w:r>
      <w:r w:rsidR="00033B3A">
        <w:rPr>
          <w:rFonts w:ascii="Times New Roman" w:eastAsia="Times New Roman" w:hAnsi="Times New Roman" w:cs="Times New Roman"/>
          <w:color w:val="000000"/>
          <w:sz w:val="26"/>
          <w:szCs w:val="26"/>
        </w:rPr>
        <w:t> </w:t>
      </w:r>
      <w:r w:rsidRPr="00172209">
        <w:rPr>
          <w:rFonts w:ascii="Times New Roman" w:eastAsia="Times New Roman" w:hAnsi="Times New Roman" w:cs="Times New Roman"/>
          <w:color w:val="000000"/>
          <w:sz w:val="26"/>
          <w:szCs w:val="26"/>
        </w:rPr>
        <w:t>C.S.</w:t>
      </w:r>
      <w:r w:rsidR="00033B3A">
        <w:rPr>
          <w:rFonts w:ascii="Times New Roman" w:eastAsia="Times New Roman" w:hAnsi="Times New Roman" w:cs="Times New Roman"/>
          <w:color w:val="000000"/>
          <w:sz w:val="26"/>
          <w:szCs w:val="26"/>
        </w:rPr>
        <w:t> </w:t>
      </w:r>
      <w:r w:rsidRPr="00172209">
        <w:rPr>
          <w:rFonts w:ascii="Times New Roman" w:eastAsia="Times New Roman" w:hAnsi="Times New Roman" w:cs="Times New Roman"/>
          <w:color w:val="000000"/>
          <w:sz w:val="26"/>
          <w:szCs w:val="26"/>
        </w:rPr>
        <w:t>§</w:t>
      </w:r>
      <w:r w:rsidR="00D5121E">
        <w:rPr>
          <w:rFonts w:ascii="Times New Roman" w:eastAsia="Times New Roman" w:hAnsi="Times New Roman" w:cs="Times New Roman"/>
          <w:color w:val="000000"/>
          <w:sz w:val="26"/>
          <w:szCs w:val="26"/>
        </w:rPr>
        <w:t> </w:t>
      </w:r>
      <w:r w:rsidRPr="00172209">
        <w:rPr>
          <w:rFonts w:ascii="Times New Roman" w:eastAsia="Times New Roman" w:hAnsi="Times New Roman" w:cs="Times New Roman"/>
          <w:color w:val="000000"/>
          <w:sz w:val="26"/>
          <w:szCs w:val="26"/>
        </w:rPr>
        <w:t>529(a).</w:t>
      </w:r>
    </w:p>
    <w:p w14:paraId="29F804B3" w14:textId="284877A7" w:rsidR="00172209" w:rsidRPr="00172209" w:rsidRDefault="00172209" w:rsidP="004A3A9A">
      <w:pPr>
        <w:tabs>
          <w:tab w:val="left" w:pos="2691"/>
        </w:tabs>
        <w:spacing w:after="0" w:line="360" w:lineRule="auto"/>
        <w:ind w:firstLine="1440"/>
        <w:rPr>
          <w:rFonts w:ascii="Times New Roman" w:eastAsia="Times New Roman" w:hAnsi="Times New Roman" w:cs="Times New Roman"/>
          <w:color w:val="000000"/>
          <w:sz w:val="26"/>
          <w:szCs w:val="26"/>
        </w:rPr>
      </w:pPr>
      <w:r w:rsidRPr="00172209">
        <w:rPr>
          <w:rFonts w:ascii="Times New Roman" w:eastAsia="Times New Roman" w:hAnsi="Times New Roman" w:cs="Times New Roman"/>
          <w:color w:val="000000"/>
          <w:sz w:val="26"/>
          <w:szCs w:val="26"/>
        </w:rPr>
        <w:lastRenderedPageBreak/>
        <w:t xml:space="preserve">Additionally, </w:t>
      </w:r>
      <w:r w:rsidR="001D372F">
        <w:rPr>
          <w:rFonts w:ascii="Times New Roman" w:eastAsia="Times New Roman" w:hAnsi="Times New Roman" w:cs="Times New Roman"/>
          <w:color w:val="000000"/>
          <w:sz w:val="26"/>
          <w:szCs w:val="26"/>
        </w:rPr>
        <w:t xml:space="preserve">Twin Lakes notes that </w:t>
      </w:r>
      <w:r w:rsidRPr="00172209">
        <w:rPr>
          <w:rFonts w:ascii="Times New Roman" w:eastAsia="Times New Roman" w:hAnsi="Times New Roman" w:cs="Times New Roman"/>
          <w:color w:val="000000"/>
          <w:sz w:val="26"/>
          <w:szCs w:val="26"/>
        </w:rPr>
        <w:t>Section 529(m) clearly defines a “small water utility” as “a public utility which regularly provides water service to 1,200 or fewer customer connections.” 66 Pa. C.S. § 529(m).</w:t>
      </w:r>
      <w:r w:rsidR="004A3A9A">
        <w:rPr>
          <w:rFonts w:ascii="Times New Roman" w:eastAsia="Times New Roman" w:hAnsi="Times New Roman" w:cs="Times New Roman"/>
          <w:color w:val="000000"/>
          <w:sz w:val="26"/>
          <w:szCs w:val="26"/>
        </w:rPr>
        <w:t xml:space="preserve">  </w:t>
      </w:r>
      <w:r w:rsidRPr="00172209">
        <w:rPr>
          <w:rFonts w:ascii="Times New Roman" w:eastAsia="Times New Roman" w:hAnsi="Times New Roman" w:cs="Times New Roman"/>
          <w:color w:val="000000"/>
          <w:sz w:val="26"/>
          <w:szCs w:val="26"/>
        </w:rPr>
        <w:t xml:space="preserve">Twin Lakes asserts it has clearly met the definition of “small water utility” under Section 529(m) and, specifically, has met the requirements of Section 529(a).  On that basis, Twin Lakes asserts that its acquisition by a capable public utility is clearly warranted and in the public interest.  Twin Lakes further asserts that there is no basis for limiting the application of Section 529, to preclude acquisition where the small water company is owned by a corporate parent, such as Middlesex, if all the Section 529 criteria are satisfied.  Twin Lakes argues that, if the Commission adopts Aqua’s argument, it would be an impermissible limitation of the definition of “small water utility” </w:t>
      </w:r>
      <w:r w:rsidR="00EE72A2" w:rsidRPr="00172209">
        <w:rPr>
          <w:rFonts w:ascii="Times New Roman" w:eastAsia="Times New Roman" w:hAnsi="Times New Roman" w:cs="Times New Roman"/>
          <w:color w:val="000000"/>
          <w:sz w:val="26"/>
          <w:szCs w:val="26"/>
        </w:rPr>
        <w:t>to</w:t>
      </w:r>
      <w:r w:rsidRPr="00172209">
        <w:rPr>
          <w:rFonts w:ascii="Times New Roman" w:eastAsia="Times New Roman" w:hAnsi="Times New Roman" w:cs="Times New Roman"/>
          <w:color w:val="000000"/>
          <w:sz w:val="26"/>
          <w:szCs w:val="26"/>
        </w:rPr>
        <w:t xml:space="preserve"> exclude small water utilities that are affiliated with a corporate parent.  Twin Lakes R. Exc. at </w:t>
      </w:r>
      <w:r w:rsidR="00E16E6D" w:rsidRPr="00E16E6D">
        <w:rPr>
          <w:rFonts w:ascii="Times New Roman" w:eastAsia="Times New Roman" w:hAnsi="Times New Roman" w:cs="Times New Roman"/>
          <w:color w:val="000000"/>
          <w:sz w:val="26"/>
          <w:szCs w:val="26"/>
        </w:rPr>
        <w:t>3</w:t>
      </w:r>
      <w:r w:rsidRPr="00172209">
        <w:rPr>
          <w:rFonts w:ascii="Times New Roman" w:eastAsia="Times New Roman" w:hAnsi="Times New Roman" w:cs="Times New Roman"/>
          <w:color w:val="000000"/>
          <w:sz w:val="26"/>
          <w:szCs w:val="26"/>
        </w:rPr>
        <w:t>;</w:t>
      </w:r>
      <w:r w:rsidR="00821774">
        <w:rPr>
          <w:rFonts w:ascii="Times New Roman" w:eastAsia="Times New Roman" w:hAnsi="Times New Roman" w:cs="Times New Roman"/>
          <w:color w:val="000000"/>
          <w:sz w:val="26"/>
          <w:szCs w:val="26"/>
        </w:rPr>
        <w:t xml:space="preserve"> </w:t>
      </w:r>
      <w:r w:rsidRPr="00172209">
        <w:rPr>
          <w:rFonts w:ascii="Times New Roman" w:eastAsia="Times New Roman" w:hAnsi="Times New Roman" w:cs="Times New Roman"/>
          <w:color w:val="000000"/>
          <w:sz w:val="26"/>
          <w:szCs w:val="26"/>
        </w:rPr>
        <w:t xml:space="preserve">Twin Lakes R.B. at 4, 13.  </w:t>
      </w:r>
    </w:p>
    <w:p w14:paraId="2AD919AD" w14:textId="78CCCB28" w:rsidR="00172209" w:rsidRPr="00172209" w:rsidRDefault="00172209" w:rsidP="00033B3A">
      <w:pPr>
        <w:tabs>
          <w:tab w:val="left" w:pos="2691"/>
        </w:tabs>
        <w:spacing w:after="0" w:line="360" w:lineRule="auto"/>
        <w:rPr>
          <w:rFonts w:ascii="Times New Roman" w:eastAsia="Times New Roman" w:hAnsi="Times New Roman" w:cs="Times New Roman"/>
          <w:color w:val="000000"/>
          <w:sz w:val="26"/>
          <w:szCs w:val="26"/>
        </w:rPr>
      </w:pPr>
    </w:p>
    <w:p w14:paraId="65BAC2BC" w14:textId="31C5A8C4" w:rsidR="00172209" w:rsidRPr="00172209" w:rsidRDefault="00172209" w:rsidP="00172209">
      <w:pPr>
        <w:tabs>
          <w:tab w:val="left" w:pos="2691"/>
        </w:tabs>
        <w:spacing w:after="0" w:line="360" w:lineRule="auto"/>
        <w:ind w:firstLine="1440"/>
        <w:rPr>
          <w:rFonts w:ascii="Times New Roman" w:eastAsia="Times New Roman" w:hAnsi="Times New Roman" w:cs="Times New Roman"/>
          <w:color w:val="000000"/>
          <w:sz w:val="26"/>
          <w:szCs w:val="26"/>
        </w:rPr>
      </w:pPr>
      <w:r w:rsidRPr="00172209">
        <w:rPr>
          <w:rFonts w:ascii="Times New Roman" w:eastAsia="Times New Roman" w:hAnsi="Times New Roman" w:cs="Times New Roman"/>
          <w:color w:val="000000"/>
          <w:sz w:val="26"/>
          <w:szCs w:val="26"/>
        </w:rPr>
        <w:t>Twin Lakes rejects Aqua’s claim that Middlesex, as the corporate owner of Twin Lakes, is utilizing this Section 529 proceeding to extract a higher purchase price from Aqua for the Twin Lakes system as “pure conjecture.”</w:t>
      </w:r>
      <w:r w:rsidR="00AC16BD">
        <w:rPr>
          <w:rFonts w:ascii="Times New Roman" w:eastAsia="Times New Roman" w:hAnsi="Times New Roman" w:cs="Times New Roman"/>
          <w:color w:val="000000"/>
          <w:sz w:val="26"/>
          <w:szCs w:val="26"/>
        </w:rPr>
        <w:t xml:space="preserve">  </w:t>
      </w:r>
      <w:r w:rsidRPr="00172209">
        <w:rPr>
          <w:rFonts w:ascii="Times New Roman" w:eastAsia="Times New Roman" w:hAnsi="Times New Roman" w:cs="Times New Roman"/>
          <w:color w:val="000000"/>
          <w:sz w:val="26"/>
          <w:szCs w:val="26"/>
        </w:rPr>
        <w:t>Twin Lakes asserts it has produced substantial record evidence to establish Twin Lakes’ efforts to find a solution that will provide sustainable quality of service for Twin Lakes’ customers at reasonable rates.</w:t>
      </w:r>
      <w:r w:rsidR="00D5121E">
        <w:rPr>
          <w:rFonts w:ascii="Times New Roman" w:eastAsia="Times New Roman" w:hAnsi="Times New Roman" w:cs="Times New Roman"/>
          <w:color w:val="000000"/>
          <w:sz w:val="26"/>
          <w:szCs w:val="26"/>
        </w:rPr>
        <w:t xml:space="preserve"> </w:t>
      </w:r>
      <w:r w:rsidRPr="00172209">
        <w:rPr>
          <w:rFonts w:ascii="Times New Roman" w:eastAsia="Times New Roman" w:hAnsi="Times New Roman" w:cs="Times New Roman"/>
          <w:color w:val="000000"/>
          <w:sz w:val="26"/>
          <w:szCs w:val="26"/>
        </w:rPr>
        <w:t xml:space="preserve"> Twin Lakes R. Exc. at </w:t>
      </w:r>
      <w:r w:rsidR="00C9224C" w:rsidRPr="00C9224C">
        <w:rPr>
          <w:rFonts w:ascii="Times New Roman" w:eastAsia="Times New Roman" w:hAnsi="Times New Roman" w:cs="Times New Roman"/>
          <w:color w:val="000000"/>
          <w:sz w:val="26"/>
          <w:szCs w:val="26"/>
        </w:rPr>
        <w:t>4</w:t>
      </w:r>
      <w:r w:rsidR="003E5593" w:rsidRPr="00C9224C">
        <w:rPr>
          <w:rFonts w:ascii="Times New Roman" w:eastAsia="Times New Roman" w:hAnsi="Times New Roman" w:cs="Times New Roman"/>
          <w:color w:val="000000"/>
          <w:sz w:val="26"/>
          <w:szCs w:val="26"/>
        </w:rPr>
        <w:t>, c</w:t>
      </w:r>
      <w:r w:rsidR="003E5593" w:rsidRPr="00172209">
        <w:rPr>
          <w:rFonts w:ascii="Times New Roman" w:eastAsia="Times New Roman" w:hAnsi="Times New Roman" w:cs="Times New Roman"/>
          <w:color w:val="000000"/>
          <w:sz w:val="26"/>
          <w:szCs w:val="26"/>
        </w:rPr>
        <w:t xml:space="preserve">iting Aqua Exc. at 3-4.  </w:t>
      </w:r>
      <w:r w:rsidRPr="00172209">
        <w:rPr>
          <w:rFonts w:ascii="Times New Roman" w:eastAsia="Times New Roman" w:hAnsi="Times New Roman" w:cs="Times New Roman"/>
          <w:i/>
          <w:color w:val="000000"/>
          <w:sz w:val="26"/>
          <w:szCs w:val="26"/>
        </w:rPr>
        <w:t>See</w:t>
      </w:r>
      <w:r w:rsidRPr="00172209">
        <w:rPr>
          <w:rFonts w:ascii="Times New Roman" w:eastAsia="Times New Roman" w:hAnsi="Times New Roman" w:cs="Times New Roman"/>
          <w:color w:val="000000"/>
          <w:sz w:val="26"/>
          <w:szCs w:val="26"/>
        </w:rPr>
        <w:t xml:space="preserve"> Twin Lakes M.B. at 9-14; Twin Lakes Exc. at 17-22.  </w:t>
      </w:r>
    </w:p>
    <w:p w14:paraId="48CD8BAD" w14:textId="77777777" w:rsidR="00172209" w:rsidRPr="00172209" w:rsidRDefault="00172209" w:rsidP="00172209">
      <w:pPr>
        <w:tabs>
          <w:tab w:val="left" w:pos="2691"/>
        </w:tabs>
        <w:spacing w:after="0" w:line="360" w:lineRule="auto"/>
        <w:ind w:firstLine="1440"/>
        <w:rPr>
          <w:rFonts w:ascii="Times New Roman" w:eastAsia="Times New Roman" w:hAnsi="Times New Roman" w:cs="Times New Roman"/>
          <w:color w:val="000000"/>
          <w:sz w:val="26"/>
          <w:szCs w:val="26"/>
        </w:rPr>
      </w:pPr>
    </w:p>
    <w:p w14:paraId="21FC0567" w14:textId="6E18DDCC" w:rsidR="001664CF" w:rsidRPr="001664CF" w:rsidRDefault="00172209" w:rsidP="00583194">
      <w:pPr>
        <w:tabs>
          <w:tab w:val="left" w:pos="2691"/>
        </w:tabs>
        <w:spacing w:after="0" w:line="360" w:lineRule="auto"/>
        <w:ind w:firstLine="1440"/>
        <w:rPr>
          <w:rFonts w:ascii="Times New Roman" w:eastAsia="Times New Roman" w:hAnsi="Times New Roman" w:cs="Times New Roman"/>
          <w:color w:val="000000"/>
          <w:sz w:val="26"/>
          <w:szCs w:val="26"/>
        </w:rPr>
      </w:pPr>
      <w:r w:rsidRPr="00172209">
        <w:rPr>
          <w:rFonts w:ascii="Times New Roman" w:eastAsia="Times New Roman" w:hAnsi="Times New Roman" w:cs="Times New Roman"/>
          <w:color w:val="000000"/>
          <w:sz w:val="26"/>
          <w:szCs w:val="26"/>
        </w:rPr>
        <w:t>Further, Twin Lakes notes that Section 529 provides the Commission with the authority to review the reasonableness of the purchase price once it has been negotiated.  Twin Lakes also notes that, if an impasse is reached on price negotiations, the statute provides for an eminent domain process to resolve the impasse.  Twin Lakes R. Exc. at</w:t>
      </w:r>
      <w:r w:rsidR="00C9224C" w:rsidRPr="007F18AA">
        <w:rPr>
          <w:rFonts w:ascii="Times New Roman" w:eastAsia="Times New Roman" w:hAnsi="Times New Roman" w:cs="Times New Roman"/>
          <w:color w:val="000000"/>
          <w:sz w:val="26"/>
          <w:szCs w:val="26"/>
        </w:rPr>
        <w:t xml:space="preserve"> 4-5</w:t>
      </w:r>
      <w:r w:rsidRPr="00172209">
        <w:rPr>
          <w:rFonts w:ascii="Times New Roman" w:eastAsia="Times New Roman" w:hAnsi="Times New Roman" w:cs="Times New Roman"/>
          <w:color w:val="000000"/>
          <w:sz w:val="26"/>
          <w:szCs w:val="26"/>
        </w:rPr>
        <w:t xml:space="preserve">, citing 66 Pa. C.S. § 529(e).  Therefore, Twin Lakes argues that Aqua’s argument that Section 529 is being used improperly is unfounded and </w:t>
      </w:r>
      <w:r w:rsidR="00AC16BD">
        <w:rPr>
          <w:rFonts w:ascii="Times New Roman" w:eastAsia="Times New Roman" w:hAnsi="Times New Roman" w:cs="Times New Roman"/>
          <w:color w:val="000000"/>
          <w:sz w:val="26"/>
          <w:szCs w:val="26"/>
        </w:rPr>
        <w:t>Aqua</w:t>
      </w:r>
      <w:r w:rsidR="00583194">
        <w:rPr>
          <w:rFonts w:ascii="Times New Roman" w:eastAsia="Times New Roman" w:hAnsi="Times New Roman" w:cs="Times New Roman"/>
          <w:color w:val="000000"/>
          <w:sz w:val="26"/>
          <w:szCs w:val="26"/>
        </w:rPr>
        <w:t xml:space="preserve">’s Exception No. 1, </w:t>
      </w:r>
      <w:r w:rsidRPr="00172209">
        <w:rPr>
          <w:rFonts w:ascii="Times New Roman" w:eastAsia="Times New Roman" w:hAnsi="Times New Roman" w:cs="Times New Roman"/>
          <w:color w:val="000000"/>
          <w:sz w:val="26"/>
          <w:szCs w:val="26"/>
        </w:rPr>
        <w:t>should be rejected</w:t>
      </w:r>
      <w:r w:rsidR="008312ED">
        <w:rPr>
          <w:rFonts w:ascii="Times New Roman" w:eastAsia="Times New Roman" w:hAnsi="Times New Roman" w:cs="Times New Roman"/>
          <w:color w:val="000000"/>
          <w:sz w:val="26"/>
          <w:szCs w:val="26"/>
        </w:rPr>
        <w:t xml:space="preserve">.  </w:t>
      </w:r>
      <w:r w:rsidR="007F18AA" w:rsidRPr="007F18AA">
        <w:rPr>
          <w:rFonts w:ascii="Times New Roman" w:eastAsia="Times New Roman" w:hAnsi="Times New Roman" w:cs="Times New Roman"/>
          <w:i/>
          <w:iCs/>
          <w:color w:val="000000"/>
          <w:sz w:val="26"/>
          <w:szCs w:val="26"/>
        </w:rPr>
        <w:t>Id</w:t>
      </w:r>
      <w:r w:rsidR="007F18AA">
        <w:rPr>
          <w:rFonts w:ascii="Times New Roman" w:eastAsia="Times New Roman" w:hAnsi="Times New Roman" w:cs="Times New Roman"/>
          <w:color w:val="000000"/>
          <w:sz w:val="26"/>
          <w:szCs w:val="26"/>
        </w:rPr>
        <w:t xml:space="preserve">., citing </w:t>
      </w:r>
      <w:r w:rsidR="0032035B" w:rsidRPr="008312ED">
        <w:rPr>
          <w:rFonts w:ascii="Times New Roman" w:eastAsia="Times New Roman" w:hAnsi="Times New Roman" w:cs="Times New Roman"/>
          <w:color w:val="000000"/>
          <w:sz w:val="26"/>
          <w:szCs w:val="26"/>
        </w:rPr>
        <w:t>Twin Lakes M.B. at 28-48.</w:t>
      </w:r>
    </w:p>
    <w:p w14:paraId="0F056246" w14:textId="08895F95" w:rsidR="00D84A02" w:rsidRPr="0001210F" w:rsidRDefault="00D84A02" w:rsidP="0001210F">
      <w:pPr>
        <w:tabs>
          <w:tab w:val="left" w:pos="2691"/>
        </w:tabs>
        <w:spacing w:after="0" w:line="360" w:lineRule="auto"/>
        <w:rPr>
          <w:rFonts w:ascii="Times New Roman" w:eastAsia="Times New Roman" w:hAnsi="Times New Roman" w:cs="Times New Roman"/>
          <w:color w:val="000000"/>
          <w:sz w:val="26"/>
          <w:szCs w:val="26"/>
          <w:highlight w:val="yellow"/>
        </w:rPr>
      </w:pPr>
    </w:p>
    <w:p w14:paraId="1DB5B4D1" w14:textId="79D13CA1" w:rsidR="00EB55DB" w:rsidRPr="00EB55DB" w:rsidRDefault="00977366" w:rsidP="00EB55DB">
      <w:pPr>
        <w:tabs>
          <w:tab w:val="left" w:pos="2691"/>
        </w:tabs>
        <w:spacing w:after="0" w:line="360" w:lineRule="auto"/>
        <w:ind w:firstLine="1440"/>
        <w:rPr>
          <w:rFonts w:ascii="Times New Roman" w:eastAsia="Times New Roman" w:hAnsi="Times New Roman" w:cs="Times New Roman"/>
          <w:color w:val="000000"/>
          <w:sz w:val="26"/>
          <w:szCs w:val="26"/>
          <w:highlight w:val="yellow"/>
        </w:rPr>
      </w:pPr>
      <w:r w:rsidRPr="00F42CA5">
        <w:rPr>
          <w:rFonts w:ascii="Times New Roman" w:eastAsia="Times New Roman" w:hAnsi="Times New Roman" w:cs="Times New Roman"/>
          <w:color w:val="000000"/>
          <w:sz w:val="26"/>
          <w:szCs w:val="26"/>
        </w:rPr>
        <w:lastRenderedPageBreak/>
        <w:t>In its Replies to Aqua’s Exception No. 1, t</w:t>
      </w:r>
      <w:r w:rsidR="00EB55DB" w:rsidRPr="00EB55DB">
        <w:rPr>
          <w:rFonts w:ascii="Times New Roman" w:eastAsia="Times New Roman" w:hAnsi="Times New Roman" w:cs="Times New Roman"/>
          <w:color w:val="000000"/>
          <w:sz w:val="26"/>
          <w:szCs w:val="26"/>
        </w:rPr>
        <w:t xml:space="preserve">he OCA </w:t>
      </w:r>
      <w:r w:rsidR="00274951">
        <w:rPr>
          <w:rFonts w:ascii="Times New Roman" w:eastAsia="Times New Roman" w:hAnsi="Times New Roman" w:cs="Times New Roman"/>
          <w:color w:val="000000"/>
          <w:sz w:val="26"/>
          <w:szCs w:val="26"/>
        </w:rPr>
        <w:t xml:space="preserve">agrees with </w:t>
      </w:r>
      <w:r w:rsidR="00254474">
        <w:rPr>
          <w:rFonts w:ascii="Times New Roman" w:eastAsia="Times New Roman" w:hAnsi="Times New Roman" w:cs="Times New Roman"/>
          <w:color w:val="000000"/>
          <w:sz w:val="26"/>
          <w:szCs w:val="26"/>
        </w:rPr>
        <w:t xml:space="preserve">Twin Lakes’ position and </w:t>
      </w:r>
      <w:r w:rsidRPr="00F42CA5">
        <w:rPr>
          <w:rFonts w:ascii="Times New Roman" w:eastAsia="Times New Roman" w:hAnsi="Times New Roman" w:cs="Times New Roman"/>
          <w:color w:val="000000"/>
          <w:sz w:val="26"/>
          <w:szCs w:val="26"/>
        </w:rPr>
        <w:t>asserts</w:t>
      </w:r>
      <w:r w:rsidR="00EB55DB" w:rsidRPr="00EB55DB">
        <w:rPr>
          <w:rFonts w:ascii="Times New Roman" w:eastAsia="Times New Roman" w:hAnsi="Times New Roman" w:cs="Times New Roman"/>
          <w:color w:val="000000"/>
          <w:sz w:val="26"/>
          <w:szCs w:val="26"/>
        </w:rPr>
        <w:t xml:space="preserve"> that</w:t>
      </w:r>
      <w:r w:rsidRPr="00F42CA5">
        <w:rPr>
          <w:rFonts w:ascii="Times New Roman" w:eastAsia="Times New Roman" w:hAnsi="Times New Roman" w:cs="Times New Roman"/>
          <w:color w:val="000000"/>
          <w:sz w:val="26"/>
          <w:szCs w:val="26"/>
        </w:rPr>
        <w:t xml:space="preserve">, as argued by Twin Lakes, </w:t>
      </w:r>
      <w:r w:rsidR="00EB55DB" w:rsidRPr="00EB55DB">
        <w:rPr>
          <w:rFonts w:ascii="Times New Roman" w:eastAsia="Times New Roman" w:hAnsi="Times New Roman" w:cs="Times New Roman"/>
          <w:color w:val="000000"/>
          <w:sz w:val="26"/>
          <w:szCs w:val="26"/>
        </w:rPr>
        <w:t xml:space="preserve">the burden of proof </w:t>
      </w:r>
      <w:r w:rsidR="00654182" w:rsidRPr="00F42CA5">
        <w:rPr>
          <w:rFonts w:ascii="Times New Roman" w:eastAsia="Times New Roman" w:hAnsi="Times New Roman" w:cs="Times New Roman"/>
          <w:color w:val="000000"/>
          <w:sz w:val="26"/>
          <w:szCs w:val="26"/>
        </w:rPr>
        <w:t xml:space="preserve">under Section 529 </w:t>
      </w:r>
      <w:r w:rsidR="00EB55DB" w:rsidRPr="00EB55DB">
        <w:rPr>
          <w:rFonts w:ascii="Times New Roman" w:eastAsia="Times New Roman" w:hAnsi="Times New Roman" w:cs="Times New Roman"/>
          <w:color w:val="000000"/>
          <w:sz w:val="26"/>
          <w:szCs w:val="26"/>
        </w:rPr>
        <w:t xml:space="preserve">has been </w:t>
      </w:r>
      <w:r w:rsidR="00EE5904" w:rsidRPr="00F42CA5">
        <w:rPr>
          <w:rFonts w:ascii="Times New Roman" w:eastAsia="Times New Roman" w:hAnsi="Times New Roman" w:cs="Times New Roman"/>
          <w:color w:val="000000"/>
          <w:sz w:val="26"/>
          <w:szCs w:val="26"/>
        </w:rPr>
        <w:t xml:space="preserve">satisfied and </w:t>
      </w:r>
      <w:r w:rsidR="00EB55DB" w:rsidRPr="00EB55DB">
        <w:rPr>
          <w:rFonts w:ascii="Times New Roman" w:eastAsia="Times New Roman" w:hAnsi="Times New Roman" w:cs="Times New Roman"/>
          <w:color w:val="000000"/>
          <w:sz w:val="26"/>
          <w:szCs w:val="26"/>
        </w:rPr>
        <w:t xml:space="preserve">that Aqua’s argument </w:t>
      </w:r>
      <w:r w:rsidR="00EE5904" w:rsidRPr="00F42CA5">
        <w:rPr>
          <w:rFonts w:ascii="Times New Roman" w:eastAsia="Times New Roman" w:hAnsi="Times New Roman" w:cs="Times New Roman"/>
          <w:color w:val="000000"/>
          <w:sz w:val="26"/>
          <w:szCs w:val="26"/>
        </w:rPr>
        <w:t xml:space="preserve">that Twin Lakes’ use of </w:t>
      </w:r>
      <w:r w:rsidR="00EB55DB" w:rsidRPr="00EB55DB">
        <w:rPr>
          <w:rFonts w:ascii="Times New Roman" w:eastAsia="Times New Roman" w:hAnsi="Times New Roman" w:cs="Times New Roman"/>
          <w:color w:val="000000"/>
          <w:sz w:val="26"/>
          <w:szCs w:val="26"/>
        </w:rPr>
        <w:t>Section</w:t>
      </w:r>
      <w:r w:rsidR="00840140">
        <w:rPr>
          <w:rFonts w:ascii="Times New Roman" w:eastAsia="Times New Roman" w:hAnsi="Times New Roman" w:cs="Times New Roman"/>
          <w:color w:val="000000"/>
          <w:sz w:val="26"/>
          <w:szCs w:val="26"/>
        </w:rPr>
        <w:t> </w:t>
      </w:r>
      <w:r w:rsidR="00EB55DB" w:rsidRPr="00EB55DB">
        <w:rPr>
          <w:rFonts w:ascii="Times New Roman" w:eastAsia="Times New Roman" w:hAnsi="Times New Roman" w:cs="Times New Roman"/>
          <w:color w:val="000000"/>
          <w:sz w:val="26"/>
          <w:szCs w:val="26"/>
        </w:rPr>
        <w:t xml:space="preserve">529 </w:t>
      </w:r>
      <w:r w:rsidR="00F42CA5" w:rsidRPr="00F42CA5">
        <w:rPr>
          <w:rFonts w:ascii="Times New Roman" w:eastAsia="Times New Roman" w:hAnsi="Times New Roman" w:cs="Times New Roman"/>
          <w:color w:val="000000"/>
          <w:sz w:val="26"/>
          <w:szCs w:val="26"/>
        </w:rPr>
        <w:t xml:space="preserve">is “improper” </w:t>
      </w:r>
      <w:r w:rsidR="00EB55DB" w:rsidRPr="00EB55DB">
        <w:rPr>
          <w:rFonts w:ascii="Times New Roman" w:eastAsia="Times New Roman" w:hAnsi="Times New Roman" w:cs="Times New Roman"/>
          <w:color w:val="000000"/>
          <w:sz w:val="26"/>
          <w:szCs w:val="26"/>
        </w:rPr>
        <w:t>is without merit</w:t>
      </w:r>
      <w:r w:rsidR="00254474">
        <w:rPr>
          <w:rFonts w:ascii="Times New Roman" w:eastAsia="Times New Roman" w:hAnsi="Times New Roman" w:cs="Times New Roman"/>
          <w:color w:val="000000"/>
          <w:sz w:val="26"/>
          <w:szCs w:val="26"/>
        </w:rPr>
        <w:t>.  Therefore, the OCA argues that</w:t>
      </w:r>
      <w:r w:rsidR="001220ED">
        <w:rPr>
          <w:rFonts w:ascii="Times New Roman" w:eastAsia="Times New Roman" w:hAnsi="Times New Roman" w:cs="Times New Roman"/>
          <w:color w:val="000000"/>
          <w:sz w:val="26"/>
          <w:szCs w:val="26"/>
        </w:rPr>
        <w:t xml:space="preserve"> Aqua’s Exception No. 1 should be denied</w:t>
      </w:r>
      <w:r w:rsidR="00EB55DB" w:rsidRPr="00EB55DB">
        <w:rPr>
          <w:rFonts w:ascii="Times New Roman" w:eastAsia="Times New Roman" w:hAnsi="Times New Roman" w:cs="Times New Roman"/>
          <w:color w:val="000000"/>
          <w:sz w:val="26"/>
          <w:szCs w:val="26"/>
        </w:rPr>
        <w:t>.</w:t>
      </w:r>
      <w:r w:rsidR="00F42CA5" w:rsidRPr="00F42CA5">
        <w:rPr>
          <w:rFonts w:ascii="Times New Roman" w:eastAsia="Times New Roman" w:hAnsi="Times New Roman" w:cs="Times New Roman"/>
          <w:color w:val="000000"/>
          <w:sz w:val="26"/>
          <w:szCs w:val="26"/>
        </w:rPr>
        <w:t xml:space="preserve"> </w:t>
      </w:r>
      <w:r w:rsidR="00661645">
        <w:rPr>
          <w:rFonts w:ascii="Times New Roman" w:eastAsia="Times New Roman" w:hAnsi="Times New Roman" w:cs="Times New Roman"/>
          <w:color w:val="000000"/>
          <w:sz w:val="26"/>
          <w:szCs w:val="26"/>
        </w:rPr>
        <w:t xml:space="preserve"> </w:t>
      </w:r>
      <w:r w:rsidR="00F42CA5" w:rsidRPr="00F42CA5">
        <w:rPr>
          <w:rFonts w:ascii="Times New Roman" w:eastAsia="Times New Roman" w:hAnsi="Times New Roman" w:cs="Times New Roman"/>
          <w:color w:val="000000"/>
          <w:sz w:val="26"/>
          <w:szCs w:val="26"/>
        </w:rPr>
        <w:t>OCA R. Exc. at</w:t>
      </w:r>
      <w:r w:rsidR="00830241">
        <w:rPr>
          <w:rFonts w:ascii="Times New Roman" w:eastAsia="Times New Roman" w:hAnsi="Times New Roman" w:cs="Times New Roman"/>
          <w:color w:val="000000"/>
          <w:sz w:val="26"/>
          <w:szCs w:val="26"/>
        </w:rPr>
        <w:t xml:space="preserve"> 3-</w:t>
      </w:r>
      <w:r w:rsidR="00830241" w:rsidRPr="00830241">
        <w:rPr>
          <w:rFonts w:ascii="Times New Roman" w:eastAsia="Times New Roman" w:hAnsi="Times New Roman" w:cs="Times New Roman"/>
          <w:color w:val="000000"/>
          <w:sz w:val="26"/>
          <w:szCs w:val="26"/>
        </w:rPr>
        <w:t>6</w:t>
      </w:r>
      <w:r w:rsidR="00F42CA5" w:rsidRPr="00830241">
        <w:rPr>
          <w:rFonts w:ascii="Times New Roman" w:eastAsia="Times New Roman" w:hAnsi="Times New Roman" w:cs="Times New Roman"/>
          <w:color w:val="000000"/>
          <w:sz w:val="26"/>
          <w:szCs w:val="26"/>
        </w:rPr>
        <w:t xml:space="preserve">. </w:t>
      </w:r>
    </w:p>
    <w:p w14:paraId="3EDD6F95" w14:textId="77777777" w:rsidR="00C77E72" w:rsidRDefault="00C77E72" w:rsidP="00EB55DB">
      <w:pPr>
        <w:tabs>
          <w:tab w:val="left" w:pos="2691"/>
        </w:tabs>
        <w:spacing w:after="0" w:line="360" w:lineRule="auto"/>
        <w:ind w:firstLine="1440"/>
        <w:rPr>
          <w:rFonts w:ascii="Times New Roman" w:eastAsia="Times New Roman" w:hAnsi="Times New Roman" w:cs="Times New Roman"/>
          <w:color w:val="000000"/>
          <w:sz w:val="26"/>
          <w:szCs w:val="26"/>
        </w:rPr>
      </w:pPr>
    </w:p>
    <w:p w14:paraId="5EE66701" w14:textId="7C114C1A" w:rsidR="00EB55DB" w:rsidRPr="00EB55DB" w:rsidRDefault="00CD6061" w:rsidP="00EB55DB">
      <w:pPr>
        <w:tabs>
          <w:tab w:val="left" w:pos="2691"/>
        </w:tabs>
        <w:spacing w:after="0" w:line="360" w:lineRule="auto"/>
        <w:ind w:firstLine="1440"/>
        <w:rPr>
          <w:rFonts w:ascii="Times New Roman" w:eastAsia="Times New Roman" w:hAnsi="Times New Roman" w:cs="Times New Roman"/>
          <w:color w:val="000000"/>
          <w:sz w:val="26"/>
          <w:szCs w:val="26"/>
        </w:rPr>
      </w:pPr>
      <w:r w:rsidRPr="0086202C">
        <w:rPr>
          <w:rFonts w:ascii="Times New Roman" w:eastAsia="Times New Roman" w:hAnsi="Times New Roman" w:cs="Times New Roman"/>
          <w:color w:val="000000"/>
          <w:sz w:val="26"/>
          <w:szCs w:val="26"/>
        </w:rPr>
        <w:t xml:space="preserve">The OCA notes that Twin Lakes </w:t>
      </w:r>
      <w:r w:rsidR="00C77E72">
        <w:rPr>
          <w:rFonts w:ascii="Times New Roman" w:eastAsia="Times New Roman" w:hAnsi="Times New Roman" w:cs="Times New Roman"/>
          <w:color w:val="000000"/>
          <w:sz w:val="26"/>
          <w:szCs w:val="26"/>
        </w:rPr>
        <w:t xml:space="preserve">as well as the OCA are </w:t>
      </w:r>
      <w:r w:rsidRPr="0086202C">
        <w:rPr>
          <w:rFonts w:ascii="Times New Roman" w:eastAsia="Times New Roman" w:hAnsi="Times New Roman" w:cs="Times New Roman"/>
          <w:color w:val="000000"/>
          <w:sz w:val="26"/>
          <w:szCs w:val="26"/>
        </w:rPr>
        <w:t>permitted to offer proof to meet the necessary standard under Section 529</w:t>
      </w:r>
      <w:r w:rsidR="00A156BB">
        <w:rPr>
          <w:rFonts w:ascii="Times New Roman" w:eastAsia="Times New Roman" w:hAnsi="Times New Roman" w:cs="Times New Roman"/>
          <w:color w:val="000000"/>
          <w:sz w:val="26"/>
          <w:szCs w:val="26"/>
        </w:rPr>
        <w:t xml:space="preserve">.  The OCA </w:t>
      </w:r>
      <w:r w:rsidR="00EC4428">
        <w:rPr>
          <w:rFonts w:ascii="Times New Roman" w:eastAsia="Times New Roman" w:hAnsi="Times New Roman" w:cs="Times New Roman"/>
          <w:color w:val="000000"/>
          <w:sz w:val="26"/>
          <w:szCs w:val="26"/>
        </w:rPr>
        <w:t xml:space="preserve">argues </w:t>
      </w:r>
      <w:r w:rsidR="00A156BB">
        <w:rPr>
          <w:rFonts w:ascii="Times New Roman" w:eastAsia="Times New Roman" w:hAnsi="Times New Roman" w:cs="Times New Roman"/>
          <w:color w:val="000000"/>
          <w:sz w:val="26"/>
          <w:szCs w:val="26"/>
        </w:rPr>
        <w:t xml:space="preserve">that </w:t>
      </w:r>
      <w:r w:rsidR="00EC4428">
        <w:rPr>
          <w:rFonts w:ascii="Times New Roman" w:eastAsia="Times New Roman" w:hAnsi="Times New Roman" w:cs="Times New Roman"/>
          <w:color w:val="000000"/>
          <w:sz w:val="26"/>
          <w:szCs w:val="26"/>
        </w:rPr>
        <w:t xml:space="preserve">they have </w:t>
      </w:r>
      <w:r w:rsidR="00A156BB">
        <w:rPr>
          <w:rFonts w:ascii="Times New Roman" w:eastAsia="Times New Roman" w:hAnsi="Times New Roman" w:cs="Times New Roman"/>
          <w:color w:val="000000"/>
          <w:sz w:val="26"/>
          <w:szCs w:val="26"/>
        </w:rPr>
        <w:t>provided sufficient evidence to satisfy the Section 529 standard for acquisition</w:t>
      </w:r>
      <w:r w:rsidRPr="0086202C">
        <w:rPr>
          <w:rFonts w:ascii="Times New Roman" w:eastAsia="Times New Roman" w:hAnsi="Times New Roman" w:cs="Times New Roman"/>
          <w:color w:val="000000"/>
          <w:sz w:val="26"/>
          <w:szCs w:val="26"/>
        </w:rPr>
        <w:t xml:space="preserve">. </w:t>
      </w:r>
      <w:r w:rsidR="00E63865" w:rsidRPr="0086202C">
        <w:rPr>
          <w:rFonts w:ascii="Times New Roman" w:eastAsia="Times New Roman" w:hAnsi="Times New Roman" w:cs="Times New Roman"/>
          <w:color w:val="000000"/>
          <w:sz w:val="26"/>
          <w:szCs w:val="26"/>
        </w:rPr>
        <w:t xml:space="preserve"> The OCA also notes that, a</w:t>
      </w:r>
      <w:r w:rsidR="00EB55DB" w:rsidRPr="00EB55DB">
        <w:rPr>
          <w:rFonts w:ascii="Times New Roman" w:eastAsia="Times New Roman" w:hAnsi="Times New Roman" w:cs="Times New Roman"/>
          <w:color w:val="000000"/>
          <w:sz w:val="26"/>
          <w:szCs w:val="26"/>
        </w:rPr>
        <w:t xml:space="preserve">lthough I&amp;E bears the statutory burden of proof in a Section 529 proceeding, the Commission has previously stated that the burden is not exclusive to I&amp;E.  Any other party supporting an acquisition pursuant to Section 529 may produce its own evidence that the conditions are met.  The OCA </w:t>
      </w:r>
      <w:r w:rsidR="001C504F" w:rsidRPr="0086202C">
        <w:rPr>
          <w:rFonts w:ascii="Times New Roman" w:eastAsia="Times New Roman" w:hAnsi="Times New Roman" w:cs="Times New Roman"/>
          <w:color w:val="000000"/>
          <w:sz w:val="26"/>
          <w:szCs w:val="26"/>
        </w:rPr>
        <w:t xml:space="preserve">argues </w:t>
      </w:r>
      <w:r w:rsidR="00EB55DB" w:rsidRPr="00EB55DB">
        <w:rPr>
          <w:rFonts w:ascii="Times New Roman" w:eastAsia="Times New Roman" w:hAnsi="Times New Roman" w:cs="Times New Roman"/>
          <w:color w:val="000000"/>
          <w:sz w:val="26"/>
          <w:szCs w:val="26"/>
        </w:rPr>
        <w:t xml:space="preserve">that, </w:t>
      </w:r>
      <w:r w:rsidR="002F0C78" w:rsidRPr="0086202C">
        <w:rPr>
          <w:rFonts w:ascii="Times New Roman" w:eastAsia="Times New Roman" w:hAnsi="Times New Roman" w:cs="Times New Roman"/>
          <w:color w:val="000000"/>
          <w:sz w:val="26"/>
          <w:szCs w:val="26"/>
        </w:rPr>
        <w:t xml:space="preserve">based upon the </w:t>
      </w:r>
      <w:r w:rsidR="00EB55DB" w:rsidRPr="00EB55DB">
        <w:rPr>
          <w:rFonts w:ascii="Times New Roman" w:eastAsia="Times New Roman" w:hAnsi="Times New Roman" w:cs="Times New Roman"/>
          <w:color w:val="000000"/>
          <w:sz w:val="26"/>
          <w:szCs w:val="26"/>
        </w:rPr>
        <w:t>record</w:t>
      </w:r>
      <w:r w:rsidR="002F0C78" w:rsidRPr="0086202C">
        <w:rPr>
          <w:rFonts w:ascii="Times New Roman" w:eastAsia="Times New Roman" w:hAnsi="Times New Roman" w:cs="Times New Roman"/>
          <w:color w:val="000000"/>
          <w:sz w:val="26"/>
          <w:szCs w:val="26"/>
        </w:rPr>
        <w:t xml:space="preserve">, </w:t>
      </w:r>
      <w:r w:rsidR="00EB55DB" w:rsidRPr="00EB55DB">
        <w:rPr>
          <w:rFonts w:ascii="Times New Roman" w:eastAsia="Times New Roman" w:hAnsi="Times New Roman" w:cs="Times New Roman"/>
          <w:color w:val="000000"/>
          <w:sz w:val="26"/>
          <w:szCs w:val="26"/>
        </w:rPr>
        <w:t>su</w:t>
      </w:r>
      <w:r w:rsidR="002F0C78" w:rsidRPr="0086202C">
        <w:rPr>
          <w:rFonts w:ascii="Times New Roman" w:eastAsia="Times New Roman" w:hAnsi="Times New Roman" w:cs="Times New Roman"/>
          <w:color w:val="000000"/>
          <w:sz w:val="26"/>
          <w:szCs w:val="26"/>
        </w:rPr>
        <w:t xml:space="preserve">bstantial evidence </w:t>
      </w:r>
      <w:r w:rsidR="00AA65A0" w:rsidRPr="0086202C">
        <w:rPr>
          <w:rFonts w:ascii="Times New Roman" w:eastAsia="Times New Roman" w:hAnsi="Times New Roman" w:cs="Times New Roman"/>
          <w:color w:val="000000"/>
          <w:sz w:val="26"/>
          <w:szCs w:val="26"/>
        </w:rPr>
        <w:t>was offer</w:t>
      </w:r>
      <w:r w:rsidR="00056965" w:rsidRPr="0086202C">
        <w:rPr>
          <w:rFonts w:ascii="Times New Roman" w:eastAsia="Times New Roman" w:hAnsi="Times New Roman" w:cs="Times New Roman"/>
          <w:color w:val="000000"/>
          <w:sz w:val="26"/>
          <w:szCs w:val="26"/>
        </w:rPr>
        <w:t>e</w:t>
      </w:r>
      <w:r w:rsidR="00AA65A0" w:rsidRPr="0086202C">
        <w:rPr>
          <w:rFonts w:ascii="Times New Roman" w:eastAsia="Times New Roman" w:hAnsi="Times New Roman" w:cs="Times New Roman"/>
          <w:color w:val="000000"/>
          <w:sz w:val="26"/>
          <w:szCs w:val="26"/>
        </w:rPr>
        <w:t xml:space="preserve">d by Twin </w:t>
      </w:r>
      <w:r w:rsidR="00056965" w:rsidRPr="0086202C">
        <w:rPr>
          <w:rFonts w:ascii="Times New Roman" w:eastAsia="Times New Roman" w:hAnsi="Times New Roman" w:cs="Times New Roman"/>
          <w:color w:val="000000"/>
          <w:sz w:val="26"/>
          <w:szCs w:val="26"/>
        </w:rPr>
        <w:t xml:space="preserve">Lakes and the OCA to warrant </w:t>
      </w:r>
      <w:r w:rsidR="002F0C78" w:rsidRPr="0086202C">
        <w:rPr>
          <w:rFonts w:ascii="Times New Roman" w:eastAsia="Times New Roman" w:hAnsi="Times New Roman" w:cs="Times New Roman"/>
          <w:color w:val="000000"/>
          <w:sz w:val="26"/>
          <w:szCs w:val="26"/>
        </w:rPr>
        <w:t>the Commission</w:t>
      </w:r>
      <w:r w:rsidR="00056965" w:rsidRPr="0086202C">
        <w:rPr>
          <w:rFonts w:ascii="Times New Roman" w:eastAsia="Times New Roman" w:hAnsi="Times New Roman" w:cs="Times New Roman"/>
          <w:color w:val="000000"/>
          <w:sz w:val="26"/>
          <w:szCs w:val="26"/>
        </w:rPr>
        <w:t>’s</w:t>
      </w:r>
      <w:r w:rsidR="002F0C78" w:rsidRPr="0086202C">
        <w:rPr>
          <w:rFonts w:ascii="Times New Roman" w:eastAsia="Times New Roman" w:hAnsi="Times New Roman" w:cs="Times New Roman"/>
          <w:color w:val="000000"/>
          <w:sz w:val="26"/>
          <w:szCs w:val="26"/>
        </w:rPr>
        <w:t xml:space="preserve"> approval of the </w:t>
      </w:r>
      <w:r w:rsidR="00AA65A0" w:rsidRPr="0086202C">
        <w:rPr>
          <w:rFonts w:ascii="Times New Roman" w:eastAsia="Times New Roman" w:hAnsi="Times New Roman" w:cs="Times New Roman"/>
          <w:color w:val="000000"/>
          <w:sz w:val="26"/>
          <w:szCs w:val="26"/>
        </w:rPr>
        <w:t xml:space="preserve">acquisition of </w:t>
      </w:r>
      <w:r w:rsidR="00EB55DB" w:rsidRPr="00EB55DB">
        <w:rPr>
          <w:rFonts w:ascii="Times New Roman" w:eastAsia="Times New Roman" w:hAnsi="Times New Roman" w:cs="Times New Roman"/>
          <w:color w:val="000000"/>
          <w:sz w:val="26"/>
          <w:szCs w:val="26"/>
        </w:rPr>
        <w:t xml:space="preserve">Twin Lakes </w:t>
      </w:r>
      <w:r w:rsidR="00AA65A0" w:rsidRPr="0086202C">
        <w:rPr>
          <w:rFonts w:ascii="Times New Roman" w:eastAsia="Times New Roman" w:hAnsi="Times New Roman" w:cs="Times New Roman"/>
          <w:color w:val="000000"/>
          <w:sz w:val="26"/>
          <w:szCs w:val="26"/>
        </w:rPr>
        <w:t xml:space="preserve">by Aqua. </w:t>
      </w:r>
      <w:r w:rsidR="001C504F" w:rsidRPr="0086202C">
        <w:rPr>
          <w:rFonts w:ascii="Times New Roman" w:eastAsia="Times New Roman" w:hAnsi="Times New Roman" w:cs="Times New Roman"/>
          <w:color w:val="000000"/>
          <w:sz w:val="26"/>
          <w:szCs w:val="26"/>
        </w:rPr>
        <w:t xml:space="preserve"> </w:t>
      </w:r>
      <w:r w:rsidR="00EB4D2E">
        <w:rPr>
          <w:rFonts w:ascii="Times New Roman" w:eastAsia="Times New Roman" w:hAnsi="Times New Roman" w:cs="Times New Roman"/>
          <w:color w:val="000000"/>
          <w:sz w:val="26"/>
          <w:szCs w:val="26"/>
        </w:rPr>
        <w:t xml:space="preserve">Accordingly, the OCA submits that Aqua’s Exception No. </w:t>
      </w:r>
      <w:r w:rsidR="00C96435">
        <w:rPr>
          <w:rFonts w:ascii="Times New Roman" w:eastAsia="Times New Roman" w:hAnsi="Times New Roman" w:cs="Times New Roman"/>
          <w:color w:val="000000"/>
          <w:sz w:val="26"/>
          <w:szCs w:val="26"/>
        </w:rPr>
        <w:t>1</w:t>
      </w:r>
      <w:r w:rsidR="00EB4D2E">
        <w:rPr>
          <w:rFonts w:ascii="Times New Roman" w:eastAsia="Times New Roman" w:hAnsi="Times New Roman" w:cs="Times New Roman"/>
          <w:color w:val="000000"/>
          <w:sz w:val="26"/>
          <w:szCs w:val="26"/>
        </w:rPr>
        <w:t xml:space="preserve">, should be </w:t>
      </w:r>
      <w:r w:rsidR="00C96435">
        <w:rPr>
          <w:rFonts w:ascii="Times New Roman" w:eastAsia="Times New Roman" w:hAnsi="Times New Roman" w:cs="Times New Roman"/>
          <w:color w:val="000000"/>
          <w:sz w:val="26"/>
          <w:szCs w:val="26"/>
        </w:rPr>
        <w:t xml:space="preserve">denied.  </w:t>
      </w:r>
      <w:r w:rsidR="00830241" w:rsidRPr="00830241">
        <w:rPr>
          <w:rFonts w:ascii="Times New Roman" w:eastAsia="Times New Roman" w:hAnsi="Times New Roman" w:cs="Times New Roman"/>
          <w:i/>
          <w:iCs/>
          <w:color w:val="000000"/>
          <w:sz w:val="26"/>
          <w:szCs w:val="26"/>
        </w:rPr>
        <w:t>Id</w:t>
      </w:r>
      <w:r w:rsidR="00830241" w:rsidRPr="00830241">
        <w:rPr>
          <w:rFonts w:ascii="Times New Roman" w:eastAsia="Times New Roman" w:hAnsi="Times New Roman" w:cs="Times New Roman"/>
          <w:color w:val="000000"/>
          <w:sz w:val="26"/>
          <w:szCs w:val="26"/>
        </w:rPr>
        <w:t>.,</w:t>
      </w:r>
      <w:r w:rsidR="001C504F" w:rsidRPr="00830241">
        <w:rPr>
          <w:rFonts w:ascii="Times New Roman" w:eastAsia="Times New Roman" w:hAnsi="Times New Roman" w:cs="Times New Roman"/>
          <w:color w:val="000000"/>
          <w:sz w:val="26"/>
          <w:szCs w:val="26"/>
        </w:rPr>
        <w:t xml:space="preserve"> citing</w:t>
      </w:r>
      <w:r w:rsidR="00411337" w:rsidRPr="00830241">
        <w:rPr>
          <w:rFonts w:ascii="Times New Roman" w:eastAsia="Times New Roman" w:hAnsi="Times New Roman" w:cs="Times New Roman"/>
          <w:color w:val="000000"/>
          <w:sz w:val="26"/>
          <w:szCs w:val="26"/>
        </w:rPr>
        <w:t xml:space="preserve"> </w:t>
      </w:r>
      <w:r w:rsidR="00411337" w:rsidRPr="00EB55DB">
        <w:rPr>
          <w:rFonts w:ascii="Times New Roman" w:eastAsia="Times New Roman" w:hAnsi="Times New Roman" w:cs="Times New Roman"/>
          <w:color w:val="000000"/>
          <w:sz w:val="26"/>
          <w:szCs w:val="26"/>
        </w:rPr>
        <w:t>R.D. at 25</w:t>
      </w:r>
      <w:r w:rsidR="0039127B">
        <w:rPr>
          <w:rFonts w:ascii="Times New Roman" w:eastAsia="Times New Roman" w:hAnsi="Times New Roman" w:cs="Times New Roman"/>
          <w:color w:val="000000"/>
          <w:sz w:val="26"/>
          <w:szCs w:val="26"/>
        </w:rPr>
        <w:t>, 62;</w:t>
      </w:r>
      <w:r w:rsidR="001C504F" w:rsidRPr="0086202C">
        <w:rPr>
          <w:rFonts w:ascii="Times New Roman" w:eastAsia="Times New Roman" w:hAnsi="Times New Roman" w:cs="Times New Roman"/>
          <w:color w:val="000000"/>
          <w:sz w:val="26"/>
          <w:szCs w:val="26"/>
        </w:rPr>
        <w:t xml:space="preserve"> </w:t>
      </w:r>
      <w:r w:rsidR="00EB55DB" w:rsidRPr="00EB55DB">
        <w:rPr>
          <w:rFonts w:ascii="Times New Roman" w:eastAsia="Times New Roman" w:hAnsi="Times New Roman" w:cs="Times New Roman"/>
          <w:color w:val="000000"/>
          <w:sz w:val="26"/>
          <w:szCs w:val="26"/>
        </w:rPr>
        <w:t>OCA R.B. at 2-7</w:t>
      </w:r>
      <w:r w:rsidR="0039127B">
        <w:rPr>
          <w:rFonts w:ascii="Times New Roman" w:eastAsia="Times New Roman" w:hAnsi="Times New Roman" w:cs="Times New Roman"/>
          <w:color w:val="000000"/>
          <w:sz w:val="26"/>
          <w:szCs w:val="26"/>
        </w:rPr>
        <w:t>.</w:t>
      </w:r>
      <w:r w:rsidR="00EB55DB" w:rsidRPr="00EB55DB">
        <w:rPr>
          <w:rFonts w:ascii="Times New Roman" w:eastAsia="Times New Roman" w:hAnsi="Times New Roman" w:cs="Times New Roman"/>
          <w:color w:val="000000"/>
          <w:sz w:val="26"/>
          <w:szCs w:val="26"/>
        </w:rPr>
        <w:t xml:space="preserve"> </w:t>
      </w:r>
    </w:p>
    <w:p w14:paraId="56E4B812" w14:textId="77777777" w:rsidR="003A4787" w:rsidRDefault="003A4787" w:rsidP="001739F6">
      <w:pPr>
        <w:spacing w:after="0" w:line="360" w:lineRule="auto"/>
        <w:rPr>
          <w:rFonts w:ascii="Times New Roman" w:eastAsia="Times New Roman" w:hAnsi="Times New Roman" w:cs="Times New Roman"/>
          <w:color w:val="000000"/>
          <w:sz w:val="26"/>
          <w:szCs w:val="26"/>
        </w:rPr>
      </w:pPr>
    </w:p>
    <w:p w14:paraId="00E7DA0A" w14:textId="4BCDDB76" w:rsidR="00D10EDC" w:rsidRPr="00483248" w:rsidRDefault="00483248" w:rsidP="00970E33">
      <w:pPr>
        <w:pStyle w:val="Heading4"/>
      </w:pPr>
      <w:bookmarkStart w:id="12" w:name="_Toc87265459"/>
      <w:r w:rsidRPr="00483248">
        <w:t>Aqua</w:t>
      </w:r>
      <w:r w:rsidR="00E532C1">
        <w:t>’s</w:t>
      </w:r>
      <w:r w:rsidRPr="00483248">
        <w:t xml:space="preserve"> Exception No. 2</w:t>
      </w:r>
      <w:r w:rsidR="00D03C85">
        <w:t>: Twin Lakes Fail</w:t>
      </w:r>
      <w:r w:rsidR="001B3E56">
        <w:t>s</w:t>
      </w:r>
      <w:r w:rsidR="00D03C85">
        <w:t xml:space="preserve"> to Satisfy </w:t>
      </w:r>
      <w:r w:rsidR="001B3E56">
        <w:t>Section</w:t>
      </w:r>
      <w:r w:rsidR="00965350">
        <w:t> </w:t>
      </w:r>
      <w:r w:rsidR="001B3E56">
        <w:t>529</w:t>
      </w:r>
      <w:r w:rsidR="00A2623D">
        <w:t> </w:t>
      </w:r>
      <w:r w:rsidR="001B3E56">
        <w:t>(a)(3)</w:t>
      </w:r>
      <w:r w:rsidR="00594658">
        <w:t xml:space="preserve"> and Replies</w:t>
      </w:r>
      <w:bookmarkEnd w:id="12"/>
    </w:p>
    <w:p w14:paraId="393D5CDB" w14:textId="77777777" w:rsidR="00483248" w:rsidRDefault="00483248" w:rsidP="00965350">
      <w:pPr>
        <w:spacing w:after="0" w:line="480" w:lineRule="auto"/>
        <w:ind w:firstLine="1440"/>
        <w:rPr>
          <w:rFonts w:ascii="Times New Roman" w:hAnsi="Times New Roman" w:cs="Times New Roman"/>
          <w:sz w:val="26"/>
          <w:szCs w:val="26"/>
        </w:rPr>
      </w:pPr>
    </w:p>
    <w:p w14:paraId="2ED82307" w14:textId="19685825" w:rsidR="002D500A" w:rsidRDefault="00483248" w:rsidP="002D500A">
      <w:pPr>
        <w:spacing w:after="0" w:line="360" w:lineRule="auto"/>
        <w:ind w:firstLine="144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In its Exception No. 2, </w:t>
      </w:r>
      <w:r w:rsidR="002D500A">
        <w:rPr>
          <w:rFonts w:ascii="Times New Roman" w:eastAsia="Times New Roman" w:hAnsi="Times New Roman" w:cs="Times New Roman"/>
          <w:bCs/>
          <w:color w:val="000000"/>
          <w:sz w:val="26"/>
          <w:szCs w:val="26"/>
        </w:rPr>
        <w:t xml:space="preserve">Aqua argues that the </w:t>
      </w:r>
      <w:r w:rsidR="002D500A" w:rsidRPr="002E2C53">
        <w:rPr>
          <w:rFonts w:ascii="Times New Roman" w:eastAsia="Times New Roman" w:hAnsi="Times New Roman" w:cs="Times New Roman"/>
          <w:bCs/>
          <w:color w:val="000000"/>
          <w:sz w:val="26"/>
          <w:szCs w:val="26"/>
        </w:rPr>
        <w:t>ALJ erred by concluding</w:t>
      </w:r>
      <w:r w:rsidR="002D500A">
        <w:rPr>
          <w:rFonts w:ascii="Times New Roman" w:eastAsia="Times New Roman" w:hAnsi="Times New Roman" w:cs="Times New Roman"/>
          <w:bCs/>
          <w:color w:val="000000"/>
          <w:sz w:val="26"/>
          <w:szCs w:val="26"/>
        </w:rPr>
        <w:t xml:space="preserve"> that Twin Lakes </w:t>
      </w:r>
      <w:r w:rsidR="004E26CF">
        <w:rPr>
          <w:rFonts w:ascii="Times New Roman" w:eastAsia="Times New Roman" w:hAnsi="Times New Roman" w:cs="Times New Roman"/>
          <w:bCs/>
          <w:color w:val="000000"/>
          <w:sz w:val="26"/>
          <w:szCs w:val="26"/>
        </w:rPr>
        <w:t>satisfies the criteria under Section 529(a)(3)</w:t>
      </w:r>
      <w:r w:rsidR="00CE3D93">
        <w:rPr>
          <w:rFonts w:ascii="Times New Roman" w:eastAsia="Times New Roman" w:hAnsi="Times New Roman" w:cs="Times New Roman"/>
          <w:bCs/>
          <w:color w:val="000000"/>
          <w:sz w:val="26"/>
          <w:szCs w:val="26"/>
        </w:rPr>
        <w:t xml:space="preserve">, </w:t>
      </w:r>
      <w:r w:rsidR="00C340A4">
        <w:rPr>
          <w:rFonts w:ascii="Times New Roman" w:eastAsia="Times New Roman" w:hAnsi="Times New Roman" w:cs="Times New Roman"/>
          <w:bCs/>
          <w:color w:val="000000"/>
          <w:sz w:val="26"/>
          <w:szCs w:val="26"/>
        </w:rPr>
        <w:t>that Twin Lakes</w:t>
      </w:r>
      <w:r w:rsidR="00CE3D93">
        <w:rPr>
          <w:rFonts w:ascii="Times New Roman" w:eastAsia="Times New Roman" w:hAnsi="Times New Roman" w:cs="Times New Roman"/>
          <w:bCs/>
          <w:color w:val="000000"/>
          <w:sz w:val="26"/>
          <w:szCs w:val="26"/>
        </w:rPr>
        <w:t xml:space="preserve">, through its </w:t>
      </w:r>
      <w:r w:rsidR="00FD43EF">
        <w:rPr>
          <w:rFonts w:ascii="Times New Roman" w:eastAsia="Times New Roman" w:hAnsi="Times New Roman" w:cs="Times New Roman"/>
          <w:bCs/>
          <w:color w:val="000000"/>
          <w:sz w:val="26"/>
          <w:szCs w:val="26"/>
        </w:rPr>
        <w:t xml:space="preserve">corporate parent and owner, </w:t>
      </w:r>
      <w:r w:rsidR="00CE3D93" w:rsidRPr="00CE3D93">
        <w:rPr>
          <w:rFonts w:ascii="Times New Roman" w:eastAsia="Times New Roman" w:hAnsi="Times New Roman" w:cs="Times New Roman"/>
          <w:bCs/>
          <w:color w:val="000000"/>
          <w:sz w:val="26"/>
          <w:szCs w:val="26"/>
        </w:rPr>
        <w:t>Middlese</w:t>
      </w:r>
      <w:r w:rsidR="00FD43EF">
        <w:rPr>
          <w:rFonts w:ascii="Times New Roman" w:eastAsia="Times New Roman" w:hAnsi="Times New Roman" w:cs="Times New Roman"/>
          <w:bCs/>
          <w:color w:val="000000"/>
          <w:sz w:val="26"/>
          <w:szCs w:val="26"/>
        </w:rPr>
        <w:t xml:space="preserve">x, </w:t>
      </w:r>
      <w:r w:rsidR="00CE3D93" w:rsidRPr="00CE3D93">
        <w:rPr>
          <w:rFonts w:ascii="Times New Roman" w:eastAsia="Times New Roman" w:hAnsi="Times New Roman" w:cs="Times New Roman"/>
          <w:bCs/>
          <w:color w:val="000000"/>
          <w:sz w:val="26"/>
          <w:szCs w:val="26"/>
        </w:rPr>
        <w:t>cannot be reasonably expected to furnish and maintain adequate, efficient, safe and reasonable service and facilities in the future.</w:t>
      </w:r>
      <w:r w:rsidR="001545EC">
        <w:rPr>
          <w:rFonts w:ascii="Times New Roman" w:eastAsia="Times New Roman" w:hAnsi="Times New Roman" w:cs="Times New Roman"/>
          <w:bCs/>
          <w:color w:val="000000"/>
          <w:sz w:val="26"/>
          <w:szCs w:val="26"/>
        </w:rPr>
        <w:t xml:space="preserve">  Aqua Exc. </w:t>
      </w:r>
      <w:r w:rsidR="001545EC" w:rsidRPr="00494B2C">
        <w:rPr>
          <w:rFonts w:ascii="Times New Roman" w:eastAsia="Times New Roman" w:hAnsi="Times New Roman" w:cs="Times New Roman"/>
          <w:bCs/>
          <w:color w:val="000000"/>
          <w:sz w:val="26"/>
          <w:szCs w:val="26"/>
        </w:rPr>
        <w:t xml:space="preserve">at </w:t>
      </w:r>
      <w:r w:rsidR="00494B2C" w:rsidRPr="00494B2C">
        <w:rPr>
          <w:rFonts w:ascii="Times New Roman" w:eastAsia="Times New Roman" w:hAnsi="Times New Roman" w:cs="Times New Roman"/>
          <w:bCs/>
          <w:color w:val="000000"/>
          <w:sz w:val="26"/>
          <w:szCs w:val="26"/>
        </w:rPr>
        <w:t>5-7</w:t>
      </w:r>
      <w:r w:rsidR="001545EC" w:rsidRPr="00494B2C">
        <w:rPr>
          <w:rFonts w:ascii="Times New Roman" w:eastAsia="Times New Roman" w:hAnsi="Times New Roman" w:cs="Times New Roman"/>
          <w:bCs/>
          <w:color w:val="000000"/>
          <w:sz w:val="26"/>
          <w:szCs w:val="26"/>
        </w:rPr>
        <w:t>,</w:t>
      </w:r>
      <w:r w:rsidR="001545EC">
        <w:rPr>
          <w:rFonts w:ascii="Times New Roman" w:eastAsia="Times New Roman" w:hAnsi="Times New Roman" w:cs="Times New Roman"/>
          <w:bCs/>
          <w:color w:val="000000"/>
          <w:sz w:val="26"/>
          <w:szCs w:val="26"/>
        </w:rPr>
        <w:t xml:space="preserve"> citing </w:t>
      </w:r>
      <w:r w:rsidR="00CE3D93" w:rsidRPr="00CE3D93">
        <w:rPr>
          <w:rFonts w:ascii="Times New Roman" w:eastAsia="Times New Roman" w:hAnsi="Times New Roman" w:cs="Times New Roman"/>
          <w:bCs/>
          <w:color w:val="000000"/>
          <w:sz w:val="26"/>
          <w:szCs w:val="26"/>
        </w:rPr>
        <w:t>R</w:t>
      </w:r>
      <w:r w:rsidR="001545EC">
        <w:rPr>
          <w:rFonts w:ascii="Times New Roman" w:eastAsia="Times New Roman" w:hAnsi="Times New Roman" w:cs="Times New Roman"/>
          <w:bCs/>
          <w:color w:val="000000"/>
          <w:sz w:val="26"/>
          <w:szCs w:val="26"/>
        </w:rPr>
        <w:t>.</w:t>
      </w:r>
      <w:r w:rsidR="00CE3D93" w:rsidRPr="00CE3D93">
        <w:rPr>
          <w:rFonts w:ascii="Times New Roman" w:eastAsia="Times New Roman" w:hAnsi="Times New Roman" w:cs="Times New Roman"/>
          <w:bCs/>
          <w:color w:val="000000"/>
          <w:sz w:val="26"/>
          <w:szCs w:val="26"/>
        </w:rPr>
        <w:t>D</w:t>
      </w:r>
      <w:r w:rsidR="001545EC">
        <w:rPr>
          <w:rFonts w:ascii="Times New Roman" w:eastAsia="Times New Roman" w:hAnsi="Times New Roman" w:cs="Times New Roman"/>
          <w:bCs/>
          <w:color w:val="000000"/>
          <w:sz w:val="26"/>
          <w:szCs w:val="26"/>
        </w:rPr>
        <w:t>.</w:t>
      </w:r>
      <w:r w:rsidR="00CE3D93" w:rsidRPr="00CE3D93">
        <w:rPr>
          <w:rFonts w:ascii="Times New Roman" w:eastAsia="Times New Roman" w:hAnsi="Times New Roman" w:cs="Times New Roman"/>
          <w:bCs/>
          <w:color w:val="000000"/>
          <w:sz w:val="26"/>
          <w:szCs w:val="26"/>
        </w:rPr>
        <w:t xml:space="preserve"> at 42. </w:t>
      </w:r>
      <w:r w:rsidR="002D500A">
        <w:rPr>
          <w:rFonts w:ascii="Times New Roman" w:eastAsia="Times New Roman" w:hAnsi="Times New Roman" w:cs="Times New Roman"/>
          <w:bCs/>
          <w:color w:val="000000"/>
          <w:sz w:val="26"/>
          <w:szCs w:val="26"/>
        </w:rPr>
        <w:t xml:space="preserve"> Aqua’s argument focuses on the “ability” of </w:t>
      </w:r>
      <w:r w:rsidR="00C158B5">
        <w:rPr>
          <w:rFonts w:ascii="Times New Roman" w:eastAsia="Times New Roman" w:hAnsi="Times New Roman" w:cs="Times New Roman"/>
          <w:bCs/>
          <w:color w:val="000000"/>
          <w:sz w:val="26"/>
          <w:szCs w:val="26"/>
        </w:rPr>
        <w:t>T</w:t>
      </w:r>
      <w:r w:rsidR="002D500A">
        <w:rPr>
          <w:rFonts w:ascii="Times New Roman" w:eastAsia="Times New Roman" w:hAnsi="Times New Roman" w:cs="Times New Roman"/>
          <w:bCs/>
          <w:color w:val="000000"/>
          <w:sz w:val="26"/>
          <w:szCs w:val="26"/>
        </w:rPr>
        <w:t>win Lakes to provide reasonable service where Middlesex, was and remains fully capable of providing the financial and technical resources necessary to enable Twin Lakes to provide safe and reliable water service</w:t>
      </w:r>
      <w:r w:rsidR="00B17A37">
        <w:rPr>
          <w:rFonts w:ascii="Times New Roman" w:eastAsia="Times New Roman" w:hAnsi="Times New Roman" w:cs="Times New Roman"/>
          <w:bCs/>
          <w:color w:val="000000"/>
          <w:sz w:val="26"/>
          <w:szCs w:val="26"/>
        </w:rPr>
        <w:t>,</w:t>
      </w:r>
      <w:r w:rsidR="00B02805">
        <w:rPr>
          <w:rFonts w:ascii="Times New Roman" w:eastAsia="Times New Roman" w:hAnsi="Times New Roman" w:cs="Times New Roman"/>
          <w:bCs/>
          <w:color w:val="000000"/>
          <w:sz w:val="26"/>
          <w:szCs w:val="26"/>
        </w:rPr>
        <w:t xml:space="preserve"> since the time of its acquisition of Twin Lakes</w:t>
      </w:r>
      <w:r w:rsidR="002D500A">
        <w:rPr>
          <w:rFonts w:ascii="Times New Roman" w:eastAsia="Times New Roman" w:hAnsi="Times New Roman" w:cs="Times New Roman"/>
          <w:bCs/>
          <w:color w:val="000000"/>
          <w:sz w:val="26"/>
          <w:szCs w:val="26"/>
        </w:rPr>
        <w:t>.</w:t>
      </w:r>
      <w:r w:rsidR="00740757">
        <w:rPr>
          <w:rFonts w:ascii="Times New Roman" w:eastAsia="Times New Roman" w:hAnsi="Times New Roman" w:cs="Times New Roman"/>
          <w:bCs/>
          <w:color w:val="000000"/>
          <w:sz w:val="26"/>
          <w:szCs w:val="26"/>
        </w:rPr>
        <w:t xml:space="preserve">  </w:t>
      </w:r>
      <w:r w:rsidR="001545EC" w:rsidRPr="001545EC">
        <w:rPr>
          <w:rFonts w:ascii="Times New Roman" w:eastAsia="Times New Roman" w:hAnsi="Times New Roman" w:cs="Times New Roman"/>
          <w:bCs/>
          <w:i/>
          <w:iCs/>
          <w:color w:val="000000"/>
          <w:sz w:val="26"/>
          <w:szCs w:val="26"/>
        </w:rPr>
        <w:t>Id.</w:t>
      </w:r>
      <w:r w:rsidR="001545EC">
        <w:rPr>
          <w:rFonts w:ascii="Times New Roman" w:eastAsia="Times New Roman" w:hAnsi="Times New Roman" w:cs="Times New Roman"/>
          <w:bCs/>
          <w:color w:val="000000"/>
          <w:sz w:val="26"/>
          <w:szCs w:val="26"/>
        </w:rPr>
        <w:t xml:space="preserve"> </w:t>
      </w:r>
    </w:p>
    <w:p w14:paraId="74BCD6F2" w14:textId="4B343533" w:rsidR="002D500A" w:rsidRDefault="002D500A" w:rsidP="002D500A">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lastRenderedPageBreak/>
        <w:t xml:space="preserve">Aqua maintains that the condition of Twin Lakes’ water system is due directly to the failure of Middlesex </w:t>
      </w:r>
      <w:r w:rsidR="002B4452">
        <w:rPr>
          <w:rFonts w:ascii="Times New Roman" w:eastAsia="Times New Roman" w:hAnsi="Times New Roman" w:cs="Times New Roman"/>
          <w:bCs/>
          <w:color w:val="000000"/>
          <w:sz w:val="26"/>
          <w:szCs w:val="26"/>
        </w:rPr>
        <w:t xml:space="preserve">to fulfill its duty </w:t>
      </w:r>
      <w:r>
        <w:rPr>
          <w:rFonts w:ascii="Times New Roman" w:eastAsia="Times New Roman" w:hAnsi="Times New Roman" w:cs="Times New Roman"/>
          <w:bCs/>
          <w:color w:val="000000"/>
          <w:sz w:val="26"/>
          <w:szCs w:val="26"/>
        </w:rPr>
        <w:t xml:space="preserve">to </w:t>
      </w:r>
      <w:r w:rsidR="002B4452">
        <w:rPr>
          <w:rFonts w:ascii="Times New Roman" w:eastAsia="Times New Roman" w:hAnsi="Times New Roman" w:cs="Times New Roman"/>
          <w:bCs/>
          <w:color w:val="000000"/>
          <w:sz w:val="26"/>
          <w:szCs w:val="26"/>
        </w:rPr>
        <w:t>furnish the</w:t>
      </w:r>
      <w:r>
        <w:rPr>
          <w:rFonts w:ascii="Times New Roman" w:eastAsia="Times New Roman" w:hAnsi="Times New Roman" w:cs="Times New Roman"/>
          <w:bCs/>
          <w:color w:val="000000"/>
          <w:sz w:val="26"/>
          <w:szCs w:val="26"/>
        </w:rPr>
        <w:t xml:space="preserve"> resources to make the necessary improvements to the </w:t>
      </w:r>
      <w:r w:rsidR="002B4452">
        <w:rPr>
          <w:rFonts w:ascii="Times New Roman" w:eastAsia="Times New Roman" w:hAnsi="Times New Roman" w:cs="Times New Roman"/>
          <w:bCs/>
          <w:color w:val="000000"/>
          <w:sz w:val="26"/>
          <w:szCs w:val="26"/>
        </w:rPr>
        <w:t xml:space="preserve">Twin Lakes </w:t>
      </w:r>
      <w:r>
        <w:rPr>
          <w:rFonts w:ascii="Times New Roman" w:eastAsia="Times New Roman" w:hAnsi="Times New Roman" w:cs="Times New Roman"/>
          <w:bCs/>
          <w:color w:val="000000"/>
          <w:sz w:val="26"/>
          <w:szCs w:val="26"/>
        </w:rPr>
        <w:t xml:space="preserve">system.  Further, Aqua asserts that where Middlesex </w:t>
      </w:r>
      <w:r w:rsidR="003C4D8F">
        <w:rPr>
          <w:rFonts w:ascii="Times New Roman" w:eastAsia="Times New Roman" w:hAnsi="Times New Roman" w:cs="Times New Roman"/>
          <w:bCs/>
          <w:color w:val="000000"/>
          <w:sz w:val="26"/>
          <w:szCs w:val="26"/>
        </w:rPr>
        <w:t>can</w:t>
      </w:r>
      <w:r w:rsidR="0034627E">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 xml:space="preserve">provide the necessary </w:t>
      </w:r>
      <w:r w:rsidR="003C4D8F">
        <w:rPr>
          <w:rFonts w:ascii="Times New Roman" w:eastAsia="Times New Roman" w:hAnsi="Times New Roman" w:cs="Times New Roman"/>
          <w:bCs/>
          <w:color w:val="000000"/>
          <w:sz w:val="26"/>
          <w:szCs w:val="26"/>
        </w:rPr>
        <w:t>resources</w:t>
      </w:r>
      <w:r>
        <w:rPr>
          <w:rFonts w:ascii="Times New Roman" w:eastAsia="Times New Roman" w:hAnsi="Times New Roman" w:cs="Times New Roman"/>
          <w:bCs/>
          <w:color w:val="000000"/>
          <w:sz w:val="26"/>
          <w:szCs w:val="26"/>
        </w:rPr>
        <w:t xml:space="preserve"> to adequately re</w:t>
      </w:r>
      <w:r w:rsidR="003C4D8F">
        <w:rPr>
          <w:rFonts w:ascii="Times New Roman" w:eastAsia="Times New Roman" w:hAnsi="Times New Roman" w:cs="Times New Roman"/>
          <w:bCs/>
          <w:color w:val="000000"/>
          <w:sz w:val="26"/>
          <w:szCs w:val="26"/>
        </w:rPr>
        <w:t>s</w:t>
      </w:r>
      <w:r>
        <w:rPr>
          <w:rFonts w:ascii="Times New Roman" w:eastAsia="Times New Roman" w:hAnsi="Times New Roman" w:cs="Times New Roman"/>
          <w:bCs/>
          <w:color w:val="000000"/>
          <w:sz w:val="26"/>
          <w:szCs w:val="26"/>
        </w:rPr>
        <w:t xml:space="preserve">tore the Twin Lakes system, </w:t>
      </w:r>
      <w:r w:rsidRPr="00DD395A">
        <w:rPr>
          <w:rFonts w:ascii="Times New Roman" w:eastAsia="Times New Roman" w:hAnsi="Times New Roman" w:cs="Times New Roman"/>
          <w:bCs/>
          <w:i/>
          <w:iCs/>
          <w:color w:val="000000"/>
          <w:sz w:val="26"/>
          <w:szCs w:val="26"/>
        </w:rPr>
        <w:t>albeit</w:t>
      </w:r>
      <w:r>
        <w:rPr>
          <w:rFonts w:ascii="Times New Roman" w:eastAsia="Times New Roman" w:hAnsi="Times New Roman" w:cs="Times New Roman"/>
          <w:bCs/>
          <w:color w:val="000000"/>
          <w:sz w:val="26"/>
          <w:szCs w:val="26"/>
        </w:rPr>
        <w:t xml:space="preserve"> withheld until now, Twin Lakes cannot be found to be “unable” to provide service per the meaning of Section 529.  Aqua Exc. </w:t>
      </w:r>
      <w:r w:rsidRPr="000E7E94">
        <w:rPr>
          <w:rFonts w:ascii="Times New Roman" w:eastAsia="Times New Roman" w:hAnsi="Times New Roman" w:cs="Times New Roman"/>
          <w:bCs/>
          <w:color w:val="000000"/>
          <w:sz w:val="26"/>
          <w:szCs w:val="26"/>
        </w:rPr>
        <w:t>at</w:t>
      </w:r>
      <w:r w:rsidRPr="000E7E94">
        <w:rPr>
          <w:rFonts w:ascii="Times New Roman" w:eastAsia="Times New Roman" w:hAnsi="Times New Roman" w:cs="Times New Roman"/>
          <w:color w:val="000000"/>
          <w:sz w:val="26"/>
          <w:szCs w:val="26"/>
        </w:rPr>
        <w:t xml:space="preserve"> </w:t>
      </w:r>
      <w:r w:rsidR="000E7E94" w:rsidRPr="000E7E94">
        <w:rPr>
          <w:rFonts w:ascii="Times New Roman" w:eastAsia="Times New Roman" w:hAnsi="Times New Roman" w:cs="Times New Roman"/>
          <w:color w:val="000000"/>
          <w:sz w:val="26"/>
          <w:szCs w:val="26"/>
        </w:rPr>
        <w:t>6-7</w:t>
      </w:r>
      <w:r w:rsidRPr="000E7E94">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2CE9B806" w14:textId="77777777" w:rsidR="003A5F61" w:rsidRPr="002E2C53" w:rsidRDefault="003A5F61" w:rsidP="002D500A">
      <w:pPr>
        <w:spacing w:after="0" w:line="360" w:lineRule="auto"/>
        <w:ind w:firstLine="1440"/>
        <w:rPr>
          <w:rFonts w:ascii="Times New Roman" w:eastAsia="Times New Roman" w:hAnsi="Times New Roman" w:cs="Times New Roman"/>
          <w:bCs/>
          <w:color w:val="000000"/>
          <w:sz w:val="26"/>
          <w:szCs w:val="26"/>
        </w:rPr>
      </w:pPr>
    </w:p>
    <w:p w14:paraId="5FE8F191" w14:textId="4AE7D061" w:rsidR="001E4FDF" w:rsidRDefault="002D500A" w:rsidP="001E4FDF">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Aqua asserts that </w:t>
      </w:r>
      <w:r w:rsidR="00740757">
        <w:rPr>
          <w:rFonts w:ascii="Times New Roman" w:eastAsia="Times New Roman" w:hAnsi="Times New Roman" w:cs="Times New Roman"/>
          <w:color w:val="000000"/>
          <w:sz w:val="26"/>
          <w:szCs w:val="26"/>
        </w:rPr>
        <w:t>Twin Lakes</w:t>
      </w:r>
      <w:r w:rsidR="00E75514">
        <w:rPr>
          <w:rFonts w:ascii="Times New Roman" w:eastAsia="Times New Roman" w:hAnsi="Times New Roman" w:cs="Times New Roman"/>
          <w:color w:val="000000"/>
          <w:sz w:val="26"/>
          <w:szCs w:val="26"/>
        </w:rPr>
        <w:t>, through its owner,</w:t>
      </w:r>
      <w:r w:rsidR="0074075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Middlesex</w:t>
      </w:r>
      <w:r w:rsidR="00A01A14">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E75514">
        <w:rPr>
          <w:rFonts w:ascii="Times New Roman" w:eastAsia="Times New Roman" w:hAnsi="Times New Roman" w:cs="Times New Roman"/>
          <w:color w:val="000000"/>
          <w:sz w:val="26"/>
          <w:szCs w:val="26"/>
        </w:rPr>
        <w:t xml:space="preserve">cannot be found to satisfy the </w:t>
      </w:r>
      <w:r w:rsidR="00BE2943">
        <w:rPr>
          <w:rFonts w:ascii="Times New Roman" w:eastAsia="Times New Roman" w:hAnsi="Times New Roman" w:cs="Times New Roman"/>
          <w:color w:val="000000"/>
          <w:sz w:val="26"/>
          <w:szCs w:val="26"/>
        </w:rPr>
        <w:t>Section 529(a)(3) requirement.</w:t>
      </w:r>
      <w:r>
        <w:rPr>
          <w:rFonts w:ascii="Times New Roman" w:eastAsia="Times New Roman" w:hAnsi="Times New Roman" w:cs="Times New Roman"/>
          <w:color w:val="000000"/>
          <w:sz w:val="26"/>
          <w:szCs w:val="26"/>
        </w:rPr>
        <w:t xml:space="preserve">  On this basis, Aqua argues that the Commission should conclude that, </w:t>
      </w:r>
      <w:r w:rsidR="002062FA">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t xml:space="preserve">n the basis of Middlesex’s </w:t>
      </w:r>
      <w:r w:rsidR="0012605E">
        <w:rPr>
          <w:rFonts w:ascii="Times New Roman" w:eastAsia="Times New Roman" w:hAnsi="Times New Roman" w:cs="Times New Roman"/>
          <w:color w:val="000000"/>
          <w:sz w:val="26"/>
          <w:szCs w:val="26"/>
        </w:rPr>
        <w:t xml:space="preserve">demonstrated </w:t>
      </w:r>
      <w:r>
        <w:rPr>
          <w:rFonts w:ascii="Times New Roman" w:eastAsia="Times New Roman" w:hAnsi="Times New Roman" w:cs="Times New Roman"/>
          <w:color w:val="000000"/>
          <w:sz w:val="26"/>
          <w:szCs w:val="26"/>
        </w:rPr>
        <w:t>ability to provide the necessary resources, th</w:t>
      </w:r>
      <w:r w:rsidR="00DD395A">
        <w:rPr>
          <w:rFonts w:ascii="Times New Roman" w:eastAsia="Times New Roman" w:hAnsi="Times New Roman" w:cs="Times New Roman"/>
          <w:color w:val="000000"/>
          <w:sz w:val="26"/>
          <w:szCs w:val="26"/>
        </w:rPr>
        <w:t>at</w:t>
      </w:r>
      <w:r>
        <w:rPr>
          <w:rFonts w:ascii="Times New Roman" w:eastAsia="Times New Roman" w:hAnsi="Times New Roman" w:cs="Times New Roman"/>
          <w:color w:val="000000"/>
          <w:sz w:val="26"/>
          <w:szCs w:val="26"/>
        </w:rPr>
        <w:t xml:space="preserve"> Twin Lakes should not be found to have met the burden of proof necessary to be eligible for acquisition under Section 529.  </w:t>
      </w:r>
      <w:r w:rsidR="00494B2C" w:rsidRPr="000E7E94">
        <w:rPr>
          <w:rFonts w:ascii="Times New Roman" w:eastAsia="Times New Roman" w:hAnsi="Times New Roman" w:cs="Times New Roman"/>
          <w:i/>
          <w:iCs/>
          <w:color w:val="000000"/>
          <w:sz w:val="26"/>
          <w:szCs w:val="26"/>
        </w:rPr>
        <w:t>Id.</w:t>
      </w:r>
      <w:r w:rsidR="00494B2C">
        <w:rPr>
          <w:rFonts w:ascii="Times New Roman" w:eastAsia="Times New Roman" w:hAnsi="Times New Roman" w:cs="Times New Roman"/>
          <w:color w:val="000000"/>
          <w:sz w:val="26"/>
          <w:szCs w:val="26"/>
        </w:rPr>
        <w:t xml:space="preserve"> </w:t>
      </w:r>
    </w:p>
    <w:p w14:paraId="6B4C0A75" w14:textId="77777777" w:rsidR="00B3207B" w:rsidRDefault="00B3207B" w:rsidP="0035302A">
      <w:pPr>
        <w:tabs>
          <w:tab w:val="left" w:pos="2691"/>
        </w:tabs>
        <w:spacing w:after="0" w:line="360" w:lineRule="auto"/>
        <w:rPr>
          <w:rFonts w:ascii="Times New Roman" w:eastAsia="Times New Roman" w:hAnsi="Times New Roman" w:cs="Times New Roman"/>
          <w:color w:val="000000"/>
          <w:sz w:val="26"/>
          <w:szCs w:val="26"/>
        </w:rPr>
      </w:pPr>
    </w:p>
    <w:p w14:paraId="4D476371" w14:textId="6EEF2D5A" w:rsidR="00B3207B" w:rsidRPr="001664CF" w:rsidRDefault="00B3207B" w:rsidP="00B3207B">
      <w:pPr>
        <w:tabs>
          <w:tab w:val="left" w:pos="2691"/>
        </w:tabs>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w:t>
      </w:r>
      <w:r w:rsidR="00E31217">
        <w:rPr>
          <w:rFonts w:ascii="Times New Roman" w:eastAsia="Times New Roman" w:hAnsi="Times New Roman" w:cs="Times New Roman"/>
          <w:color w:val="000000"/>
          <w:sz w:val="26"/>
          <w:szCs w:val="26"/>
        </w:rPr>
        <w:t xml:space="preserve">its </w:t>
      </w:r>
      <w:r>
        <w:rPr>
          <w:rFonts w:ascii="Times New Roman" w:eastAsia="Times New Roman" w:hAnsi="Times New Roman" w:cs="Times New Roman"/>
          <w:color w:val="000000"/>
          <w:sz w:val="26"/>
          <w:szCs w:val="26"/>
        </w:rPr>
        <w:t>Repl</w:t>
      </w:r>
      <w:r w:rsidR="008B2111">
        <w:rPr>
          <w:rFonts w:ascii="Times New Roman" w:eastAsia="Times New Roman" w:hAnsi="Times New Roman" w:cs="Times New Roman"/>
          <w:color w:val="000000"/>
          <w:sz w:val="26"/>
          <w:szCs w:val="26"/>
        </w:rPr>
        <w:t>ies</w:t>
      </w:r>
      <w:r>
        <w:rPr>
          <w:rFonts w:ascii="Times New Roman" w:eastAsia="Times New Roman" w:hAnsi="Times New Roman" w:cs="Times New Roman"/>
          <w:color w:val="000000"/>
          <w:sz w:val="26"/>
          <w:szCs w:val="26"/>
        </w:rPr>
        <w:t xml:space="preserve"> to Aqua’s Exception No. 2, Twin Lakes reiterate</w:t>
      </w:r>
      <w:r w:rsidR="00F0297E">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z w:val="26"/>
          <w:szCs w:val="26"/>
        </w:rPr>
        <w:t xml:space="preserve"> the arguments it raised before the ALJ.  Specifically, Twin Lakes argues that substantia</w:t>
      </w:r>
      <w:r w:rsidR="00F26935">
        <w:rPr>
          <w:rFonts w:ascii="Times New Roman" w:eastAsia="Times New Roman" w:hAnsi="Times New Roman" w:cs="Times New Roman"/>
          <w:color w:val="000000"/>
          <w:sz w:val="26"/>
          <w:szCs w:val="26"/>
        </w:rPr>
        <w:t xml:space="preserve">l </w:t>
      </w:r>
      <w:r>
        <w:rPr>
          <w:rFonts w:ascii="Times New Roman" w:eastAsia="Times New Roman" w:hAnsi="Times New Roman" w:cs="Times New Roman"/>
          <w:color w:val="000000"/>
          <w:sz w:val="26"/>
          <w:szCs w:val="26"/>
        </w:rPr>
        <w:t xml:space="preserve">evidence supports the ALJ’s recommendation </w:t>
      </w:r>
      <w:r w:rsidRPr="00F26935">
        <w:rPr>
          <w:rFonts w:ascii="Times New Roman" w:eastAsia="Times New Roman" w:hAnsi="Times New Roman" w:cs="Times New Roman"/>
          <w:color w:val="000000"/>
          <w:sz w:val="26"/>
          <w:szCs w:val="26"/>
        </w:rPr>
        <w:t xml:space="preserve">that Twin Lakes has satisfied all necessary elements of Section 529 and properly found that Aqua should be directed to acquire the Twin Lakes system. </w:t>
      </w:r>
      <w:r w:rsidR="002062FA">
        <w:rPr>
          <w:rFonts w:ascii="Times New Roman" w:eastAsia="Times New Roman" w:hAnsi="Times New Roman" w:cs="Times New Roman"/>
          <w:color w:val="000000"/>
          <w:sz w:val="26"/>
          <w:szCs w:val="26"/>
        </w:rPr>
        <w:t xml:space="preserve"> </w:t>
      </w:r>
      <w:r w:rsidRPr="00F26935">
        <w:rPr>
          <w:rFonts w:ascii="Times New Roman" w:eastAsia="Times New Roman" w:hAnsi="Times New Roman" w:cs="Times New Roman"/>
          <w:color w:val="000000"/>
          <w:sz w:val="26"/>
          <w:szCs w:val="26"/>
        </w:rPr>
        <w:t xml:space="preserve">Accordingly, Twin Lakes argues that Aqua’s Exceptions must be rejected. </w:t>
      </w:r>
      <w:r w:rsidR="002062FA">
        <w:rPr>
          <w:rFonts w:ascii="Times New Roman" w:eastAsia="Times New Roman" w:hAnsi="Times New Roman" w:cs="Times New Roman"/>
          <w:color w:val="000000"/>
          <w:sz w:val="26"/>
          <w:szCs w:val="26"/>
        </w:rPr>
        <w:t xml:space="preserve"> </w:t>
      </w:r>
      <w:r w:rsidRPr="00F26935">
        <w:rPr>
          <w:rFonts w:ascii="Times New Roman" w:eastAsia="Times New Roman" w:hAnsi="Times New Roman" w:cs="Times New Roman"/>
          <w:color w:val="000000"/>
          <w:sz w:val="26"/>
          <w:szCs w:val="26"/>
        </w:rPr>
        <w:t xml:space="preserve">Twin Lakes R. Exc. at </w:t>
      </w:r>
      <w:r w:rsidR="009426B5" w:rsidRPr="00F26935">
        <w:rPr>
          <w:rFonts w:ascii="Times New Roman" w:eastAsia="Times New Roman" w:hAnsi="Times New Roman" w:cs="Times New Roman"/>
          <w:color w:val="000000"/>
          <w:sz w:val="26"/>
          <w:szCs w:val="26"/>
        </w:rPr>
        <w:t>5-10</w:t>
      </w:r>
      <w:r w:rsidRPr="00F26935">
        <w:rPr>
          <w:rFonts w:ascii="Times New Roman" w:eastAsia="Times New Roman" w:hAnsi="Times New Roman" w:cs="Times New Roman"/>
          <w:color w:val="000000"/>
          <w:sz w:val="26"/>
          <w:szCs w:val="26"/>
        </w:rPr>
        <w:t>, citing Twin Lakes M.B. at 28-48.</w:t>
      </w:r>
    </w:p>
    <w:p w14:paraId="46BED3AC" w14:textId="77777777" w:rsidR="00B3207B" w:rsidRPr="0001210F" w:rsidRDefault="00B3207B" w:rsidP="00B3207B">
      <w:pPr>
        <w:tabs>
          <w:tab w:val="left" w:pos="2691"/>
        </w:tabs>
        <w:spacing w:after="0" w:line="360" w:lineRule="auto"/>
        <w:rPr>
          <w:rFonts w:ascii="Times New Roman" w:eastAsia="Times New Roman" w:hAnsi="Times New Roman" w:cs="Times New Roman"/>
          <w:color w:val="000000"/>
          <w:sz w:val="26"/>
          <w:szCs w:val="26"/>
          <w:highlight w:val="yellow"/>
        </w:rPr>
      </w:pPr>
    </w:p>
    <w:p w14:paraId="5463FD34" w14:textId="44410918" w:rsidR="006B31F7" w:rsidRDefault="00B3207B" w:rsidP="005049A3">
      <w:pPr>
        <w:keepNext/>
        <w:tabs>
          <w:tab w:val="left" w:pos="2691"/>
        </w:tabs>
        <w:spacing w:after="0" w:line="360" w:lineRule="auto"/>
        <w:ind w:firstLine="1440"/>
        <w:rPr>
          <w:rFonts w:ascii="Times New Roman" w:eastAsia="Times New Roman" w:hAnsi="Times New Roman" w:cs="Times New Roman"/>
          <w:color w:val="000000"/>
          <w:sz w:val="26"/>
          <w:szCs w:val="26"/>
        </w:rPr>
      </w:pPr>
      <w:r w:rsidRPr="00F42CA5">
        <w:rPr>
          <w:rFonts w:ascii="Times New Roman" w:eastAsia="Times New Roman" w:hAnsi="Times New Roman" w:cs="Times New Roman"/>
          <w:color w:val="000000"/>
          <w:sz w:val="26"/>
          <w:szCs w:val="26"/>
        </w:rPr>
        <w:t xml:space="preserve">In its Replies to Aqua’s Exception No. </w:t>
      </w:r>
      <w:r w:rsidR="00DB28FC">
        <w:rPr>
          <w:rFonts w:ascii="Times New Roman" w:eastAsia="Times New Roman" w:hAnsi="Times New Roman" w:cs="Times New Roman"/>
          <w:color w:val="000000"/>
          <w:sz w:val="26"/>
          <w:szCs w:val="26"/>
        </w:rPr>
        <w:t>2</w:t>
      </w:r>
      <w:r w:rsidRPr="00F42CA5">
        <w:rPr>
          <w:rFonts w:ascii="Times New Roman" w:eastAsia="Times New Roman" w:hAnsi="Times New Roman" w:cs="Times New Roman"/>
          <w:color w:val="000000"/>
          <w:sz w:val="26"/>
          <w:szCs w:val="26"/>
        </w:rPr>
        <w:t>, t</w:t>
      </w:r>
      <w:r w:rsidRPr="00EB55DB">
        <w:rPr>
          <w:rFonts w:ascii="Times New Roman" w:eastAsia="Times New Roman" w:hAnsi="Times New Roman" w:cs="Times New Roman"/>
          <w:color w:val="000000"/>
          <w:sz w:val="26"/>
          <w:szCs w:val="26"/>
        </w:rPr>
        <w:t xml:space="preserve">he OCA </w:t>
      </w:r>
      <w:r w:rsidRPr="00F42CA5">
        <w:rPr>
          <w:rFonts w:ascii="Times New Roman" w:eastAsia="Times New Roman" w:hAnsi="Times New Roman" w:cs="Times New Roman"/>
          <w:color w:val="000000"/>
          <w:sz w:val="26"/>
          <w:szCs w:val="26"/>
        </w:rPr>
        <w:t>asserts</w:t>
      </w:r>
      <w:r w:rsidRPr="00EB55DB">
        <w:rPr>
          <w:rFonts w:ascii="Times New Roman" w:eastAsia="Times New Roman" w:hAnsi="Times New Roman" w:cs="Times New Roman"/>
          <w:color w:val="000000"/>
          <w:sz w:val="26"/>
          <w:szCs w:val="26"/>
        </w:rPr>
        <w:t xml:space="preserve"> that</w:t>
      </w:r>
      <w:r w:rsidRPr="00F42CA5">
        <w:rPr>
          <w:rFonts w:ascii="Times New Roman" w:eastAsia="Times New Roman" w:hAnsi="Times New Roman" w:cs="Times New Roman"/>
          <w:color w:val="000000"/>
          <w:sz w:val="26"/>
          <w:szCs w:val="26"/>
        </w:rPr>
        <w:t xml:space="preserve">, </w:t>
      </w:r>
      <w:r w:rsidR="006B31F7" w:rsidRPr="006B31F7">
        <w:rPr>
          <w:rFonts w:ascii="Times New Roman" w:eastAsia="Times New Roman" w:hAnsi="Times New Roman" w:cs="Times New Roman"/>
          <w:color w:val="000000"/>
          <w:sz w:val="26"/>
          <w:szCs w:val="26"/>
        </w:rPr>
        <w:t>Aqua</w:t>
      </w:r>
      <w:r w:rsidR="00053626">
        <w:rPr>
          <w:rFonts w:ascii="Times New Roman" w:eastAsia="Times New Roman" w:hAnsi="Times New Roman" w:cs="Times New Roman"/>
          <w:color w:val="000000"/>
          <w:sz w:val="26"/>
          <w:szCs w:val="26"/>
        </w:rPr>
        <w:t>’s</w:t>
      </w:r>
      <w:r w:rsidR="006B31F7" w:rsidRPr="006B31F7">
        <w:rPr>
          <w:rFonts w:ascii="Times New Roman" w:eastAsia="Times New Roman" w:hAnsi="Times New Roman" w:cs="Times New Roman"/>
          <w:color w:val="000000"/>
          <w:sz w:val="26"/>
          <w:szCs w:val="26"/>
        </w:rPr>
        <w:t xml:space="preserve"> </w:t>
      </w:r>
      <w:r w:rsidR="007935CB">
        <w:rPr>
          <w:rFonts w:ascii="Times New Roman" w:eastAsia="Times New Roman" w:hAnsi="Times New Roman" w:cs="Times New Roman"/>
          <w:color w:val="000000"/>
          <w:sz w:val="26"/>
          <w:szCs w:val="26"/>
        </w:rPr>
        <w:t xml:space="preserve">argument </w:t>
      </w:r>
      <w:r w:rsidR="006B31F7" w:rsidRPr="006B31F7">
        <w:rPr>
          <w:rFonts w:ascii="Times New Roman" w:eastAsia="Times New Roman" w:hAnsi="Times New Roman" w:cs="Times New Roman"/>
          <w:color w:val="000000"/>
          <w:sz w:val="26"/>
          <w:szCs w:val="26"/>
        </w:rPr>
        <w:t>that</w:t>
      </w:r>
      <w:r w:rsidR="00E16E6D">
        <w:rPr>
          <w:rFonts w:ascii="Times New Roman" w:eastAsia="Times New Roman" w:hAnsi="Times New Roman" w:cs="Times New Roman"/>
          <w:color w:val="000000"/>
          <w:sz w:val="26"/>
          <w:szCs w:val="26"/>
        </w:rPr>
        <w:t xml:space="preserve"> </w:t>
      </w:r>
      <w:r w:rsidR="006B31F7" w:rsidRPr="006B31F7">
        <w:rPr>
          <w:rFonts w:ascii="Times New Roman" w:eastAsia="Times New Roman" w:hAnsi="Times New Roman" w:cs="Times New Roman"/>
          <w:color w:val="000000"/>
          <w:sz w:val="26"/>
          <w:szCs w:val="26"/>
        </w:rPr>
        <w:t>Twin</w:t>
      </w:r>
      <w:r w:rsidR="00E16E6D">
        <w:rPr>
          <w:rFonts w:ascii="Times New Roman" w:eastAsia="Times New Roman" w:hAnsi="Times New Roman" w:cs="Times New Roman"/>
          <w:color w:val="000000"/>
          <w:sz w:val="26"/>
          <w:szCs w:val="26"/>
        </w:rPr>
        <w:t xml:space="preserve"> </w:t>
      </w:r>
      <w:r w:rsidR="006B31F7" w:rsidRPr="006B31F7">
        <w:rPr>
          <w:rFonts w:ascii="Times New Roman" w:eastAsia="Times New Roman" w:hAnsi="Times New Roman" w:cs="Times New Roman"/>
          <w:color w:val="000000"/>
          <w:sz w:val="26"/>
          <w:szCs w:val="26"/>
        </w:rPr>
        <w:t>Lakes has failed to meet the requirement of Section 529(a)(3) when considering the financial, managerial and technical fitness of Middlesex</w:t>
      </w:r>
      <w:r w:rsidR="007935CB">
        <w:rPr>
          <w:rFonts w:ascii="Times New Roman" w:eastAsia="Times New Roman" w:hAnsi="Times New Roman" w:cs="Times New Roman"/>
          <w:color w:val="000000"/>
          <w:sz w:val="26"/>
          <w:szCs w:val="26"/>
        </w:rPr>
        <w:t>, should be re</w:t>
      </w:r>
      <w:r w:rsidR="002B3E66">
        <w:rPr>
          <w:rFonts w:ascii="Times New Roman" w:eastAsia="Times New Roman" w:hAnsi="Times New Roman" w:cs="Times New Roman"/>
          <w:color w:val="000000"/>
          <w:sz w:val="26"/>
          <w:szCs w:val="26"/>
        </w:rPr>
        <w:t xml:space="preserve">jected.  </w:t>
      </w:r>
      <w:r w:rsidR="006B31F7" w:rsidRPr="006B31F7">
        <w:rPr>
          <w:rFonts w:ascii="Times New Roman" w:eastAsia="Times New Roman" w:hAnsi="Times New Roman" w:cs="Times New Roman"/>
          <w:color w:val="000000"/>
          <w:sz w:val="26"/>
          <w:szCs w:val="26"/>
        </w:rPr>
        <w:t xml:space="preserve">The OCA </w:t>
      </w:r>
      <w:r w:rsidR="002B3E66">
        <w:rPr>
          <w:rFonts w:ascii="Times New Roman" w:eastAsia="Times New Roman" w:hAnsi="Times New Roman" w:cs="Times New Roman"/>
          <w:color w:val="000000"/>
          <w:sz w:val="26"/>
          <w:szCs w:val="26"/>
        </w:rPr>
        <w:t>asserts that</w:t>
      </w:r>
      <w:r w:rsidR="006B31F7" w:rsidRPr="006B31F7">
        <w:rPr>
          <w:rFonts w:ascii="Times New Roman" w:eastAsia="Times New Roman" w:hAnsi="Times New Roman" w:cs="Times New Roman"/>
          <w:color w:val="000000"/>
          <w:sz w:val="26"/>
          <w:szCs w:val="26"/>
        </w:rPr>
        <w:t xml:space="preserve"> Twin Lakes, not Middlesex, is the entity </w:t>
      </w:r>
      <w:r w:rsidR="002B3E66">
        <w:rPr>
          <w:rFonts w:ascii="Times New Roman" w:eastAsia="Times New Roman" w:hAnsi="Times New Roman" w:cs="Times New Roman"/>
          <w:color w:val="000000"/>
          <w:sz w:val="26"/>
          <w:szCs w:val="26"/>
        </w:rPr>
        <w:t>for purposes of satisfying Section 529(a)(3)</w:t>
      </w:r>
      <w:r w:rsidR="00FD1817">
        <w:rPr>
          <w:rFonts w:ascii="Times New Roman" w:eastAsia="Times New Roman" w:hAnsi="Times New Roman" w:cs="Times New Roman"/>
          <w:color w:val="000000"/>
          <w:sz w:val="26"/>
          <w:szCs w:val="26"/>
        </w:rPr>
        <w:t xml:space="preserve">.  The OCA further submits that, </w:t>
      </w:r>
      <w:r w:rsidR="006B31F7" w:rsidRPr="006B31F7">
        <w:rPr>
          <w:rFonts w:ascii="Times New Roman" w:eastAsia="Times New Roman" w:hAnsi="Times New Roman" w:cs="Times New Roman"/>
          <w:color w:val="000000"/>
          <w:sz w:val="26"/>
          <w:szCs w:val="26"/>
        </w:rPr>
        <w:t>even if Middlesex</w:t>
      </w:r>
      <w:r w:rsidR="00FD1817">
        <w:rPr>
          <w:rFonts w:ascii="Times New Roman" w:eastAsia="Times New Roman" w:hAnsi="Times New Roman" w:cs="Times New Roman"/>
          <w:color w:val="000000"/>
          <w:sz w:val="26"/>
          <w:szCs w:val="26"/>
        </w:rPr>
        <w:t xml:space="preserve"> were the </w:t>
      </w:r>
      <w:r w:rsidR="00FD1817">
        <w:rPr>
          <w:rFonts w:ascii="Times New Roman" w:eastAsia="Times New Roman" w:hAnsi="Times New Roman" w:cs="Times New Roman"/>
          <w:color w:val="000000"/>
          <w:sz w:val="26"/>
          <w:szCs w:val="26"/>
        </w:rPr>
        <w:lastRenderedPageBreak/>
        <w:t xml:space="preserve">entity </w:t>
      </w:r>
      <w:r w:rsidR="00770374">
        <w:rPr>
          <w:rFonts w:ascii="Times New Roman" w:eastAsia="Times New Roman" w:hAnsi="Times New Roman" w:cs="Times New Roman"/>
          <w:color w:val="000000"/>
          <w:sz w:val="26"/>
          <w:szCs w:val="26"/>
        </w:rPr>
        <w:t xml:space="preserve">for purposes of satisfying Section 529(a)(3), the </w:t>
      </w:r>
      <w:r w:rsidR="00D64E8D">
        <w:rPr>
          <w:rFonts w:ascii="Times New Roman" w:eastAsia="Times New Roman" w:hAnsi="Times New Roman" w:cs="Times New Roman"/>
          <w:color w:val="000000"/>
          <w:sz w:val="26"/>
          <w:szCs w:val="26"/>
        </w:rPr>
        <w:t xml:space="preserve">requirements would still be satisfied.  The OCA relies upon the ALJ’s finding that: </w:t>
      </w:r>
      <w:r w:rsidR="006B31F7" w:rsidRPr="006B31F7">
        <w:rPr>
          <w:rFonts w:ascii="Times New Roman" w:eastAsia="Times New Roman" w:hAnsi="Times New Roman" w:cs="Times New Roman"/>
          <w:color w:val="000000"/>
          <w:sz w:val="26"/>
          <w:szCs w:val="26"/>
        </w:rPr>
        <w:t xml:space="preserve"> </w:t>
      </w:r>
    </w:p>
    <w:p w14:paraId="521E2BC8" w14:textId="77777777" w:rsidR="00463F0D" w:rsidRPr="006B31F7" w:rsidRDefault="00463F0D" w:rsidP="005049A3">
      <w:pPr>
        <w:keepNext/>
        <w:tabs>
          <w:tab w:val="left" w:pos="2691"/>
        </w:tabs>
        <w:spacing w:after="0" w:line="240" w:lineRule="auto"/>
        <w:rPr>
          <w:rFonts w:ascii="Times New Roman" w:eastAsia="Times New Roman" w:hAnsi="Times New Roman" w:cs="Times New Roman"/>
          <w:color w:val="000000"/>
          <w:sz w:val="26"/>
          <w:szCs w:val="26"/>
        </w:rPr>
      </w:pPr>
    </w:p>
    <w:p w14:paraId="5AC67F88" w14:textId="78308639" w:rsidR="006B31F7" w:rsidRPr="006B31F7" w:rsidRDefault="006B31F7" w:rsidP="005049A3">
      <w:pPr>
        <w:keepNext/>
        <w:tabs>
          <w:tab w:val="left" w:pos="2691"/>
        </w:tabs>
        <w:spacing w:after="0" w:line="240" w:lineRule="auto"/>
        <w:ind w:left="1440" w:right="1440"/>
        <w:rPr>
          <w:rFonts w:ascii="Times New Roman" w:eastAsia="Times New Roman" w:hAnsi="Times New Roman" w:cs="Times New Roman"/>
          <w:color w:val="000000"/>
          <w:sz w:val="26"/>
          <w:szCs w:val="26"/>
        </w:rPr>
      </w:pPr>
      <w:r w:rsidRPr="006B31F7">
        <w:rPr>
          <w:rFonts w:ascii="Times New Roman" w:eastAsia="Times New Roman" w:hAnsi="Times New Roman" w:cs="Times New Roman"/>
          <w:color w:val="000000"/>
          <w:sz w:val="26"/>
          <w:szCs w:val="26"/>
        </w:rPr>
        <w:t>Substantial record evidence demonstrates that Twin Lakes cannot reasonably be expected to furnish and maintain adequate, efficient, safe and reasonable service and facilities in the future.  This finding is made when evaluating Section</w:t>
      </w:r>
      <w:r w:rsidR="005049A3">
        <w:rPr>
          <w:rFonts w:ascii="Times New Roman" w:eastAsia="Times New Roman" w:hAnsi="Times New Roman" w:cs="Times New Roman"/>
          <w:color w:val="000000"/>
          <w:sz w:val="26"/>
          <w:szCs w:val="26"/>
        </w:rPr>
        <w:t> </w:t>
      </w:r>
      <w:r w:rsidRPr="006B31F7">
        <w:rPr>
          <w:rFonts w:ascii="Times New Roman" w:eastAsia="Times New Roman" w:hAnsi="Times New Roman" w:cs="Times New Roman"/>
          <w:color w:val="000000"/>
          <w:sz w:val="26"/>
          <w:szCs w:val="26"/>
        </w:rPr>
        <w:t xml:space="preserve">529(a)(3) for Twin Lakes as a standalone company as well as considering Middlesex as the parent company.  Regardless of whether the financial, managerial or technical expertise of Middlesex as Twin Lakes’ parent company is considered when determining whether Section 529(a)(3) has been satisfied, or whether Twin Lakes is considered alone, Section 529(a)(3) is satisfied. That is, even when considering Middlesex’s financial, managerial or technical expertise provided during the past decade when Middlesex was providing financial and operational support to Twin Lakes, the system was poorly run. It is unreasonable to expect that Twin Lakes, with or without the support of Middlesex, can reasonably be expected to furnish and maintain adequate, efficient, safe and reasonable service and facilities in the future. </w:t>
      </w:r>
    </w:p>
    <w:p w14:paraId="24D781AC" w14:textId="30083F1C" w:rsidR="006B31F7" w:rsidRDefault="006B31F7" w:rsidP="00B3207B">
      <w:pPr>
        <w:tabs>
          <w:tab w:val="left" w:pos="2691"/>
        </w:tabs>
        <w:spacing w:after="0" w:line="360" w:lineRule="auto"/>
        <w:ind w:firstLine="1440"/>
        <w:rPr>
          <w:rFonts w:ascii="Times New Roman" w:eastAsia="Times New Roman" w:hAnsi="Times New Roman" w:cs="Times New Roman"/>
          <w:color w:val="000000"/>
          <w:sz w:val="26"/>
          <w:szCs w:val="26"/>
        </w:rPr>
      </w:pPr>
    </w:p>
    <w:p w14:paraId="4769DCCE" w14:textId="6CE69BAC" w:rsidR="00463F0D" w:rsidRDefault="00463F0D" w:rsidP="00463F0D">
      <w:pPr>
        <w:tabs>
          <w:tab w:val="left" w:pos="2691"/>
        </w:tabs>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OCA R. Exc</w:t>
      </w:r>
      <w:r w:rsidRPr="00B1303C">
        <w:rPr>
          <w:rFonts w:ascii="Times New Roman" w:eastAsia="Times New Roman" w:hAnsi="Times New Roman" w:cs="Times New Roman"/>
          <w:color w:val="000000"/>
          <w:sz w:val="26"/>
          <w:szCs w:val="26"/>
        </w:rPr>
        <w:t xml:space="preserve">. at </w:t>
      </w:r>
      <w:r w:rsidR="00F052D1" w:rsidRPr="00B1303C">
        <w:rPr>
          <w:rFonts w:ascii="Times New Roman" w:eastAsia="Times New Roman" w:hAnsi="Times New Roman" w:cs="Times New Roman"/>
          <w:color w:val="000000"/>
          <w:sz w:val="26"/>
          <w:szCs w:val="26"/>
        </w:rPr>
        <w:t>5-6</w:t>
      </w:r>
      <w:r w:rsidR="003B3440" w:rsidRPr="00B1303C">
        <w:rPr>
          <w:rFonts w:ascii="Times New Roman" w:eastAsia="Times New Roman" w:hAnsi="Times New Roman" w:cs="Times New Roman"/>
          <w:color w:val="000000"/>
          <w:sz w:val="26"/>
          <w:szCs w:val="26"/>
        </w:rPr>
        <w:t>, citing R.D. at</w:t>
      </w:r>
      <w:r w:rsidR="00B1303C" w:rsidRPr="00B1303C">
        <w:rPr>
          <w:rFonts w:ascii="Times New Roman" w:eastAsia="Times New Roman" w:hAnsi="Times New Roman" w:cs="Times New Roman"/>
          <w:color w:val="000000"/>
          <w:sz w:val="26"/>
          <w:szCs w:val="26"/>
        </w:rPr>
        <w:t xml:space="preserve"> 39</w:t>
      </w:r>
      <w:r w:rsidR="003B3440" w:rsidRPr="00B1303C">
        <w:rPr>
          <w:rFonts w:ascii="Times New Roman" w:eastAsia="Times New Roman" w:hAnsi="Times New Roman" w:cs="Times New Roman"/>
          <w:color w:val="000000"/>
          <w:sz w:val="26"/>
          <w:szCs w:val="26"/>
        </w:rPr>
        <w:t>.</w:t>
      </w:r>
      <w:r w:rsidR="00506295">
        <w:rPr>
          <w:rFonts w:ascii="Times New Roman" w:eastAsia="Times New Roman" w:hAnsi="Times New Roman" w:cs="Times New Roman"/>
          <w:color w:val="000000"/>
          <w:sz w:val="26"/>
          <w:szCs w:val="26"/>
        </w:rPr>
        <w:t xml:space="preserve">  Accordingly, the OCA submits that </w:t>
      </w:r>
      <w:r w:rsidR="00C03131">
        <w:rPr>
          <w:rFonts w:ascii="Times New Roman" w:eastAsia="Times New Roman" w:hAnsi="Times New Roman" w:cs="Times New Roman"/>
          <w:color w:val="000000"/>
          <w:sz w:val="26"/>
          <w:szCs w:val="26"/>
        </w:rPr>
        <w:t>Aqua’s Exception No. 2</w:t>
      </w:r>
      <w:r w:rsidR="002C4963">
        <w:rPr>
          <w:rFonts w:ascii="Times New Roman" w:eastAsia="Times New Roman" w:hAnsi="Times New Roman" w:cs="Times New Roman"/>
          <w:color w:val="000000"/>
          <w:sz w:val="26"/>
          <w:szCs w:val="26"/>
        </w:rPr>
        <w:t>,</w:t>
      </w:r>
      <w:r w:rsidR="00C03131">
        <w:rPr>
          <w:rFonts w:ascii="Times New Roman" w:eastAsia="Times New Roman" w:hAnsi="Times New Roman" w:cs="Times New Roman"/>
          <w:color w:val="000000"/>
          <w:sz w:val="26"/>
          <w:szCs w:val="26"/>
        </w:rPr>
        <w:t xml:space="preserve"> </w:t>
      </w:r>
      <w:r w:rsidR="00C31636">
        <w:rPr>
          <w:rFonts w:ascii="Times New Roman" w:eastAsia="Times New Roman" w:hAnsi="Times New Roman" w:cs="Times New Roman"/>
          <w:color w:val="000000"/>
          <w:sz w:val="26"/>
          <w:szCs w:val="26"/>
        </w:rPr>
        <w:t xml:space="preserve">fails to apply the correct reading of Section 529(a)(3) and </w:t>
      </w:r>
      <w:r w:rsidR="00C03131">
        <w:rPr>
          <w:rFonts w:ascii="Times New Roman" w:eastAsia="Times New Roman" w:hAnsi="Times New Roman" w:cs="Times New Roman"/>
          <w:color w:val="000000"/>
          <w:sz w:val="26"/>
          <w:szCs w:val="26"/>
        </w:rPr>
        <w:t>should</w:t>
      </w:r>
      <w:r w:rsidR="000567C9">
        <w:rPr>
          <w:rFonts w:ascii="Times New Roman" w:eastAsia="Times New Roman" w:hAnsi="Times New Roman" w:cs="Times New Roman"/>
          <w:color w:val="000000"/>
          <w:sz w:val="26"/>
          <w:szCs w:val="26"/>
        </w:rPr>
        <w:t>, therefore,</w:t>
      </w:r>
      <w:r w:rsidR="00C03131">
        <w:rPr>
          <w:rFonts w:ascii="Times New Roman" w:eastAsia="Times New Roman" w:hAnsi="Times New Roman" w:cs="Times New Roman"/>
          <w:color w:val="000000"/>
          <w:sz w:val="26"/>
          <w:szCs w:val="26"/>
        </w:rPr>
        <w:t xml:space="preserve"> be denied.  </w:t>
      </w:r>
    </w:p>
    <w:p w14:paraId="0E6F55E2" w14:textId="77777777" w:rsidR="002D500A" w:rsidRDefault="002D500A" w:rsidP="005049A3">
      <w:pPr>
        <w:spacing w:after="0" w:line="360" w:lineRule="auto"/>
        <w:rPr>
          <w:rFonts w:ascii="Times New Roman" w:hAnsi="Times New Roman" w:cs="Times New Roman"/>
          <w:sz w:val="26"/>
          <w:szCs w:val="26"/>
        </w:rPr>
      </w:pPr>
    </w:p>
    <w:p w14:paraId="136B8D7A" w14:textId="565BC405" w:rsidR="00D10EDC" w:rsidRDefault="00D10EDC" w:rsidP="00B45332">
      <w:pPr>
        <w:pStyle w:val="Heading3"/>
      </w:pPr>
      <w:bookmarkStart w:id="13" w:name="_Toc87265460"/>
      <w:r w:rsidRPr="00970E33">
        <w:t>Exception</w:t>
      </w:r>
      <w:r w:rsidR="000F78FE" w:rsidRPr="00970E33">
        <w:t>s</w:t>
      </w:r>
      <w:r w:rsidRPr="00D10EDC">
        <w:t xml:space="preserve"> of Twin Lakes and Replies</w:t>
      </w:r>
      <w:bookmarkEnd w:id="13"/>
      <w:r w:rsidRPr="00D10EDC">
        <w:t xml:space="preserve"> </w:t>
      </w:r>
    </w:p>
    <w:p w14:paraId="3DAAA3D4" w14:textId="77777777" w:rsidR="000F78FE" w:rsidRDefault="000F78FE" w:rsidP="00B45332">
      <w:pPr>
        <w:pStyle w:val="ListParagraph"/>
        <w:keepNext/>
        <w:spacing w:after="0" w:line="360" w:lineRule="auto"/>
        <w:ind w:left="1080"/>
        <w:rPr>
          <w:rFonts w:ascii="Times New Roman" w:hAnsi="Times New Roman" w:cs="Times New Roman"/>
          <w:b/>
          <w:bCs/>
          <w:sz w:val="26"/>
          <w:szCs w:val="26"/>
        </w:rPr>
      </w:pPr>
    </w:p>
    <w:p w14:paraId="27BD2279" w14:textId="7B944C17" w:rsidR="008832A7" w:rsidRPr="00D10EDC" w:rsidRDefault="008832A7" w:rsidP="00970E33">
      <w:pPr>
        <w:pStyle w:val="Heading4"/>
        <w:numPr>
          <w:ilvl w:val="0"/>
          <w:numId w:val="32"/>
        </w:numPr>
      </w:pPr>
      <w:bookmarkStart w:id="14" w:name="_Toc87265461"/>
      <w:r>
        <w:t>Twin Lakes</w:t>
      </w:r>
      <w:r w:rsidR="00E532C1">
        <w:t>’</w:t>
      </w:r>
      <w:r>
        <w:t xml:space="preserve"> </w:t>
      </w:r>
      <w:r w:rsidRPr="00970E33">
        <w:t>Exception</w:t>
      </w:r>
      <w:r w:rsidRPr="008832A7">
        <w:t xml:space="preserve"> No. 1: </w:t>
      </w:r>
      <w:r w:rsidR="005049A3">
        <w:t xml:space="preserve"> </w:t>
      </w:r>
      <w:r w:rsidRPr="008832A7">
        <w:t>The ALJ Erred In Finding That The Commission Has Jurisdiction Over Middlesex</w:t>
      </w:r>
      <w:r w:rsidR="009559B6">
        <w:t xml:space="preserve"> </w:t>
      </w:r>
      <w:r w:rsidR="001D53AF">
        <w:t>and Replies</w:t>
      </w:r>
      <w:bookmarkEnd w:id="14"/>
      <w:r w:rsidRPr="008832A7">
        <w:t xml:space="preserve">  </w:t>
      </w:r>
    </w:p>
    <w:p w14:paraId="692ABCEA" w14:textId="77777777" w:rsidR="00D10EDC" w:rsidRDefault="00D10EDC" w:rsidP="00B45332">
      <w:pPr>
        <w:keepNext/>
        <w:spacing w:after="0" w:line="480" w:lineRule="auto"/>
        <w:ind w:firstLine="1440"/>
        <w:rPr>
          <w:rFonts w:ascii="Times New Roman" w:hAnsi="Times New Roman" w:cs="Times New Roman"/>
          <w:sz w:val="26"/>
          <w:szCs w:val="26"/>
        </w:rPr>
      </w:pPr>
    </w:p>
    <w:p w14:paraId="75B5E971" w14:textId="61D5FA3E" w:rsidR="00271F4B" w:rsidRDefault="00535BC5" w:rsidP="005049A3">
      <w:pPr>
        <w:keepNext/>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In its Exception</w:t>
      </w:r>
      <w:r w:rsidR="00367B7A">
        <w:rPr>
          <w:rFonts w:ascii="Times New Roman" w:hAnsi="Times New Roman" w:cs="Times New Roman"/>
          <w:sz w:val="26"/>
          <w:szCs w:val="26"/>
        </w:rPr>
        <w:t xml:space="preserve"> No</w:t>
      </w:r>
      <w:r w:rsidR="00D10EDC">
        <w:rPr>
          <w:rFonts w:ascii="Times New Roman" w:hAnsi="Times New Roman" w:cs="Times New Roman"/>
          <w:sz w:val="26"/>
          <w:szCs w:val="26"/>
        </w:rPr>
        <w:t>. 1</w:t>
      </w:r>
      <w:r w:rsidR="00E532C1">
        <w:rPr>
          <w:rFonts w:ascii="Times New Roman" w:hAnsi="Times New Roman" w:cs="Times New Roman"/>
          <w:sz w:val="26"/>
          <w:szCs w:val="26"/>
        </w:rPr>
        <w:t>,</w:t>
      </w:r>
      <w:r w:rsidR="00D10EDC">
        <w:rPr>
          <w:rFonts w:ascii="Times New Roman" w:hAnsi="Times New Roman" w:cs="Times New Roman"/>
          <w:sz w:val="26"/>
          <w:szCs w:val="26"/>
        </w:rPr>
        <w:t xml:space="preserve"> Twin Lakes </w:t>
      </w:r>
      <w:r w:rsidR="00996742">
        <w:rPr>
          <w:rFonts w:ascii="Times New Roman" w:hAnsi="Times New Roman" w:cs="Times New Roman"/>
          <w:sz w:val="26"/>
          <w:szCs w:val="26"/>
        </w:rPr>
        <w:t xml:space="preserve">submits that the </w:t>
      </w:r>
      <w:r w:rsidR="001A7DC2">
        <w:rPr>
          <w:rFonts w:ascii="Times New Roman" w:hAnsi="Times New Roman" w:cs="Times New Roman"/>
          <w:sz w:val="26"/>
          <w:szCs w:val="26"/>
        </w:rPr>
        <w:t>ALJ</w:t>
      </w:r>
      <w:r w:rsidR="00996742">
        <w:rPr>
          <w:rFonts w:ascii="Times New Roman" w:hAnsi="Times New Roman" w:cs="Times New Roman"/>
          <w:sz w:val="26"/>
          <w:szCs w:val="26"/>
        </w:rPr>
        <w:t xml:space="preserve"> erred </w:t>
      </w:r>
      <w:r w:rsidR="000F78FE">
        <w:rPr>
          <w:rFonts w:ascii="Times New Roman" w:hAnsi="Times New Roman" w:cs="Times New Roman"/>
          <w:sz w:val="26"/>
          <w:szCs w:val="26"/>
        </w:rPr>
        <w:t xml:space="preserve">by finding that the Commission has jurisdiction over Middlesex, Twin Lakes’ parent corporation. </w:t>
      </w:r>
      <w:bookmarkStart w:id="15" w:name="_Hlk79998481"/>
      <w:bookmarkStart w:id="16" w:name="_Hlk79944047"/>
      <w:r w:rsidR="003A5F61">
        <w:rPr>
          <w:rFonts w:ascii="Times New Roman" w:hAnsi="Times New Roman" w:cs="Times New Roman"/>
          <w:sz w:val="26"/>
          <w:szCs w:val="26"/>
        </w:rPr>
        <w:t xml:space="preserve"> </w:t>
      </w:r>
      <w:r w:rsidR="000D6551">
        <w:rPr>
          <w:rFonts w:ascii="Times New Roman" w:hAnsi="Times New Roman" w:cs="Times New Roman"/>
          <w:sz w:val="26"/>
          <w:szCs w:val="26"/>
        </w:rPr>
        <w:t xml:space="preserve">Twin Lakes </w:t>
      </w:r>
      <w:r w:rsidR="009F1D4D">
        <w:rPr>
          <w:rFonts w:ascii="Times New Roman" w:hAnsi="Times New Roman" w:cs="Times New Roman"/>
          <w:sz w:val="26"/>
          <w:szCs w:val="26"/>
        </w:rPr>
        <w:t xml:space="preserve">argues </w:t>
      </w:r>
      <w:r w:rsidR="00820DFF" w:rsidRPr="009F1D4D">
        <w:rPr>
          <w:rFonts w:ascii="Times New Roman" w:hAnsi="Times New Roman" w:cs="Times New Roman"/>
          <w:sz w:val="26"/>
          <w:szCs w:val="26"/>
        </w:rPr>
        <w:t xml:space="preserve">that the ALJ </w:t>
      </w:r>
      <w:r w:rsidR="00BC1DC6">
        <w:rPr>
          <w:rFonts w:ascii="Times New Roman" w:hAnsi="Times New Roman" w:cs="Times New Roman"/>
          <w:sz w:val="26"/>
          <w:szCs w:val="26"/>
        </w:rPr>
        <w:t>in</w:t>
      </w:r>
      <w:r w:rsidR="00820DFF" w:rsidRPr="009F1D4D">
        <w:rPr>
          <w:rFonts w:ascii="Times New Roman" w:hAnsi="Times New Roman" w:cs="Times New Roman"/>
          <w:sz w:val="26"/>
          <w:szCs w:val="26"/>
        </w:rPr>
        <w:t xml:space="preserve">correctly determined that the Commission’s </w:t>
      </w:r>
      <w:r w:rsidR="00820DFF" w:rsidRPr="009F1D4D">
        <w:rPr>
          <w:rFonts w:ascii="Times New Roman" w:hAnsi="Times New Roman" w:cs="Times New Roman"/>
          <w:sz w:val="26"/>
          <w:szCs w:val="26"/>
        </w:rPr>
        <w:lastRenderedPageBreak/>
        <w:t>jurisdiction extended to Middlesex given the unique facts presented in this case</w:t>
      </w:r>
      <w:r w:rsidR="00303606">
        <w:rPr>
          <w:rFonts w:ascii="Times New Roman" w:hAnsi="Times New Roman" w:cs="Times New Roman"/>
          <w:sz w:val="26"/>
          <w:szCs w:val="26"/>
        </w:rPr>
        <w:t>.</w:t>
      </w:r>
      <w:r w:rsidR="00820DFF" w:rsidRPr="009F1D4D">
        <w:rPr>
          <w:rFonts w:ascii="Times New Roman" w:hAnsi="Times New Roman" w:cs="Times New Roman"/>
          <w:sz w:val="26"/>
          <w:szCs w:val="26"/>
        </w:rPr>
        <w:t xml:space="preserve"> </w:t>
      </w:r>
      <w:bookmarkEnd w:id="15"/>
      <w:r w:rsidR="00303606">
        <w:rPr>
          <w:rFonts w:ascii="Times New Roman" w:hAnsi="Times New Roman" w:cs="Times New Roman"/>
          <w:sz w:val="26"/>
          <w:szCs w:val="26"/>
        </w:rPr>
        <w:t xml:space="preserve"> </w:t>
      </w:r>
      <w:r w:rsidR="009F1D4D" w:rsidRPr="009F1D4D">
        <w:rPr>
          <w:rFonts w:ascii="Times New Roman" w:hAnsi="Times New Roman" w:cs="Times New Roman"/>
          <w:sz w:val="26"/>
          <w:szCs w:val="26"/>
        </w:rPr>
        <w:t>Twin Lakes Exc</w:t>
      </w:r>
      <w:r w:rsidR="009F1D4D" w:rsidRPr="000D6551">
        <w:rPr>
          <w:rFonts w:ascii="Times New Roman" w:hAnsi="Times New Roman" w:cs="Times New Roman"/>
          <w:sz w:val="26"/>
          <w:szCs w:val="26"/>
        </w:rPr>
        <w:t>. at</w:t>
      </w:r>
      <w:r w:rsidR="000D6551" w:rsidRPr="000D6551">
        <w:rPr>
          <w:rFonts w:ascii="Times New Roman" w:hAnsi="Times New Roman" w:cs="Times New Roman"/>
          <w:sz w:val="26"/>
          <w:szCs w:val="26"/>
        </w:rPr>
        <w:t xml:space="preserve"> 5-</w:t>
      </w:r>
      <w:r w:rsidR="008B4E5E">
        <w:rPr>
          <w:rFonts w:ascii="Times New Roman" w:hAnsi="Times New Roman" w:cs="Times New Roman"/>
          <w:sz w:val="26"/>
          <w:szCs w:val="26"/>
        </w:rPr>
        <w:t>13</w:t>
      </w:r>
      <w:r w:rsidR="009F1D4D" w:rsidRPr="000D6551">
        <w:rPr>
          <w:rFonts w:ascii="Times New Roman" w:hAnsi="Times New Roman" w:cs="Times New Roman"/>
          <w:sz w:val="26"/>
          <w:szCs w:val="26"/>
        </w:rPr>
        <w:t>,</w:t>
      </w:r>
      <w:r w:rsidR="009F1D4D" w:rsidRPr="009F1D4D">
        <w:rPr>
          <w:rFonts w:ascii="Times New Roman" w:hAnsi="Times New Roman" w:cs="Times New Roman"/>
          <w:sz w:val="26"/>
          <w:szCs w:val="26"/>
        </w:rPr>
        <w:t xml:space="preserve"> citing R.D. at 30-32.</w:t>
      </w:r>
      <w:r w:rsidR="00B6745C">
        <w:rPr>
          <w:rFonts w:ascii="Times New Roman" w:hAnsi="Times New Roman" w:cs="Times New Roman"/>
          <w:sz w:val="26"/>
          <w:szCs w:val="26"/>
        </w:rPr>
        <w:t xml:space="preserve"> </w:t>
      </w:r>
    </w:p>
    <w:p w14:paraId="7488E788" w14:textId="77777777" w:rsidR="00271F4B" w:rsidRDefault="00271F4B" w:rsidP="005049A3">
      <w:pPr>
        <w:spacing w:after="0" w:line="360" w:lineRule="auto"/>
        <w:rPr>
          <w:rFonts w:ascii="Times New Roman" w:hAnsi="Times New Roman" w:cs="Times New Roman"/>
          <w:sz w:val="26"/>
          <w:szCs w:val="26"/>
        </w:rPr>
      </w:pPr>
    </w:p>
    <w:p w14:paraId="1CFE10CA" w14:textId="7E982C65" w:rsidR="002A09E5" w:rsidRPr="00A23DC9" w:rsidRDefault="00A23DC9" w:rsidP="005049A3">
      <w:pPr>
        <w:pStyle w:val="TOC3"/>
        <w:tabs>
          <w:tab w:val="right" w:leader="dot" w:pos="9351"/>
        </w:tabs>
        <w:spacing w:after="0" w:line="360" w:lineRule="auto"/>
        <w:ind w:left="0" w:right="0" w:firstLine="1440"/>
      </w:pPr>
      <w:r w:rsidRPr="005C60D5">
        <w:rPr>
          <w:szCs w:val="26"/>
        </w:rPr>
        <w:t xml:space="preserve">Specifically, </w:t>
      </w:r>
      <w:hyperlink w:anchor="_Toc28459">
        <w:r w:rsidRPr="00EB0402">
          <w:t xml:space="preserve">Twin Lakes argues that it, not Middlesex, is the jurisdictional utility in Pennsylvania.  Twin </w:t>
        </w:r>
        <w:r>
          <w:t xml:space="preserve">Lakes </w:t>
        </w:r>
        <w:r w:rsidRPr="00EB0402">
          <w:t>further submits</w:t>
        </w:r>
      </w:hyperlink>
      <w:r w:rsidRPr="00EB0402">
        <w:t xml:space="preserve"> that</w:t>
      </w:r>
      <w:r>
        <w:t xml:space="preserve"> </w:t>
      </w:r>
      <w:r w:rsidR="002A09E5" w:rsidRPr="002A09E5">
        <w:t xml:space="preserve">the Commission lacks authority under the Code to assert jurisdiction over Middlesex, and, therefore, the Commission has none.  Finally, Twin Lakes avers that, the Commission is not “a court of general jurisdiction,” and therefore, lacks power to assert personal jurisdiction over Middlesex.  Even if the Commission did possess such power, Twin Lakes avers, the circumstances do not satisfy the applicable legal standards for assertion of personal jurisdiction over Middlesex.  For these reasons, Twin Lakes argues that the ALJ’s recommendation that the Commission has jurisdiction over Middlesex must be rejected. </w:t>
      </w:r>
    </w:p>
    <w:p w14:paraId="79AF377F" w14:textId="77777777" w:rsidR="002A09E5" w:rsidRDefault="002A09E5" w:rsidP="005049A3">
      <w:pPr>
        <w:spacing w:after="0" w:line="360" w:lineRule="auto"/>
        <w:ind w:firstLine="1440"/>
        <w:rPr>
          <w:rFonts w:ascii="Times New Roman" w:hAnsi="Times New Roman" w:cs="Times New Roman"/>
          <w:sz w:val="26"/>
          <w:szCs w:val="26"/>
        </w:rPr>
      </w:pPr>
    </w:p>
    <w:p w14:paraId="156BB271" w14:textId="66FBEA6B" w:rsidR="00B25DE0" w:rsidRPr="006A36FE" w:rsidRDefault="002A09E5" w:rsidP="005049A3">
      <w:pPr>
        <w:spacing w:after="0" w:line="360" w:lineRule="auto"/>
        <w:ind w:firstLine="1440"/>
        <w:rPr>
          <w:rFonts w:ascii="Times New Roman" w:hAnsi="Times New Roman" w:cs="Times New Roman"/>
          <w:b/>
          <w:bCs/>
          <w:sz w:val="26"/>
          <w:szCs w:val="26"/>
        </w:rPr>
      </w:pPr>
      <w:r w:rsidRPr="00960000">
        <w:rPr>
          <w:rFonts w:ascii="Times New Roman" w:hAnsi="Times New Roman" w:cs="Times New Roman"/>
          <w:sz w:val="26"/>
          <w:szCs w:val="26"/>
        </w:rPr>
        <w:t>In its Replies to Twin Lakes Exception No. 1, A</w:t>
      </w:r>
      <w:r w:rsidRPr="009F1D4D">
        <w:rPr>
          <w:rFonts w:ascii="Times New Roman" w:hAnsi="Times New Roman" w:cs="Times New Roman"/>
          <w:sz w:val="26"/>
          <w:szCs w:val="26"/>
        </w:rPr>
        <w:t xml:space="preserve">qua </w:t>
      </w:r>
      <w:r>
        <w:rPr>
          <w:rFonts w:ascii="Times New Roman" w:hAnsi="Times New Roman" w:cs="Times New Roman"/>
          <w:sz w:val="26"/>
          <w:szCs w:val="26"/>
        </w:rPr>
        <w:t>argues that</w:t>
      </w:r>
      <w:r w:rsidRPr="009F1D4D">
        <w:rPr>
          <w:rFonts w:ascii="Times New Roman" w:hAnsi="Times New Roman" w:cs="Times New Roman"/>
          <w:sz w:val="26"/>
          <w:szCs w:val="26"/>
        </w:rPr>
        <w:t xml:space="preserve"> the ALJ </w:t>
      </w:r>
      <w:r w:rsidR="00960000" w:rsidRPr="009F1D4D">
        <w:rPr>
          <w:rFonts w:ascii="Times New Roman" w:hAnsi="Times New Roman" w:cs="Times New Roman"/>
          <w:sz w:val="26"/>
          <w:szCs w:val="26"/>
        </w:rPr>
        <w:t>correctly determined that the Commission’s jurisdiction extended to Middlesex given the unique facts presented in this case and Twin Lakes’ Exceptions should be denied.</w:t>
      </w:r>
      <w:bookmarkEnd w:id="16"/>
      <w:r w:rsidR="00960000">
        <w:rPr>
          <w:rFonts w:ascii="Times New Roman" w:hAnsi="Times New Roman" w:cs="Times New Roman"/>
          <w:sz w:val="26"/>
          <w:szCs w:val="26"/>
        </w:rPr>
        <w:t xml:space="preserve"> </w:t>
      </w:r>
      <w:r w:rsidR="00F411BB">
        <w:rPr>
          <w:rFonts w:ascii="Times New Roman" w:hAnsi="Times New Roman" w:cs="Times New Roman"/>
          <w:sz w:val="26"/>
          <w:szCs w:val="26"/>
        </w:rPr>
        <w:t xml:space="preserve"> </w:t>
      </w:r>
      <w:r w:rsidR="00960000">
        <w:rPr>
          <w:rFonts w:ascii="Times New Roman" w:hAnsi="Times New Roman" w:cs="Times New Roman"/>
          <w:sz w:val="26"/>
          <w:szCs w:val="26"/>
        </w:rPr>
        <w:t>Aqua R. Exc</w:t>
      </w:r>
      <w:r w:rsidR="00960000" w:rsidRPr="006A36FE">
        <w:rPr>
          <w:rFonts w:ascii="Times New Roman" w:hAnsi="Times New Roman" w:cs="Times New Roman"/>
          <w:sz w:val="26"/>
          <w:szCs w:val="26"/>
        </w:rPr>
        <w:t>. at</w:t>
      </w:r>
      <w:r w:rsidR="006A36FE" w:rsidRPr="006A36FE">
        <w:rPr>
          <w:rFonts w:ascii="Times New Roman" w:hAnsi="Times New Roman" w:cs="Times New Roman"/>
          <w:sz w:val="26"/>
          <w:szCs w:val="26"/>
        </w:rPr>
        <w:t xml:space="preserve"> 2-4</w:t>
      </w:r>
      <w:r w:rsidR="00960000" w:rsidRPr="006A36FE">
        <w:rPr>
          <w:rFonts w:ascii="Times New Roman" w:hAnsi="Times New Roman" w:cs="Times New Roman"/>
          <w:sz w:val="26"/>
          <w:szCs w:val="26"/>
        </w:rPr>
        <w:t xml:space="preserve">. </w:t>
      </w:r>
    </w:p>
    <w:p w14:paraId="2924DD59" w14:textId="77777777" w:rsidR="00985860" w:rsidRDefault="00985860" w:rsidP="00F434CD">
      <w:pPr>
        <w:spacing w:after="0" w:line="360" w:lineRule="auto"/>
        <w:ind w:firstLine="1440"/>
        <w:rPr>
          <w:rFonts w:ascii="Times New Roman" w:hAnsi="Times New Roman" w:cs="Times New Roman"/>
          <w:b/>
          <w:bCs/>
          <w:sz w:val="26"/>
          <w:szCs w:val="26"/>
        </w:rPr>
      </w:pPr>
    </w:p>
    <w:p w14:paraId="192EA512" w14:textId="59A16E29" w:rsidR="00301D96" w:rsidRDefault="00504818" w:rsidP="00B57F8E">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In its Replies to Twin Lakes’ Exception No. 1, I&amp;E submits that t</w:t>
      </w:r>
      <w:r w:rsidR="00A350BA">
        <w:rPr>
          <w:rFonts w:ascii="Times New Roman" w:hAnsi="Times New Roman" w:cs="Times New Roman"/>
          <w:sz w:val="26"/>
          <w:szCs w:val="26"/>
        </w:rPr>
        <w:t xml:space="preserve">he ALJ properly recommended that </w:t>
      </w:r>
      <w:r w:rsidR="00106934">
        <w:rPr>
          <w:rFonts w:ascii="Times New Roman" w:hAnsi="Times New Roman" w:cs="Times New Roman"/>
          <w:sz w:val="26"/>
          <w:szCs w:val="26"/>
        </w:rPr>
        <w:t>substantial evidence supports the finding that the Commission has jurisdiction over Middlesex.</w:t>
      </w:r>
      <w:r>
        <w:rPr>
          <w:rFonts w:ascii="Times New Roman" w:hAnsi="Times New Roman" w:cs="Times New Roman"/>
          <w:sz w:val="26"/>
          <w:szCs w:val="26"/>
        </w:rPr>
        <w:t xml:space="preserve">  I&amp;E reiterated its position, found persuasive by the ALJ, that </w:t>
      </w:r>
      <w:r w:rsidR="00276DA0">
        <w:rPr>
          <w:rFonts w:ascii="Times New Roman" w:hAnsi="Times New Roman" w:cs="Times New Roman"/>
          <w:sz w:val="26"/>
          <w:szCs w:val="26"/>
        </w:rPr>
        <w:t>Middlesex’s conduct, commencing with its voluntary action of requesting Commission authority to a</w:t>
      </w:r>
      <w:r w:rsidR="000F53B6">
        <w:rPr>
          <w:rFonts w:ascii="Times New Roman" w:hAnsi="Times New Roman" w:cs="Times New Roman"/>
          <w:sz w:val="26"/>
          <w:szCs w:val="26"/>
        </w:rPr>
        <w:t xml:space="preserve">cquire the Twin Lakes’ water system, and including, </w:t>
      </w:r>
      <w:r w:rsidR="000F53B6" w:rsidRPr="00227B67">
        <w:rPr>
          <w:rFonts w:ascii="Times New Roman" w:hAnsi="Times New Roman" w:cs="Times New Roman"/>
          <w:i/>
          <w:iCs/>
          <w:sz w:val="26"/>
          <w:szCs w:val="26"/>
        </w:rPr>
        <w:t>inter alia</w:t>
      </w:r>
      <w:r w:rsidR="000F53B6">
        <w:rPr>
          <w:rFonts w:ascii="Times New Roman" w:hAnsi="Times New Roman" w:cs="Times New Roman"/>
          <w:sz w:val="26"/>
          <w:szCs w:val="26"/>
        </w:rPr>
        <w:t xml:space="preserve">, </w:t>
      </w:r>
      <w:r w:rsidR="00B5258B">
        <w:rPr>
          <w:rFonts w:ascii="Times New Roman" w:hAnsi="Times New Roman" w:cs="Times New Roman"/>
          <w:sz w:val="26"/>
          <w:szCs w:val="26"/>
        </w:rPr>
        <w:t xml:space="preserve">facts demonstrating </w:t>
      </w:r>
      <w:r w:rsidR="00C3128B">
        <w:rPr>
          <w:rFonts w:ascii="Times New Roman" w:hAnsi="Times New Roman" w:cs="Times New Roman"/>
          <w:sz w:val="26"/>
          <w:szCs w:val="26"/>
        </w:rPr>
        <w:t xml:space="preserve">that Middlesex operated under the name of </w:t>
      </w:r>
      <w:r w:rsidR="000418D2">
        <w:rPr>
          <w:rFonts w:ascii="Times New Roman" w:hAnsi="Times New Roman" w:cs="Times New Roman"/>
          <w:sz w:val="26"/>
          <w:szCs w:val="26"/>
        </w:rPr>
        <w:t>Twin Lakes within the Commonwealth</w:t>
      </w:r>
      <w:r w:rsidR="000F53B6">
        <w:rPr>
          <w:rFonts w:ascii="Times New Roman" w:hAnsi="Times New Roman" w:cs="Times New Roman"/>
          <w:sz w:val="26"/>
          <w:szCs w:val="26"/>
        </w:rPr>
        <w:t xml:space="preserve">, </w:t>
      </w:r>
      <w:r w:rsidR="00C3128B">
        <w:rPr>
          <w:rFonts w:ascii="Times New Roman" w:hAnsi="Times New Roman" w:cs="Times New Roman"/>
          <w:sz w:val="26"/>
          <w:szCs w:val="26"/>
        </w:rPr>
        <w:t>at all times subject to the Commission’s jurisdiction to implement the provisions of the Code</w:t>
      </w:r>
      <w:r w:rsidR="00090EB2">
        <w:rPr>
          <w:rFonts w:ascii="Times New Roman" w:hAnsi="Times New Roman" w:cs="Times New Roman"/>
          <w:sz w:val="26"/>
          <w:szCs w:val="26"/>
        </w:rPr>
        <w:t xml:space="preserve">.  </w:t>
      </w:r>
      <w:r w:rsidR="000E5DBF">
        <w:rPr>
          <w:rFonts w:ascii="Times New Roman" w:hAnsi="Times New Roman" w:cs="Times New Roman"/>
          <w:sz w:val="26"/>
          <w:szCs w:val="26"/>
        </w:rPr>
        <w:t xml:space="preserve">I&amp;E also notes that Twin Lakes advances jurisdictional arguments on </w:t>
      </w:r>
      <w:r w:rsidR="000E5DBF" w:rsidRPr="002873F0">
        <w:rPr>
          <w:rFonts w:ascii="Times New Roman" w:hAnsi="Times New Roman" w:cs="Times New Roman"/>
          <w:i/>
          <w:iCs/>
          <w:sz w:val="26"/>
          <w:szCs w:val="26"/>
        </w:rPr>
        <w:t>behalf</w:t>
      </w:r>
      <w:r w:rsidR="000E5DBF">
        <w:rPr>
          <w:rFonts w:ascii="Times New Roman" w:hAnsi="Times New Roman" w:cs="Times New Roman"/>
          <w:sz w:val="26"/>
          <w:szCs w:val="26"/>
        </w:rPr>
        <w:t xml:space="preserve"> of </w:t>
      </w:r>
      <w:r w:rsidR="00F96281">
        <w:rPr>
          <w:rFonts w:ascii="Times New Roman" w:hAnsi="Times New Roman" w:cs="Times New Roman"/>
          <w:sz w:val="26"/>
          <w:szCs w:val="26"/>
        </w:rPr>
        <w:t>Middlesex</w:t>
      </w:r>
      <w:r w:rsidR="002873F0">
        <w:rPr>
          <w:rFonts w:ascii="Times New Roman" w:hAnsi="Times New Roman" w:cs="Times New Roman"/>
          <w:sz w:val="26"/>
          <w:szCs w:val="26"/>
        </w:rPr>
        <w:t xml:space="preserve">.  </w:t>
      </w:r>
      <w:r w:rsidR="00090EB2">
        <w:rPr>
          <w:rFonts w:ascii="Times New Roman" w:hAnsi="Times New Roman" w:cs="Times New Roman"/>
          <w:sz w:val="26"/>
          <w:szCs w:val="26"/>
        </w:rPr>
        <w:t>Further, I&amp;E submits th</w:t>
      </w:r>
      <w:r w:rsidR="005005AB">
        <w:rPr>
          <w:rFonts w:ascii="Times New Roman" w:hAnsi="Times New Roman" w:cs="Times New Roman"/>
          <w:sz w:val="26"/>
          <w:szCs w:val="26"/>
        </w:rPr>
        <w:t>at there is</w:t>
      </w:r>
      <w:r w:rsidR="00276DA0">
        <w:rPr>
          <w:rFonts w:ascii="Times New Roman" w:hAnsi="Times New Roman" w:cs="Times New Roman"/>
          <w:sz w:val="26"/>
          <w:szCs w:val="26"/>
        </w:rPr>
        <w:t xml:space="preserve"> </w:t>
      </w:r>
      <w:r w:rsidR="000F53B6">
        <w:rPr>
          <w:rFonts w:ascii="Times New Roman" w:hAnsi="Times New Roman" w:cs="Times New Roman"/>
          <w:sz w:val="26"/>
          <w:szCs w:val="26"/>
        </w:rPr>
        <w:t>substantial</w:t>
      </w:r>
      <w:r w:rsidR="00276DA0">
        <w:rPr>
          <w:rFonts w:ascii="Times New Roman" w:hAnsi="Times New Roman" w:cs="Times New Roman"/>
          <w:sz w:val="26"/>
          <w:szCs w:val="26"/>
        </w:rPr>
        <w:t xml:space="preserve"> evidence to </w:t>
      </w:r>
      <w:r w:rsidR="00B42387">
        <w:rPr>
          <w:rFonts w:ascii="Times New Roman" w:hAnsi="Times New Roman" w:cs="Times New Roman"/>
          <w:sz w:val="26"/>
          <w:szCs w:val="26"/>
        </w:rPr>
        <w:t xml:space="preserve">conclude that Middlesex’s conduct demonstrated the </w:t>
      </w:r>
      <w:r w:rsidR="00227B67">
        <w:rPr>
          <w:rFonts w:ascii="Times New Roman" w:hAnsi="Times New Roman" w:cs="Times New Roman"/>
          <w:sz w:val="26"/>
          <w:szCs w:val="26"/>
        </w:rPr>
        <w:lastRenderedPageBreak/>
        <w:t xml:space="preserve">requisite contacts to establish Commission jurisdiction </w:t>
      </w:r>
      <w:r w:rsidR="001155C6">
        <w:rPr>
          <w:rFonts w:ascii="Times New Roman" w:hAnsi="Times New Roman" w:cs="Times New Roman"/>
          <w:sz w:val="26"/>
          <w:szCs w:val="26"/>
        </w:rPr>
        <w:t>under Pennsylvania’s “long arm” statute</w:t>
      </w:r>
      <w:r w:rsidR="00227B67">
        <w:rPr>
          <w:rFonts w:ascii="Times New Roman" w:hAnsi="Times New Roman" w:cs="Times New Roman"/>
          <w:sz w:val="26"/>
          <w:szCs w:val="26"/>
        </w:rPr>
        <w:t>.</w:t>
      </w:r>
      <w:r w:rsidR="00CE696F">
        <w:rPr>
          <w:rFonts w:ascii="Times New Roman" w:hAnsi="Times New Roman" w:cs="Times New Roman"/>
          <w:sz w:val="26"/>
          <w:szCs w:val="26"/>
        </w:rPr>
        <w:t xml:space="preserve">  I&amp;E R. Exc. at </w:t>
      </w:r>
      <w:r w:rsidR="00C42E23">
        <w:rPr>
          <w:rFonts w:ascii="Times New Roman" w:hAnsi="Times New Roman" w:cs="Times New Roman"/>
          <w:sz w:val="26"/>
          <w:szCs w:val="26"/>
        </w:rPr>
        <w:t>3-5</w:t>
      </w:r>
      <w:r w:rsidR="00A34D32">
        <w:rPr>
          <w:rFonts w:ascii="Times New Roman" w:hAnsi="Times New Roman" w:cs="Times New Roman"/>
          <w:sz w:val="26"/>
          <w:szCs w:val="26"/>
        </w:rPr>
        <w:t>, citing,</w:t>
      </w:r>
      <w:r w:rsidR="00227B67">
        <w:rPr>
          <w:rFonts w:ascii="Times New Roman" w:hAnsi="Times New Roman" w:cs="Times New Roman"/>
          <w:sz w:val="26"/>
          <w:szCs w:val="26"/>
        </w:rPr>
        <w:t xml:space="preserve"> </w:t>
      </w:r>
      <w:r w:rsidR="00A34D32" w:rsidRPr="00A34D32">
        <w:rPr>
          <w:rFonts w:ascii="Times New Roman" w:hAnsi="Times New Roman" w:cs="Times New Roman"/>
          <w:sz w:val="26"/>
          <w:szCs w:val="26"/>
        </w:rPr>
        <w:t>42 Pa.</w:t>
      </w:r>
      <w:r w:rsidR="003F5F74">
        <w:rPr>
          <w:rFonts w:ascii="Times New Roman" w:hAnsi="Times New Roman" w:cs="Times New Roman"/>
          <w:sz w:val="26"/>
          <w:szCs w:val="26"/>
        </w:rPr>
        <w:t xml:space="preserve"> </w:t>
      </w:r>
      <w:r w:rsidR="00A34D32" w:rsidRPr="00A34D32">
        <w:rPr>
          <w:rFonts w:ascii="Times New Roman" w:hAnsi="Times New Roman" w:cs="Times New Roman"/>
          <w:sz w:val="26"/>
          <w:szCs w:val="26"/>
        </w:rPr>
        <w:t>C.S. Section 532(a)(9)</w:t>
      </w:r>
      <w:r w:rsidR="00A34D32">
        <w:rPr>
          <w:rFonts w:ascii="Times New Roman" w:hAnsi="Times New Roman" w:cs="Times New Roman"/>
          <w:sz w:val="26"/>
          <w:szCs w:val="26"/>
        </w:rPr>
        <w:t>.</w:t>
      </w:r>
    </w:p>
    <w:p w14:paraId="77ACCD84" w14:textId="77777777" w:rsidR="00B57F8E" w:rsidRPr="00B57F8E" w:rsidRDefault="00B57F8E" w:rsidP="00B57F8E">
      <w:pPr>
        <w:spacing w:after="0" w:line="360" w:lineRule="auto"/>
        <w:ind w:firstLine="1440"/>
        <w:rPr>
          <w:rFonts w:ascii="Times New Roman" w:hAnsi="Times New Roman" w:cs="Times New Roman"/>
          <w:sz w:val="26"/>
          <w:szCs w:val="26"/>
        </w:rPr>
      </w:pPr>
    </w:p>
    <w:p w14:paraId="5104AEEA" w14:textId="32DFBF21" w:rsidR="00CC3994" w:rsidRDefault="00B57F8E" w:rsidP="00970E33">
      <w:pPr>
        <w:pStyle w:val="Heading4"/>
      </w:pPr>
      <w:bookmarkStart w:id="17" w:name="_Toc87265462"/>
      <w:r w:rsidRPr="00B57F8E">
        <w:t xml:space="preserve">Twin Lakes’ Exception No. 2: </w:t>
      </w:r>
      <w:r w:rsidR="00B80B35">
        <w:t xml:space="preserve"> </w:t>
      </w:r>
      <w:r w:rsidRPr="00B57F8E">
        <w:t>The ALJ Erred By Conditioning Approval of Relief Under Section 529 of the Public Utility Code on Middlesex Placing $1.675 Million in Escrow and Replies</w:t>
      </w:r>
      <w:bookmarkEnd w:id="17"/>
    </w:p>
    <w:p w14:paraId="1BB3BFBA" w14:textId="77777777" w:rsidR="00B57F8E" w:rsidRPr="00B57F8E" w:rsidRDefault="00B57F8E" w:rsidP="00B45332">
      <w:pPr>
        <w:pStyle w:val="ListParagraph"/>
        <w:keepNext/>
        <w:spacing w:after="0" w:line="480" w:lineRule="auto"/>
        <w:ind w:left="1800"/>
        <w:rPr>
          <w:rFonts w:ascii="Times New Roman" w:hAnsi="Times New Roman" w:cs="Times New Roman"/>
          <w:b/>
          <w:bCs/>
          <w:sz w:val="26"/>
          <w:szCs w:val="26"/>
        </w:rPr>
      </w:pPr>
    </w:p>
    <w:p w14:paraId="7D87BE93" w14:textId="00BDECB9" w:rsidR="00CC3994" w:rsidRDefault="00CC3994" w:rsidP="00FF2BD7">
      <w:pPr>
        <w:keepNext/>
        <w:spacing w:after="0" w:line="360" w:lineRule="auto"/>
        <w:ind w:firstLine="1440"/>
        <w:rPr>
          <w:rFonts w:ascii="Times New Roman" w:hAnsi="Times New Roman" w:cs="Times New Roman"/>
          <w:sz w:val="26"/>
          <w:szCs w:val="26"/>
        </w:rPr>
      </w:pPr>
      <w:r w:rsidRPr="000C5AA5">
        <w:rPr>
          <w:rFonts w:ascii="Times New Roman" w:hAnsi="Times New Roman" w:cs="Times New Roman"/>
          <w:sz w:val="26"/>
          <w:szCs w:val="26"/>
        </w:rPr>
        <w:t xml:space="preserve">In its Exception No. 2, Twin Lakes asserts the ALJ erred by imposing </w:t>
      </w:r>
      <w:r w:rsidR="00EF5F71" w:rsidRPr="000C5AA5">
        <w:rPr>
          <w:rFonts w:ascii="Times New Roman" w:hAnsi="Times New Roman" w:cs="Times New Roman"/>
          <w:sz w:val="26"/>
          <w:szCs w:val="26"/>
        </w:rPr>
        <w:t xml:space="preserve">a condition on the approval of acquisition under Section 529 on </w:t>
      </w:r>
      <w:r w:rsidR="000C5AA5" w:rsidRPr="000C5AA5">
        <w:rPr>
          <w:rFonts w:ascii="Times New Roman" w:hAnsi="Times New Roman" w:cs="Times New Roman"/>
          <w:sz w:val="26"/>
          <w:szCs w:val="26"/>
        </w:rPr>
        <w:t>Middlesex</w:t>
      </w:r>
      <w:r w:rsidR="00EF5F71" w:rsidRPr="000C5AA5">
        <w:rPr>
          <w:rFonts w:ascii="Times New Roman" w:hAnsi="Times New Roman" w:cs="Times New Roman"/>
          <w:sz w:val="26"/>
          <w:szCs w:val="26"/>
        </w:rPr>
        <w:t xml:space="preserve"> placing $1.</w:t>
      </w:r>
      <w:r w:rsidR="003A43EC" w:rsidRPr="000C5AA5">
        <w:rPr>
          <w:rFonts w:ascii="Times New Roman" w:hAnsi="Times New Roman" w:cs="Times New Roman"/>
          <w:sz w:val="26"/>
          <w:szCs w:val="26"/>
        </w:rPr>
        <w:t xml:space="preserve">675 million in escrow.  Twin Lakes Exc. at </w:t>
      </w:r>
      <w:r w:rsidR="00123C29">
        <w:rPr>
          <w:rFonts w:ascii="Times New Roman" w:hAnsi="Times New Roman" w:cs="Times New Roman"/>
          <w:sz w:val="26"/>
          <w:szCs w:val="26"/>
        </w:rPr>
        <w:t>13-22</w:t>
      </w:r>
      <w:r w:rsidR="003A43EC" w:rsidRPr="000C5AA5">
        <w:rPr>
          <w:rFonts w:ascii="Times New Roman" w:hAnsi="Times New Roman" w:cs="Times New Roman"/>
          <w:sz w:val="26"/>
          <w:szCs w:val="26"/>
        </w:rPr>
        <w:t>, citing R.D. at 1, 63-64; Ordering Para. 1</w:t>
      </w:r>
      <w:r w:rsidR="000C5AA5" w:rsidRPr="000C5AA5">
        <w:rPr>
          <w:rFonts w:ascii="Times New Roman" w:hAnsi="Times New Roman" w:cs="Times New Roman"/>
          <w:sz w:val="26"/>
          <w:szCs w:val="26"/>
        </w:rPr>
        <w:t>.</w:t>
      </w:r>
    </w:p>
    <w:p w14:paraId="3199DABD" w14:textId="76696098" w:rsidR="00123C29" w:rsidRDefault="00123C29" w:rsidP="000C5AA5">
      <w:pPr>
        <w:spacing w:after="0" w:line="360" w:lineRule="auto"/>
        <w:ind w:firstLine="1440"/>
        <w:rPr>
          <w:rFonts w:ascii="Times New Roman" w:hAnsi="Times New Roman" w:cs="Times New Roman"/>
          <w:sz w:val="26"/>
          <w:szCs w:val="26"/>
        </w:rPr>
      </w:pPr>
    </w:p>
    <w:p w14:paraId="19BAF07D" w14:textId="4F2E116E" w:rsidR="00C86C82" w:rsidRPr="000C5AA5" w:rsidRDefault="00123C29" w:rsidP="00C86C82">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Twin Lakes submits that </w:t>
      </w:r>
      <w:r w:rsidR="00D06266">
        <w:rPr>
          <w:rFonts w:ascii="Times New Roman" w:hAnsi="Times New Roman" w:cs="Times New Roman"/>
          <w:sz w:val="26"/>
          <w:szCs w:val="26"/>
        </w:rPr>
        <w:t>f</w:t>
      </w:r>
      <w:r w:rsidR="00D06266" w:rsidRPr="00D06266">
        <w:rPr>
          <w:rFonts w:ascii="Times New Roman" w:hAnsi="Times New Roman" w:cs="Times New Roman"/>
          <w:sz w:val="26"/>
          <w:szCs w:val="26"/>
        </w:rPr>
        <w:t xml:space="preserve">inancial </w:t>
      </w:r>
      <w:r w:rsidR="0010388F">
        <w:rPr>
          <w:rFonts w:ascii="Times New Roman" w:hAnsi="Times New Roman" w:cs="Times New Roman"/>
          <w:sz w:val="26"/>
          <w:szCs w:val="26"/>
        </w:rPr>
        <w:t>c</w:t>
      </w:r>
      <w:r w:rsidR="00D06266" w:rsidRPr="00D06266">
        <w:rPr>
          <w:rFonts w:ascii="Times New Roman" w:hAnsi="Times New Roman" w:cs="Times New Roman"/>
          <w:sz w:val="26"/>
          <w:szCs w:val="26"/>
        </w:rPr>
        <w:t xml:space="preserve">onsiderations </w:t>
      </w:r>
      <w:r w:rsidR="0010388F">
        <w:rPr>
          <w:rFonts w:ascii="Times New Roman" w:hAnsi="Times New Roman" w:cs="Times New Roman"/>
          <w:sz w:val="26"/>
          <w:szCs w:val="26"/>
        </w:rPr>
        <w:t>r</w:t>
      </w:r>
      <w:r w:rsidR="00D06266" w:rsidRPr="00D06266">
        <w:rPr>
          <w:rFonts w:ascii="Times New Roman" w:hAnsi="Times New Roman" w:cs="Times New Roman"/>
          <w:sz w:val="26"/>
          <w:szCs w:val="26"/>
        </w:rPr>
        <w:t xml:space="preserve">egarding </w:t>
      </w:r>
      <w:r w:rsidR="0010388F">
        <w:rPr>
          <w:rFonts w:ascii="Times New Roman" w:hAnsi="Times New Roman" w:cs="Times New Roman"/>
          <w:sz w:val="26"/>
          <w:szCs w:val="26"/>
        </w:rPr>
        <w:t>q</w:t>
      </w:r>
      <w:r w:rsidR="00D06266" w:rsidRPr="00D06266">
        <w:rPr>
          <w:rFonts w:ascii="Times New Roman" w:hAnsi="Times New Roman" w:cs="Times New Roman"/>
          <w:sz w:val="26"/>
          <w:szCs w:val="26"/>
        </w:rPr>
        <w:t xml:space="preserve">uality of </w:t>
      </w:r>
      <w:r w:rsidR="0010388F">
        <w:rPr>
          <w:rFonts w:ascii="Times New Roman" w:hAnsi="Times New Roman" w:cs="Times New Roman"/>
          <w:sz w:val="26"/>
          <w:szCs w:val="26"/>
        </w:rPr>
        <w:t>s</w:t>
      </w:r>
      <w:r w:rsidR="00D06266" w:rsidRPr="00D06266">
        <w:rPr>
          <w:rFonts w:ascii="Times New Roman" w:hAnsi="Times New Roman" w:cs="Times New Roman"/>
          <w:sz w:val="26"/>
          <w:szCs w:val="26"/>
        </w:rPr>
        <w:t xml:space="preserve">ervice are </w:t>
      </w:r>
      <w:r w:rsidR="0010388F">
        <w:rPr>
          <w:rFonts w:ascii="Times New Roman" w:hAnsi="Times New Roman" w:cs="Times New Roman"/>
          <w:sz w:val="26"/>
          <w:szCs w:val="26"/>
        </w:rPr>
        <w:t>a</w:t>
      </w:r>
      <w:r w:rsidR="00D06266" w:rsidRPr="00D06266">
        <w:rPr>
          <w:rFonts w:ascii="Times New Roman" w:hAnsi="Times New Roman" w:cs="Times New Roman"/>
          <w:sz w:val="26"/>
          <w:szCs w:val="26"/>
        </w:rPr>
        <w:t xml:space="preserve">ppropriately </w:t>
      </w:r>
      <w:r w:rsidR="0010388F">
        <w:rPr>
          <w:rFonts w:ascii="Times New Roman" w:hAnsi="Times New Roman" w:cs="Times New Roman"/>
          <w:sz w:val="26"/>
          <w:szCs w:val="26"/>
        </w:rPr>
        <w:t>a</w:t>
      </w:r>
      <w:r w:rsidR="00D06266" w:rsidRPr="00D06266">
        <w:rPr>
          <w:rFonts w:ascii="Times New Roman" w:hAnsi="Times New Roman" w:cs="Times New Roman"/>
          <w:sz w:val="26"/>
          <w:szCs w:val="26"/>
        </w:rPr>
        <w:t xml:space="preserve">ddressed in a </w:t>
      </w:r>
      <w:r w:rsidR="0010388F">
        <w:rPr>
          <w:rFonts w:ascii="Times New Roman" w:hAnsi="Times New Roman" w:cs="Times New Roman"/>
          <w:sz w:val="26"/>
          <w:szCs w:val="26"/>
        </w:rPr>
        <w:t>b</w:t>
      </w:r>
      <w:r w:rsidR="00D06266" w:rsidRPr="00D06266">
        <w:rPr>
          <w:rFonts w:ascii="Times New Roman" w:hAnsi="Times New Roman" w:cs="Times New Roman"/>
          <w:sz w:val="26"/>
          <w:szCs w:val="26"/>
        </w:rPr>
        <w:t xml:space="preserve">ase </w:t>
      </w:r>
      <w:r w:rsidR="0010388F">
        <w:rPr>
          <w:rFonts w:ascii="Times New Roman" w:hAnsi="Times New Roman" w:cs="Times New Roman"/>
          <w:sz w:val="26"/>
          <w:szCs w:val="26"/>
        </w:rPr>
        <w:t>r</w:t>
      </w:r>
      <w:r w:rsidR="00D06266" w:rsidRPr="00D06266">
        <w:rPr>
          <w:rFonts w:ascii="Times New Roman" w:hAnsi="Times New Roman" w:cs="Times New Roman"/>
          <w:sz w:val="26"/>
          <w:szCs w:val="26"/>
        </w:rPr>
        <w:t xml:space="preserve">ate </w:t>
      </w:r>
      <w:r w:rsidR="0010388F">
        <w:rPr>
          <w:rFonts w:ascii="Times New Roman" w:hAnsi="Times New Roman" w:cs="Times New Roman"/>
          <w:sz w:val="26"/>
          <w:szCs w:val="26"/>
        </w:rPr>
        <w:t>c</w:t>
      </w:r>
      <w:r w:rsidR="00D06266" w:rsidRPr="00D06266">
        <w:rPr>
          <w:rFonts w:ascii="Times New Roman" w:hAnsi="Times New Roman" w:cs="Times New Roman"/>
          <w:sz w:val="26"/>
          <w:szCs w:val="26"/>
        </w:rPr>
        <w:t xml:space="preserve">ase, </w:t>
      </w:r>
      <w:r w:rsidR="0010388F">
        <w:rPr>
          <w:rFonts w:ascii="Times New Roman" w:hAnsi="Times New Roman" w:cs="Times New Roman"/>
          <w:sz w:val="26"/>
          <w:szCs w:val="26"/>
        </w:rPr>
        <w:t>n</w:t>
      </w:r>
      <w:r w:rsidR="00D06266" w:rsidRPr="00D06266">
        <w:rPr>
          <w:rFonts w:ascii="Times New Roman" w:hAnsi="Times New Roman" w:cs="Times New Roman"/>
          <w:sz w:val="26"/>
          <w:szCs w:val="26"/>
        </w:rPr>
        <w:t xml:space="preserve">ot in a Section 529 </w:t>
      </w:r>
      <w:r w:rsidR="0010388F">
        <w:rPr>
          <w:rFonts w:ascii="Times New Roman" w:hAnsi="Times New Roman" w:cs="Times New Roman"/>
          <w:sz w:val="26"/>
          <w:szCs w:val="26"/>
        </w:rPr>
        <w:t>p</w:t>
      </w:r>
      <w:r w:rsidR="00D06266" w:rsidRPr="00D06266">
        <w:rPr>
          <w:rFonts w:ascii="Times New Roman" w:hAnsi="Times New Roman" w:cs="Times New Roman"/>
          <w:sz w:val="26"/>
          <w:szCs w:val="26"/>
        </w:rPr>
        <w:t>roceeding</w:t>
      </w:r>
      <w:r w:rsidR="00C16A86">
        <w:rPr>
          <w:rFonts w:ascii="Times New Roman" w:eastAsia="Times New Roman" w:hAnsi="Times New Roman" w:cs="Times New Roman"/>
          <w:color w:val="000000"/>
          <w:sz w:val="24"/>
        </w:rPr>
        <w:t xml:space="preserve">.  </w:t>
      </w:r>
      <w:r w:rsidR="00344CB4" w:rsidRPr="006476D2">
        <w:rPr>
          <w:rFonts w:ascii="Times New Roman" w:eastAsia="Times New Roman" w:hAnsi="Times New Roman" w:cs="Times New Roman"/>
          <w:color w:val="000000"/>
          <w:sz w:val="26"/>
          <w:szCs w:val="26"/>
        </w:rPr>
        <w:t>Further,</w:t>
      </w:r>
      <w:r w:rsidR="00344CB4">
        <w:rPr>
          <w:rFonts w:ascii="Times New Roman" w:eastAsia="Times New Roman" w:hAnsi="Times New Roman" w:cs="Times New Roman"/>
          <w:color w:val="000000"/>
          <w:sz w:val="24"/>
        </w:rPr>
        <w:t xml:space="preserve"> </w:t>
      </w:r>
      <w:r w:rsidR="0010388F">
        <w:rPr>
          <w:rFonts w:ascii="Times New Roman" w:hAnsi="Times New Roman" w:cs="Times New Roman"/>
          <w:sz w:val="26"/>
          <w:szCs w:val="26"/>
        </w:rPr>
        <w:t>T</w:t>
      </w:r>
      <w:r w:rsidR="00C16A86" w:rsidRPr="00C16A86">
        <w:rPr>
          <w:rFonts w:ascii="Times New Roman" w:hAnsi="Times New Roman" w:cs="Times New Roman"/>
          <w:sz w:val="26"/>
          <w:szCs w:val="26"/>
        </w:rPr>
        <w:t>win Lakes</w:t>
      </w:r>
      <w:r w:rsidR="00344CB4">
        <w:rPr>
          <w:rFonts w:ascii="Times New Roman" w:hAnsi="Times New Roman" w:cs="Times New Roman"/>
          <w:sz w:val="26"/>
          <w:szCs w:val="26"/>
        </w:rPr>
        <w:t xml:space="preserve"> asserts that</w:t>
      </w:r>
      <w:r w:rsidR="00C16A86" w:rsidRPr="00C16A86">
        <w:rPr>
          <w:rFonts w:ascii="Times New Roman" w:hAnsi="Times New Roman" w:cs="Times New Roman"/>
          <w:sz w:val="26"/>
          <w:szCs w:val="26"/>
        </w:rPr>
        <w:t xml:space="preserve">, </w:t>
      </w:r>
      <w:r w:rsidR="0010388F">
        <w:rPr>
          <w:rFonts w:ascii="Times New Roman" w:hAnsi="Times New Roman" w:cs="Times New Roman"/>
          <w:sz w:val="26"/>
          <w:szCs w:val="26"/>
        </w:rPr>
        <w:t>w</w:t>
      </w:r>
      <w:r w:rsidR="00C16A86" w:rsidRPr="00C16A86">
        <w:rPr>
          <w:rFonts w:ascii="Times New Roman" w:hAnsi="Times New Roman" w:cs="Times New Roman"/>
          <w:sz w:val="26"/>
          <w:szCs w:val="26"/>
        </w:rPr>
        <w:t xml:space="preserve">ith </w:t>
      </w:r>
      <w:r w:rsidR="0010388F">
        <w:rPr>
          <w:rFonts w:ascii="Times New Roman" w:hAnsi="Times New Roman" w:cs="Times New Roman"/>
          <w:sz w:val="26"/>
          <w:szCs w:val="26"/>
        </w:rPr>
        <w:t>s</w:t>
      </w:r>
      <w:r w:rsidR="00C16A86" w:rsidRPr="00C16A86">
        <w:rPr>
          <w:rFonts w:ascii="Times New Roman" w:hAnsi="Times New Roman" w:cs="Times New Roman"/>
          <w:sz w:val="26"/>
          <w:szCs w:val="26"/>
        </w:rPr>
        <w:t xml:space="preserve">upport </w:t>
      </w:r>
      <w:r w:rsidR="0010388F">
        <w:rPr>
          <w:rFonts w:ascii="Times New Roman" w:hAnsi="Times New Roman" w:cs="Times New Roman"/>
          <w:sz w:val="26"/>
          <w:szCs w:val="26"/>
        </w:rPr>
        <w:t>f</w:t>
      </w:r>
      <w:r w:rsidR="00C16A86" w:rsidRPr="00C16A86">
        <w:rPr>
          <w:rFonts w:ascii="Times New Roman" w:hAnsi="Times New Roman" w:cs="Times New Roman"/>
          <w:sz w:val="26"/>
          <w:szCs w:val="26"/>
        </w:rPr>
        <w:t xml:space="preserve">rom Middlesex, </w:t>
      </w:r>
      <w:r w:rsidR="0032053C">
        <w:rPr>
          <w:rFonts w:ascii="Times New Roman" w:hAnsi="Times New Roman" w:cs="Times New Roman"/>
          <w:sz w:val="26"/>
          <w:szCs w:val="26"/>
        </w:rPr>
        <w:t xml:space="preserve">Twin Lakes </w:t>
      </w:r>
      <w:r w:rsidR="0010388F">
        <w:rPr>
          <w:rFonts w:ascii="Times New Roman" w:hAnsi="Times New Roman" w:cs="Times New Roman"/>
          <w:sz w:val="26"/>
          <w:szCs w:val="26"/>
        </w:rPr>
        <w:t>h</w:t>
      </w:r>
      <w:r w:rsidR="00C16A86" w:rsidRPr="00C16A86">
        <w:rPr>
          <w:rFonts w:ascii="Times New Roman" w:hAnsi="Times New Roman" w:cs="Times New Roman"/>
          <w:sz w:val="26"/>
          <w:szCs w:val="26"/>
        </w:rPr>
        <w:t xml:space="preserve">as </w:t>
      </w:r>
      <w:r w:rsidR="0010388F">
        <w:rPr>
          <w:rFonts w:ascii="Times New Roman" w:hAnsi="Times New Roman" w:cs="Times New Roman"/>
          <w:sz w:val="26"/>
          <w:szCs w:val="26"/>
        </w:rPr>
        <w:t>m</w:t>
      </w:r>
      <w:r w:rsidR="00C16A86" w:rsidRPr="00C16A86">
        <w:rPr>
          <w:rFonts w:ascii="Times New Roman" w:hAnsi="Times New Roman" w:cs="Times New Roman"/>
          <w:sz w:val="26"/>
          <w:szCs w:val="26"/>
        </w:rPr>
        <w:t xml:space="preserve">ade </w:t>
      </w:r>
      <w:r w:rsidR="0010388F">
        <w:rPr>
          <w:rFonts w:ascii="Times New Roman" w:hAnsi="Times New Roman" w:cs="Times New Roman"/>
          <w:sz w:val="26"/>
          <w:szCs w:val="26"/>
        </w:rPr>
        <w:t>s</w:t>
      </w:r>
      <w:r w:rsidR="00C16A86" w:rsidRPr="00C16A86">
        <w:rPr>
          <w:rFonts w:ascii="Times New Roman" w:hAnsi="Times New Roman" w:cs="Times New Roman"/>
          <w:sz w:val="26"/>
          <w:szCs w:val="26"/>
        </w:rPr>
        <w:t xml:space="preserve">ignificant </w:t>
      </w:r>
      <w:r w:rsidR="0010388F">
        <w:rPr>
          <w:rFonts w:ascii="Times New Roman" w:hAnsi="Times New Roman" w:cs="Times New Roman"/>
          <w:sz w:val="26"/>
          <w:szCs w:val="26"/>
        </w:rPr>
        <w:t>e</w:t>
      </w:r>
      <w:r w:rsidR="00C16A86" w:rsidRPr="00C16A86">
        <w:rPr>
          <w:rFonts w:ascii="Times New Roman" w:hAnsi="Times New Roman" w:cs="Times New Roman"/>
          <w:sz w:val="26"/>
          <w:szCs w:val="26"/>
        </w:rPr>
        <w:t xml:space="preserve">fforts </w:t>
      </w:r>
      <w:r w:rsidR="000D1D78">
        <w:rPr>
          <w:rFonts w:ascii="Times New Roman" w:hAnsi="Times New Roman" w:cs="Times New Roman"/>
          <w:sz w:val="26"/>
          <w:szCs w:val="26"/>
        </w:rPr>
        <w:t>at rectifying</w:t>
      </w:r>
      <w:r w:rsidR="0010388F">
        <w:rPr>
          <w:rFonts w:ascii="Times New Roman" w:hAnsi="Times New Roman" w:cs="Times New Roman"/>
          <w:sz w:val="26"/>
          <w:szCs w:val="26"/>
        </w:rPr>
        <w:t xml:space="preserve"> </w:t>
      </w:r>
      <w:r w:rsidR="00B97FAD">
        <w:rPr>
          <w:rFonts w:ascii="Times New Roman" w:hAnsi="Times New Roman" w:cs="Times New Roman"/>
          <w:sz w:val="26"/>
          <w:szCs w:val="26"/>
        </w:rPr>
        <w:t>the s</w:t>
      </w:r>
      <w:r w:rsidR="00C16A86" w:rsidRPr="00C16A86">
        <w:rPr>
          <w:rFonts w:ascii="Times New Roman" w:hAnsi="Times New Roman" w:cs="Times New Roman"/>
          <w:sz w:val="26"/>
          <w:szCs w:val="26"/>
        </w:rPr>
        <w:t xml:space="preserve">ystem’s </w:t>
      </w:r>
      <w:r w:rsidR="00B97FAD">
        <w:rPr>
          <w:rFonts w:ascii="Times New Roman" w:hAnsi="Times New Roman" w:cs="Times New Roman"/>
          <w:sz w:val="26"/>
          <w:szCs w:val="26"/>
        </w:rPr>
        <w:t>q</w:t>
      </w:r>
      <w:r w:rsidR="00C16A86" w:rsidRPr="00C16A86">
        <w:rPr>
          <w:rFonts w:ascii="Times New Roman" w:hAnsi="Times New Roman" w:cs="Times New Roman"/>
          <w:sz w:val="26"/>
          <w:szCs w:val="26"/>
        </w:rPr>
        <w:t xml:space="preserve">uality </w:t>
      </w:r>
      <w:r w:rsidR="00B97FAD">
        <w:rPr>
          <w:rFonts w:ascii="Times New Roman" w:hAnsi="Times New Roman" w:cs="Times New Roman"/>
          <w:sz w:val="26"/>
          <w:szCs w:val="26"/>
        </w:rPr>
        <w:t>o</w:t>
      </w:r>
      <w:r w:rsidR="00C16A86" w:rsidRPr="00C16A86">
        <w:rPr>
          <w:rFonts w:ascii="Times New Roman" w:hAnsi="Times New Roman" w:cs="Times New Roman"/>
          <w:sz w:val="26"/>
          <w:szCs w:val="26"/>
        </w:rPr>
        <w:t xml:space="preserve">f </w:t>
      </w:r>
      <w:r w:rsidR="00B97FAD">
        <w:rPr>
          <w:rFonts w:ascii="Times New Roman" w:hAnsi="Times New Roman" w:cs="Times New Roman"/>
          <w:sz w:val="26"/>
          <w:szCs w:val="26"/>
        </w:rPr>
        <w:t>s</w:t>
      </w:r>
      <w:r w:rsidR="00C16A86" w:rsidRPr="00C16A86">
        <w:rPr>
          <w:rFonts w:ascii="Times New Roman" w:hAnsi="Times New Roman" w:cs="Times New Roman"/>
          <w:sz w:val="26"/>
          <w:szCs w:val="26"/>
        </w:rPr>
        <w:t>ervice</w:t>
      </w:r>
      <w:r w:rsidR="0032053C">
        <w:rPr>
          <w:rFonts w:ascii="Times New Roman" w:hAnsi="Times New Roman" w:cs="Times New Roman"/>
          <w:sz w:val="26"/>
          <w:szCs w:val="26"/>
        </w:rPr>
        <w:t xml:space="preserve"> issues</w:t>
      </w:r>
      <w:r w:rsidR="00B97FAD">
        <w:rPr>
          <w:rFonts w:ascii="Times New Roman" w:hAnsi="Times New Roman" w:cs="Times New Roman"/>
          <w:sz w:val="26"/>
          <w:szCs w:val="26"/>
        </w:rPr>
        <w:t>.</w:t>
      </w:r>
      <w:r w:rsidR="0032053C">
        <w:rPr>
          <w:rFonts w:ascii="Times New Roman" w:hAnsi="Times New Roman" w:cs="Times New Roman"/>
          <w:sz w:val="26"/>
          <w:szCs w:val="26"/>
        </w:rPr>
        <w:t xml:space="preserve">  Twin Lakes also argues that the</w:t>
      </w:r>
      <w:r w:rsidR="005A0299" w:rsidRPr="005A0299">
        <w:rPr>
          <w:rFonts w:ascii="Times New Roman" w:hAnsi="Times New Roman" w:cs="Times New Roman"/>
          <w:sz w:val="26"/>
          <w:szCs w:val="26"/>
        </w:rPr>
        <w:t xml:space="preserve"> </w:t>
      </w:r>
      <w:r w:rsidR="00255D8A">
        <w:rPr>
          <w:rFonts w:ascii="Times New Roman" w:hAnsi="Times New Roman" w:cs="Times New Roman"/>
          <w:sz w:val="26"/>
          <w:szCs w:val="26"/>
        </w:rPr>
        <w:t>e</w:t>
      </w:r>
      <w:r w:rsidR="005A0299" w:rsidRPr="005A0299">
        <w:rPr>
          <w:rFonts w:ascii="Times New Roman" w:hAnsi="Times New Roman" w:cs="Times New Roman"/>
          <w:sz w:val="26"/>
          <w:szCs w:val="26"/>
        </w:rPr>
        <w:t xml:space="preserve">scrow </w:t>
      </w:r>
      <w:r w:rsidR="00255D8A">
        <w:rPr>
          <w:rFonts w:ascii="Times New Roman" w:hAnsi="Times New Roman" w:cs="Times New Roman"/>
          <w:sz w:val="26"/>
          <w:szCs w:val="26"/>
        </w:rPr>
        <w:t>c</w:t>
      </w:r>
      <w:r w:rsidR="005A0299" w:rsidRPr="005A0299">
        <w:rPr>
          <w:rFonts w:ascii="Times New Roman" w:hAnsi="Times New Roman" w:cs="Times New Roman"/>
          <w:sz w:val="26"/>
          <w:szCs w:val="26"/>
        </w:rPr>
        <w:t xml:space="preserve">ondition </w:t>
      </w:r>
      <w:r w:rsidR="00255D8A">
        <w:rPr>
          <w:rFonts w:ascii="Times New Roman" w:hAnsi="Times New Roman" w:cs="Times New Roman"/>
          <w:sz w:val="26"/>
          <w:szCs w:val="26"/>
        </w:rPr>
        <w:t>a</w:t>
      </w:r>
      <w:r w:rsidR="005A0299" w:rsidRPr="005A0299">
        <w:rPr>
          <w:rFonts w:ascii="Times New Roman" w:hAnsi="Times New Roman" w:cs="Times New Roman"/>
          <w:sz w:val="26"/>
          <w:szCs w:val="26"/>
        </w:rPr>
        <w:t xml:space="preserve">mounts </w:t>
      </w:r>
      <w:r w:rsidR="00255D8A">
        <w:rPr>
          <w:rFonts w:ascii="Times New Roman" w:hAnsi="Times New Roman" w:cs="Times New Roman"/>
          <w:sz w:val="26"/>
          <w:szCs w:val="26"/>
        </w:rPr>
        <w:t>t</w:t>
      </w:r>
      <w:r w:rsidR="005A0299" w:rsidRPr="005A0299">
        <w:rPr>
          <w:rFonts w:ascii="Times New Roman" w:hAnsi="Times New Roman" w:cs="Times New Roman"/>
          <w:sz w:val="26"/>
          <w:szCs w:val="26"/>
        </w:rPr>
        <w:t xml:space="preserve">o </w:t>
      </w:r>
      <w:r w:rsidR="00255D8A">
        <w:rPr>
          <w:rFonts w:ascii="Times New Roman" w:hAnsi="Times New Roman" w:cs="Times New Roman"/>
          <w:sz w:val="26"/>
          <w:szCs w:val="26"/>
        </w:rPr>
        <w:t>a</w:t>
      </w:r>
      <w:r w:rsidR="005A0299" w:rsidRPr="005A0299">
        <w:rPr>
          <w:rFonts w:ascii="Times New Roman" w:hAnsi="Times New Roman" w:cs="Times New Roman"/>
          <w:sz w:val="26"/>
          <w:szCs w:val="26"/>
        </w:rPr>
        <w:t xml:space="preserve">n </w:t>
      </w:r>
      <w:r w:rsidR="00255D8A">
        <w:rPr>
          <w:rFonts w:ascii="Times New Roman" w:hAnsi="Times New Roman" w:cs="Times New Roman"/>
          <w:sz w:val="26"/>
          <w:szCs w:val="26"/>
        </w:rPr>
        <w:t>u</w:t>
      </w:r>
      <w:r w:rsidR="005A0299" w:rsidRPr="005A0299">
        <w:rPr>
          <w:rFonts w:ascii="Times New Roman" w:hAnsi="Times New Roman" w:cs="Times New Roman"/>
          <w:sz w:val="26"/>
          <w:szCs w:val="26"/>
        </w:rPr>
        <w:t xml:space="preserve">nconstitutional </w:t>
      </w:r>
      <w:r w:rsidR="00255D8A">
        <w:rPr>
          <w:rFonts w:ascii="Times New Roman" w:hAnsi="Times New Roman" w:cs="Times New Roman"/>
          <w:sz w:val="26"/>
          <w:szCs w:val="26"/>
        </w:rPr>
        <w:t>t</w:t>
      </w:r>
      <w:r w:rsidR="005A0299" w:rsidRPr="005A0299">
        <w:rPr>
          <w:rFonts w:ascii="Times New Roman" w:hAnsi="Times New Roman" w:cs="Times New Roman"/>
          <w:sz w:val="26"/>
          <w:szCs w:val="26"/>
        </w:rPr>
        <w:t xml:space="preserve">aking </w:t>
      </w:r>
      <w:r w:rsidR="007B2534">
        <w:rPr>
          <w:rFonts w:ascii="Times New Roman" w:hAnsi="Times New Roman" w:cs="Times New Roman"/>
          <w:sz w:val="26"/>
          <w:szCs w:val="26"/>
        </w:rPr>
        <w:t xml:space="preserve">from Middlesex </w:t>
      </w:r>
      <w:r w:rsidR="00255D8A">
        <w:rPr>
          <w:rFonts w:ascii="Times New Roman" w:hAnsi="Times New Roman" w:cs="Times New Roman"/>
          <w:sz w:val="26"/>
          <w:szCs w:val="26"/>
        </w:rPr>
        <w:t>w</w:t>
      </w:r>
      <w:r w:rsidR="005A0299" w:rsidRPr="005A0299">
        <w:rPr>
          <w:rFonts w:ascii="Times New Roman" w:hAnsi="Times New Roman" w:cs="Times New Roman"/>
          <w:sz w:val="26"/>
          <w:szCs w:val="26"/>
        </w:rPr>
        <w:t xml:space="preserve">ithout </w:t>
      </w:r>
      <w:r w:rsidR="00255D8A">
        <w:rPr>
          <w:rFonts w:ascii="Times New Roman" w:hAnsi="Times New Roman" w:cs="Times New Roman"/>
          <w:sz w:val="26"/>
          <w:szCs w:val="26"/>
        </w:rPr>
        <w:t>j</w:t>
      </w:r>
      <w:r w:rsidR="005A0299" w:rsidRPr="005A0299">
        <w:rPr>
          <w:rFonts w:ascii="Times New Roman" w:hAnsi="Times New Roman" w:cs="Times New Roman"/>
          <w:sz w:val="26"/>
          <w:szCs w:val="26"/>
        </w:rPr>
        <w:t xml:space="preserve">ust </w:t>
      </w:r>
      <w:r w:rsidR="00255D8A">
        <w:rPr>
          <w:rFonts w:ascii="Times New Roman" w:hAnsi="Times New Roman" w:cs="Times New Roman"/>
          <w:sz w:val="26"/>
          <w:szCs w:val="26"/>
        </w:rPr>
        <w:t>c</w:t>
      </w:r>
      <w:r w:rsidR="005A0299" w:rsidRPr="005A0299">
        <w:rPr>
          <w:rFonts w:ascii="Times New Roman" w:hAnsi="Times New Roman" w:cs="Times New Roman"/>
          <w:sz w:val="26"/>
          <w:szCs w:val="26"/>
        </w:rPr>
        <w:t>ompensation</w:t>
      </w:r>
      <w:r w:rsidR="00447D86">
        <w:rPr>
          <w:rFonts w:ascii="Times New Roman" w:hAnsi="Times New Roman" w:cs="Times New Roman"/>
          <w:sz w:val="26"/>
          <w:szCs w:val="26"/>
        </w:rPr>
        <w:t>.  Finally, Twin Lakes asserts that c</w:t>
      </w:r>
      <w:r w:rsidR="00C86C82" w:rsidRPr="00C86C82">
        <w:rPr>
          <w:rFonts w:ascii="Times New Roman" w:hAnsi="Times New Roman" w:cs="Times New Roman"/>
          <w:sz w:val="26"/>
          <w:szCs w:val="26"/>
        </w:rPr>
        <w:t xml:space="preserve">onditioning Section 529 </w:t>
      </w:r>
      <w:r w:rsidR="00447D86">
        <w:rPr>
          <w:rFonts w:ascii="Times New Roman" w:hAnsi="Times New Roman" w:cs="Times New Roman"/>
          <w:sz w:val="26"/>
          <w:szCs w:val="26"/>
        </w:rPr>
        <w:t>r</w:t>
      </w:r>
      <w:r w:rsidR="00C86C82" w:rsidRPr="00C86C82">
        <w:rPr>
          <w:rFonts w:ascii="Times New Roman" w:hAnsi="Times New Roman" w:cs="Times New Roman"/>
          <w:sz w:val="26"/>
          <w:szCs w:val="26"/>
        </w:rPr>
        <w:t xml:space="preserve">elief on Middlesex </w:t>
      </w:r>
      <w:r w:rsidR="00447D86">
        <w:rPr>
          <w:rFonts w:ascii="Times New Roman" w:hAnsi="Times New Roman" w:cs="Times New Roman"/>
          <w:sz w:val="26"/>
          <w:szCs w:val="26"/>
        </w:rPr>
        <w:t>p</w:t>
      </w:r>
      <w:r w:rsidR="00C86C82" w:rsidRPr="00C86C82">
        <w:rPr>
          <w:rFonts w:ascii="Times New Roman" w:hAnsi="Times New Roman" w:cs="Times New Roman"/>
          <w:sz w:val="26"/>
          <w:szCs w:val="26"/>
        </w:rPr>
        <w:t xml:space="preserve">lacing </w:t>
      </w:r>
      <w:r w:rsidR="00447D86">
        <w:rPr>
          <w:rFonts w:ascii="Times New Roman" w:hAnsi="Times New Roman" w:cs="Times New Roman"/>
          <w:sz w:val="26"/>
          <w:szCs w:val="26"/>
        </w:rPr>
        <w:t>f</w:t>
      </w:r>
      <w:r w:rsidR="00C86C82" w:rsidRPr="00C86C82">
        <w:rPr>
          <w:rFonts w:ascii="Times New Roman" w:hAnsi="Times New Roman" w:cs="Times New Roman"/>
          <w:sz w:val="26"/>
          <w:szCs w:val="26"/>
        </w:rPr>
        <w:t xml:space="preserve">unds in </w:t>
      </w:r>
      <w:r w:rsidR="00447D86">
        <w:rPr>
          <w:rFonts w:ascii="Times New Roman" w:hAnsi="Times New Roman" w:cs="Times New Roman"/>
          <w:sz w:val="26"/>
          <w:szCs w:val="26"/>
        </w:rPr>
        <w:t>e</w:t>
      </w:r>
      <w:r w:rsidR="00C86C82" w:rsidRPr="00C86C82">
        <w:rPr>
          <w:rFonts w:ascii="Times New Roman" w:hAnsi="Times New Roman" w:cs="Times New Roman"/>
          <w:sz w:val="26"/>
          <w:szCs w:val="26"/>
        </w:rPr>
        <w:t xml:space="preserve">scrow </w:t>
      </w:r>
      <w:r w:rsidR="0010388F">
        <w:rPr>
          <w:rFonts w:ascii="Times New Roman" w:hAnsi="Times New Roman" w:cs="Times New Roman"/>
          <w:sz w:val="26"/>
          <w:szCs w:val="26"/>
        </w:rPr>
        <w:t>c</w:t>
      </w:r>
      <w:r w:rsidR="00C86C82" w:rsidRPr="00C86C82">
        <w:rPr>
          <w:rFonts w:ascii="Times New Roman" w:hAnsi="Times New Roman" w:cs="Times New Roman"/>
          <w:sz w:val="26"/>
          <w:szCs w:val="26"/>
        </w:rPr>
        <w:t xml:space="preserve">reates an </w:t>
      </w:r>
      <w:r w:rsidR="0010388F">
        <w:rPr>
          <w:rFonts w:ascii="Times New Roman" w:hAnsi="Times New Roman" w:cs="Times New Roman"/>
          <w:sz w:val="26"/>
          <w:szCs w:val="26"/>
        </w:rPr>
        <w:t>i</w:t>
      </w:r>
      <w:r w:rsidR="00C86C82" w:rsidRPr="00C86C82">
        <w:rPr>
          <w:rFonts w:ascii="Times New Roman" w:hAnsi="Times New Roman" w:cs="Times New Roman"/>
          <w:sz w:val="26"/>
          <w:szCs w:val="26"/>
        </w:rPr>
        <w:t xml:space="preserve">mpermissible </w:t>
      </w:r>
      <w:r w:rsidR="0010388F">
        <w:rPr>
          <w:rFonts w:ascii="Times New Roman" w:hAnsi="Times New Roman" w:cs="Times New Roman"/>
          <w:sz w:val="26"/>
          <w:szCs w:val="26"/>
        </w:rPr>
        <w:t>u</w:t>
      </w:r>
      <w:r w:rsidR="00C86C82" w:rsidRPr="00C86C82">
        <w:rPr>
          <w:rFonts w:ascii="Times New Roman" w:hAnsi="Times New Roman" w:cs="Times New Roman"/>
          <w:sz w:val="26"/>
          <w:szCs w:val="26"/>
        </w:rPr>
        <w:t xml:space="preserve">nconstitutional </w:t>
      </w:r>
      <w:r w:rsidR="0010388F">
        <w:rPr>
          <w:rFonts w:ascii="Times New Roman" w:hAnsi="Times New Roman" w:cs="Times New Roman"/>
          <w:sz w:val="26"/>
          <w:szCs w:val="26"/>
        </w:rPr>
        <w:t>c</w:t>
      </w:r>
      <w:r w:rsidR="00C86C82" w:rsidRPr="00C86C82">
        <w:rPr>
          <w:rFonts w:ascii="Times New Roman" w:hAnsi="Times New Roman" w:cs="Times New Roman"/>
          <w:sz w:val="26"/>
          <w:szCs w:val="26"/>
        </w:rPr>
        <w:t>ondition</w:t>
      </w:r>
      <w:r w:rsidR="007B2534">
        <w:rPr>
          <w:rFonts w:ascii="Times New Roman" w:hAnsi="Times New Roman" w:cs="Times New Roman"/>
          <w:sz w:val="26"/>
          <w:szCs w:val="26"/>
        </w:rPr>
        <w:t xml:space="preserve"> on the acquisition under Section </w:t>
      </w:r>
      <w:r w:rsidR="00A6758F">
        <w:rPr>
          <w:rFonts w:ascii="Times New Roman" w:hAnsi="Times New Roman" w:cs="Times New Roman"/>
          <w:sz w:val="26"/>
          <w:szCs w:val="26"/>
        </w:rPr>
        <w:t>529</w:t>
      </w:r>
      <w:r w:rsidR="0010388F">
        <w:rPr>
          <w:rFonts w:ascii="Times New Roman" w:hAnsi="Times New Roman" w:cs="Times New Roman"/>
          <w:sz w:val="26"/>
          <w:szCs w:val="26"/>
        </w:rPr>
        <w:t>.</w:t>
      </w:r>
      <w:r w:rsidR="00255D8A">
        <w:rPr>
          <w:rFonts w:ascii="Times New Roman" w:hAnsi="Times New Roman" w:cs="Times New Roman"/>
          <w:sz w:val="26"/>
          <w:szCs w:val="26"/>
        </w:rPr>
        <w:t xml:space="preserve">  </w:t>
      </w:r>
      <w:r w:rsidR="00255D8A" w:rsidRPr="00255D8A">
        <w:rPr>
          <w:rFonts w:ascii="Times New Roman" w:hAnsi="Times New Roman" w:cs="Times New Roman"/>
          <w:i/>
          <w:iCs/>
          <w:sz w:val="26"/>
          <w:szCs w:val="26"/>
        </w:rPr>
        <w:t>Id</w:t>
      </w:r>
      <w:r w:rsidR="00255D8A">
        <w:rPr>
          <w:rFonts w:ascii="Times New Roman" w:hAnsi="Times New Roman" w:cs="Times New Roman"/>
          <w:sz w:val="26"/>
          <w:szCs w:val="26"/>
        </w:rPr>
        <w:t>.</w:t>
      </w:r>
      <w:r w:rsidR="00E52C68">
        <w:rPr>
          <w:rFonts w:ascii="Times New Roman" w:hAnsi="Times New Roman" w:cs="Times New Roman"/>
          <w:sz w:val="26"/>
          <w:szCs w:val="26"/>
        </w:rPr>
        <w:t xml:space="preserve"> </w:t>
      </w:r>
    </w:p>
    <w:p w14:paraId="53E59CD9" w14:textId="2ABF020E" w:rsidR="00D87BEC" w:rsidRDefault="00D87BEC" w:rsidP="00994CFD">
      <w:pPr>
        <w:spacing w:after="0" w:line="360" w:lineRule="auto"/>
        <w:ind w:firstLine="1440"/>
        <w:rPr>
          <w:rFonts w:ascii="Times New Roman" w:hAnsi="Times New Roman" w:cs="Times New Roman"/>
          <w:b/>
          <w:bCs/>
          <w:sz w:val="26"/>
          <w:szCs w:val="26"/>
        </w:rPr>
      </w:pPr>
    </w:p>
    <w:p w14:paraId="2DE18658" w14:textId="2F9BE789" w:rsidR="00463B55" w:rsidRPr="007408D2" w:rsidRDefault="00816F64" w:rsidP="00CC0CB7">
      <w:pPr>
        <w:spacing w:after="0" w:line="360" w:lineRule="auto"/>
        <w:ind w:firstLine="1440"/>
        <w:rPr>
          <w:rFonts w:ascii="Times New Roman" w:hAnsi="Times New Roman" w:cs="Times New Roman"/>
          <w:sz w:val="26"/>
          <w:szCs w:val="26"/>
        </w:rPr>
      </w:pPr>
      <w:r w:rsidRPr="007408D2">
        <w:rPr>
          <w:rFonts w:ascii="Times New Roman" w:hAnsi="Times New Roman" w:cs="Times New Roman"/>
          <w:sz w:val="26"/>
          <w:szCs w:val="26"/>
        </w:rPr>
        <w:t xml:space="preserve">In its Replies to Twin Lakes Exception No. 2, </w:t>
      </w:r>
      <w:r w:rsidR="007E07CD" w:rsidRPr="007408D2">
        <w:rPr>
          <w:rFonts w:ascii="Times New Roman" w:hAnsi="Times New Roman" w:cs="Times New Roman"/>
          <w:sz w:val="26"/>
          <w:szCs w:val="26"/>
        </w:rPr>
        <w:t xml:space="preserve">Aqua argues that, </w:t>
      </w:r>
      <w:r w:rsidR="00D87BEC" w:rsidRPr="00D87BEC">
        <w:rPr>
          <w:rFonts w:ascii="Times New Roman" w:hAnsi="Times New Roman" w:cs="Times New Roman"/>
          <w:sz w:val="26"/>
          <w:szCs w:val="26"/>
        </w:rPr>
        <w:t>contrary to Twin Lakes’ claim</w:t>
      </w:r>
      <w:r w:rsidR="007E07CD" w:rsidRPr="007408D2">
        <w:rPr>
          <w:rFonts w:ascii="Times New Roman" w:hAnsi="Times New Roman" w:cs="Times New Roman"/>
          <w:sz w:val="26"/>
          <w:szCs w:val="26"/>
        </w:rPr>
        <w:t xml:space="preserve"> that the Commission may not </w:t>
      </w:r>
      <w:r w:rsidR="001947EB" w:rsidRPr="007408D2">
        <w:rPr>
          <w:rFonts w:ascii="Times New Roman" w:hAnsi="Times New Roman" w:cs="Times New Roman"/>
          <w:sz w:val="26"/>
          <w:szCs w:val="26"/>
        </w:rPr>
        <w:t>consider Midd</w:t>
      </w:r>
      <w:r w:rsidR="00E025DB" w:rsidRPr="007408D2">
        <w:rPr>
          <w:rFonts w:ascii="Times New Roman" w:hAnsi="Times New Roman" w:cs="Times New Roman"/>
          <w:sz w:val="26"/>
          <w:szCs w:val="26"/>
        </w:rPr>
        <w:t>lesex’s involvement in the Twin Lakes’ operation</w:t>
      </w:r>
      <w:r w:rsidR="00D87BEC" w:rsidRPr="00D87BEC">
        <w:rPr>
          <w:rFonts w:ascii="Times New Roman" w:hAnsi="Times New Roman" w:cs="Times New Roman"/>
          <w:sz w:val="26"/>
          <w:szCs w:val="26"/>
        </w:rPr>
        <w:t>, Section 529</w:t>
      </w:r>
      <w:r w:rsidR="00E025DB" w:rsidRPr="007408D2">
        <w:rPr>
          <w:rFonts w:ascii="Times New Roman" w:hAnsi="Times New Roman" w:cs="Times New Roman"/>
          <w:sz w:val="26"/>
          <w:szCs w:val="26"/>
        </w:rPr>
        <w:t xml:space="preserve"> </w:t>
      </w:r>
      <w:r w:rsidR="00D87BEC" w:rsidRPr="00D87BEC">
        <w:rPr>
          <w:rFonts w:ascii="Times New Roman" w:hAnsi="Times New Roman" w:cs="Times New Roman"/>
          <w:sz w:val="26"/>
          <w:szCs w:val="26"/>
        </w:rPr>
        <w:t>of the Code specifically states</w:t>
      </w:r>
      <w:r w:rsidR="00B82CF6">
        <w:rPr>
          <w:rFonts w:ascii="Times New Roman" w:hAnsi="Times New Roman" w:cs="Times New Roman"/>
          <w:sz w:val="26"/>
          <w:szCs w:val="26"/>
        </w:rPr>
        <w:t>,</w:t>
      </w:r>
      <w:r w:rsidR="00D87BEC" w:rsidRPr="00D87BEC">
        <w:rPr>
          <w:rFonts w:ascii="Times New Roman" w:hAnsi="Times New Roman" w:cs="Times New Roman"/>
          <w:sz w:val="26"/>
          <w:szCs w:val="26"/>
        </w:rPr>
        <w:t xml:space="preserve"> “In making a determination pursuant to subsection (a), the commission shall consider… </w:t>
      </w:r>
      <w:r w:rsidR="00D87BEC" w:rsidRPr="00D87BEC">
        <w:rPr>
          <w:rFonts w:ascii="Times New Roman" w:hAnsi="Times New Roman" w:cs="Times New Roman"/>
          <w:i/>
          <w:iCs/>
          <w:sz w:val="26"/>
          <w:szCs w:val="26"/>
        </w:rPr>
        <w:t>Any other matters which may be relevant</w:t>
      </w:r>
      <w:r w:rsidR="00D87BEC" w:rsidRPr="00D87BEC">
        <w:rPr>
          <w:rFonts w:ascii="Times New Roman" w:hAnsi="Times New Roman" w:cs="Times New Roman"/>
          <w:sz w:val="26"/>
          <w:szCs w:val="26"/>
        </w:rPr>
        <w:t>.”  66 Pa.</w:t>
      </w:r>
      <w:r w:rsidR="006D2197">
        <w:rPr>
          <w:rFonts w:ascii="Times New Roman" w:hAnsi="Times New Roman" w:cs="Times New Roman"/>
          <w:sz w:val="26"/>
          <w:szCs w:val="26"/>
        </w:rPr>
        <w:t xml:space="preserve"> </w:t>
      </w:r>
      <w:r w:rsidR="00D87BEC" w:rsidRPr="00D87BEC">
        <w:rPr>
          <w:rFonts w:ascii="Times New Roman" w:hAnsi="Times New Roman" w:cs="Times New Roman"/>
          <w:sz w:val="26"/>
          <w:szCs w:val="26"/>
        </w:rPr>
        <w:t>C.S. § 529(c)(6)</w:t>
      </w:r>
      <w:r w:rsidRPr="007408D2">
        <w:rPr>
          <w:rFonts w:ascii="Times New Roman" w:hAnsi="Times New Roman" w:cs="Times New Roman"/>
          <w:sz w:val="26"/>
          <w:szCs w:val="26"/>
        </w:rPr>
        <w:t>(emphasis added)</w:t>
      </w:r>
      <w:r w:rsidR="00D87BEC" w:rsidRPr="00D87BEC">
        <w:rPr>
          <w:rFonts w:ascii="Times New Roman" w:hAnsi="Times New Roman" w:cs="Times New Roman"/>
          <w:sz w:val="26"/>
          <w:szCs w:val="26"/>
        </w:rPr>
        <w:t>.</w:t>
      </w:r>
      <w:r w:rsidR="00457B72" w:rsidRPr="007408D2">
        <w:rPr>
          <w:rFonts w:ascii="Times New Roman" w:hAnsi="Times New Roman" w:cs="Times New Roman"/>
          <w:sz w:val="26"/>
          <w:szCs w:val="26"/>
        </w:rPr>
        <w:t xml:space="preserve">  Aqua maintains that it is appropriate for the Commission to con</w:t>
      </w:r>
      <w:r w:rsidR="004E73B0" w:rsidRPr="007408D2">
        <w:rPr>
          <w:rFonts w:ascii="Times New Roman" w:hAnsi="Times New Roman" w:cs="Times New Roman"/>
          <w:sz w:val="26"/>
          <w:szCs w:val="26"/>
        </w:rPr>
        <w:t xml:space="preserve">sider the relevant duties and actions, and/or </w:t>
      </w:r>
      <w:r w:rsidR="00463B55" w:rsidRPr="007408D2">
        <w:rPr>
          <w:rFonts w:ascii="Times New Roman" w:hAnsi="Times New Roman" w:cs="Times New Roman"/>
          <w:sz w:val="26"/>
          <w:szCs w:val="26"/>
        </w:rPr>
        <w:t>inaction and failure to meet its duties, which have a direct bearing on the Commission’s decision whether to approve an acquisition under Section 529(a).</w:t>
      </w:r>
      <w:r w:rsidR="002E78DB">
        <w:rPr>
          <w:rFonts w:ascii="Times New Roman" w:hAnsi="Times New Roman" w:cs="Times New Roman"/>
          <w:sz w:val="26"/>
          <w:szCs w:val="26"/>
        </w:rPr>
        <w:t xml:space="preserve"> </w:t>
      </w:r>
      <w:r w:rsidR="00E2038B">
        <w:rPr>
          <w:rFonts w:ascii="Times New Roman" w:hAnsi="Times New Roman" w:cs="Times New Roman"/>
          <w:sz w:val="26"/>
          <w:szCs w:val="26"/>
        </w:rPr>
        <w:t xml:space="preserve"> </w:t>
      </w:r>
      <w:r w:rsidR="002E78DB">
        <w:rPr>
          <w:rFonts w:ascii="Times New Roman" w:hAnsi="Times New Roman" w:cs="Times New Roman"/>
          <w:sz w:val="26"/>
          <w:szCs w:val="26"/>
        </w:rPr>
        <w:t>Aqua R.</w:t>
      </w:r>
      <w:r w:rsidR="00360490">
        <w:rPr>
          <w:rFonts w:ascii="Times New Roman" w:hAnsi="Times New Roman" w:cs="Times New Roman"/>
          <w:sz w:val="26"/>
          <w:szCs w:val="26"/>
        </w:rPr>
        <w:t> </w:t>
      </w:r>
      <w:r w:rsidR="002E78DB">
        <w:rPr>
          <w:rFonts w:ascii="Times New Roman" w:hAnsi="Times New Roman" w:cs="Times New Roman"/>
          <w:sz w:val="26"/>
          <w:szCs w:val="26"/>
        </w:rPr>
        <w:t>Exc. at 4-8.</w:t>
      </w:r>
    </w:p>
    <w:p w14:paraId="6BBB179D" w14:textId="349570C7" w:rsidR="00401D8E" w:rsidRDefault="00463B55" w:rsidP="00CC0CB7">
      <w:pPr>
        <w:spacing w:after="0" w:line="360" w:lineRule="auto"/>
        <w:ind w:firstLine="1440"/>
        <w:rPr>
          <w:rFonts w:ascii="Times New Roman" w:hAnsi="Times New Roman" w:cs="Times New Roman"/>
          <w:b/>
          <w:bCs/>
          <w:sz w:val="26"/>
          <w:szCs w:val="26"/>
          <w:highlight w:val="yellow"/>
        </w:rPr>
      </w:pPr>
      <w:r w:rsidRPr="003849FD">
        <w:rPr>
          <w:rFonts w:ascii="Times New Roman" w:hAnsi="Times New Roman" w:cs="Times New Roman"/>
          <w:sz w:val="26"/>
          <w:szCs w:val="26"/>
        </w:rPr>
        <w:lastRenderedPageBreak/>
        <w:t xml:space="preserve">Aqua maintains that the </w:t>
      </w:r>
      <w:r w:rsidR="00D87BEC" w:rsidRPr="00D87BEC">
        <w:rPr>
          <w:rFonts w:ascii="Times New Roman" w:hAnsi="Times New Roman" w:cs="Times New Roman"/>
          <w:sz w:val="26"/>
          <w:szCs w:val="26"/>
        </w:rPr>
        <w:t xml:space="preserve">voluntary </w:t>
      </w:r>
      <w:r w:rsidRPr="003849FD">
        <w:rPr>
          <w:rFonts w:ascii="Times New Roman" w:hAnsi="Times New Roman" w:cs="Times New Roman"/>
          <w:sz w:val="26"/>
          <w:szCs w:val="26"/>
        </w:rPr>
        <w:t xml:space="preserve">action of </w:t>
      </w:r>
      <w:r w:rsidR="00D87BEC" w:rsidRPr="00D87BEC">
        <w:rPr>
          <w:rFonts w:ascii="Times New Roman" w:hAnsi="Times New Roman" w:cs="Times New Roman"/>
          <w:sz w:val="26"/>
          <w:szCs w:val="26"/>
        </w:rPr>
        <w:t xml:space="preserve">Middlesex </w:t>
      </w:r>
      <w:r w:rsidR="00744C12" w:rsidRPr="003849FD">
        <w:rPr>
          <w:rFonts w:ascii="Times New Roman" w:hAnsi="Times New Roman" w:cs="Times New Roman"/>
          <w:sz w:val="26"/>
          <w:szCs w:val="26"/>
        </w:rPr>
        <w:t>in</w:t>
      </w:r>
      <w:r w:rsidR="00D87BEC" w:rsidRPr="00D87BEC">
        <w:rPr>
          <w:rFonts w:ascii="Times New Roman" w:hAnsi="Times New Roman" w:cs="Times New Roman"/>
          <w:sz w:val="26"/>
          <w:szCs w:val="26"/>
        </w:rPr>
        <w:t xml:space="preserve"> withdraw</w:t>
      </w:r>
      <w:r w:rsidR="00744C12" w:rsidRPr="003849FD">
        <w:rPr>
          <w:rFonts w:ascii="Times New Roman" w:hAnsi="Times New Roman" w:cs="Times New Roman"/>
          <w:sz w:val="26"/>
          <w:szCs w:val="26"/>
        </w:rPr>
        <w:t>ing</w:t>
      </w:r>
      <w:r w:rsidR="00D87BEC" w:rsidRPr="00D87BEC">
        <w:rPr>
          <w:rFonts w:ascii="Times New Roman" w:hAnsi="Times New Roman" w:cs="Times New Roman"/>
          <w:sz w:val="26"/>
          <w:szCs w:val="26"/>
        </w:rPr>
        <w:t xml:space="preserve"> Twin Lakes’ sole source of financial and operational support, </w:t>
      </w:r>
      <w:r w:rsidR="003A5C46" w:rsidRPr="003849FD">
        <w:rPr>
          <w:rFonts w:ascii="Times New Roman" w:hAnsi="Times New Roman" w:cs="Times New Roman"/>
          <w:sz w:val="26"/>
          <w:szCs w:val="26"/>
        </w:rPr>
        <w:t>by termination of the</w:t>
      </w:r>
      <w:r w:rsidR="00D87BEC" w:rsidRPr="00D87BEC">
        <w:rPr>
          <w:rFonts w:ascii="Times New Roman" w:hAnsi="Times New Roman" w:cs="Times New Roman"/>
          <w:sz w:val="26"/>
          <w:szCs w:val="26"/>
        </w:rPr>
        <w:t xml:space="preserve"> Service Agreement, </w:t>
      </w:r>
      <w:r w:rsidR="005A3689" w:rsidRPr="003849FD">
        <w:rPr>
          <w:rFonts w:ascii="Times New Roman" w:hAnsi="Times New Roman" w:cs="Times New Roman"/>
          <w:sz w:val="26"/>
          <w:szCs w:val="26"/>
        </w:rPr>
        <w:t xml:space="preserve">and directing Twin Lakes to </w:t>
      </w:r>
      <w:r w:rsidR="00CD118C">
        <w:rPr>
          <w:rFonts w:ascii="Times New Roman" w:hAnsi="Times New Roman" w:cs="Times New Roman"/>
          <w:sz w:val="26"/>
          <w:szCs w:val="26"/>
        </w:rPr>
        <w:t>p</w:t>
      </w:r>
      <w:r w:rsidR="00426487">
        <w:rPr>
          <w:rFonts w:ascii="Times New Roman" w:hAnsi="Times New Roman" w:cs="Times New Roman"/>
          <w:sz w:val="26"/>
          <w:szCs w:val="26"/>
        </w:rPr>
        <w:t>e</w:t>
      </w:r>
      <w:r w:rsidR="005A3689" w:rsidRPr="003849FD">
        <w:rPr>
          <w:rFonts w:ascii="Times New Roman" w:hAnsi="Times New Roman" w:cs="Times New Roman"/>
          <w:sz w:val="26"/>
          <w:szCs w:val="26"/>
        </w:rPr>
        <w:t>tition for the relief under Section 529 are extraordinary and unprecedented circumstances which are</w:t>
      </w:r>
      <w:r w:rsidR="00D87BEC" w:rsidRPr="00D87BEC">
        <w:rPr>
          <w:rFonts w:ascii="Times New Roman" w:hAnsi="Times New Roman" w:cs="Times New Roman"/>
          <w:sz w:val="26"/>
          <w:szCs w:val="26"/>
        </w:rPr>
        <w:t xml:space="preserve"> </w:t>
      </w:r>
      <w:r w:rsidR="001B743E" w:rsidRPr="003849FD">
        <w:rPr>
          <w:rFonts w:ascii="Times New Roman" w:hAnsi="Times New Roman" w:cs="Times New Roman"/>
          <w:sz w:val="26"/>
          <w:szCs w:val="26"/>
        </w:rPr>
        <w:t xml:space="preserve">both relevant and material to the ALJ’s </w:t>
      </w:r>
      <w:r w:rsidR="003F7652" w:rsidRPr="003849FD">
        <w:rPr>
          <w:rFonts w:ascii="Times New Roman" w:hAnsi="Times New Roman" w:cs="Times New Roman"/>
          <w:sz w:val="26"/>
          <w:szCs w:val="26"/>
        </w:rPr>
        <w:t>recommendation to approve the ac</w:t>
      </w:r>
      <w:r w:rsidR="00661B16" w:rsidRPr="003849FD">
        <w:rPr>
          <w:rFonts w:ascii="Times New Roman" w:hAnsi="Times New Roman" w:cs="Times New Roman"/>
          <w:sz w:val="26"/>
          <w:szCs w:val="26"/>
        </w:rPr>
        <w:t xml:space="preserve">quisition of Twin Lakes on the condition that Middlesex be required to </w:t>
      </w:r>
      <w:r w:rsidR="00087263" w:rsidRPr="003849FD">
        <w:rPr>
          <w:rFonts w:ascii="Times New Roman" w:hAnsi="Times New Roman" w:cs="Times New Roman"/>
          <w:sz w:val="26"/>
          <w:szCs w:val="26"/>
        </w:rPr>
        <w:t xml:space="preserve">escrow an amount reflecting at least a portion of the </w:t>
      </w:r>
      <w:r w:rsidR="00780B20" w:rsidRPr="003849FD">
        <w:rPr>
          <w:rFonts w:ascii="Times New Roman" w:hAnsi="Times New Roman" w:cs="Times New Roman"/>
          <w:sz w:val="26"/>
          <w:szCs w:val="26"/>
        </w:rPr>
        <w:t xml:space="preserve">financial burden caused directly due to </w:t>
      </w:r>
      <w:r w:rsidR="0015738B" w:rsidRPr="003849FD">
        <w:rPr>
          <w:rFonts w:ascii="Times New Roman" w:hAnsi="Times New Roman" w:cs="Times New Roman"/>
          <w:sz w:val="26"/>
          <w:szCs w:val="26"/>
        </w:rPr>
        <w:t>Middlesex’s failure to meet i</w:t>
      </w:r>
      <w:r w:rsidR="003334CC">
        <w:rPr>
          <w:rFonts w:ascii="Times New Roman" w:hAnsi="Times New Roman" w:cs="Times New Roman"/>
          <w:sz w:val="26"/>
          <w:szCs w:val="26"/>
        </w:rPr>
        <w:t>t</w:t>
      </w:r>
      <w:r w:rsidR="0015738B" w:rsidRPr="003849FD">
        <w:rPr>
          <w:rFonts w:ascii="Times New Roman" w:hAnsi="Times New Roman" w:cs="Times New Roman"/>
          <w:sz w:val="26"/>
          <w:szCs w:val="26"/>
        </w:rPr>
        <w:t>s obligation as the owner of</w:t>
      </w:r>
      <w:r w:rsidR="00744C12" w:rsidRPr="003849FD">
        <w:rPr>
          <w:rFonts w:ascii="Times New Roman" w:hAnsi="Times New Roman" w:cs="Times New Roman"/>
          <w:sz w:val="26"/>
          <w:szCs w:val="26"/>
        </w:rPr>
        <w:t xml:space="preserve"> Twin Lakes</w:t>
      </w:r>
      <w:r w:rsidR="00D87BEC" w:rsidRPr="00D87BEC">
        <w:rPr>
          <w:rFonts w:ascii="Times New Roman" w:hAnsi="Times New Roman" w:cs="Times New Roman"/>
          <w:sz w:val="26"/>
          <w:szCs w:val="26"/>
        </w:rPr>
        <w:t>.</w:t>
      </w:r>
      <w:r w:rsidR="003849FD" w:rsidRPr="003849FD">
        <w:rPr>
          <w:rFonts w:ascii="Times New Roman" w:hAnsi="Times New Roman" w:cs="Times New Roman"/>
          <w:sz w:val="26"/>
          <w:szCs w:val="26"/>
        </w:rPr>
        <w:t xml:space="preserve">  </w:t>
      </w:r>
      <w:r w:rsidR="002E78DB" w:rsidRPr="003A42E9">
        <w:rPr>
          <w:rFonts w:ascii="Times New Roman" w:hAnsi="Times New Roman" w:cs="Times New Roman"/>
          <w:i/>
          <w:iCs/>
          <w:sz w:val="26"/>
          <w:szCs w:val="26"/>
        </w:rPr>
        <w:t>Id</w:t>
      </w:r>
      <w:r w:rsidR="003A42E9" w:rsidRPr="003A42E9">
        <w:rPr>
          <w:rFonts w:ascii="Times New Roman" w:hAnsi="Times New Roman" w:cs="Times New Roman"/>
          <w:sz w:val="26"/>
          <w:szCs w:val="26"/>
        </w:rPr>
        <w:t>.</w:t>
      </w:r>
      <w:r w:rsidR="003849FD" w:rsidRPr="003A42E9">
        <w:rPr>
          <w:rFonts w:ascii="Times New Roman" w:hAnsi="Times New Roman" w:cs="Times New Roman"/>
          <w:sz w:val="26"/>
          <w:szCs w:val="26"/>
        </w:rPr>
        <w:t>;</w:t>
      </w:r>
      <w:r w:rsidR="003A42E9">
        <w:rPr>
          <w:rFonts w:ascii="Times New Roman" w:hAnsi="Times New Roman" w:cs="Times New Roman"/>
          <w:sz w:val="26"/>
          <w:szCs w:val="26"/>
        </w:rPr>
        <w:t xml:space="preserve"> </w:t>
      </w:r>
      <w:r w:rsidR="00D87BEC" w:rsidRPr="00D87BEC">
        <w:rPr>
          <w:rFonts w:ascii="Times New Roman" w:hAnsi="Times New Roman" w:cs="Times New Roman"/>
          <w:sz w:val="26"/>
          <w:szCs w:val="26"/>
        </w:rPr>
        <w:t>Aqua M</w:t>
      </w:r>
      <w:r w:rsidR="003334CC">
        <w:rPr>
          <w:rFonts w:ascii="Times New Roman" w:hAnsi="Times New Roman" w:cs="Times New Roman"/>
          <w:sz w:val="26"/>
          <w:szCs w:val="26"/>
        </w:rPr>
        <w:t>.</w:t>
      </w:r>
      <w:r w:rsidR="00D87BEC" w:rsidRPr="00D87BEC">
        <w:rPr>
          <w:rFonts w:ascii="Times New Roman" w:hAnsi="Times New Roman" w:cs="Times New Roman"/>
          <w:sz w:val="26"/>
          <w:szCs w:val="26"/>
        </w:rPr>
        <w:t>B</w:t>
      </w:r>
      <w:r w:rsidR="00F172C0">
        <w:rPr>
          <w:rFonts w:ascii="Times New Roman" w:hAnsi="Times New Roman" w:cs="Times New Roman"/>
          <w:sz w:val="26"/>
          <w:szCs w:val="26"/>
        </w:rPr>
        <w:t>.</w:t>
      </w:r>
      <w:r w:rsidR="00D87BEC" w:rsidRPr="00D87BEC">
        <w:rPr>
          <w:rFonts w:ascii="Times New Roman" w:hAnsi="Times New Roman" w:cs="Times New Roman"/>
          <w:sz w:val="26"/>
          <w:szCs w:val="26"/>
        </w:rPr>
        <w:t>, Section V.B.2.; Aqua R</w:t>
      </w:r>
      <w:r w:rsidR="00F172C0">
        <w:rPr>
          <w:rFonts w:ascii="Times New Roman" w:hAnsi="Times New Roman" w:cs="Times New Roman"/>
          <w:sz w:val="26"/>
          <w:szCs w:val="26"/>
        </w:rPr>
        <w:t>.</w:t>
      </w:r>
      <w:r w:rsidR="00D87BEC" w:rsidRPr="00D87BEC">
        <w:rPr>
          <w:rFonts w:ascii="Times New Roman" w:hAnsi="Times New Roman" w:cs="Times New Roman"/>
          <w:sz w:val="26"/>
          <w:szCs w:val="26"/>
        </w:rPr>
        <w:t>B</w:t>
      </w:r>
      <w:r w:rsidR="00F172C0">
        <w:rPr>
          <w:rFonts w:ascii="Times New Roman" w:hAnsi="Times New Roman" w:cs="Times New Roman"/>
          <w:sz w:val="26"/>
          <w:szCs w:val="26"/>
        </w:rPr>
        <w:t>.</w:t>
      </w:r>
      <w:r w:rsidR="00D87BEC" w:rsidRPr="00D87BEC">
        <w:rPr>
          <w:rFonts w:ascii="Times New Roman" w:hAnsi="Times New Roman" w:cs="Times New Roman"/>
          <w:sz w:val="26"/>
          <w:szCs w:val="26"/>
        </w:rPr>
        <w:t xml:space="preserve"> at Section III.A.4.; Aqua Exception No. 1.</w:t>
      </w:r>
      <w:r w:rsidR="00D87BEC" w:rsidRPr="00D87BEC">
        <w:rPr>
          <w:rFonts w:ascii="Times New Roman" w:hAnsi="Times New Roman" w:cs="Times New Roman"/>
          <w:b/>
          <w:bCs/>
          <w:sz w:val="26"/>
          <w:szCs w:val="26"/>
        </w:rPr>
        <w:t xml:space="preserve">  </w:t>
      </w:r>
    </w:p>
    <w:p w14:paraId="3E84FB1A" w14:textId="77777777" w:rsidR="00401D8E" w:rsidRDefault="00401D8E" w:rsidP="00CC0CB7">
      <w:pPr>
        <w:spacing w:after="0" w:line="360" w:lineRule="auto"/>
        <w:ind w:firstLine="1440"/>
        <w:rPr>
          <w:rFonts w:ascii="Times New Roman" w:hAnsi="Times New Roman" w:cs="Times New Roman"/>
          <w:b/>
          <w:bCs/>
          <w:sz w:val="26"/>
          <w:szCs w:val="26"/>
          <w:highlight w:val="yellow"/>
        </w:rPr>
      </w:pPr>
    </w:p>
    <w:p w14:paraId="28D8BA90" w14:textId="07AD5537" w:rsidR="004B672D" w:rsidRPr="00CE2D2A" w:rsidRDefault="00401D8E" w:rsidP="00CE2D2A">
      <w:pPr>
        <w:spacing w:after="0" w:line="360" w:lineRule="auto"/>
        <w:ind w:firstLine="1440"/>
        <w:rPr>
          <w:rFonts w:ascii="Times New Roman" w:hAnsi="Times New Roman" w:cs="Times New Roman"/>
          <w:sz w:val="26"/>
          <w:szCs w:val="26"/>
        </w:rPr>
      </w:pPr>
      <w:r w:rsidRPr="00FD0444">
        <w:rPr>
          <w:rFonts w:ascii="Times New Roman" w:hAnsi="Times New Roman" w:cs="Times New Roman"/>
          <w:sz w:val="26"/>
          <w:szCs w:val="26"/>
        </w:rPr>
        <w:t xml:space="preserve">Aqua asserts that the ALJ’s recommendation is </w:t>
      </w:r>
      <w:r w:rsidR="00A905F3" w:rsidRPr="00FD0444">
        <w:rPr>
          <w:rFonts w:ascii="Times New Roman" w:hAnsi="Times New Roman" w:cs="Times New Roman"/>
          <w:sz w:val="26"/>
          <w:szCs w:val="26"/>
        </w:rPr>
        <w:t>both consistent with Section</w:t>
      </w:r>
      <w:r w:rsidR="00360490">
        <w:rPr>
          <w:rFonts w:ascii="Times New Roman" w:hAnsi="Times New Roman" w:cs="Times New Roman"/>
          <w:sz w:val="26"/>
          <w:szCs w:val="26"/>
        </w:rPr>
        <w:t> </w:t>
      </w:r>
      <w:r w:rsidR="00A905F3" w:rsidRPr="00FD0444">
        <w:rPr>
          <w:rFonts w:ascii="Times New Roman" w:hAnsi="Times New Roman" w:cs="Times New Roman"/>
          <w:sz w:val="26"/>
          <w:szCs w:val="26"/>
        </w:rPr>
        <w:t>529, lawful and warranted in recognition of</w:t>
      </w:r>
      <w:r w:rsidR="00D87BEC" w:rsidRPr="00D87BEC">
        <w:rPr>
          <w:rFonts w:ascii="Times New Roman" w:hAnsi="Times New Roman" w:cs="Times New Roman"/>
          <w:sz w:val="26"/>
          <w:szCs w:val="26"/>
        </w:rPr>
        <w:t xml:space="preserve"> </w:t>
      </w:r>
      <w:r w:rsidR="00201309" w:rsidRPr="00FD0444">
        <w:rPr>
          <w:rFonts w:ascii="Times New Roman" w:hAnsi="Times New Roman" w:cs="Times New Roman"/>
          <w:sz w:val="26"/>
          <w:szCs w:val="26"/>
        </w:rPr>
        <w:t xml:space="preserve">the fact that </w:t>
      </w:r>
      <w:r w:rsidR="00D87BEC" w:rsidRPr="00D87BEC">
        <w:rPr>
          <w:rFonts w:ascii="Times New Roman" w:hAnsi="Times New Roman" w:cs="Times New Roman"/>
          <w:sz w:val="26"/>
          <w:szCs w:val="26"/>
        </w:rPr>
        <w:t>Middlesex voluntarily acquired th</w:t>
      </w:r>
      <w:r w:rsidR="00201309" w:rsidRPr="00FD0444">
        <w:rPr>
          <w:rFonts w:ascii="Times New Roman" w:hAnsi="Times New Roman" w:cs="Times New Roman"/>
          <w:sz w:val="26"/>
          <w:szCs w:val="26"/>
        </w:rPr>
        <w:t xml:space="preserve">e Twin Lakes </w:t>
      </w:r>
      <w:r w:rsidR="00D87BEC" w:rsidRPr="00D87BEC">
        <w:rPr>
          <w:rFonts w:ascii="Times New Roman" w:hAnsi="Times New Roman" w:cs="Times New Roman"/>
          <w:sz w:val="26"/>
          <w:szCs w:val="26"/>
        </w:rPr>
        <w:t xml:space="preserve">system, failed to make the necessary financial investments in it, and is now attempting to voluntarily withdraw from its ownership and operation of this system and to use the Section 529 process to force another Pennsylvania public utility to acquire the system.  </w:t>
      </w:r>
      <w:r w:rsidR="00A31A9E" w:rsidRPr="00A31A9E">
        <w:rPr>
          <w:rFonts w:ascii="Times New Roman" w:hAnsi="Times New Roman" w:cs="Times New Roman"/>
          <w:i/>
          <w:iCs/>
          <w:sz w:val="26"/>
          <w:szCs w:val="26"/>
        </w:rPr>
        <w:t>Id</w:t>
      </w:r>
      <w:r w:rsidR="00A31A9E">
        <w:rPr>
          <w:rFonts w:ascii="Times New Roman" w:hAnsi="Times New Roman" w:cs="Times New Roman"/>
          <w:sz w:val="26"/>
          <w:szCs w:val="26"/>
        </w:rPr>
        <w:t xml:space="preserve">., </w:t>
      </w:r>
      <w:r w:rsidR="00122A43" w:rsidRPr="00FD0444">
        <w:rPr>
          <w:rFonts w:ascii="Times New Roman" w:hAnsi="Times New Roman" w:cs="Times New Roman"/>
          <w:sz w:val="26"/>
          <w:szCs w:val="26"/>
        </w:rPr>
        <w:t>citing</w:t>
      </w:r>
      <w:r w:rsidR="00D87BEC" w:rsidRPr="00D87BEC">
        <w:rPr>
          <w:rFonts w:ascii="Times New Roman" w:hAnsi="Times New Roman" w:cs="Times New Roman"/>
          <w:i/>
          <w:sz w:val="26"/>
          <w:szCs w:val="26"/>
        </w:rPr>
        <w:t xml:space="preserve"> </w:t>
      </w:r>
      <w:r w:rsidR="00D87BEC" w:rsidRPr="00D87BEC">
        <w:rPr>
          <w:rFonts w:ascii="Times New Roman" w:hAnsi="Times New Roman" w:cs="Times New Roman"/>
          <w:sz w:val="26"/>
          <w:szCs w:val="26"/>
        </w:rPr>
        <w:t>R</w:t>
      </w:r>
      <w:r w:rsidR="00A31A9E">
        <w:rPr>
          <w:rFonts w:ascii="Times New Roman" w:hAnsi="Times New Roman" w:cs="Times New Roman"/>
          <w:sz w:val="26"/>
          <w:szCs w:val="26"/>
        </w:rPr>
        <w:t>.</w:t>
      </w:r>
      <w:r w:rsidR="00D87BEC" w:rsidRPr="00D87BEC">
        <w:rPr>
          <w:rFonts w:ascii="Times New Roman" w:hAnsi="Times New Roman" w:cs="Times New Roman"/>
          <w:sz w:val="26"/>
          <w:szCs w:val="26"/>
        </w:rPr>
        <w:t>D</w:t>
      </w:r>
      <w:r w:rsidR="00A31A9E">
        <w:rPr>
          <w:rFonts w:ascii="Times New Roman" w:hAnsi="Times New Roman" w:cs="Times New Roman"/>
          <w:sz w:val="26"/>
          <w:szCs w:val="26"/>
        </w:rPr>
        <w:t xml:space="preserve">. </w:t>
      </w:r>
      <w:r w:rsidR="00D87BEC" w:rsidRPr="00D87BEC">
        <w:rPr>
          <w:rFonts w:ascii="Times New Roman" w:hAnsi="Times New Roman" w:cs="Times New Roman"/>
          <w:sz w:val="26"/>
          <w:szCs w:val="26"/>
        </w:rPr>
        <w:t>at 58</w:t>
      </w:r>
      <w:r w:rsidR="00122A43" w:rsidRPr="00FD0444">
        <w:rPr>
          <w:rFonts w:ascii="Times New Roman" w:hAnsi="Times New Roman" w:cs="Times New Roman"/>
          <w:sz w:val="26"/>
          <w:szCs w:val="26"/>
        </w:rPr>
        <w:t>.</w:t>
      </w:r>
      <w:r w:rsidR="00D87BEC" w:rsidRPr="00D87BEC">
        <w:rPr>
          <w:rFonts w:ascii="Times New Roman" w:hAnsi="Times New Roman" w:cs="Times New Roman"/>
          <w:sz w:val="26"/>
          <w:szCs w:val="26"/>
        </w:rPr>
        <w:t xml:space="preserve">  </w:t>
      </w:r>
      <w:r w:rsidR="00122A43" w:rsidRPr="00FD0444">
        <w:rPr>
          <w:rFonts w:ascii="Times New Roman" w:hAnsi="Times New Roman" w:cs="Times New Roman"/>
          <w:sz w:val="26"/>
          <w:szCs w:val="26"/>
        </w:rPr>
        <w:t xml:space="preserve">Aqua </w:t>
      </w:r>
      <w:r w:rsidR="00732F21">
        <w:rPr>
          <w:rFonts w:ascii="Times New Roman" w:hAnsi="Times New Roman" w:cs="Times New Roman"/>
          <w:sz w:val="26"/>
          <w:szCs w:val="26"/>
        </w:rPr>
        <w:t xml:space="preserve">also </w:t>
      </w:r>
      <w:r w:rsidR="00122A43" w:rsidRPr="00FD0444">
        <w:rPr>
          <w:rFonts w:ascii="Times New Roman" w:hAnsi="Times New Roman" w:cs="Times New Roman"/>
          <w:sz w:val="26"/>
          <w:szCs w:val="26"/>
        </w:rPr>
        <w:t xml:space="preserve">asserts that under the unique circumstances of this case, </w:t>
      </w:r>
      <w:r w:rsidR="00D87BEC" w:rsidRPr="00D87BEC">
        <w:rPr>
          <w:rFonts w:ascii="Times New Roman" w:hAnsi="Times New Roman" w:cs="Times New Roman"/>
          <w:sz w:val="26"/>
          <w:szCs w:val="26"/>
        </w:rPr>
        <w:t>the recommended escrow condition is necessary and appropriate.</w:t>
      </w:r>
      <w:r w:rsidR="00FD0444" w:rsidRPr="00FD0444">
        <w:rPr>
          <w:rFonts w:ascii="Times New Roman" w:hAnsi="Times New Roman" w:cs="Times New Roman"/>
          <w:sz w:val="26"/>
          <w:szCs w:val="26"/>
        </w:rPr>
        <w:t xml:space="preserve">  Accordingly, Aqua argues that Twin Lakes Exception No. 2, should be denied. </w:t>
      </w:r>
    </w:p>
    <w:p w14:paraId="42854E23" w14:textId="77777777" w:rsidR="00A31A9E" w:rsidRDefault="00A31A9E" w:rsidP="00F27F08">
      <w:pPr>
        <w:spacing w:after="0" w:line="360" w:lineRule="auto"/>
        <w:ind w:firstLine="1440"/>
        <w:rPr>
          <w:rFonts w:ascii="Times New Roman" w:hAnsi="Times New Roman" w:cs="Times New Roman"/>
          <w:sz w:val="26"/>
          <w:szCs w:val="26"/>
        </w:rPr>
      </w:pPr>
    </w:p>
    <w:p w14:paraId="6CA5D779" w14:textId="6444BD29" w:rsidR="00994CFD" w:rsidRPr="00D92816" w:rsidRDefault="004B672D" w:rsidP="00B57F8E">
      <w:pPr>
        <w:spacing w:after="0" w:line="360" w:lineRule="auto"/>
        <w:ind w:firstLine="1440"/>
        <w:rPr>
          <w:rFonts w:ascii="Times New Roman" w:hAnsi="Times New Roman" w:cs="Times New Roman"/>
          <w:sz w:val="26"/>
          <w:szCs w:val="26"/>
        </w:rPr>
      </w:pPr>
      <w:r w:rsidRPr="00F27F08">
        <w:rPr>
          <w:rFonts w:ascii="Times New Roman" w:hAnsi="Times New Roman" w:cs="Times New Roman"/>
          <w:sz w:val="26"/>
          <w:szCs w:val="26"/>
        </w:rPr>
        <w:t>In its Replies to Twin Lakes</w:t>
      </w:r>
      <w:r w:rsidR="004E3BFD">
        <w:rPr>
          <w:rFonts w:ascii="Times New Roman" w:hAnsi="Times New Roman" w:cs="Times New Roman"/>
          <w:sz w:val="26"/>
          <w:szCs w:val="26"/>
        </w:rPr>
        <w:t>’</w:t>
      </w:r>
      <w:r w:rsidRPr="00F27F08">
        <w:rPr>
          <w:rFonts w:ascii="Times New Roman" w:hAnsi="Times New Roman" w:cs="Times New Roman"/>
          <w:sz w:val="26"/>
          <w:szCs w:val="26"/>
        </w:rPr>
        <w:t xml:space="preserve"> Exception No. 2, </w:t>
      </w:r>
      <w:r w:rsidR="004F10A6" w:rsidRPr="00F27F08">
        <w:rPr>
          <w:rFonts w:ascii="Times New Roman" w:hAnsi="Times New Roman" w:cs="Times New Roman"/>
          <w:sz w:val="26"/>
          <w:szCs w:val="26"/>
        </w:rPr>
        <w:t>I&amp;E submits that the ALJ properly recommended</w:t>
      </w:r>
      <w:r w:rsidR="00CD5637" w:rsidRPr="00F27F08">
        <w:rPr>
          <w:rFonts w:ascii="Times New Roman" w:hAnsi="Times New Roman" w:cs="Times New Roman"/>
          <w:sz w:val="26"/>
          <w:szCs w:val="26"/>
        </w:rPr>
        <w:t xml:space="preserve"> that</w:t>
      </w:r>
      <w:r w:rsidR="004F10A6" w:rsidRPr="00F27F08">
        <w:rPr>
          <w:rFonts w:ascii="Times New Roman" w:hAnsi="Times New Roman" w:cs="Times New Roman"/>
          <w:sz w:val="26"/>
          <w:szCs w:val="26"/>
        </w:rPr>
        <w:t xml:space="preserve"> </w:t>
      </w:r>
      <w:r w:rsidR="00CD5637" w:rsidRPr="00F27F08">
        <w:rPr>
          <w:rFonts w:ascii="Times New Roman" w:hAnsi="Times New Roman" w:cs="Times New Roman"/>
          <w:sz w:val="26"/>
          <w:szCs w:val="26"/>
        </w:rPr>
        <w:t xml:space="preserve">Middlesex be required to place $1,675,000 into an escrow account to be used to offset the costs </w:t>
      </w:r>
      <w:r w:rsidR="00600C89">
        <w:rPr>
          <w:rFonts w:ascii="Times New Roman" w:hAnsi="Times New Roman" w:cs="Times New Roman"/>
          <w:sz w:val="26"/>
          <w:szCs w:val="26"/>
        </w:rPr>
        <w:t xml:space="preserve">associated with </w:t>
      </w:r>
      <w:r w:rsidR="00CD5637" w:rsidRPr="00F27F08">
        <w:rPr>
          <w:rFonts w:ascii="Times New Roman" w:hAnsi="Times New Roman" w:cs="Times New Roman"/>
          <w:sz w:val="26"/>
          <w:szCs w:val="26"/>
        </w:rPr>
        <w:t>replacing and remediating the existing infrastructure of the Twin Lakes system</w:t>
      </w:r>
      <w:r w:rsidR="004F10A6" w:rsidRPr="00F27F08">
        <w:rPr>
          <w:rFonts w:ascii="Times New Roman" w:hAnsi="Times New Roman" w:cs="Times New Roman"/>
          <w:sz w:val="26"/>
          <w:szCs w:val="26"/>
        </w:rPr>
        <w:t xml:space="preserve">, </w:t>
      </w:r>
      <w:r w:rsidR="00CF5A33" w:rsidRPr="00F27F08">
        <w:rPr>
          <w:rFonts w:ascii="Times New Roman" w:hAnsi="Times New Roman" w:cs="Times New Roman"/>
          <w:sz w:val="26"/>
          <w:szCs w:val="26"/>
        </w:rPr>
        <w:t>which had deteriorated over the course of Middlesex’s ownership since 2008</w:t>
      </w:r>
      <w:r w:rsidR="00F27F08" w:rsidRPr="00F27F08">
        <w:rPr>
          <w:rFonts w:ascii="Times New Roman" w:hAnsi="Times New Roman" w:cs="Times New Roman"/>
          <w:sz w:val="26"/>
          <w:szCs w:val="26"/>
        </w:rPr>
        <w:t>,</w:t>
      </w:r>
      <w:r w:rsidRPr="00F27F08">
        <w:rPr>
          <w:rFonts w:ascii="Times New Roman" w:hAnsi="Times New Roman" w:cs="Times New Roman"/>
          <w:sz w:val="26"/>
          <w:szCs w:val="26"/>
        </w:rPr>
        <w:t xml:space="preserve"> </w:t>
      </w:r>
      <w:r w:rsidR="004F10A6" w:rsidRPr="00F27F08">
        <w:rPr>
          <w:rFonts w:ascii="Times New Roman" w:hAnsi="Times New Roman" w:cs="Times New Roman"/>
          <w:sz w:val="26"/>
          <w:szCs w:val="26"/>
        </w:rPr>
        <w:t xml:space="preserve">as a condition of requiring Aqua to acquire the Twin Lakes system.  </w:t>
      </w:r>
      <w:r w:rsidRPr="00F27F08">
        <w:rPr>
          <w:rFonts w:ascii="Times New Roman" w:hAnsi="Times New Roman" w:cs="Times New Roman"/>
          <w:sz w:val="26"/>
          <w:szCs w:val="26"/>
        </w:rPr>
        <w:t xml:space="preserve">I&amp;E R. Exc. </w:t>
      </w:r>
      <w:r w:rsidRPr="006C6DAF">
        <w:rPr>
          <w:rFonts w:ascii="Times New Roman" w:hAnsi="Times New Roman" w:cs="Times New Roman"/>
          <w:sz w:val="26"/>
          <w:szCs w:val="26"/>
        </w:rPr>
        <w:t xml:space="preserve">at </w:t>
      </w:r>
      <w:r w:rsidR="006C6DAF" w:rsidRPr="006C6DAF">
        <w:rPr>
          <w:rFonts w:ascii="Times New Roman" w:hAnsi="Times New Roman" w:cs="Times New Roman"/>
          <w:sz w:val="26"/>
          <w:szCs w:val="26"/>
        </w:rPr>
        <w:t>5-10</w:t>
      </w:r>
      <w:r w:rsidRPr="006C6DAF">
        <w:rPr>
          <w:rFonts w:ascii="Times New Roman" w:hAnsi="Times New Roman" w:cs="Times New Roman"/>
          <w:sz w:val="26"/>
          <w:szCs w:val="26"/>
        </w:rPr>
        <w:t>.</w:t>
      </w:r>
      <w:r w:rsidR="006C6DAF">
        <w:rPr>
          <w:rFonts w:ascii="Times New Roman" w:hAnsi="Times New Roman" w:cs="Times New Roman"/>
          <w:b/>
          <w:bCs/>
          <w:sz w:val="26"/>
          <w:szCs w:val="26"/>
        </w:rPr>
        <w:t xml:space="preserve">  </w:t>
      </w:r>
      <w:r w:rsidR="006C6DAF" w:rsidRPr="00D92816">
        <w:rPr>
          <w:rFonts w:ascii="Times New Roman" w:hAnsi="Times New Roman" w:cs="Times New Roman"/>
          <w:sz w:val="26"/>
          <w:szCs w:val="26"/>
        </w:rPr>
        <w:t xml:space="preserve">Accordingly, I&amp;E argues </w:t>
      </w:r>
      <w:r w:rsidR="00D92816" w:rsidRPr="00D92816">
        <w:rPr>
          <w:rFonts w:ascii="Times New Roman" w:hAnsi="Times New Roman" w:cs="Times New Roman"/>
          <w:sz w:val="26"/>
          <w:szCs w:val="26"/>
        </w:rPr>
        <w:t>Twin Lakes</w:t>
      </w:r>
      <w:r w:rsidR="004E3BFD">
        <w:rPr>
          <w:rFonts w:ascii="Times New Roman" w:hAnsi="Times New Roman" w:cs="Times New Roman"/>
          <w:sz w:val="26"/>
          <w:szCs w:val="26"/>
        </w:rPr>
        <w:t>’</w:t>
      </w:r>
      <w:r w:rsidR="00D92816" w:rsidRPr="00D92816">
        <w:rPr>
          <w:rFonts w:ascii="Times New Roman" w:hAnsi="Times New Roman" w:cs="Times New Roman"/>
          <w:sz w:val="26"/>
          <w:szCs w:val="26"/>
        </w:rPr>
        <w:t xml:space="preserve"> Exception No. 2, should be denied.</w:t>
      </w:r>
    </w:p>
    <w:p w14:paraId="195E4EF4" w14:textId="5207B4F1" w:rsidR="00D84A02" w:rsidRDefault="00D84A02" w:rsidP="00B57F8E">
      <w:pPr>
        <w:pStyle w:val="ListParagraph"/>
        <w:spacing w:after="0" w:line="360" w:lineRule="auto"/>
        <w:ind w:firstLine="720"/>
        <w:rPr>
          <w:rFonts w:ascii="Times New Roman" w:hAnsi="Times New Roman" w:cs="Times New Roman"/>
          <w:b/>
          <w:sz w:val="26"/>
          <w:szCs w:val="26"/>
        </w:rPr>
      </w:pPr>
    </w:p>
    <w:p w14:paraId="51EA8614" w14:textId="57D4BC8A" w:rsidR="00C80092" w:rsidRPr="00C80092" w:rsidRDefault="00C80092" w:rsidP="007273B8">
      <w:pPr>
        <w:pStyle w:val="Heading2"/>
      </w:pPr>
      <w:bookmarkStart w:id="18" w:name="_Toc87265463"/>
      <w:r>
        <w:lastRenderedPageBreak/>
        <w:t>Disposition</w:t>
      </w:r>
      <w:bookmarkEnd w:id="18"/>
      <w:r>
        <w:t xml:space="preserve"> </w:t>
      </w:r>
    </w:p>
    <w:p w14:paraId="2CDCD43D" w14:textId="49CD4E51" w:rsidR="00B513F9" w:rsidRPr="00F054D1" w:rsidRDefault="00B513F9" w:rsidP="005147D9"/>
    <w:p w14:paraId="1F29AA02" w14:textId="77777777" w:rsidR="00A724D1" w:rsidRDefault="00492EB0" w:rsidP="00B57F8E">
      <w:pPr>
        <w:spacing w:after="0" w:line="360" w:lineRule="auto"/>
        <w:ind w:firstLine="1440"/>
        <w:rPr>
          <w:rFonts w:ascii="Times New Roman" w:hAnsi="Times New Roman" w:cs="Times New Roman"/>
          <w:sz w:val="26"/>
          <w:szCs w:val="26"/>
        </w:rPr>
      </w:pPr>
      <w:r w:rsidRPr="00492EB0">
        <w:rPr>
          <w:rFonts w:ascii="Times New Roman" w:hAnsi="Times New Roman" w:cs="Times New Roman"/>
          <w:sz w:val="26"/>
          <w:szCs w:val="26"/>
        </w:rPr>
        <w:t xml:space="preserve">We remind the Parties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492EB0">
        <w:rPr>
          <w:rFonts w:ascii="Times New Roman" w:hAnsi="Times New Roman" w:cs="Times New Roman"/>
          <w:i/>
          <w:iCs/>
          <w:sz w:val="26"/>
          <w:szCs w:val="26"/>
        </w:rPr>
        <w:t xml:space="preserve">See </w:t>
      </w:r>
      <w:hyperlink r:id="rId12" w:history="1">
        <w:r w:rsidRPr="00492EB0">
          <w:rPr>
            <w:rFonts w:ascii="Times New Roman" w:hAnsi="Times New Roman" w:cs="Times New Roman"/>
            <w:i/>
            <w:iCs/>
            <w:sz w:val="26"/>
            <w:szCs w:val="26"/>
          </w:rPr>
          <w:t>Consolidated Rail Corp. v. Pa. PUC</w:t>
        </w:r>
        <w:r w:rsidRPr="00CB06ED">
          <w:rPr>
            <w:rFonts w:ascii="Times New Roman" w:hAnsi="Times New Roman" w:cs="Times New Roman"/>
            <w:sz w:val="26"/>
            <w:szCs w:val="26"/>
          </w:rPr>
          <w:t>,</w:t>
        </w:r>
        <w:r w:rsidRPr="00492EB0">
          <w:rPr>
            <w:rFonts w:ascii="Times New Roman" w:hAnsi="Times New Roman" w:cs="Times New Roman"/>
            <w:i/>
            <w:iCs/>
            <w:sz w:val="26"/>
            <w:szCs w:val="26"/>
          </w:rPr>
          <w:t xml:space="preserve"> </w:t>
        </w:r>
        <w:r w:rsidRPr="00492EB0">
          <w:rPr>
            <w:rFonts w:ascii="Times New Roman" w:hAnsi="Times New Roman" w:cs="Times New Roman"/>
            <w:sz w:val="26"/>
            <w:szCs w:val="26"/>
          </w:rPr>
          <w:t>625 A.2d 741 (Pa. Cmwlth. 1993);</w:t>
        </w:r>
      </w:hyperlink>
      <w:r w:rsidRPr="00492EB0">
        <w:rPr>
          <w:rFonts w:ascii="Times New Roman" w:hAnsi="Times New Roman" w:cs="Times New Roman"/>
          <w:sz w:val="26"/>
          <w:szCs w:val="26"/>
        </w:rPr>
        <w:t xml:space="preserve"> </w:t>
      </w:r>
      <w:r w:rsidRPr="00492EB0">
        <w:rPr>
          <w:rFonts w:ascii="Times New Roman" w:hAnsi="Times New Roman" w:cs="Times New Roman"/>
          <w:i/>
          <w:sz w:val="26"/>
          <w:szCs w:val="26"/>
        </w:rPr>
        <w:t>also</w:t>
      </w:r>
      <w:r w:rsidRPr="00492EB0">
        <w:rPr>
          <w:rFonts w:ascii="Times New Roman" w:hAnsi="Times New Roman" w:cs="Times New Roman"/>
          <w:i/>
          <w:iCs/>
          <w:sz w:val="26"/>
          <w:szCs w:val="26"/>
        </w:rPr>
        <w:t xml:space="preserve">, see generally, </w:t>
      </w:r>
      <w:hyperlink r:id="rId13" w:history="1">
        <w:r w:rsidRPr="00492EB0">
          <w:rPr>
            <w:rFonts w:ascii="Times New Roman" w:hAnsi="Times New Roman" w:cs="Times New Roman"/>
            <w:i/>
            <w:iCs/>
            <w:sz w:val="26"/>
            <w:szCs w:val="26"/>
          </w:rPr>
          <w:t>University of Pennsylvania v. Pa. PUC</w:t>
        </w:r>
        <w:r w:rsidRPr="00492EB0">
          <w:rPr>
            <w:rFonts w:ascii="Times New Roman" w:hAnsi="Times New Roman" w:cs="Times New Roman"/>
            <w:sz w:val="26"/>
            <w:szCs w:val="26"/>
          </w:rPr>
          <w:t>, 485 A.2d 1217 (Pa. Cmwlth. 1984)</w:t>
        </w:r>
      </w:hyperlink>
      <w:r w:rsidRPr="00492EB0">
        <w:rPr>
          <w:rFonts w:ascii="Times New Roman" w:hAnsi="Times New Roman" w:cs="Times New Roman"/>
          <w:sz w:val="26"/>
          <w:szCs w:val="26"/>
        </w:rPr>
        <w:t>.</w:t>
      </w:r>
    </w:p>
    <w:p w14:paraId="609ED210" w14:textId="63061639" w:rsidR="00E83AC1" w:rsidRDefault="00E83AC1" w:rsidP="00E83AC1">
      <w:pPr>
        <w:spacing w:line="360" w:lineRule="auto"/>
        <w:ind w:firstLine="1440"/>
        <w:rPr>
          <w:rFonts w:ascii="Times New Roman" w:hAnsi="Times New Roman" w:cs="Times New Roman"/>
          <w:sz w:val="26"/>
          <w:szCs w:val="26"/>
        </w:rPr>
      </w:pPr>
    </w:p>
    <w:p w14:paraId="71E8E319" w14:textId="42EF34EE" w:rsidR="00031F6F" w:rsidRDefault="007E4460" w:rsidP="007E4460">
      <w:pPr>
        <w:spacing w:after="0" w:line="360" w:lineRule="auto"/>
        <w:ind w:firstLine="1440"/>
        <w:rPr>
          <w:rFonts w:ascii="Times New Roman" w:hAnsi="Times New Roman" w:cs="Times New Roman"/>
          <w:sz w:val="26"/>
          <w:szCs w:val="26"/>
        </w:rPr>
      </w:pPr>
      <w:r w:rsidRPr="00031F6F">
        <w:rPr>
          <w:rFonts w:ascii="Times New Roman" w:hAnsi="Times New Roman" w:cs="Times New Roman"/>
          <w:sz w:val="26"/>
          <w:szCs w:val="26"/>
        </w:rPr>
        <w:t xml:space="preserve">As previously noted, the matter now before us is whether to adopt the ALJ’s </w:t>
      </w:r>
      <w:r w:rsidR="00445719" w:rsidRPr="00031F6F">
        <w:rPr>
          <w:rFonts w:ascii="Times New Roman" w:hAnsi="Times New Roman" w:cs="Times New Roman"/>
          <w:sz w:val="26"/>
          <w:szCs w:val="26"/>
        </w:rPr>
        <w:t xml:space="preserve">recommendation to </w:t>
      </w:r>
      <w:r w:rsidRPr="00031F6F">
        <w:rPr>
          <w:rFonts w:ascii="Times New Roman" w:hAnsi="Times New Roman" w:cs="Times New Roman"/>
          <w:sz w:val="26"/>
          <w:szCs w:val="26"/>
        </w:rPr>
        <w:t>approve the acquisition of Twin Lakes by Aqua as a capable public utility pursuant to Section 529 of the Code, on the conditions set forth in the ALJ’s Recommended Decision, or otherwise.</w:t>
      </w:r>
      <w:r>
        <w:rPr>
          <w:rFonts w:ascii="Times New Roman" w:hAnsi="Times New Roman" w:cs="Times New Roman"/>
          <w:sz w:val="26"/>
          <w:szCs w:val="26"/>
        </w:rPr>
        <w:t xml:space="preserve">  </w:t>
      </w:r>
      <w:r w:rsidR="00445719">
        <w:rPr>
          <w:rFonts w:ascii="Times New Roman" w:hAnsi="Times New Roman" w:cs="Times New Roman"/>
          <w:sz w:val="26"/>
          <w:szCs w:val="26"/>
        </w:rPr>
        <w:t xml:space="preserve">Consistent with Section 529, </w:t>
      </w:r>
      <w:r w:rsidR="0003383F">
        <w:rPr>
          <w:rFonts w:ascii="Times New Roman" w:hAnsi="Times New Roman" w:cs="Times New Roman"/>
          <w:sz w:val="26"/>
          <w:szCs w:val="26"/>
        </w:rPr>
        <w:t xml:space="preserve">our analysis </w:t>
      </w:r>
      <w:r w:rsidR="009B572B">
        <w:rPr>
          <w:rFonts w:ascii="Times New Roman" w:hAnsi="Times New Roman" w:cs="Times New Roman"/>
          <w:sz w:val="26"/>
          <w:szCs w:val="26"/>
        </w:rPr>
        <w:t xml:space="preserve">of the ALJ’s Recommended Decision and the </w:t>
      </w:r>
      <w:r w:rsidR="00B9663D">
        <w:rPr>
          <w:rFonts w:ascii="Times New Roman" w:hAnsi="Times New Roman" w:cs="Times New Roman"/>
          <w:sz w:val="26"/>
          <w:szCs w:val="26"/>
        </w:rPr>
        <w:t>P</w:t>
      </w:r>
      <w:r w:rsidR="009B572B">
        <w:rPr>
          <w:rFonts w:ascii="Times New Roman" w:hAnsi="Times New Roman" w:cs="Times New Roman"/>
          <w:sz w:val="26"/>
          <w:szCs w:val="26"/>
        </w:rPr>
        <w:t xml:space="preserve">arties’ Exceptions and Replies requires that we </w:t>
      </w:r>
      <w:r w:rsidR="00445719">
        <w:rPr>
          <w:rFonts w:ascii="Times New Roman" w:hAnsi="Times New Roman" w:cs="Times New Roman"/>
          <w:sz w:val="26"/>
          <w:szCs w:val="26"/>
        </w:rPr>
        <w:t xml:space="preserve">first </w:t>
      </w:r>
      <w:r w:rsidR="003F0458">
        <w:rPr>
          <w:rFonts w:ascii="Times New Roman" w:hAnsi="Times New Roman" w:cs="Times New Roman"/>
          <w:sz w:val="26"/>
          <w:szCs w:val="26"/>
        </w:rPr>
        <w:t xml:space="preserve">determine whether the ALJ properly concluded that the </w:t>
      </w:r>
      <w:r>
        <w:rPr>
          <w:rFonts w:ascii="Times New Roman" w:hAnsi="Times New Roman" w:cs="Times New Roman"/>
          <w:sz w:val="26"/>
          <w:szCs w:val="26"/>
        </w:rPr>
        <w:t>requirements for approving the acquisition of Twin Lakes by Aqua under Section 529 are satisfied in the circumstances</w:t>
      </w:r>
      <w:r w:rsidR="003F0458">
        <w:rPr>
          <w:rFonts w:ascii="Times New Roman" w:hAnsi="Times New Roman" w:cs="Times New Roman"/>
          <w:sz w:val="26"/>
          <w:szCs w:val="26"/>
        </w:rPr>
        <w:t xml:space="preserve">.  If so, </w:t>
      </w:r>
      <w:r w:rsidR="00F474C1">
        <w:rPr>
          <w:rFonts w:ascii="Times New Roman" w:hAnsi="Times New Roman" w:cs="Times New Roman"/>
          <w:sz w:val="26"/>
          <w:szCs w:val="26"/>
        </w:rPr>
        <w:t xml:space="preserve">the question remains whether to adopt the ALJ’s recommendation that the approval of </w:t>
      </w:r>
      <w:r w:rsidR="00B9663D">
        <w:rPr>
          <w:rFonts w:ascii="Times New Roman" w:hAnsi="Times New Roman" w:cs="Times New Roman"/>
          <w:sz w:val="26"/>
          <w:szCs w:val="26"/>
        </w:rPr>
        <w:t xml:space="preserve">the </w:t>
      </w:r>
      <w:r w:rsidR="00F474C1">
        <w:rPr>
          <w:rFonts w:ascii="Times New Roman" w:hAnsi="Times New Roman" w:cs="Times New Roman"/>
          <w:sz w:val="26"/>
          <w:szCs w:val="26"/>
        </w:rPr>
        <w:t>acquisition be condition</w:t>
      </w:r>
      <w:r w:rsidR="00C502C3">
        <w:rPr>
          <w:rFonts w:ascii="Times New Roman" w:hAnsi="Times New Roman" w:cs="Times New Roman"/>
          <w:sz w:val="26"/>
          <w:szCs w:val="26"/>
        </w:rPr>
        <w:t>ed upon requiring Middlesex</w:t>
      </w:r>
      <w:r w:rsidR="00C5567E">
        <w:rPr>
          <w:rFonts w:ascii="Times New Roman" w:hAnsi="Times New Roman" w:cs="Times New Roman"/>
          <w:sz w:val="26"/>
          <w:szCs w:val="26"/>
        </w:rPr>
        <w:t xml:space="preserve"> to escrow funds </w:t>
      </w:r>
      <w:r w:rsidR="00D67E53" w:rsidRPr="00966C5F">
        <w:rPr>
          <w:rFonts w:ascii="Times New Roman" w:hAnsi="Times New Roman" w:cs="Times New Roman"/>
          <w:sz w:val="26"/>
          <w:szCs w:val="26"/>
        </w:rPr>
        <w:t xml:space="preserve">in the amount of $1,675,000, to offset the costs </w:t>
      </w:r>
      <w:r w:rsidR="002873F0">
        <w:rPr>
          <w:rFonts w:ascii="Times New Roman" w:hAnsi="Times New Roman" w:cs="Times New Roman"/>
          <w:sz w:val="26"/>
          <w:szCs w:val="26"/>
        </w:rPr>
        <w:t xml:space="preserve">associated with </w:t>
      </w:r>
      <w:r w:rsidR="00D67E53" w:rsidRPr="00966C5F">
        <w:rPr>
          <w:rFonts w:ascii="Times New Roman" w:hAnsi="Times New Roman" w:cs="Times New Roman"/>
          <w:sz w:val="26"/>
          <w:szCs w:val="26"/>
        </w:rPr>
        <w:t xml:space="preserve">replacing and remediating the existing infrastructure, which was left to deteriorate from the time Twin Lakes was acquired by </w:t>
      </w:r>
      <w:r w:rsidR="00F27F08" w:rsidRPr="00966C5F">
        <w:rPr>
          <w:rFonts w:ascii="Times New Roman" w:hAnsi="Times New Roman" w:cs="Times New Roman"/>
          <w:sz w:val="26"/>
          <w:szCs w:val="26"/>
        </w:rPr>
        <w:t>Middlesex</w:t>
      </w:r>
      <w:r w:rsidR="00D67E53" w:rsidRPr="00966C5F">
        <w:rPr>
          <w:rFonts w:ascii="Times New Roman" w:hAnsi="Times New Roman" w:cs="Times New Roman"/>
          <w:sz w:val="26"/>
          <w:szCs w:val="26"/>
        </w:rPr>
        <w:t>.</w:t>
      </w:r>
      <w:r w:rsidR="00D67E53">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FE0D80F" w14:textId="1BF096FA" w:rsidR="009544A9" w:rsidRDefault="009544A9" w:rsidP="007E4460">
      <w:pPr>
        <w:spacing w:after="0" w:line="360" w:lineRule="auto"/>
        <w:ind w:firstLine="1440"/>
        <w:rPr>
          <w:rFonts w:ascii="Times New Roman" w:hAnsi="Times New Roman" w:cs="Times New Roman"/>
          <w:sz w:val="26"/>
          <w:szCs w:val="26"/>
        </w:rPr>
      </w:pPr>
    </w:p>
    <w:p w14:paraId="09D1D142" w14:textId="3E32E03A" w:rsidR="00E92CCC" w:rsidRDefault="00DB60D7" w:rsidP="0078014D">
      <w:pPr>
        <w:spacing w:after="0" w:line="360" w:lineRule="auto"/>
        <w:ind w:firstLine="1440"/>
        <w:rPr>
          <w:rFonts w:ascii="Times New Roman" w:eastAsia="Times New Roman" w:hAnsi="Times New Roman" w:cs="Times New Roman"/>
          <w:sz w:val="26"/>
          <w:szCs w:val="26"/>
        </w:rPr>
      </w:pPr>
      <w:r>
        <w:rPr>
          <w:rFonts w:ascii="Times New Roman" w:eastAsia="Calibri" w:hAnsi="Times New Roman" w:cs="Times New Roman"/>
          <w:sz w:val="26"/>
          <w:szCs w:val="26"/>
        </w:rPr>
        <w:t>As discussed, i</w:t>
      </w:r>
      <w:r w:rsidRPr="00B57F46">
        <w:rPr>
          <w:rFonts w:ascii="Times New Roman" w:eastAsia="Calibri" w:hAnsi="Times New Roman" w:cs="Times New Roman"/>
          <w:sz w:val="26"/>
          <w:szCs w:val="26"/>
        </w:rPr>
        <w:t xml:space="preserve">n the proceeding before </w:t>
      </w:r>
      <w:r>
        <w:rPr>
          <w:rFonts w:ascii="Times New Roman" w:eastAsia="Calibri" w:hAnsi="Times New Roman" w:cs="Times New Roman"/>
          <w:sz w:val="26"/>
          <w:szCs w:val="26"/>
        </w:rPr>
        <w:t xml:space="preserve">us, </w:t>
      </w:r>
      <w:r w:rsidRPr="00B57F46">
        <w:rPr>
          <w:rFonts w:ascii="Times New Roman" w:eastAsia="Calibri" w:hAnsi="Times New Roman" w:cs="Times New Roman"/>
          <w:sz w:val="26"/>
          <w:szCs w:val="26"/>
        </w:rPr>
        <w:t>the ALJ c</w:t>
      </w:r>
      <w:r w:rsidR="00BA720C">
        <w:rPr>
          <w:rFonts w:ascii="Times New Roman" w:eastAsia="Calibri" w:hAnsi="Times New Roman" w:cs="Times New Roman"/>
          <w:sz w:val="26"/>
          <w:szCs w:val="26"/>
        </w:rPr>
        <w:t>oncluded that it was appropriate to recommend both, that we approve Twin Lakes acquisition by Aqua under Section 529 and</w:t>
      </w:r>
      <w:r w:rsidR="00A6758F">
        <w:rPr>
          <w:rFonts w:ascii="Times New Roman" w:eastAsia="Calibri" w:hAnsi="Times New Roman" w:cs="Times New Roman"/>
          <w:sz w:val="26"/>
          <w:szCs w:val="26"/>
        </w:rPr>
        <w:t xml:space="preserve"> that </w:t>
      </w:r>
      <w:r w:rsidR="007446EE">
        <w:rPr>
          <w:rFonts w:ascii="Times New Roman" w:eastAsia="Calibri" w:hAnsi="Times New Roman" w:cs="Times New Roman"/>
          <w:sz w:val="26"/>
          <w:szCs w:val="26"/>
        </w:rPr>
        <w:t xml:space="preserve">the acquisition be conditioned </w:t>
      </w:r>
      <w:r w:rsidR="00B87735">
        <w:rPr>
          <w:rFonts w:ascii="Times New Roman" w:eastAsia="Calibri" w:hAnsi="Times New Roman" w:cs="Times New Roman"/>
          <w:sz w:val="26"/>
          <w:szCs w:val="26"/>
        </w:rPr>
        <w:t xml:space="preserve">upon Middlesex’s escrow of funds to cover </w:t>
      </w:r>
      <w:r w:rsidR="00C41ECE">
        <w:rPr>
          <w:rFonts w:ascii="Times New Roman" w:eastAsia="Calibri" w:hAnsi="Times New Roman" w:cs="Times New Roman"/>
          <w:sz w:val="26"/>
          <w:szCs w:val="26"/>
        </w:rPr>
        <w:t xml:space="preserve">costs associated with the </w:t>
      </w:r>
      <w:r w:rsidR="00B87735">
        <w:rPr>
          <w:rFonts w:ascii="Times New Roman" w:eastAsia="Calibri" w:hAnsi="Times New Roman" w:cs="Times New Roman"/>
          <w:sz w:val="26"/>
          <w:szCs w:val="26"/>
        </w:rPr>
        <w:t xml:space="preserve">necessary </w:t>
      </w:r>
      <w:r w:rsidR="00BE60B9">
        <w:rPr>
          <w:rFonts w:ascii="Times New Roman" w:eastAsia="Calibri" w:hAnsi="Times New Roman" w:cs="Times New Roman"/>
          <w:sz w:val="26"/>
          <w:szCs w:val="26"/>
        </w:rPr>
        <w:t xml:space="preserve">repair to Twin Lakes’ </w:t>
      </w:r>
      <w:r w:rsidR="0078014D">
        <w:rPr>
          <w:rFonts w:ascii="Times New Roman" w:eastAsia="Calibri" w:hAnsi="Times New Roman" w:cs="Times New Roman"/>
          <w:sz w:val="26"/>
          <w:szCs w:val="26"/>
        </w:rPr>
        <w:t xml:space="preserve">infrastructure.  </w:t>
      </w:r>
      <w:r w:rsidRPr="00B57F46">
        <w:rPr>
          <w:rFonts w:ascii="Times New Roman" w:eastAsia="Calibri" w:hAnsi="Times New Roman" w:cs="Times New Roman"/>
          <w:sz w:val="26"/>
          <w:szCs w:val="26"/>
        </w:rPr>
        <w:t xml:space="preserve">We </w:t>
      </w:r>
      <w:r>
        <w:rPr>
          <w:rFonts w:ascii="Times New Roman" w:eastAsia="Calibri" w:hAnsi="Times New Roman" w:cs="Times New Roman"/>
          <w:sz w:val="26"/>
          <w:szCs w:val="26"/>
        </w:rPr>
        <w:t>agree with that conclusion under the facts of this case</w:t>
      </w:r>
      <w:r w:rsidRPr="00B57F46">
        <w:rPr>
          <w:rFonts w:ascii="Times New Roman" w:eastAsia="Calibri" w:hAnsi="Times New Roman" w:cs="Times New Roman"/>
          <w:sz w:val="26"/>
          <w:szCs w:val="26"/>
        </w:rPr>
        <w:t xml:space="preserve">.  Accordingly, as discussed more fully </w:t>
      </w:r>
      <w:r w:rsidRPr="00B57F46">
        <w:rPr>
          <w:rFonts w:ascii="Times New Roman" w:eastAsia="Calibri" w:hAnsi="Times New Roman" w:cs="Times New Roman"/>
          <w:i/>
          <w:iCs/>
          <w:sz w:val="26"/>
          <w:szCs w:val="26"/>
        </w:rPr>
        <w:t>infra</w:t>
      </w:r>
      <w:r w:rsidRPr="00B57F46">
        <w:rPr>
          <w:rFonts w:ascii="Times New Roman" w:eastAsia="Calibri" w:hAnsi="Times New Roman" w:cs="Times New Roman"/>
          <w:sz w:val="26"/>
          <w:szCs w:val="26"/>
        </w:rPr>
        <w:t xml:space="preserve">., based upon our </w:t>
      </w:r>
      <w:r>
        <w:rPr>
          <w:rFonts w:ascii="Times New Roman" w:eastAsia="Calibri" w:hAnsi="Times New Roman" w:cs="Times New Roman"/>
          <w:sz w:val="26"/>
          <w:szCs w:val="26"/>
        </w:rPr>
        <w:t xml:space="preserve">review </w:t>
      </w:r>
      <w:r w:rsidR="00676C89">
        <w:rPr>
          <w:rFonts w:ascii="Times New Roman" w:eastAsia="Calibri" w:hAnsi="Times New Roman" w:cs="Times New Roman"/>
          <w:sz w:val="26"/>
          <w:szCs w:val="26"/>
        </w:rPr>
        <w:t>o</w:t>
      </w:r>
      <w:r>
        <w:rPr>
          <w:rFonts w:ascii="Times New Roman" w:eastAsia="Calibri" w:hAnsi="Times New Roman" w:cs="Times New Roman"/>
          <w:sz w:val="26"/>
          <w:szCs w:val="26"/>
        </w:rPr>
        <w:t xml:space="preserve">f the record and the arguments presented on Exception </w:t>
      </w:r>
      <w:r>
        <w:rPr>
          <w:rFonts w:ascii="Times New Roman" w:eastAsia="Calibri" w:hAnsi="Times New Roman" w:cs="Times New Roman"/>
          <w:sz w:val="26"/>
          <w:szCs w:val="26"/>
        </w:rPr>
        <w:lastRenderedPageBreak/>
        <w:t>and the Replies thereto</w:t>
      </w:r>
      <w:r w:rsidRPr="00B57F46">
        <w:rPr>
          <w:rFonts w:ascii="Times New Roman" w:eastAsia="Calibri" w:hAnsi="Times New Roman" w:cs="Times New Roman"/>
          <w:sz w:val="26"/>
          <w:szCs w:val="26"/>
        </w:rPr>
        <w:t xml:space="preserve">, we shall </w:t>
      </w:r>
      <w:r>
        <w:rPr>
          <w:rFonts w:ascii="Times New Roman" w:eastAsia="Calibri" w:hAnsi="Times New Roman" w:cs="Times New Roman"/>
          <w:sz w:val="26"/>
          <w:szCs w:val="26"/>
        </w:rPr>
        <w:t xml:space="preserve">deny </w:t>
      </w:r>
      <w:r w:rsidRPr="00B57F46">
        <w:rPr>
          <w:rFonts w:ascii="Times New Roman" w:eastAsia="Calibri" w:hAnsi="Times New Roman" w:cs="Times New Roman"/>
          <w:sz w:val="26"/>
          <w:szCs w:val="26"/>
        </w:rPr>
        <w:t>the Exceptions</w:t>
      </w:r>
      <w:r w:rsidR="007446EE">
        <w:rPr>
          <w:rFonts w:ascii="Times New Roman" w:eastAsia="Calibri" w:hAnsi="Times New Roman" w:cs="Times New Roman"/>
          <w:sz w:val="26"/>
          <w:szCs w:val="26"/>
        </w:rPr>
        <w:t xml:space="preserve"> of both Aqua and Twin Lakes</w:t>
      </w:r>
      <w:r w:rsidRPr="00B57F4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and adopt </w:t>
      </w:r>
      <w:r w:rsidRPr="00B57F46">
        <w:rPr>
          <w:rFonts w:ascii="Times New Roman" w:eastAsia="Calibri" w:hAnsi="Times New Roman" w:cs="Times New Roman"/>
          <w:sz w:val="26"/>
          <w:szCs w:val="26"/>
        </w:rPr>
        <w:t xml:space="preserve">the ALJ’s </w:t>
      </w:r>
      <w:r>
        <w:rPr>
          <w:rFonts w:ascii="Times New Roman" w:eastAsia="Calibri" w:hAnsi="Times New Roman" w:cs="Times New Roman"/>
          <w:sz w:val="26"/>
          <w:szCs w:val="26"/>
        </w:rPr>
        <w:t>Recommend</w:t>
      </w:r>
      <w:r w:rsidR="00E92CCC">
        <w:rPr>
          <w:rFonts w:ascii="Times New Roman" w:eastAsia="Calibri" w:hAnsi="Times New Roman" w:cs="Times New Roman"/>
          <w:sz w:val="26"/>
          <w:szCs w:val="26"/>
        </w:rPr>
        <w:t xml:space="preserve">ation, </w:t>
      </w:r>
      <w:r w:rsidR="00AF4581">
        <w:rPr>
          <w:rFonts w:ascii="Times New Roman" w:eastAsia="Calibri" w:hAnsi="Times New Roman" w:cs="Times New Roman"/>
          <w:sz w:val="26"/>
          <w:szCs w:val="26"/>
        </w:rPr>
        <w:t xml:space="preserve">as modified </w:t>
      </w:r>
      <w:r w:rsidR="009544A9" w:rsidRPr="000D1461">
        <w:rPr>
          <w:rFonts w:ascii="Times New Roman" w:eastAsia="Times New Roman" w:hAnsi="Times New Roman" w:cs="Times New Roman"/>
          <w:sz w:val="26"/>
          <w:szCs w:val="26"/>
        </w:rPr>
        <w:t>consistent with this Opinion and Order</w:t>
      </w:r>
      <w:r w:rsidR="009544A9">
        <w:rPr>
          <w:rFonts w:ascii="Times New Roman" w:eastAsia="Times New Roman" w:hAnsi="Times New Roman" w:cs="Times New Roman"/>
          <w:sz w:val="26"/>
          <w:szCs w:val="26"/>
        </w:rPr>
        <w:t>.</w:t>
      </w:r>
    </w:p>
    <w:p w14:paraId="46750971" w14:textId="77777777" w:rsidR="00017C55" w:rsidRDefault="00017C55" w:rsidP="0078014D">
      <w:pPr>
        <w:spacing w:after="0" w:line="360" w:lineRule="auto"/>
        <w:ind w:firstLine="1440"/>
        <w:rPr>
          <w:rFonts w:ascii="Times New Roman" w:eastAsia="Times New Roman" w:hAnsi="Times New Roman" w:cs="Times New Roman"/>
          <w:sz w:val="26"/>
          <w:szCs w:val="26"/>
        </w:rPr>
      </w:pPr>
    </w:p>
    <w:p w14:paraId="4680FFEE" w14:textId="4CB417C0" w:rsidR="007E4460" w:rsidRDefault="00C83294" w:rsidP="006E787E">
      <w:pPr>
        <w:spacing w:after="0"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Therefore</w:t>
      </w:r>
      <w:r w:rsidR="009544A9" w:rsidRPr="000D1461">
        <w:rPr>
          <w:rFonts w:ascii="Times New Roman" w:eastAsia="Times New Roman" w:hAnsi="Times New Roman" w:cs="Times New Roman"/>
          <w:sz w:val="26"/>
          <w:szCs w:val="26"/>
        </w:rPr>
        <w:t>, we conclude that</w:t>
      </w:r>
      <w:r w:rsidR="000415FF">
        <w:rPr>
          <w:rFonts w:ascii="Times New Roman" w:hAnsi="Times New Roman" w:cs="Times New Roman"/>
          <w:sz w:val="26"/>
          <w:szCs w:val="26"/>
        </w:rPr>
        <w:t>, pursuant to our author</w:t>
      </w:r>
      <w:r w:rsidR="00513C45">
        <w:rPr>
          <w:rFonts w:ascii="Times New Roman" w:hAnsi="Times New Roman" w:cs="Times New Roman"/>
          <w:sz w:val="26"/>
          <w:szCs w:val="26"/>
        </w:rPr>
        <w:t xml:space="preserve">ity under </w:t>
      </w:r>
      <w:r w:rsidR="009544A9">
        <w:rPr>
          <w:rFonts w:ascii="Times New Roman" w:hAnsi="Times New Roman" w:cs="Times New Roman"/>
          <w:sz w:val="26"/>
          <w:szCs w:val="26"/>
        </w:rPr>
        <w:t xml:space="preserve">Section 529 </w:t>
      </w:r>
      <w:r w:rsidR="00513C45">
        <w:rPr>
          <w:rFonts w:ascii="Times New Roman" w:hAnsi="Times New Roman" w:cs="Times New Roman"/>
          <w:sz w:val="26"/>
          <w:szCs w:val="26"/>
        </w:rPr>
        <w:t xml:space="preserve">to direct that </w:t>
      </w:r>
      <w:r w:rsidR="009544A9">
        <w:rPr>
          <w:rFonts w:ascii="Times New Roman" w:hAnsi="Times New Roman" w:cs="Times New Roman"/>
          <w:sz w:val="26"/>
          <w:szCs w:val="26"/>
        </w:rPr>
        <w:t xml:space="preserve">the </w:t>
      </w:r>
      <w:r w:rsidR="009544A9" w:rsidRPr="00966C5F">
        <w:rPr>
          <w:rFonts w:ascii="Times New Roman" w:hAnsi="Times New Roman" w:cs="Times New Roman"/>
          <w:sz w:val="26"/>
          <w:szCs w:val="26"/>
        </w:rPr>
        <w:t xml:space="preserve">acquisition of Twin Lakes by Aqua </w:t>
      </w:r>
      <w:r w:rsidR="009544A9">
        <w:rPr>
          <w:rFonts w:ascii="Times New Roman" w:hAnsi="Times New Roman" w:cs="Times New Roman"/>
          <w:sz w:val="26"/>
          <w:szCs w:val="26"/>
        </w:rPr>
        <w:t>is warranted in the circumstances</w:t>
      </w:r>
      <w:r w:rsidR="0003377E">
        <w:rPr>
          <w:rFonts w:ascii="Times New Roman" w:hAnsi="Times New Roman" w:cs="Times New Roman"/>
          <w:sz w:val="26"/>
          <w:szCs w:val="26"/>
        </w:rPr>
        <w:t>.</w:t>
      </w:r>
      <w:r w:rsidR="009544A9">
        <w:rPr>
          <w:rFonts w:ascii="Times New Roman" w:hAnsi="Times New Roman" w:cs="Times New Roman"/>
          <w:sz w:val="26"/>
          <w:szCs w:val="26"/>
        </w:rPr>
        <w:t xml:space="preserve"> </w:t>
      </w:r>
      <w:r w:rsidR="00B80B35">
        <w:rPr>
          <w:rFonts w:ascii="Times New Roman" w:hAnsi="Times New Roman" w:cs="Times New Roman"/>
          <w:sz w:val="26"/>
          <w:szCs w:val="26"/>
        </w:rPr>
        <w:t xml:space="preserve"> </w:t>
      </w:r>
      <w:r w:rsidR="00B90ABC">
        <w:rPr>
          <w:rFonts w:ascii="Times New Roman" w:hAnsi="Times New Roman" w:cs="Times New Roman"/>
          <w:sz w:val="26"/>
          <w:szCs w:val="26"/>
        </w:rPr>
        <w:t>W</w:t>
      </w:r>
      <w:r w:rsidR="00513C45">
        <w:rPr>
          <w:rFonts w:ascii="Times New Roman" w:hAnsi="Times New Roman" w:cs="Times New Roman"/>
          <w:sz w:val="26"/>
          <w:szCs w:val="26"/>
        </w:rPr>
        <w:t>e further conclude</w:t>
      </w:r>
      <w:r w:rsidR="00093F5D">
        <w:rPr>
          <w:rFonts w:ascii="Times New Roman" w:hAnsi="Times New Roman" w:cs="Times New Roman"/>
          <w:sz w:val="26"/>
          <w:szCs w:val="26"/>
        </w:rPr>
        <w:t xml:space="preserve"> per Section 529</w:t>
      </w:r>
      <w:r w:rsidR="00642809">
        <w:rPr>
          <w:rFonts w:ascii="Times New Roman" w:hAnsi="Times New Roman" w:cs="Times New Roman"/>
          <w:sz w:val="26"/>
          <w:szCs w:val="26"/>
        </w:rPr>
        <w:t>(c)(6),</w:t>
      </w:r>
      <w:r w:rsidR="00513C45">
        <w:rPr>
          <w:rFonts w:ascii="Times New Roman" w:hAnsi="Times New Roman" w:cs="Times New Roman"/>
          <w:sz w:val="26"/>
          <w:szCs w:val="26"/>
        </w:rPr>
        <w:t xml:space="preserve"> </w:t>
      </w:r>
      <w:r w:rsidR="00B90ABC">
        <w:rPr>
          <w:rFonts w:ascii="Times New Roman" w:hAnsi="Times New Roman" w:cs="Times New Roman"/>
          <w:sz w:val="26"/>
          <w:szCs w:val="26"/>
        </w:rPr>
        <w:t xml:space="preserve">that </w:t>
      </w:r>
      <w:r w:rsidR="00513C45">
        <w:rPr>
          <w:rFonts w:ascii="Times New Roman" w:hAnsi="Times New Roman" w:cs="Times New Roman"/>
          <w:sz w:val="26"/>
          <w:szCs w:val="26"/>
        </w:rPr>
        <w:t xml:space="preserve">it is within our discretion </w:t>
      </w:r>
      <w:r w:rsidR="006A636B">
        <w:rPr>
          <w:rFonts w:ascii="Times New Roman" w:hAnsi="Times New Roman" w:cs="Times New Roman"/>
          <w:sz w:val="26"/>
          <w:szCs w:val="26"/>
        </w:rPr>
        <w:t>to consider the relevant and material facts under which the acquisition is necessitated b</w:t>
      </w:r>
      <w:r w:rsidR="00134580">
        <w:rPr>
          <w:rFonts w:ascii="Times New Roman" w:hAnsi="Times New Roman" w:cs="Times New Roman"/>
          <w:sz w:val="26"/>
          <w:szCs w:val="26"/>
        </w:rPr>
        <w:t>y the actions of Middlesex</w:t>
      </w:r>
      <w:r w:rsidR="00F75774">
        <w:rPr>
          <w:rFonts w:ascii="Times New Roman" w:hAnsi="Times New Roman" w:cs="Times New Roman"/>
          <w:sz w:val="26"/>
          <w:szCs w:val="26"/>
        </w:rPr>
        <w:t>.  W</w:t>
      </w:r>
      <w:r w:rsidR="00134580">
        <w:rPr>
          <w:rFonts w:ascii="Times New Roman" w:hAnsi="Times New Roman" w:cs="Times New Roman"/>
          <w:sz w:val="26"/>
          <w:szCs w:val="26"/>
        </w:rPr>
        <w:t>e</w:t>
      </w:r>
      <w:r w:rsidR="00F75774">
        <w:rPr>
          <w:rFonts w:ascii="Times New Roman" w:hAnsi="Times New Roman" w:cs="Times New Roman"/>
          <w:sz w:val="26"/>
          <w:szCs w:val="26"/>
        </w:rPr>
        <w:t>,</w:t>
      </w:r>
      <w:r w:rsidR="00134580">
        <w:rPr>
          <w:rFonts w:ascii="Times New Roman" w:hAnsi="Times New Roman" w:cs="Times New Roman"/>
          <w:sz w:val="26"/>
          <w:szCs w:val="26"/>
        </w:rPr>
        <w:t xml:space="preserve"> </w:t>
      </w:r>
      <w:r w:rsidR="00F75774">
        <w:rPr>
          <w:rFonts w:ascii="Times New Roman" w:hAnsi="Times New Roman" w:cs="Times New Roman"/>
          <w:sz w:val="26"/>
          <w:szCs w:val="26"/>
        </w:rPr>
        <w:t xml:space="preserve">therefore, </w:t>
      </w:r>
      <w:r w:rsidR="00134580">
        <w:rPr>
          <w:rFonts w:ascii="Times New Roman" w:hAnsi="Times New Roman" w:cs="Times New Roman"/>
          <w:sz w:val="26"/>
          <w:szCs w:val="26"/>
        </w:rPr>
        <w:t>also conclude that the acquisition is approved under Section</w:t>
      </w:r>
      <w:r w:rsidR="006E787E">
        <w:rPr>
          <w:rFonts w:ascii="Times New Roman" w:hAnsi="Times New Roman" w:cs="Times New Roman"/>
          <w:sz w:val="26"/>
          <w:szCs w:val="26"/>
        </w:rPr>
        <w:t> </w:t>
      </w:r>
      <w:r w:rsidR="00F0527E">
        <w:rPr>
          <w:rFonts w:ascii="Times New Roman" w:hAnsi="Times New Roman" w:cs="Times New Roman"/>
          <w:sz w:val="26"/>
          <w:szCs w:val="26"/>
        </w:rPr>
        <w:t xml:space="preserve">529, </w:t>
      </w:r>
      <w:r w:rsidR="009544A9" w:rsidRPr="00966C5F">
        <w:rPr>
          <w:rFonts w:ascii="Times New Roman" w:hAnsi="Times New Roman" w:cs="Times New Roman"/>
          <w:sz w:val="26"/>
          <w:szCs w:val="26"/>
        </w:rPr>
        <w:t xml:space="preserve">on the condition that </w:t>
      </w:r>
      <w:r w:rsidR="009544A9">
        <w:rPr>
          <w:rFonts w:ascii="Times New Roman" w:hAnsi="Times New Roman" w:cs="Times New Roman"/>
          <w:sz w:val="26"/>
          <w:szCs w:val="26"/>
        </w:rPr>
        <w:t>Middlesex, the c</w:t>
      </w:r>
      <w:r w:rsidR="009544A9" w:rsidRPr="00966C5F">
        <w:rPr>
          <w:rFonts w:ascii="Times New Roman" w:hAnsi="Times New Roman" w:cs="Times New Roman"/>
          <w:sz w:val="26"/>
          <w:szCs w:val="26"/>
        </w:rPr>
        <w:t>ompany which wholly owns Twin Lakes, be directed to escrow funds in the amount of $1,675,000, to offset the costs of replacing and remediating the existing infrastructure, which deteriorate</w:t>
      </w:r>
      <w:r w:rsidR="00854767">
        <w:rPr>
          <w:rFonts w:ascii="Times New Roman" w:hAnsi="Times New Roman" w:cs="Times New Roman"/>
          <w:sz w:val="26"/>
          <w:szCs w:val="26"/>
        </w:rPr>
        <w:t>d</w:t>
      </w:r>
      <w:r w:rsidR="009544A9" w:rsidRPr="00966C5F">
        <w:rPr>
          <w:rFonts w:ascii="Times New Roman" w:hAnsi="Times New Roman" w:cs="Times New Roman"/>
          <w:sz w:val="26"/>
          <w:szCs w:val="26"/>
        </w:rPr>
        <w:t xml:space="preserve"> from the time Twin Lakes was acquired by Middlesex</w:t>
      </w:r>
      <w:r w:rsidR="009544A9">
        <w:rPr>
          <w:rFonts w:ascii="Times New Roman" w:hAnsi="Times New Roman" w:cs="Times New Roman"/>
          <w:sz w:val="26"/>
          <w:szCs w:val="26"/>
        </w:rPr>
        <w:t xml:space="preserve"> </w:t>
      </w:r>
      <w:r w:rsidR="002A31BE">
        <w:rPr>
          <w:rFonts w:ascii="Times New Roman" w:hAnsi="Times New Roman" w:cs="Times New Roman"/>
          <w:sz w:val="26"/>
          <w:szCs w:val="26"/>
        </w:rPr>
        <w:t>after</w:t>
      </w:r>
      <w:r w:rsidR="009544A9">
        <w:rPr>
          <w:rFonts w:ascii="Times New Roman" w:hAnsi="Times New Roman" w:cs="Times New Roman"/>
          <w:sz w:val="26"/>
          <w:szCs w:val="26"/>
        </w:rPr>
        <w:t xml:space="preserve"> Commission approval in 2008.</w:t>
      </w:r>
    </w:p>
    <w:p w14:paraId="58E091ED" w14:textId="77777777" w:rsidR="004579D8" w:rsidRDefault="004579D8" w:rsidP="006E787E">
      <w:pPr>
        <w:spacing w:after="0" w:line="360" w:lineRule="auto"/>
        <w:ind w:firstLine="1440"/>
        <w:rPr>
          <w:rFonts w:ascii="Times New Roman" w:hAnsi="Times New Roman" w:cs="Times New Roman"/>
          <w:sz w:val="26"/>
          <w:szCs w:val="26"/>
        </w:rPr>
      </w:pPr>
    </w:p>
    <w:p w14:paraId="5D0A69BD" w14:textId="1D75FDD7" w:rsidR="00DE551A" w:rsidRPr="002A1840" w:rsidRDefault="004579D8" w:rsidP="00170991">
      <w:pPr>
        <w:pStyle w:val="TOCH3"/>
      </w:pPr>
      <w:r w:rsidRPr="002A1840">
        <w:t xml:space="preserve">Jurisdiction over Middlesex </w:t>
      </w:r>
    </w:p>
    <w:p w14:paraId="5297D8DA" w14:textId="7EFCFAAA" w:rsidR="004579D8" w:rsidRDefault="004579D8" w:rsidP="004579D8">
      <w:pPr>
        <w:spacing w:after="0" w:line="360" w:lineRule="auto"/>
        <w:rPr>
          <w:rFonts w:ascii="Times New Roman" w:hAnsi="Times New Roman" w:cs="Times New Roman"/>
          <w:sz w:val="26"/>
          <w:szCs w:val="26"/>
        </w:rPr>
      </w:pPr>
    </w:p>
    <w:p w14:paraId="2D6DCCE0" w14:textId="6C32454A"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Upon review, while we shall adopt the ALJ’s Recommended Decision, as modified by this Opinion and Order, we are concerned that the issue of the Commission’s exercise of jurisdiction over Middlesex was not unequivocally established.  To be clear, we agree with the ALJ’s conclusion that, for purposes of the Commission’s jurisdiction, Twin Lakes and Middlesex are one in the same, per the ALJ’s analysis of an “alter ego” status.  </w:t>
      </w:r>
      <w:r w:rsidRPr="002A1840">
        <w:rPr>
          <w:rFonts w:ascii="Times New Roman" w:eastAsia="Times New Roman" w:hAnsi="Times New Roman" w:cs="Times New Roman"/>
          <w:i/>
          <w:iCs/>
          <w:color w:val="000000"/>
          <w:sz w:val="26"/>
          <w:szCs w:val="26"/>
          <w:lang w:val="en"/>
        </w:rPr>
        <w:t>See</w:t>
      </w:r>
      <w:r w:rsidRPr="002A1840">
        <w:rPr>
          <w:rFonts w:ascii="Times New Roman" w:eastAsia="Times New Roman" w:hAnsi="Times New Roman" w:cs="Times New Roman"/>
          <w:color w:val="000000"/>
          <w:sz w:val="26"/>
          <w:szCs w:val="26"/>
          <w:lang w:val="en"/>
        </w:rPr>
        <w:t xml:space="preserve"> R.D. at 27-32.</w:t>
      </w:r>
      <w:r w:rsidR="00C95BC1">
        <w:rPr>
          <w:rFonts w:ascii="Times New Roman" w:eastAsia="Times New Roman" w:hAnsi="Times New Roman" w:cs="Times New Roman"/>
          <w:color w:val="000000"/>
          <w:sz w:val="26"/>
          <w:szCs w:val="26"/>
          <w:lang w:val="en"/>
        </w:rPr>
        <w:t xml:space="preserve">  </w:t>
      </w:r>
    </w:p>
    <w:p w14:paraId="68598809" w14:textId="77777777"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4DC4B93B" w14:textId="346DA1F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We note </w:t>
      </w:r>
      <w:r w:rsidR="005A255F">
        <w:rPr>
          <w:rFonts w:ascii="Times New Roman" w:eastAsia="Times New Roman" w:hAnsi="Times New Roman" w:cs="Times New Roman"/>
          <w:color w:val="000000"/>
          <w:sz w:val="26"/>
          <w:szCs w:val="26"/>
          <w:lang w:val="en"/>
        </w:rPr>
        <w:t xml:space="preserve">our </w:t>
      </w:r>
      <w:r w:rsidRPr="002A1840">
        <w:rPr>
          <w:rFonts w:ascii="Times New Roman" w:eastAsia="Times New Roman" w:hAnsi="Times New Roman" w:cs="Times New Roman"/>
          <w:color w:val="000000"/>
          <w:sz w:val="26"/>
          <w:szCs w:val="26"/>
          <w:lang w:val="en"/>
        </w:rPr>
        <w:t>conclusion</w:t>
      </w:r>
      <w:r w:rsidR="005A255F">
        <w:rPr>
          <w:rFonts w:ascii="Times New Roman" w:eastAsia="Times New Roman" w:hAnsi="Times New Roman" w:cs="Times New Roman"/>
          <w:color w:val="000000"/>
          <w:sz w:val="26"/>
          <w:szCs w:val="26"/>
          <w:lang w:val="en"/>
        </w:rPr>
        <w:t xml:space="preserve"> is </w:t>
      </w:r>
      <w:r w:rsidRPr="002A1840">
        <w:rPr>
          <w:rFonts w:ascii="Times New Roman" w:eastAsia="Times New Roman" w:hAnsi="Times New Roman" w:cs="Times New Roman"/>
          <w:color w:val="000000"/>
          <w:sz w:val="26"/>
          <w:szCs w:val="26"/>
          <w:lang w:val="en"/>
        </w:rPr>
        <w:t>that Middlesex and Twin Lakes are one in the same for due process purposes.</w:t>
      </w:r>
      <w:r w:rsidR="005A255F">
        <w:rPr>
          <w:rFonts w:ascii="Times New Roman" w:eastAsia="Times New Roman" w:hAnsi="Times New Roman" w:cs="Times New Roman"/>
          <w:color w:val="000000"/>
          <w:sz w:val="26"/>
          <w:szCs w:val="26"/>
          <w:lang w:val="en"/>
        </w:rPr>
        <w:t xml:space="preserve">  </w:t>
      </w:r>
      <w:r w:rsidRPr="002A1840">
        <w:rPr>
          <w:rFonts w:ascii="Times New Roman" w:eastAsia="Times New Roman" w:hAnsi="Times New Roman" w:cs="Times New Roman"/>
          <w:color w:val="000000"/>
          <w:sz w:val="26"/>
          <w:szCs w:val="26"/>
          <w:lang w:val="en"/>
        </w:rPr>
        <w:t>Although Twin Lakes actively disputes that conclusion, it is the foundation for the determination of whether Middlesex was afforded due process.  Specifically, although Middlesex is not the named petitioner in this Section 529 proceeding, it was nevertheless found to be responsible to escrow $1.6</w:t>
      </w:r>
      <w:r w:rsidR="00FC0CD6">
        <w:rPr>
          <w:rFonts w:ascii="Times New Roman" w:eastAsia="Times New Roman" w:hAnsi="Times New Roman" w:cs="Times New Roman"/>
          <w:color w:val="000000"/>
          <w:sz w:val="26"/>
          <w:szCs w:val="26"/>
          <w:lang w:val="en"/>
        </w:rPr>
        <w:t>75</w:t>
      </w:r>
      <w:r w:rsidRPr="002A1840">
        <w:rPr>
          <w:rFonts w:ascii="Times New Roman" w:eastAsia="Times New Roman" w:hAnsi="Times New Roman" w:cs="Times New Roman"/>
          <w:color w:val="000000"/>
          <w:sz w:val="26"/>
          <w:szCs w:val="26"/>
          <w:lang w:val="en"/>
        </w:rPr>
        <w:t xml:space="preserve"> million, based upon the necessary infrastructure and other expenditures which Middlesex failed to make over the course of its ownership and operation of Twin Lakes.  If the ALJ properly </w:t>
      </w:r>
      <w:r w:rsidRPr="002A1840">
        <w:rPr>
          <w:rFonts w:ascii="Times New Roman" w:eastAsia="Times New Roman" w:hAnsi="Times New Roman" w:cs="Times New Roman"/>
          <w:color w:val="000000"/>
          <w:sz w:val="26"/>
          <w:szCs w:val="26"/>
          <w:lang w:val="en"/>
        </w:rPr>
        <w:lastRenderedPageBreak/>
        <w:t xml:space="preserve">construed the “alter ego” analysis in exercising jurisdiction over Middlesex, by virtue of Twin Lakes’ participation, then due process has been satisfied.  R.D. at 31.  </w:t>
      </w:r>
    </w:p>
    <w:p w14:paraId="0F02DEDC" w14:textId="77777777"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7C2C49E7" w14:textId="410519CB" w:rsidR="002A1840" w:rsidRPr="002A1840" w:rsidRDefault="002A1840" w:rsidP="002A1840">
      <w:pPr>
        <w:spacing w:after="0" w:line="360" w:lineRule="auto"/>
        <w:ind w:firstLine="1440"/>
        <w:rPr>
          <w:rFonts w:ascii="Times New Roman" w:eastAsia="Times New Roman" w:hAnsi="Times New Roman" w:cs="Times New Roman"/>
          <w:color w:val="000000"/>
          <w:sz w:val="26"/>
        </w:rPr>
      </w:pPr>
      <w:r w:rsidRPr="002A1840">
        <w:rPr>
          <w:rFonts w:ascii="Times New Roman" w:hAnsi="Times New Roman" w:cs="Times New Roman"/>
          <w:color w:val="000000"/>
          <w:sz w:val="26"/>
          <w:szCs w:val="26"/>
          <w:lang w:val="en"/>
        </w:rPr>
        <w:t>Consistent with the ALJ’s analysis, the facts of record establish that the corporate officers, witnesses, and even legal counsel representing Twin Lakes, are the same corporate officers, witnesses and legal counsel for Middlesex.  Specifically</w:t>
      </w:r>
      <w:r w:rsidRPr="002A1840">
        <w:rPr>
          <w:rFonts w:ascii="Times New Roman" w:eastAsia="Times New Roman" w:hAnsi="Times New Roman" w:cs="Times New Roman"/>
          <w:color w:val="000000"/>
          <w:sz w:val="26"/>
        </w:rPr>
        <w:t>, Middlesex and Twin Lakes share the same general counsel, Jay L. Cooper, who actively participated in the litigation.  Jay Cooper was present for a prehearing conference on October 2, 2020, in which a discussion was held regarding the formal consolidation of dockets G-2020-3020941, G-2020-3021018, G-2020-3021021 and G-2020-3021024 with this matter and the Parties were directed to address any issues in those filings in this proceeding.  Those dockets relate to the Affiliated Interest Agreement (AIA) and promissory notes between Twin Lakes and Middlesex.  Middlesex was listed as the respondent in those filings.  The corporate address for both Twin Lakes and Middlesex is Iselin, NJ and they share many of the same corporate officers, including Robert K. Fullagar, VP of Operations for Middlesex, and Bruce O’Connor, Senior VP, Treasurer, and C</w:t>
      </w:r>
      <w:r w:rsidR="00DF4A33">
        <w:rPr>
          <w:rFonts w:ascii="Times New Roman" w:eastAsia="Times New Roman" w:hAnsi="Times New Roman" w:cs="Times New Roman"/>
          <w:color w:val="000000"/>
          <w:sz w:val="26"/>
        </w:rPr>
        <w:t xml:space="preserve">hief </w:t>
      </w:r>
      <w:r w:rsidRPr="002A1840">
        <w:rPr>
          <w:rFonts w:ascii="Times New Roman" w:eastAsia="Times New Roman" w:hAnsi="Times New Roman" w:cs="Times New Roman"/>
          <w:color w:val="000000"/>
          <w:sz w:val="26"/>
        </w:rPr>
        <w:t>F</w:t>
      </w:r>
      <w:r w:rsidR="00DF4A33">
        <w:rPr>
          <w:rFonts w:ascii="Times New Roman" w:eastAsia="Times New Roman" w:hAnsi="Times New Roman" w:cs="Times New Roman"/>
          <w:color w:val="000000"/>
          <w:sz w:val="26"/>
        </w:rPr>
        <w:t xml:space="preserve">inancial </w:t>
      </w:r>
      <w:r w:rsidRPr="002A1840">
        <w:rPr>
          <w:rFonts w:ascii="Times New Roman" w:eastAsia="Times New Roman" w:hAnsi="Times New Roman" w:cs="Times New Roman"/>
          <w:color w:val="000000"/>
          <w:sz w:val="26"/>
        </w:rPr>
        <w:t>O</w:t>
      </w:r>
      <w:r w:rsidR="00DF4A33">
        <w:rPr>
          <w:rFonts w:ascii="Times New Roman" w:eastAsia="Times New Roman" w:hAnsi="Times New Roman" w:cs="Times New Roman"/>
          <w:color w:val="000000"/>
          <w:sz w:val="26"/>
        </w:rPr>
        <w:t>fficer</w:t>
      </w:r>
      <w:r w:rsidRPr="002A1840">
        <w:rPr>
          <w:rFonts w:ascii="Times New Roman" w:eastAsia="Times New Roman" w:hAnsi="Times New Roman" w:cs="Times New Roman"/>
          <w:color w:val="000000"/>
          <w:sz w:val="26"/>
        </w:rPr>
        <w:t xml:space="preserve"> of Middlesex, who participated in the proceeding as witnesses.  R.D. at 27-32.</w:t>
      </w:r>
      <w:r w:rsidR="00C95BC1">
        <w:rPr>
          <w:rFonts w:ascii="Times New Roman" w:eastAsia="Times New Roman" w:hAnsi="Times New Roman" w:cs="Times New Roman"/>
          <w:color w:val="000000"/>
          <w:sz w:val="26"/>
        </w:rPr>
        <w:t xml:space="preserve">  </w:t>
      </w:r>
    </w:p>
    <w:p w14:paraId="4A1C14A9" w14:textId="77777777" w:rsidR="002A1840" w:rsidRPr="002A1840" w:rsidRDefault="002A1840" w:rsidP="002A1840">
      <w:pPr>
        <w:spacing w:after="0" w:line="360" w:lineRule="auto"/>
        <w:ind w:firstLine="1440"/>
        <w:rPr>
          <w:rFonts w:ascii="Times New Roman" w:hAnsi="Times New Roman" w:cs="Times New Roman"/>
          <w:color w:val="000000"/>
          <w:sz w:val="26"/>
          <w:szCs w:val="26"/>
          <w:lang w:val="en"/>
        </w:rPr>
      </w:pPr>
    </w:p>
    <w:p w14:paraId="3251670B"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Through the notice provided to Twin Lakes, and the direct actions and participation in the Section 529 proceeding by the corporate officers and legal counsel for Twin Lakes, we conclude that Middlesex’s corporate officers and legal counsel received constructive and actual notice of the issue of Middlesex’s potential financial responsibility, and possible finding that Middlesex would be directed to escrow sums as a precondition of the abandonment of service. </w:t>
      </w:r>
    </w:p>
    <w:p w14:paraId="77EAEE0E" w14:textId="6D48DD4D"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0ABB7FDB" w14:textId="33FFF485" w:rsid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Indeed, as noted by I&amp;E, the facts of record establish Middlesex’s clear consent to Commission jurisdiction, which commenced when Middlesex first sought a </w:t>
      </w:r>
      <w:r w:rsidRPr="002A1840">
        <w:rPr>
          <w:rFonts w:ascii="Times New Roman" w:eastAsia="Times New Roman" w:hAnsi="Times New Roman" w:cs="Times New Roman"/>
          <w:color w:val="000000"/>
          <w:sz w:val="26"/>
          <w:szCs w:val="26"/>
          <w:lang w:val="en"/>
        </w:rPr>
        <w:lastRenderedPageBreak/>
        <w:t>Certificate of Public Convenience</w:t>
      </w:r>
      <w:r w:rsidR="006769AB">
        <w:rPr>
          <w:rFonts w:ascii="Times New Roman" w:eastAsia="Times New Roman" w:hAnsi="Times New Roman" w:cs="Times New Roman"/>
          <w:color w:val="000000"/>
          <w:sz w:val="26"/>
          <w:szCs w:val="26"/>
          <w:lang w:val="en"/>
        </w:rPr>
        <w:t xml:space="preserve"> (CPC)</w:t>
      </w:r>
      <w:r w:rsidRPr="002A1840">
        <w:rPr>
          <w:rFonts w:ascii="Times New Roman" w:eastAsia="Times New Roman" w:hAnsi="Times New Roman" w:cs="Times New Roman"/>
          <w:color w:val="000000"/>
          <w:sz w:val="26"/>
          <w:szCs w:val="26"/>
          <w:lang w:val="en"/>
        </w:rPr>
        <w:t xml:space="preserve"> to operate a water utility in the Commonwealth</w:t>
      </w:r>
      <w:r w:rsidR="006769AB">
        <w:rPr>
          <w:rFonts w:ascii="Times New Roman" w:eastAsia="Times New Roman" w:hAnsi="Times New Roman" w:cs="Times New Roman"/>
          <w:color w:val="000000"/>
          <w:sz w:val="26"/>
          <w:szCs w:val="26"/>
          <w:lang w:val="en"/>
        </w:rPr>
        <w:t xml:space="preserve"> of Pennsylvania</w:t>
      </w:r>
      <w:r w:rsidRPr="002A1840">
        <w:rPr>
          <w:rFonts w:ascii="Times New Roman" w:eastAsia="Times New Roman" w:hAnsi="Times New Roman" w:cs="Times New Roman"/>
          <w:color w:val="000000"/>
          <w:sz w:val="26"/>
          <w:szCs w:val="26"/>
          <w:lang w:val="en"/>
        </w:rPr>
        <w:t xml:space="preserve">.  </w:t>
      </w:r>
    </w:p>
    <w:p w14:paraId="7D546F00" w14:textId="77777777" w:rsidR="00B80B35" w:rsidRPr="002A1840" w:rsidRDefault="00B80B35" w:rsidP="002A1840">
      <w:pPr>
        <w:spacing w:after="0" w:line="360" w:lineRule="auto"/>
        <w:ind w:firstLine="1440"/>
        <w:rPr>
          <w:rFonts w:ascii="Times New Roman" w:eastAsia="Times New Roman" w:hAnsi="Times New Roman" w:cs="Times New Roman"/>
          <w:color w:val="000000"/>
          <w:sz w:val="26"/>
          <w:szCs w:val="26"/>
          <w:lang w:val="en"/>
        </w:rPr>
      </w:pPr>
    </w:p>
    <w:p w14:paraId="5624B645" w14:textId="77777777" w:rsidR="002A1840" w:rsidRPr="002A1840" w:rsidRDefault="002A1840" w:rsidP="00666BD9">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In the Commission’s Opinion and Order granting Middlesex a CPC, the Commission expressly found that: </w:t>
      </w:r>
    </w:p>
    <w:p w14:paraId="59715A5E" w14:textId="77777777" w:rsidR="002A1840" w:rsidRPr="002A1840" w:rsidRDefault="002A1840" w:rsidP="00666BD9">
      <w:pPr>
        <w:spacing w:after="0" w:line="240" w:lineRule="auto"/>
        <w:rPr>
          <w:rFonts w:ascii="Times New Roman" w:eastAsia="Times New Roman" w:hAnsi="Times New Roman" w:cs="Times New Roman"/>
          <w:color w:val="000000"/>
          <w:sz w:val="26"/>
          <w:szCs w:val="26"/>
          <w:lang w:val="en"/>
        </w:rPr>
      </w:pPr>
    </w:p>
    <w:p w14:paraId="6CA4B82A" w14:textId="77777777" w:rsidR="002A1840" w:rsidRPr="002A1840" w:rsidRDefault="002A1840" w:rsidP="00666BD9">
      <w:pPr>
        <w:spacing w:after="0" w:line="240" w:lineRule="auto"/>
        <w:ind w:left="1440" w:right="1440" w:firstLine="1440"/>
        <w:rPr>
          <w:rFonts w:ascii="Times New Roman" w:eastAsia="Times New Roman" w:hAnsi="Times New Roman" w:cs="Times New Roman"/>
          <w:color w:val="000000"/>
          <w:sz w:val="26"/>
        </w:rPr>
      </w:pPr>
      <w:r w:rsidRPr="002A1840">
        <w:rPr>
          <w:rFonts w:ascii="Times New Roman" w:eastAsia="Times New Roman" w:hAnsi="Times New Roman" w:cs="Times New Roman"/>
          <w:color w:val="000000"/>
          <w:sz w:val="26"/>
        </w:rPr>
        <w:t xml:space="preserve">That upon receipt of a notice of closing, a Certificate of Public Convenience shall be issued pursuant to section 1101 of the Public Utility Code, 66 Pa. C.S. § 1101, authorizing Middlesex Water Company to begin to offer, render, furnish, or supply water service to the public in the Sagamore Estates development, located in Shohola Township, Pike County. </w:t>
      </w:r>
    </w:p>
    <w:p w14:paraId="063A124E" w14:textId="77777777"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7CDCF54D" w14:textId="7674E949"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i/>
          <w:iCs/>
          <w:color w:val="000000"/>
          <w:sz w:val="26"/>
          <w:szCs w:val="24"/>
        </w:rPr>
        <w:t>In RE: Joint Application of Middlesex Water Company, et al</w:t>
      </w:r>
      <w:r w:rsidRPr="002A1840">
        <w:rPr>
          <w:rFonts w:ascii="Times New Roman" w:eastAsia="Times New Roman" w:hAnsi="Times New Roman" w:cs="Times New Roman"/>
          <w:color w:val="000000"/>
          <w:sz w:val="26"/>
          <w:szCs w:val="24"/>
        </w:rPr>
        <w:t>., at Docket Nos, A</w:t>
      </w:r>
      <w:r w:rsidR="00666BD9">
        <w:rPr>
          <w:rFonts w:ascii="Times New Roman" w:eastAsia="Times New Roman" w:hAnsi="Times New Roman" w:cs="Times New Roman"/>
          <w:color w:val="000000"/>
          <w:sz w:val="26"/>
          <w:szCs w:val="24"/>
        </w:rPr>
        <w:noBreakHyphen/>
      </w:r>
      <w:r w:rsidRPr="002A1840">
        <w:rPr>
          <w:rFonts w:ascii="Times New Roman" w:eastAsia="Times New Roman" w:hAnsi="Times New Roman" w:cs="Times New Roman"/>
          <w:color w:val="000000"/>
          <w:sz w:val="26"/>
          <w:szCs w:val="24"/>
        </w:rPr>
        <w:t>2008</w:t>
      </w:r>
      <w:r w:rsidR="00666BD9">
        <w:rPr>
          <w:rFonts w:ascii="Times New Roman" w:eastAsia="Times New Roman" w:hAnsi="Times New Roman" w:cs="Times New Roman"/>
          <w:color w:val="000000"/>
          <w:sz w:val="26"/>
          <w:szCs w:val="24"/>
        </w:rPr>
        <w:noBreakHyphen/>
      </w:r>
      <w:r w:rsidRPr="002A1840">
        <w:rPr>
          <w:rFonts w:ascii="Times New Roman" w:eastAsia="Times New Roman" w:hAnsi="Times New Roman" w:cs="Times New Roman"/>
          <w:color w:val="000000"/>
          <w:sz w:val="26"/>
          <w:szCs w:val="24"/>
        </w:rPr>
        <w:t>2050092 and A-2008-2050089 (Opinion and Order entered March 2, 2009) (</w:t>
      </w:r>
      <w:r w:rsidRPr="00A66D1F">
        <w:rPr>
          <w:rFonts w:ascii="Times New Roman" w:eastAsia="Times New Roman" w:hAnsi="Times New Roman" w:cs="Times New Roman"/>
          <w:i/>
          <w:iCs/>
          <w:color w:val="000000"/>
          <w:sz w:val="26"/>
          <w:szCs w:val="24"/>
        </w:rPr>
        <w:t>March 2009 Order)</w:t>
      </w:r>
      <w:r w:rsidRPr="002A1840">
        <w:rPr>
          <w:rFonts w:ascii="Times New Roman" w:eastAsia="Times New Roman" w:hAnsi="Times New Roman" w:cs="Times New Roman"/>
          <w:color w:val="000000"/>
          <w:sz w:val="26"/>
          <w:szCs w:val="24"/>
        </w:rPr>
        <w:t>.</w:t>
      </w:r>
    </w:p>
    <w:p w14:paraId="43BB894D"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p>
    <w:p w14:paraId="0C8F3268" w14:textId="5CF29180"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Thus, Middlesex’s voluntary submission to PUC jurisdiction was clearly established.  Such consent is sufficient to establish jurisdiction</w:t>
      </w:r>
      <w:r w:rsidR="00463F6B">
        <w:rPr>
          <w:rFonts w:ascii="Times New Roman" w:eastAsia="Times New Roman" w:hAnsi="Times New Roman" w:cs="Times New Roman"/>
          <w:color w:val="000000"/>
          <w:sz w:val="26"/>
          <w:szCs w:val="26"/>
          <w:lang w:val="en"/>
        </w:rPr>
        <w:t xml:space="preserve"> for purposes of this Section 529 proceeding</w:t>
      </w:r>
      <w:r w:rsidRPr="002A1840">
        <w:rPr>
          <w:rFonts w:ascii="Times New Roman" w:eastAsia="Times New Roman" w:hAnsi="Times New Roman" w:cs="Times New Roman"/>
          <w:color w:val="000000"/>
          <w:sz w:val="26"/>
          <w:szCs w:val="26"/>
          <w:lang w:val="en"/>
        </w:rPr>
        <w:t>.  Indeed, the appearance in this Section 529 proceeding as witnesses by corporate officers of Middlesex, may itself constitute consent to Commission jurisdiction.</w:t>
      </w:r>
      <w:r w:rsidR="00C95BC1">
        <w:rPr>
          <w:rFonts w:ascii="Times New Roman" w:eastAsia="Times New Roman" w:hAnsi="Times New Roman" w:cs="Times New Roman"/>
          <w:color w:val="000000"/>
          <w:sz w:val="26"/>
          <w:szCs w:val="26"/>
          <w:lang w:val="en"/>
        </w:rPr>
        <w:t xml:space="preserve">  </w:t>
      </w:r>
    </w:p>
    <w:p w14:paraId="6C8D74AE" w14:textId="77777777"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09C21A32" w14:textId="4808A91C"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In the present case, the basis for Commission jurisdiction is, at its core, the state’s power to regulate acts done in the state which impact the public safety, which has long been recognized by the courts under the United States’ Supreme Court’s decision in </w:t>
      </w:r>
      <w:r w:rsidRPr="002A1840">
        <w:rPr>
          <w:rFonts w:ascii="Times New Roman" w:eastAsia="Times New Roman" w:hAnsi="Times New Roman" w:cs="Times New Roman"/>
          <w:i/>
          <w:iCs/>
          <w:color w:val="000000"/>
          <w:sz w:val="26"/>
          <w:szCs w:val="26"/>
          <w:lang w:val="en"/>
        </w:rPr>
        <w:t>International Shoe v. State of Washington</w:t>
      </w:r>
      <w:r w:rsidRPr="002A1840">
        <w:rPr>
          <w:rFonts w:ascii="Times New Roman" w:eastAsia="Times New Roman" w:hAnsi="Times New Roman" w:cs="Times New Roman"/>
          <w:color w:val="000000"/>
          <w:sz w:val="26"/>
          <w:szCs w:val="26"/>
          <w:lang w:val="en"/>
        </w:rPr>
        <w:t>, 326 U.S. 310 (1945) (</w:t>
      </w:r>
      <w:r w:rsidRPr="002A1840">
        <w:rPr>
          <w:rFonts w:ascii="Times New Roman" w:eastAsia="Times New Roman" w:hAnsi="Times New Roman" w:cs="Times New Roman"/>
          <w:i/>
          <w:iCs/>
          <w:color w:val="000000"/>
          <w:sz w:val="26"/>
          <w:szCs w:val="26"/>
          <w:lang w:val="en"/>
        </w:rPr>
        <w:t>International Shoe</w:t>
      </w:r>
      <w:r w:rsidRPr="002A1840">
        <w:rPr>
          <w:rFonts w:ascii="Times New Roman" w:eastAsia="Times New Roman" w:hAnsi="Times New Roman" w:cs="Times New Roman"/>
          <w:color w:val="000000"/>
          <w:sz w:val="26"/>
          <w:szCs w:val="26"/>
          <w:lang w:val="en"/>
        </w:rPr>
        <w:t xml:space="preserve"> </w:t>
      </w:r>
      <w:r w:rsidRPr="002A1840">
        <w:rPr>
          <w:rFonts w:ascii="Times New Roman" w:eastAsia="Times New Roman" w:hAnsi="Times New Roman" w:cs="Times New Roman"/>
          <w:i/>
          <w:iCs/>
          <w:color w:val="000000"/>
          <w:sz w:val="26"/>
          <w:szCs w:val="26"/>
          <w:lang w:val="en"/>
        </w:rPr>
        <w:t xml:space="preserve">v. Washington).  </w:t>
      </w:r>
      <w:r w:rsidRPr="002A1840">
        <w:rPr>
          <w:rFonts w:ascii="Times New Roman" w:eastAsia="Times New Roman" w:hAnsi="Times New Roman" w:cs="Times New Roman"/>
          <w:color w:val="000000"/>
          <w:sz w:val="26"/>
          <w:szCs w:val="26"/>
          <w:lang w:val="en"/>
        </w:rPr>
        <w:t xml:space="preserve">Because states do not have the ability to prevent nonresidents from doing business in their state, it was necessary to permit states to assume jurisdiction over individuals “doing business” within the state.  Thus, the Court recognized that “doing </w:t>
      </w:r>
      <w:r w:rsidRPr="002A1840">
        <w:rPr>
          <w:rFonts w:ascii="Times New Roman" w:eastAsia="Times New Roman" w:hAnsi="Times New Roman" w:cs="Times New Roman"/>
          <w:color w:val="000000"/>
          <w:sz w:val="26"/>
          <w:szCs w:val="26"/>
          <w:lang w:val="en"/>
        </w:rPr>
        <w:lastRenderedPageBreak/>
        <w:t xml:space="preserve">business” within a state was itself a sufficient basis for jurisdiction over a nonresident individual, including a corporation, where the business creates a strong state interest in regulation, and service could be effectuated within the state on an agent appointed to carry out the business.  As set forth in </w:t>
      </w:r>
      <w:bookmarkStart w:id="19" w:name="_Hlk86835562"/>
      <w:r w:rsidRPr="002A1840">
        <w:rPr>
          <w:rFonts w:ascii="Times New Roman" w:eastAsia="Times New Roman" w:hAnsi="Times New Roman" w:cs="Times New Roman"/>
          <w:i/>
          <w:iCs/>
          <w:color w:val="000000"/>
          <w:sz w:val="26"/>
          <w:szCs w:val="26"/>
          <w:lang w:val="en"/>
        </w:rPr>
        <w:t>International Shoe</w:t>
      </w:r>
      <w:r w:rsidRPr="002A1840">
        <w:rPr>
          <w:rFonts w:ascii="Times New Roman" w:eastAsia="Times New Roman" w:hAnsi="Times New Roman" w:cs="Times New Roman"/>
          <w:color w:val="000000"/>
          <w:sz w:val="26"/>
          <w:szCs w:val="26"/>
          <w:lang w:val="en"/>
        </w:rPr>
        <w:t xml:space="preserve"> </w:t>
      </w:r>
      <w:r w:rsidRPr="002A1840">
        <w:rPr>
          <w:rFonts w:ascii="Times New Roman" w:eastAsia="Times New Roman" w:hAnsi="Times New Roman" w:cs="Times New Roman"/>
          <w:i/>
          <w:iCs/>
          <w:color w:val="000000"/>
          <w:sz w:val="26"/>
          <w:szCs w:val="26"/>
          <w:lang w:val="en"/>
        </w:rPr>
        <w:t>v. Washington</w:t>
      </w:r>
      <w:bookmarkEnd w:id="19"/>
      <w:r w:rsidRPr="002A1840">
        <w:rPr>
          <w:rFonts w:ascii="Times New Roman" w:eastAsia="Times New Roman" w:hAnsi="Times New Roman" w:cs="Times New Roman"/>
          <w:color w:val="000000"/>
          <w:sz w:val="26"/>
          <w:szCs w:val="26"/>
          <w:lang w:val="en"/>
        </w:rPr>
        <w:t xml:space="preserve">, it is required to establish that there be “minimum contacts” with the state in question in order to establish jurisdiction. </w:t>
      </w:r>
    </w:p>
    <w:p w14:paraId="7673A1B0" w14:textId="77777777"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4D0EDF9D" w14:textId="25B5B523"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In </w:t>
      </w:r>
      <w:r w:rsidRPr="002A1840">
        <w:rPr>
          <w:rFonts w:ascii="Times New Roman" w:eastAsia="Times New Roman" w:hAnsi="Times New Roman" w:cs="Times New Roman"/>
          <w:i/>
          <w:iCs/>
          <w:color w:val="000000"/>
          <w:sz w:val="26"/>
          <w:szCs w:val="26"/>
          <w:lang w:val="en"/>
        </w:rPr>
        <w:t>International Shoe</w:t>
      </w:r>
      <w:r w:rsidR="00793078">
        <w:rPr>
          <w:rFonts w:ascii="Times New Roman" w:eastAsia="Times New Roman" w:hAnsi="Times New Roman" w:cs="Times New Roman"/>
          <w:i/>
          <w:iCs/>
          <w:color w:val="000000"/>
          <w:sz w:val="26"/>
          <w:szCs w:val="26"/>
          <w:lang w:val="en"/>
        </w:rPr>
        <w:t xml:space="preserve"> </w:t>
      </w:r>
      <w:r w:rsidR="00793078" w:rsidRPr="002A1840">
        <w:rPr>
          <w:rFonts w:ascii="Times New Roman" w:eastAsia="Times New Roman" w:hAnsi="Times New Roman" w:cs="Times New Roman"/>
          <w:i/>
          <w:iCs/>
          <w:color w:val="000000"/>
          <w:sz w:val="26"/>
          <w:szCs w:val="26"/>
          <w:lang w:val="en"/>
        </w:rPr>
        <w:t>v. Washington</w:t>
      </w:r>
      <w:r w:rsidRPr="002A1840">
        <w:rPr>
          <w:rFonts w:ascii="Times New Roman" w:eastAsia="Times New Roman" w:hAnsi="Times New Roman" w:cs="Times New Roman"/>
          <w:color w:val="000000"/>
          <w:sz w:val="26"/>
          <w:szCs w:val="26"/>
          <w:lang w:val="en"/>
        </w:rPr>
        <w:t xml:space="preserve">, the Court explained </w:t>
      </w:r>
      <w:proofErr w:type="gramStart"/>
      <w:r w:rsidRPr="002A1840">
        <w:rPr>
          <w:rFonts w:ascii="Times New Roman" w:eastAsia="Times New Roman" w:hAnsi="Times New Roman" w:cs="Times New Roman"/>
          <w:color w:val="000000"/>
          <w:sz w:val="26"/>
          <w:szCs w:val="26"/>
          <w:lang w:val="en"/>
        </w:rPr>
        <w:t>that,</w:t>
      </w:r>
      <w:proofErr w:type="gramEnd"/>
      <w:r w:rsidRPr="002A1840">
        <w:rPr>
          <w:rFonts w:ascii="Times New Roman" w:eastAsia="Times New Roman" w:hAnsi="Times New Roman" w:cs="Times New Roman"/>
          <w:color w:val="000000"/>
          <w:sz w:val="26"/>
          <w:szCs w:val="26"/>
          <w:lang w:val="en"/>
        </w:rPr>
        <w:t xml:space="preserve"> “[l]ike any standard that requires a determination of ‘reasonableness,’ the ‘minimum contacts’ test </w:t>
      </w:r>
      <w:r w:rsidR="00266DDD">
        <w:rPr>
          <w:rFonts w:ascii="Times New Roman" w:eastAsia="Times New Roman" w:hAnsi="Times New Roman" w:cs="Times New Roman"/>
          <w:color w:val="000000"/>
          <w:sz w:val="26"/>
          <w:szCs w:val="26"/>
          <w:lang w:val="en"/>
        </w:rPr>
        <w:t>[</w:t>
      </w:r>
      <w:r w:rsidRPr="002A1840">
        <w:rPr>
          <w:rFonts w:ascii="Times New Roman" w:eastAsia="Times New Roman" w:hAnsi="Times New Roman" w:cs="Times New Roman"/>
          <w:color w:val="000000"/>
          <w:sz w:val="26"/>
          <w:szCs w:val="26"/>
          <w:lang w:val="en"/>
        </w:rPr>
        <w:t>.</w:t>
      </w:r>
      <w:r w:rsidR="00666BD9">
        <w:rPr>
          <w:rFonts w:ascii="Times New Roman" w:eastAsia="Times New Roman" w:hAnsi="Times New Roman" w:cs="Times New Roman"/>
          <w:color w:val="000000"/>
          <w:sz w:val="26"/>
          <w:szCs w:val="26"/>
          <w:lang w:val="en"/>
        </w:rPr>
        <w:t> </w:t>
      </w:r>
      <w:r w:rsidRPr="002A1840">
        <w:rPr>
          <w:rFonts w:ascii="Times New Roman" w:eastAsia="Times New Roman" w:hAnsi="Times New Roman" w:cs="Times New Roman"/>
          <w:color w:val="000000"/>
          <w:sz w:val="26"/>
          <w:szCs w:val="26"/>
          <w:lang w:val="en"/>
        </w:rPr>
        <w:t>. .</w:t>
      </w:r>
      <w:r w:rsidR="00266DDD">
        <w:rPr>
          <w:rFonts w:ascii="Times New Roman" w:eastAsia="Times New Roman" w:hAnsi="Times New Roman" w:cs="Times New Roman"/>
          <w:color w:val="000000"/>
          <w:sz w:val="26"/>
          <w:szCs w:val="26"/>
          <w:lang w:val="en"/>
        </w:rPr>
        <w:t>]</w:t>
      </w:r>
      <w:r w:rsidRPr="002A1840">
        <w:rPr>
          <w:rFonts w:ascii="Times New Roman" w:eastAsia="Times New Roman" w:hAnsi="Times New Roman" w:cs="Times New Roman"/>
          <w:color w:val="000000"/>
          <w:sz w:val="26"/>
          <w:szCs w:val="26"/>
          <w:lang w:val="en"/>
        </w:rPr>
        <w:t xml:space="preserve"> is not susceptible of mechanical application; rather, the facts of each case must be weighed to determine whether the requisite ‘affiliating circumstances’ are present.”  The Court noted that the “effects” test had been accepted as a test of contacts when wrongful activity outside a state causes injury within the state or when commercial activity affects state residents.  While the decision in </w:t>
      </w:r>
      <w:r w:rsidRPr="002A1840">
        <w:rPr>
          <w:rFonts w:ascii="Times New Roman" w:eastAsia="Times New Roman" w:hAnsi="Times New Roman" w:cs="Times New Roman"/>
          <w:i/>
          <w:iCs/>
          <w:color w:val="000000"/>
          <w:sz w:val="26"/>
          <w:szCs w:val="26"/>
          <w:lang w:val="en"/>
        </w:rPr>
        <w:t>International Shoe</w:t>
      </w:r>
      <w:r w:rsidRPr="002A1840">
        <w:rPr>
          <w:rFonts w:ascii="Times New Roman" w:eastAsia="Times New Roman" w:hAnsi="Times New Roman" w:cs="Times New Roman"/>
          <w:color w:val="000000"/>
          <w:sz w:val="26"/>
          <w:szCs w:val="26"/>
          <w:lang w:val="en"/>
        </w:rPr>
        <w:t xml:space="preserve"> </w:t>
      </w:r>
      <w:r w:rsidRPr="002A1840">
        <w:rPr>
          <w:rFonts w:ascii="Times New Roman" w:eastAsia="Times New Roman" w:hAnsi="Times New Roman" w:cs="Times New Roman"/>
          <w:i/>
          <w:iCs/>
          <w:color w:val="000000"/>
          <w:sz w:val="26"/>
          <w:szCs w:val="26"/>
          <w:lang w:val="en"/>
        </w:rPr>
        <w:t>v. Washington</w:t>
      </w:r>
      <w:r w:rsidRPr="002A1840">
        <w:rPr>
          <w:rFonts w:ascii="Times New Roman" w:eastAsia="Times New Roman" w:hAnsi="Times New Roman" w:cs="Times New Roman"/>
          <w:color w:val="000000"/>
          <w:sz w:val="26"/>
          <w:szCs w:val="26"/>
          <w:lang w:val="en"/>
        </w:rPr>
        <w:t xml:space="preserve"> was narrowly limited to its facts, its general principles are applicable to our analysis of Commission jurisdiction over Middlesex. </w:t>
      </w:r>
    </w:p>
    <w:p w14:paraId="4EA55B7B" w14:textId="77777777" w:rsidR="002A1840" w:rsidRPr="002A1840" w:rsidRDefault="002A1840" w:rsidP="002A1840">
      <w:pPr>
        <w:spacing w:after="0" w:line="360" w:lineRule="auto"/>
        <w:rPr>
          <w:rFonts w:ascii="Times New Roman" w:eastAsia="Times New Roman" w:hAnsi="Times New Roman" w:cs="Times New Roman"/>
          <w:color w:val="000000"/>
          <w:sz w:val="26"/>
          <w:szCs w:val="26"/>
          <w:lang w:val="en"/>
        </w:rPr>
      </w:pPr>
    </w:p>
    <w:p w14:paraId="38B36888" w14:textId="46EBA5C5" w:rsidR="002A1840" w:rsidRPr="002A1840" w:rsidRDefault="002A1840" w:rsidP="002A1840">
      <w:pPr>
        <w:spacing w:after="0" w:line="360" w:lineRule="auto"/>
        <w:ind w:firstLine="1440"/>
        <w:rPr>
          <w:rFonts w:ascii="Times New Roman" w:eastAsia="Times New Roman" w:hAnsi="Times New Roman" w:cs="Times New Roman"/>
          <w:color w:val="000000"/>
          <w:sz w:val="26"/>
        </w:rPr>
      </w:pPr>
      <w:r w:rsidRPr="002A1840">
        <w:rPr>
          <w:rFonts w:ascii="Times New Roman" w:hAnsi="Times New Roman" w:cs="Times New Roman"/>
          <w:color w:val="000000"/>
          <w:sz w:val="26"/>
          <w:szCs w:val="26"/>
          <w:lang w:val="en"/>
        </w:rPr>
        <w:t xml:space="preserve">In the present case, the facts establish that Middlesex sought and was granted a CPC, and assumed the rights and duties thereunder, for the privilege of doing business within the Commonwealth to provide water service within the delineated service territory.  </w:t>
      </w:r>
      <w:r w:rsidRPr="002A1840">
        <w:rPr>
          <w:rFonts w:ascii="Times New Roman" w:eastAsia="Times New Roman" w:hAnsi="Times New Roman" w:cs="Times New Roman"/>
          <w:color w:val="000000"/>
          <w:sz w:val="26"/>
        </w:rPr>
        <w:t xml:space="preserve">By the </w:t>
      </w:r>
      <w:r w:rsidRPr="00A66D1F">
        <w:rPr>
          <w:rFonts w:ascii="Times New Roman" w:eastAsia="Times New Roman" w:hAnsi="Times New Roman" w:cs="Times New Roman"/>
          <w:i/>
          <w:iCs/>
          <w:color w:val="000000"/>
          <w:sz w:val="26"/>
        </w:rPr>
        <w:t>March 2009 Order</w:t>
      </w:r>
      <w:r w:rsidR="00664232">
        <w:rPr>
          <w:rFonts w:ascii="Times New Roman" w:eastAsia="Times New Roman" w:hAnsi="Times New Roman" w:cs="Times New Roman"/>
          <w:i/>
          <w:iCs/>
          <w:color w:val="000000"/>
          <w:sz w:val="26"/>
        </w:rPr>
        <w:t>,</w:t>
      </w:r>
      <w:r w:rsidRPr="002A1840">
        <w:rPr>
          <w:rFonts w:ascii="Times New Roman" w:eastAsia="Times New Roman" w:hAnsi="Times New Roman" w:cs="Times New Roman"/>
          <w:color w:val="000000"/>
          <w:sz w:val="26"/>
        </w:rPr>
        <w:t xml:space="preserve"> a CPC was issued to Middlesex to provide water service in Pike County.  In that proceeding, on February 26, 2008, Middlesex filed a Letter of Intent with the Commission requesting Commission approval to acquire Twin Lakes Water Services, LLC’s existing system.  The </w:t>
      </w:r>
      <w:r w:rsidRPr="00A66D1F">
        <w:rPr>
          <w:rFonts w:ascii="Times New Roman" w:eastAsia="Times New Roman" w:hAnsi="Times New Roman" w:cs="Times New Roman"/>
          <w:i/>
          <w:iCs/>
          <w:color w:val="000000"/>
          <w:sz w:val="26"/>
        </w:rPr>
        <w:t>March 2009 Order</w:t>
      </w:r>
      <w:r w:rsidRPr="002A1840">
        <w:rPr>
          <w:rFonts w:ascii="Times New Roman" w:eastAsia="Times New Roman" w:hAnsi="Times New Roman" w:cs="Times New Roman"/>
          <w:color w:val="000000"/>
          <w:sz w:val="26"/>
        </w:rPr>
        <w:t xml:space="preserve"> approved Middlesex’s application and granted the corresponding CPC.  Since the </w:t>
      </w:r>
      <w:r w:rsidRPr="00A66D1F">
        <w:rPr>
          <w:rFonts w:ascii="Times New Roman" w:eastAsia="Times New Roman" w:hAnsi="Times New Roman" w:cs="Times New Roman"/>
          <w:i/>
          <w:iCs/>
          <w:color w:val="000000"/>
          <w:sz w:val="26"/>
        </w:rPr>
        <w:t>March 2009</w:t>
      </w:r>
      <w:r w:rsidRPr="002A1840">
        <w:rPr>
          <w:rFonts w:ascii="Times New Roman" w:eastAsia="Times New Roman" w:hAnsi="Times New Roman" w:cs="Times New Roman"/>
          <w:color w:val="000000"/>
          <w:sz w:val="26"/>
        </w:rPr>
        <w:t xml:space="preserve"> </w:t>
      </w:r>
      <w:r w:rsidRPr="00A66D1F">
        <w:rPr>
          <w:rFonts w:ascii="Times New Roman" w:eastAsia="Times New Roman" w:hAnsi="Times New Roman" w:cs="Times New Roman"/>
          <w:i/>
          <w:iCs/>
          <w:color w:val="000000"/>
          <w:sz w:val="26"/>
        </w:rPr>
        <w:t>Order</w:t>
      </w:r>
      <w:r w:rsidRPr="002A1840">
        <w:rPr>
          <w:rFonts w:ascii="Times New Roman" w:eastAsia="Times New Roman" w:hAnsi="Times New Roman" w:cs="Times New Roman"/>
          <w:color w:val="000000"/>
          <w:sz w:val="26"/>
        </w:rPr>
        <w:t xml:space="preserve">, Middlesex did not file an application seeking to abandon service and </w:t>
      </w:r>
      <w:r w:rsidR="005A255F">
        <w:rPr>
          <w:rFonts w:ascii="Times New Roman" w:eastAsia="Times New Roman" w:hAnsi="Times New Roman" w:cs="Times New Roman"/>
          <w:color w:val="000000"/>
          <w:sz w:val="26"/>
        </w:rPr>
        <w:t xml:space="preserve">Middlesex’s wholly owned subsidiary, </w:t>
      </w:r>
      <w:r w:rsidRPr="002A1840">
        <w:rPr>
          <w:rFonts w:ascii="Times New Roman" w:eastAsia="Times New Roman" w:hAnsi="Times New Roman" w:cs="Times New Roman"/>
          <w:color w:val="000000"/>
          <w:sz w:val="26"/>
        </w:rPr>
        <w:t>Twin Lakes</w:t>
      </w:r>
      <w:r w:rsidR="005A255F">
        <w:rPr>
          <w:rFonts w:ascii="Times New Roman" w:eastAsia="Times New Roman" w:hAnsi="Times New Roman" w:cs="Times New Roman"/>
          <w:color w:val="000000"/>
          <w:sz w:val="26"/>
        </w:rPr>
        <w:t>,</w:t>
      </w:r>
      <w:r w:rsidRPr="002A1840">
        <w:rPr>
          <w:rFonts w:ascii="Times New Roman" w:eastAsia="Times New Roman" w:hAnsi="Times New Roman" w:cs="Times New Roman"/>
          <w:color w:val="000000"/>
          <w:sz w:val="26"/>
        </w:rPr>
        <w:t xml:space="preserve"> did not apply for a CPC to provide service.</w:t>
      </w:r>
      <w:r w:rsidRPr="002A1840">
        <w:rPr>
          <w:rFonts w:ascii="Times New Roman" w:eastAsia="Times New Roman" w:hAnsi="Times New Roman" w:cs="Times New Roman"/>
          <w:b/>
          <w:color w:val="000000"/>
          <w:sz w:val="26"/>
        </w:rPr>
        <w:t xml:space="preserve"> </w:t>
      </w:r>
    </w:p>
    <w:p w14:paraId="55BE03FE"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p>
    <w:p w14:paraId="75AC1843" w14:textId="50A16FC8" w:rsidR="002A1840" w:rsidRPr="002A1840" w:rsidRDefault="002A1840" w:rsidP="002A1840">
      <w:pPr>
        <w:spacing w:after="0" w:line="360" w:lineRule="auto"/>
        <w:ind w:firstLine="1440"/>
        <w:rPr>
          <w:rFonts w:ascii="Times New Roman" w:eastAsia="Times New Roman" w:hAnsi="Times New Roman" w:cs="Times New Roman"/>
          <w:color w:val="000000"/>
          <w:sz w:val="26"/>
        </w:rPr>
      </w:pPr>
      <w:r w:rsidRPr="002A1840">
        <w:rPr>
          <w:rFonts w:ascii="Times New Roman" w:eastAsia="Times New Roman" w:hAnsi="Times New Roman" w:cs="Times New Roman"/>
          <w:color w:val="000000"/>
          <w:sz w:val="26"/>
        </w:rPr>
        <w:lastRenderedPageBreak/>
        <w:t xml:space="preserve">Middlesex, as the “original filer” and recipient of the CPC, has purposefully availed itself of Commission jurisdiction under the Code and has agreed to adopt the rules, rates and regulations contained in Twin Lakes Water Services, LLC’s existing tariffs.  </w:t>
      </w:r>
      <w:r w:rsidRPr="002A1840">
        <w:rPr>
          <w:rFonts w:ascii="Times New Roman" w:eastAsia="Times New Roman" w:hAnsi="Times New Roman" w:cs="Times New Roman"/>
          <w:i/>
          <w:iCs/>
          <w:color w:val="000000"/>
          <w:sz w:val="26"/>
        </w:rPr>
        <w:t>See</w:t>
      </w:r>
      <w:r w:rsidRPr="002A1840">
        <w:rPr>
          <w:rFonts w:ascii="Times New Roman" w:eastAsia="Times New Roman" w:hAnsi="Times New Roman" w:cs="Times New Roman"/>
          <w:color w:val="000000"/>
          <w:sz w:val="26"/>
        </w:rPr>
        <w:t xml:space="preserve"> </w:t>
      </w:r>
      <w:r w:rsidRPr="00A66D1F">
        <w:rPr>
          <w:rFonts w:ascii="Times New Roman" w:eastAsia="Times New Roman" w:hAnsi="Times New Roman" w:cs="Times New Roman"/>
          <w:i/>
          <w:iCs/>
          <w:color w:val="000000"/>
          <w:sz w:val="26"/>
        </w:rPr>
        <w:t>March 2009 Order</w:t>
      </w:r>
      <w:r w:rsidRPr="002A1840">
        <w:rPr>
          <w:rFonts w:ascii="Times New Roman" w:eastAsia="Times New Roman" w:hAnsi="Times New Roman" w:cs="Times New Roman"/>
          <w:color w:val="000000"/>
          <w:sz w:val="26"/>
        </w:rPr>
        <w:t xml:space="preserve">.  It is Middlesex that holds the CPC.  This CPC is not transferable.  Middlesex as the CPC holder is subject to the jurisdiction of the Commission.  Rights and duties under a certificate of public convenience remain binding on a certificate holder until the certificate is cancelled by action of the Commission or until the certificate holder receives Commission authorization to abandon service under Section 1102(a)(2) of the Code. 66 Pa. C.S. § 1102(a)(2).  </w:t>
      </w:r>
    </w:p>
    <w:p w14:paraId="662BBF3E"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rPr>
      </w:pPr>
    </w:p>
    <w:p w14:paraId="3754A5EF" w14:textId="05A55E54" w:rsidR="002A1840" w:rsidRPr="002A1840" w:rsidRDefault="002A1840" w:rsidP="002A1840">
      <w:pPr>
        <w:spacing w:after="0" w:line="360" w:lineRule="auto"/>
        <w:ind w:firstLine="1440"/>
        <w:rPr>
          <w:rFonts w:ascii="Times New Roman" w:eastAsia="Times New Roman" w:hAnsi="Times New Roman" w:cs="Times New Roman"/>
          <w:color w:val="000000"/>
          <w:sz w:val="26"/>
        </w:rPr>
      </w:pPr>
      <w:r w:rsidRPr="002A1840">
        <w:rPr>
          <w:rFonts w:ascii="Times New Roman" w:eastAsia="Times New Roman" w:hAnsi="Times New Roman" w:cs="Times New Roman"/>
          <w:color w:val="000000"/>
          <w:sz w:val="26"/>
        </w:rPr>
        <w:t>We conclude that, Middlesex remains the holder of the CPC, irrespective of the corporate subsidiary relationship with Twin Lakes.  Further, we note that Middlesex is listed as the respondent in the consolidated dockets (G-2020-3020941, G</w:t>
      </w:r>
      <w:r w:rsidR="00666BD9">
        <w:rPr>
          <w:rFonts w:ascii="Times New Roman" w:eastAsia="Times New Roman" w:hAnsi="Times New Roman" w:cs="Times New Roman"/>
          <w:color w:val="000000"/>
          <w:sz w:val="26"/>
        </w:rPr>
        <w:noBreakHyphen/>
      </w:r>
      <w:r w:rsidRPr="002A1840">
        <w:rPr>
          <w:rFonts w:ascii="Times New Roman" w:eastAsia="Times New Roman" w:hAnsi="Times New Roman" w:cs="Times New Roman"/>
          <w:color w:val="000000"/>
          <w:sz w:val="26"/>
        </w:rPr>
        <w:t>2020</w:t>
      </w:r>
      <w:r w:rsidR="00666BD9">
        <w:rPr>
          <w:rFonts w:ascii="Times New Roman" w:eastAsia="Times New Roman" w:hAnsi="Times New Roman" w:cs="Times New Roman"/>
          <w:color w:val="000000"/>
          <w:sz w:val="26"/>
        </w:rPr>
        <w:noBreakHyphen/>
      </w:r>
      <w:r w:rsidRPr="002A1840">
        <w:rPr>
          <w:rFonts w:ascii="Times New Roman" w:eastAsia="Times New Roman" w:hAnsi="Times New Roman" w:cs="Times New Roman"/>
          <w:color w:val="000000"/>
          <w:sz w:val="26"/>
        </w:rPr>
        <w:t>3021018, G-2020-3021021 and G-2020-3021024) which seek Commission approval of A</w:t>
      </w:r>
      <w:r w:rsidR="00FA2BAF">
        <w:rPr>
          <w:rFonts w:ascii="Times New Roman" w:eastAsia="Times New Roman" w:hAnsi="Times New Roman" w:cs="Times New Roman"/>
          <w:color w:val="000000"/>
          <w:sz w:val="26"/>
        </w:rPr>
        <w:t>IAs</w:t>
      </w:r>
      <w:r w:rsidRPr="002A1840">
        <w:rPr>
          <w:rFonts w:ascii="Times New Roman" w:eastAsia="Times New Roman" w:hAnsi="Times New Roman" w:cs="Times New Roman"/>
          <w:color w:val="000000"/>
          <w:sz w:val="26"/>
        </w:rPr>
        <w:t xml:space="preserve"> and a service agreement between Twin Lakes and Middlesex.  It appears then that Middlesex has attempted to voluntarily refuse to participate in the consolidated proceedings. </w:t>
      </w:r>
      <w:r w:rsidR="00170991">
        <w:rPr>
          <w:rFonts w:ascii="Times New Roman" w:eastAsia="Times New Roman" w:hAnsi="Times New Roman" w:cs="Times New Roman"/>
          <w:color w:val="000000"/>
          <w:sz w:val="26"/>
        </w:rPr>
        <w:t xml:space="preserve"> </w:t>
      </w:r>
    </w:p>
    <w:p w14:paraId="456E97B1"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p>
    <w:p w14:paraId="3EBE4149" w14:textId="033966D0" w:rsidR="002A1840" w:rsidRPr="002A1840" w:rsidRDefault="002A1840" w:rsidP="002A1840">
      <w:pPr>
        <w:spacing w:after="0" w:line="360" w:lineRule="auto"/>
        <w:ind w:firstLine="1440"/>
        <w:rPr>
          <w:rFonts w:ascii="Times New Roman" w:eastAsia="Times New Roman" w:hAnsi="Times New Roman" w:cs="Times New Roman"/>
          <w:color w:val="000000"/>
          <w:sz w:val="26"/>
          <w:szCs w:val="26"/>
          <w:lang w:val="en"/>
        </w:rPr>
      </w:pPr>
      <w:r w:rsidRPr="002A1840">
        <w:rPr>
          <w:rFonts w:ascii="Times New Roman" w:eastAsia="Times New Roman" w:hAnsi="Times New Roman" w:cs="Times New Roman"/>
          <w:color w:val="000000"/>
          <w:sz w:val="26"/>
          <w:szCs w:val="26"/>
          <w:lang w:val="en"/>
        </w:rPr>
        <w:t xml:space="preserve">Clearly, the facts of the present case establish that the Commission’s exercise of jurisdiction over Middlesex as a certificated water utility goes to a matter of the highest importance, public safety.  The facts of the present case clearly meet the </w:t>
      </w:r>
      <w:r w:rsidRPr="002A1840">
        <w:rPr>
          <w:rFonts w:ascii="Times New Roman" w:eastAsia="Times New Roman" w:hAnsi="Times New Roman" w:cs="Times New Roman"/>
          <w:i/>
          <w:iCs/>
          <w:color w:val="000000"/>
          <w:sz w:val="26"/>
          <w:szCs w:val="26"/>
          <w:lang w:val="en"/>
        </w:rPr>
        <w:t>International Shoe</w:t>
      </w:r>
      <w:r w:rsidRPr="002A1840">
        <w:rPr>
          <w:rFonts w:ascii="Times New Roman" w:eastAsia="Times New Roman" w:hAnsi="Times New Roman" w:cs="Times New Roman"/>
          <w:color w:val="000000"/>
          <w:sz w:val="26"/>
          <w:szCs w:val="26"/>
          <w:lang w:val="en"/>
        </w:rPr>
        <w:t xml:space="preserve"> </w:t>
      </w:r>
      <w:r w:rsidRPr="002A1840">
        <w:rPr>
          <w:rFonts w:ascii="Times New Roman" w:eastAsia="Times New Roman" w:hAnsi="Times New Roman" w:cs="Times New Roman"/>
          <w:i/>
          <w:iCs/>
          <w:color w:val="000000"/>
          <w:sz w:val="26"/>
          <w:szCs w:val="26"/>
          <w:lang w:val="en"/>
        </w:rPr>
        <w:t>v. Washington</w:t>
      </w:r>
      <w:r w:rsidRPr="002A1840">
        <w:rPr>
          <w:rFonts w:ascii="Times New Roman" w:eastAsia="Times New Roman" w:hAnsi="Times New Roman" w:cs="Times New Roman"/>
          <w:color w:val="000000"/>
          <w:sz w:val="26"/>
          <w:szCs w:val="26"/>
          <w:lang w:val="en"/>
        </w:rPr>
        <w:t xml:space="preserve"> standard for the necessary minimum contacts and the requisite ability to provide notice to Middlesex through its agent, and wholly owned subsidiary, Twin Lakes, in order for the Commission to properly assert jurisdiction over Middlesex. </w:t>
      </w:r>
      <w:r w:rsidR="00170991">
        <w:rPr>
          <w:rFonts w:ascii="Times New Roman" w:eastAsia="Times New Roman" w:hAnsi="Times New Roman" w:cs="Times New Roman"/>
          <w:color w:val="000000"/>
          <w:sz w:val="26"/>
          <w:szCs w:val="26"/>
          <w:lang w:val="en"/>
        </w:rPr>
        <w:t xml:space="preserve"> </w:t>
      </w:r>
    </w:p>
    <w:p w14:paraId="23DB5B26" w14:textId="77777777" w:rsidR="002A1840" w:rsidRPr="002A1840" w:rsidRDefault="002A1840" w:rsidP="002A1840">
      <w:pPr>
        <w:spacing w:after="0" w:line="360" w:lineRule="auto"/>
        <w:rPr>
          <w:rFonts w:ascii="Times New Roman" w:hAnsi="Times New Roman" w:cs="Times New Roman"/>
          <w:sz w:val="26"/>
          <w:szCs w:val="26"/>
        </w:rPr>
      </w:pPr>
    </w:p>
    <w:p w14:paraId="31447B2D" w14:textId="14969474"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r w:rsidRPr="002A1840">
        <w:rPr>
          <w:rFonts w:ascii="Times New Roman" w:hAnsi="Times New Roman" w:cs="Times New Roman"/>
          <w:sz w:val="26"/>
          <w:szCs w:val="26"/>
        </w:rPr>
        <w:t xml:space="preserve">We note that the relationship between Middlesex and Twin Lakes, as a wholly owned subsidiary, was </w:t>
      </w:r>
      <w:r w:rsidRPr="002A1840">
        <w:rPr>
          <w:rFonts w:ascii="Times New Roman" w:hAnsi="Times New Roman" w:cs="Times New Roman"/>
          <w:i/>
          <w:iCs/>
          <w:sz w:val="26"/>
          <w:szCs w:val="26"/>
        </w:rPr>
        <w:t>via</w:t>
      </w:r>
      <w:r w:rsidRPr="002A1840">
        <w:rPr>
          <w:rFonts w:ascii="Times New Roman" w:hAnsi="Times New Roman" w:cs="Times New Roman"/>
          <w:sz w:val="26"/>
          <w:szCs w:val="26"/>
        </w:rPr>
        <w:t xml:space="preserve"> operations support to Twin Lakes, the terms of which were set forth in service agreements executed between Middlesex and Twin Lakes.  </w:t>
      </w:r>
      <w:r w:rsidRPr="002A1840">
        <w:rPr>
          <w:rFonts w:ascii="Times New Roman" w:eastAsia="Times New Roman" w:hAnsi="Times New Roman" w:cs="Times New Roman"/>
          <w:color w:val="000000"/>
          <w:sz w:val="26"/>
          <w:szCs w:val="26"/>
        </w:rPr>
        <w:t xml:space="preserve">Twin </w:t>
      </w:r>
      <w:r w:rsidRPr="002A1840">
        <w:rPr>
          <w:rFonts w:ascii="Times New Roman" w:eastAsia="Times New Roman" w:hAnsi="Times New Roman" w:cs="Times New Roman"/>
          <w:color w:val="000000"/>
          <w:sz w:val="26"/>
          <w:szCs w:val="26"/>
        </w:rPr>
        <w:lastRenderedPageBreak/>
        <w:t xml:space="preserve">Lakes’ Petition asserted that Middlesex provided operations support to Twin Lakes through </w:t>
      </w:r>
      <w:r w:rsidR="002A0071">
        <w:rPr>
          <w:rFonts w:ascii="Times New Roman" w:eastAsia="Times New Roman" w:hAnsi="Times New Roman" w:cs="Times New Roman"/>
          <w:color w:val="000000"/>
          <w:sz w:val="26"/>
          <w:szCs w:val="26"/>
        </w:rPr>
        <w:t xml:space="preserve">the </w:t>
      </w:r>
      <w:r w:rsidRPr="002A1840">
        <w:rPr>
          <w:rFonts w:ascii="Times New Roman" w:eastAsia="Times New Roman" w:hAnsi="Times New Roman" w:cs="Times New Roman"/>
          <w:color w:val="000000"/>
          <w:sz w:val="26"/>
          <w:szCs w:val="26"/>
        </w:rPr>
        <w:t>Service Agreement, and that on June 1, 2020, Middlesex issued a letter notice of termination of the Service Agreement advising termination of the agreement effective September 1, 2020 (</w:t>
      </w:r>
      <w:r w:rsidRPr="002A1840">
        <w:rPr>
          <w:rFonts w:ascii="Times New Roman" w:eastAsia="Times New Roman" w:hAnsi="Times New Roman" w:cs="Times New Roman"/>
          <w:i/>
          <w:iCs/>
          <w:color w:val="000000"/>
          <w:sz w:val="26"/>
          <w:szCs w:val="26"/>
        </w:rPr>
        <w:t>June 1 Notice of Termination Letter</w:t>
      </w:r>
      <w:r w:rsidRPr="002A1840">
        <w:rPr>
          <w:rFonts w:ascii="Times New Roman" w:eastAsia="Times New Roman" w:hAnsi="Times New Roman" w:cs="Times New Roman"/>
          <w:color w:val="000000"/>
          <w:sz w:val="26"/>
          <w:szCs w:val="26"/>
        </w:rPr>
        <w:t xml:space="preserve">).  Twin Lakes’ present claim for permission to abandon service was predicated upon Middlesex’s </w:t>
      </w:r>
      <w:r w:rsidRPr="002A1840">
        <w:rPr>
          <w:rFonts w:ascii="Times New Roman" w:eastAsia="Times New Roman" w:hAnsi="Times New Roman" w:cs="Times New Roman"/>
          <w:i/>
          <w:iCs/>
          <w:color w:val="000000"/>
          <w:sz w:val="26"/>
          <w:szCs w:val="26"/>
        </w:rPr>
        <w:t>June 1 Notice of Termination Letter</w:t>
      </w:r>
      <w:r w:rsidRPr="002A1840">
        <w:rPr>
          <w:rFonts w:ascii="Times New Roman" w:eastAsia="Times New Roman" w:hAnsi="Times New Roman" w:cs="Times New Roman"/>
          <w:color w:val="000000"/>
          <w:sz w:val="26"/>
          <w:szCs w:val="26"/>
        </w:rPr>
        <w:t xml:space="preserve">, on the basis that Twin Lakes’ continued operation was not viable without operational support provided by Middlesex. </w:t>
      </w:r>
    </w:p>
    <w:p w14:paraId="2B3633EF"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p>
    <w:p w14:paraId="59730F58" w14:textId="2E2CCE62"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r w:rsidRPr="002A1840">
        <w:rPr>
          <w:rFonts w:ascii="Times New Roman" w:eastAsia="Times New Roman" w:hAnsi="Times New Roman" w:cs="Times New Roman"/>
          <w:color w:val="000000"/>
          <w:sz w:val="26"/>
          <w:szCs w:val="26"/>
        </w:rPr>
        <w:t xml:space="preserve">Therefore, it is by virtue of the </w:t>
      </w:r>
      <w:r w:rsidRPr="002A1840">
        <w:rPr>
          <w:rFonts w:ascii="Times New Roman" w:eastAsia="Times New Roman" w:hAnsi="Times New Roman" w:cs="Times New Roman"/>
          <w:i/>
          <w:iCs/>
          <w:color w:val="000000"/>
          <w:sz w:val="26"/>
          <w:szCs w:val="26"/>
        </w:rPr>
        <w:t>June 1 Notice of Termination Letter</w:t>
      </w:r>
      <w:r w:rsidRPr="002A1840">
        <w:rPr>
          <w:rFonts w:ascii="Times New Roman" w:eastAsia="Times New Roman" w:hAnsi="Times New Roman" w:cs="Times New Roman"/>
          <w:color w:val="000000"/>
          <w:sz w:val="26"/>
          <w:szCs w:val="26"/>
        </w:rPr>
        <w:t xml:space="preserve"> issued by Middlesex to Twin Lakes, terminating its financial support under the Service Agreement, that Twin Lakes asserts it is without the financial resources to continue operations.  To the extent that Middlesex’s </w:t>
      </w:r>
      <w:r w:rsidRPr="002A1840">
        <w:rPr>
          <w:rFonts w:ascii="Times New Roman" w:eastAsia="Times New Roman" w:hAnsi="Times New Roman" w:cs="Times New Roman"/>
          <w:i/>
          <w:iCs/>
          <w:color w:val="000000"/>
          <w:sz w:val="26"/>
          <w:szCs w:val="26"/>
        </w:rPr>
        <w:t>June 1 Notice of Termination Letter</w:t>
      </w:r>
      <w:r w:rsidRPr="002A1840">
        <w:rPr>
          <w:rFonts w:ascii="Times New Roman" w:eastAsia="Times New Roman" w:hAnsi="Times New Roman" w:cs="Times New Roman"/>
          <w:color w:val="000000"/>
          <w:sz w:val="26"/>
          <w:szCs w:val="26"/>
        </w:rPr>
        <w:t xml:space="preserve"> or any </w:t>
      </w:r>
      <w:r w:rsidR="00F72875">
        <w:rPr>
          <w:rFonts w:ascii="Times New Roman" w:eastAsia="Times New Roman" w:hAnsi="Times New Roman" w:cs="Times New Roman"/>
          <w:color w:val="000000"/>
          <w:sz w:val="26"/>
          <w:szCs w:val="26"/>
        </w:rPr>
        <w:t>s</w:t>
      </w:r>
      <w:r w:rsidRPr="002A1840">
        <w:rPr>
          <w:rFonts w:ascii="Times New Roman" w:eastAsia="Times New Roman" w:hAnsi="Times New Roman" w:cs="Times New Roman"/>
          <w:color w:val="000000"/>
          <w:sz w:val="26"/>
          <w:szCs w:val="26"/>
        </w:rPr>
        <w:t xml:space="preserve">ervice </w:t>
      </w:r>
      <w:r w:rsidR="00F72875">
        <w:rPr>
          <w:rFonts w:ascii="Times New Roman" w:eastAsia="Times New Roman" w:hAnsi="Times New Roman" w:cs="Times New Roman"/>
          <w:color w:val="000000"/>
          <w:sz w:val="26"/>
          <w:szCs w:val="26"/>
        </w:rPr>
        <w:t>a</w:t>
      </w:r>
      <w:r w:rsidRPr="002A1840">
        <w:rPr>
          <w:rFonts w:ascii="Times New Roman" w:eastAsia="Times New Roman" w:hAnsi="Times New Roman" w:cs="Times New Roman"/>
          <w:color w:val="000000"/>
          <w:sz w:val="26"/>
          <w:szCs w:val="26"/>
        </w:rPr>
        <w:t xml:space="preserve">greement between Middlesex and Twin Lakes are relied upon to establish Twin Lakes’ lack of financial resources, we conclude the agreements to be contracts, the terms of which may be voided or altered pursuant to the Commission’s authority under Section 508 of the Code, wherein the Commission is vested with the authority to review, vary, reform and revise agreements between public utilities and persons, municipal corporations and corporations.  66 Pa. C.S. § 508 (Power of commission to vary, reform and revise contracts).  </w:t>
      </w:r>
    </w:p>
    <w:p w14:paraId="2E2093AA"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p>
    <w:p w14:paraId="32CD9B6E" w14:textId="77777777" w:rsidR="002A1840" w:rsidRPr="002A1840" w:rsidRDefault="002A1840" w:rsidP="002A1840">
      <w:pPr>
        <w:spacing w:after="0" w:line="360" w:lineRule="auto"/>
        <w:ind w:firstLine="1440"/>
        <w:rPr>
          <w:rFonts w:ascii="Times New Roman" w:eastAsia="Times New Roman" w:hAnsi="Times New Roman" w:cs="Times New Roman"/>
          <w:sz w:val="26"/>
          <w:szCs w:val="26"/>
        </w:rPr>
      </w:pPr>
      <w:r w:rsidRPr="002A1840">
        <w:rPr>
          <w:rFonts w:ascii="Times New Roman" w:eastAsia="Times New Roman" w:hAnsi="Times New Roman" w:cs="Times New Roman"/>
          <w:color w:val="000000"/>
          <w:sz w:val="26"/>
          <w:szCs w:val="26"/>
        </w:rPr>
        <w:t xml:space="preserve">Section 508 </w:t>
      </w:r>
      <w:r w:rsidRPr="002A1840">
        <w:rPr>
          <w:rFonts w:ascii="Times New Roman" w:eastAsia="Times New Roman" w:hAnsi="Times New Roman" w:cs="Times New Roman"/>
          <w:sz w:val="26"/>
          <w:szCs w:val="26"/>
        </w:rPr>
        <w:t xml:space="preserve">provides: </w:t>
      </w:r>
    </w:p>
    <w:p w14:paraId="14D0870E" w14:textId="77777777" w:rsidR="002A1840" w:rsidRPr="002A1840" w:rsidRDefault="002A1840" w:rsidP="00666BD9">
      <w:pPr>
        <w:spacing w:after="0" w:line="240" w:lineRule="auto"/>
        <w:ind w:firstLine="1440"/>
        <w:rPr>
          <w:rFonts w:ascii="Times New Roman" w:eastAsia="Times New Roman" w:hAnsi="Times New Roman" w:cs="Times New Roman"/>
          <w:sz w:val="26"/>
          <w:szCs w:val="26"/>
        </w:rPr>
      </w:pPr>
    </w:p>
    <w:p w14:paraId="1ED9F17D" w14:textId="77777777" w:rsidR="002A1840" w:rsidRPr="002A1840" w:rsidRDefault="002A1840" w:rsidP="002A1840">
      <w:pPr>
        <w:shd w:val="clear" w:color="auto" w:fill="FFFFFF"/>
        <w:spacing w:after="0" w:line="240" w:lineRule="auto"/>
        <w:ind w:left="1440" w:right="1440"/>
        <w:textAlignment w:val="top"/>
        <w:rPr>
          <w:rFonts w:ascii="Times New Roman" w:eastAsia="Times New Roman" w:hAnsi="Times New Roman" w:cs="Times New Roman"/>
          <w:sz w:val="26"/>
          <w:szCs w:val="26"/>
          <w:lang w:val="en"/>
        </w:rPr>
      </w:pPr>
      <w:r w:rsidRPr="002A1840">
        <w:rPr>
          <w:rFonts w:ascii="Times New Roman" w:eastAsia="Times New Roman" w:hAnsi="Times New Roman" w:cs="Times New Roman"/>
          <w:sz w:val="26"/>
          <w:szCs w:val="26"/>
          <w:lang w:val="en"/>
        </w:rPr>
        <w:t xml:space="preserve">[t]he commission shall have the power and authority to vary, reform, or revise, upon a fair, reasonable and equitable basis, any obligations, terms, or conditions of any contract heretofore or hereafter entered into between any public utility and any person, corporation, or municipal corporation, which embrace or concern a public right, benefit, privilege, duty, or franchise, or the grant thereof, or are otherwise affected or concerned with the public interest and the general well-being of this Commonwealth. Whenever the commission shall determine, after reasonable notice and hearing, upon its own </w:t>
      </w:r>
      <w:r w:rsidRPr="002A1840">
        <w:rPr>
          <w:rFonts w:ascii="Times New Roman" w:eastAsia="Times New Roman" w:hAnsi="Times New Roman" w:cs="Times New Roman"/>
          <w:sz w:val="26"/>
          <w:szCs w:val="26"/>
          <w:lang w:val="en"/>
        </w:rPr>
        <w:lastRenderedPageBreak/>
        <w:t>motion or upon complaint, that any such obligations, terms, or conditions are unjust, unreasonable, inequitable, or otherwise contrary or adverse to the public interest and the general well-being of this Commonwealth, the commission shall determine and prescribe, by findings and order, the just, reasonable, and equitable obligations, terms and conditions of such contract....</w:t>
      </w:r>
    </w:p>
    <w:p w14:paraId="2A12143D" w14:textId="77777777" w:rsidR="002A1840" w:rsidRPr="002A1840" w:rsidRDefault="002A1840" w:rsidP="002A1840">
      <w:pPr>
        <w:shd w:val="clear" w:color="auto" w:fill="FFFFFF"/>
        <w:spacing w:after="0" w:line="360" w:lineRule="auto"/>
        <w:textAlignment w:val="top"/>
        <w:rPr>
          <w:rFonts w:ascii="Times New Roman" w:eastAsia="Times New Roman" w:hAnsi="Times New Roman" w:cs="Times New Roman"/>
          <w:sz w:val="26"/>
          <w:szCs w:val="26"/>
          <w:lang w:val="en"/>
        </w:rPr>
      </w:pPr>
    </w:p>
    <w:p w14:paraId="129F3B1C" w14:textId="3C225E5E" w:rsidR="002A1840" w:rsidRPr="002A1840" w:rsidRDefault="002A1840" w:rsidP="002A1840">
      <w:pPr>
        <w:shd w:val="clear" w:color="auto" w:fill="FFFFFF"/>
        <w:spacing w:after="0" w:line="360" w:lineRule="auto"/>
        <w:textAlignment w:val="top"/>
        <w:rPr>
          <w:rFonts w:ascii="Times New Roman" w:eastAsia="Times New Roman" w:hAnsi="Times New Roman" w:cs="Times New Roman"/>
          <w:color w:val="4A4A4A"/>
          <w:sz w:val="26"/>
          <w:szCs w:val="26"/>
          <w:lang w:val="en"/>
        </w:rPr>
      </w:pPr>
      <w:r w:rsidRPr="00F12A88">
        <w:rPr>
          <w:rFonts w:ascii="Times New Roman" w:eastAsia="Times New Roman" w:hAnsi="Times New Roman" w:cs="Times New Roman"/>
          <w:color w:val="000000" w:themeColor="text1"/>
          <w:sz w:val="26"/>
          <w:szCs w:val="26"/>
          <w:lang w:val="en"/>
        </w:rPr>
        <w:t xml:space="preserve">66 Pa. C.S. § 508.  </w:t>
      </w:r>
      <w:r w:rsidRPr="002A1840">
        <w:rPr>
          <w:rFonts w:ascii="Times New Roman" w:eastAsia="Times New Roman" w:hAnsi="Times New Roman" w:cs="Times New Roman"/>
          <w:i/>
          <w:iCs/>
          <w:color w:val="000000"/>
          <w:sz w:val="26"/>
          <w:szCs w:val="26"/>
        </w:rPr>
        <w:t>See</w:t>
      </w:r>
      <w:r w:rsidRPr="002A1840">
        <w:rPr>
          <w:rFonts w:ascii="Times New Roman" w:eastAsia="Times New Roman" w:hAnsi="Times New Roman" w:cs="Times New Roman"/>
          <w:color w:val="000000"/>
          <w:sz w:val="26"/>
          <w:szCs w:val="26"/>
        </w:rPr>
        <w:t xml:space="preserve"> </w:t>
      </w:r>
      <w:r w:rsidRPr="002A1840">
        <w:rPr>
          <w:rFonts w:ascii="Times New Roman" w:eastAsia="Times New Roman" w:hAnsi="Times New Roman" w:cs="Times New Roman"/>
          <w:i/>
          <w:iCs/>
          <w:color w:val="000000"/>
          <w:sz w:val="26"/>
          <w:szCs w:val="26"/>
        </w:rPr>
        <w:t>AT&amp;T v. P</w:t>
      </w:r>
      <w:r w:rsidR="00666BD9">
        <w:rPr>
          <w:rFonts w:ascii="Times New Roman" w:eastAsia="Times New Roman" w:hAnsi="Times New Roman" w:cs="Times New Roman"/>
          <w:i/>
          <w:iCs/>
          <w:color w:val="000000"/>
          <w:sz w:val="26"/>
          <w:szCs w:val="26"/>
        </w:rPr>
        <w:t>a. PUC</w:t>
      </w:r>
      <w:r w:rsidRPr="002A1840">
        <w:rPr>
          <w:rFonts w:ascii="Times New Roman" w:eastAsia="Times New Roman" w:hAnsi="Times New Roman" w:cs="Times New Roman"/>
          <w:color w:val="000000"/>
          <w:sz w:val="26"/>
          <w:szCs w:val="26"/>
        </w:rPr>
        <w:t xml:space="preserve">, 709 A.2d 980, </w:t>
      </w:r>
      <w:r w:rsidRPr="002A1840">
        <w:rPr>
          <w:rFonts w:ascii="Times New Roman" w:eastAsia="Times New Roman" w:hAnsi="Times New Roman" w:cs="Times New Roman"/>
          <w:i/>
          <w:iCs/>
          <w:color w:val="000000"/>
          <w:sz w:val="26"/>
          <w:szCs w:val="26"/>
        </w:rPr>
        <w:t>Cmwlth</w:t>
      </w:r>
      <w:r w:rsidRPr="002A1840">
        <w:rPr>
          <w:rFonts w:ascii="Times New Roman" w:eastAsia="Times New Roman" w:hAnsi="Times New Roman" w:cs="Times New Roman"/>
          <w:color w:val="000000"/>
          <w:sz w:val="26"/>
          <w:szCs w:val="26"/>
        </w:rPr>
        <w:t xml:space="preserve">. 1998, appeal granted in part 717 A.2d 1022, 553 Pa. 70, </w:t>
      </w:r>
      <w:r w:rsidRPr="00040BB1">
        <w:rPr>
          <w:rFonts w:ascii="Times New Roman" w:eastAsia="Times New Roman" w:hAnsi="Times New Roman" w:cs="Times New Roman"/>
          <w:i/>
          <w:iCs/>
          <w:color w:val="000000"/>
          <w:sz w:val="26"/>
          <w:szCs w:val="26"/>
        </w:rPr>
        <w:t>appeal granted</w:t>
      </w:r>
      <w:r w:rsidR="00040BB1">
        <w:rPr>
          <w:rFonts w:ascii="Times New Roman" w:eastAsia="Times New Roman" w:hAnsi="Times New Roman" w:cs="Times New Roman"/>
          <w:color w:val="000000"/>
          <w:sz w:val="26"/>
          <w:szCs w:val="26"/>
        </w:rPr>
        <w:t>,</w:t>
      </w:r>
      <w:r w:rsidRPr="002A1840">
        <w:rPr>
          <w:rFonts w:ascii="Times New Roman" w:eastAsia="Times New Roman" w:hAnsi="Times New Roman" w:cs="Times New Roman"/>
          <w:color w:val="000000"/>
          <w:sz w:val="26"/>
          <w:szCs w:val="26"/>
        </w:rPr>
        <w:t xml:space="preserve"> 732 A.2d 616,</w:t>
      </w:r>
      <w:r w:rsidR="00040BB1">
        <w:rPr>
          <w:rFonts w:ascii="Times New Roman" w:eastAsia="Times New Roman" w:hAnsi="Times New Roman" w:cs="Times New Roman"/>
          <w:color w:val="000000"/>
          <w:sz w:val="26"/>
          <w:szCs w:val="26"/>
        </w:rPr>
        <w:t xml:space="preserve"> </w:t>
      </w:r>
      <w:r w:rsidRPr="002A1840">
        <w:rPr>
          <w:rFonts w:ascii="Times New Roman" w:eastAsia="Times New Roman" w:hAnsi="Times New Roman" w:cs="Times New Roman"/>
          <w:color w:val="000000"/>
          <w:sz w:val="26"/>
          <w:szCs w:val="26"/>
        </w:rPr>
        <w:t xml:space="preserve">557 Pa. 631, </w:t>
      </w:r>
      <w:r w:rsidRPr="00040BB1">
        <w:rPr>
          <w:rFonts w:ascii="Times New Roman" w:eastAsia="Times New Roman" w:hAnsi="Times New Roman" w:cs="Times New Roman"/>
          <w:i/>
          <w:iCs/>
          <w:color w:val="000000"/>
          <w:sz w:val="26"/>
          <w:szCs w:val="26"/>
        </w:rPr>
        <w:t>reversed</w:t>
      </w:r>
      <w:r w:rsidR="00040BB1">
        <w:rPr>
          <w:rFonts w:ascii="Times New Roman" w:eastAsia="Times New Roman" w:hAnsi="Times New Roman" w:cs="Times New Roman"/>
          <w:color w:val="000000"/>
          <w:sz w:val="26"/>
          <w:szCs w:val="26"/>
        </w:rPr>
        <w:t>,</w:t>
      </w:r>
      <w:r w:rsidRPr="002A1840">
        <w:rPr>
          <w:rFonts w:ascii="Times New Roman" w:eastAsia="Times New Roman" w:hAnsi="Times New Roman" w:cs="Times New Roman"/>
          <w:color w:val="000000"/>
          <w:sz w:val="26"/>
          <w:szCs w:val="26"/>
        </w:rPr>
        <w:t xml:space="preserve"> 737 A.2d 201, 558 Pa. 290 (</w:t>
      </w:r>
      <w:r w:rsidRPr="002A1840">
        <w:rPr>
          <w:rFonts w:ascii="Times New Roman" w:eastAsia="Times New Roman" w:hAnsi="Times New Roman" w:cs="Times New Roman"/>
          <w:i/>
          <w:iCs/>
          <w:color w:val="000000"/>
          <w:sz w:val="26"/>
          <w:szCs w:val="26"/>
        </w:rPr>
        <w:t>AT&amp;T</w:t>
      </w:r>
      <w:r w:rsidRPr="002A1840">
        <w:rPr>
          <w:rFonts w:ascii="Times New Roman" w:eastAsia="Times New Roman" w:hAnsi="Times New Roman" w:cs="Times New Roman"/>
          <w:color w:val="000000"/>
          <w:sz w:val="26"/>
          <w:szCs w:val="26"/>
        </w:rPr>
        <w:t xml:space="preserve">).  </w:t>
      </w:r>
    </w:p>
    <w:p w14:paraId="01AB5793" w14:textId="77777777" w:rsidR="002A1840" w:rsidRPr="002A1840" w:rsidRDefault="002A1840" w:rsidP="002A1840">
      <w:pPr>
        <w:spacing w:after="0" w:line="360" w:lineRule="auto"/>
        <w:rPr>
          <w:rFonts w:ascii="Times New Roman" w:eastAsia="Times New Roman" w:hAnsi="Times New Roman" w:cs="Times New Roman"/>
          <w:color w:val="000000"/>
          <w:sz w:val="26"/>
          <w:szCs w:val="26"/>
        </w:rPr>
      </w:pPr>
    </w:p>
    <w:p w14:paraId="254B50EF" w14:textId="2D446C29"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r w:rsidRPr="002A1840">
        <w:rPr>
          <w:rFonts w:ascii="Times New Roman" w:eastAsia="Times New Roman" w:hAnsi="Times New Roman" w:cs="Times New Roman"/>
          <w:color w:val="000000"/>
          <w:sz w:val="26"/>
          <w:szCs w:val="26"/>
        </w:rPr>
        <w:t xml:space="preserve">In </w:t>
      </w:r>
      <w:r w:rsidRPr="002A1840">
        <w:rPr>
          <w:rFonts w:ascii="Times New Roman" w:eastAsia="Times New Roman" w:hAnsi="Times New Roman" w:cs="Times New Roman"/>
          <w:i/>
          <w:iCs/>
          <w:color w:val="000000"/>
          <w:sz w:val="26"/>
          <w:szCs w:val="26"/>
        </w:rPr>
        <w:t>AT&amp;T</w:t>
      </w:r>
      <w:r w:rsidRPr="002A1840">
        <w:rPr>
          <w:rFonts w:ascii="Times New Roman" w:eastAsia="Times New Roman" w:hAnsi="Times New Roman" w:cs="Times New Roman"/>
          <w:color w:val="000000"/>
          <w:sz w:val="26"/>
          <w:szCs w:val="26"/>
        </w:rPr>
        <w:t xml:space="preserve">, the Supreme Court reversed the lower Court’s holding that the Commission was without jurisdiction to contradict the terms of a contract between a utility and another entity, based upon a factual finding that the contract had not been fully executed where the sum due under the contract had not been paid.  </w:t>
      </w:r>
      <w:r w:rsidRPr="002A1840">
        <w:rPr>
          <w:rFonts w:ascii="Times New Roman" w:eastAsia="Times New Roman" w:hAnsi="Times New Roman" w:cs="Times New Roman"/>
          <w:i/>
          <w:iCs/>
          <w:color w:val="000000"/>
          <w:sz w:val="26"/>
          <w:szCs w:val="26"/>
        </w:rPr>
        <w:t>AT&amp;T</w:t>
      </w:r>
      <w:r w:rsidRPr="002A1840">
        <w:rPr>
          <w:rFonts w:ascii="Times New Roman" w:eastAsia="Times New Roman" w:hAnsi="Times New Roman" w:cs="Times New Roman"/>
          <w:color w:val="000000"/>
          <w:sz w:val="26"/>
          <w:szCs w:val="26"/>
        </w:rPr>
        <w:t xml:space="preserve"> at 209.  There, the question of Section 508’s application arose in the context of whether a prior agreement between a utility and another entity regarding cost allocations operated to deprive the Commission of its jurisdiction to allocate costs under Section</w:t>
      </w:r>
      <w:r w:rsidR="00040BB1">
        <w:rPr>
          <w:rFonts w:ascii="Times New Roman" w:eastAsia="Times New Roman" w:hAnsi="Times New Roman" w:cs="Times New Roman"/>
          <w:color w:val="000000"/>
          <w:sz w:val="26"/>
          <w:szCs w:val="26"/>
        </w:rPr>
        <w:t> </w:t>
      </w:r>
      <w:r w:rsidRPr="002A1840">
        <w:rPr>
          <w:rFonts w:ascii="Times New Roman" w:eastAsia="Times New Roman" w:hAnsi="Times New Roman" w:cs="Times New Roman"/>
          <w:color w:val="000000"/>
          <w:sz w:val="26"/>
          <w:szCs w:val="26"/>
        </w:rPr>
        <w:t xml:space="preserve">2704(a)(pertaining to cost allocations).  The Supreme Court’s analysis in </w:t>
      </w:r>
      <w:r w:rsidRPr="002A1840">
        <w:rPr>
          <w:rFonts w:ascii="Times New Roman" w:eastAsia="Times New Roman" w:hAnsi="Times New Roman" w:cs="Times New Roman"/>
          <w:i/>
          <w:iCs/>
          <w:color w:val="000000"/>
          <w:sz w:val="26"/>
          <w:szCs w:val="26"/>
        </w:rPr>
        <w:t>AT&amp;T</w:t>
      </w:r>
      <w:r w:rsidRPr="002A1840">
        <w:rPr>
          <w:rFonts w:ascii="Times New Roman" w:eastAsia="Times New Roman" w:hAnsi="Times New Roman" w:cs="Times New Roman"/>
          <w:color w:val="000000"/>
          <w:sz w:val="26"/>
          <w:szCs w:val="26"/>
        </w:rPr>
        <w:t xml:space="preserve"> established that where the contract in question has not been fully executed, there is no question that the Commission retains jurisdiction to alter or abrogate the terms of the contract where the terms are averse to the public interest.  </w:t>
      </w:r>
      <w:r w:rsidRPr="002A1840">
        <w:rPr>
          <w:rFonts w:ascii="Times New Roman" w:eastAsia="Times New Roman" w:hAnsi="Times New Roman" w:cs="Times New Roman"/>
          <w:i/>
          <w:iCs/>
          <w:color w:val="000000"/>
          <w:sz w:val="26"/>
          <w:szCs w:val="26"/>
        </w:rPr>
        <w:t>Id</w:t>
      </w:r>
      <w:r w:rsidRPr="002A1840">
        <w:rPr>
          <w:rFonts w:ascii="Times New Roman" w:eastAsia="Times New Roman" w:hAnsi="Times New Roman" w:cs="Times New Roman"/>
          <w:color w:val="000000"/>
          <w:sz w:val="26"/>
          <w:szCs w:val="26"/>
        </w:rPr>
        <w:t>.</w:t>
      </w:r>
      <w:r w:rsidR="00C95BC1">
        <w:rPr>
          <w:rFonts w:ascii="Times New Roman" w:eastAsia="Times New Roman" w:hAnsi="Times New Roman" w:cs="Times New Roman"/>
          <w:color w:val="000000"/>
          <w:sz w:val="26"/>
          <w:szCs w:val="26"/>
        </w:rPr>
        <w:t xml:space="preserve">  </w:t>
      </w:r>
    </w:p>
    <w:p w14:paraId="556CB2F2" w14:textId="77777777"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p>
    <w:p w14:paraId="69235209" w14:textId="77777777" w:rsidR="005C75DF" w:rsidRDefault="002A1840" w:rsidP="002A1840">
      <w:pPr>
        <w:spacing w:after="0" w:line="360" w:lineRule="auto"/>
        <w:ind w:firstLine="1440"/>
        <w:rPr>
          <w:rFonts w:ascii="Times New Roman" w:eastAsia="Times New Roman" w:hAnsi="Times New Roman" w:cs="Times New Roman"/>
          <w:color w:val="000000"/>
          <w:sz w:val="26"/>
          <w:szCs w:val="26"/>
        </w:rPr>
      </w:pPr>
      <w:r w:rsidRPr="002A1840">
        <w:rPr>
          <w:rFonts w:ascii="Times New Roman" w:eastAsia="Times New Roman" w:hAnsi="Times New Roman" w:cs="Times New Roman"/>
          <w:color w:val="000000"/>
          <w:sz w:val="26"/>
          <w:szCs w:val="26"/>
        </w:rPr>
        <w:t xml:space="preserve">Where, as here, the terms of the </w:t>
      </w:r>
      <w:r w:rsidR="006A0608">
        <w:rPr>
          <w:rFonts w:ascii="Times New Roman" w:eastAsia="Times New Roman" w:hAnsi="Times New Roman" w:cs="Times New Roman"/>
          <w:color w:val="000000"/>
          <w:sz w:val="26"/>
          <w:szCs w:val="26"/>
        </w:rPr>
        <w:t>S</w:t>
      </w:r>
      <w:r w:rsidRPr="002A1840">
        <w:rPr>
          <w:rFonts w:ascii="Times New Roman" w:eastAsia="Times New Roman" w:hAnsi="Times New Roman" w:cs="Times New Roman"/>
          <w:color w:val="000000"/>
          <w:sz w:val="26"/>
          <w:szCs w:val="26"/>
        </w:rPr>
        <w:t xml:space="preserve">ervice </w:t>
      </w:r>
      <w:r w:rsidR="006A0608">
        <w:rPr>
          <w:rFonts w:ascii="Times New Roman" w:eastAsia="Times New Roman" w:hAnsi="Times New Roman" w:cs="Times New Roman"/>
          <w:color w:val="000000"/>
          <w:sz w:val="26"/>
          <w:szCs w:val="26"/>
        </w:rPr>
        <w:t>A</w:t>
      </w:r>
      <w:r w:rsidRPr="002A1840">
        <w:rPr>
          <w:rFonts w:ascii="Times New Roman" w:eastAsia="Times New Roman" w:hAnsi="Times New Roman" w:cs="Times New Roman"/>
          <w:color w:val="000000"/>
          <w:sz w:val="26"/>
          <w:szCs w:val="26"/>
        </w:rPr>
        <w:t xml:space="preserve">greements between Middlesex and Twin Lakes were required to be, and were in fact, submitted by Twin Lakes in this </w:t>
      </w:r>
    </w:p>
    <w:p w14:paraId="6E154DAD" w14:textId="2D77D496" w:rsidR="005C75DF" w:rsidRDefault="005C75DF" w:rsidP="002A1840">
      <w:pPr>
        <w:spacing w:after="0" w:line="360" w:lineRule="auto"/>
        <w:ind w:firstLine="14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14:paraId="4619E1C1" w14:textId="1CFE3934" w:rsidR="002A1840" w:rsidRPr="002A1840" w:rsidRDefault="002A1840" w:rsidP="005C75DF">
      <w:pPr>
        <w:spacing w:after="0" w:line="360" w:lineRule="auto"/>
        <w:rPr>
          <w:rFonts w:ascii="Times New Roman" w:eastAsia="Times New Roman" w:hAnsi="Times New Roman" w:cs="Times New Roman"/>
          <w:color w:val="000000"/>
          <w:sz w:val="26"/>
          <w:szCs w:val="26"/>
        </w:rPr>
      </w:pPr>
      <w:r w:rsidRPr="002A1840">
        <w:rPr>
          <w:rFonts w:ascii="Times New Roman" w:eastAsia="Times New Roman" w:hAnsi="Times New Roman" w:cs="Times New Roman"/>
          <w:color w:val="000000"/>
          <w:sz w:val="26"/>
          <w:szCs w:val="26"/>
        </w:rPr>
        <w:lastRenderedPageBreak/>
        <w:t>proceeding for Commission approval,</w:t>
      </w:r>
      <w:r w:rsidRPr="002A1840">
        <w:rPr>
          <w:rFonts w:ascii="Times New Roman" w:eastAsia="Times New Roman" w:hAnsi="Times New Roman" w:cs="Times New Roman"/>
          <w:color w:val="000000"/>
          <w:sz w:val="26"/>
          <w:szCs w:val="26"/>
          <w:vertAlign w:val="superscript"/>
        </w:rPr>
        <w:footnoteReference w:id="7"/>
      </w:r>
      <w:r w:rsidRPr="002A1840">
        <w:rPr>
          <w:rFonts w:ascii="Times New Roman" w:eastAsia="Times New Roman" w:hAnsi="Times New Roman" w:cs="Times New Roman"/>
          <w:color w:val="000000"/>
          <w:sz w:val="26"/>
          <w:szCs w:val="26"/>
        </w:rPr>
        <w:t xml:space="preserve"> there is no question that the Commission has authority to approve, deny, </w:t>
      </w:r>
      <w:proofErr w:type="gramStart"/>
      <w:r w:rsidRPr="002A1840">
        <w:rPr>
          <w:rFonts w:ascii="Times New Roman" w:eastAsia="Times New Roman" w:hAnsi="Times New Roman" w:cs="Times New Roman"/>
          <w:color w:val="000000"/>
          <w:sz w:val="26"/>
          <w:szCs w:val="26"/>
        </w:rPr>
        <w:t>alter</w:t>
      </w:r>
      <w:proofErr w:type="gramEnd"/>
      <w:r w:rsidRPr="002A1840">
        <w:rPr>
          <w:rFonts w:ascii="Times New Roman" w:eastAsia="Times New Roman" w:hAnsi="Times New Roman" w:cs="Times New Roman"/>
          <w:color w:val="000000"/>
          <w:sz w:val="26"/>
          <w:szCs w:val="26"/>
        </w:rPr>
        <w:t xml:space="preserve"> or abrogate the Service Agreements between Middlesex and Twin Lakes under Section 508.  </w:t>
      </w:r>
      <w:r w:rsidRPr="002A1840">
        <w:rPr>
          <w:rFonts w:ascii="Times New Roman" w:hAnsi="Times New Roman" w:cs="Times New Roman"/>
          <w:sz w:val="26"/>
          <w:szCs w:val="26"/>
        </w:rPr>
        <w:t>66 Pa. C.S. § 508</w:t>
      </w:r>
      <w:r w:rsidR="005A255F">
        <w:rPr>
          <w:rFonts w:ascii="Times New Roman" w:hAnsi="Times New Roman" w:cs="Times New Roman"/>
          <w:sz w:val="26"/>
          <w:szCs w:val="26"/>
        </w:rPr>
        <w:t>.</w:t>
      </w:r>
      <w:r w:rsidRPr="002A1840">
        <w:rPr>
          <w:rFonts w:ascii="Times New Roman" w:eastAsia="Times New Roman" w:hAnsi="Times New Roman" w:cs="Times New Roman"/>
          <w:color w:val="000000"/>
          <w:sz w:val="26"/>
          <w:szCs w:val="26"/>
        </w:rPr>
        <w:t xml:space="preserve"> </w:t>
      </w:r>
    </w:p>
    <w:p w14:paraId="69F67BE8" w14:textId="2E251CB6" w:rsidR="002A1840" w:rsidRPr="002A1840" w:rsidRDefault="002A1840" w:rsidP="002A1840">
      <w:pPr>
        <w:spacing w:after="0" w:line="360" w:lineRule="auto"/>
        <w:ind w:firstLine="1440"/>
        <w:rPr>
          <w:rFonts w:ascii="Times New Roman" w:eastAsia="Times New Roman" w:hAnsi="Times New Roman" w:cs="Times New Roman"/>
          <w:color w:val="000000"/>
          <w:sz w:val="26"/>
          <w:szCs w:val="26"/>
        </w:rPr>
      </w:pPr>
    </w:p>
    <w:p w14:paraId="2FFC6878" w14:textId="52365C60" w:rsidR="002A1840" w:rsidRPr="002A1840" w:rsidRDefault="002A1840" w:rsidP="002A1840">
      <w:pPr>
        <w:spacing w:after="0" w:line="360" w:lineRule="auto"/>
        <w:ind w:firstLine="1440"/>
        <w:rPr>
          <w:rFonts w:ascii="Times New Roman" w:hAnsi="Times New Roman" w:cs="Times New Roman"/>
          <w:sz w:val="26"/>
          <w:szCs w:val="26"/>
        </w:rPr>
      </w:pPr>
      <w:r w:rsidRPr="002A1840">
        <w:rPr>
          <w:rFonts w:ascii="Times New Roman" w:hAnsi="Times New Roman" w:cs="Times New Roman"/>
          <w:sz w:val="26"/>
          <w:szCs w:val="26"/>
        </w:rPr>
        <w:t xml:space="preserve">The Commission’s authority over any agreement between Middlesex and Twin Lakes is further established under Chapter 21 of the Code (pertaining Relations with affiliated interest).  As a wholly owned subsidiary of Middlesex, Twin Lakes is an affiliated interest of Middlesex, as defined under Chapter 21.  </w:t>
      </w:r>
      <w:r w:rsidRPr="002A1840">
        <w:rPr>
          <w:rFonts w:ascii="Times New Roman" w:hAnsi="Times New Roman" w:cs="Times New Roman"/>
          <w:i/>
          <w:iCs/>
          <w:sz w:val="26"/>
          <w:szCs w:val="26"/>
        </w:rPr>
        <w:t>See</w:t>
      </w:r>
      <w:r w:rsidRPr="002A1840">
        <w:rPr>
          <w:rFonts w:ascii="Times New Roman" w:hAnsi="Times New Roman" w:cs="Times New Roman"/>
          <w:sz w:val="26"/>
          <w:szCs w:val="26"/>
        </w:rPr>
        <w:t xml:space="preserve"> 66 Pa. C.S. § 2101</w:t>
      </w:r>
      <w:r w:rsidR="00593F16">
        <w:rPr>
          <w:rFonts w:ascii="Times New Roman" w:hAnsi="Times New Roman" w:cs="Times New Roman"/>
          <w:sz w:val="26"/>
          <w:szCs w:val="26"/>
        </w:rPr>
        <w:t xml:space="preserve"> </w:t>
      </w:r>
      <w:r w:rsidRPr="002A1840">
        <w:rPr>
          <w:rFonts w:ascii="Times New Roman" w:hAnsi="Times New Roman" w:cs="Times New Roman"/>
          <w:sz w:val="26"/>
          <w:szCs w:val="26"/>
        </w:rPr>
        <w:t xml:space="preserve">(definition of affiliated interest).  The Service Agreements between Middlesex and Twin Lakes constitute contracts which are subject to Commission approval under Section 2102 of the Code (pertaining approval of contracts with affiliated interests).  The subsequent </w:t>
      </w:r>
      <w:r w:rsidRPr="002A1840">
        <w:rPr>
          <w:rFonts w:ascii="Times New Roman" w:hAnsi="Times New Roman" w:cs="Times New Roman"/>
          <w:i/>
          <w:iCs/>
          <w:sz w:val="26"/>
          <w:szCs w:val="26"/>
        </w:rPr>
        <w:t>June 1 Notice of Termination Letter</w:t>
      </w:r>
      <w:r w:rsidRPr="002A1840">
        <w:rPr>
          <w:rFonts w:ascii="Times New Roman" w:hAnsi="Times New Roman" w:cs="Times New Roman"/>
          <w:sz w:val="26"/>
          <w:szCs w:val="26"/>
        </w:rPr>
        <w:t xml:space="preserve"> from Middlesex to Twin Lakes, was an attempt by Middlesex to modify the existing Service Agreement, over which the Commission has authority to approve/modify or abrogate under Section 2103 of the Code (pertaining to jurisdiction over amendment of contracts).  Finally, under Section 2105 of the Code (pertaining to contracts in violation of this part as voidable affiliated interest agreements), any service agreement or attempt to modify such agreements between a certificated utility and an affiliated interest, including, </w:t>
      </w:r>
      <w:r w:rsidRPr="002A1840">
        <w:rPr>
          <w:rFonts w:ascii="Times New Roman" w:hAnsi="Times New Roman" w:cs="Times New Roman"/>
          <w:i/>
          <w:iCs/>
          <w:sz w:val="26"/>
          <w:szCs w:val="26"/>
        </w:rPr>
        <w:t>inter alia</w:t>
      </w:r>
      <w:r w:rsidRPr="002A1840">
        <w:rPr>
          <w:rFonts w:ascii="Times New Roman" w:hAnsi="Times New Roman" w:cs="Times New Roman"/>
          <w:sz w:val="26"/>
          <w:szCs w:val="26"/>
        </w:rPr>
        <w:t xml:space="preserve">, a wholly owned subsidiary, are voidable if the Commission finds the terms or modification to be in violation of any provision of the Code or Commission </w:t>
      </w:r>
      <w:r w:rsidR="00231F47">
        <w:rPr>
          <w:rFonts w:ascii="Times New Roman" w:hAnsi="Times New Roman" w:cs="Times New Roman"/>
          <w:sz w:val="26"/>
          <w:szCs w:val="26"/>
        </w:rPr>
        <w:t>R</w:t>
      </w:r>
      <w:r w:rsidRPr="002A1840">
        <w:rPr>
          <w:rFonts w:ascii="Times New Roman" w:hAnsi="Times New Roman" w:cs="Times New Roman"/>
          <w:sz w:val="26"/>
          <w:szCs w:val="26"/>
        </w:rPr>
        <w:t xml:space="preserve">egulations.  Therefore, pursuant to Commission authority granted under Chapter 21, any service agreement between Middlesex and Twin Lakes, or attempt </w:t>
      </w:r>
      <w:r w:rsidRPr="002A1840">
        <w:rPr>
          <w:rFonts w:ascii="Times New Roman" w:hAnsi="Times New Roman" w:cs="Times New Roman"/>
          <w:sz w:val="26"/>
          <w:szCs w:val="26"/>
        </w:rPr>
        <w:lastRenderedPageBreak/>
        <w:t xml:space="preserve">to modify the same, is voidable where the Commission finds the terms or modification to violate any provision of the Code or regulations.  </w:t>
      </w:r>
    </w:p>
    <w:p w14:paraId="0140A0BC" w14:textId="77777777" w:rsidR="002A1840" w:rsidRPr="002A1840" w:rsidRDefault="002A1840" w:rsidP="002A1840">
      <w:pPr>
        <w:spacing w:after="0" w:line="360" w:lineRule="auto"/>
        <w:rPr>
          <w:rFonts w:ascii="Times New Roman" w:hAnsi="Times New Roman" w:cs="Times New Roman"/>
          <w:sz w:val="26"/>
          <w:szCs w:val="26"/>
        </w:rPr>
      </w:pPr>
    </w:p>
    <w:p w14:paraId="2762F74F" w14:textId="5FE543D9" w:rsidR="002A1840" w:rsidRPr="002A1840" w:rsidRDefault="002A1840" w:rsidP="002A1840">
      <w:pPr>
        <w:spacing w:after="0" w:line="360" w:lineRule="auto"/>
        <w:ind w:firstLine="1440"/>
        <w:rPr>
          <w:rFonts w:ascii="Times New Roman" w:hAnsi="Times New Roman" w:cs="Times New Roman"/>
          <w:sz w:val="26"/>
          <w:szCs w:val="26"/>
        </w:rPr>
      </w:pPr>
      <w:r w:rsidRPr="002A1840">
        <w:rPr>
          <w:rFonts w:ascii="Times New Roman" w:hAnsi="Times New Roman" w:cs="Times New Roman"/>
          <w:sz w:val="26"/>
          <w:szCs w:val="26"/>
        </w:rPr>
        <w:t xml:space="preserve">Here, Middlesex </w:t>
      </w:r>
      <w:r w:rsidR="004E56CD">
        <w:rPr>
          <w:rFonts w:ascii="Times New Roman" w:hAnsi="Times New Roman" w:cs="Times New Roman"/>
          <w:sz w:val="26"/>
          <w:szCs w:val="26"/>
        </w:rPr>
        <w:t>and</w:t>
      </w:r>
      <w:r w:rsidRPr="002A1840">
        <w:rPr>
          <w:rFonts w:ascii="Times New Roman" w:hAnsi="Times New Roman" w:cs="Times New Roman"/>
          <w:sz w:val="26"/>
          <w:szCs w:val="26"/>
        </w:rPr>
        <w:t xml:space="preserve"> Twin Lakes executed Service Agreements under which Middlesex provided Twin Lakes essential support, including, </w:t>
      </w:r>
      <w:r w:rsidRPr="002A1840">
        <w:rPr>
          <w:rFonts w:ascii="Times New Roman" w:hAnsi="Times New Roman" w:cs="Times New Roman"/>
          <w:i/>
          <w:iCs/>
          <w:sz w:val="26"/>
          <w:szCs w:val="26"/>
        </w:rPr>
        <w:t>inter alia</w:t>
      </w:r>
      <w:r w:rsidRPr="002A1840">
        <w:rPr>
          <w:rFonts w:ascii="Times New Roman" w:hAnsi="Times New Roman" w:cs="Times New Roman"/>
          <w:sz w:val="26"/>
          <w:szCs w:val="26"/>
        </w:rPr>
        <w:t xml:space="preserve">, financial support.  To the extent the </w:t>
      </w:r>
      <w:r w:rsidRPr="002A1840">
        <w:rPr>
          <w:rFonts w:ascii="Times New Roman" w:hAnsi="Times New Roman" w:cs="Times New Roman"/>
          <w:i/>
          <w:iCs/>
          <w:sz w:val="26"/>
          <w:szCs w:val="26"/>
        </w:rPr>
        <w:t>June 1 Notice of Termination Letter</w:t>
      </w:r>
      <w:r w:rsidRPr="002A1840">
        <w:rPr>
          <w:rFonts w:ascii="Times New Roman" w:hAnsi="Times New Roman" w:cs="Times New Roman"/>
          <w:sz w:val="26"/>
          <w:szCs w:val="26"/>
        </w:rPr>
        <w:t xml:space="preserve">, from Middlesex to Twin Lakes attempts to modify/terminate the existing Service Agreement between the two, we find it to be void, as an attempt to unilaterally abandon service in violation of the provisions of the Code, requiring Middlesex as the certificated public utility to retain its duties to provide safe and reliable water service unless and until the Commission orders that the certificate is transferred or abandoned.  As noted by I&amp;E and the ALJ, a certificate of public convenience is neither transferable nor may the service offered under it be abandoned unless by Commission order approving such transfer or abandonment of service.  R.D. at 28, 30.  Therefore, any </w:t>
      </w:r>
      <w:r w:rsidR="00E77EAC">
        <w:rPr>
          <w:rFonts w:ascii="Times New Roman" w:hAnsi="Times New Roman" w:cs="Times New Roman"/>
          <w:sz w:val="26"/>
          <w:szCs w:val="26"/>
        </w:rPr>
        <w:t>s</w:t>
      </w:r>
      <w:r w:rsidRPr="002A1840">
        <w:rPr>
          <w:rFonts w:ascii="Times New Roman" w:hAnsi="Times New Roman" w:cs="Times New Roman"/>
          <w:sz w:val="26"/>
          <w:szCs w:val="26"/>
        </w:rPr>
        <w:t xml:space="preserve">ervice </w:t>
      </w:r>
      <w:r w:rsidR="00E77EAC">
        <w:rPr>
          <w:rFonts w:ascii="Times New Roman" w:hAnsi="Times New Roman" w:cs="Times New Roman"/>
          <w:sz w:val="26"/>
          <w:szCs w:val="26"/>
        </w:rPr>
        <w:t>a</w:t>
      </w:r>
      <w:r w:rsidRPr="002A1840">
        <w:rPr>
          <w:rFonts w:ascii="Times New Roman" w:hAnsi="Times New Roman" w:cs="Times New Roman"/>
          <w:sz w:val="26"/>
          <w:szCs w:val="26"/>
        </w:rPr>
        <w:t xml:space="preserve">greement between Middlesex and Twin Lakes, and any attempt by Middlesex to unilaterally modify the agreement by termination </w:t>
      </w:r>
      <w:r w:rsidRPr="002A1840">
        <w:rPr>
          <w:rFonts w:ascii="Times New Roman" w:hAnsi="Times New Roman" w:cs="Times New Roman"/>
          <w:i/>
          <w:iCs/>
          <w:sz w:val="26"/>
          <w:szCs w:val="26"/>
        </w:rPr>
        <w:t>cannot</w:t>
      </w:r>
      <w:r w:rsidRPr="002A1840">
        <w:rPr>
          <w:rFonts w:ascii="Times New Roman" w:hAnsi="Times New Roman" w:cs="Times New Roman"/>
          <w:sz w:val="26"/>
          <w:szCs w:val="26"/>
        </w:rPr>
        <w:t xml:space="preserve"> be relied upon as means for Middlesex to abandon service or otherwise, effectively “transfer” its C</w:t>
      </w:r>
      <w:r w:rsidR="007E1EFB">
        <w:rPr>
          <w:rFonts w:ascii="Times New Roman" w:hAnsi="Times New Roman" w:cs="Times New Roman"/>
          <w:sz w:val="26"/>
          <w:szCs w:val="26"/>
        </w:rPr>
        <w:t>PC</w:t>
      </w:r>
      <w:r w:rsidRPr="002A1840">
        <w:rPr>
          <w:rFonts w:ascii="Times New Roman" w:hAnsi="Times New Roman" w:cs="Times New Roman"/>
          <w:sz w:val="26"/>
          <w:szCs w:val="26"/>
        </w:rPr>
        <w:t xml:space="preserve"> to Twin Lakes without Commission approval. </w:t>
      </w:r>
    </w:p>
    <w:p w14:paraId="1AB64F38" w14:textId="31CBB287" w:rsidR="002A1840" w:rsidRPr="002A1840" w:rsidRDefault="002A1840" w:rsidP="002A1840">
      <w:pPr>
        <w:spacing w:after="0" w:line="360" w:lineRule="auto"/>
        <w:ind w:firstLine="1440"/>
        <w:rPr>
          <w:rFonts w:ascii="Times New Roman" w:hAnsi="Times New Roman" w:cs="Times New Roman"/>
          <w:sz w:val="26"/>
          <w:szCs w:val="26"/>
        </w:rPr>
      </w:pPr>
    </w:p>
    <w:p w14:paraId="5F09DB31" w14:textId="38D02BB9" w:rsidR="002A1840" w:rsidRPr="002A1840" w:rsidRDefault="002A1840" w:rsidP="002A1840">
      <w:pPr>
        <w:spacing w:after="0" w:line="360" w:lineRule="auto"/>
        <w:ind w:firstLine="1440"/>
        <w:rPr>
          <w:rFonts w:ascii="Times New Roman" w:hAnsi="Times New Roman" w:cs="Times New Roman"/>
          <w:sz w:val="26"/>
          <w:szCs w:val="26"/>
        </w:rPr>
      </w:pPr>
      <w:r w:rsidRPr="002A1840">
        <w:rPr>
          <w:rFonts w:ascii="Times New Roman" w:hAnsi="Times New Roman" w:cs="Times New Roman"/>
          <w:sz w:val="26"/>
          <w:szCs w:val="26"/>
        </w:rPr>
        <w:t xml:space="preserve">Further, the unilateral abandonment of service by Middlesex would harm the public interest, since doing so would jeopardize public health and safety and render the provision of the necessity of water service to Twin Lakes’ customers impossible.  Indeed, the actions of Middlesex in attempting to terminate the service agreement triggered the present abandonment proceeding by Twin Lakes’ Petition and precipitated the necessity of a receivership to ensure continuing water service to the customers to which Middlesex was obligated.  By attempting to modify the Service Agreement by terminating it, Middlesex was effectively attempting to abandon its duty to provide water service without seeking prior Commission approval to do so, in violation of </w:t>
      </w:r>
      <w:r w:rsidR="004E56CD">
        <w:rPr>
          <w:rFonts w:ascii="Times New Roman" w:hAnsi="Times New Roman" w:cs="Times New Roman"/>
          <w:sz w:val="26"/>
          <w:szCs w:val="26"/>
        </w:rPr>
        <w:t xml:space="preserve">the </w:t>
      </w:r>
      <w:r w:rsidRPr="002A1840">
        <w:rPr>
          <w:rFonts w:ascii="Times New Roman" w:hAnsi="Times New Roman" w:cs="Times New Roman"/>
          <w:sz w:val="26"/>
          <w:szCs w:val="26"/>
        </w:rPr>
        <w:t xml:space="preserve">requirement to seek permission to abandon service.  We expressly reject the course of action taken by Middlesex, which precipitated the present proceeding.  </w:t>
      </w:r>
    </w:p>
    <w:p w14:paraId="3B0936E8" w14:textId="455B47A0" w:rsidR="002A1840" w:rsidRPr="002A1840" w:rsidRDefault="002A1840" w:rsidP="002A1840">
      <w:pPr>
        <w:spacing w:after="0" w:line="360" w:lineRule="auto"/>
        <w:ind w:firstLine="1440"/>
        <w:rPr>
          <w:rFonts w:ascii="Times New Roman" w:hAnsi="Times New Roman" w:cs="Times New Roman"/>
          <w:sz w:val="26"/>
          <w:szCs w:val="26"/>
          <w:u w:val="single"/>
        </w:rPr>
      </w:pPr>
      <w:r w:rsidRPr="002A1840">
        <w:rPr>
          <w:rFonts w:ascii="Times New Roman" w:hAnsi="Times New Roman" w:cs="Times New Roman"/>
          <w:sz w:val="26"/>
          <w:szCs w:val="26"/>
        </w:rPr>
        <w:lastRenderedPageBreak/>
        <w:t xml:space="preserve">In summary, </w:t>
      </w:r>
      <w:bookmarkStart w:id="20" w:name="_Hlk86923846"/>
      <w:r w:rsidRPr="002A1840">
        <w:rPr>
          <w:rFonts w:ascii="Times New Roman" w:hAnsi="Times New Roman" w:cs="Times New Roman"/>
          <w:sz w:val="26"/>
          <w:szCs w:val="26"/>
        </w:rPr>
        <w:t>to the extent th</w:t>
      </w:r>
      <w:r w:rsidR="00832BE1">
        <w:rPr>
          <w:rFonts w:ascii="Times New Roman" w:hAnsi="Times New Roman" w:cs="Times New Roman"/>
          <w:sz w:val="26"/>
          <w:szCs w:val="26"/>
        </w:rPr>
        <w:t>at</w:t>
      </w:r>
      <w:r w:rsidRPr="002A1840">
        <w:rPr>
          <w:rFonts w:ascii="Times New Roman" w:hAnsi="Times New Roman" w:cs="Times New Roman"/>
          <w:sz w:val="26"/>
          <w:szCs w:val="26"/>
        </w:rPr>
        <w:t xml:space="preserve"> any </w:t>
      </w:r>
      <w:r w:rsidR="00832BE1">
        <w:rPr>
          <w:rFonts w:ascii="Times New Roman" w:hAnsi="Times New Roman" w:cs="Times New Roman"/>
          <w:sz w:val="26"/>
          <w:szCs w:val="26"/>
        </w:rPr>
        <w:t>s</w:t>
      </w:r>
      <w:r w:rsidRPr="002A1840">
        <w:rPr>
          <w:rFonts w:ascii="Times New Roman" w:hAnsi="Times New Roman" w:cs="Times New Roman"/>
          <w:sz w:val="26"/>
          <w:szCs w:val="26"/>
        </w:rPr>
        <w:t xml:space="preserve">ervice </w:t>
      </w:r>
      <w:r w:rsidR="00832BE1">
        <w:rPr>
          <w:rFonts w:ascii="Times New Roman" w:hAnsi="Times New Roman" w:cs="Times New Roman"/>
          <w:sz w:val="26"/>
          <w:szCs w:val="26"/>
        </w:rPr>
        <w:t>a</w:t>
      </w:r>
      <w:r w:rsidRPr="002A1840">
        <w:rPr>
          <w:rFonts w:ascii="Times New Roman" w:hAnsi="Times New Roman" w:cs="Times New Roman"/>
          <w:sz w:val="26"/>
          <w:szCs w:val="26"/>
        </w:rPr>
        <w:t xml:space="preserve">greement executed between Middlesex and Twin Lakes , including, </w:t>
      </w:r>
      <w:r w:rsidRPr="002A1840">
        <w:rPr>
          <w:rFonts w:ascii="Times New Roman" w:hAnsi="Times New Roman" w:cs="Times New Roman"/>
          <w:i/>
          <w:iCs/>
          <w:sz w:val="26"/>
          <w:szCs w:val="26"/>
        </w:rPr>
        <w:t>inter alia</w:t>
      </w:r>
      <w:r w:rsidRPr="002A1840">
        <w:rPr>
          <w:rFonts w:ascii="Times New Roman" w:hAnsi="Times New Roman" w:cs="Times New Roman"/>
          <w:sz w:val="26"/>
          <w:szCs w:val="26"/>
        </w:rPr>
        <w:t xml:space="preserve">, the </w:t>
      </w:r>
      <w:r w:rsidRPr="002A1840">
        <w:rPr>
          <w:rFonts w:ascii="Times New Roman" w:eastAsia="Times New Roman" w:hAnsi="Times New Roman" w:cs="Times New Roman"/>
          <w:color w:val="000000"/>
          <w:sz w:val="26"/>
          <w:szCs w:val="26"/>
        </w:rPr>
        <w:t xml:space="preserve">Service Agreement dated December 1, 2009, and the June 1, 2020 Letter of Middlesex “Notice of Termination of the Service Agreement,” </w:t>
      </w:r>
      <w:r w:rsidRPr="002A1840">
        <w:rPr>
          <w:rFonts w:ascii="Times New Roman" w:hAnsi="Times New Roman" w:cs="Times New Roman"/>
          <w:sz w:val="26"/>
          <w:szCs w:val="26"/>
        </w:rPr>
        <w:t>are relied upon by Middlesex or Twin Lakes to constitute an abandonment of service or transfer of Middlesex’s C</w:t>
      </w:r>
      <w:r w:rsidR="00F13B87">
        <w:rPr>
          <w:rFonts w:ascii="Times New Roman" w:hAnsi="Times New Roman" w:cs="Times New Roman"/>
          <w:sz w:val="26"/>
          <w:szCs w:val="26"/>
        </w:rPr>
        <w:t>PC</w:t>
      </w:r>
      <w:r w:rsidRPr="002A1840">
        <w:rPr>
          <w:rFonts w:ascii="Times New Roman" w:hAnsi="Times New Roman" w:cs="Times New Roman"/>
          <w:sz w:val="26"/>
          <w:szCs w:val="26"/>
        </w:rPr>
        <w:t xml:space="preserve"> from Middlesex to Twin Lakes, as a means to relieve Middlesex of its duty as a public utility under the Code, we conclude the agreements, and the attempt to amend them by termination or otherwise , to be void, pursuant to our authority under both Section 508 and Chapter 21 of the Code.</w:t>
      </w:r>
      <w:bookmarkEnd w:id="20"/>
      <w:r w:rsidRPr="002A1840">
        <w:rPr>
          <w:rFonts w:ascii="Times New Roman" w:hAnsi="Times New Roman" w:cs="Times New Roman"/>
          <w:sz w:val="26"/>
          <w:szCs w:val="26"/>
          <w:u w:val="single"/>
        </w:rPr>
        <w:t xml:space="preserve">  </w:t>
      </w:r>
    </w:p>
    <w:p w14:paraId="6B8C25F0" w14:textId="77777777" w:rsidR="002A1840" w:rsidRPr="002A1840" w:rsidRDefault="002A1840" w:rsidP="002A1840">
      <w:pPr>
        <w:spacing w:after="0" w:line="360" w:lineRule="auto"/>
        <w:rPr>
          <w:rFonts w:ascii="Times New Roman" w:hAnsi="Times New Roman" w:cs="Times New Roman"/>
          <w:sz w:val="26"/>
          <w:szCs w:val="26"/>
        </w:rPr>
      </w:pPr>
    </w:p>
    <w:p w14:paraId="7A986936" w14:textId="7B92ED82" w:rsidR="002A1840" w:rsidRPr="002A1840" w:rsidRDefault="002A1840" w:rsidP="002A1840">
      <w:pPr>
        <w:spacing w:after="0" w:line="360" w:lineRule="auto"/>
        <w:ind w:firstLine="1440"/>
        <w:rPr>
          <w:rFonts w:ascii="Times New Roman" w:hAnsi="Times New Roman" w:cs="Times New Roman"/>
          <w:sz w:val="26"/>
          <w:szCs w:val="26"/>
        </w:rPr>
      </w:pPr>
      <w:r w:rsidRPr="002A1840">
        <w:rPr>
          <w:rFonts w:ascii="Times New Roman" w:hAnsi="Times New Roman" w:cs="Times New Roman"/>
          <w:sz w:val="26"/>
          <w:szCs w:val="26"/>
        </w:rPr>
        <w:t>Therefore, the C</w:t>
      </w:r>
      <w:r w:rsidR="00CD3FAF">
        <w:rPr>
          <w:rFonts w:ascii="Times New Roman" w:hAnsi="Times New Roman" w:cs="Times New Roman"/>
          <w:sz w:val="26"/>
          <w:szCs w:val="26"/>
        </w:rPr>
        <w:t>PC</w:t>
      </w:r>
      <w:r w:rsidRPr="002A1840">
        <w:rPr>
          <w:rFonts w:ascii="Times New Roman" w:hAnsi="Times New Roman" w:cs="Times New Roman"/>
          <w:sz w:val="26"/>
          <w:szCs w:val="26"/>
        </w:rPr>
        <w:t xml:space="preserve"> issued to Middlesex, is the controlling instrument in this proceeding.  For all legal and practical purposes, the abandonment of service at issue in this proceeding is that of Middlesex, by and through the C</w:t>
      </w:r>
      <w:r w:rsidR="00814D0D">
        <w:rPr>
          <w:rFonts w:ascii="Times New Roman" w:hAnsi="Times New Roman" w:cs="Times New Roman"/>
          <w:sz w:val="26"/>
          <w:szCs w:val="26"/>
        </w:rPr>
        <w:t>PC</w:t>
      </w:r>
      <w:r w:rsidRPr="002A1840">
        <w:rPr>
          <w:rFonts w:ascii="Times New Roman" w:hAnsi="Times New Roman" w:cs="Times New Roman"/>
          <w:sz w:val="26"/>
          <w:szCs w:val="26"/>
        </w:rPr>
        <w:t xml:space="preserve">, under which Middlesex was authorized to offer water utility service by and through its wholly owned subsidiary, Twin Lakes.  Again, </w:t>
      </w:r>
      <w:r w:rsidR="00A66D1F">
        <w:rPr>
          <w:rFonts w:ascii="Times New Roman" w:hAnsi="Times New Roman" w:cs="Times New Roman"/>
          <w:sz w:val="26"/>
          <w:szCs w:val="26"/>
        </w:rPr>
        <w:t xml:space="preserve">for purposes of this Section 529 proceeding, </w:t>
      </w:r>
      <w:r w:rsidRPr="002A1840">
        <w:rPr>
          <w:rFonts w:ascii="Times New Roman" w:hAnsi="Times New Roman" w:cs="Times New Roman"/>
          <w:sz w:val="26"/>
          <w:szCs w:val="26"/>
        </w:rPr>
        <w:t xml:space="preserve">Twin Lakes and Middlesex are one in the same.  </w:t>
      </w:r>
    </w:p>
    <w:p w14:paraId="440934BA" w14:textId="77777777" w:rsidR="002A1840" w:rsidRPr="002A1840" w:rsidRDefault="002A1840" w:rsidP="002A1840">
      <w:pPr>
        <w:spacing w:after="0" w:line="360" w:lineRule="auto"/>
        <w:rPr>
          <w:rFonts w:ascii="Times New Roman" w:hAnsi="Times New Roman" w:cs="Times New Roman"/>
          <w:sz w:val="26"/>
          <w:szCs w:val="26"/>
        </w:rPr>
      </w:pPr>
    </w:p>
    <w:p w14:paraId="3038A401" w14:textId="6DCE5437" w:rsidR="002A1840" w:rsidRPr="002A1840" w:rsidRDefault="002A1840" w:rsidP="002A1840">
      <w:pPr>
        <w:spacing w:after="0" w:line="360" w:lineRule="auto"/>
        <w:ind w:firstLine="1440"/>
        <w:rPr>
          <w:rFonts w:ascii="Times New Roman" w:hAnsi="Times New Roman" w:cs="Times New Roman"/>
          <w:sz w:val="26"/>
          <w:szCs w:val="26"/>
        </w:rPr>
      </w:pPr>
      <w:r w:rsidRPr="002A1840">
        <w:rPr>
          <w:rFonts w:ascii="Times New Roman" w:hAnsi="Times New Roman" w:cs="Times New Roman"/>
          <w:sz w:val="26"/>
          <w:szCs w:val="26"/>
        </w:rPr>
        <w:t>We note that at no time did Middlesex seek permission to transfer its C</w:t>
      </w:r>
      <w:r w:rsidR="00B0651A">
        <w:rPr>
          <w:rFonts w:ascii="Times New Roman" w:hAnsi="Times New Roman" w:cs="Times New Roman"/>
          <w:sz w:val="26"/>
          <w:szCs w:val="26"/>
        </w:rPr>
        <w:t>PC</w:t>
      </w:r>
      <w:r w:rsidRPr="002A1840">
        <w:rPr>
          <w:rFonts w:ascii="Times New Roman" w:hAnsi="Times New Roman" w:cs="Times New Roman"/>
          <w:sz w:val="26"/>
          <w:szCs w:val="26"/>
        </w:rPr>
        <w:t xml:space="preserve">.  The Commission expressly understood Twin Lakes to be operating under the authority granted Middlesex.  If it were otherwise, Twin Lakes would be at risk of being found to be operating a water utility unlawfully in the Commonwealth without a CPC, in violation of the Code and subject to applicable penalties. </w:t>
      </w:r>
    </w:p>
    <w:p w14:paraId="07F88B70" w14:textId="77777777" w:rsidR="002A1840" w:rsidRPr="002A1840" w:rsidRDefault="002A1840" w:rsidP="002A1840">
      <w:pPr>
        <w:spacing w:after="0" w:line="360" w:lineRule="auto"/>
        <w:rPr>
          <w:rFonts w:ascii="Times New Roman" w:hAnsi="Times New Roman" w:cs="Times New Roman"/>
          <w:sz w:val="26"/>
          <w:szCs w:val="26"/>
        </w:rPr>
      </w:pPr>
    </w:p>
    <w:p w14:paraId="650A0FB1" w14:textId="1804C628" w:rsidR="002A1840" w:rsidRPr="002A1840" w:rsidRDefault="002A1840" w:rsidP="002A1840">
      <w:pPr>
        <w:spacing w:after="0" w:line="360" w:lineRule="auto"/>
        <w:ind w:firstLine="1440"/>
        <w:rPr>
          <w:rFonts w:ascii="Times New Roman" w:hAnsi="Times New Roman" w:cs="Times New Roman"/>
          <w:sz w:val="26"/>
          <w:szCs w:val="26"/>
        </w:rPr>
      </w:pPr>
      <w:r w:rsidRPr="002A1840">
        <w:rPr>
          <w:rFonts w:ascii="Times New Roman" w:hAnsi="Times New Roman" w:cs="Times New Roman"/>
          <w:sz w:val="26"/>
          <w:szCs w:val="26"/>
        </w:rPr>
        <w:t xml:space="preserve">We recognize that throughout this proceeding, counsel for Middlesex was careful to assert that his appearance was strictly in his capacity as counsel for Twin Lakes, not Middlesex.  Witnesses and the Corporate Officers appearing asserted the legal fiction that their appearance could not be construed as participation by Middlesex.  We disagree.  The actual appearance by the Corporate Officers, and legal counsel for Middlesex, in the present proceeding was constructive and actual notice to Middlesex, of the potential financial obligations at issue in this proceeding.  </w:t>
      </w:r>
      <w:r w:rsidR="00285F95">
        <w:rPr>
          <w:rFonts w:ascii="Times New Roman" w:hAnsi="Times New Roman" w:cs="Times New Roman"/>
          <w:sz w:val="26"/>
          <w:szCs w:val="26"/>
        </w:rPr>
        <w:t>Accordingly, we</w:t>
      </w:r>
      <w:r w:rsidR="00285F95" w:rsidRPr="002A1840">
        <w:rPr>
          <w:rFonts w:ascii="Times New Roman" w:hAnsi="Times New Roman" w:cs="Times New Roman"/>
          <w:sz w:val="26"/>
          <w:szCs w:val="26"/>
        </w:rPr>
        <w:t xml:space="preserve"> are </w:t>
      </w:r>
      <w:r w:rsidR="00285F95" w:rsidRPr="002A1840">
        <w:rPr>
          <w:rFonts w:ascii="Times New Roman" w:hAnsi="Times New Roman" w:cs="Times New Roman"/>
          <w:sz w:val="26"/>
          <w:szCs w:val="26"/>
        </w:rPr>
        <w:lastRenderedPageBreak/>
        <w:t xml:space="preserve">satisfied that the record demonstrates that Middlesex had constructive and actual notice and fully participated in </w:t>
      </w:r>
      <w:r w:rsidR="00285F95">
        <w:rPr>
          <w:rFonts w:ascii="Times New Roman" w:hAnsi="Times New Roman" w:cs="Times New Roman"/>
          <w:sz w:val="26"/>
          <w:szCs w:val="26"/>
        </w:rPr>
        <w:t>this</w:t>
      </w:r>
      <w:r w:rsidR="00285F95" w:rsidRPr="002A1840">
        <w:rPr>
          <w:rFonts w:ascii="Times New Roman" w:hAnsi="Times New Roman" w:cs="Times New Roman"/>
          <w:sz w:val="26"/>
          <w:szCs w:val="26"/>
        </w:rPr>
        <w:t xml:space="preserve"> proceeding, fully satisfy</w:t>
      </w:r>
      <w:r w:rsidR="00285F95">
        <w:rPr>
          <w:rFonts w:ascii="Times New Roman" w:hAnsi="Times New Roman" w:cs="Times New Roman"/>
          <w:sz w:val="26"/>
          <w:szCs w:val="26"/>
        </w:rPr>
        <w:t>ing</w:t>
      </w:r>
      <w:r w:rsidR="00285F95" w:rsidRPr="002A1840">
        <w:rPr>
          <w:rFonts w:ascii="Times New Roman" w:hAnsi="Times New Roman" w:cs="Times New Roman"/>
          <w:sz w:val="26"/>
          <w:szCs w:val="26"/>
        </w:rPr>
        <w:t xml:space="preserve"> the spirit and the letter of due process</w:t>
      </w:r>
      <w:r w:rsidR="00285F95">
        <w:rPr>
          <w:rFonts w:ascii="Times New Roman" w:hAnsi="Times New Roman" w:cs="Times New Roman"/>
          <w:sz w:val="26"/>
          <w:szCs w:val="26"/>
        </w:rPr>
        <w:t>.</w:t>
      </w:r>
    </w:p>
    <w:p w14:paraId="6E1FF1A3" w14:textId="77777777" w:rsidR="004579D8" w:rsidRDefault="004579D8" w:rsidP="004579D8">
      <w:pPr>
        <w:spacing w:after="0" w:line="360" w:lineRule="auto"/>
        <w:rPr>
          <w:rFonts w:ascii="Times New Roman" w:hAnsi="Times New Roman" w:cs="Times New Roman"/>
          <w:sz w:val="26"/>
          <w:szCs w:val="26"/>
        </w:rPr>
      </w:pPr>
    </w:p>
    <w:p w14:paraId="304E29A8" w14:textId="3003D102" w:rsidR="004579D8" w:rsidRPr="002A1840" w:rsidRDefault="004579D8" w:rsidP="007273B8">
      <w:pPr>
        <w:pStyle w:val="TOCH3"/>
        <w:numPr>
          <w:ilvl w:val="0"/>
          <w:numId w:val="31"/>
        </w:numPr>
        <w:ind w:left="1440" w:hanging="720"/>
      </w:pPr>
      <w:r w:rsidRPr="002A1840">
        <w:t>Disposition of Exceptions</w:t>
      </w:r>
    </w:p>
    <w:p w14:paraId="158EC7CC" w14:textId="15822DAF" w:rsidR="004579D8" w:rsidRPr="004579D8" w:rsidRDefault="004579D8" w:rsidP="005C75DF">
      <w:pPr>
        <w:keepNext/>
        <w:spacing w:after="0" w:line="360" w:lineRule="auto"/>
        <w:rPr>
          <w:rFonts w:ascii="Times New Roman" w:eastAsia="Calibri" w:hAnsi="Times New Roman" w:cs="Times New Roman"/>
          <w:sz w:val="26"/>
          <w:szCs w:val="26"/>
        </w:rPr>
      </w:pPr>
    </w:p>
    <w:p w14:paraId="48FBBF15" w14:textId="760413C4" w:rsidR="00481CA7" w:rsidRDefault="007C1E59" w:rsidP="005C75DF">
      <w:pPr>
        <w:keepNext/>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Turning to our disposition of the Exceptions of </w:t>
      </w:r>
      <w:r w:rsidR="00AF465E">
        <w:rPr>
          <w:rFonts w:ascii="Times New Roman" w:hAnsi="Times New Roman" w:cs="Times New Roman"/>
          <w:sz w:val="26"/>
          <w:szCs w:val="26"/>
        </w:rPr>
        <w:t xml:space="preserve">Aqua, we shall deny the Exceptions.  </w:t>
      </w:r>
      <w:r w:rsidR="009427B4">
        <w:rPr>
          <w:rFonts w:ascii="Times New Roman" w:hAnsi="Times New Roman" w:cs="Times New Roman"/>
          <w:sz w:val="26"/>
          <w:szCs w:val="26"/>
        </w:rPr>
        <w:t xml:space="preserve">In summary, </w:t>
      </w:r>
      <w:r w:rsidR="00FF0026">
        <w:rPr>
          <w:rFonts w:ascii="Times New Roman" w:hAnsi="Times New Roman" w:cs="Times New Roman"/>
          <w:sz w:val="26"/>
          <w:szCs w:val="26"/>
        </w:rPr>
        <w:t xml:space="preserve">in </w:t>
      </w:r>
      <w:r w:rsidR="00AF465E">
        <w:rPr>
          <w:rFonts w:ascii="Times New Roman" w:hAnsi="Times New Roman" w:cs="Times New Roman"/>
          <w:sz w:val="26"/>
          <w:szCs w:val="26"/>
        </w:rPr>
        <w:t>Aqua</w:t>
      </w:r>
      <w:r w:rsidR="00FD5548">
        <w:rPr>
          <w:rFonts w:ascii="Times New Roman" w:hAnsi="Times New Roman" w:cs="Times New Roman"/>
          <w:sz w:val="26"/>
          <w:szCs w:val="26"/>
        </w:rPr>
        <w:t xml:space="preserve">’s Exceptions Nos. 1 and 2, </w:t>
      </w:r>
      <w:r w:rsidR="004B585D">
        <w:rPr>
          <w:rFonts w:ascii="Times New Roman" w:hAnsi="Times New Roman" w:cs="Times New Roman"/>
          <w:sz w:val="26"/>
          <w:szCs w:val="26"/>
        </w:rPr>
        <w:t xml:space="preserve">Aqua </w:t>
      </w:r>
      <w:r w:rsidR="000F63E4">
        <w:rPr>
          <w:rFonts w:ascii="Times New Roman" w:hAnsi="Times New Roman" w:cs="Times New Roman"/>
          <w:sz w:val="26"/>
          <w:szCs w:val="26"/>
        </w:rPr>
        <w:t xml:space="preserve">submits </w:t>
      </w:r>
      <w:r w:rsidR="00FD5548">
        <w:rPr>
          <w:rFonts w:ascii="Times New Roman" w:hAnsi="Times New Roman" w:cs="Times New Roman"/>
          <w:sz w:val="26"/>
          <w:szCs w:val="26"/>
        </w:rPr>
        <w:t xml:space="preserve">that </w:t>
      </w:r>
      <w:r w:rsidR="004B585D">
        <w:rPr>
          <w:rFonts w:ascii="Times New Roman" w:hAnsi="Times New Roman" w:cs="Times New Roman"/>
          <w:sz w:val="26"/>
          <w:szCs w:val="26"/>
        </w:rPr>
        <w:t>it</w:t>
      </w:r>
      <w:r w:rsidR="00561BDC" w:rsidRPr="00561BDC">
        <w:rPr>
          <w:rFonts w:ascii="Times New Roman" w:hAnsi="Times New Roman" w:cs="Times New Roman"/>
          <w:sz w:val="26"/>
          <w:szCs w:val="26"/>
        </w:rPr>
        <w:t xml:space="preserve"> </w:t>
      </w:r>
      <w:r w:rsidR="009427B4">
        <w:rPr>
          <w:rFonts w:ascii="Times New Roman" w:hAnsi="Times New Roman" w:cs="Times New Roman"/>
          <w:sz w:val="26"/>
          <w:szCs w:val="26"/>
        </w:rPr>
        <w:t>sh</w:t>
      </w:r>
      <w:r w:rsidR="000F63E4">
        <w:rPr>
          <w:rFonts w:ascii="Times New Roman" w:hAnsi="Times New Roman" w:cs="Times New Roman"/>
          <w:sz w:val="26"/>
          <w:szCs w:val="26"/>
        </w:rPr>
        <w:t xml:space="preserve">ould </w:t>
      </w:r>
      <w:r w:rsidR="00561BDC" w:rsidRPr="00561BDC">
        <w:rPr>
          <w:rFonts w:ascii="Times New Roman" w:hAnsi="Times New Roman" w:cs="Times New Roman"/>
          <w:sz w:val="26"/>
          <w:szCs w:val="26"/>
        </w:rPr>
        <w:t xml:space="preserve">not be ordered to acquire Twin Lakes as part of this </w:t>
      </w:r>
      <w:r w:rsidR="004B585D">
        <w:rPr>
          <w:rFonts w:ascii="Times New Roman" w:hAnsi="Times New Roman" w:cs="Times New Roman"/>
          <w:sz w:val="26"/>
          <w:szCs w:val="26"/>
        </w:rPr>
        <w:t xml:space="preserve">Section </w:t>
      </w:r>
      <w:r w:rsidR="001A6A0F">
        <w:rPr>
          <w:rFonts w:ascii="Times New Roman" w:hAnsi="Times New Roman" w:cs="Times New Roman"/>
          <w:sz w:val="26"/>
          <w:szCs w:val="26"/>
        </w:rPr>
        <w:t xml:space="preserve">529 </w:t>
      </w:r>
      <w:r w:rsidR="00561BDC" w:rsidRPr="00561BDC">
        <w:rPr>
          <w:rFonts w:ascii="Times New Roman" w:hAnsi="Times New Roman" w:cs="Times New Roman"/>
          <w:sz w:val="26"/>
          <w:szCs w:val="26"/>
        </w:rPr>
        <w:t xml:space="preserve">proceeding because Twin Lakes </w:t>
      </w:r>
      <w:r w:rsidR="001A6A0F">
        <w:rPr>
          <w:rFonts w:ascii="Times New Roman" w:hAnsi="Times New Roman" w:cs="Times New Roman"/>
          <w:sz w:val="26"/>
          <w:szCs w:val="26"/>
        </w:rPr>
        <w:t>is “improperly” utilizing Section 529</w:t>
      </w:r>
      <w:r w:rsidR="002E4D10">
        <w:rPr>
          <w:rFonts w:ascii="Times New Roman" w:hAnsi="Times New Roman" w:cs="Times New Roman"/>
          <w:sz w:val="26"/>
          <w:szCs w:val="26"/>
        </w:rPr>
        <w:t xml:space="preserve">, and Twin Lakes </w:t>
      </w:r>
      <w:r w:rsidR="00561BDC" w:rsidRPr="00561BDC">
        <w:rPr>
          <w:rFonts w:ascii="Times New Roman" w:hAnsi="Times New Roman" w:cs="Times New Roman"/>
          <w:sz w:val="26"/>
          <w:szCs w:val="26"/>
        </w:rPr>
        <w:t>did not meet i</w:t>
      </w:r>
      <w:r w:rsidR="00FA47CA">
        <w:rPr>
          <w:rFonts w:ascii="Times New Roman" w:hAnsi="Times New Roman" w:cs="Times New Roman"/>
          <w:sz w:val="26"/>
          <w:szCs w:val="26"/>
        </w:rPr>
        <w:t>t</w:t>
      </w:r>
      <w:r w:rsidR="00561BDC" w:rsidRPr="00561BDC">
        <w:rPr>
          <w:rFonts w:ascii="Times New Roman" w:hAnsi="Times New Roman" w:cs="Times New Roman"/>
          <w:sz w:val="26"/>
          <w:szCs w:val="26"/>
        </w:rPr>
        <w:t>s burden of proof</w:t>
      </w:r>
      <w:r w:rsidR="002E4D10">
        <w:rPr>
          <w:rFonts w:ascii="Times New Roman" w:hAnsi="Times New Roman" w:cs="Times New Roman"/>
          <w:sz w:val="26"/>
          <w:szCs w:val="26"/>
        </w:rPr>
        <w:t xml:space="preserve"> under Section 529(a)(3) </w:t>
      </w:r>
      <w:r w:rsidR="00FF0026">
        <w:rPr>
          <w:rFonts w:ascii="Times New Roman" w:hAnsi="Times New Roman" w:cs="Times New Roman"/>
          <w:sz w:val="26"/>
          <w:szCs w:val="26"/>
        </w:rPr>
        <w:t>(</w:t>
      </w:r>
      <w:r w:rsidR="002E4D10">
        <w:rPr>
          <w:rFonts w:ascii="Times New Roman" w:hAnsi="Times New Roman" w:cs="Times New Roman"/>
          <w:sz w:val="26"/>
          <w:szCs w:val="26"/>
        </w:rPr>
        <w:t xml:space="preserve">pertaining to </w:t>
      </w:r>
      <w:r w:rsidR="009427B4">
        <w:rPr>
          <w:rFonts w:ascii="Times New Roman" w:hAnsi="Times New Roman" w:cs="Times New Roman"/>
          <w:sz w:val="26"/>
          <w:szCs w:val="26"/>
        </w:rPr>
        <w:t xml:space="preserve">the </w:t>
      </w:r>
      <w:r w:rsidR="00FF0026">
        <w:rPr>
          <w:rFonts w:ascii="Times New Roman" w:hAnsi="Times New Roman" w:cs="Times New Roman"/>
          <w:sz w:val="26"/>
          <w:szCs w:val="26"/>
        </w:rPr>
        <w:t xml:space="preserve">reasonable </w:t>
      </w:r>
      <w:r w:rsidR="00FD33C6">
        <w:rPr>
          <w:rFonts w:ascii="Times New Roman" w:hAnsi="Times New Roman" w:cs="Times New Roman"/>
          <w:sz w:val="26"/>
          <w:szCs w:val="26"/>
        </w:rPr>
        <w:t xml:space="preserve">future </w:t>
      </w:r>
      <w:r w:rsidR="00FF0026">
        <w:rPr>
          <w:rFonts w:ascii="Times New Roman" w:hAnsi="Times New Roman" w:cs="Times New Roman"/>
          <w:sz w:val="26"/>
          <w:szCs w:val="26"/>
        </w:rPr>
        <w:t>expect</w:t>
      </w:r>
      <w:r w:rsidR="00102D79">
        <w:rPr>
          <w:rFonts w:ascii="Times New Roman" w:hAnsi="Times New Roman" w:cs="Times New Roman"/>
          <w:sz w:val="26"/>
          <w:szCs w:val="26"/>
        </w:rPr>
        <w:t>ations of the small water utility</w:t>
      </w:r>
      <w:r w:rsidR="00FD33C6">
        <w:rPr>
          <w:rFonts w:ascii="Times New Roman" w:hAnsi="Times New Roman" w:cs="Times New Roman"/>
          <w:sz w:val="26"/>
          <w:szCs w:val="26"/>
        </w:rPr>
        <w:t>)</w:t>
      </w:r>
      <w:r w:rsidR="002F4547">
        <w:rPr>
          <w:rFonts w:ascii="Times New Roman" w:hAnsi="Times New Roman" w:cs="Times New Roman"/>
          <w:sz w:val="26"/>
          <w:szCs w:val="26"/>
        </w:rPr>
        <w:t xml:space="preserve">.  </w:t>
      </w:r>
      <w:r w:rsidR="000F63E4">
        <w:rPr>
          <w:rFonts w:ascii="Times New Roman" w:hAnsi="Times New Roman" w:cs="Times New Roman"/>
          <w:sz w:val="26"/>
          <w:szCs w:val="26"/>
        </w:rPr>
        <w:t>However, Aqua asserts that,</w:t>
      </w:r>
      <w:r w:rsidR="00561BDC" w:rsidRPr="00561BDC">
        <w:rPr>
          <w:rFonts w:ascii="Times New Roman" w:hAnsi="Times New Roman" w:cs="Times New Roman"/>
          <w:sz w:val="26"/>
          <w:szCs w:val="26"/>
        </w:rPr>
        <w:t xml:space="preserve"> if the Commission determines an acquisition is warranted, </w:t>
      </w:r>
      <w:r w:rsidR="00F9196D">
        <w:rPr>
          <w:rFonts w:ascii="Times New Roman" w:hAnsi="Times New Roman" w:cs="Times New Roman"/>
          <w:sz w:val="26"/>
          <w:szCs w:val="26"/>
        </w:rPr>
        <w:t xml:space="preserve">the acquisition </w:t>
      </w:r>
      <w:r w:rsidR="00561BDC" w:rsidRPr="00561BDC">
        <w:rPr>
          <w:rFonts w:ascii="Times New Roman" w:hAnsi="Times New Roman" w:cs="Times New Roman"/>
          <w:sz w:val="26"/>
          <w:szCs w:val="26"/>
        </w:rPr>
        <w:t>must be conditioned on Middlesex placing money in escrow</w:t>
      </w:r>
      <w:r w:rsidR="00F9196D">
        <w:rPr>
          <w:rFonts w:ascii="Times New Roman" w:hAnsi="Times New Roman" w:cs="Times New Roman"/>
          <w:sz w:val="26"/>
          <w:szCs w:val="26"/>
        </w:rPr>
        <w:t xml:space="preserve"> for necessary repairs to Twin Lakes’ water system.</w:t>
      </w:r>
      <w:r w:rsidR="0049309B">
        <w:rPr>
          <w:rFonts w:ascii="Times New Roman" w:hAnsi="Times New Roman" w:cs="Times New Roman"/>
          <w:sz w:val="26"/>
          <w:szCs w:val="26"/>
        </w:rPr>
        <w:t xml:space="preserve">  </w:t>
      </w:r>
      <w:r w:rsidR="0049309B" w:rsidRPr="006E777B">
        <w:rPr>
          <w:rFonts w:ascii="Times New Roman" w:hAnsi="Times New Roman" w:cs="Times New Roman"/>
          <w:i/>
          <w:iCs/>
          <w:sz w:val="26"/>
          <w:szCs w:val="26"/>
        </w:rPr>
        <w:t>See</w:t>
      </w:r>
      <w:r w:rsidR="0049309B">
        <w:rPr>
          <w:rFonts w:ascii="Times New Roman" w:hAnsi="Times New Roman" w:cs="Times New Roman"/>
          <w:sz w:val="26"/>
          <w:szCs w:val="26"/>
        </w:rPr>
        <w:t xml:space="preserve"> </w:t>
      </w:r>
      <w:r w:rsidR="00561BDC" w:rsidRPr="00561BDC">
        <w:rPr>
          <w:rFonts w:ascii="Times New Roman" w:hAnsi="Times New Roman" w:cs="Times New Roman"/>
          <w:sz w:val="26"/>
          <w:szCs w:val="26"/>
        </w:rPr>
        <w:t>Aqua Exc</w:t>
      </w:r>
      <w:r w:rsidR="000F63E4">
        <w:rPr>
          <w:rFonts w:ascii="Times New Roman" w:hAnsi="Times New Roman" w:cs="Times New Roman"/>
          <w:sz w:val="26"/>
          <w:szCs w:val="26"/>
        </w:rPr>
        <w:t>.</w:t>
      </w:r>
      <w:r w:rsidR="00561BDC" w:rsidRPr="00561BDC">
        <w:rPr>
          <w:rFonts w:ascii="Times New Roman" w:hAnsi="Times New Roman" w:cs="Times New Roman"/>
          <w:sz w:val="26"/>
          <w:szCs w:val="26"/>
        </w:rPr>
        <w:t xml:space="preserve"> at 1. </w:t>
      </w:r>
    </w:p>
    <w:p w14:paraId="00C32846" w14:textId="77777777" w:rsidR="00191865" w:rsidRDefault="00191865" w:rsidP="006E787E">
      <w:pPr>
        <w:spacing w:after="0" w:line="360" w:lineRule="auto"/>
        <w:ind w:firstLine="1440"/>
        <w:rPr>
          <w:rFonts w:ascii="Times New Roman" w:hAnsi="Times New Roman" w:cs="Times New Roman"/>
          <w:sz w:val="26"/>
          <w:szCs w:val="26"/>
        </w:rPr>
      </w:pPr>
    </w:p>
    <w:p w14:paraId="60B15AFC" w14:textId="77DCC5BD" w:rsidR="00576B05" w:rsidRDefault="00576B05" w:rsidP="006E787E">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With respect to Aqua’s assertion that </w:t>
      </w:r>
      <w:r w:rsidR="009E430B">
        <w:rPr>
          <w:rFonts w:ascii="Times New Roman" w:hAnsi="Times New Roman" w:cs="Times New Roman"/>
          <w:sz w:val="26"/>
          <w:szCs w:val="26"/>
        </w:rPr>
        <w:t xml:space="preserve">the alleged improper motive of </w:t>
      </w:r>
      <w:r w:rsidR="004471ED">
        <w:rPr>
          <w:rFonts w:ascii="Times New Roman" w:hAnsi="Times New Roman" w:cs="Times New Roman"/>
          <w:sz w:val="26"/>
          <w:szCs w:val="26"/>
        </w:rPr>
        <w:t xml:space="preserve">either </w:t>
      </w:r>
      <w:r w:rsidR="009E430B">
        <w:rPr>
          <w:rFonts w:ascii="Times New Roman" w:hAnsi="Times New Roman" w:cs="Times New Roman"/>
          <w:sz w:val="26"/>
          <w:szCs w:val="26"/>
        </w:rPr>
        <w:t>Twin Lakes</w:t>
      </w:r>
      <w:r w:rsidR="004471ED">
        <w:rPr>
          <w:rFonts w:ascii="Times New Roman" w:hAnsi="Times New Roman" w:cs="Times New Roman"/>
          <w:sz w:val="26"/>
          <w:szCs w:val="26"/>
        </w:rPr>
        <w:t xml:space="preserve"> or Middlesex negates the application of </w:t>
      </w:r>
      <w:r w:rsidR="00722A34">
        <w:rPr>
          <w:rFonts w:ascii="Times New Roman" w:hAnsi="Times New Roman" w:cs="Times New Roman"/>
          <w:sz w:val="26"/>
          <w:szCs w:val="26"/>
        </w:rPr>
        <w:t xml:space="preserve">Section 529 to the present circumstances, we disagree.  While the motivations of the </w:t>
      </w:r>
      <w:r w:rsidR="009F3F8F">
        <w:rPr>
          <w:rFonts w:ascii="Times New Roman" w:hAnsi="Times New Roman" w:cs="Times New Roman"/>
          <w:sz w:val="26"/>
          <w:szCs w:val="26"/>
        </w:rPr>
        <w:t>P</w:t>
      </w:r>
      <w:r w:rsidR="00722A34">
        <w:rPr>
          <w:rFonts w:ascii="Times New Roman" w:hAnsi="Times New Roman" w:cs="Times New Roman"/>
          <w:sz w:val="26"/>
          <w:szCs w:val="26"/>
        </w:rPr>
        <w:t xml:space="preserve">arties are permissible considerations, </w:t>
      </w:r>
      <w:r w:rsidR="00DC52D6">
        <w:rPr>
          <w:rFonts w:ascii="Times New Roman" w:hAnsi="Times New Roman" w:cs="Times New Roman"/>
          <w:sz w:val="26"/>
          <w:szCs w:val="26"/>
        </w:rPr>
        <w:t>as other relevant factors under Section 529</w:t>
      </w:r>
      <w:r w:rsidR="00B52ECD">
        <w:rPr>
          <w:rFonts w:ascii="Times New Roman" w:hAnsi="Times New Roman" w:cs="Times New Roman"/>
          <w:sz w:val="26"/>
          <w:szCs w:val="26"/>
        </w:rPr>
        <w:t>(c)(6)</w:t>
      </w:r>
      <w:r w:rsidR="00DC52D6">
        <w:rPr>
          <w:rFonts w:ascii="Times New Roman" w:hAnsi="Times New Roman" w:cs="Times New Roman"/>
          <w:sz w:val="26"/>
          <w:szCs w:val="26"/>
        </w:rPr>
        <w:t xml:space="preserve">, we do not find that </w:t>
      </w:r>
      <w:r w:rsidR="00FC77D7">
        <w:rPr>
          <w:rFonts w:ascii="Times New Roman" w:hAnsi="Times New Roman" w:cs="Times New Roman"/>
          <w:sz w:val="26"/>
          <w:szCs w:val="26"/>
        </w:rPr>
        <w:t xml:space="preserve">motive of either Twin Lakes or Middlesex, whatever it may be, </w:t>
      </w:r>
      <w:r w:rsidR="00681AC8">
        <w:rPr>
          <w:rFonts w:ascii="Times New Roman" w:hAnsi="Times New Roman" w:cs="Times New Roman"/>
          <w:sz w:val="26"/>
          <w:szCs w:val="26"/>
        </w:rPr>
        <w:t xml:space="preserve">persuades us that in the present circumstances we should not direct that </w:t>
      </w:r>
      <w:r w:rsidR="00CA7C9D">
        <w:rPr>
          <w:rFonts w:ascii="Times New Roman" w:hAnsi="Times New Roman" w:cs="Times New Roman"/>
          <w:sz w:val="26"/>
          <w:szCs w:val="26"/>
        </w:rPr>
        <w:t xml:space="preserve">Aqua acquire Twin Lakes, given that we conclude the criteria of </w:t>
      </w:r>
      <w:r w:rsidR="00170EB8">
        <w:rPr>
          <w:rFonts w:ascii="Times New Roman" w:hAnsi="Times New Roman" w:cs="Times New Roman"/>
          <w:sz w:val="26"/>
          <w:szCs w:val="26"/>
        </w:rPr>
        <w:t xml:space="preserve">Section 529 (a)(1)– (6) are satisfied in the circumstances, </w:t>
      </w:r>
      <w:r w:rsidR="00F85C69">
        <w:rPr>
          <w:rFonts w:ascii="Times New Roman" w:hAnsi="Times New Roman" w:cs="Times New Roman"/>
          <w:sz w:val="26"/>
          <w:szCs w:val="26"/>
        </w:rPr>
        <w:t>on</w:t>
      </w:r>
      <w:r w:rsidR="00170EB8">
        <w:rPr>
          <w:rFonts w:ascii="Times New Roman" w:hAnsi="Times New Roman" w:cs="Times New Roman"/>
          <w:sz w:val="26"/>
          <w:szCs w:val="26"/>
        </w:rPr>
        <w:t xml:space="preserve"> the condition that Middlesex be required to escrow funds for </w:t>
      </w:r>
      <w:r w:rsidR="00651FA2">
        <w:rPr>
          <w:rFonts w:ascii="Times New Roman" w:hAnsi="Times New Roman" w:cs="Times New Roman"/>
          <w:sz w:val="26"/>
          <w:szCs w:val="26"/>
        </w:rPr>
        <w:t xml:space="preserve">costs associated with the </w:t>
      </w:r>
      <w:r w:rsidR="00170EB8">
        <w:rPr>
          <w:rFonts w:ascii="Times New Roman" w:hAnsi="Times New Roman" w:cs="Times New Roman"/>
          <w:sz w:val="26"/>
          <w:szCs w:val="26"/>
        </w:rPr>
        <w:t xml:space="preserve">necessary </w:t>
      </w:r>
      <w:r w:rsidR="00854A77">
        <w:rPr>
          <w:rFonts w:ascii="Times New Roman" w:hAnsi="Times New Roman" w:cs="Times New Roman"/>
          <w:sz w:val="26"/>
          <w:szCs w:val="26"/>
        </w:rPr>
        <w:t xml:space="preserve">repairs to Twin Lakes’ water system.  </w:t>
      </w:r>
    </w:p>
    <w:p w14:paraId="18520C56" w14:textId="77777777" w:rsidR="00576B05" w:rsidRDefault="00576B05" w:rsidP="007E4460">
      <w:pPr>
        <w:spacing w:after="0" w:line="360" w:lineRule="auto"/>
        <w:ind w:firstLine="1440"/>
        <w:rPr>
          <w:rFonts w:ascii="Times New Roman" w:hAnsi="Times New Roman" w:cs="Times New Roman"/>
          <w:sz w:val="26"/>
          <w:szCs w:val="26"/>
        </w:rPr>
      </w:pPr>
    </w:p>
    <w:p w14:paraId="06849840" w14:textId="4F564378" w:rsidR="00E72342" w:rsidRDefault="002F4547" w:rsidP="00E72342">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With respect to Aqua’s argument that </w:t>
      </w:r>
      <w:r w:rsidR="00576B05">
        <w:rPr>
          <w:rFonts w:ascii="Times New Roman" w:eastAsia="Calibri" w:hAnsi="Times New Roman" w:cs="Times New Roman"/>
          <w:sz w:val="26"/>
          <w:szCs w:val="26"/>
        </w:rPr>
        <w:t>Twin Lakes does not satisfy Section</w:t>
      </w:r>
      <w:r w:rsidR="006E787E">
        <w:rPr>
          <w:rFonts w:ascii="Times New Roman" w:eastAsia="Calibri" w:hAnsi="Times New Roman" w:cs="Times New Roman"/>
          <w:sz w:val="26"/>
          <w:szCs w:val="26"/>
        </w:rPr>
        <w:t> </w:t>
      </w:r>
      <w:r w:rsidR="00576B05">
        <w:rPr>
          <w:rFonts w:ascii="Times New Roman" w:eastAsia="Calibri" w:hAnsi="Times New Roman" w:cs="Times New Roman"/>
          <w:sz w:val="26"/>
          <w:szCs w:val="26"/>
        </w:rPr>
        <w:t xml:space="preserve">529(a)(3), we </w:t>
      </w:r>
      <w:r w:rsidR="00E72342">
        <w:rPr>
          <w:rFonts w:ascii="Times New Roman" w:eastAsia="Calibri" w:hAnsi="Times New Roman" w:cs="Times New Roman"/>
          <w:sz w:val="26"/>
          <w:szCs w:val="26"/>
        </w:rPr>
        <w:t>note that t</w:t>
      </w:r>
      <w:r w:rsidR="00E72342" w:rsidRPr="009B0A3A">
        <w:rPr>
          <w:rFonts w:ascii="Times New Roman" w:eastAsia="Calibri" w:hAnsi="Times New Roman" w:cs="Times New Roman"/>
          <w:sz w:val="26"/>
          <w:szCs w:val="26"/>
        </w:rPr>
        <w:t xml:space="preserve">he requirement of Section 529(a)(3) reads as follows: </w:t>
      </w:r>
    </w:p>
    <w:p w14:paraId="6A1CBF0D" w14:textId="77777777" w:rsidR="002A31BE" w:rsidRDefault="002A31BE" w:rsidP="006E787E">
      <w:pPr>
        <w:spacing w:after="0" w:line="240" w:lineRule="auto"/>
        <w:ind w:firstLine="1440"/>
        <w:rPr>
          <w:rFonts w:ascii="Times New Roman" w:eastAsia="Calibri" w:hAnsi="Times New Roman" w:cs="Times New Roman"/>
          <w:sz w:val="26"/>
          <w:szCs w:val="26"/>
        </w:rPr>
      </w:pPr>
    </w:p>
    <w:p w14:paraId="27D1935D" w14:textId="77777777" w:rsidR="00E72342" w:rsidRDefault="00E72342" w:rsidP="0077076D">
      <w:pPr>
        <w:spacing w:after="0" w:line="240" w:lineRule="auto"/>
        <w:ind w:left="1440" w:right="1440"/>
        <w:rPr>
          <w:rFonts w:ascii="Times New Roman" w:eastAsia="Calibri" w:hAnsi="Times New Roman" w:cs="Times New Roman"/>
          <w:sz w:val="26"/>
          <w:szCs w:val="26"/>
        </w:rPr>
      </w:pPr>
      <w:r w:rsidRPr="009B0A3A">
        <w:rPr>
          <w:rFonts w:ascii="Times New Roman" w:eastAsia="Calibri" w:hAnsi="Times New Roman" w:cs="Times New Roman"/>
          <w:sz w:val="26"/>
          <w:szCs w:val="26"/>
        </w:rPr>
        <w:lastRenderedPageBreak/>
        <w:t>that the small water or sewer utility cannot reasonably be expected to furnish and maintain adequate, efficient, safe and reasonable service and facilities in the future.</w:t>
      </w:r>
    </w:p>
    <w:p w14:paraId="2E0F0E89" w14:textId="70646CAF" w:rsidR="00E72342" w:rsidRDefault="00E72342" w:rsidP="006E787E">
      <w:pPr>
        <w:spacing w:after="0" w:line="360" w:lineRule="auto"/>
        <w:ind w:right="1440"/>
        <w:rPr>
          <w:rFonts w:ascii="Times New Roman" w:eastAsia="Calibri" w:hAnsi="Times New Roman" w:cs="Times New Roman"/>
          <w:sz w:val="26"/>
          <w:szCs w:val="26"/>
        </w:rPr>
      </w:pPr>
    </w:p>
    <w:p w14:paraId="12AD56A5" w14:textId="6B9AEA74" w:rsidR="00E72342" w:rsidRDefault="00E72342" w:rsidP="00EE26A4">
      <w:pPr>
        <w:spacing w:after="0" w:line="360" w:lineRule="auto"/>
        <w:rPr>
          <w:rFonts w:ascii="Times New Roman" w:eastAsia="Calibri" w:hAnsi="Times New Roman" w:cs="Times New Roman"/>
          <w:sz w:val="26"/>
          <w:szCs w:val="26"/>
        </w:rPr>
      </w:pPr>
      <w:r w:rsidRPr="009B0A3A">
        <w:rPr>
          <w:rFonts w:ascii="Times New Roman" w:eastAsia="Calibri" w:hAnsi="Times New Roman" w:cs="Times New Roman"/>
          <w:sz w:val="26"/>
          <w:szCs w:val="26"/>
        </w:rPr>
        <w:t>66 Pa. C.S. § 529(a)(3).</w:t>
      </w:r>
      <w:r w:rsidR="00491223">
        <w:rPr>
          <w:rFonts w:ascii="Times New Roman" w:eastAsia="Calibri" w:hAnsi="Times New Roman" w:cs="Times New Roman"/>
          <w:sz w:val="26"/>
          <w:szCs w:val="26"/>
        </w:rPr>
        <w:t xml:space="preserve">  On its face, the language of this Section pertains </w:t>
      </w:r>
      <w:r w:rsidR="00020C06">
        <w:rPr>
          <w:rFonts w:ascii="Times New Roman" w:eastAsia="Calibri" w:hAnsi="Times New Roman" w:cs="Times New Roman"/>
          <w:sz w:val="26"/>
          <w:szCs w:val="26"/>
        </w:rPr>
        <w:t xml:space="preserve">to the </w:t>
      </w:r>
      <w:r w:rsidR="00491223">
        <w:rPr>
          <w:rFonts w:ascii="Times New Roman" w:eastAsia="Calibri" w:hAnsi="Times New Roman" w:cs="Times New Roman"/>
          <w:sz w:val="26"/>
          <w:szCs w:val="26"/>
        </w:rPr>
        <w:t xml:space="preserve">reasonable expectation of the future conduct of the small water utility, that </w:t>
      </w:r>
      <w:r w:rsidR="00647139">
        <w:rPr>
          <w:rFonts w:ascii="Times New Roman" w:eastAsia="Calibri" w:hAnsi="Times New Roman" w:cs="Times New Roman"/>
          <w:sz w:val="26"/>
          <w:szCs w:val="26"/>
        </w:rPr>
        <w:t xml:space="preserve">it will not </w:t>
      </w:r>
      <w:r w:rsidR="003A5E09">
        <w:rPr>
          <w:rFonts w:ascii="Times New Roman" w:eastAsia="Calibri" w:hAnsi="Times New Roman" w:cs="Times New Roman"/>
          <w:sz w:val="26"/>
          <w:szCs w:val="26"/>
        </w:rPr>
        <w:t xml:space="preserve">reasonably be expected to perform its duties to provide water service. </w:t>
      </w:r>
      <w:r w:rsidR="00491223">
        <w:rPr>
          <w:rFonts w:ascii="Times New Roman" w:eastAsia="Calibri" w:hAnsi="Times New Roman" w:cs="Times New Roman"/>
          <w:sz w:val="26"/>
          <w:szCs w:val="26"/>
        </w:rPr>
        <w:t xml:space="preserve"> </w:t>
      </w:r>
    </w:p>
    <w:p w14:paraId="64B4AD69" w14:textId="026D761B" w:rsidR="009E7DBA" w:rsidRDefault="009E7DBA" w:rsidP="003A5E09">
      <w:pPr>
        <w:spacing w:after="0" w:line="360" w:lineRule="auto"/>
        <w:ind w:right="1440"/>
        <w:rPr>
          <w:rFonts w:ascii="Times New Roman" w:eastAsia="Calibri" w:hAnsi="Times New Roman" w:cs="Times New Roman"/>
          <w:sz w:val="26"/>
          <w:szCs w:val="26"/>
        </w:rPr>
      </w:pPr>
    </w:p>
    <w:p w14:paraId="622E271B" w14:textId="03AC88AB" w:rsidR="004C3D1A" w:rsidRDefault="002C1556" w:rsidP="007405BC">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Aqua argues that the language </w:t>
      </w:r>
      <w:r w:rsidR="003A5E09">
        <w:rPr>
          <w:rFonts w:ascii="Times New Roman" w:eastAsia="Calibri" w:hAnsi="Times New Roman" w:cs="Times New Roman"/>
          <w:sz w:val="26"/>
          <w:szCs w:val="26"/>
        </w:rPr>
        <w:t xml:space="preserve">of </w:t>
      </w:r>
      <w:r>
        <w:rPr>
          <w:rFonts w:ascii="Times New Roman" w:eastAsia="Calibri" w:hAnsi="Times New Roman" w:cs="Times New Roman"/>
          <w:sz w:val="26"/>
          <w:szCs w:val="26"/>
        </w:rPr>
        <w:t>Section 529(a)(3) should be</w:t>
      </w:r>
      <w:r w:rsidR="00491223">
        <w:rPr>
          <w:rFonts w:ascii="Times New Roman" w:eastAsia="Calibri" w:hAnsi="Times New Roman" w:cs="Times New Roman"/>
          <w:sz w:val="26"/>
          <w:szCs w:val="26"/>
        </w:rPr>
        <w:t xml:space="preserve"> interpreted to </w:t>
      </w:r>
      <w:r w:rsidR="0040391A">
        <w:rPr>
          <w:rFonts w:ascii="Times New Roman" w:eastAsia="Calibri" w:hAnsi="Times New Roman" w:cs="Times New Roman"/>
          <w:sz w:val="26"/>
          <w:szCs w:val="26"/>
        </w:rPr>
        <w:t>assess the future</w:t>
      </w:r>
      <w:r w:rsidR="00CA2085">
        <w:rPr>
          <w:rFonts w:ascii="Times New Roman" w:eastAsia="Calibri" w:hAnsi="Times New Roman" w:cs="Times New Roman"/>
          <w:sz w:val="26"/>
          <w:szCs w:val="26"/>
        </w:rPr>
        <w:t xml:space="preserve"> “ability” of the utility to perform its statutory duty in the </w:t>
      </w:r>
      <w:r w:rsidR="00A05721">
        <w:rPr>
          <w:rFonts w:ascii="Times New Roman" w:eastAsia="Calibri" w:hAnsi="Times New Roman" w:cs="Times New Roman"/>
          <w:sz w:val="26"/>
          <w:szCs w:val="26"/>
        </w:rPr>
        <w:t>provision of water service.</w:t>
      </w:r>
      <w:r w:rsidR="001E4930">
        <w:rPr>
          <w:rFonts w:ascii="Times New Roman" w:eastAsia="Calibri" w:hAnsi="Times New Roman" w:cs="Times New Roman"/>
          <w:sz w:val="26"/>
          <w:szCs w:val="26"/>
        </w:rPr>
        <w:t xml:space="preserve">  Aqua maintains that </w:t>
      </w:r>
      <w:r w:rsidR="002071EE">
        <w:rPr>
          <w:rFonts w:ascii="Times New Roman" w:eastAsia="Calibri" w:hAnsi="Times New Roman" w:cs="Times New Roman"/>
          <w:sz w:val="26"/>
          <w:szCs w:val="26"/>
        </w:rPr>
        <w:t xml:space="preserve">the demonstrated financial, </w:t>
      </w:r>
      <w:r w:rsidR="00957AF6">
        <w:rPr>
          <w:rFonts w:ascii="Times New Roman" w:eastAsia="Calibri" w:hAnsi="Times New Roman" w:cs="Times New Roman"/>
          <w:sz w:val="26"/>
          <w:szCs w:val="26"/>
        </w:rPr>
        <w:t>managerial</w:t>
      </w:r>
      <w:r w:rsidR="002071EE">
        <w:rPr>
          <w:rFonts w:ascii="Times New Roman" w:eastAsia="Calibri" w:hAnsi="Times New Roman" w:cs="Times New Roman"/>
          <w:sz w:val="26"/>
          <w:szCs w:val="26"/>
        </w:rPr>
        <w:t xml:space="preserve"> and </w:t>
      </w:r>
      <w:r w:rsidR="00957AF6">
        <w:rPr>
          <w:rFonts w:ascii="Times New Roman" w:eastAsia="Calibri" w:hAnsi="Times New Roman" w:cs="Times New Roman"/>
          <w:sz w:val="26"/>
          <w:szCs w:val="26"/>
        </w:rPr>
        <w:t xml:space="preserve">operational strength of </w:t>
      </w:r>
      <w:r w:rsidR="002071EE">
        <w:rPr>
          <w:rFonts w:ascii="Times New Roman" w:eastAsia="Calibri" w:hAnsi="Times New Roman" w:cs="Times New Roman"/>
          <w:sz w:val="26"/>
          <w:szCs w:val="26"/>
        </w:rPr>
        <w:t>Middlesex</w:t>
      </w:r>
      <w:r w:rsidR="007A723B">
        <w:rPr>
          <w:rFonts w:ascii="Times New Roman" w:eastAsia="Calibri" w:hAnsi="Times New Roman" w:cs="Times New Roman"/>
          <w:sz w:val="26"/>
          <w:szCs w:val="26"/>
        </w:rPr>
        <w:t xml:space="preserve">, demonstrates </w:t>
      </w:r>
      <w:r w:rsidR="00846A14">
        <w:rPr>
          <w:rFonts w:ascii="Times New Roman" w:eastAsia="Calibri" w:hAnsi="Times New Roman" w:cs="Times New Roman"/>
          <w:sz w:val="26"/>
          <w:szCs w:val="26"/>
        </w:rPr>
        <w:t>its</w:t>
      </w:r>
      <w:r w:rsidR="007A723B">
        <w:rPr>
          <w:rFonts w:ascii="Times New Roman" w:eastAsia="Calibri" w:hAnsi="Times New Roman" w:cs="Times New Roman"/>
          <w:sz w:val="26"/>
          <w:szCs w:val="26"/>
        </w:rPr>
        <w:t xml:space="preserve"> ability to provide adequate service, and therefore precludes the finding that Section 529(a)(3) is </w:t>
      </w:r>
      <w:r w:rsidR="004C3D1A">
        <w:rPr>
          <w:rFonts w:ascii="Times New Roman" w:eastAsia="Calibri" w:hAnsi="Times New Roman" w:cs="Times New Roman"/>
          <w:sz w:val="26"/>
          <w:szCs w:val="26"/>
        </w:rPr>
        <w:t>satisfied.</w:t>
      </w:r>
      <w:r w:rsidR="002071EE">
        <w:rPr>
          <w:rFonts w:ascii="Times New Roman" w:eastAsia="Calibri" w:hAnsi="Times New Roman" w:cs="Times New Roman"/>
          <w:sz w:val="26"/>
          <w:szCs w:val="26"/>
        </w:rPr>
        <w:t xml:space="preserve"> </w:t>
      </w:r>
      <w:r w:rsidR="00A05721">
        <w:rPr>
          <w:rFonts w:ascii="Times New Roman" w:eastAsia="Calibri" w:hAnsi="Times New Roman" w:cs="Times New Roman"/>
          <w:sz w:val="26"/>
          <w:szCs w:val="26"/>
        </w:rPr>
        <w:t xml:space="preserve"> We disagree.  </w:t>
      </w:r>
    </w:p>
    <w:p w14:paraId="0D03B30F" w14:textId="77777777" w:rsidR="008159D6" w:rsidRDefault="008159D6" w:rsidP="007405BC">
      <w:pPr>
        <w:spacing w:after="0" w:line="360" w:lineRule="auto"/>
        <w:ind w:firstLine="1440"/>
        <w:rPr>
          <w:rFonts w:ascii="Times New Roman" w:eastAsia="Calibri" w:hAnsi="Times New Roman" w:cs="Times New Roman"/>
          <w:sz w:val="26"/>
          <w:szCs w:val="26"/>
        </w:rPr>
      </w:pPr>
    </w:p>
    <w:p w14:paraId="0FFBA36D" w14:textId="7A7FA99E" w:rsidR="00547DE9" w:rsidRDefault="00A05721" w:rsidP="007405BC">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Inherent in our author</w:t>
      </w:r>
      <w:r w:rsidR="009961A9">
        <w:rPr>
          <w:rFonts w:ascii="Times New Roman" w:eastAsia="Calibri" w:hAnsi="Times New Roman" w:cs="Times New Roman"/>
          <w:sz w:val="26"/>
          <w:szCs w:val="26"/>
        </w:rPr>
        <w:t xml:space="preserve">ity to </w:t>
      </w:r>
      <w:r w:rsidR="00CB3445">
        <w:rPr>
          <w:rFonts w:ascii="Times New Roman" w:eastAsia="Calibri" w:hAnsi="Times New Roman" w:cs="Times New Roman"/>
          <w:sz w:val="26"/>
          <w:szCs w:val="26"/>
        </w:rPr>
        <w:t>direct</w:t>
      </w:r>
      <w:r w:rsidR="009961A9">
        <w:rPr>
          <w:rFonts w:ascii="Times New Roman" w:eastAsia="Calibri" w:hAnsi="Times New Roman" w:cs="Times New Roman"/>
          <w:sz w:val="26"/>
          <w:szCs w:val="26"/>
        </w:rPr>
        <w:t xml:space="preserve"> an acquisition </w:t>
      </w:r>
      <w:r w:rsidR="00CB3445">
        <w:rPr>
          <w:rFonts w:ascii="Times New Roman" w:eastAsia="Calibri" w:hAnsi="Times New Roman" w:cs="Times New Roman"/>
          <w:sz w:val="26"/>
          <w:szCs w:val="26"/>
        </w:rPr>
        <w:t xml:space="preserve">of a small water utility </w:t>
      </w:r>
      <w:r w:rsidR="009961A9">
        <w:rPr>
          <w:rFonts w:ascii="Times New Roman" w:eastAsia="Calibri" w:hAnsi="Times New Roman" w:cs="Times New Roman"/>
          <w:sz w:val="26"/>
          <w:szCs w:val="26"/>
        </w:rPr>
        <w:t xml:space="preserve">under Section 529, is the authority to </w:t>
      </w:r>
      <w:r w:rsidR="00ED0822">
        <w:rPr>
          <w:rFonts w:ascii="Times New Roman" w:eastAsia="Calibri" w:hAnsi="Times New Roman" w:cs="Times New Roman"/>
          <w:sz w:val="26"/>
          <w:szCs w:val="26"/>
        </w:rPr>
        <w:t>direct</w:t>
      </w:r>
      <w:r w:rsidR="009961A9">
        <w:rPr>
          <w:rFonts w:ascii="Times New Roman" w:eastAsia="Calibri" w:hAnsi="Times New Roman" w:cs="Times New Roman"/>
          <w:sz w:val="26"/>
          <w:szCs w:val="26"/>
        </w:rPr>
        <w:t xml:space="preserve"> </w:t>
      </w:r>
      <w:r w:rsidR="00CB3445">
        <w:rPr>
          <w:rFonts w:ascii="Times New Roman" w:eastAsia="Calibri" w:hAnsi="Times New Roman" w:cs="Times New Roman"/>
          <w:sz w:val="26"/>
          <w:szCs w:val="26"/>
        </w:rPr>
        <w:t xml:space="preserve">such </w:t>
      </w:r>
      <w:r w:rsidR="009961A9">
        <w:rPr>
          <w:rFonts w:ascii="Times New Roman" w:eastAsia="Calibri" w:hAnsi="Times New Roman" w:cs="Times New Roman"/>
          <w:sz w:val="26"/>
          <w:szCs w:val="26"/>
        </w:rPr>
        <w:t xml:space="preserve">acquisition, even where the small utility disputes the </w:t>
      </w:r>
      <w:r w:rsidR="008B5A13">
        <w:rPr>
          <w:rFonts w:ascii="Times New Roman" w:eastAsia="Calibri" w:hAnsi="Times New Roman" w:cs="Times New Roman"/>
          <w:sz w:val="26"/>
          <w:szCs w:val="26"/>
        </w:rPr>
        <w:t xml:space="preserve">basis for the </w:t>
      </w:r>
      <w:r w:rsidR="009961A9">
        <w:rPr>
          <w:rFonts w:ascii="Times New Roman" w:eastAsia="Calibri" w:hAnsi="Times New Roman" w:cs="Times New Roman"/>
          <w:sz w:val="26"/>
          <w:szCs w:val="26"/>
        </w:rPr>
        <w:t>acquisition.</w:t>
      </w:r>
      <w:r w:rsidR="00ED0822">
        <w:rPr>
          <w:rFonts w:ascii="Times New Roman" w:eastAsia="Calibri" w:hAnsi="Times New Roman" w:cs="Times New Roman"/>
          <w:sz w:val="26"/>
          <w:szCs w:val="26"/>
        </w:rPr>
        <w:t xml:space="preserve">  </w:t>
      </w:r>
      <w:r w:rsidR="00940689">
        <w:rPr>
          <w:rFonts w:ascii="Times New Roman" w:eastAsia="Calibri" w:hAnsi="Times New Roman" w:cs="Times New Roman"/>
          <w:sz w:val="26"/>
          <w:szCs w:val="26"/>
        </w:rPr>
        <w:t>In such case, the</w:t>
      </w:r>
      <w:r w:rsidR="00E50221">
        <w:rPr>
          <w:rFonts w:ascii="Times New Roman" w:eastAsia="Calibri" w:hAnsi="Times New Roman" w:cs="Times New Roman"/>
          <w:sz w:val="26"/>
          <w:szCs w:val="26"/>
        </w:rPr>
        <w:t xml:space="preserve"> objecting </w:t>
      </w:r>
      <w:r w:rsidR="00940689">
        <w:rPr>
          <w:rFonts w:ascii="Times New Roman" w:eastAsia="Calibri" w:hAnsi="Times New Roman" w:cs="Times New Roman"/>
          <w:sz w:val="26"/>
          <w:szCs w:val="26"/>
        </w:rPr>
        <w:t>small water utility</w:t>
      </w:r>
      <w:r w:rsidR="00354998">
        <w:rPr>
          <w:rFonts w:ascii="Times New Roman" w:eastAsia="Calibri" w:hAnsi="Times New Roman" w:cs="Times New Roman"/>
          <w:sz w:val="26"/>
          <w:szCs w:val="26"/>
        </w:rPr>
        <w:t xml:space="preserve"> may</w:t>
      </w:r>
      <w:r w:rsidR="00940689">
        <w:rPr>
          <w:rFonts w:ascii="Times New Roman" w:eastAsia="Calibri" w:hAnsi="Times New Roman" w:cs="Times New Roman"/>
          <w:sz w:val="26"/>
          <w:szCs w:val="26"/>
        </w:rPr>
        <w:t xml:space="preserve"> present </w:t>
      </w:r>
      <w:r w:rsidR="00AC2829">
        <w:rPr>
          <w:rFonts w:ascii="Times New Roman" w:eastAsia="Calibri" w:hAnsi="Times New Roman" w:cs="Times New Roman"/>
          <w:sz w:val="26"/>
          <w:szCs w:val="26"/>
        </w:rPr>
        <w:t xml:space="preserve">evidence </w:t>
      </w:r>
      <w:r w:rsidR="00940689">
        <w:rPr>
          <w:rFonts w:ascii="Times New Roman" w:eastAsia="Calibri" w:hAnsi="Times New Roman" w:cs="Times New Roman"/>
          <w:sz w:val="26"/>
          <w:szCs w:val="26"/>
        </w:rPr>
        <w:t xml:space="preserve">to show how it will meet its future </w:t>
      </w:r>
      <w:r w:rsidR="00A56E8A">
        <w:rPr>
          <w:rFonts w:ascii="Times New Roman" w:eastAsia="Calibri" w:hAnsi="Times New Roman" w:cs="Times New Roman"/>
          <w:sz w:val="26"/>
          <w:szCs w:val="26"/>
        </w:rPr>
        <w:t>statutory duties</w:t>
      </w:r>
      <w:r w:rsidR="00E50221">
        <w:rPr>
          <w:rFonts w:ascii="Times New Roman" w:eastAsia="Calibri" w:hAnsi="Times New Roman" w:cs="Times New Roman"/>
          <w:sz w:val="26"/>
          <w:szCs w:val="26"/>
        </w:rPr>
        <w:t>, and typically I&amp;E would present any evidence to the contrary</w:t>
      </w:r>
      <w:r w:rsidR="00A56E8A">
        <w:rPr>
          <w:rFonts w:ascii="Times New Roman" w:eastAsia="Calibri" w:hAnsi="Times New Roman" w:cs="Times New Roman"/>
          <w:sz w:val="26"/>
          <w:szCs w:val="26"/>
        </w:rPr>
        <w:t>.  The Commission evaluate</w:t>
      </w:r>
      <w:r w:rsidR="00DB0107">
        <w:rPr>
          <w:rFonts w:ascii="Times New Roman" w:eastAsia="Calibri" w:hAnsi="Times New Roman" w:cs="Times New Roman"/>
          <w:sz w:val="26"/>
          <w:szCs w:val="26"/>
        </w:rPr>
        <w:t>s</w:t>
      </w:r>
      <w:r w:rsidR="00A56E8A">
        <w:rPr>
          <w:rFonts w:ascii="Times New Roman" w:eastAsia="Calibri" w:hAnsi="Times New Roman" w:cs="Times New Roman"/>
          <w:sz w:val="26"/>
          <w:szCs w:val="26"/>
        </w:rPr>
        <w:t xml:space="preserve"> that evidence</w:t>
      </w:r>
      <w:r w:rsidR="00AC2829">
        <w:rPr>
          <w:rFonts w:ascii="Times New Roman" w:eastAsia="Calibri" w:hAnsi="Times New Roman" w:cs="Times New Roman"/>
          <w:sz w:val="26"/>
          <w:szCs w:val="26"/>
        </w:rPr>
        <w:t xml:space="preserve"> </w:t>
      </w:r>
      <w:r w:rsidR="00A56E8A">
        <w:rPr>
          <w:rFonts w:ascii="Times New Roman" w:eastAsia="Calibri" w:hAnsi="Times New Roman" w:cs="Times New Roman"/>
          <w:sz w:val="26"/>
          <w:szCs w:val="26"/>
        </w:rPr>
        <w:t>under Section 529</w:t>
      </w:r>
      <w:r w:rsidR="00AC2829">
        <w:rPr>
          <w:rFonts w:ascii="Times New Roman" w:eastAsia="Calibri" w:hAnsi="Times New Roman" w:cs="Times New Roman"/>
          <w:sz w:val="26"/>
          <w:szCs w:val="26"/>
        </w:rPr>
        <w:t xml:space="preserve"> </w:t>
      </w:r>
      <w:r w:rsidR="00A56E8A">
        <w:rPr>
          <w:rFonts w:ascii="Times New Roman" w:eastAsia="Calibri" w:hAnsi="Times New Roman" w:cs="Times New Roman"/>
          <w:sz w:val="26"/>
          <w:szCs w:val="26"/>
        </w:rPr>
        <w:t>and render</w:t>
      </w:r>
      <w:r w:rsidR="00547DE9">
        <w:rPr>
          <w:rFonts w:ascii="Times New Roman" w:eastAsia="Calibri" w:hAnsi="Times New Roman" w:cs="Times New Roman"/>
          <w:sz w:val="26"/>
          <w:szCs w:val="26"/>
        </w:rPr>
        <w:t xml:space="preserve">s </w:t>
      </w:r>
      <w:r w:rsidR="00A56E8A">
        <w:rPr>
          <w:rFonts w:ascii="Times New Roman" w:eastAsia="Calibri" w:hAnsi="Times New Roman" w:cs="Times New Roman"/>
          <w:sz w:val="26"/>
          <w:szCs w:val="26"/>
        </w:rPr>
        <w:t>a determination whether the small water utility could reasonably be expected to meet its future duties</w:t>
      </w:r>
      <w:r w:rsidR="00E50221">
        <w:rPr>
          <w:rFonts w:ascii="Times New Roman" w:eastAsia="Calibri" w:hAnsi="Times New Roman" w:cs="Times New Roman"/>
          <w:sz w:val="26"/>
          <w:szCs w:val="26"/>
        </w:rPr>
        <w:t xml:space="preserve">.  </w:t>
      </w:r>
      <w:r w:rsidR="00B649E2">
        <w:rPr>
          <w:rFonts w:ascii="Times New Roman" w:eastAsia="Calibri" w:hAnsi="Times New Roman" w:cs="Times New Roman"/>
          <w:sz w:val="26"/>
          <w:szCs w:val="26"/>
        </w:rPr>
        <w:t xml:space="preserve">As always, the central concern is whether the customers </w:t>
      </w:r>
      <w:r w:rsidR="00862E47">
        <w:rPr>
          <w:rFonts w:ascii="Times New Roman" w:eastAsia="Calibri" w:hAnsi="Times New Roman" w:cs="Times New Roman"/>
          <w:sz w:val="26"/>
          <w:szCs w:val="26"/>
        </w:rPr>
        <w:t>could be reasonably assured of the future performance of the utility’s duty to provide safe and adequate water service at a reasonable rate.</w:t>
      </w:r>
      <w:r w:rsidR="00B649E2">
        <w:rPr>
          <w:rFonts w:ascii="Times New Roman" w:eastAsia="Calibri" w:hAnsi="Times New Roman" w:cs="Times New Roman"/>
          <w:sz w:val="26"/>
          <w:szCs w:val="26"/>
        </w:rPr>
        <w:t xml:space="preserve"> </w:t>
      </w:r>
      <w:r w:rsidR="009B0294">
        <w:rPr>
          <w:rFonts w:ascii="Times New Roman" w:eastAsia="Calibri" w:hAnsi="Times New Roman" w:cs="Times New Roman"/>
          <w:sz w:val="26"/>
          <w:szCs w:val="26"/>
        </w:rPr>
        <w:t xml:space="preserve"> </w:t>
      </w:r>
    </w:p>
    <w:p w14:paraId="34774F1A" w14:textId="77777777" w:rsidR="00547DE9" w:rsidRDefault="00547DE9" w:rsidP="007405BC">
      <w:pPr>
        <w:spacing w:after="0" w:line="360" w:lineRule="auto"/>
        <w:ind w:firstLine="1440"/>
        <w:rPr>
          <w:rFonts w:ascii="Times New Roman" w:eastAsia="Calibri" w:hAnsi="Times New Roman" w:cs="Times New Roman"/>
          <w:sz w:val="26"/>
          <w:szCs w:val="26"/>
        </w:rPr>
      </w:pPr>
    </w:p>
    <w:p w14:paraId="51FD693E" w14:textId="43B93D73" w:rsidR="007405BC" w:rsidRDefault="00ED0822" w:rsidP="007405BC">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The present case is the unusual circumstance in which the small water utility is re</w:t>
      </w:r>
      <w:r w:rsidR="00940689">
        <w:rPr>
          <w:rFonts w:ascii="Times New Roman" w:eastAsia="Calibri" w:hAnsi="Times New Roman" w:cs="Times New Roman"/>
          <w:sz w:val="26"/>
          <w:szCs w:val="26"/>
        </w:rPr>
        <w:t>questing</w:t>
      </w:r>
      <w:r>
        <w:rPr>
          <w:rFonts w:ascii="Times New Roman" w:eastAsia="Calibri" w:hAnsi="Times New Roman" w:cs="Times New Roman"/>
          <w:sz w:val="26"/>
          <w:szCs w:val="26"/>
        </w:rPr>
        <w:t xml:space="preserve"> the </w:t>
      </w:r>
      <w:r w:rsidR="00940689">
        <w:rPr>
          <w:rFonts w:ascii="Times New Roman" w:eastAsia="Calibri" w:hAnsi="Times New Roman" w:cs="Times New Roman"/>
          <w:sz w:val="26"/>
          <w:szCs w:val="26"/>
        </w:rPr>
        <w:t>acquisition and offers evidence to support the conclusion that it will fail to meet its duties in the future.</w:t>
      </w:r>
      <w:r w:rsidR="009961A9">
        <w:rPr>
          <w:rFonts w:ascii="Times New Roman" w:eastAsia="Calibri" w:hAnsi="Times New Roman" w:cs="Times New Roman"/>
          <w:sz w:val="26"/>
          <w:szCs w:val="26"/>
        </w:rPr>
        <w:t xml:space="preserve">  The Commission</w:t>
      </w:r>
      <w:r w:rsidR="00633AE1">
        <w:rPr>
          <w:rFonts w:ascii="Times New Roman" w:eastAsia="Calibri" w:hAnsi="Times New Roman" w:cs="Times New Roman"/>
          <w:sz w:val="26"/>
          <w:szCs w:val="26"/>
        </w:rPr>
        <w:t>’s</w:t>
      </w:r>
      <w:r w:rsidR="009961A9">
        <w:rPr>
          <w:rFonts w:ascii="Times New Roman" w:eastAsia="Calibri" w:hAnsi="Times New Roman" w:cs="Times New Roman"/>
          <w:sz w:val="26"/>
          <w:szCs w:val="26"/>
        </w:rPr>
        <w:t xml:space="preserve"> discretion in the circumstances extends to </w:t>
      </w:r>
      <w:r w:rsidR="00CB6176" w:rsidRPr="004C3D1A">
        <w:rPr>
          <w:rFonts w:ascii="Times New Roman" w:eastAsia="Calibri" w:hAnsi="Times New Roman" w:cs="Times New Roman"/>
          <w:i/>
          <w:iCs/>
          <w:sz w:val="26"/>
          <w:szCs w:val="26"/>
        </w:rPr>
        <w:t xml:space="preserve">reasonable </w:t>
      </w:r>
      <w:r w:rsidR="009961A9" w:rsidRPr="004C3D1A">
        <w:rPr>
          <w:rFonts w:ascii="Times New Roman" w:eastAsia="Calibri" w:hAnsi="Times New Roman" w:cs="Times New Roman"/>
          <w:i/>
          <w:iCs/>
          <w:sz w:val="26"/>
          <w:szCs w:val="26"/>
        </w:rPr>
        <w:t>expec</w:t>
      </w:r>
      <w:r w:rsidR="00CB6176" w:rsidRPr="004C3D1A">
        <w:rPr>
          <w:rFonts w:ascii="Times New Roman" w:eastAsia="Calibri" w:hAnsi="Times New Roman" w:cs="Times New Roman"/>
          <w:i/>
          <w:iCs/>
          <w:sz w:val="26"/>
          <w:szCs w:val="26"/>
        </w:rPr>
        <w:t>tation of future conduct</w:t>
      </w:r>
      <w:r w:rsidR="00CB6176">
        <w:rPr>
          <w:rFonts w:ascii="Times New Roman" w:eastAsia="Calibri" w:hAnsi="Times New Roman" w:cs="Times New Roman"/>
          <w:sz w:val="26"/>
          <w:szCs w:val="26"/>
        </w:rPr>
        <w:t xml:space="preserve"> of the small utility.  In this regard, the past failure to perform </w:t>
      </w:r>
      <w:r w:rsidR="004D36BE">
        <w:rPr>
          <w:rFonts w:ascii="Times New Roman" w:eastAsia="Calibri" w:hAnsi="Times New Roman" w:cs="Times New Roman"/>
          <w:sz w:val="26"/>
          <w:szCs w:val="26"/>
        </w:rPr>
        <w:t xml:space="preserve">its statutory duty is </w:t>
      </w:r>
      <w:r w:rsidR="007405BC">
        <w:rPr>
          <w:rFonts w:ascii="Times New Roman" w:eastAsia="Calibri" w:hAnsi="Times New Roman" w:cs="Times New Roman"/>
          <w:sz w:val="26"/>
          <w:szCs w:val="26"/>
        </w:rPr>
        <w:t xml:space="preserve">persuasive </w:t>
      </w:r>
      <w:r w:rsidR="004D36BE">
        <w:rPr>
          <w:rFonts w:ascii="Times New Roman" w:eastAsia="Calibri" w:hAnsi="Times New Roman" w:cs="Times New Roman"/>
          <w:sz w:val="26"/>
          <w:szCs w:val="26"/>
        </w:rPr>
        <w:t xml:space="preserve">evidence of the </w:t>
      </w:r>
      <w:r w:rsidR="0080342D">
        <w:rPr>
          <w:rFonts w:ascii="Times New Roman" w:eastAsia="Calibri" w:hAnsi="Times New Roman" w:cs="Times New Roman"/>
          <w:sz w:val="26"/>
          <w:szCs w:val="26"/>
        </w:rPr>
        <w:lastRenderedPageBreak/>
        <w:t xml:space="preserve">reasonable </w:t>
      </w:r>
      <w:r w:rsidR="004D36BE">
        <w:rPr>
          <w:rFonts w:ascii="Times New Roman" w:eastAsia="Calibri" w:hAnsi="Times New Roman" w:cs="Times New Roman"/>
          <w:sz w:val="26"/>
          <w:szCs w:val="26"/>
        </w:rPr>
        <w:t xml:space="preserve">expectation </w:t>
      </w:r>
      <w:r w:rsidR="0080342D">
        <w:rPr>
          <w:rFonts w:ascii="Times New Roman" w:eastAsia="Calibri" w:hAnsi="Times New Roman" w:cs="Times New Roman"/>
          <w:sz w:val="26"/>
          <w:szCs w:val="26"/>
        </w:rPr>
        <w:t xml:space="preserve">that the small utility will </w:t>
      </w:r>
      <w:r w:rsidR="004C3D1A">
        <w:rPr>
          <w:rFonts w:ascii="Times New Roman" w:eastAsia="Calibri" w:hAnsi="Times New Roman" w:cs="Times New Roman"/>
          <w:sz w:val="26"/>
          <w:szCs w:val="26"/>
        </w:rPr>
        <w:t xml:space="preserve">also </w:t>
      </w:r>
      <w:r w:rsidR="0080342D">
        <w:rPr>
          <w:rFonts w:ascii="Times New Roman" w:eastAsia="Calibri" w:hAnsi="Times New Roman" w:cs="Times New Roman"/>
          <w:sz w:val="26"/>
          <w:szCs w:val="26"/>
        </w:rPr>
        <w:t>fail to meet its statutory obligation</w:t>
      </w:r>
      <w:r w:rsidR="007405BC">
        <w:rPr>
          <w:rFonts w:ascii="Times New Roman" w:eastAsia="Calibri" w:hAnsi="Times New Roman" w:cs="Times New Roman"/>
          <w:sz w:val="26"/>
          <w:szCs w:val="26"/>
        </w:rPr>
        <w:t>s</w:t>
      </w:r>
      <w:r w:rsidR="004C3D1A">
        <w:rPr>
          <w:rFonts w:ascii="Times New Roman" w:eastAsia="Calibri" w:hAnsi="Times New Roman" w:cs="Times New Roman"/>
          <w:sz w:val="26"/>
          <w:szCs w:val="26"/>
        </w:rPr>
        <w:t xml:space="preserve"> in the future</w:t>
      </w:r>
      <w:r w:rsidR="0080342D">
        <w:rPr>
          <w:rFonts w:ascii="Times New Roman" w:eastAsia="Calibri" w:hAnsi="Times New Roman" w:cs="Times New Roman"/>
          <w:sz w:val="26"/>
          <w:szCs w:val="26"/>
        </w:rPr>
        <w:t>.</w:t>
      </w:r>
    </w:p>
    <w:p w14:paraId="2FAEED19" w14:textId="64CAAC60" w:rsidR="007405BC" w:rsidRDefault="007405BC" w:rsidP="007405BC">
      <w:pPr>
        <w:spacing w:after="0" w:line="360" w:lineRule="auto"/>
        <w:ind w:firstLine="1440"/>
        <w:rPr>
          <w:rFonts w:ascii="Times New Roman" w:eastAsia="Calibri" w:hAnsi="Times New Roman" w:cs="Times New Roman"/>
          <w:sz w:val="26"/>
          <w:szCs w:val="26"/>
        </w:rPr>
      </w:pPr>
    </w:p>
    <w:p w14:paraId="14E26A0B" w14:textId="3C19BA04" w:rsidR="006F7CB2" w:rsidRDefault="007405BC" w:rsidP="00E97BA0">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In the present case, the ALJ concluded that the </w:t>
      </w:r>
      <w:r w:rsidR="00FF0634">
        <w:rPr>
          <w:rFonts w:ascii="Times New Roman" w:eastAsia="Calibri" w:hAnsi="Times New Roman" w:cs="Times New Roman"/>
          <w:sz w:val="26"/>
          <w:szCs w:val="26"/>
        </w:rPr>
        <w:t xml:space="preserve">abject failure </w:t>
      </w:r>
      <w:r w:rsidR="00112CBB">
        <w:rPr>
          <w:rFonts w:ascii="Times New Roman" w:eastAsia="Calibri" w:hAnsi="Times New Roman" w:cs="Times New Roman"/>
          <w:sz w:val="26"/>
          <w:szCs w:val="26"/>
        </w:rPr>
        <w:t xml:space="preserve">to </w:t>
      </w:r>
      <w:r>
        <w:rPr>
          <w:rFonts w:ascii="Times New Roman" w:eastAsia="Calibri" w:hAnsi="Times New Roman" w:cs="Times New Roman"/>
          <w:sz w:val="26"/>
          <w:szCs w:val="26"/>
        </w:rPr>
        <w:t xml:space="preserve">perform the basic statutory duties </w:t>
      </w:r>
      <w:r w:rsidR="00157241">
        <w:rPr>
          <w:rFonts w:ascii="Times New Roman" w:eastAsia="Calibri" w:hAnsi="Times New Roman" w:cs="Times New Roman"/>
          <w:sz w:val="26"/>
          <w:szCs w:val="26"/>
        </w:rPr>
        <w:t>to the customers served by the Twin Lakes’ water system</w:t>
      </w:r>
      <w:r w:rsidR="002A7079">
        <w:rPr>
          <w:rFonts w:ascii="Times New Roman" w:eastAsia="Calibri" w:hAnsi="Times New Roman" w:cs="Times New Roman"/>
          <w:sz w:val="26"/>
          <w:szCs w:val="26"/>
        </w:rPr>
        <w:t>,</w:t>
      </w:r>
      <w:r w:rsidR="00157241">
        <w:rPr>
          <w:rFonts w:ascii="Times New Roman" w:eastAsia="Calibri" w:hAnsi="Times New Roman" w:cs="Times New Roman"/>
          <w:sz w:val="26"/>
          <w:szCs w:val="26"/>
        </w:rPr>
        <w:t xml:space="preserve"> since the system was acquired by Middlesex in 2008, </w:t>
      </w:r>
      <w:r w:rsidR="00213D18">
        <w:rPr>
          <w:rFonts w:ascii="Times New Roman" w:eastAsia="Calibri" w:hAnsi="Times New Roman" w:cs="Times New Roman"/>
          <w:sz w:val="26"/>
          <w:szCs w:val="26"/>
        </w:rPr>
        <w:t xml:space="preserve">establishes </w:t>
      </w:r>
      <w:r w:rsidR="0057151D">
        <w:rPr>
          <w:rFonts w:ascii="Times New Roman" w:eastAsia="Calibri" w:hAnsi="Times New Roman" w:cs="Times New Roman"/>
          <w:sz w:val="26"/>
          <w:szCs w:val="26"/>
        </w:rPr>
        <w:t xml:space="preserve">substantial and </w:t>
      </w:r>
      <w:r w:rsidR="00157241">
        <w:rPr>
          <w:rFonts w:ascii="Times New Roman" w:eastAsia="Calibri" w:hAnsi="Times New Roman" w:cs="Times New Roman"/>
          <w:sz w:val="26"/>
          <w:szCs w:val="26"/>
        </w:rPr>
        <w:t xml:space="preserve">persuasive </w:t>
      </w:r>
      <w:r w:rsidR="0057151D">
        <w:rPr>
          <w:rFonts w:ascii="Times New Roman" w:eastAsia="Calibri" w:hAnsi="Times New Roman" w:cs="Times New Roman"/>
          <w:sz w:val="26"/>
          <w:szCs w:val="26"/>
        </w:rPr>
        <w:t xml:space="preserve">evidence of the reasonable future expectation that the Twin Lakes system, whether deemed to be </w:t>
      </w:r>
      <w:r w:rsidR="00503CDC">
        <w:rPr>
          <w:rFonts w:ascii="Times New Roman" w:eastAsia="Calibri" w:hAnsi="Times New Roman" w:cs="Times New Roman"/>
          <w:sz w:val="26"/>
          <w:szCs w:val="26"/>
        </w:rPr>
        <w:t xml:space="preserve">under the auspices of Twin Lakes as a standalone </w:t>
      </w:r>
      <w:r w:rsidR="0057151D">
        <w:rPr>
          <w:rFonts w:ascii="Times New Roman" w:eastAsia="Calibri" w:hAnsi="Times New Roman" w:cs="Times New Roman"/>
          <w:sz w:val="26"/>
          <w:szCs w:val="26"/>
        </w:rPr>
        <w:t>en</w:t>
      </w:r>
      <w:r w:rsidR="00503CDC">
        <w:rPr>
          <w:rFonts w:ascii="Times New Roman" w:eastAsia="Calibri" w:hAnsi="Times New Roman" w:cs="Times New Roman"/>
          <w:sz w:val="26"/>
          <w:szCs w:val="26"/>
        </w:rPr>
        <w:t xml:space="preserve">tity, or under the auspices of the </w:t>
      </w:r>
      <w:r w:rsidR="001D3091">
        <w:rPr>
          <w:rFonts w:ascii="Times New Roman" w:eastAsia="Calibri" w:hAnsi="Times New Roman" w:cs="Times New Roman"/>
          <w:sz w:val="26"/>
          <w:szCs w:val="26"/>
        </w:rPr>
        <w:t xml:space="preserve">corporate parent/owner, </w:t>
      </w:r>
      <w:r w:rsidR="00213D18">
        <w:rPr>
          <w:rFonts w:ascii="Times New Roman" w:eastAsia="Calibri" w:hAnsi="Times New Roman" w:cs="Times New Roman"/>
          <w:sz w:val="26"/>
          <w:szCs w:val="26"/>
        </w:rPr>
        <w:t>Middlesex</w:t>
      </w:r>
      <w:r w:rsidR="001D3091">
        <w:rPr>
          <w:rFonts w:ascii="Times New Roman" w:eastAsia="Calibri" w:hAnsi="Times New Roman" w:cs="Times New Roman"/>
          <w:sz w:val="26"/>
          <w:szCs w:val="26"/>
        </w:rPr>
        <w:t xml:space="preserve">, will continue to drastically fail to meet the basic </w:t>
      </w:r>
      <w:r w:rsidR="00FF0634">
        <w:rPr>
          <w:rFonts w:ascii="Times New Roman" w:eastAsia="Calibri" w:hAnsi="Times New Roman" w:cs="Times New Roman"/>
          <w:sz w:val="26"/>
          <w:szCs w:val="26"/>
        </w:rPr>
        <w:t>requirements for the provision of safe and reliable water service for the system</w:t>
      </w:r>
      <w:r w:rsidR="0067139A">
        <w:rPr>
          <w:rFonts w:ascii="Times New Roman" w:eastAsia="Calibri" w:hAnsi="Times New Roman" w:cs="Times New Roman"/>
          <w:sz w:val="26"/>
          <w:szCs w:val="26"/>
        </w:rPr>
        <w:t>’</w:t>
      </w:r>
      <w:r w:rsidR="00FF0634">
        <w:rPr>
          <w:rFonts w:ascii="Times New Roman" w:eastAsia="Calibri" w:hAnsi="Times New Roman" w:cs="Times New Roman"/>
          <w:sz w:val="26"/>
          <w:szCs w:val="26"/>
        </w:rPr>
        <w:t>s customers</w:t>
      </w:r>
      <w:r w:rsidR="00213D18">
        <w:rPr>
          <w:rFonts w:ascii="Times New Roman" w:eastAsia="Calibri" w:hAnsi="Times New Roman" w:cs="Times New Roman"/>
          <w:sz w:val="26"/>
          <w:szCs w:val="26"/>
        </w:rPr>
        <w:t xml:space="preserve"> in the future.  We agree.</w:t>
      </w:r>
      <w:r w:rsidR="003A4C7C">
        <w:rPr>
          <w:rFonts w:ascii="Times New Roman" w:eastAsia="Calibri" w:hAnsi="Times New Roman" w:cs="Times New Roman"/>
          <w:sz w:val="26"/>
          <w:szCs w:val="26"/>
        </w:rPr>
        <w:t xml:space="preserve">  </w:t>
      </w:r>
    </w:p>
    <w:p w14:paraId="3575986A" w14:textId="77777777" w:rsidR="006F7CB2" w:rsidRDefault="006F7CB2" w:rsidP="00E97BA0">
      <w:pPr>
        <w:spacing w:after="0" w:line="360" w:lineRule="auto"/>
        <w:ind w:firstLine="1440"/>
        <w:rPr>
          <w:rFonts w:ascii="Times New Roman" w:eastAsia="Calibri" w:hAnsi="Times New Roman" w:cs="Times New Roman"/>
          <w:sz w:val="26"/>
          <w:szCs w:val="26"/>
        </w:rPr>
      </w:pPr>
    </w:p>
    <w:p w14:paraId="0C5F1CFE" w14:textId="6F84E515" w:rsidR="009B74B5" w:rsidRDefault="003A4C7C" w:rsidP="00D916D4">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Calibri" w:hAnsi="Times New Roman" w:cs="Times New Roman"/>
          <w:sz w:val="26"/>
          <w:szCs w:val="26"/>
        </w:rPr>
        <w:t xml:space="preserve">As detailed </w:t>
      </w:r>
      <w:r w:rsidRPr="00C33ADA">
        <w:rPr>
          <w:rFonts w:ascii="Times New Roman" w:eastAsia="Calibri" w:hAnsi="Times New Roman" w:cs="Times New Roman"/>
          <w:i/>
          <w:iCs/>
          <w:sz w:val="26"/>
          <w:szCs w:val="26"/>
        </w:rPr>
        <w:t>supra</w:t>
      </w:r>
      <w:r>
        <w:rPr>
          <w:rFonts w:ascii="Times New Roman" w:eastAsia="Calibri" w:hAnsi="Times New Roman" w:cs="Times New Roman"/>
          <w:sz w:val="26"/>
          <w:szCs w:val="26"/>
        </w:rPr>
        <w:t xml:space="preserve">., the failure of </w:t>
      </w:r>
      <w:r w:rsidR="00247BFD">
        <w:rPr>
          <w:rFonts w:ascii="Times New Roman" w:eastAsia="Calibri" w:hAnsi="Times New Roman" w:cs="Times New Roman"/>
          <w:sz w:val="26"/>
          <w:szCs w:val="26"/>
        </w:rPr>
        <w:t>the Twin Lakes water system</w:t>
      </w:r>
      <w:r w:rsidR="0086557E">
        <w:rPr>
          <w:rFonts w:ascii="Times New Roman" w:eastAsia="Calibri" w:hAnsi="Times New Roman" w:cs="Times New Roman"/>
          <w:sz w:val="26"/>
          <w:szCs w:val="26"/>
        </w:rPr>
        <w:t xml:space="preserve"> was clearly established</w:t>
      </w:r>
      <w:r w:rsidR="00580DEF">
        <w:rPr>
          <w:rFonts w:ascii="Times New Roman" w:eastAsia="Calibri" w:hAnsi="Times New Roman" w:cs="Times New Roman"/>
          <w:sz w:val="26"/>
          <w:szCs w:val="26"/>
        </w:rPr>
        <w:t>.  The</w:t>
      </w:r>
      <w:r w:rsidR="00D916D4" w:rsidRPr="00D916D4">
        <w:rPr>
          <w:rFonts w:ascii="Times New Roman" w:eastAsia="Times New Roman" w:hAnsi="Times New Roman" w:cs="Times New Roman"/>
          <w:color w:val="000000"/>
          <w:sz w:val="26"/>
          <w:szCs w:val="26"/>
        </w:rPr>
        <w:t xml:space="preserve"> Twin Lakes </w:t>
      </w:r>
      <w:r w:rsidR="00D916D4" w:rsidRPr="00EA3CE1">
        <w:rPr>
          <w:rFonts w:ascii="Times New Roman" w:eastAsia="Times New Roman" w:hAnsi="Times New Roman" w:cs="Times New Roman"/>
          <w:color w:val="000000"/>
          <w:sz w:val="26"/>
          <w:szCs w:val="26"/>
        </w:rPr>
        <w:t>system is comprised of two wells:</w:t>
      </w:r>
      <w:r w:rsidR="001918B1">
        <w:rPr>
          <w:rFonts w:ascii="Times New Roman" w:eastAsia="Times New Roman" w:hAnsi="Times New Roman" w:cs="Times New Roman"/>
          <w:color w:val="000000"/>
          <w:sz w:val="26"/>
          <w:szCs w:val="26"/>
        </w:rPr>
        <w:t xml:space="preserve"> </w:t>
      </w:r>
      <w:r w:rsidR="00A639F3">
        <w:rPr>
          <w:rFonts w:ascii="Times New Roman" w:eastAsia="Times New Roman" w:hAnsi="Times New Roman" w:cs="Times New Roman"/>
          <w:color w:val="000000"/>
          <w:sz w:val="26"/>
          <w:szCs w:val="26"/>
        </w:rPr>
        <w:t xml:space="preserve"> </w:t>
      </w:r>
      <w:r w:rsidR="00D916D4" w:rsidRPr="00EA3CE1">
        <w:rPr>
          <w:rFonts w:ascii="Times New Roman" w:eastAsia="Times New Roman" w:hAnsi="Times New Roman" w:cs="Times New Roman"/>
          <w:color w:val="000000"/>
          <w:sz w:val="26"/>
          <w:szCs w:val="26"/>
        </w:rPr>
        <w:t>(1) Well No. 1, which is inoperable; and (2) Well No. 2, which is the system’s only working well.  OCA Exhs. 6 and 7.  Twin Lakes also suffers from significant UFW</w:t>
      </w:r>
      <w:r w:rsidR="00D916D4" w:rsidRPr="00D916D4">
        <w:rPr>
          <w:rFonts w:ascii="Times New Roman" w:eastAsia="Times New Roman" w:hAnsi="Times New Roman" w:cs="Times New Roman"/>
          <w:color w:val="000000"/>
          <w:sz w:val="26"/>
          <w:szCs w:val="26"/>
        </w:rPr>
        <w:t xml:space="preserve"> </w:t>
      </w:r>
      <w:r w:rsidR="00D916D4" w:rsidRPr="00EA3CE1">
        <w:rPr>
          <w:rFonts w:ascii="Times New Roman" w:eastAsia="Times New Roman" w:hAnsi="Times New Roman" w:cs="Times New Roman"/>
          <w:color w:val="000000"/>
          <w:sz w:val="26"/>
          <w:szCs w:val="26"/>
        </w:rPr>
        <w:t xml:space="preserve">levels which have risen to as high as 86% in recent years.  Since 2011, Twin Lakes has requested and received rate increases three times, </w:t>
      </w:r>
      <w:r w:rsidR="00D916D4" w:rsidRPr="00D916D4">
        <w:rPr>
          <w:rFonts w:ascii="Times New Roman" w:eastAsia="Times New Roman" w:hAnsi="Times New Roman" w:cs="Times New Roman"/>
          <w:color w:val="000000"/>
          <w:sz w:val="26"/>
          <w:szCs w:val="26"/>
        </w:rPr>
        <w:t>in each case seeking increases of more than double the existing rates.  I</w:t>
      </w:r>
      <w:r w:rsidR="00D916D4" w:rsidRPr="00EA3CE1">
        <w:rPr>
          <w:rFonts w:ascii="Times New Roman" w:eastAsia="Times New Roman" w:hAnsi="Times New Roman" w:cs="Times New Roman"/>
          <w:color w:val="000000"/>
          <w:sz w:val="26"/>
          <w:szCs w:val="26"/>
        </w:rPr>
        <w:t xml:space="preserve">n the 2011 and 2015 cases, the rate increases were tied to specific improvements to its facilities.  </w:t>
      </w:r>
    </w:p>
    <w:p w14:paraId="7918232E" w14:textId="77777777" w:rsidR="009B74B5" w:rsidRDefault="009B74B5" w:rsidP="00D916D4">
      <w:pPr>
        <w:spacing w:after="0" w:line="360" w:lineRule="auto"/>
        <w:ind w:firstLine="1440"/>
        <w:textAlignment w:val="baseline"/>
        <w:rPr>
          <w:rFonts w:ascii="Times New Roman" w:eastAsia="Times New Roman" w:hAnsi="Times New Roman" w:cs="Times New Roman"/>
          <w:color w:val="000000"/>
          <w:sz w:val="26"/>
          <w:szCs w:val="26"/>
        </w:rPr>
      </w:pPr>
    </w:p>
    <w:p w14:paraId="38732006" w14:textId="4894373E" w:rsidR="00D916D4" w:rsidRPr="00D916D4" w:rsidRDefault="00D916D4" w:rsidP="00D916D4">
      <w:pPr>
        <w:spacing w:after="0" w:line="360" w:lineRule="auto"/>
        <w:ind w:firstLine="1440"/>
        <w:textAlignment w:val="baseline"/>
        <w:rPr>
          <w:rFonts w:ascii="Times New Roman" w:eastAsia="Times New Roman" w:hAnsi="Times New Roman" w:cs="Times New Roman"/>
          <w:color w:val="000000"/>
          <w:sz w:val="26"/>
          <w:szCs w:val="26"/>
        </w:rPr>
      </w:pPr>
      <w:r w:rsidRPr="00D916D4">
        <w:rPr>
          <w:rFonts w:ascii="Times New Roman" w:eastAsia="Times New Roman" w:hAnsi="Times New Roman" w:cs="Times New Roman"/>
          <w:color w:val="000000"/>
          <w:sz w:val="26"/>
          <w:szCs w:val="26"/>
        </w:rPr>
        <w:t xml:space="preserve">In Twin Lakes’ most recent rate case, the </w:t>
      </w:r>
      <w:r w:rsidRPr="00D916D4">
        <w:rPr>
          <w:rFonts w:ascii="Times New Roman" w:eastAsia="Times New Roman" w:hAnsi="Times New Roman" w:cs="Times New Roman"/>
          <w:i/>
          <w:iCs/>
          <w:color w:val="000000"/>
          <w:sz w:val="26"/>
          <w:szCs w:val="26"/>
        </w:rPr>
        <w:t>2020 Rate Case Order</w:t>
      </w:r>
      <w:r w:rsidRPr="00D916D4">
        <w:rPr>
          <w:rFonts w:ascii="Times New Roman" w:eastAsia="Times New Roman" w:hAnsi="Times New Roman" w:cs="Times New Roman"/>
          <w:color w:val="000000"/>
          <w:sz w:val="26"/>
          <w:szCs w:val="26"/>
        </w:rPr>
        <w:t xml:space="preserve">, the Commission approved an annual increase of $117,374 (88%) as opposed to the initially requested amount of $211,793 (158.63%).  In that proceeding, we noted </w:t>
      </w:r>
      <w:r w:rsidRPr="00D916D4">
        <w:rPr>
          <w:rFonts w:ascii="Times New Roman" w:eastAsia="Times New Roman" w:hAnsi="Times New Roman" w:cs="Times New Roman"/>
          <w:sz w:val="26"/>
          <w:szCs w:val="26"/>
        </w:rPr>
        <w:t xml:space="preserve">our serious concern regarding the evidence of record revealing the poor and worsening condition of the system operated by Twin Lakes, citing the undisputed record that the system’s Well No. 1 is collapsed and non-usable and Well No. 2’s operational viability is at risk due to the stress on it caused by the over-pumping of the well.  We also acknowledged the UFW levels ranging from 78.7%-82.9% in 2015-2018.  Thus, we cautioned that we fully </w:t>
      </w:r>
      <w:r w:rsidRPr="00D916D4">
        <w:rPr>
          <w:rFonts w:ascii="Times New Roman" w:eastAsia="Times New Roman" w:hAnsi="Times New Roman" w:cs="Times New Roman"/>
          <w:sz w:val="26"/>
          <w:szCs w:val="26"/>
        </w:rPr>
        <w:lastRenderedPageBreak/>
        <w:t xml:space="preserve">expected the Company to meet its future service obligations under Section 1501 of the Code.  </w:t>
      </w:r>
      <w:r w:rsidRPr="00D916D4">
        <w:rPr>
          <w:rFonts w:ascii="Times New Roman" w:eastAsia="Times New Roman" w:hAnsi="Times New Roman" w:cs="Times New Roman"/>
          <w:i/>
          <w:iCs/>
          <w:color w:val="000000"/>
          <w:sz w:val="26"/>
          <w:szCs w:val="26"/>
        </w:rPr>
        <w:t xml:space="preserve">2020 Rate Case Order </w:t>
      </w:r>
      <w:r w:rsidRPr="00D916D4">
        <w:rPr>
          <w:rFonts w:ascii="Times New Roman" w:eastAsia="Times New Roman" w:hAnsi="Times New Roman" w:cs="Times New Roman"/>
          <w:color w:val="000000"/>
          <w:sz w:val="26"/>
          <w:szCs w:val="26"/>
        </w:rPr>
        <w:t xml:space="preserve">at 4, 65.  </w:t>
      </w:r>
    </w:p>
    <w:p w14:paraId="33A050F6" w14:textId="77777777" w:rsidR="00D916D4" w:rsidRPr="00D916D4" w:rsidRDefault="00D916D4" w:rsidP="00D916D4">
      <w:pPr>
        <w:spacing w:after="0" w:line="360" w:lineRule="auto"/>
        <w:ind w:firstLine="1440"/>
        <w:textAlignment w:val="baseline"/>
        <w:rPr>
          <w:rFonts w:ascii="Times New Roman" w:eastAsia="Times New Roman" w:hAnsi="Times New Roman" w:cs="Times New Roman"/>
          <w:color w:val="000000"/>
          <w:sz w:val="26"/>
          <w:szCs w:val="26"/>
        </w:rPr>
      </w:pPr>
    </w:p>
    <w:p w14:paraId="284EAB7C" w14:textId="31215BA7" w:rsidR="00D916D4" w:rsidRPr="00D916D4" w:rsidRDefault="00D916D4" w:rsidP="00D916D4">
      <w:pPr>
        <w:spacing w:after="0" w:line="360" w:lineRule="auto"/>
        <w:ind w:firstLine="1440"/>
        <w:textAlignment w:val="baseline"/>
        <w:rPr>
          <w:rFonts w:ascii="Times New Roman" w:eastAsia="Times New Roman" w:hAnsi="Times New Roman" w:cs="Times New Roman"/>
          <w:sz w:val="26"/>
          <w:szCs w:val="26"/>
        </w:rPr>
      </w:pPr>
      <w:r w:rsidRPr="00D916D4">
        <w:rPr>
          <w:rFonts w:ascii="Times New Roman" w:eastAsia="Times New Roman" w:hAnsi="Times New Roman" w:cs="Times New Roman"/>
          <w:color w:val="000000"/>
          <w:sz w:val="26"/>
          <w:szCs w:val="26"/>
        </w:rPr>
        <w:t xml:space="preserve">Given the demonstrated and prolonged failure of Twin Lakes to meet its service obligations, there is ample evidence to conclude that the circumstances will </w:t>
      </w:r>
      <w:r w:rsidR="007E7041" w:rsidRPr="00D916D4">
        <w:rPr>
          <w:rFonts w:ascii="Times New Roman" w:eastAsia="Times New Roman" w:hAnsi="Times New Roman" w:cs="Times New Roman"/>
          <w:color w:val="000000"/>
          <w:sz w:val="26"/>
          <w:szCs w:val="26"/>
        </w:rPr>
        <w:t>continue</w:t>
      </w:r>
      <w:r w:rsidRPr="00D916D4">
        <w:rPr>
          <w:rFonts w:ascii="Times New Roman" w:eastAsia="Times New Roman" w:hAnsi="Times New Roman" w:cs="Times New Roman"/>
          <w:color w:val="000000"/>
          <w:sz w:val="26"/>
          <w:szCs w:val="26"/>
        </w:rPr>
        <w:t xml:space="preserve">.  </w:t>
      </w:r>
    </w:p>
    <w:p w14:paraId="331F37D1" w14:textId="77777777" w:rsidR="008D7CD2" w:rsidRDefault="008D7CD2" w:rsidP="00E97BA0">
      <w:pPr>
        <w:spacing w:after="0" w:line="360" w:lineRule="auto"/>
        <w:ind w:firstLine="1440"/>
        <w:rPr>
          <w:rFonts w:ascii="Times New Roman" w:eastAsia="Calibri" w:hAnsi="Times New Roman" w:cs="Times New Roman"/>
          <w:sz w:val="26"/>
          <w:szCs w:val="26"/>
        </w:rPr>
      </w:pPr>
    </w:p>
    <w:p w14:paraId="6BA1887A" w14:textId="0A096E4B" w:rsidR="00193D93" w:rsidRDefault="008D7CD2" w:rsidP="00E97BA0">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Based upon the demonstrated </w:t>
      </w:r>
      <w:r w:rsidR="0058283F">
        <w:rPr>
          <w:rFonts w:ascii="Times New Roman" w:eastAsia="Calibri" w:hAnsi="Times New Roman" w:cs="Times New Roman"/>
          <w:sz w:val="26"/>
          <w:szCs w:val="26"/>
        </w:rPr>
        <w:t xml:space="preserve">and prolonged </w:t>
      </w:r>
      <w:r>
        <w:rPr>
          <w:rFonts w:ascii="Times New Roman" w:eastAsia="Calibri" w:hAnsi="Times New Roman" w:cs="Times New Roman"/>
          <w:sz w:val="26"/>
          <w:szCs w:val="26"/>
        </w:rPr>
        <w:t xml:space="preserve">failure of </w:t>
      </w:r>
      <w:r w:rsidR="00EC0370">
        <w:rPr>
          <w:rFonts w:ascii="Times New Roman" w:eastAsia="Calibri" w:hAnsi="Times New Roman" w:cs="Times New Roman"/>
          <w:sz w:val="26"/>
          <w:szCs w:val="26"/>
        </w:rPr>
        <w:t>Twin Lakes</w:t>
      </w:r>
      <w:r w:rsidR="00FF2352">
        <w:rPr>
          <w:rFonts w:ascii="Times New Roman" w:eastAsia="Calibri" w:hAnsi="Times New Roman" w:cs="Times New Roman"/>
          <w:sz w:val="26"/>
          <w:szCs w:val="26"/>
        </w:rPr>
        <w:t xml:space="preserve"> and Middlesex, whether viewed separately, or as one in the same,</w:t>
      </w:r>
      <w:r w:rsidR="0058283F">
        <w:rPr>
          <w:rFonts w:ascii="Times New Roman" w:eastAsia="Calibri" w:hAnsi="Times New Roman" w:cs="Times New Roman"/>
          <w:sz w:val="26"/>
          <w:szCs w:val="26"/>
        </w:rPr>
        <w:t xml:space="preserve"> to </w:t>
      </w:r>
      <w:r w:rsidR="00BD0771">
        <w:rPr>
          <w:rFonts w:ascii="Times New Roman" w:eastAsia="Calibri" w:hAnsi="Times New Roman" w:cs="Times New Roman"/>
          <w:sz w:val="26"/>
          <w:szCs w:val="26"/>
        </w:rPr>
        <w:t>furnish</w:t>
      </w:r>
      <w:r w:rsidR="0058283F">
        <w:rPr>
          <w:rFonts w:ascii="Times New Roman" w:eastAsia="Calibri" w:hAnsi="Times New Roman" w:cs="Times New Roman"/>
          <w:sz w:val="26"/>
          <w:szCs w:val="26"/>
        </w:rPr>
        <w:t xml:space="preserve"> the </w:t>
      </w:r>
      <w:r w:rsidR="00577303">
        <w:rPr>
          <w:rFonts w:ascii="Times New Roman" w:eastAsia="Calibri" w:hAnsi="Times New Roman" w:cs="Times New Roman"/>
          <w:sz w:val="26"/>
          <w:szCs w:val="26"/>
        </w:rPr>
        <w:t>necessity</w:t>
      </w:r>
      <w:r w:rsidR="002A0989">
        <w:rPr>
          <w:rFonts w:ascii="Times New Roman" w:eastAsia="Calibri" w:hAnsi="Times New Roman" w:cs="Times New Roman"/>
          <w:sz w:val="26"/>
          <w:szCs w:val="26"/>
        </w:rPr>
        <w:t xml:space="preserve"> of safe and adequate water service to the customers of the Twin Lakes system, </w:t>
      </w:r>
      <w:r w:rsidR="00CE40BA">
        <w:rPr>
          <w:rFonts w:ascii="Times New Roman" w:eastAsia="Calibri" w:hAnsi="Times New Roman" w:cs="Times New Roman"/>
          <w:sz w:val="26"/>
          <w:szCs w:val="26"/>
        </w:rPr>
        <w:t xml:space="preserve">we find that there is no </w:t>
      </w:r>
      <w:r w:rsidR="00A71143">
        <w:rPr>
          <w:rFonts w:ascii="Times New Roman" w:eastAsia="Calibri" w:hAnsi="Times New Roman" w:cs="Times New Roman"/>
          <w:sz w:val="26"/>
          <w:szCs w:val="26"/>
        </w:rPr>
        <w:t xml:space="preserve">basis to form a </w:t>
      </w:r>
      <w:r w:rsidR="00CE40BA">
        <w:rPr>
          <w:rFonts w:ascii="Times New Roman" w:eastAsia="Calibri" w:hAnsi="Times New Roman" w:cs="Times New Roman"/>
          <w:sz w:val="26"/>
          <w:szCs w:val="26"/>
        </w:rPr>
        <w:t xml:space="preserve">reasonable expectation that the utility will </w:t>
      </w:r>
      <w:r w:rsidR="00A71143">
        <w:rPr>
          <w:rFonts w:ascii="Times New Roman" w:eastAsia="Calibri" w:hAnsi="Times New Roman" w:cs="Times New Roman"/>
          <w:sz w:val="26"/>
          <w:szCs w:val="26"/>
        </w:rPr>
        <w:t xml:space="preserve">perform its statutory duty in the future, per </w:t>
      </w:r>
      <w:r w:rsidR="00577303">
        <w:rPr>
          <w:rFonts w:ascii="Times New Roman" w:eastAsia="Calibri" w:hAnsi="Times New Roman" w:cs="Times New Roman"/>
          <w:sz w:val="26"/>
          <w:szCs w:val="26"/>
        </w:rPr>
        <w:t xml:space="preserve">Section 529(a)(3).  </w:t>
      </w:r>
      <w:r w:rsidR="004C3481">
        <w:rPr>
          <w:rFonts w:ascii="Times New Roman" w:eastAsia="Calibri" w:hAnsi="Times New Roman" w:cs="Times New Roman"/>
          <w:sz w:val="26"/>
          <w:szCs w:val="26"/>
        </w:rPr>
        <w:t xml:space="preserve">Under </w:t>
      </w:r>
      <w:r w:rsidR="00A20A69">
        <w:rPr>
          <w:rFonts w:ascii="Times New Roman" w:eastAsia="Calibri" w:hAnsi="Times New Roman" w:cs="Times New Roman"/>
          <w:sz w:val="26"/>
          <w:szCs w:val="26"/>
        </w:rPr>
        <w:t xml:space="preserve">Section 529(a)(3) </w:t>
      </w:r>
      <w:r w:rsidR="004C3481">
        <w:rPr>
          <w:rFonts w:ascii="Times New Roman" w:eastAsia="Calibri" w:hAnsi="Times New Roman" w:cs="Times New Roman"/>
          <w:sz w:val="26"/>
          <w:szCs w:val="26"/>
        </w:rPr>
        <w:t xml:space="preserve">the Commission determines </w:t>
      </w:r>
      <w:r w:rsidR="00B9536C">
        <w:rPr>
          <w:rFonts w:ascii="Times New Roman" w:eastAsia="Calibri" w:hAnsi="Times New Roman" w:cs="Times New Roman"/>
          <w:sz w:val="26"/>
          <w:szCs w:val="26"/>
        </w:rPr>
        <w:t>more than the util</w:t>
      </w:r>
      <w:r w:rsidR="00CD6AA0">
        <w:rPr>
          <w:rFonts w:ascii="Times New Roman" w:eastAsia="Calibri" w:hAnsi="Times New Roman" w:cs="Times New Roman"/>
          <w:sz w:val="26"/>
          <w:szCs w:val="26"/>
        </w:rPr>
        <w:t xml:space="preserve">ity’s future </w:t>
      </w:r>
      <w:r w:rsidR="00CD6AA0" w:rsidRPr="00CD6AA0">
        <w:rPr>
          <w:rFonts w:ascii="Times New Roman" w:eastAsia="Calibri" w:hAnsi="Times New Roman" w:cs="Times New Roman"/>
          <w:i/>
          <w:iCs/>
          <w:sz w:val="26"/>
          <w:szCs w:val="26"/>
        </w:rPr>
        <w:t>ability</w:t>
      </w:r>
      <w:r w:rsidR="00CD6AA0">
        <w:rPr>
          <w:rFonts w:ascii="Times New Roman" w:eastAsia="Calibri" w:hAnsi="Times New Roman" w:cs="Times New Roman"/>
          <w:sz w:val="26"/>
          <w:szCs w:val="26"/>
        </w:rPr>
        <w:t xml:space="preserve"> to perform its statutory duty, </w:t>
      </w:r>
      <w:r w:rsidR="00D418ED">
        <w:rPr>
          <w:rFonts w:ascii="Times New Roman" w:eastAsia="Calibri" w:hAnsi="Times New Roman" w:cs="Times New Roman"/>
          <w:sz w:val="26"/>
          <w:szCs w:val="26"/>
        </w:rPr>
        <w:t xml:space="preserve">the Commission determines </w:t>
      </w:r>
      <w:r w:rsidR="004C3481">
        <w:rPr>
          <w:rFonts w:ascii="Times New Roman" w:eastAsia="Calibri" w:hAnsi="Times New Roman" w:cs="Times New Roman"/>
          <w:sz w:val="26"/>
          <w:szCs w:val="26"/>
        </w:rPr>
        <w:t>whether there is a</w:t>
      </w:r>
      <w:r w:rsidR="00A20A69">
        <w:rPr>
          <w:rFonts w:ascii="Times New Roman" w:eastAsia="Calibri" w:hAnsi="Times New Roman" w:cs="Times New Roman"/>
          <w:sz w:val="26"/>
          <w:szCs w:val="26"/>
        </w:rPr>
        <w:t xml:space="preserve"> reasonable future </w:t>
      </w:r>
      <w:r w:rsidR="004F19DC">
        <w:rPr>
          <w:rFonts w:ascii="Times New Roman" w:eastAsia="Calibri" w:hAnsi="Times New Roman" w:cs="Times New Roman"/>
          <w:sz w:val="26"/>
          <w:szCs w:val="26"/>
        </w:rPr>
        <w:t>expectation</w:t>
      </w:r>
      <w:r w:rsidR="00A20A69">
        <w:rPr>
          <w:rFonts w:ascii="Times New Roman" w:eastAsia="Calibri" w:hAnsi="Times New Roman" w:cs="Times New Roman"/>
          <w:sz w:val="26"/>
          <w:szCs w:val="26"/>
        </w:rPr>
        <w:t xml:space="preserve"> </w:t>
      </w:r>
      <w:r w:rsidR="00980E5E">
        <w:rPr>
          <w:rFonts w:ascii="Times New Roman" w:eastAsia="Calibri" w:hAnsi="Times New Roman" w:cs="Times New Roman"/>
          <w:sz w:val="26"/>
          <w:szCs w:val="26"/>
        </w:rPr>
        <w:t xml:space="preserve">that </w:t>
      </w:r>
      <w:r w:rsidR="000A6ABF">
        <w:rPr>
          <w:rFonts w:ascii="Times New Roman" w:eastAsia="Calibri" w:hAnsi="Times New Roman" w:cs="Times New Roman"/>
          <w:sz w:val="26"/>
          <w:szCs w:val="26"/>
        </w:rPr>
        <w:t xml:space="preserve">the utility </w:t>
      </w:r>
      <w:r w:rsidR="00980E5E" w:rsidRPr="00522C70">
        <w:rPr>
          <w:rFonts w:ascii="Times New Roman" w:eastAsia="Calibri" w:hAnsi="Times New Roman" w:cs="Times New Roman"/>
          <w:i/>
          <w:iCs/>
          <w:sz w:val="26"/>
          <w:szCs w:val="26"/>
        </w:rPr>
        <w:t>will perform</w:t>
      </w:r>
      <w:r w:rsidR="000A6ABF">
        <w:rPr>
          <w:rFonts w:ascii="Times New Roman" w:eastAsia="Calibri" w:hAnsi="Times New Roman" w:cs="Times New Roman"/>
          <w:sz w:val="26"/>
          <w:szCs w:val="26"/>
        </w:rPr>
        <w:t xml:space="preserve"> </w:t>
      </w:r>
      <w:r w:rsidR="00522C70">
        <w:rPr>
          <w:rFonts w:ascii="Times New Roman" w:eastAsia="Calibri" w:hAnsi="Times New Roman" w:cs="Times New Roman"/>
          <w:sz w:val="26"/>
          <w:szCs w:val="26"/>
        </w:rPr>
        <w:t xml:space="preserve">its </w:t>
      </w:r>
      <w:r w:rsidR="000A6ABF">
        <w:rPr>
          <w:rFonts w:ascii="Times New Roman" w:eastAsia="Calibri" w:hAnsi="Times New Roman" w:cs="Times New Roman"/>
          <w:sz w:val="26"/>
          <w:szCs w:val="26"/>
        </w:rPr>
        <w:t>statutory duty</w:t>
      </w:r>
      <w:r w:rsidR="00D26DD9">
        <w:rPr>
          <w:rFonts w:ascii="Times New Roman" w:eastAsia="Calibri" w:hAnsi="Times New Roman" w:cs="Times New Roman"/>
          <w:sz w:val="26"/>
          <w:szCs w:val="26"/>
        </w:rPr>
        <w:t>.</w:t>
      </w:r>
      <w:r w:rsidR="006B7180">
        <w:rPr>
          <w:rFonts w:ascii="Times New Roman" w:eastAsia="Calibri" w:hAnsi="Times New Roman" w:cs="Times New Roman"/>
          <w:sz w:val="26"/>
          <w:szCs w:val="26"/>
        </w:rPr>
        <w:t xml:space="preserve">  </w:t>
      </w:r>
      <w:r w:rsidR="0067139A">
        <w:rPr>
          <w:rFonts w:ascii="Times New Roman" w:eastAsia="Calibri" w:hAnsi="Times New Roman" w:cs="Times New Roman"/>
          <w:sz w:val="26"/>
          <w:szCs w:val="26"/>
        </w:rPr>
        <w:t>Therefore, we reject A</w:t>
      </w:r>
      <w:r w:rsidR="002A3378">
        <w:rPr>
          <w:rFonts w:ascii="Times New Roman" w:eastAsia="Calibri" w:hAnsi="Times New Roman" w:cs="Times New Roman"/>
          <w:sz w:val="26"/>
          <w:szCs w:val="26"/>
        </w:rPr>
        <w:t xml:space="preserve">qua’s argument that Twin Lakes, by virtue of Middlesex’s demonstrated ability to </w:t>
      </w:r>
      <w:r w:rsidR="00D15311">
        <w:rPr>
          <w:rFonts w:ascii="Times New Roman" w:eastAsia="Calibri" w:hAnsi="Times New Roman" w:cs="Times New Roman"/>
          <w:sz w:val="26"/>
          <w:szCs w:val="26"/>
        </w:rPr>
        <w:t xml:space="preserve">provide the </w:t>
      </w:r>
      <w:r w:rsidR="00FE2850">
        <w:rPr>
          <w:rFonts w:ascii="Times New Roman" w:eastAsia="Calibri" w:hAnsi="Times New Roman" w:cs="Times New Roman"/>
          <w:sz w:val="26"/>
          <w:szCs w:val="26"/>
        </w:rPr>
        <w:t xml:space="preserve">financial, managerial and operational </w:t>
      </w:r>
      <w:r w:rsidR="00D15311">
        <w:rPr>
          <w:rFonts w:ascii="Times New Roman" w:eastAsia="Calibri" w:hAnsi="Times New Roman" w:cs="Times New Roman"/>
          <w:sz w:val="26"/>
          <w:szCs w:val="26"/>
        </w:rPr>
        <w:t xml:space="preserve">resources necessary for the adequate provision of </w:t>
      </w:r>
      <w:r w:rsidR="00FE2850">
        <w:rPr>
          <w:rFonts w:ascii="Times New Roman" w:eastAsia="Calibri" w:hAnsi="Times New Roman" w:cs="Times New Roman"/>
          <w:sz w:val="26"/>
          <w:szCs w:val="26"/>
        </w:rPr>
        <w:t>water service to Twin Lakes’ customers precludes a finding that Twin Lakes satisfies the criteria under Section</w:t>
      </w:r>
      <w:r w:rsidR="001231D6">
        <w:rPr>
          <w:rFonts w:ascii="Times New Roman" w:eastAsia="Calibri" w:hAnsi="Times New Roman" w:cs="Times New Roman"/>
          <w:sz w:val="26"/>
          <w:szCs w:val="26"/>
        </w:rPr>
        <w:t> </w:t>
      </w:r>
      <w:r w:rsidR="00FE2850">
        <w:rPr>
          <w:rFonts w:ascii="Times New Roman" w:eastAsia="Calibri" w:hAnsi="Times New Roman" w:cs="Times New Roman"/>
          <w:sz w:val="26"/>
          <w:szCs w:val="26"/>
        </w:rPr>
        <w:t xml:space="preserve">529(a)(3).  </w:t>
      </w:r>
    </w:p>
    <w:p w14:paraId="2D923637" w14:textId="77777777" w:rsidR="00580550" w:rsidRDefault="00580550" w:rsidP="00E97BA0">
      <w:pPr>
        <w:spacing w:after="0" w:line="360" w:lineRule="auto"/>
        <w:ind w:firstLine="1440"/>
        <w:rPr>
          <w:rFonts w:ascii="Times New Roman" w:eastAsia="Calibri" w:hAnsi="Times New Roman" w:cs="Times New Roman"/>
          <w:sz w:val="26"/>
          <w:szCs w:val="26"/>
        </w:rPr>
      </w:pPr>
    </w:p>
    <w:p w14:paraId="5A65766F" w14:textId="2C18D03D" w:rsidR="004B1861" w:rsidRPr="00E97BA0" w:rsidRDefault="003F5852" w:rsidP="00E97BA0">
      <w:pPr>
        <w:spacing w:after="0" w:line="360" w:lineRule="auto"/>
        <w:ind w:firstLine="1440"/>
        <w:rPr>
          <w:rFonts w:ascii="Times New Roman" w:eastAsia="Calibri" w:hAnsi="Times New Roman" w:cs="Times New Roman"/>
          <w:sz w:val="26"/>
          <w:szCs w:val="26"/>
        </w:rPr>
      </w:pPr>
      <w:r>
        <w:rPr>
          <w:rFonts w:ascii="Times New Roman" w:hAnsi="Times New Roman" w:cs="Times New Roman"/>
          <w:sz w:val="26"/>
          <w:szCs w:val="26"/>
        </w:rPr>
        <w:t xml:space="preserve">With respect to </w:t>
      </w:r>
      <w:r w:rsidR="00193D93">
        <w:rPr>
          <w:rFonts w:ascii="Times New Roman" w:hAnsi="Times New Roman" w:cs="Times New Roman"/>
          <w:sz w:val="26"/>
          <w:szCs w:val="26"/>
        </w:rPr>
        <w:t xml:space="preserve">Twin Lakes’ </w:t>
      </w:r>
      <w:r>
        <w:rPr>
          <w:rFonts w:ascii="Times New Roman" w:hAnsi="Times New Roman" w:cs="Times New Roman"/>
          <w:sz w:val="26"/>
          <w:szCs w:val="26"/>
        </w:rPr>
        <w:t>E</w:t>
      </w:r>
      <w:r w:rsidR="00671D47">
        <w:rPr>
          <w:rFonts w:ascii="Times New Roman" w:hAnsi="Times New Roman" w:cs="Times New Roman"/>
          <w:sz w:val="26"/>
          <w:szCs w:val="26"/>
        </w:rPr>
        <w:t>xceptions Nos</w:t>
      </w:r>
      <w:r w:rsidR="00193D93">
        <w:rPr>
          <w:rFonts w:ascii="Times New Roman" w:hAnsi="Times New Roman" w:cs="Times New Roman"/>
          <w:sz w:val="26"/>
          <w:szCs w:val="26"/>
        </w:rPr>
        <w:t>.</w:t>
      </w:r>
      <w:r w:rsidR="00671D47">
        <w:rPr>
          <w:rFonts w:ascii="Times New Roman" w:hAnsi="Times New Roman" w:cs="Times New Roman"/>
          <w:sz w:val="26"/>
          <w:szCs w:val="26"/>
        </w:rPr>
        <w:t xml:space="preserve"> 1 and 2, we shall similarly deny the Exceptions.</w:t>
      </w:r>
      <w:r w:rsidR="00282DFF">
        <w:rPr>
          <w:rFonts w:ascii="Times New Roman" w:hAnsi="Times New Roman" w:cs="Times New Roman"/>
          <w:sz w:val="26"/>
          <w:szCs w:val="26"/>
        </w:rPr>
        <w:t xml:space="preserve">  </w:t>
      </w:r>
      <w:r w:rsidR="00E9450C" w:rsidRPr="00E9450C">
        <w:rPr>
          <w:rFonts w:ascii="Times New Roman" w:hAnsi="Times New Roman" w:cs="Times New Roman"/>
          <w:sz w:val="26"/>
          <w:szCs w:val="26"/>
        </w:rPr>
        <w:t>Twin Lakes argues that ALJ Cheskis was correct in finding that Twin Lakes has met the statutory requirements of Section 529 but does not support the condition of escrow because it argues that the Commission lacks jurisdiction over Middlesex and the escrow condition would be confiscatory.  Twin Lakes Exc</w:t>
      </w:r>
      <w:r w:rsidR="006B252D">
        <w:rPr>
          <w:rFonts w:ascii="Times New Roman" w:hAnsi="Times New Roman" w:cs="Times New Roman"/>
          <w:sz w:val="26"/>
          <w:szCs w:val="26"/>
        </w:rPr>
        <w:t>.</w:t>
      </w:r>
      <w:r w:rsidR="00E9450C" w:rsidRPr="00E9450C">
        <w:rPr>
          <w:rFonts w:ascii="Times New Roman" w:hAnsi="Times New Roman" w:cs="Times New Roman"/>
          <w:sz w:val="26"/>
          <w:szCs w:val="26"/>
        </w:rPr>
        <w:t xml:space="preserve"> at 1-4.</w:t>
      </w:r>
    </w:p>
    <w:p w14:paraId="7DBAE1B6" w14:textId="25615BF1" w:rsidR="00E9450C" w:rsidRPr="00E9450C" w:rsidRDefault="00E9450C" w:rsidP="00E9450C">
      <w:pPr>
        <w:spacing w:after="0" w:line="360" w:lineRule="auto"/>
        <w:ind w:firstLine="1440"/>
        <w:rPr>
          <w:rFonts w:ascii="Times New Roman" w:hAnsi="Times New Roman" w:cs="Times New Roman"/>
          <w:sz w:val="26"/>
          <w:szCs w:val="26"/>
        </w:rPr>
      </w:pPr>
    </w:p>
    <w:p w14:paraId="3735DFEF" w14:textId="242DC248" w:rsidR="00F474DE" w:rsidRDefault="00085F97" w:rsidP="00364756">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note that the </w:t>
      </w:r>
      <w:r w:rsidR="00D82CD1">
        <w:rPr>
          <w:rFonts w:ascii="Times New Roman" w:hAnsi="Times New Roman" w:cs="Times New Roman"/>
          <w:sz w:val="26"/>
          <w:szCs w:val="26"/>
        </w:rPr>
        <w:t xml:space="preserve">ALJ addressed the issue of jurisdiction over Middlesex as a preliminary matter and concluded that the Commission has jurisdiction over </w:t>
      </w:r>
      <w:r w:rsidR="007A3550">
        <w:rPr>
          <w:rFonts w:ascii="Times New Roman" w:hAnsi="Times New Roman" w:cs="Times New Roman"/>
          <w:sz w:val="26"/>
          <w:szCs w:val="26"/>
        </w:rPr>
        <w:t xml:space="preserve">Middlesex for purposes of this Section 529 proceeding.  We agree. </w:t>
      </w:r>
      <w:r w:rsidR="00696AF9">
        <w:rPr>
          <w:rFonts w:ascii="Times New Roman" w:hAnsi="Times New Roman" w:cs="Times New Roman"/>
          <w:sz w:val="26"/>
          <w:szCs w:val="26"/>
        </w:rPr>
        <w:t xml:space="preserve"> </w:t>
      </w:r>
      <w:r w:rsidR="004C73FD">
        <w:rPr>
          <w:rFonts w:ascii="Times New Roman" w:hAnsi="Times New Roman" w:cs="Times New Roman"/>
          <w:sz w:val="26"/>
          <w:szCs w:val="26"/>
        </w:rPr>
        <w:t xml:space="preserve">We are persuaded by the </w:t>
      </w:r>
      <w:r w:rsidR="007D1390">
        <w:rPr>
          <w:rFonts w:ascii="Times New Roman" w:hAnsi="Times New Roman" w:cs="Times New Roman"/>
          <w:sz w:val="26"/>
          <w:szCs w:val="26"/>
        </w:rPr>
        <w:t xml:space="preserve">ALJ’s </w:t>
      </w:r>
      <w:r w:rsidR="007D1390">
        <w:rPr>
          <w:rFonts w:ascii="Times New Roman" w:hAnsi="Times New Roman" w:cs="Times New Roman"/>
          <w:sz w:val="26"/>
          <w:szCs w:val="26"/>
        </w:rPr>
        <w:lastRenderedPageBreak/>
        <w:t xml:space="preserve">recommendation and </w:t>
      </w:r>
      <w:r w:rsidR="004C73FD">
        <w:rPr>
          <w:rFonts w:ascii="Times New Roman" w:hAnsi="Times New Roman" w:cs="Times New Roman"/>
          <w:sz w:val="26"/>
          <w:szCs w:val="26"/>
        </w:rPr>
        <w:t>position of I&amp;E and Aqua</w:t>
      </w:r>
      <w:r w:rsidR="007D1390">
        <w:rPr>
          <w:rFonts w:ascii="Times New Roman" w:hAnsi="Times New Roman" w:cs="Times New Roman"/>
          <w:sz w:val="26"/>
          <w:szCs w:val="26"/>
        </w:rPr>
        <w:t>,</w:t>
      </w:r>
      <w:r w:rsidR="004C73FD">
        <w:rPr>
          <w:rFonts w:ascii="Times New Roman" w:hAnsi="Times New Roman" w:cs="Times New Roman"/>
          <w:sz w:val="26"/>
          <w:szCs w:val="26"/>
        </w:rPr>
        <w:t xml:space="preserve"> that the Commission has jurisdiction over Middlesex in the circumstances.  </w:t>
      </w:r>
    </w:p>
    <w:p w14:paraId="30DA7427" w14:textId="539BA7A5" w:rsidR="00F474DE" w:rsidRDefault="00F474DE" w:rsidP="00364756">
      <w:pPr>
        <w:spacing w:after="0" w:line="360" w:lineRule="auto"/>
        <w:ind w:firstLine="1440"/>
        <w:rPr>
          <w:rFonts w:ascii="Times New Roman" w:hAnsi="Times New Roman" w:cs="Times New Roman"/>
          <w:sz w:val="26"/>
          <w:szCs w:val="26"/>
        </w:rPr>
      </w:pPr>
    </w:p>
    <w:p w14:paraId="4274F208" w14:textId="26754763" w:rsidR="00F126F5" w:rsidRDefault="00592533" w:rsidP="00364756">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w:t>
      </w:r>
      <w:r w:rsidR="00660FE7">
        <w:rPr>
          <w:rFonts w:ascii="Times New Roman" w:hAnsi="Times New Roman" w:cs="Times New Roman"/>
          <w:sz w:val="26"/>
          <w:szCs w:val="26"/>
        </w:rPr>
        <w:t xml:space="preserve">expressly </w:t>
      </w:r>
      <w:r>
        <w:rPr>
          <w:rFonts w:ascii="Times New Roman" w:hAnsi="Times New Roman" w:cs="Times New Roman"/>
          <w:sz w:val="26"/>
          <w:szCs w:val="26"/>
        </w:rPr>
        <w:t>reject the arguments of Twin Lakes that the Commission has no authori</w:t>
      </w:r>
      <w:r w:rsidR="00BA6856">
        <w:rPr>
          <w:rFonts w:ascii="Times New Roman" w:hAnsi="Times New Roman" w:cs="Times New Roman"/>
          <w:sz w:val="26"/>
          <w:szCs w:val="26"/>
        </w:rPr>
        <w:t>ty to assert jurisdiction over Middlesex under the Public Utility Code.</w:t>
      </w:r>
      <w:r w:rsidR="00720423">
        <w:rPr>
          <w:rFonts w:ascii="Times New Roman" w:hAnsi="Times New Roman" w:cs="Times New Roman"/>
          <w:sz w:val="26"/>
          <w:szCs w:val="26"/>
        </w:rPr>
        <w:t xml:space="preserve">  In fact, </w:t>
      </w:r>
      <w:r w:rsidR="00095063">
        <w:rPr>
          <w:rFonts w:ascii="Times New Roman" w:hAnsi="Times New Roman" w:cs="Times New Roman"/>
          <w:sz w:val="26"/>
          <w:szCs w:val="26"/>
        </w:rPr>
        <w:t xml:space="preserve">it was </w:t>
      </w:r>
      <w:r w:rsidR="00720423">
        <w:rPr>
          <w:rFonts w:ascii="Times New Roman" w:hAnsi="Times New Roman" w:cs="Times New Roman"/>
          <w:sz w:val="26"/>
          <w:szCs w:val="26"/>
        </w:rPr>
        <w:t>Middlesex</w:t>
      </w:r>
      <w:r w:rsidR="00A378F7">
        <w:rPr>
          <w:rFonts w:ascii="Times New Roman" w:hAnsi="Times New Roman" w:cs="Times New Roman"/>
          <w:sz w:val="26"/>
          <w:szCs w:val="26"/>
        </w:rPr>
        <w:t xml:space="preserve"> </w:t>
      </w:r>
      <w:r w:rsidR="00095063">
        <w:rPr>
          <w:rFonts w:ascii="Times New Roman" w:hAnsi="Times New Roman" w:cs="Times New Roman"/>
          <w:sz w:val="26"/>
          <w:szCs w:val="26"/>
        </w:rPr>
        <w:t xml:space="preserve">which </w:t>
      </w:r>
      <w:r w:rsidR="00A378F7">
        <w:rPr>
          <w:rFonts w:ascii="Times New Roman" w:hAnsi="Times New Roman" w:cs="Times New Roman"/>
          <w:sz w:val="26"/>
          <w:szCs w:val="26"/>
        </w:rPr>
        <w:t>invoked</w:t>
      </w:r>
      <w:r w:rsidR="00660FE7">
        <w:rPr>
          <w:rFonts w:ascii="Times New Roman" w:hAnsi="Times New Roman" w:cs="Times New Roman"/>
          <w:sz w:val="26"/>
          <w:szCs w:val="26"/>
        </w:rPr>
        <w:t xml:space="preserve"> </w:t>
      </w:r>
      <w:r w:rsidR="00FB13E5">
        <w:rPr>
          <w:rFonts w:ascii="Times New Roman" w:hAnsi="Times New Roman" w:cs="Times New Roman"/>
          <w:sz w:val="26"/>
          <w:szCs w:val="26"/>
        </w:rPr>
        <w:t xml:space="preserve">this Commission’s authority </w:t>
      </w:r>
      <w:r w:rsidR="0032095E">
        <w:rPr>
          <w:rFonts w:ascii="Times New Roman" w:hAnsi="Times New Roman" w:cs="Times New Roman"/>
          <w:sz w:val="26"/>
          <w:szCs w:val="26"/>
        </w:rPr>
        <w:t xml:space="preserve">under the </w:t>
      </w:r>
      <w:r w:rsidR="00A378F7">
        <w:rPr>
          <w:rFonts w:ascii="Times New Roman" w:hAnsi="Times New Roman" w:cs="Times New Roman"/>
          <w:sz w:val="26"/>
          <w:szCs w:val="26"/>
        </w:rPr>
        <w:t>Code, in seeking to acquire Twin Lakes in 2008.  It was by th</w:t>
      </w:r>
      <w:r w:rsidR="00366FBD">
        <w:rPr>
          <w:rFonts w:ascii="Times New Roman" w:hAnsi="Times New Roman" w:cs="Times New Roman"/>
          <w:sz w:val="26"/>
          <w:szCs w:val="26"/>
        </w:rPr>
        <w:t xml:space="preserve">is Commission’s authority under the Code </w:t>
      </w:r>
      <w:r w:rsidR="006212DB">
        <w:rPr>
          <w:rFonts w:ascii="Times New Roman" w:hAnsi="Times New Roman" w:cs="Times New Roman"/>
          <w:sz w:val="26"/>
          <w:szCs w:val="26"/>
        </w:rPr>
        <w:t xml:space="preserve">that Middlesex’s acquisition of Twin </w:t>
      </w:r>
      <w:r w:rsidR="00BC3BF3">
        <w:rPr>
          <w:rFonts w:ascii="Times New Roman" w:hAnsi="Times New Roman" w:cs="Times New Roman"/>
          <w:sz w:val="26"/>
          <w:szCs w:val="26"/>
        </w:rPr>
        <w:t xml:space="preserve">Lakes was approved.  </w:t>
      </w:r>
      <w:r w:rsidR="00035857">
        <w:rPr>
          <w:rFonts w:ascii="Times New Roman" w:hAnsi="Times New Roman" w:cs="Times New Roman"/>
          <w:sz w:val="26"/>
          <w:szCs w:val="26"/>
        </w:rPr>
        <w:t xml:space="preserve">But for the authority of this Commission under the Code, </w:t>
      </w:r>
      <w:r w:rsidR="008E0795">
        <w:rPr>
          <w:rFonts w:ascii="Times New Roman" w:hAnsi="Times New Roman" w:cs="Times New Roman"/>
          <w:sz w:val="26"/>
          <w:szCs w:val="26"/>
        </w:rPr>
        <w:t>Middlesex could not be the owner of Twin Lakes.</w:t>
      </w:r>
      <w:r w:rsidR="005D7504">
        <w:rPr>
          <w:rFonts w:ascii="Times New Roman" w:hAnsi="Times New Roman" w:cs="Times New Roman"/>
          <w:sz w:val="26"/>
          <w:szCs w:val="26"/>
        </w:rPr>
        <w:t xml:space="preserve">  </w:t>
      </w:r>
      <w:r w:rsidR="009A2818">
        <w:rPr>
          <w:rFonts w:ascii="Times New Roman" w:hAnsi="Times New Roman" w:cs="Times New Roman"/>
          <w:sz w:val="26"/>
          <w:szCs w:val="26"/>
        </w:rPr>
        <w:t>In addition, i</w:t>
      </w:r>
      <w:r w:rsidR="001A3E78">
        <w:rPr>
          <w:rFonts w:ascii="Times New Roman" w:hAnsi="Times New Roman" w:cs="Times New Roman"/>
          <w:sz w:val="26"/>
          <w:szCs w:val="26"/>
        </w:rPr>
        <w:t xml:space="preserve">t was the authority of this Commission under the Code to which </w:t>
      </w:r>
      <w:r w:rsidR="00240D9C">
        <w:rPr>
          <w:rFonts w:ascii="Times New Roman" w:hAnsi="Times New Roman" w:cs="Times New Roman"/>
          <w:sz w:val="26"/>
          <w:szCs w:val="26"/>
        </w:rPr>
        <w:t xml:space="preserve">Middlesex submitted itself when it agreed to comply with the existing tariffs under which Twin Lakes </w:t>
      </w:r>
      <w:r w:rsidR="00F82140">
        <w:rPr>
          <w:rFonts w:ascii="Times New Roman" w:hAnsi="Times New Roman" w:cs="Times New Roman"/>
          <w:sz w:val="26"/>
          <w:szCs w:val="26"/>
        </w:rPr>
        <w:t xml:space="preserve">had formerly </w:t>
      </w:r>
      <w:r w:rsidR="00240D9C">
        <w:rPr>
          <w:rFonts w:ascii="Times New Roman" w:hAnsi="Times New Roman" w:cs="Times New Roman"/>
          <w:sz w:val="26"/>
          <w:szCs w:val="26"/>
        </w:rPr>
        <w:t xml:space="preserve">operated.  </w:t>
      </w:r>
      <w:r w:rsidR="005D7504">
        <w:rPr>
          <w:rFonts w:ascii="Times New Roman" w:hAnsi="Times New Roman" w:cs="Times New Roman"/>
          <w:sz w:val="26"/>
          <w:szCs w:val="26"/>
        </w:rPr>
        <w:t xml:space="preserve">Further, it is only by the authority of this Commission that </w:t>
      </w:r>
      <w:r w:rsidR="0028233E">
        <w:rPr>
          <w:rFonts w:ascii="Times New Roman" w:hAnsi="Times New Roman" w:cs="Times New Roman"/>
          <w:sz w:val="26"/>
          <w:szCs w:val="26"/>
        </w:rPr>
        <w:t xml:space="preserve">Twin Lakes may abandon service and </w:t>
      </w:r>
      <w:r w:rsidR="005D7504">
        <w:rPr>
          <w:rFonts w:ascii="Times New Roman" w:hAnsi="Times New Roman" w:cs="Times New Roman"/>
          <w:sz w:val="26"/>
          <w:szCs w:val="26"/>
        </w:rPr>
        <w:t xml:space="preserve">any other capable public utility shall become the </w:t>
      </w:r>
      <w:r w:rsidR="00720423">
        <w:rPr>
          <w:rFonts w:ascii="Times New Roman" w:hAnsi="Times New Roman" w:cs="Times New Roman"/>
          <w:sz w:val="26"/>
          <w:szCs w:val="26"/>
        </w:rPr>
        <w:t xml:space="preserve">new owner of Twin Lakes. </w:t>
      </w:r>
      <w:r w:rsidR="008E0795">
        <w:rPr>
          <w:rFonts w:ascii="Times New Roman" w:hAnsi="Times New Roman" w:cs="Times New Roman"/>
          <w:sz w:val="26"/>
          <w:szCs w:val="26"/>
        </w:rPr>
        <w:t xml:space="preserve"> </w:t>
      </w:r>
    </w:p>
    <w:p w14:paraId="6EA95224" w14:textId="7C40745B" w:rsidR="005F388D" w:rsidRPr="00DE403D" w:rsidRDefault="00091EE5" w:rsidP="00DE403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Further,</w:t>
      </w:r>
      <w:r w:rsidR="009B0858">
        <w:rPr>
          <w:rFonts w:ascii="Times New Roman" w:hAnsi="Times New Roman" w:cs="Times New Roman"/>
          <w:sz w:val="26"/>
          <w:szCs w:val="26"/>
        </w:rPr>
        <w:t xml:space="preserve"> </w:t>
      </w:r>
      <w:r w:rsidR="00F474DE">
        <w:rPr>
          <w:rFonts w:ascii="Times New Roman" w:hAnsi="Times New Roman" w:cs="Times New Roman"/>
          <w:sz w:val="26"/>
          <w:szCs w:val="26"/>
        </w:rPr>
        <w:t xml:space="preserve">we find that </w:t>
      </w:r>
      <w:r w:rsidR="00CA61E7">
        <w:rPr>
          <w:rFonts w:ascii="Times New Roman" w:hAnsi="Times New Roman" w:cs="Times New Roman"/>
          <w:sz w:val="26"/>
          <w:szCs w:val="26"/>
        </w:rPr>
        <w:t>Middlesex</w:t>
      </w:r>
      <w:r w:rsidR="00E11289">
        <w:rPr>
          <w:rFonts w:ascii="Times New Roman" w:hAnsi="Times New Roman" w:cs="Times New Roman"/>
          <w:sz w:val="26"/>
          <w:szCs w:val="26"/>
        </w:rPr>
        <w:t>’s conduct</w:t>
      </w:r>
      <w:r w:rsidR="00CA61E7">
        <w:rPr>
          <w:rFonts w:ascii="Times New Roman" w:hAnsi="Times New Roman" w:cs="Times New Roman"/>
          <w:sz w:val="26"/>
          <w:szCs w:val="26"/>
        </w:rPr>
        <w:t xml:space="preserve"> since its initial acquisition of Twin Lakes, establishes</w:t>
      </w:r>
      <w:r w:rsidR="00D63F09">
        <w:rPr>
          <w:rFonts w:ascii="Times New Roman" w:hAnsi="Times New Roman" w:cs="Times New Roman"/>
          <w:sz w:val="26"/>
          <w:szCs w:val="26"/>
        </w:rPr>
        <w:t xml:space="preserve"> that Twin Lakes is </w:t>
      </w:r>
      <w:r w:rsidR="00690754">
        <w:rPr>
          <w:rFonts w:ascii="Times New Roman" w:hAnsi="Times New Roman" w:cs="Times New Roman"/>
          <w:sz w:val="26"/>
          <w:szCs w:val="26"/>
        </w:rPr>
        <w:t xml:space="preserve">the </w:t>
      </w:r>
      <w:r w:rsidR="00D63F09">
        <w:rPr>
          <w:rFonts w:ascii="Times New Roman" w:hAnsi="Times New Roman" w:cs="Times New Roman"/>
          <w:sz w:val="26"/>
          <w:szCs w:val="26"/>
        </w:rPr>
        <w:t>alter ego of Middlesex within the Commonwealth, for purposes of our authority to implement the provisions of the Code and Commission Regulations.  As the ALJ noted</w:t>
      </w:r>
      <w:r w:rsidR="00DE403D" w:rsidRPr="006530F3">
        <w:rPr>
          <w:rFonts w:ascii="Times New Roman" w:hAnsi="Times New Roman" w:cs="Times New Roman"/>
          <w:sz w:val="26"/>
          <w:szCs w:val="26"/>
        </w:rPr>
        <w:t xml:space="preserve">, </w:t>
      </w:r>
      <w:r w:rsidR="005F388D" w:rsidRPr="006530F3">
        <w:rPr>
          <w:rFonts w:ascii="Times New Roman" w:eastAsia="Times New Roman" w:hAnsi="Times New Roman" w:cs="Times New Roman"/>
          <w:color w:val="000000"/>
          <w:sz w:val="26"/>
          <w:szCs w:val="26"/>
        </w:rPr>
        <w:t xml:space="preserve">Middlesex, as the “original filer,” has purposefully availed itself of </w:t>
      </w:r>
      <w:r w:rsidR="00864A47">
        <w:rPr>
          <w:rFonts w:ascii="Times New Roman" w:eastAsia="Times New Roman" w:hAnsi="Times New Roman" w:cs="Times New Roman"/>
          <w:color w:val="000000"/>
          <w:sz w:val="26"/>
          <w:szCs w:val="26"/>
        </w:rPr>
        <w:t>Commission jurisdiction under the Code</w:t>
      </w:r>
      <w:r w:rsidR="00E3301C">
        <w:rPr>
          <w:rFonts w:ascii="Times New Roman" w:eastAsia="Times New Roman" w:hAnsi="Times New Roman" w:cs="Times New Roman"/>
          <w:color w:val="000000"/>
          <w:sz w:val="26"/>
          <w:szCs w:val="26"/>
        </w:rPr>
        <w:t xml:space="preserve">.  </w:t>
      </w:r>
      <w:r w:rsidR="004A6B9D">
        <w:rPr>
          <w:rFonts w:ascii="Times New Roman" w:eastAsia="Times New Roman" w:hAnsi="Times New Roman" w:cs="Times New Roman"/>
          <w:color w:val="000000"/>
          <w:sz w:val="26"/>
          <w:szCs w:val="26"/>
        </w:rPr>
        <w:t xml:space="preserve">As noted, </w:t>
      </w:r>
      <w:r w:rsidR="00E3301C">
        <w:rPr>
          <w:rFonts w:ascii="Times New Roman" w:eastAsia="Times New Roman" w:hAnsi="Times New Roman" w:cs="Times New Roman"/>
          <w:color w:val="000000"/>
          <w:sz w:val="26"/>
          <w:szCs w:val="26"/>
        </w:rPr>
        <w:t xml:space="preserve">Middlesex </w:t>
      </w:r>
      <w:r w:rsidR="006B5E1E">
        <w:rPr>
          <w:rFonts w:ascii="Times New Roman" w:eastAsia="Times New Roman" w:hAnsi="Times New Roman" w:cs="Times New Roman"/>
          <w:color w:val="000000"/>
          <w:sz w:val="26"/>
          <w:szCs w:val="26"/>
        </w:rPr>
        <w:t xml:space="preserve">subjected itself to </w:t>
      </w:r>
      <w:r w:rsidR="00864A47">
        <w:rPr>
          <w:rFonts w:ascii="Times New Roman" w:eastAsia="Times New Roman" w:hAnsi="Times New Roman" w:cs="Times New Roman"/>
          <w:color w:val="000000"/>
          <w:sz w:val="26"/>
          <w:szCs w:val="26"/>
        </w:rPr>
        <w:t xml:space="preserve">the jurisdiction of </w:t>
      </w:r>
      <w:r w:rsidR="005F388D" w:rsidRPr="006530F3">
        <w:rPr>
          <w:rFonts w:ascii="Times New Roman" w:eastAsia="Times New Roman" w:hAnsi="Times New Roman" w:cs="Times New Roman"/>
          <w:color w:val="000000"/>
          <w:sz w:val="26"/>
          <w:szCs w:val="26"/>
        </w:rPr>
        <w:t>Pennsylvania through specific acts and a course of dealing with the Commission and Pennsylvania customers.</w:t>
      </w:r>
      <w:r w:rsidR="00DE473A" w:rsidRPr="006530F3">
        <w:rPr>
          <w:rFonts w:ascii="Times New Roman" w:eastAsia="Times New Roman" w:hAnsi="Times New Roman" w:cs="Times New Roman"/>
          <w:color w:val="000000"/>
          <w:sz w:val="26"/>
          <w:szCs w:val="26"/>
        </w:rPr>
        <w:t xml:space="preserve">  </w:t>
      </w:r>
      <w:r w:rsidR="006B5E1E">
        <w:rPr>
          <w:rFonts w:ascii="Times New Roman" w:eastAsia="Times New Roman" w:hAnsi="Times New Roman" w:cs="Times New Roman"/>
          <w:color w:val="000000"/>
          <w:sz w:val="26"/>
          <w:szCs w:val="26"/>
        </w:rPr>
        <w:t xml:space="preserve">In addition to the Code, this </w:t>
      </w:r>
      <w:r w:rsidR="00DE473A" w:rsidRPr="006530F3">
        <w:rPr>
          <w:rFonts w:ascii="Times New Roman" w:eastAsia="Times New Roman" w:hAnsi="Times New Roman" w:cs="Times New Roman"/>
          <w:color w:val="000000"/>
          <w:sz w:val="26"/>
          <w:szCs w:val="26"/>
        </w:rPr>
        <w:t>Commission</w:t>
      </w:r>
      <w:r w:rsidR="006B5E1E">
        <w:rPr>
          <w:rFonts w:ascii="Times New Roman" w:eastAsia="Times New Roman" w:hAnsi="Times New Roman" w:cs="Times New Roman"/>
          <w:color w:val="000000"/>
          <w:sz w:val="26"/>
          <w:szCs w:val="26"/>
        </w:rPr>
        <w:t>’s</w:t>
      </w:r>
      <w:r w:rsidR="00DE473A" w:rsidRPr="006530F3">
        <w:rPr>
          <w:rFonts w:ascii="Times New Roman" w:eastAsia="Times New Roman" w:hAnsi="Times New Roman" w:cs="Times New Roman"/>
          <w:color w:val="000000"/>
          <w:sz w:val="26"/>
          <w:szCs w:val="26"/>
        </w:rPr>
        <w:t xml:space="preserve"> jurisdiction is further supported u</w:t>
      </w:r>
      <w:r w:rsidR="00F25310" w:rsidRPr="006530F3">
        <w:rPr>
          <w:rFonts w:ascii="Times New Roman" w:eastAsia="Times New Roman" w:hAnsi="Times New Roman" w:cs="Times New Roman"/>
          <w:color w:val="000000"/>
          <w:sz w:val="26"/>
          <w:szCs w:val="26"/>
        </w:rPr>
        <w:t xml:space="preserve">nder </w:t>
      </w:r>
      <w:r w:rsidR="005F388D" w:rsidRPr="006530F3">
        <w:rPr>
          <w:rFonts w:ascii="Times New Roman" w:eastAsia="Times New Roman" w:hAnsi="Times New Roman" w:cs="Times New Roman"/>
          <w:color w:val="000000"/>
          <w:sz w:val="26"/>
          <w:szCs w:val="26"/>
        </w:rPr>
        <w:t>Pennsylvania’s “long</w:t>
      </w:r>
      <w:r w:rsidR="00B85D47">
        <w:rPr>
          <w:rFonts w:ascii="Times New Roman" w:eastAsia="Times New Roman" w:hAnsi="Times New Roman" w:cs="Times New Roman"/>
          <w:color w:val="000000"/>
          <w:sz w:val="26"/>
          <w:szCs w:val="26"/>
        </w:rPr>
        <w:t xml:space="preserve"> </w:t>
      </w:r>
      <w:r w:rsidR="005F388D" w:rsidRPr="006530F3">
        <w:rPr>
          <w:rFonts w:ascii="Times New Roman" w:eastAsia="Times New Roman" w:hAnsi="Times New Roman" w:cs="Times New Roman"/>
          <w:color w:val="000000"/>
          <w:sz w:val="26"/>
          <w:szCs w:val="26"/>
        </w:rPr>
        <w:t xml:space="preserve">arm statute” and Middlesex’s course of dealings and particular acts, </w:t>
      </w:r>
      <w:r w:rsidR="00DE473A" w:rsidRPr="006530F3">
        <w:rPr>
          <w:rFonts w:ascii="Times New Roman" w:eastAsia="Times New Roman" w:hAnsi="Times New Roman" w:cs="Times New Roman"/>
          <w:color w:val="000000"/>
          <w:sz w:val="26"/>
          <w:szCs w:val="26"/>
        </w:rPr>
        <w:t xml:space="preserve">including </w:t>
      </w:r>
      <w:r w:rsidR="005F388D" w:rsidRPr="006530F3">
        <w:rPr>
          <w:rFonts w:ascii="Times New Roman" w:eastAsia="Times New Roman" w:hAnsi="Times New Roman" w:cs="Times New Roman"/>
          <w:color w:val="000000"/>
          <w:sz w:val="26"/>
          <w:szCs w:val="26"/>
        </w:rPr>
        <w:t xml:space="preserve">Middlesex’s numerous and purposeful contacts with Pennsylvania, the Commission and Pennsylvania ratepayers since 2008, </w:t>
      </w:r>
      <w:r w:rsidR="005F388D" w:rsidRPr="006530F3">
        <w:rPr>
          <w:rFonts w:ascii="Times New Roman" w:eastAsia="Times New Roman" w:hAnsi="Times New Roman" w:cs="Times New Roman"/>
          <w:i/>
          <w:iCs/>
          <w:color w:val="000000"/>
          <w:sz w:val="26"/>
          <w:szCs w:val="26"/>
        </w:rPr>
        <w:t>inter alia</w:t>
      </w:r>
      <w:r w:rsidR="005F388D" w:rsidRPr="006530F3">
        <w:rPr>
          <w:rFonts w:ascii="Times New Roman" w:eastAsia="Times New Roman" w:hAnsi="Times New Roman" w:cs="Times New Roman"/>
          <w:color w:val="000000"/>
          <w:sz w:val="26"/>
          <w:szCs w:val="26"/>
        </w:rPr>
        <w:t xml:space="preserve">, Middlesex’s original application to acquire Twin Lakes in 2008.  </w:t>
      </w:r>
      <w:r w:rsidR="008503D9" w:rsidRPr="006530F3">
        <w:rPr>
          <w:rFonts w:ascii="Times New Roman" w:eastAsia="Times New Roman" w:hAnsi="Times New Roman" w:cs="Times New Roman"/>
          <w:color w:val="000000"/>
          <w:sz w:val="26"/>
          <w:szCs w:val="26"/>
        </w:rPr>
        <w:t>We conclude</w:t>
      </w:r>
      <w:r w:rsidR="006530F3" w:rsidRPr="006530F3">
        <w:rPr>
          <w:rFonts w:ascii="Times New Roman" w:eastAsia="Times New Roman" w:hAnsi="Times New Roman" w:cs="Times New Roman"/>
          <w:color w:val="000000"/>
          <w:sz w:val="26"/>
          <w:szCs w:val="26"/>
        </w:rPr>
        <w:t xml:space="preserve">, as did the ALJ, that </w:t>
      </w:r>
      <w:r w:rsidR="005F388D" w:rsidRPr="006530F3">
        <w:rPr>
          <w:rFonts w:ascii="Times New Roman" w:eastAsia="Times New Roman" w:hAnsi="Times New Roman" w:cs="Times New Roman"/>
          <w:color w:val="000000"/>
          <w:sz w:val="26"/>
          <w:szCs w:val="26"/>
        </w:rPr>
        <w:t>the creation of Middlesex’s wholly owned Pennsylvania subsidiary, Twin Lakes, in April 2009 created the Pennsylvania alter ego of Middlesex.</w:t>
      </w:r>
    </w:p>
    <w:p w14:paraId="70C1204B" w14:textId="77777777" w:rsidR="005F388D" w:rsidRPr="001E43E2" w:rsidRDefault="005F388D" w:rsidP="005F388D">
      <w:pPr>
        <w:spacing w:after="0" w:line="360" w:lineRule="auto"/>
        <w:ind w:left="366" w:hanging="10"/>
        <w:rPr>
          <w:rFonts w:ascii="Times New Roman" w:eastAsia="Times New Roman" w:hAnsi="Times New Roman" w:cs="Times New Roman"/>
          <w:color w:val="000000"/>
          <w:sz w:val="26"/>
          <w:szCs w:val="26"/>
        </w:rPr>
      </w:pPr>
    </w:p>
    <w:p w14:paraId="3C00C8C5" w14:textId="77777777" w:rsidR="005F388D" w:rsidRDefault="005F388D" w:rsidP="005F388D">
      <w:pPr>
        <w:spacing w:after="0" w:line="360" w:lineRule="auto"/>
        <w:ind w:left="366" w:firstLine="1074"/>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lastRenderedPageBreak/>
        <w:t>Specifically, the ALJ concluded:</w:t>
      </w:r>
    </w:p>
    <w:p w14:paraId="0522FA39" w14:textId="77777777" w:rsidR="005F388D" w:rsidRPr="001E43E2" w:rsidRDefault="005F388D" w:rsidP="001231D6">
      <w:pPr>
        <w:spacing w:after="0" w:line="240" w:lineRule="auto"/>
        <w:ind w:left="366" w:firstLine="1074"/>
        <w:rPr>
          <w:rFonts w:ascii="Times New Roman" w:eastAsia="Times New Roman" w:hAnsi="Times New Roman" w:cs="Times New Roman"/>
          <w:color w:val="000000"/>
          <w:sz w:val="26"/>
          <w:szCs w:val="26"/>
        </w:rPr>
      </w:pPr>
    </w:p>
    <w:p w14:paraId="29E60937" w14:textId="77777777" w:rsidR="005F388D" w:rsidRPr="001E43E2" w:rsidRDefault="005F388D" w:rsidP="005F388D">
      <w:pPr>
        <w:spacing w:after="0" w:line="240" w:lineRule="auto"/>
        <w:ind w:left="1440" w:right="1440"/>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 xml:space="preserve">I&amp;E is correct that Middlesex has had numerous and specific contacts with Pennsylvania, the Commission and Pennsylvania ratepayers since 2008, including that Middlesex was the original filer of the letter of intent in 2008 when it sought to acquire Twin Lakes, noting that the system will be run from the New Jersey offices.  As I&amp;E noted as well, in that proceeding, Middlesex agreed to adopt the rules, rates and regulations contained in Twin Lakes’ existing tariffs.  </w:t>
      </w:r>
      <w:r w:rsidRPr="00601CD7">
        <w:rPr>
          <w:rFonts w:ascii="Times New Roman" w:eastAsia="Times New Roman" w:hAnsi="Times New Roman" w:cs="Times New Roman"/>
          <w:color w:val="000000"/>
          <w:sz w:val="26"/>
          <w:szCs w:val="26"/>
        </w:rPr>
        <w:t xml:space="preserve">I&amp;E also referenced a </w:t>
      </w:r>
      <w:r w:rsidRPr="00601CD7">
        <w:rPr>
          <w:rFonts w:ascii="Times New Roman" w:eastAsia="Times New Roman" w:hAnsi="Times New Roman" w:cs="Times New Roman"/>
          <w:i/>
          <w:iCs/>
          <w:color w:val="000000"/>
          <w:sz w:val="26"/>
          <w:szCs w:val="26"/>
        </w:rPr>
        <w:t>Secretarial Letter issued by the Commission’s Secretary’s Bureau in 2011 that noted that Middlesex is doing business in Pennsylvania under the name of Twin Lakes Utilities, Inc.</w:t>
      </w:r>
      <w:r w:rsidRPr="001E43E2">
        <w:rPr>
          <w:rFonts w:ascii="Times New Roman" w:eastAsia="Times New Roman" w:hAnsi="Times New Roman" w:cs="Times New Roman"/>
          <w:color w:val="000000"/>
          <w:sz w:val="26"/>
          <w:szCs w:val="26"/>
        </w:rPr>
        <w:t xml:space="preserve">  Similarly, Aqua is correct that, without Middlesex’s financial and operational support, Twin Lakes could not provide water utility services to its customers and that Middlesex has a controlling interest in Twin Lakes with exclusive voting rights.  Executives of Twin Lakes are executives of Middlesex.  </w:t>
      </w:r>
    </w:p>
    <w:p w14:paraId="78FC58C5" w14:textId="77777777" w:rsidR="005F388D" w:rsidRPr="001E43E2" w:rsidRDefault="005F388D" w:rsidP="005F388D">
      <w:pPr>
        <w:spacing w:after="0" w:line="360" w:lineRule="auto"/>
        <w:ind w:left="366" w:hanging="10"/>
        <w:rPr>
          <w:rFonts w:ascii="Times New Roman" w:eastAsia="Times New Roman" w:hAnsi="Times New Roman" w:cs="Times New Roman"/>
          <w:color w:val="000000"/>
          <w:sz w:val="26"/>
          <w:szCs w:val="26"/>
        </w:rPr>
      </w:pPr>
    </w:p>
    <w:p w14:paraId="4B056EE9" w14:textId="4FBCCDA1" w:rsidR="004C73FD" w:rsidRPr="00AE6B67" w:rsidRDefault="005F388D" w:rsidP="0017567A">
      <w:pPr>
        <w:spacing w:after="0" w:line="360" w:lineRule="auto"/>
        <w:rPr>
          <w:rFonts w:ascii="Times New Roman" w:eastAsia="Times New Roman" w:hAnsi="Times New Roman" w:cs="Times New Roman"/>
          <w:color w:val="000000"/>
          <w:sz w:val="26"/>
          <w:szCs w:val="26"/>
        </w:rPr>
      </w:pPr>
      <w:r w:rsidRPr="001E43E2">
        <w:rPr>
          <w:rFonts w:ascii="Times New Roman" w:eastAsia="Times New Roman" w:hAnsi="Times New Roman" w:cs="Times New Roman"/>
          <w:color w:val="000000"/>
          <w:sz w:val="26"/>
          <w:szCs w:val="26"/>
        </w:rPr>
        <w:t>R.D. at</w:t>
      </w:r>
      <w:r w:rsidRPr="00045408">
        <w:rPr>
          <w:rFonts w:ascii="Times New Roman" w:eastAsia="Times New Roman" w:hAnsi="Times New Roman" w:cs="Times New Roman"/>
          <w:color w:val="000000"/>
          <w:sz w:val="26"/>
          <w:szCs w:val="26"/>
        </w:rPr>
        <w:t xml:space="preserve"> 30-31</w:t>
      </w:r>
      <w:r w:rsidRPr="001E43E2">
        <w:rPr>
          <w:rFonts w:ascii="Times New Roman" w:eastAsia="Times New Roman" w:hAnsi="Times New Roman" w:cs="Times New Roman"/>
          <w:color w:val="000000"/>
          <w:sz w:val="26"/>
          <w:szCs w:val="26"/>
        </w:rPr>
        <w:t>.</w:t>
      </w:r>
      <w:r w:rsidR="00601CD7">
        <w:rPr>
          <w:rFonts w:ascii="Times New Roman" w:eastAsia="Times New Roman" w:hAnsi="Times New Roman" w:cs="Times New Roman"/>
          <w:color w:val="000000"/>
          <w:sz w:val="26"/>
          <w:szCs w:val="26"/>
        </w:rPr>
        <w:t xml:space="preserve"> (emphasis added).</w:t>
      </w:r>
      <w:r w:rsidR="0055406A">
        <w:rPr>
          <w:rFonts w:ascii="Times New Roman" w:eastAsia="Times New Roman" w:hAnsi="Times New Roman" w:cs="Times New Roman"/>
          <w:color w:val="000000"/>
          <w:sz w:val="26"/>
          <w:szCs w:val="26"/>
        </w:rPr>
        <w:t xml:space="preserve">  Clearly, for </w:t>
      </w:r>
      <w:r w:rsidR="005D24B8">
        <w:rPr>
          <w:rFonts w:ascii="Times New Roman" w:eastAsia="Times New Roman" w:hAnsi="Times New Roman" w:cs="Times New Roman"/>
          <w:color w:val="000000"/>
          <w:sz w:val="26"/>
          <w:szCs w:val="26"/>
        </w:rPr>
        <w:t xml:space="preserve">purposes of our jurisdiction to implement the provisions of the Code and Commission </w:t>
      </w:r>
      <w:r w:rsidR="00AE6B67">
        <w:rPr>
          <w:rFonts w:ascii="Times New Roman" w:eastAsia="Times New Roman" w:hAnsi="Times New Roman" w:cs="Times New Roman"/>
          <w:color w:val="000000"/>
          <w:sz w:val="26"/>
          <w:szCs w:val="26"/>
        </w:rPr>
        <w:t xml:space="preserve">Regulations, Twin Lakes and Middlesex are one in the same.  </w:t>
      </w:r>
      <w:r w:rsidR="00F443DA">
        <w:rPr>
          <w:rFonts w:ascii="Times New Roman" w:hAnsi="Times New Roman" w:cs="Times New Roman"/>
          <w:sz w:val="26"/>
          <w:szCs w:val="26"/>
        </w:rPr>
        <w:t>We further conclude that our authority under Section 529</w:t>
      </w:r>
      <w:r w:rsidR="000E5934">
        <w:rPr>
          <w:rFonts w:ascii="Times New Roman" w:hAnsi="Times New Roman" w:cs="Times New Roman"/>
          <w:sz w:val="26"/>
          <w:szCs w:val="26"/>
        </w:rPr>
        <w:t>(c)(6)</w:t>
      </w:r>
      <w:r w:rsidR="00F443DA">
        <w:rPr>
          <w:rFonts w:ascii="Times New Roman" w:hAnsi="Times New Roman" w:cs="Times New Roman"/>
          <w:sz w:val="26"/>
          <w:szCs w:val="26"/>
        </w:rPr>
        <w:t xml:space="preserve"> </w:t>
      </w:r>
      <w:r w:rsidR="00A30FDC">
        <w:rPr>
          <w:rFonts w:ascii="Times New Roman" w:hAnsi="Times New Roman" w:cs="Times New Roman"/>
          <w:sz w:val="26"/>
          <w:szCs w:val="26"/>
        </w:rPr>
        <w:t xml:space="preserve">to </w:t>
      </w:r>
      <w:r w:rsidR="00F64193">
        <w:rPr>
          <w:rFonts w:ascii="Times New Roman" w:hAnsi="Times New Roman" w:cs="Times New Roman"/>
          <w:sz w:val="26"/>
          <w:szCs w:val="26"/>
        </w:rPr>
        <w:t>consider</w:t>
      </w:r>
      <w:r w:rsidR="00A30FDC">
        <w:rPr>
          <w:rFonts w:ascii="Times New Roman" w:hAnsi="Times New Roman" w:cs="Times New Roman"/>
          <w:sz w:val="26"/>
          <w:szCs w:val="26"/>
        </w:rPr>
        <w:t xml:space="preserve"> </w:t>
      </w:r>
      <w:r w:rsidR="00F64193">
        <w:rPr>
          <w:rFonts w:ascii="Times New Roman" w:hAnsi="Times New Roman" w:cs="Times New Roman"/>
          <w:sz w:val="26"/>
          <w:szCs w:val="26"/>
        </w:rPr>
        <w:t>all relevant factors, includ</w:t>
      </w:r>
      <w:r w:rsidR="001036F7">
        <w:rPr>
          <w:rFonts w:ascii="Times New Roman" w:hAnsi="Times New Roman" w:cs="Times New Roman"/>
          <w:sz w:val="26"/>
          <w:szCs w:val="26"/>
        </w:rPr>
        <w:t>es our consideration of Mi</w:t>
      </w:r>
      <w:r w:rsidR="00B1057E">
        <w:rPr>
          <w:rFonts w:ascii="Times New Roman" w:hAnsi="Times New Roman" w:cs="Times New Roman"/>
          <w:sz w:val="26"/>
          <w:szCs w:val="26"/>
        </w:rPr>
        <w:t>ddlesex</w:t>
      </w:r>
      <w:r w:rsidR="00237288">
        <w:rPr>
          <w:rFonts w:ascii="Times New Roman" w:hAnsi="Times New Roman" w:cs="Times New Roman"/>
          <w:sz w:val="26"/>
          <w:szCs w:val="26"/>
        </w:rPr>
        <w:t xml:space="preserve">, and the circumstances which </w:t>
      </w:r>
      <w:r w:rsidR="00F910BA">
        <w:rPr>
          <w:rFonts w:ascii="Times New Roman" w:hAnsi="Times New Roman" w:cs="Times New Roman"/>
          <w:sz w:val="26"/>
          <w:szCs w:val="26"/>
        </w:rPr>
        <w:t xml:space="preserve">demonstrate Middlesex’s direct </w:t>
      </w:r>
      <w:r w:rsidR="009E0E4D">
        <w:rPr>
          <w:rFonts w:ascii="Times New Roman" w:hAnsi="Times New Roman" w:cs="Times New Roman"/>
          <w:sz w:val="26"/>
          <w:szCs w:val="26"/>
        </w:rPr>
        <w:t xml:space="preserve">responsibility and </w:t>
      </w:r>
      <w:r w:rsidR="00F910BA">
        <w:rPr>
          <w:rFonts w:ascii="Times New Roman" w:hAnsi="Times New Roman" w:cs="Times New Roman"/>
          <w:sz w:val="26"/>
          <w:szCs w:val="26"/>
        </w:rPr>
        <w:t>control over</w:t>
      </w:r>
      <w:r w:rsidR="009E0E4D">
        <w:rPr>
          <w:rFonts w:ascii="Times New Roman" w:hAnsi="Times New Roman" w:cs="Times New Roman"/>
          <w:sz w:val="26"/>
          <w:szCs w:val="26"/>
        </w:rPr>
        <w:t xml:space="preserve"> the financial and operational </w:t>
      </w:r>
      <w:r w:rsidR="00D6069A">
        <w:rPr>
          <w:rFonts w:ascii="Times New Roman" w:hAnsi="Times New Roman" w:cs="Times New Roman"/>
          <w:sz w:val="26"/>
          <w:szCs w:val="26"/>
        </w:rPr>
        <w:t xml:space="preserve">viability of Twin Lakes.  </w:t>
      </w:r>
    </w:p>
    <w:p w14:paraId="1080AF6E" w14:textId="77777777" w:rsidR="00DD5C03" w:rsidRDefault="00DD5C03" w:rsidP="00DD5C03">
      <w:pPr>
        <w:spacing w:after="0" w:line="360" w:lineRule="auto"/>
        <w:ind w:firstLine="1440"/>
        <w:rPr>
          <w:rFonts w:ascii="Times New Roman" w:eastAsia="Times New Roman" w:hAnsi="Times New Roman" w:cs="Times New Roman"/>
          <w:b/>
          <w:bCs/>
          <w:color w:val="000000"/>
          <w:sz w:val="26"/>
          <w:szCs w:val="26"/>
          <w:highlight w:val="yellow"/>
        </w:rPr>
      </w:pPr>
    </w:p>
    <w:p w14:paraId="0732CC82" w14:textId="63353840" w:rsidR="00DD5C03" w:rsidRPr="001E43E2" w:rsidRDefault="00DD5C03" w:rsidP="00DD5C03">
      <w:pPr>
        <w:spacing w:after="0" w:line="360" w:lineRule="auto"/>
        <w:ind w:firstLine="1440"/>
        <w:rPr>
          <w:rFonts w:ascii="Times New Roman" w:eastAsia="Times New Roman" w:hAnsi="Times New Roman" w:cs="Times New Roman"/>
          <w:color w:val="000000"/>
          <w:sz w:val="26"/>
          <w:szCs w:val="26"/>
        </w:rPr>
      </w:pPr>
      <w:r w:rsidRPr="009D6E21">
        <w:rPr>
          <w:rFonts w:ascii="Times New Roman" w:eastAsia="Times New Roman" w:hAnsi="Times New Roman" w:cs="Times New Roman"/>
          <w:color w:val="000000"/>
          <w:sz w:val="26"/>
          <w:szCs w:val="26"/>
        </w:rPr>
        <w:t xml:space="preserve">We note that </w:t>
      </w:r>
      <w:r w:rsidRPr="001E43E2">
        <w:rPr>
          <w:rFonts w:ascii="Times New Roman" w:eastAsia="Times New Roman" w:hAnsi="Times New Roman" w:cs="Times New Roman"/>
          <w:color w:val="000000"/>
          <w:sz w:val="26"/>
          <w:szCs w:val="26"/>
        </w:rPr>
        <w:t>Middlesex voluntarily sought the privilege of acquiring the Twin Lakes</w:t>
      </w:r>
      <w:r w:rsidR="00431D12">
        <w:rPr>
          <w:rFonts w:ascii="Times New Roman" w:eastAsia="Times New Roman" w:hAnsi="Times New Roman" w:cs="Times New Roman"/>
          <w:color w:val="000000"/>
          <w:sz w:val="26"/>
          <w:szCs w:val="26"/>
        </w:rPr>
        <w:t>’</w:t>
      </w:r>
      <w:r w:rsidRPr="001E43E2">
        <w:rPr>
          <w:rFonts w:ascii="Times New Roman" w:eastAsia="Times New Roman" w:hAnsi="Times New Roman" w:cs="Times New Roman"/>
          <w:color w:val="000000"/>
          <w:sz w:val="26"/>
          <w:szCs w:val="26"/>
        </w:rPr>
        <w:t xml:space="preserve"> water system in the Commonwealth</w:t>
      </w:r>
      <w:r w:rsidRPr="009D6E21">
        <w:rPr>
          <w:rFonts w:ascii="Times New Roman" w:eastAsia="Times New Roman" w:hAnsi="Times New Roman" w:cs="Times New Roman"/>
          <w:color w:val="000000"/>
          <w:sz w:val="26"/>
          <w:szCs w:val="26"/>
        </w:rPr>
        <w:t xml:space="preserve"> in 2008</w:t>
      </w:r>
      <w:r w:rsidRPr="001E43E2">
        <w:rPr>
          <w:rFonts w:ascii="Times New Roman" w:eastAsia="Times New Roman" w:hAnsi="Times New Roman" w:cs="Times New Roman"/>
          <w:color w:val="000000"/>
          <w:sz w:val="26"/>
          <w:szCs w:val="26"/>
        </w:rPr>
        <w:t>, and in doing so, accepted the concomitant responsibility</w:t>
      </w:r>
      <w:r w:rsidR="000D794D">
        <w:rPr>
          <w:rFonts w:ascii="Times New Roman" w:eastAsia="Times New Roman" w:hAnsi="Times New Roman" w:cs="Times New Roman"/>
          <w:color w:val="000000"/>
          <w:sz w:val="26"/>
          <w:szCs w:val="26"/>
        </w:rPr>
        <w:t xml:space="preserve"> associated with a certificate of public </w:t>
      </w:r>
      <w:r w:rsidR="003D1F8E">
        <w:rPr>
          <w:rFonts w:ascii="Times New Roman" w:eastAsia="Times New Roman" w:hAnsi="Times New Roman" w:cs="Times New Roman"/>
          <w:color w:val="000000"/>
          <w:sz w:val="26"/>
          <w:szCs w:val="26"/>
        </w:rPr>
        <w:t>convenience to provide water service</w:t>
      </w:r>
      <w:r w:rsidRPr="001E43E2">
        <w:rPr>
          <w:rFonts w:ascii="Times New Roman" w:eastAsia="Times New Roman" w:hAnsi="Times New Roman" w:cs="Times New Roman"/>
          <w:color w:val="000000"/>
          <w:sz w:val="26"/>
          <w:szCs w:val="26"/>
        </w:rPr>
        <w:t xml:space="preserve">.  Middlesex cannot voluntarily enter the Commonwealth via the acquisition of Twin Lakes, then </w:t>
      </w:r>
      <w:r w:rsidR="006A7572" w:rsidRPr="009D6E21">
        <w:rPr>
          <w:rFonts w:ascii="Times New Roman" w:eastAsia="Times New Roman" w:hAnsi="Times New Roman" w:cs="Times New Roman"/>
          <w:color w:val="000000"/>
          <w:sz w:val="26"/>
          <w:szCs w:val="26"/>
        </w:rPr>
        <w:t xml:space="preserve">avoid all consequences </w:t>
      </w:r>
      <w:r w:rsidR="00C03ACF" w:rsidRPr="009D6E21">
        <w:rPr>
          <w:rFonts w:ascii="Times New Roman" w:eastAsia="Times New Roman" w:hAnsi="Times New Roman" w:cs="Times New Roman"/>
          <w:color w:val="000000"/>
          <w:sz w:val="26"/>
          <w:szCs w:val="26"/>
        </w:rPr>
        <w:t xml:space="preserve">when, </w:t>
      </w:r>
      <w:r w:rsidRPr="001E43E2">
        <w:rPr>
          <w:rFonts w:ascii="Times New Roman" w:eastAsia="Times New Roman" w:hAnsi="Times New Roman" w:cs="Times New Roman"/>
          <w:color w:val="000000"/>
          <w:sz w:val="26"/>
          <w:szCs w:val="26"/>
        </w:rPr>
        <w:t>through its neglect</w:t>
      </w:r>
      <w:r w:rsidR="008C4731">
        <w:rPr>
          <w:rFonts w:ascii="Times New Roman" w:eastAsia="Times New Roman" w:hAnsi="Times New Roman" w:cs="Times New Roman"/>
          <w:color w:val="000000"/>
          <w:sz w:val="26"/>
          <w:szCs w:val="26"/>
        </w:rPr>
        <w:t xml:space="preserve"> and voluntary action</w:t>
      </w:r>
      <w:r w:rsidRPr="001E43E2">
        <w:rPr>
          <w:rFonts w:ascii="Times New Roman" w:eastAsia="Times New Roman" w:hAnsi="Times New Roman" w:cs="Times New Roman"/>
          <w:color w:val="000000"/>
          <w:sz w:val="26"/>
          <w:szCs w:val="26"/>
        </w:rPr>
        <w:t xml:space="preserve">, </w:t>
      </w:r>
      <w:r w:rsidR="00C03ACF" w:rsidRPr="009D6E21">
        <w:rPr>
          <w:rFonts w:ascii="Times New Roman" w:eastAsia="Times New Roman" w:hAnsi="Times New Roman" w:cs="Times New Roman"/>
          <w:color w:val="000000"/>
          <w:sz w:val="26"/>
          <w:szCs w:val="26"/>
        </w:rPr>
        <w:t xml:space="preserve">it </w:t>
      </w:r>
      <w:r w:rsidRPr="001E43E2">
        <w:rPr>
          <w:rFonts w:ascii="Times New Roman" w:eastAsia="Times New Roman" w:hAnsi="Times New Roman" w:cs="Times New Roman"/>
          <w:color w:val="000000"/>
          <w:sz w:val="26"/>
          <w:szCs w:val="26"/>
        </w:rPr>
        <w:t>place</w:t>
      </w:r>
      <w:r w:rsidR="00C03ACF" w:rsidRPr="009D6E21">
        <w:rPr>
          <w:rFonts w:ascii="Times New Roman" w:eastAsia="Times New Roman" w:hAnsi="Times New Roman" w:cs="Times New Roman"/>
          <w:color w:val="000000"/>
          <w:sz w:val="26"/>
          <w:szCs w:val="26"/>
        </w:rPr>
        <w:t>s</w:t>
      </w:r>
      <w:r w:rsidRPr="001E43E2">
        <w:rPr>
          <w:rFonts w:ascii="Times New Roman" w:eastAsia="Times New Roman" w:hAnsi="Times New Roman" w:cs="Times New Roman"/>
          <w:color w:val="000000"/>
          <w:sz w:val="26"/>
          <w:szCs w:val="26"/>
        </w:rPr>
        <w:t xml:space="preserve"> Twin Lakes’ customers in continued jeopardy of being able to receive </w:t>
      </w:r>
      <w:r w:rsidR="00B05F20">
        <w:rPr>
          <w:rFonts w:ascii="Times New Roman" w:eastAsia="Times New Roman" w:hAnsi="Times New Roman" w:cs="Times New Roman"/>
          <w:color w:val="000000"/>
          <w:sz w:val="26"/>
          <w:szCs w:val="26"/>
        </w:rPr>
        <w:t xml:space="preserve">a </w:t>
      </w:r>
      <w:r w:rsidRPr="001E43E2">
        <w:rPr>
          <w:rFonts w:ascii="Times New Roman" w:eastAsia="Times New Roman" w:hAnsi="Times New Roman" w:cs="Times New Roman"/>
          <w:color w:val="000000"/>
          <w:sz w:val="26"/>
          <w:szCs w:val="26"/>
        </w:rPr>
        <w:t>basic necessity</w:t>
      </w:r>
      <w:r w:rsidR="00B05F20">
        <w:rPr>
          <w:rFonts w:ascii="Times New Roman" w:eastAsia="Times New Roman" w:hAnsi="Times New Roman" w:cs="Times New Roman"/>
          <w:color w:val="000000"/>
          <w:sz w:val="26"/>
          <w:szCs w:val="26"/>
        </w:rPr>
        <w:t xml:space="preserve">, </w:t>
      </w:r>
      <w:r w:rsidRPr="001E43E2">
        <w:rPr>
          <w:rFonts w:ascii="Times New Roman" w:eastAsia="Times New Roman" w:hAnsi="Times New Roman" w:cs="Times New Roman"/>
          <w:color w:val="000000"/>
          <w:sz w:val="26"/>
          <w:szCs w:val="26"/>
        </w:rPr>
        <w:t xml:space="preserve">safe and reliable water service at reasonable rates.  </w:t>
      </w:r>
    </w:p>
    <w:p w14:paraId="0E9212A5" w14:textId="5E5485D4" w:rsidR="004C73FD" w:rsidRPr="00D25403" w:rsidRDefault="004C73FD" w:rsidP="00D25403">
      <w:pPr>
        <w:spacing w:after="0" w:line="360" w:lineRule="auto"/>
        <w:rPr>
          <w:rFonts w:ascii="Times New Roman" w:eastAsia="Times New Roman" w:hAnsi="Times New Roman" w:cs="Times New Roman"/>
          <w:b/>
          <w:bCs/>
          <w:color w:val="000000"/>
          <w:sz w:val="26"/>
          <w:szCs w:val="26"/>
        </w:rPr>
      </w:pPr>
    </w:p>
    <w:p w14:paraId="00BC8E6E" w14:textId="49857911" w:rsidR="003F5852" w:rsidRDefault="003916CC" w:rsidP="00364756">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In addition, w</w:t>
      </w:r>
      <w:r w:rsidR="00D6069A">
        <w:rPr>
          <w:rFonts w:ascii="Times New Roman" w:hAnsi="Times New Roman" w:cs="Times New Roman"/>
          <w:sz w:val="26"/>
          <w:szCs w:val="26"/>
        </w:rPr>
        <w:t xml:space="preserve">e conclude that </w:t>
      </w:r>
      <w:r w:rsidR="005D1CB0">
        <w:rPr>
          <w:rFonts w:ascii="Times New Roman" w:hAnsi="Times New Roman" w:cs="Times New Roman"/>
          <w:sz w:val="26"/>
          <w:szCs w:val="26"/>
        </w:rPr>
        <w:t xml:space="preserve">our authority to </w:t>
      </w:r>
      <w:r w:rsidR="000356FB">
        <w:rPr>
          <w:rFonts w:ascii="Times New Roman" w:hAnsi="Times New Roman" w:cs="Times New Roman"/>
          <w:sz w:val="26"/>
          <w:szCs w:val="26"/>
        </w:rPr>
        <w:t xml:space="preserve">act in the public interest </w:t>
      </w:r>
      <w:r w:rsidR="00B74AB3">
        <w:rPr>
          <w:rFonts w:ascii="Times New Roman" w:hAnsi="Times New Roman" w:cs="Times New Roman"/>
          <w:sz w:val="26"/>
          <w:szCs w:val="26"/>
        </w:rPr>
        <w:t xml:space="preserve">in the </w:t>
      </w:r>
      <w:r w:rsidR="005D1CB0">
        <w:rPr>
          <w:rFonts w:ascii="Times New Roman" w:hAnsi="Times New Roman" w:cs="Times New Roman"/>
          <w:sz w:val="26"/>
          <w:szCs w:val="26"/>
        </w:rPr>
        <w:t>appl</w:t>
      </w:r>
      <w:r w:rsidR="00B74AB3">
        <w:rPr>
          <w:rFonts w:ascii="Times New Roman" w:hAnsi="Times New Roman" w:cs="Times New Roman"/>
          <w:sz w:val="26"/>
          <w:szCs w:val="26"/>
        </w:rPr>
        <w:t xml:space="preserve">ication of </w:t>
      </w:r>
      <w:r w:rsidR="005D1CB0">
        <w:rPr>
          <w:rFonts w:ascii="Times New Roman" w:hAnsi="Times New Roman" w:cs="Times New Roman"/>
          <w:sz w:val="26"/>
          <w:szCs w:val="26"/>
        </w:rPr>
        <w:t>Section 529 to the present circumstances, encompass</w:t>
      </w:r>
      <w:r w:rsidR="00B74AB3">
        <w:rPr>
          <w:rFonts w:ascii="Times New Roman" w:hAnsi="Times New Roman" w:cs="Times New Roman"/>
          <w:sz w:val="26"/>
          <w:szCs w:val="26"/>
        </w:rPr>
        <w:t>es</w:t>
      </w:r>
      <w:r w:rsidR="005D1CB0">
        <w:rPr>
          <w:rFonts w:ascii="Times New Roman" w:hAnsi="Times New Roman" w:cs="Times New Roman"/>
          <w:sz w:val="26"/>
          <w:szCs w:val="26"/>
        </w:rPr>
        <w:t xml:space="preserve"> both our ability to find that Twin Lakes </w:t>
      </w:r>
      <w:r w:rsidR="00D37390">
        <w:rPr>
          <w:rFonts w:ascii="Times New Roman" w:hAnsi="Times New Roman" w:cs="Times New Roman"/>
          <w:sz w:val="26"/>
          <w:szCs w:val="26"/>
        </w:rPr>
        <w:t>satisfies the criteria under Section 529(a)(1)-(6) an</w:t>
      </w:r>
      <w:r w:rsidR="00F4188C">
        <w:rPr>
          <w:rFonts w:ascii="Times New Roman" w:hAnsi="Times New Roman" w:cs="Times New Roman"/>
          <w:sz w:val="26"/>
          <w:szCs w:val="26"/>
        </w:rPr>
        <w:t>d, in view of the</w:t>
      </w:r>
      <w:r w:rsidR="00D6069A">
        <w:rPr>
          <w:rFonts w:ascii="Times New Roman" w:hAnsi="Times New Roman" w:cs="Times New Roman"/>
          <w:sz w:val="26"/>
          <w:szCs w:val="26"/>
        </w:rPr>
        <w:t xml:space="preserve"> unique circumstances of this case, as argued by </w:t>
      </w:r>
      <w:r w:rsidR="00F40E38">
        <w:rPr>
          <w:rFonts w:ascii="Times New Roman" w:hAnsi="Times New Roman" w:cs="Times New Roman"/>
          <w:sz w:val="26"/>
          <w:szCs w:val="26"/>
        </w:rPr>
        <w:t xml:space="preserve">Aqua and I&amp;E, </w:t>
      </w:r>
      <w:r w:rsidR="00F4188C">
        <w:rPr>
          <w:rFonts w:ascii="Times New Roman" w:hAnsi="Times New Roman" w:cs="Times New Roman"/>
          <w:sz w:val="26"/>
          <w:szCs w:val="26"/>
        </w:rPr>
        <w:t xml:space="preserve">place </w:t>
      </w:r>
      <w:r w:rsidR="00364756">
        <w:rPr>
          <w:rFonts w:ascii="Times New Roman" w:hAnsi="Times New Roman" w:cs="Times New Roman"/>
          <w:sz w:val="26"/>
          <w:szCs w:val="26"/>
        </w:rPr>
        <w:t>the reasonable and necessary condition upon the acquisition of Twin Lakes by Aqua</w:t>
      </w:r>
      <w:r w:rsidR="002E607F">
        <w:rPr>
          <w:rFonts w:ascii="Times New Roman" w:hAnsi="Times New Roman" w:cs="Times New Roman"/>
          <w:sz w:val="26"/>
          <w:szCs w:val="26"/>
        </w:rPr>
        <w:t>, that Middlesex</w:t>
      </w:r>
      <w:r w:rsidR="00F40E38">
        <w:rPr>
          <w:rFonts w:ascii="Times New Roman" w:hAnsi="Times New Roman" w:cs="Times New Roman"/>
          <w:sz w:val="26"/>
          <w:szCs w:val="26"/>
        </w:rPr>
        <w:t xml:space="preserve"> </w:t>
      </w:r>
      <w:r w:rsidR="002E607F" w:rsidRPr="00966C5F">
        <w:rPr>
          <w:rFonts w:ascii="Times New Roman" w:hAnsi="Times New Roman" w:cs="Times New Roman"/>
          <w:sz w:val="26"/>
          <w:szCs w:val="26"/>
        </w:rPr>
        <w:t xml:space="preserve">escrow funds in the amount of $1,675,000, to offset the costs </w:t>
      </w:r>
      <w:r w:rsidR="0009212E">
        <w:rPr>
          <w:rFonts w:ascii="Times New Roman" w:hAnsi="Times New Roman" w:cs="Times New Roman"/>
          <w:sz w:val="26"/>
          <w:szCs w:val="26"/>
        </w:rPr>
        <w:t xml:space="preserve">associated with </w:t>
      </w:r>
      <w:r w:rsidR="002E607F" w:rsidRPr="00966C5F">
        <w:rPr>
          <w:rFonts w:ascii="Times New Roman" w:hAnsi="Times New Roman" w:cs="Times New Roman"/>
          <w:sz w:val="26"/>
          <w:szCs w:val="26"/>
        </w:rPr>
        <w:t>replacing and remediating the existing infrastructure</w:t>
      </w:r>
      <w:r w:rsidR="000356FB">
        <w:rPr>
          <w:rFonts w:ascii="Times New Roman" w:hAnsi="Times New Roman" w:cs="Times New Roman"/>
          <w:sz w:val="26"/>
          <w:szCs w:val="26"/>
        </w:rPr>
        <w:t xml:space="preserve"> of Twin Lakes’ water system.</w:t>
      </w:r>
      <w:r w:rsidR="00C95BC1">
        <w:rPr>
          <w:rFonts w:ascii="Times New Roman" w:hAnsi="Times New Roman" w:cs="Times New Roman"/>
          <w:sz w:val="26"/>
          <w:szCs w:val="26"/>
        </w:rPr>
        <w:t xml:space="preserve">  </w:t>
      </w:r>
    </w:p>
    <w:p w14:paraId="1B7F448E" w14:textId="77777777" w:rsidR="00FD5548" w:rsidRDefault="00FD5548" w:rsidP="007E4460">
      <w:pPr>
        <w:spacing w:after="0" w:line="360" w:lineRule="auto"/>
        <w:ind w:firstLine="1440"/>
        <w:rPr>
          <w:rFonts w:ascii="Times New Roman" w:hAnsi="Times New Roman" w:cs="Times New Roman"/>
          <w:sz w:val="26"/>
          <w:szCs w:val="26"/>
        </w:rPr>
      </w:pPr>
    </w:p>
    <w:p w14:paraId="120DFAB4" w14:textId="14557967" w:rsidR="00B57F46" w:rsidRPr="00D24C28" w:rsidRDefault="005D50F0" w:rsidP="001231D6">
      <w:pPr>
        <w:spacing w:after="0" w:line="360" w:lineRule="auto"/>
        <w:ind w:firstLine="1440"/>
        <w:rPr>
          <w:rFonts w:ascii="Times New Roman" w:hAnsi="Times New Roman" w:cs="Times New Roman"/>
          <w:sz w:val="26"/>
          <w:szCs w:val="26"/>
        </w:rPr>
      </w:pPr>
      <w:r w:rsidRPr="005D50F0">
        <w:rPr>
          <w:rFonts w:ascii="Times New Roman" w:eastAsia="Calibri" w:hAnsi="Times New Roman" w:cs="Times New Roman"/>
          <w:sz w:val="26"/>
          <w:szCs w:val="26"/>
        </w:rPr>
        <w:t xml:space="preserve">Accordingly, we conclude that Twin Lakes’ Exceptions </w:t>
      </w:r>
      <w:r w:rsidR="00D24C28">
        <w:rPr>
          <w:rFonts w:ascii="Times New Roman" w:eastAsia="Calibri" w:hAnsi="Times New Roman" w:cs="Times New Roman"/>
          <w:sz w:val="26"/>
          <w:szCs w:val="26"/>
        </w:rPr>
        <w:t>Nos. 1 &amp;</w:t>
      </w:r>
      <w:r w:rsidR="00A8784F">
        <w:rPr>
          <w:rFonts w:ascii="Times New Roman" w:eastAsia="Calibri" w:hAnsi="Times New Roman" w:cs="Times New Roman"/>
          <w:sz w:val="26"/>
          <w:szCs w:val="26"/>
        </w:rPr>
        <w:t xml:space="preserve"> </w:t>
      </w:r>
      <w:r w:rsidR="00D24C28">
        <w:rPr>
          <w:rFonts w:ascii="Times New Roman" w:eastAsia="Calibri" w:hAnsi="Times New Roman" w:cs="Times New Roman"/>
          <w:sz w:val="26"/>
          <w:szCs w:val="26"/>
        </w:rPr>
        <w:t xml:space="preserve">2 </w:t>
      </w:r>
      <w:r w:rsidRPr="005D50F0">
        <w:rPr>
          <w:rFonts w:ascii="Times New Roman" w:eastAsia="Calibri" w:hAnsi="Times New Roman" w:cs="Times New Roman"/>
          <w:sz w:val="26"/>
          <w:szCs w:val="26"/>
        </w:rPr>
        <w:t>are without merit, and</w:t>
      </w:r>
      <w:r>
        <w:rPr>
          <w:rFonts w:ascii="Times New Roman" w:eastAsia="Calibri" w:hAnsi="Times New Roman" w:cs="Times New Roman"/>
          <w:sz w:val="26"/>
          <w:szCs w:val="26"/>
        </w:rPr>
        <w:t>, therefore, we shall deny the Ex</w:t>
      </w:r>
      <w:r w:rsidR="00D24C28">
        <w:rPr>
          <w:rFonts w:ascii="Times New Roman" w:eastAsia="Calibri" w:hAnsi="Times New Roman" w:cs="Times New Roman"/>
          <w:sz w:val="26"/>
          <w:szCs w:val="26"/>
        </w:rPr>
        <w:t>ceptions</w:t>
      </w:r>
      <w:r w:rsidRPr="005D50F0">
        <w:rPr>
          <w:rFonts w:ascii="Times New Roman" w:eastAsia="Calibri" w:hAnsi="Times New Roman" w:cs="Times New Roman"/>
          <w:sz w:val="26"/>
          <w:szCs w:val="26"/>
        </w:rPr>
        <w:t xml:space="preserve">. </w:t>
      </w:r>
      <w:r w:rsidR="005527FF" w:rsidRPr="005D50F0">
        <w:rPr>
          <w:rFonts w:ascii="Times New Roman" w:eastAsia="Calibri" w:hAnsi="Times New Roman" w:cs="Times New Roman"/>
          <w:sz w:val="26"/>
          <w:szCs w:val="26"/>
        </w:rPr>
        <w:t xml:space="preserve"> </w:t>
      </w:r>
    </w:p>
    <w:p w14:paraId="3F9DA0D2" w14:textId="77777777" w:rsidR="00D6186F" w:rsidRPr="00B57F46" w:rsidRDefault="00D6186F" w:rsidP="001231D6">
      <w:pPr>
        <w:spacing w:after="0" w:line="360" w:lineRule="auto"/>
        <w:rPr>
          <w:rFonts w:ascii="Times New Roman" w:eastAsia="Calibri" w:hAnsi="Times New Roman" w:cs="Times New Roman"/>
          <w:color w:val="000000"/>
          <w:sz w:val="26"/>
          <w:szCs w:val="26"/>
        </w:rPr>
      </w:pPr>
    </w:p>
    <w:p w14:paraId="798A410B" w14:textId="503E2043" w:rsidR="00B513F9" w:rsidRPr="008B6ABB" w:rsidRDefault="008B6ABB" w:rsidP="007273B8">
      <w:pPr>
        <w:pStyle w:val="Heading1"/>
      </w:pPr>
      <w:bookmarkStart w:id="21" w:name="_Toc87265464"/>
      <w:r w:rsidRPr="007273B8">
        <w:t>Conclusion</w:t>
      </w:r>
      <w:bookmarkEnd w:id="21"/>
    </w:p>
    <w:p w14:paraId="47EE2959" w14:textId="77777777" w:rsidR="00B513F9" w:rsidRPr="00F054D1" w:rsidRDefault="00B513F9" w:rsidP="001231D6">
      <w:pPr>
        <w:keepNext/>
        <w:keepLines/>
        <w:spacing w:after="0" w:line="360" w:lineRule="auto"/>
        <w:rPr>
          <w:rFonts w:ascii="Times New Roman" w:hAnsi="Times New Roman" w:cs="Times New Roman"/>
          <w:b/>
          <w:sz w:val="26"/>
          <w:szCs w:val="26"/>
        </w:rPr>
      </w:pPr>
    </w:p>
    <w:p w14:paraId="0E4FCF15" w14:textId="2F49B186" w:rsidR="00ED00F4" w:rsidRDefault="00ED00F4" w:rsidP="001231D6">
      <w:pPr>
        <w:spacing w:after="0" w:line="360" w:lineRule="auto"/>
        <w:ind w:left="10" w:firstLine="1440"/>
        <w:rPr>
          <w:rFonts w:ascii="Times New Roman" w:eastAsia="Times New Roman" w:hAnsi="Times New Roman" w:cs="Times New Roman"/>
          <w:color w:val="000000"/>
          <w:sz w:val="26"/>
          <w:szCs w:val="26"/>
        </w:rPr>
      </w:pPr>
      <w:r w:rsidRPr="00ED00F4">
        <w:rPr>
          <w:rFonts w:ascii="Times New Roman" w:eastAsia="Times New Roman" w:hAnsi="Times New Roman" w:cs="Times New Roman"/>
          <w:color w:val="000000"/>
          <w:sz w:val="26"/>
          <w:szCs w:val="26"/>
        </w:rPr>
        <w:t xml:space="preserve">Based on the foregoing discussion, we shall </w:t>
      </w:r>
      <w:r w:rsidR="00A71656">
        <w:rPr>
          <w:rFonts w:ascii="Times New Roman" w:eastAsia="Times New Roman" w:hAnsi="Times New Roman" w:cs="Times New Roman"/>
          <w:color w:val="000000"/>
          <w:sz w:val="26"/>
          <w:szCs w:val="26"/>
        </w:rPr>
        <w:t xml:space="preserve">deny the </w:t>
      </w:r>
      <w:r w:rsidRPr="00ED00F4">
        <w:rPr>
          <w:rFonts w:ascii="Times New Roman" w:eastAsia="Times New Roman" w:hAnsi="Times New Roman" w:cs="Times New Roman"/>
          <w:color w:val="000000"/>
          <w:sz w:val="26"/>
          <w:szCs w:val="26"/>
        </w:rPr>
        <w:t>Exceptions</w:t>
      </w:r>
      <w:r w:rsidR="00A71656">
        <w:rPr>
          <w:rFonts w:ascii="Times New Roman" w:eastAsia="Times New Roman" w:hAnsi="Times New Roman" w:cs="Times New Roman"/>
          <w:color w:val="000000"/>
          <w:sz w:val="26"/>
          <w:szCs w:val="26"/>
        </w:rPr>
        <w:t xml:space="preserve"> of A</w:t>
      </w:r>
      <w:r w:rsidR="0049309B">
        <w:rPr>
          <w:rFonts w:ascii="Times New Roman" w:eastAsia="Times New Roman" w:hAnsi="Times New Roman" w:cs="Times New Roman"/>
          <w:color w:val="000000"/>
          <w:sz w:val="26"/>
          <w:szCs w:val="26"/>
        </w:rPr>
        <w:t>qua</w:t>
      </w:r>
      <w:r w:rsidR="00A71656">
        <w:rPr>
          <w:rFonts w:ascii="Times New Roman" w:eastAsia="Times New Roman" w:hAnsi="Times New Roman" w:cs="Times New Roman"/>
          <w:color w:val="000000"/>
          <w:sz w:val="26"/>
          <w:szCs w:val="26"/>
        </w:rPr>
        <w:t xml:space="preserve"> and Twin L</w:t>
      </w:r>
      <w:r w:rsidR="008743FB">
        <w:rPr>
          <w:rFonts w:ascii="Times New Roman" w:eastAsia="Times New Roman" w:hAnsi="Times New Roman" w:cs="Times New Roman"/>
          <w:color w:val="000000"/>
          <w:sz w:val="26"/>
          <w:szCs w:val="26"/>
        </w:rPr>
        <w:t xml:space="preserve">akes and adopt </w:t>
      </w:r>
      <w:r w:rsidR="00465E64">
        <w:rPr>
          <w:rFonts w:ascii="Times New Roman" w:eastAsia="Times New Roman" w:hAnsi="Times New Roman" w:cs="Times New Roman"/>
          <w:color w:val="000000"/>
          <w:sz w:val="26"/>
          <w:szCs w:val="26"/>
        </w:rPr>
        <w:t xml:space="preserve">the ALJ’s </w:t>
      </w:r>
      <w:r w:rsidR="008743FB">
        <w:rPr>
          <w:rFonts w:ascii="Times New Roman" w:eastAsia="Times New Roman" w:hAnsi="Times New Roman" w:cs="Times New Roman"/>
          <w:color w:val="000000"/>
          <w:sz w:val="26"/>
          <w:szCs w:val="26"/>
        </w:rPr>
        <w:t xml:space="preserve">Recommended </w:t>
      </w:r>
      <w:r w:rsidR="00465E64">
        <w:rPr>
          <w:rFonts w:ascii="Times New Roman" w:eastAsia="Times New Roman" w:hAnsi="Times New Roman" w:cs="Times New Roman"/>
          <w:color w:val="000000"/>
          <w:sz w:val="26"/>
          <w:szCs w:val="26"/>
        </w:rPr>
        <w:t>Deci</w:t>
      </w:r>
      <w:r w:rsidR="00402ED5">
        <w:rPr>
          <w:rFonts w:ascii="Times New Roman" w:eastAsia="Times New Roman" w:hAnsi="Times New Roman" w:cs="Times New Roman"/>
          <w:color w:val="000000"/>
          <w:sz w:val="26"/>
          <w:szCs w:val="26"/>
        </w:rPr>
        <w:t xml:space="preserve">sion, </w:t>
      </w:r>
      <w:r w:rsidRPr="00ED00F4">
        <w:rPr>
          <w:rFonts w:ascii="Times New Roman" w:eastAsia="Times New Roman" w:hAnsi="Times New Roman" w:cs="Times New Roman"/>
          <w:color w:val="000000"/>
          <w:sz w:val="26"/>
          <w:szCs w:val="26"/>
        </w:rPr>
        <w:t xml:space="preserve">consistent with the discussion in this Opinion and Order; </w:t>
      </w:r>
      <w:r w:rsidRPr="00ED00F4">
        <w:rPr>
          <w:rFonts w:ascii="Times New Roman" w:eastAsia="Times New Roman" w:hAnsi="Times New Roman" w:cs="Times New Roman"/>
          <w:b/>
          <w:color w:val="000000"/>
          <w:sz w:val="26"/>
          <w:szCs w:val="26"/>
        </w:rPr>
        <w:t>THEREFORE</w:t>
      </w:r>
      <w:r w:rsidRPr="00ED00F4">
        <w:rPr>
          <w:rFonts w:ascii="Times New Roman" w:eastAsia="Times New Roman" w:hAnsi="Times New Roman" w:cs="Times New Roman"/>
          <w:color w:val="000000"/>
          <w:sz w:val="26"/>
          <w:szCs w:val="26"/>
        </w:rPr>
        <w:t>,</w:t>
      </w:r>
    </w:p>
    <w:p w14:paraId="7D889562" w14:textId="77777777" w:rsidR="00CB06ED" w:rsidRPr="00ED00F4" w:rsidRDefault="00CB06ED" w:rsidP="001231D6">
      <w:pPr>
        <w:spacing w:after="0" w:line="360" w:lineRule="auto"/>
        <w:ind w:left="10" w:firstLine="1440"/>
        <w:rPr>
          <w:rFonts w:ascii="Times New Roman" w:eastAsia="Times New Roman" w:hAnsi="Times New Roman" w:cs="Times New Roman"/>
          <w:color w:val="000000"/>
          <w:sz w:val="26"/>
          <w:szCs w:val="26"/>
        </w:rPr>
      </w:pPr>
    </w:p>
    <w:p w14:paraId="347D74B8" w14:textId="54AA3726" w:rsidR="00420E92" w:rsidRPr="00420E92" w:rsidRDefault="00420E92" w:rsidP="001231D6">
      <w:pPr>
        <w:keepNext/>
        <w:keepLines/>
        <w:tabs>
          <w:tab w:val="left" w:pos="-720"/>
        </w:tabs>
        <w:suppressAutoHyphens/>
        <w:spacing w:after="0" w:line="360" w:lineRule="auto"/>
        <w:ind w:left="1440"/>
        <w:rPr>
          <w:rFonts w:ascii="Times New Roman" w:eastAsia="Times New Roman" w:hAnsi="Times New Roman" w:cs="Times New Roman"/>
          <w:b/>
          <w:sz w:val="26"/>
          <w:szCs w:val="26"/>
        </w:rPr>
      </w:pPr>
      <w:r w:rsidRPr="00420E92">
        <w:rPr>
          <w:rFonts w:ascii="Times New Roman" w:eastAsia="Times New Roman" w:hAnsi="Times New Roman" w:cs="Times New Roman"/>
          <w:b/>
          <w:sz w:val="26"/>
          <w:szCs w:val="26"/>
        </w:rPr>
        <w:t>IT IS ORDERED:</w:t>
      </w:r>
    </w:p>
    <w:p w14:paraId="4BF391A8" w14:textId="68F5CD89" w:rsidR="00420E92" w:rsidRPr="008434CA" w:rsidRDefault="00420E92" w:rsidP="001231D6">
      <w:pPr>
        <w:pStyle w:val="ListParagraph"/>
        <w:keepNext/>
        <w:keepLines/>
        <w:tabs>
          <w:tab w:val="left" w:pos="-720"/>
        </w:tabs>
        <w:suppressAutoHyphens/>
        <w:spacing w:after="0" w:line="360" w:lineRule="auto"/>
        <w:contextualSpacing w:val="0"/>
        <w:rPr>
          <w:rFonts w:ascii="Times New Roman" w:eastAsia="Times New Roman" w:hAnsi="Times New Roman" w:cs="Times New Roman"/>
          <w:b/>
          <w:sz w:val="26"/>
          <w:szCs w:val="26"/>
        </w:rPr>
      </w:pPr>
    </w:p>
    <w:p w14:paraId="47785A40" w14:textId="17C5C922" w:rsidR="00197F5F" w:rsidRPr="00657325" w:rsidRDefault="00197F5F" w:rsidP="001231D6">
      <w:pPr>
        <w:numPr>
          <w:ilvl w:val="0"/>
          <w:numId w:val="19"/>
        </w:numPr>
        <w:spacing w:after="0" w:line="360" w:lineRule="auto"/>
        <w:ind w:left="0" w:firstLine="1440"/>
        <w:rPr>
          <w:rFonts w:ascii="Times New Roman" w:hAnsi="Times New Roman" w:cs="Times New Roman"/>
          <w:sz w:val="26"/>
          <w:szCs w:val="26"/>
        </w:rPr>
      </w:pPr>
      <w:r w:rsidRPr="00197F5F">
        <w:rPr>
          <w:rFonts w:ascii="Times New Roman" w:eastAsia="Calibri" w:hAnsi="Times New Roman" w:cs="Times New Roman"/>
          <w:sz w:val="26"/>
          <w:szCs w:val="26"/>
        </w:rPr>
        <w:t xml:space="preserve">That the Exceptions of </w:t>
      </w:r>
      <w:r w:rsidR="000D2FEE" w:rsidRPr="006D6531">
        <w:rPr>
          <w:rFonts w:ascii="Times New Roman" w:hAnsi="Times New Roman" w:cs="Times New Roman"/>
          <w:sz w:val="26"/>
          <w:szCs w:val="26"/>
        </w:rPr>
        <w:t>Twin Lakes Utilities, Inc</w:t>
      </w:r>
      <w:r w:rsidR="00F11EA5" w:rsidRPr="00F11EA5">
        <w:rPr>
          <w:rFonts w:ascii="Times New Roman" w:eastAsia="Calibri" w:hAnsi="Times New Roman" w:cs="Times New Roman"/>
          <w:sz w:val="26"/>
          <w:szCs w:val="26"/>
        </w:rPr>
        <w:t>.</w:t>
      </w:r>
      <w:r w:rsidRPr="00F11EA5">
        <w:rPr>
          <w:rFonts w:ascii="Times New Roman" w:eastAsia="Calibri" w:hAnsi="Times New Roman" w:cs="Times New Roman"/>
          <w:sz w:val="26"/>
          <w:szCs w:val="26"/>
        </w:rPr>
        <w:t>,</w:t>
      </w:r>
      <w:r w:rsidRPr="00197F5F">
        <w:rPr>
          <w:rFonts w:ascii="Times New Roman" w:eastAsia="Calibri" w:hAnsi="Times New Roman" w:cs="Times New Roman"/>
          <w:sz w:val="26"/>
          <w:szCs w:val="26"/>
        </w:rPr>
        <w:t xml:space="preserve"> filed on </w:t>
      </w:r>
      <w:r w:rsidR="00D92816">
        <w:rPr>
          <w:rFonts w:ascii="Times New Roman" w:eastAsia="Calibri" w:hAnsi="Times New Roman" w:cs="Times New Roman"/>
          <w:sz w:val="26"/>
          <w:szCs w:val="26"/>
        </w:rPr>
        <w:t>May</w:t>
      </w:r>
      <w:r w:rsidR="001231D6">
        <w:rPr>
          <w:rFonts w:ascii="Times New Roman" w:eastAsia="Calibri" w:hAnsi="Times New Roman" w:cs="Times New Roman"/>
          <w:sz w:val="26"/>
          <w:szCs w:val="26"/>
        </w:rPr>
        <w:t> </w:t>
      </w:r>
      <w:r w:rsidR="00D92816">
        <w:rPr>
          <w:rFonts w:ascii="Times New Roman" w:eastAsia="Calibri" w:hAnsi="Times New Roman" w:cs="Times New Roman"/>
          <w:sz w:val="26"/>
          <w:szCs w:val="26"/>
        </w:rPr>
        <w:t>12,</w:t>
      </w:r>
      <w:r w:rsidR="001231D6">
        <w:rPr>
          <w:rFonts w:ascii="Times New Roman" w:eastAsia="Calibri" w:hAnsi="Times New Roman" w:cs="Times New Roman"/>
          <w:sz w:val="26"/>
          <w:szCs w:val="26"/>
        </w:rPr>
        <w:t> </w:t>
      </w:r>
      <w:r w:rsidR="00D92816">
        <w:rPr>
          <w:rFonts w:ascii="Times New Roman" w:eastAsia="Calibri" w:hAnsi="Times New Roman" w:cs="Times New Roman"/>
          <w:sz w:val="26"/>
          <w:szCs w:val="26"/>
        </w:rPr>
        <w:t>2021</w:t>
      </w:r>
      <w:r w:rsidRPr="00197F5F">
        <w:rPr>
          <w:rFonts w:ascii="Times New Roman" w:eastAsia="Calibri" w:hAnsi="Times New Roman" w:cs="Times New Roman"/>
          <w:sz w:val="26"/>
          <w:szCs w:val="26"/>
        </w:rPr>
        <w:t xml:space="preserve">, </w:t>
      </w:r>
      <w:bookmarkStart w:id="22" w:name="_Hlk58572424"/>
      <w:r w:rsidRPr="00197F5F">
        <w:rPr>
          <w:rFonts w:ascii="Times New Roman" w:eastAsia="Calibri" w:hAnsi="Times New Roman" w:cs="Times New Roman"/>
          <w:sz w:val="26"/>
          <w:szCs w:val="26"/>
        </w:rPr>
        <w:t xml:space="preserve">are </w:t>
      </w:r>
      <w:r>
        <w:rPr>
          <w:rFonts w:ascii="Times New Roman" w:eastAsia="Calibri" w:hAnsi="Times New Roman" w:cs="Times New Roman"/>
          <w:sz w:val="26"/>
          <w:szCs w:val="26"/>
        </w:rPr>
        <w:t>denied</w:t>
      </w:r>
      <w:bookmarkEnd w:id="22"/>
      <w:r w:rsidRPr="00197F5F">
        <w:rPr>
          <w:rFonts w:ascii="Times New Roman" w:eastAsia="Calibri" w:hAnsi="Times New Roman" w:cs="Times New Roman"/>
          <w:sz w:val="26"/>
          <w:szCs w:val="26"/>
        </w:rPr>
        <w:t>, consistent with this Opinion and Order.</w:t>
      </w:r>
    </w:p>
    <w:p w14:paraId="38926CDD" w14:textId="77777777" w:rsidR="00657325" w:rsidRPr="00657325" w:rsidRDefault="00657325" w:rsidP="00657325">
      <w:pPr>
        <w:spacing w:after="0" w:line="360" w:lineRule="auto"/>
        <w:ind w:left="1440"/>
        <w:rPr>
          <w:rFonts w:ascii="Times New Roman" w:hAnsi="Times New Roman" w:cs="Times New Roman"/>
          <w:sz w:val="26"/>
          <w:szCs w:val="26"/>
        </w:rPr>
      </w:pPr>
    </w:p>
    <w:p w14:paraId="27BEE229" w14:textId="45B28F51" w:rsidR="00657325" w:rsidRPr="00DD0344" w:rsidRDefault="00657325" w:rsidP="001231D6">
      <w:pPr>
        <w:numPr>
          <w:ilvl w:val="0"/>
          <w:numId w:val="19"/>
        </w:numPr>
        <w:spacing w:after="0" w:line="360" w:lineRule="auto"/>
        <w:ind w:left="0" w:firstLine="1440"/>
        <w:rPr>
          <w:rFonts w:ascii="Times New Roman" w:hAnsi="Times New Roman" w:cs="Times New Roman"/>
          <w:sz w:val="26"/>
          <w:szCs w:val="26"/>
        </w:rPr>
      </w:pPr>
      <w:r w:rsidRPr="00197F5F">
        <w:rPr>
          <w:rFonts w:ascii="Times New Roman" w:eastAsia="Calibri" w:hAnsi="Times New Roman" w:cs="Times New Roman"/>
          <w:sz w:val="26"/>
          <w:szCs w:val="26"/>
        </w:rPr>
        <w:t xml:space="preserve">That the Exceptions of </w:t>
      </w:r>
      <w:r w:rsidR="00F11EA5" w:rsidRPr="00493961">
        <w:rPr>
          <w:rFonts w:ascii="Times New Roman" w:hAnsi="Times New Roman" w:cs="Times New Roman"/>
          <w:sz w:val="26"/>
          <w:szCs w:val="26"/>
        </w:rPr>
        <w:t>Aqua Pennsylvania, Inc.</w:t>
      </w:r>
      <w:r w:rsidRPr="00197F5F">
        <w:rPr>
          <w:rFonts w:ascii="Times New Roman" w:eastAsia="Calibri" w:hAnsi="Times New Roman" w:cs="Times New Roman"/>
          <w:sz w:val="26"/>
          <w:szCs w:val="26"/>
        </w:rPr>
        <w:t xml:space="preserve">, filed on </w:t>
      </w:r>
      <w:r w:rsidR="00D92816" w:rsidRPr="00DD0344">
        <w:rPr>
          <w:rFonts w:ascii="Times New Roman" w:eastAsia="Calibri" w:hAnsi="Times New Roman" w:cs="Times New Roman"/>
          <w:sz w:val="26"/>
          <w:szCs w:val="26"/>
        </w:rPr>
        <w:t>May</w:t>
      </w:r>
      <w:r w:rsidR="001231D6">
        <w:rPr>
          <w:rFonts w:ascii="Times New Roman" w:eastAsia="Calibri" w:hAnsi="Times New Roman" w:cs="Times New Roman"/>
          <w:sz w:val="26"/>
          <w:szCs w:val="26"/>
        </w:rPr>
        <w:t> </w:t>
      </w:r>
      <w:r w:rsidR="00D92816" w:rsidRPr="00DD0344">
        <w:rPr>
          <w:rFonts w:ascii="Times New Roman" w:eastAsia="Calibri" w:hAnsi="Times New Roman" w:cs="Times New Roman"/>
          <w:sz w:val="26"/>
          <w:szCs w:val="26"/>
        </w:rPr>
        <w:t>12,</w:t>
      </w:r>
      <w:r w:rsidR="001231D6">
        <w:rPr>
          <w:rFonts w:ascii="Times New Roman" w:eastAsia="Calibri" w:hAnsi="Times New Roman" w:cs="Times New Roman"/>
          <w:sz w:val="26"/>
          <w:szCs w:val="26"/>
        </w:rPr>
        <w:t> </w:t>
      </w:r>
      <w:r w:rsidR="00D92816" w:rsidRPr="00DD0344">
        <w:rPr>
          <w:rFonts w:ascii="Times New Roman" w:eastAsia="Calibri" w:hAnsi="Times New Roman" w:cs="Times New Roman"/>
          <w:sz w:val="26"/>
          <w:szCs w:val="26"/>
        </w:rPr>
        <w:t xml:space="preserve">2021, </w:t>
      </w:r>
      <w:r w:rsidRPr="00DD0344">
        <w:rPr>
          <w:rFonts w:ascii="Times New Roman" w:eastAsia="Calibri" w:hAnsi="Times New Roman" w:cs="Times New Roman"/>
          <w:sz w:val="26"/>
          <w:szCs w:val="26"/>
        </w:rPr>
        <w:t>are denied, consistent with this Opinion and Order.</w:t>
      </w:r>
    </w:p>
    <w:p w14:paraId="62C3C9C6" w14:textId="77777777" w:rsidR="00657325" w:rsidRPr="00197F5F" w:rsidRDefault="00657325" w:rsidP="001231D6">
      <w:pPr>
        <w:spacing w:after="0" w:line="360" w:lineRule="auto"/>
        <w:rPr>
          <w:rFonts w:ascii="Times New Roman" w:hAnsi="Times New Roman" w:cs="Times New Roman"/>
          <w:sz w:val="26"/>
          <w:szCs w:val="26"/>
        </w:rPr>
      </w:pPr>
    </w:p>
    <w:p w14:paraId="54DF4B27" w14:textId="0CDC1895" w:rsidR="00AD2E70" w:rsidRPr="00D91EE2" w:rsidRDefault="00AD2E70" w:rsidP="001231D6">
      <w:pPr>
        <w:numPr>
          <w:ilvl w:val="0"/>
          <w:numId w:val="19"/>
        </w:numPr>
        <w:spacing w:after="0" w:line="360" w:lineRule="auto"/>
        <w:ind w:left="0" w:firstLine="1440"/>
        <w:rPr>
          <w:rFonts w:ascii="Times New Roman" w:hAnsi="Times New Roman" w:cs="Times New Roman"/>
          <w:sz w:val="26"/>
          <w:szCs w:val="26"/>
        </w:rPr>
      </w:pPr>
      <w:r w:rsidRPr="00AD2E70">
        <w:rPr>
          <w:rFonts w:ascii="Times New Roman" w:eastAsia="Calibri" w:hAnsi="Times New Roman" w:cs="Times New Roman"/>
          <w:sz w:val="26"/>
          <w:szCs w:val="26"/>
        </w:rPr>
        <w:t xml:space="preserve">That the Recommended Decision of Deputy Chief Administrative Law Judge Joel H. Cheskis, issued on </w:t>
      </w:r>
      <w:r w:rsidR="00D91EE2">
        <w:rPr>
          <w:rFonts w:ascii="Times New Roman" w:eastAsia="Calibri" w:hAnsi="Times New Roman" w:cs="Times New Roman"/>
          <w:sz w:val="26"/>
          <w:szCs w:val="26"/>
        </w:rPr>
        <w:t xml:space="preserve">April 22, 2021, </w:t>
      </w:r>
      <w:r w:rsidR="00D91EE2" w:rsidRPr="00D91EE2">
        <w:rPr>
          <w:rFonts w:ascii="Times New Roman" w:eastAsia="Calibri" w:hAnsi="Times New Roman" w:cs="Times New Roman"/>
          <w:sz w:val="26"/>
          <w:szCs w:val="26"/>
        </w:rPr>
        <w:t>i</w:t>
      </w:r>
      <w:r w:rsidRPr="00D91EE2">
        <w:rPr>
          <w:rFonts w:ascii="Times New Roman" w:eastAsia="Calibri" w:hAnsi="Times New Roman" w:cs="Times New Roman"/>
          <w:sz w:val="26"/>
          <w:szCs w:val="26"/>
        </w:rPr>
        <w:t>s adopted</w:t>
      </w:r>
      <w:r w:rsidRPr="00AD2E70">
        <w:rPr>
          <w:rFonts w:ascii="Times New Roman" w:eastAsia="Calibri" w:hAnsi="Times New Roman" w:cs="Times New Roman"/>
          <w:sz w:val="26"/>
          <w:szCs w:val="26"/>
        </w:rPr>
        <w:t xml:space="preserve">, </w:t>
      </w:r>
      <w:r w:rsidR="00BA79F2">
        <w:rPr>
          <w:rFonts w:ascii="Times New Roman" w:eastAsia="Calibri" w:hAnsi="Times New Roman" w:cs="Times New Roman"/>
          <w:sz w:val="26"/>
          <w:szCs w:val="26"/>
        </w:rPr>
        <w:t xml:space="preserve">as modified, </w:t>
      </w:r>
      <w:r w:rsidRPr="00AD2E70">
        <w:rPr>
          <w:rFonts w:ascii="Times New Roman" w:eastAsia="Calibri" w:hAnsi="Times New Roman" w:cs="Times New Roman"/>
          <w:sz w:val="26"/>
          <w:szCs w:val="26"/>
        </w:rPr>
        <w:t>consistent with this Opinion and Order.</w:t>
      </w:r>
    </w:p>
    <w:p w14:paraId="398A29EE" w14:textId="77777777" w:rsidR="00D91EE2" w:rsidRDefault="00D91EE2" w:rsidP="001231D6">
      <w:pPr>
        <w:spacing w:after="0" w:line="360" w:lineRule="auto"/>
        <w:ind w:left="1440"/>
        <w:rPr>
          <w:rFonts w:ascii="Times New Roman" w:hAnsi="Times New Roman" w:cs="Times New Roman"/>
          <w:sz w:val="26"/>
          <w:szCs w:val="26"/>
        </w:rPr>
      </w:pPr>
    </w:p>
    <w:p w14:paraId="39DEAD3B" w14:textId="632FF8CE" w:rsidR="00694FC9" w:rsidRPr="006D6531" w:rsidRDefault="00694FC9" w:rsidP="001231D6">
      <w:pPr>
        <w:numPr>
          <w:ilvl w:val="0"/>
          <w:numId w:val="19"/>
        </w:numPr>
        <w:spacing w:after="0" w:line="360" w:lineRule="auto"/>
        <w:ind w:left="0" w:firstLine="1440"/>
        <w:rPr>
          <w:rFonts w:ascii="Times New Roman" w:hAnsi="Times New Roman" w:cs="Times New Roman"/>
          <w:sz w:val="26"/>
          <w:szCs w:val="26"/>
        </w:rPr>
      </w:pPr>
      <w:r w:rsidRPr="006D6531">
        <w:rPr>
          <w:rFonts w:ascii="Times New Roman" w:hAnsi="Times New Roman" w:cs="Times New Roman"/>
          <w:sz w:val="26"/>
          <w:szCs w:val="26"/>
        </w:rPr>
        <w:lastRenderedPageBreak/>
        <w:t xml:space="preserve">That the </w:t>
      </w:r>
      <w:r w:rsidR="002F4636">
        <w:rPr>
          <w:rFonts w:ascii="Times New Roman" w:hAnsi="Times New Roman" w:cs="Times New Roman"/>
          <w:sz w:val="26"/>
          <w:szCs w:val="26"/>
        </w:rPr>
        <w:t>P</w:t>
      </w:r>
      <w:r w:rsidRPr="006D6531">
        <w:rPr>
          <w:rFonts w:ascii="Times New Roman" w:hAnsi="Times New Roman" w:cs="Times New Roman"/>
          <w:sz w:val="26"/>
          <w:szCs w:val="26"/>
        </w:rPr>
        <w:t xml:space="preserve">etition of </w:t>
      </w:r>
      <w:bookmarkStart w:id="23" w:name="_Hlk79935713"/>
      <w:r w:rsidRPr="006D6531">
        <w:rPr>
          <w:rFonts w:ascii="Times New Roman" w:hAnsi="Times New Roman" w:cs="Times New Roman"/>
          <w:sz w:val="26"/>
          <w:szCs w:val="26"/>
        </w:rPr>
        <w:t>Twin Lakes Utilities, Inc</w:t>
      </w:r>
      <w:bookmarkEnd w:id="23"/>
      <w:r w:rsidRPr="006D6531">
        <w:rPr>
          <w:rFonts w:ascii="Times New Roman" w:hAnsi="Times New Roman" w:cs="Times New Roman"/>
          <w:sz w:val="26"/>
          <w:szCs w:val="26"/>
        </w:rPr>
        <w:t>.</w:t>
      </w:r>
      <w:r w:rsidR="00CC38C6">
        <w:rPr>
          <w:rFonts w:ascii="Times New Roman" w:hAnsi="Times New Roman" w:cs="Times New Roman"/>
          <w:sz w:val="26"/>
          <w:szCs w:val="26"/>
        </w:rPr>
        <w:t xml:space="preserve">, </w:t>
      </w:r>
      <w:r w:rsidRPr="006D6531">
        <w:rPr>
          <w:rFonts w:ascii="Times New Roman" w:hAnsi="Times New Roman" w:cs="Times New Roman"/>
          <w:sz w:val="26"/>
          <w:szCs w:val="26"/>
        </w:rPr>
        <w:t>for a Commission order</w:t>
      </w:r>
      <w:r w:rsidR="00725E62">
        <w:rPr>
          <w:rFonts w:ascii="Times New Roman" w:hAnsi="Times New Roman" w:cs="Times New Roman"/>
          <w:sz w:val="26"/>
          <w:szCs w:val="26"/>
        </w:rPr>
        <w:t xml:space="preserve">, </w:t>
      </w:r>
      <w:r w:rsidR="00725E62" w:rsidRPr="006D6531">
        <w:rPr>
          <w:rFonts w:ascii="Times New Roman" w:hAnsi="Times New Roman" w:cs="Times New Roman"/>
          <w:sz w:val="26"/>
          <w:szCs w:val="26"/>
        </w:rPr>
        <w:t>pursuant to 66 Pa.</w:t>
      </w:r>
      <w:r w:rsidR="00BC01C8">
        <w:rPr>
          <w:rFonts w:ascii="Times New Roman" w:hAnsi="Times New Roman" w:cs="Times New Roman"/>
          <w:sz w:val="26"/>
          <w:szCs w:val="26"/>
        </w:rPr>
        <w:t xml:space="preserve"> </w:t>
      </w:r>
      <w:r w:rsidR="00725E62" w:rsidRPr="006D6531">
        <w:rPr>
          <w:rFonts w:ascii="Times New Roman" w:hAnsi="Times New Roman" w:cs="Times New Roman"/>
          <w:sz w:val="26"/>
          <w:szCs w:val="26"/>
        </w:rPr>
        <w:t>C.S. § 529</w:t>
      </w:r>
      <w:r w:rsidR="00725E62">
        <w:rPr>
          <w:rFonts w:ascii="Times New Roman" w:hAnsi="Times New Roman" w:cs="Times New Roman"/>
          <w:sz w:val="26"/>
          <w:szCs w:val="26"/>
        </w:rPr>
        <w:t xml:space="preserve">, </w:t>
      </w:r>
      <w:bookmarkStart w:id="24" w:name="_Hlk86924639"/>
      <w:r w:rsidRPr="006D6531">
        <w:rPr>
          <w:rFonts w:ascii="Times New Roman" w:hAnsi="Times New Roman" w:cs="Times New Roman"/>
          <w:sz w:val="26"/>
          <w:szCs w:val="26"/>
        </w:rPr>
        <w:t xml:space="preserve">authorizing the acquisition of Twin Lakes by a capable utility as that term is defined by statute, filed on July 16, 2020 at </w:t>
      </w:r>
      <w:r w:rsidR="00057AFF">
        <w:rPr>
          <w:rFonts w:ascii="Times New Roman" w:hAnsi="Times New Roman" w:cs="Times New Roman"/>
          <w:sz w:val="26"/>
          <w:szCs w:val="26"/>
        </w:rPr>
        <w:t>D</w:t>
      </w:r>
      <w:r w:rsidRPr="006D6531">
        <w:rPr>
          <w:rFonts w:ascii="Times New Roman" w:hAnsi="Times New Roman" w:cs="Times New Roman"/>
          <w:sz w:val="26"/>
          <w:szCs w:val="26"/>
        </w:rPr>
        <w:t xml:space="preserve">ocket </w:t>
      </w:r>
      <w:r w:rsidR="00057AFF">
        <w:rPr>
          <w:rFonts w:ascii="Times New Roman" w:hAnsi="Times New Roman" w:cs="Times New Roman"/>
          <w:sz w:val="26"/>
          <w:szCs w:val="26"/>
        </w:rPr>
        <w:t>N</w:t>
      </w:r>
      <w:r w:rsidRPr="006D6531">
        <w:rPr>
          <w:rFonts w:ascii="Times New Roman" w:hAnsi="Times New Roman" w:cs="Times New Roman"/>
          <w:sz w:val="26"/>
          <w:szCs w:val="26"/>
        </w:rPr>
        <w:t>umber P-2020-3020914</w:t>
      </w:r>
      <w:bookmarkEnd w:id="24"/>
      <w:r w:rsidRPr="006D6531">
        <w:rPr>
          <w:rFonts w:ascii="Times New Roman" w:hAnsi="Times New Roman" w:cs="Times New Roman"/>
          <w:sz w:val="26"/>
          <w:szCs w:val="26"/>
        </w:rPr>
        <w:t>, is hereby granted</w:t>
      </w:r>
      <w:r w:rsidR="007C3253">
        <w:rPr>
          <w:rFonts w:ascii="Times New Roman" w:hAnsi="Times New Roman" w:cs="Times New Roman"/>
          <w:sz w:val="26"/>
          <w:szCs w:val="26"/>
        </w:rPr>
        <w:t xml:space="preserve">, </w:t>
      </w:r>
      <w:r w:rsidRPr="006D6531">
        <w:rPr>
          <w:rFonts w:ascii="Times New Roman" w:hAnsi="Times New Roman" w:cs="Times New Roman"/>
          <w:sz w:val="26"/>
          <w:szCs w:val="26"/>
        </w:rPr>
        <w:t xml:space="preserve">subject to the condition that within thirty (30) days after </w:t>
      </w:r>
      <w:r w:rsidR="007C3253">
        <w:rPr>
          <w:rFonts w:ascii="Times New Roman" w:hAnsi="Times New Roman" w:cs="Times New Roman"/>
          <w:sz w:val="26"/>
          <w:szCs w:val="26"/>
        </w:rPr>
        <w:t xml:space="preserve">the </w:t>
      </w:r>
      <w:r w:rsidRPr="006D6531">
        <w:rPr>
          <w:rFonts w:ascii="Times New Roman" w:hAnsi="Times New Roman" w:cs="Times New Roman"/>
          <w:sz w:val="26"/>
          <w:szCs w:val="26"/>
        </w:rPr>
        <w:t xml:space="preserve">Commission’s final action in this proceeding Middlesex Water Company places in escrow $1,675,000 to be used to offset the costs of replacing and remediating the existing infrastructure of the Twin Lakes system. </w:t>
      </w:r>
    </w:p>
    <w:p w14:paraId="2EA88F5E" w14:textId="77777777" w:rsidR="00694FC9" w:rsidRPr="006D6531" w:rsidRDefault="00694FC9" w:rsidP="001231D6">
      <w:pPr>
        <w:spacing w:after="0" w:line="360" w:lineRule="auto"/>
        <w:rPr>
          <w:rFonts w:ascii="Times New Roman" w:hAnsi="Times New Roman" w:cs="Times New Roman"/>
          <w:sz w:val="26"/>
          <w:szCs w:val="26"/>
        </w:rPr>
      </w:pPr>
      <w:r w:rsidRPr="006D6531">
        <w:rPr>
          <w:rFonts w:ascii="Times New Roman" w:hAnsi="Times New Roman" w:cs="Times New Roman"/>
          <w:sz w:val="26"/>
          <w:szCs w:val="26"/>
        </w:rPr>
        <w:t xml:space="preserve"> </w:t>
      </w:r>
    </w:p>
    <w:p w14:paraId="392CEC67" w14:textId="5D56CCE5" w:rsidR="00694FC9" w:rsidRPr="00493961" w:rsidRDefault="00694FC9" w:rsidP="001231D6">
      <w:pPr>
        <w:numPr>
          <w:ilvl w:val="0"/>
          <w:numId w:val="19"/>
        </w:numPr>
        <w:spacing w:after="0" w:line="360" w:lineRule="auto"/>
        <w:ind w:left="0" w:firstLine="1440"/>
        <w:rPr>
          <w:rFonts w:ascii="Times New Roman" w:hAnsi="Times New Roman" w:cs="Times New Roman"/>
          <w:sz w:val="26"/>
          <w:szCs w:val="26"/>
        </w:rPr>
      </w:pPr>
      <w:r w:rsidRPr="006D6531">
        <w:rPr>
          <w:rFonts w:ascii="Times New Roman" w:hAnsi="Times New Roman" w:cs="Times New Roman"/>
          <w:sz w:val="26"/>
          <w:szCs w:val="26"/>
        </w:rPr>
        <w:t xml:space="preserve">That Aqua Pennsylvania, Inc. shall acquire Twin Lakes Utilities, Inc. </w:t>
      </w:r>
      <w:r w:rsidRPr="00493961">
        <w:rPr>
          <w:rFonts w:ascii="Times New Roman" w:hAnsi="Times New Roman" w:cs="Times New Roman"/>
          <w:sz w:val="26"/>
          <w:szCs w:val="26"/>
        </w:rPr>
        <w:t xml:space="preserve">consistent with the above discussion and requirements. </w:t>
      </w:r>
    </w:p>
    <w:p w14:paraId="0B75ECC2" w14:textId="77777777" w:rsidR="00694FC9" w:rsidRPr="006D6531" w:rsidRDefault="00694FC9" w:rsidP="001231D6">
      <w:pPr>
        <w:spacing w:after="0" w:line="360" w:lineRule="auto"/>
        <w:rPr>
          <w:rFonts w:ascii="Times New Roman" w:hAnsi="Times New Roman" w:cs="Times New Roman"/>
          <w:sz w:val="26"/>
          <w:szCs w:val="26"/>
        </w:rPr>
      </w:pPr>
      <w:r w:rsidRPr="006D6531">
        <w:rPr>
          <w:rFonts w:ascii="Times New Roman" w:hAnsi="Times New Roman" w:cs="Times New Roman"/>
          <w:sz w:val="26"/>
          <w:szCs w:val="26"/>
        </w:rPr>
        <w:t xml:space="preserve"> </w:t>
      </w:r>
    </w:p>
    <w:p w14:paraId="7A827395" w14:textId="418DE839" w:rsidR="00694FC9" w:rsidRPr="00493961" w:rsidRDefault="00694FC9" w:rsidP="001231D6">
      <w:pPr>
        <w:numPr>
          <w:ilvl w:val="0"/>
          <w:numId w:val="19"/>
        </w:numPr>
        <w:spacing w:after="0" w:line="360" w:lineRule="auto"/>
        <w:ind w:left="0" w:firstLine="1440"/>
        <w:rPr>
          <w:rFonts w:ascii="Times New Roman" w:hAnsi="Times New Roman" w:cs="Times New Roman"/>
          <w:sz w:val="26"/>
          <w:szCs w:val="26"/>
        </w:rPr>
      </w:pPr>
      <w:r w:rsidRPr="006D6531">
        <w:rPr>
          <w:rFonts w:ascii="Times New Roman" w:hAnsi="Times New Roman" w:cs="Times New Roman"/>
          <w:sz w:val="26"/>
          <w:szCs w:val="26"/>
        </w:rPr>
        <w:t xml:space="preserve">That, within thirty (30) days after the Commission’s final action in this </w:t>
      </w:r>
      <w:r w:rsidRPr="00493961">
        <w:rPr>
          <w:rFonts w:ascii="Times New Roman" w:hAnsi="Times New Roman" w:cs="Times New Roman"/>
          <w:sz w:val="26"/>
          <w:szCs w:val="26"/>
        </w:rPr>
        <w:t xml:space="preserve">proceeding, </w:t>
      </w:r>
      <w:bookmarkStart w:id="25" w:name="_Hlk79935786"/>
      <w:r w:rsidRPr="00493961">
        <w:rPr>
          <w:rFonts w:ascii="Times New Roman" w:hAnsi="Times New Roman" w:cs="Times New Roman"/>
          <w:sz w:val="26"/>
          <w:szCs w:val="26"/>
        </w:rPr>
        <w:t>Aqua Pennsylvania, Inc.</w:t>
      </w:r>
      <w:r w:rsidR="00433F34">
        <w:rPr>
          <w:rFonts w:ascii="Times New Roman" w:hAnsi="Times New Roman" w:cs="Times New Roman"/>
          <w:sz w:val="26"/>
          <w:szCs w:val="26"/>
        </w:rPr>
        <w:t>,</w:t>
      </w:r>
      <w:r w:rsidRPr="00493961">
        <w:rPr>
          <w:rFonts w:ascii="Times New Roman" w:hAnsi="Times New Roman" w:cs="Times New Roman"/>
          <w:sz w:val="26"/>
          <w:szCs w:val="26"/>
        </w:rPr>
        <w:t xml:space="preserve"> </w:t>
      </w:r>
      <w:bookmarkEnd w:id="25"/>
      <w:r w:rsidRPr="00493961">
        <w:rPr>
          <w:rFonts w:ascii="Times New Roman" w:hAnsi="Times New Roman" w:cs="Times New Roman"/>
          <w:sz w:val="26"/>
          <w:szCs w:val="26"/>
        </w:rPr>
        <w:t>and Twin Lakes Utilities, Inc.</w:t>
      </w:r>
      <w:r w:rsidR="00433F34">
        <w:rPr>
          <w:rFonts w:ascii="Times New Roman" w:hAnsi="Times New Roman" w:cs="Times New Roman"/>
          <w:sz w:val="26"/>
          <w:szCs w:val="26"/>
        </w:rPr>
        <w:t>,</w:t>
      </w:r>
      <w:r w:rsidRPr="00493961">
        <w:rPr>
          <w:rFonts w:ascii="Times New Roman" w:hAnsi="Times New Roman" w:cs="Times New Roman"/>
          <w:sz w:val="26"/>
          <w:szCs w:val="26"/>
        </w:rPr>
        <w:t xml:space="preserve"> shall engage in good-faith, arms-length negotiations regarding the sale price of the Twin Lakes </w:t>
      </w:r>
      <w:r w:rsidR="002B774B" w:rsidRPr="00493961">
        <w:rPr>
          <w:rFonts w:ascii="Times New Roman" w:hAnsi="Times New Roman" w:cs="Times New Roman"/>
          <w:sz w:val="26"/>
          <w:szCs w:val="26"/>
        </w:rPr>
        <w:t>Utilities, Inc.</w:t>
      </w:r>
      <w:r w:rsidR="002B774B">
        <w:rPr>
          <w:rFonts w:ascii="Times New Roman" w:hAnsi="Times New Roman" w:cs="Times New Roman"/>
          <w:sz w:val="26"/>
          <w:szCs w:val="26"/>
        </w:rPr>
        <w:t xml:space="preserve"> </w:t>
      </w:r>
      <w:r w:rsidR="00433F34">
        <w:rPr>
          <w:rFonts w:ascii="Times New Roman" w:hAnsi="Times New Roman" w:cs="Times New Roman"/>
          <w:sz w:val="26"/>
          <w:szCs w:val="26"/>
        </w:rPr>
        <w:t xml:space="preserve">water </w:t>
      </w:r>
      <w:r w:rsidRPr="00493961">
        <w:rPr>
          <w:rFonts w:ascii="Times New Roman" w:hAnsi="Times New Roman" w:cs="Times New Roman"/>
          <w:sz w:val="26"/>
          <w:szCs w:val="26"/>
        </w:rPr>
        <w:t>system to Aqua Pennsylvania, Inc.</w:t>
      </w:r>
      <w:r w:rsidR="00433F34">
        <w:rPr>
          <w:rFonts w:ascii="Times New Roman" w:hAnsi="Times New Roman" w:cs="Times New Roman"/>
          <w:sz w:val="26"/>
          <w:szCs w:val="26"/>
        </w:rPr>
        <w:t>,</w:t>
      </w:r>
      <w:r w:rsidRPr="00493961">
        <w:rPr>
          <w:rFonts w:ascii="Times New Roman" w:hAnsi="Times New Roman" w:cs="Times New Roman"/>
          <w:sz w:val="26"/>
          <w:szCs w:val="26"/>
        </w:rPr>
        <w:t xml:space="preserve"> subject to the Commission’s approval. </w:t>
      </w:r>
    </w:p>
    <w:p w14:paraId="79990DEA" w14:textId="77777777" w:rsidR="00694FC9" w:rsidRPr="006D6531" w:rsidRDefault="00694FC9" w:rsidP="001231D6">
      <w:pPr>
        <w:spacing w:after="0" w:line="360" w:lineRule="auto"/>
        <w:rPr>
          <w:rFonts w:ascii="Times New Roman" w:hAnsi="Times New Roman" w:cs="Times New Roman"/>
          <w:sz w:val="26"/>
          <w:szCs w:val="26"/>
        </w:rPr>
      </w:pPr>
      <w:r w:rsidRPr="006D6531">
        <w:rPr>
          <w:rFonts w:ascii="Times New Roman" w:hAnsi="Times New Roman" w:cs="Times New Roman"/>
          <w:sz w:val="26"/>
          <w:szCs w:val="26"/>
        </w:rPr>
        <w:t xml:space="preserve"> </w:t>
      </w:r>
    </w:p>
    <w:p w14:paraId="7FB7D4B2" w14:textId="4FB15891" w:rsidR="00694FC9" w:rsidRPr="006D6531" w:rsidRDefault="00694FC9" w:rsidP="001231D6">
      <w:pPr>
        <w:numPr>
          <w:ilvl w:val="0"/>
          <w:numId w:val="19"/>
        </w:numPr>
        <w:spacing w:after="0" w:line="360" w:lineRule="auto"/>
        <w:ind w:left="0" w:firstLine="1440"/>
        <w:rPr>
          <w:rFonts w:ascii="Times New Roman" w:hAnsi="Times New Roman" w:cs="Times New Roman"/>
          <w:sz w:val="26"/>
          <w:szCs w:val="26"/>
        </w:rPr>
      </w:pPr>
      <w:r w:rsidRPr="006D6531">
        <w:rPr>
          <w:rFonts w:ascii="Times New Roman" w:hAnsi="Times New Roman" w:cs="Times New Roman"/>
          <w:sz w:val="26"/>
          <w:szCs w:val="26"/>
        </w:rPr>
        <w:t xml:space="preserve">That the Applications </w:t>
      </w:r>
      <w:r w:rsidR="00433F34">
        <w:rPr>
          <w:rFonts w:ascii="Times New Roman" w:hAnsi="Times New Roman" w:cs="Times New Roman"/>
          <w:sz w:val="26"/>
          <w:szCs w:val="26"/>
        </w:rPr>
        <w:t>f</w:t>
      </w:r>
      <w:r w:rsidRPr="006D6531">
        <w:rPr>
          <w:rFonts w:ascii="Times New Roman" w:hAnsi="Times New Roman" w:cs="Times New Roman"/>
          <w:sz w:val="26"/>
          <w:szCs w:val="26"/>
        </w:rPr>
        <w:t xml:space="preserve">or Approval </w:t>
      </w:r>
      <w:r w:rsidRPr="006D6531">
        <w:rPr>
          <w:rFonts w:ascii="Times New Roman" w:eastAsia="Times New Roman" w:hAnsi="Times New Roman" w:cs="Times New Roman"/>
          <w:i/>
          <w:sz w:val="26"/>
          <w:szCs w:val="26"/>
        </w:rPr>
        <w:t>Nunc Pro Tunc</w:t>
      </w:r>
      <w:r w:rsidRPr="006D6531">
        <w:rPr>
          <w:rFonts w:ascii="Times New Roman" w:hAnsi="Times New Roman" w:cs="Times New Roman"/>
          <w:sz w:val="26"/>
          <w:szCs w:val="26"/>
        </w:rPr>
        <w:t xml:space="preserve"> of The Three Unsecured Revolving Promissory Notes between Twin Lakes </w:t>
      </w:r>
      <w:r w:rsidR="00433F34">
        <w:rPr>
          <w:rFonts w:ascii="Times New Roman" w:hAnsi="Times New Roman" w:cs="Times New Roman"/>
          <w:sz w:val="26"/>
          <w:szCs w:val="26"/>
        </w:rPr>
        <w:t xml:space="preserve">Utilities, Inc., </w:t>
      </w:r>
      <w:r w:rsidRPr="006D6531">
        <w:rPr>
          <w:rFonts w:ascii="Times New Roman" w:hAnsi="Times New Roman" w:cs="Times New Roman"/>
          <w:sz w:val="26"/>
          <w:szCs w:val="26"/>
        </w:rPr>
        <w:t xml:space="preserve">and Middlesex Water Company at </w:t>
      </w:r>
      <w:r w:rsidR="00075142">
        <w:rPr>
          <w:rFonts w:ascii="Times New Roman" w:hAnsi="Times New Roman" w:cs="Times New Roman"/>
          <w:sz w:val="26"/>
          <w:szCs w:val="26"/>
        </w:rPr>
        <w:t>D</w:t>
      </w:r>
      <w:r w:rsidRPr="006D6531">
        <w:rPr>
          <w:rFonts w:ascii="Times New Roman" w:hAnsi="Times New Roman" w:cs="Times New Roman"/>
          <w:sz w:val="26"/>
          <w:szCs w:val="26"/>
        </w:rPr>
        <w:t xml:space="preserve">ocket </w:t>
      </w:r>
      <w:r w:rsidR="00075142">
        <w:rPr>
          <w:rFonts w:ascii="Times New Roman" w:hAnsi="Times New Roman" w:cs="Times New Roman"/>
          <w:sz w:val="26"/>
          <w:szCs w:val="26"/>
        </w:rPr>
        <w:t>N</w:t>
      </w:r>
      <w:r w:rsidRPr="006D6531">
        <w:rPr>
          <w:rFonts w:ascii="Times New Roman" w:hAnsi="Times New Roman" w:cs="Times New Roman"/>
          <w:sz w:val="26"/>
          <w:szCs w:val="26"/>
        </w:rPr>
        <w:t xml:space="preserve">umbers G-2020-3021018, G-2020-3021021 and G-2020-3021024 are granted. </w:t>
      </w:r>
    </w:p>
    <w:p w14:paraId="4A67B942" w14:textId="77777777" w:rsidR="00694FC9" w:rsidRPr="006D6531" w:rsidRDefault="00694FC9" w:rsidP="00493961">
      <w:pPr>
        <w:spacing w:after="0" w:line="360" w:lineRule="auto"/>
        <w:rPr>
          <w:rFonts w:ascii="Times New Roman" w:hAnsi="Times New Roman" w:cs="Times New Roman"/>
          <w:sz w:val="26"/>
          <w:szCs w:val="26"/>
        </w:rPr>
      </w:pPr>
      <w:r w:rsidRPr="006D6531">
        <w:rPr>
          <w:rFonts w:ascii="Times New Roman" w:hAnsi="Times New Roman" w:cs="Times New Roman"/>
          <w:sz w:val="26"/>
          <w:szCs w:val="26"/>
        </w:rPr>
        <w:t xml:space="preserve"> </w:t>
      </w:r>
    </w:p>
    <w:p w14:paraId="083AF7EA" w14:textId="3635140D" w:rsidR="00694FC9" w:rsidRDefault="00694FC9" w:rsidP="00A57EBA">
      <w:pPr>
        <w:numPr>
          <w:ilvl w:val="0"/>
          <w:numId w:val="19"/>
        </w:numPr>
        <w:spacing w:after="0" w:line="360" w:lineRule="auto"/>
        <w:ind w:left="0" w:firstLine="1440"/>
        <w:rPr>
          <w:rFonts w:ascii="Times New Roman" w:hAnsi="Times New Roman" w:cs="Times New Roman"/>
          <w:sz w:val="26"/>
          <w:szCs w:val="26"/>
        </w:rPr>
      </w:pPr>
      <w:r w:rsidRPr="006D6531">
        <w:rPr>
          <w:rFonts w:ascii="Times New Roman" w:hAnsi="Times New Roman" w:cs="Times New Roman"/>
          <w:sz w:val="26"/>
          <w:szCs w:val="26"/>
        </w:rPr>
        <w:t xml:space="preserve">That the Application </w:t>
      </w:r>
      <w:r w:rsidR="00433F34">
        <w:rPr>
          <w:rFonts w:ascii="Times New Roman" w:hAnsi="Times New Roman" w:cs="Times New Roman"/>
          <w:sz w:val="26"/>
          <w:szCs w:val="26"/>
        </w:rPr>
        <w:t>f</w:t>
      </w:r>
      <w:r w:rsidRPr="006D6531">
        <w:rPr>
          <w:rFonts w:ascii="Times New Roman" w:hAnsi="Times New Roman" w:cs="Times New Roman"/>
          <w:sz w:val="26"/>
          <w:szCs w:val="26"/>
        </w:rPr>
        <w:t xml:space="preserve">or Approval </w:t>
      </w:r>
      <w:r w:rsidRPr="006D6531">
        <w:rPr>
          <w:rFonts w:ascii="Times New Roman" w:eastAsia="Times New Roman" w:hAnsi="Times New Roman" w:cs="Times New Roman"/>
          <w:i/>
          <w:sz w:val="26"/>
          <w:szCs w:val="26"/>
        </w:rPr>
        <w:t>Nunc Pro Tunc</w:t>
      </w:r>
      <w:r w:rsidRPr="006D6531">
        <w:rPr>
          <w:rFonts w:ascii="Times New Roman" w:hAnsi="Times New Roman" w:cs="Times New Roman"/>
          <w:sz w:val="26"/>
          <w:szCs w:val="26"/>
        </w:rPr>
        <w:t xml:space="preserve"> of the Service Agreement between Twin Lakes</w:t>
      </w:r>
      <w:r w:rsidR="000F11D1">
        <w:rPr>
          <w:rFonts w:ascii="Times New Roman" w:hAnsi="Times New Roman" w:cs="Times New Roman"/>
          <w:sz w:val="26"/>
          <w:szCs w:val="26"/>
        </w:rPr>
        <w:t xml:space="preserve"> Utilities, Inc., </w:t>
      </w:r>
      <w:r w:rsidRPr="006D6531">
        <w:rPr>
          <w:rFonts w:ascii="Times New Roman" w:hAnsi="Times New Roman" w:cs="Times New Roman"/>
          <w:sz w:val="26"/>
          <w:szCs w:val="26"/>
        </w:rPr>
        <w:t>and Middlesex Water Company</w:t>
      </w:r>
      <w:r w:rsidR="000F11D1">
        <w:rPr>
          <w:rFonts w:ascii="Times New Roman" w:hAnsi="Times New Roman" w:cs="Times New Roman"/>
          <w:sz w:val="26"/>
          <w:szCs w:val="26"/>
        </w:rPr>
        <w:t xml:space="preserve">, and the </w:t>
      </w:r>
      <w:r w:rsidR="0050224F">
        <w:rPr>
          <w:rFonts w:ascii="Times New Roman" w:hAnsi="Times New Roman" w:cs="Times New Roman"/>
          <w:sz w:val="26"/>
          <w:szCs w:val="26"/>
        </w:rPr>
        <w:t>five subsequent</w:t>
      </w:r>
      <w:r w:rsidRPr="006D6531">
        <w:rPr>
          <w:rFonts w:ascii="Times New Roman" w:hAnsi="Times New Roman" w:cs="Times New Roman"/>
          <w:sz w:val="26"/>
          <w:szCs w:val="26"/>
        </w:rPr>
        <w:t xml:space="preserve"> amendments </w:t>
      </w:r>
      <w:r w:rsidR="0050224F">
        <w:rPr>
          <w:rFonts w:ascii="Times New Roman" w:hAnsi="Times New Roman" w:cs="Times New Roman"/>
          <w:sz w:val="26"/>
          <w:szCs w:val="26"/>
        </w:rPr>
        <w:t xml:space="preserve">thereto </w:t>
      </w:r>
      <w:r w:rsidRPr="006D6531">
        <w:rPr>
          <w:rFonts w:ascii="Times New Roman" w:hAnsi="Times New Roman" w:cs="Times New Roman"/>
          <w:sz w:val="26"/>
          <w:szCs w:val="26"/>
        </w:rPr>
        <w:t xml:space="preserve">at </w:t>
      </w:r>
      <w:r w:rsidR="00075142">
        <w:rPr>
          <w:rFonts w:ascii="Times New Roman" w:hAnsi="Times New Roman" w:cs="Times New Roman"/>
          <w:sz w:val="26"/>
          <w:szCs w:val="26"/>
        </w:rPr>
        <w:t>D</w:t>
      </w:r>
      <w:r w:rsidRPr="006D6531">
        <w:rPr>
          <w:rFonts w:ascii="Times New Roman" w:hAnsi="Times New Roman" w:cs="Times New Roman"/>
          <w:sz w:val="26"/>
          <w:szCs w:val="26"/>
        </w:rPr>
        <w:t xml:space="preserve">ocket </w:t>
      </w:r>
      <w:r w:rsidR="00075142">
        <w:rPr>
          <w:rFonts w:ascii="Times New Roman" w:hAnsi="Times New Roman" w:cs="Times New Roman"/>
          <w:sz w:val="26"/>
          <w:szCs w:val="26"/>
        </w:rPr>
        <w:t>N</w:t>
      </w:r>
      <w:r w:rsidRPr="006D6531">
        <w:rPr>
          <w:rFonts w:ascii="Times New Roman" w:hAnsi="Times New Roman" w:cs="Times New Roman"/>
          <w:sz w:val="26"/>
          <w:szCs w:val="26"/>
        </w:rPr>
        <w:t xml:space="preserve">umber G-2020-3020941 are </w:t>
      </w:r>
      <w:r w:rsidR="00505FFF">
        <w:rPr>
          <w:rFonts w:ascii="Times New Roman" w:hAnsi="Times New Roman" w:cs="Times New Roman"/>
          <w:sz w:val="26"/>
          <w:szCs w:val="26"/>
        </w:rPr>
        <w:t>modified consistent with the discussion in this Opinion and Order.</w:t>
      </w:r>
      <w:r w:rsidRPr="006D6531">
        <w:rPr>
          <w:rFonts w:ascii="Times New Roman" w:hAnsi="Times New Roman" w:cs="Times New Roman"/>
          <w:sz w:val="26"/>
          <w:szCs w:val="26"/>
        </w:rPr>
        <w:t xml:space="preserve"> </w:t>
      </w:r>
    </w:p>
    <w:p w14:paraId="49756170" w14:textId="77777777" w:rsidR="00505FFF" w:rsidRDefault="00505FFF" w:rsidP="002A1840">
      <w:pPr>
        <w:pStyle w:val="ListParagraph"/>
        <w:rPr>
          <w:rFonts w:ascii="Times New Roman" w:hAnsi="Times New Roman" w:cs="Times New Roman"/>
          <w:sz w:val="26"/>
          <w:szCs w:val="26"/>
        </w:rPr>
      </w:pPr>
    </w:p>
    <w:p w14:paraId="508DE62C" w14:textId="77BBE9D0" w:rsidR="00000F66" w:rsidRDefault="00505FFF" w:rsidP="00000F66">
      <w:pPr>
        <w:numPr>
          <w:ilvl w:val="0"/>
          <w:numId w:val="19"/>
        </w:numPr>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 xml:space="preserve">That </w:t>
      </w:r>
      <w:r w:rsidRPr="0054305B">
        <w:rPr>
          <w:rFonts w:ascii="Times New Roman" w:hAnsi="Times New Roman" w:cs="Times New Roman"/>
          <w:sz w:val="26"/>
          <w:szCs w:val="26"/>
        </w:rPr>
        <w:t>to the extent the any Service Agreement executed between Middlesex</w:t>
      </w:r>
      <w:r>
        <w:rPr>
          <w:rFonts w:ascii="Times New Roman" w:hAnsi="Times New Roman" w:cs="Times New Roman"/>
          <w:sz w:val="26"/>
          <w:szCs w:val="26"/>
        </w:rPr>
        <w:t xml:space="preserve"> Water Company </w:t>
      </w:r>
      <w:r w:rsidRPr="0054305B">
        <w:rPr>
          <w:rFonts w:ascii="Times New Roman" w:hAnsi="Times New Roman" w:cs="Times New Roman"/>
          <w:sz w:val="26"/>
          <w:szCs w:val="26"/>
        </w:rPr>
        <w:t>and Twin Lakes</w:t>
      </w:r>
      <w:r>
        <w:rPr>
          <w:rFonts w:ascii="Times New Roman" w:hAnsi="Times New Roman" w:cs="Times New Roman"/>
          <w:sz w:val="26"/>
          <w:szCs w:val="26"/>
        </w:rPr>
        <w:t xml:space="preserve"> Utilities, Inc., </w:t>
      </w:r>
      <w:r w:rsidRPr="0054305B">
        <w:rPr>
          <w:rFonts w:ascii="Times New Roman" w:hAnsi="Times New Roman" w:cs="Times New Roman"/>
          <w:sz w:val="26"/>
          <w:szCs w:val="26"/>
        </w:rPr>
        <w:t xml:space="preserve">including, </w:t>
      </w:r>
      <w:r w:rsidRPr="0054305B">
        <w:rPr>
          <w:rFonts w:ascii="Times New Roman" w:hAnsi="Times New Roman" w:cs="Times New Roman"/>
          <w:i/>
          <w:iCs/>
          <w:sz w:val="26"/>
          <w:szCs w:val="26"/>
        </w:rPr>
        <w:t>inter alia</w:t>
      </w:r>
      <w:r w:rsidRPr="0054305B">
        <w:rPr>
          <w:rFonts w:ascii="Times New Roman" w:hAnsi="Times New Roman" w:cs="Times New Roman"/>
          <w:sz w:val="26"/>
          <w:szCs w:val="26"/>
        </w:rPr>
        <w:t xml:space="preserve">, the </w:t>
      </w:r>
      <w:r w:rsidRPr="0054305B">
        <w:rPr>
          <w:rFonts w:ascii="Times New Roman" w:eastAsia="Times New Roman" w:hAnsi="Times New Roman" w:cs="Times New Roman"/>
          <w:color w:val="000000"/>
          <w:sz w:val="26"/>
          <w:szCs w:val="26"/>
        </w:rPr>
        <w:t>Service Agreement dated December 1, 2009, and the June 1, 2020 Letter of Middlesex</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lastRenderedPageBreak/>
        <w:t xml:space="preserve">Water Company </w:t>
      </w:r>
      <w:r w:rsidRPr="0054305B">
        <w:rPr>
          <w:rFonts w:ascii="Times New Roman" w:eastAsia="Times New Roman" w:hAnsi="Times New Roman" w:cs="Times New Roman"/>
          <w:color w:val="000000"/>
          <w:sz w:val="26"/>
          <w:szCs w:val="26"/>
        </w:rPr>
        <w:t xml:space="preserve">“Notice of Termination of the Service Agreement,” </w:t>
      </w:r>
      <w:r w:rsidRPr="0054305B">
        <w:rPr>
          <w:rFonts w:ascii="Times New Roman" w:hAnsi="Times New Roman" w:cs="Times New Roman"/>
          <w:sz w:val="26"/>
          <w:szCs w:val="26"/>
        </w:rPr>
        <w:t>are relied upon by Middlesex</w:t>
      </w:r>
      <w:r>
        <w:rPr>
          <w:rFonts w:ascii="Times New Roman" w:hAnsi="Times New Roman" w:cs="Times New Roman"/>
          <w:sz w:val="26"/>
          <w:szCs w:val="26"/>
        </w:rPr>
        <w:t xml:space="preserve"> </w:t>
      </w:r>
      <w:r w:rsidR="002571C7">
        <w:rPr>
          <w:rFonts w:ascii="Times New Roman" w:hAnsi="Times New Roman" w:cs="Times New Roman"/>
          <w:sz w:val="26"/>
          <w:szCs w:val="26"/>
        </w:rPr>
        <w:t>W</w:t>
      </w:r>
      <w:r>
        <w:rPr>
          <w:rFonts w:ascii="Times New Roman" w:hAnsi="Times New Roman" w:cs="Times New Roman"/>
          <w:sz w:val="26"/>
          <w:szCs w:val="26"/>
        </w:rPr>
        <w:t>ater Company</w:t>
      </w:r>
      <w:r w:rsidRPr="0054305B">
        <w:rPr>
          <w:rFonts w:ascii="Times New Roman" w:hAnsi="Times New Roman" w:cs="Times New Roman"/>
          <w:sz w:val="26"/>
          <w:szCs w:val="26"/>
        </w:rPr>
        <w:t xml:space="preserve"> or Twin Lakes </w:t>
      </w:r>
      <w:r>
        <w:rPr>
          <w:rFonts w:ascii="Times New Roman" w:hAnsi="Times New Roman" w:cs="Times New Roman"/>
          <w:sz w:val="26"/>
          <w:szCs w:val="26"/>
        </w:rPr>
        <w:t xml:space="preserve">Utilities, Inc., </w:t>
      </w:r>
      <w:r w:rsidRPr="0054305B">
        <w:rPr>
          <w:rFonts w:ascii="Times New Roman" w:hAnsi="Times New Roman" w:cs="Times New Roman"/>
          <w:sz w:val="26"/>
          <w:szCs w:val="26"/>
        </w:rPr>
        <w:t xml:space="preserve">to constitute </w:t>
      </w:r>
      <w:r w:rsidR="002571C7">
        <w:rPr>
          <w:rFonts w:ascii="Times New Roman" w:hAnsi="Times New Roman" w:cs="Times New Roman"/>
          <w:sz w:val="26"/>
          <w:szCs w:val="26"/>
        </w:rPr>
        <w:t xml:space="preserve">an </w:t>
      </w:r>
      <w:r w:rsidRPr="0054305B">
        <w:rPr>
          <w:rFonts w:ascii="Times New Roman" w:hAnsi="Times New Roman" w:cs="Times New Roman"/>
          <w:sz w:val="26"/>
          <w:szCs w:val="26"/>
        </w:rPr>
        <w:t xml:space="preserve">abandonment of service </w:t>
      </w:r>
      <w:r>
        <w:rPr>
          <w:rFonts w:ascii="Times New Roman" w:hAnsi="Times New Roman" w:cs="Times New Roman"/>
          <w:sz w:val="26"/>
          <w:szCs w:val="26"/>
        </w:rPr>
        <w:t xml:space="preserve">by Middlesex Water Company, </w:t>
      </w:r>
      <w:r w:rsidRPr="0054305B">
        <w:rPr>
          <w:rFonts w:ascii="Times New Roman" w:hAnsi="Times New Roman" w:cs="Times New Roman"/>
          <w:sz w:val="26"/>
          <w:szCs w:val="26"/>
        </w:rPr>
        <w:t>or transfer of Middlesex</w:t>
      </w:r>
      <w:r>
        <w:rPr>
          <w:rFonts w:ascii="Times New Roman" w:hAnsi="Times New Roman" w:cs="Times New Roman"/>
          <w:sz w:val="26"/>
          <w:szCs w:val="26"/>
        </w:rPr>
        <w:t xml:space="preserve"> Water Company’s </w:t>
      </w:r>
      <w:r w:rsidRPr="0054305B">
        <w:rPr>
          <w:rFonts w:ascii="Times New Roman" w:hAnsi="Times New Roman" w:cs="Times New Roman"/>
          <w:sz w:val="26"/>
          <w:szCs w:val="26"/>
        </w:rPr>
        <w:t xml:space="preserve">Certificate of Public </w:t>
      </w:r>
      <w:r>
        <w:rPr>
          <w:rFonts w:ascii="Times New Roman" w:hAnsi="Times New Roman" w:cs="Times New Roman"/>
          <w:sz w:val="26"/>
          <w:szCs w:val="26"/>
        </w:rPr>
        <w:t>C</w:t>
      </w:r>
      <w:r w:rsidRPr="0054305B">
        <w:rPr>
          <w:rFonts w:ascii="Times New Roman" w:hAnsi="Times New Roman" w:cs="Times New Roman"/>
          <w:sz w:val="26"/>
          <w:szCs w:val="26"/>
        </w:rPr>
        <w:t>onvenience to Twin Lakes</w:t>
      </w:r>
      <w:r w:rsidR="002571C7">
        <w:rPr>
          <w:rFonts w:ascii="Times New Roman" w:hAnsi="Times New Roman" w:cs="Times New Roman"/>
          <w:sz w:val="26"/>
          <w:szCs w:val="26"/>
        </w:rPr>
        <w:t xml:space="preserve"> Utilities, Inc., </w:t>
      </w:r>
      <w:r w:rsidRPr="0054305B">
        <w:rPr>
          <w:rFonts w:ascii="Times New Roman" w:hAnsi="Times New Roman" w:cs="Times New Roman"/>
          <w:sz w:val="26"/>
          <w:szCs w:val="26"/>
        </w:rPr>
        <w:t>as a means to relieve Middlesex</w:t>
      </w:r>
      <w:r w:rsidR="002571C7">
        <w:rPr>
          <w:rFonts w:ascii="Times New Roman" w:hAnsi="Times New Roman" w:cs="Times New Roman"/>
          <w:sz w:val="26"/>
          <w:szCs w:val="26"/>
        </w:rPr>
        <w:t xml:space="preserve"> Water Company </w:t>
      </w:r>
      <w:r w:rsidRPr="0054305B">
        <w:rPr>
          <w:rFonts w:ascii="Times New Roman" w:hAnsi="Times New Roman" w:cs="Times New Roman"/>
          <w:sz w:val="26"/>
          <w:szCs w:val="26"/>
        </w:rPr>
        <w:t xml:space="preserve">of its duty as a public utility under the </w:t>
      </w:r>
      <w:r w:rsidR="002571C7">
        <w:rPr>
          <w:rFonts w:ascii="Times New Roman" w:hAnsi="Times New Roman" w:cs="Times New Roman"/>
          <w:sz w:val="26"/>
          <w:szCs w:val="26"/>
        </w:rPr>
        <w:t xml:space="preserve">Public Utility </w:t>
      </w:r>
      <w:r w:rsidRPr="0054305B">
        <w:rPr>
          <w:rFonts w:ascii="Times New Roman" w:hAnsi="Times New Roman" w:cs="Times New Roman"/>
          <w:sz w:val="26"/>
          <w:szCs w:val="26"/>
        </w:rPr>
        <w:t xml:space="preserve">Code, we conclude the agreements, and the attempt to amend them by termination or otherwise, to be void, pursuant to our authority under both Section 508 and Chapter 21 of the </w:t>
      </w:r>
      <w:r w:rsidR="002571C7">
        <w:rPr>
          <w:rFonts w:ascii="Times New Roman" w:hAnsi="Times New Roman" w:cs="Times New Roman"/>
          <w:sz w:val="26"/>
          <w:szCs w:val="26"/>
        </w:rPr>
        <w:t xml:space="preserve">Public Utility </w:t>
      </w:r>
      <w:r w:rsidRPr="0054305B">
        <w:rPr>
          <w:rFonts w:ascii="Times New Roman" w:hAnsi="Times New Roman" w:cs="Times New Roman"/>
          <w:sz w:val="26"/>
          <w:szCs w:val="26"/>
        </w:rPr>
        <w:t>Code.</w:t>
      </w:r>
    </w:p>
    <w:p w14:paraId="0011A4E6" w14:textId="77777777" w:rsidR="00000F66" w:rsidRPr="00000F66" w:rsidRDefault="00000F66" w:rsidP="00000F66">
      <w:pPr>
        <w:spacing w:after="0" w:line="360" w:lineRule="auto"/>
        <w:ind w:left="1440"/>
        <w:rPr>
          <w:rFonts w:ascii="Times New Roman" w:hAnsi="Times New Roman" w:cs="Times New Roman"/>
          <w:sz w:val="26"/>
          <w:szCs w:val="26"/>
        </w:rPr>
      </w:pPr>
    </w:p>
    <w:p w14:paraId="648DD429" w14:textId="6C89DDC1" w:rsidR="00505FFF" w:rsidRDefault="00505FFF" w:rsidP="00C95BC1">
      <w:pPr>
        <w:numPr>
          <w:ilvl w:val="0"/>
          <w:numId w:val="19"/>
        </w:numPr>
        <w:tabs>
          <w:tab w:val="clear" w:pos="720"/>
        </w:tabs>
        <w:spacing w:after="0" w:line="360" w:lineRule="auto"/>
        <w:ind w:left="0" w:firstLine="1440"/>
        <w:rPr>
          <w:rFonts w:ascii="Times New Roman" w:hAnsi="Times New Roman" w:cs="Times New Roman"/>
          <w:sz w:val="26"/>
          <w:szCs w:val="26"/>
        </w:rPr>
      </w:pPr>
      <w:r w:rsidRPr="00505FFF">
        <w:rPr>
          <w:rFonts w:ascii="Times New Roman" w:hAnsi="Times New Roman" w:cs="Times New Roman"/>
          <w:sz w:val="26"/>
          <w:szCs w:val="26"/>
        </w:rPr>
        <w:t xml:space="preserve">That the Secretary shall serve a copy of this Opinion and Order on the certificated entity directly involved in this matter, Middlesex Water Company at the address provided under Docket Nos. A-2008-2050092 and A-2008-2050089, granting the Certificate of Public Convenience: </w:t>
      </w:r>
    </w:p>
    <w:p w14:paraId="000D2B48" w14:textId="77777777" w:rsidR="00000F66" w:rsidRPr="00505FFF" w:rsidRDefault="00000F66" w:rsidP="00EA0846">
      <w:pPr>
        <w:spacing w:after="0" w:line="240" w:lineRule="auto"/>
        <w:rPr>
          <w:rFonts w:ascii="Times New Roman" w:hAnsi="Times New Roman" w:cs="Times New Roman"/>
          <w:sz w:val="26"/>
          <w:szCs w:val="26"/>
        </w:rPr>
      </w:pPr>
    </w:p>
    <w:p w14:paraId="30110728" w14:textId="77777777" w:rsidR="00505FFF" w:rsidRPr="00505FFF" w:rsidRDefault="00505FFF" w:rsidP="00B80A47">
      <w:pPr>
        <w:spacing w:after="0" w:line="240" w:lineRule="auto"/>
        <w:ind w:left="2160"/>
        <w:rPr>
          <w:rFonts w:ascii="Times New Roman" w:hAnsi="Times New Roman" w:cs="Times New Roman"/>
          <w:sz w:val="26"/>
          <w:szCs w:val="26"/>
        </w:rPr>
      </w:pPr>
      <w:r w:rsidRPr="00505FFF">
        <w:rPr>
          <w:rFonts w:ascii="Times New Roman" w:hAnsi="Times New Roman" w:cs="Times New Roman"/>
          <w:sz w:val="26"/>
          <w:szCs w:val="26"/>
        </w:rPr>
        <w:t xml:space="preserve">1500 </w:t>
      </w:r>
      <w:proofErr w:type="spellStart"/>
      <w:r w:rsidRPr="00505FFF">
        <w:rPr>
          <w:rFonts w:ascii="Times New Roman" w:hAnsi="Times New Roman" w:cs="Times New Roman"/>
          <w:sz w:val="26"/>
          <w:szCs w:val="26"/>
        </w:rPr>
        <w:t>Ronson</w:t>
      </w:r>
      <w:proofErr w:type="spellEnd"/>
      <w:r w:rsidRPr="00505FFF">
        <w:rPr>
          <w:rFonts w:ascii="Times New Roman" w:hAnsi="Times New Roman" w:cs="Times New Roman"/>
          <w:sz w:val="26"/>
          <w:szCs w:val="26"/>
        </w:rPr>
        <w:t xml:space="preserve"> Road</w:t>
      </w:r>
    </w:p>
    <w:p w14:paraId="291FD911" w14:textId="184C5057" w:rsidR="00505FFF" w:rsidRPr="006D6531" w:rsidRDefault="00505FFF" w:rsidP="00B80A47">
      <w:pPr>
        <w:spacing w:after="0" w:line="360" w:lineRule="auto"/>
        <w:ind w:left="2160"/>
        <w:rPr>
          <w:rFonts w:ascii="Times New Roman" w:hAnsi="Times New Roman" w:cs="Times New Roman"/>
          <w:sz w:val="26"/>
          <w:szCs w:val="26"/>
        </w:rPr>
      </w:pPr>
      <w:r w:rsidRPr="00505FFF">
        <w:rPr>
          <w:rFonts w:ascii="Times New Roman" w:hAnsi="Times New Roman" w:cs="Times New Roman"/>
          <w:sz w:val="26"/>
          <w:szCs w:val="26"/>
        </w:rPr>
        <w:t>Iselin, NJ 08830</w:t>
      </w:r>
    </w:p>
    <w:p w14:paraId="594584CD" w14:textId="122BDBC3" w:rsidR="00694FC9" w:rsidRDefault="00694FC9" w:rsidP="00EA0846">
      <w:pPr>
        <w:spacing w:after="0" w:line="360" w:lineRule="auto"/>
        <w:rPr>
          <w:rFonts w:ascii="Times New Roman" w:hAnsi="Times New Roman" w:cs="Times New Roman"/>
          <w:sz w:val="26"/>
          <w:szCs w:val="26"/>
        </w:rPr>
      </w:pPr>
    </w:p>
    <w:p w14:paraId="532D3093" w14:textId="77777777" w:rsidR="002A1840" w:rsidRPr="002A1840" w:rsidRDefault="002A1840" w:rsidP="00C95BC1">
      <w:pPr>
        <w:keepLines/>
        <w:spacing w:after="0" w:line="360" w:lineRule="auto"/>
        <w:rPr>
          <w:rFonts w:ascii="Times New Roman" w:hAnsi="Times New Roman" w:cs="Times New Roman"/>
          <w:sz w:val="26"/>
          <w:szCs w:val="26"/>
        </w:rPr>
      </w:pPr>
    </w:p>
    <w:p w14:paraId="6E461344" w14:textId="77777777" w:rsidR="0035643E" w:rsidRDefault="0035643E" w:rsidP="00A66D1F">
      <w:pPr>
        <w:pStyle w:val="ListParagraph"/>
        <w:rPr>
          <w:rFonts w:ascii="Times New Roman" w:hAnsi="Times New Roman" w:cs="Times New Roman"/>
          <w:sz w:val="26"/>
          <w:szCs w:val="26"/>
        </w:rPr>
      </w:pPr>
    </w:p>
    <w:p w14:paraId="3923B79D" w14:textId="313E3109" w:rsidR="008434CA" w:rsidRPr="002A1840" w:rsidRDefault="002A1840" w:rsidP="002A1840">
      <w:pPr>
        <w:keepNext/>
        <w:keepLines/>
        <w:numPr>
          <w:ilvl w:val="0"/>
          <w:numId w:val="19"/>
        </w:numPr>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lastRenderedPageBreak/>
        <w:t xml:space="preserve">That </w:t>
      </w:r>
      <w:r w:rsidR="008434CA" w:rsidRPr="002A1840">
        <w:rPr>
          <w:rFonts w:ascii="Times New Roman" w:hAnsi="Times New Roman" w:cs="Times New Roman"/>
          <w:sz w:val="26"/>
          <w:szCs w:val="26"/>
        </w:rPr>
        <w:t xml:space="preserve">this docket </w:t>
      </w:r>
      <w:r>
        <w:rPr>
          <w:rFonts w:ascii="Times New Roman" w:hAnsi="Times New Roman" w:cs="Times New Roman"/>
          <w:sz w:val="26"/>
          <w:szCs w:val="26"/>
        </w:rPr>
        <w:t xml:space="preserve">shall </w:t>
      </w:r>
      <w:r w:rsidR="008434CA" w:rsidRPr="002A1840">
        <w:rPr>
          <w:rFonts w:ascii="Times New Roman" w:hAnsi="Times New Roman" w:cs="Times New Roman"/>
          <w:sz w:val="26"/>
          <w:szCs w:val="26"/>
        </w:rPr>
        <w:t>be marked closed.</w:t>
      </w:r>
    </w:p>
    <w:p w14:paraId="4FB444FD" w14:textId="1B74C77D" w:rsidR="00CB06ED" w:rsidRPr="006D6531" w:rsidRDefault="00CB06ED" w:rsidP="0017567A">
      <w:pPr>
        <w:keepNext/>
        <w:keepLines/>
        <w:tabs>
          <w:tab w:val="left" w:pos="-720"/>
        </w:tabs>
        <w:suppressAutoHyphens/>
        <w:spacing w:after="0" w:line="360" w:lineRule="auto"/>
        <w:rPr>
          <w:rFonts w:ascii="Times New Roman" w:eastAsia="Times New Roman" w:hAnsi="Times New Roman" w:cs="Times New Roman"/>
          <w:b/>
          <w:sz w:val="26"/>
          <w:szCs w:val="26"/>
        </w:rPr>
      </w:pPr>
    </w:p>
    <w:p w14:paraId="6CDCD4E9" w14:textId="0C5EDCBD" w:rsidR="00420E92" w:rsidRPr="006D6531" w:rsidRDefault="00A95009" w:rsidP="0017567A">
      <w:pPr>
        <w:keepNext/>
        <w:keepLines/>
        <w:tabs>
          <w:tab w:val="left" w:pos="-720"/>
        </w:tabs>
        <w:suppressAutoHyphens/>
        <w:spacing w:after="0" w:line="240" w:lineRule="auto"/>
        <w:ind w:left="504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7089CD44" wp14:editId="713A2C1A">
            <wp:simplePos x="0" y="0"/>
            <wp:positionH relativeFrom="column">
              <wp:posOffset>3171825</wp:posOffset>
            </wp:positionH>
            <wp:positionV relativeFrom="paragraph">
              <wp:posOffset>151765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20E92" w:rsidRPr="006D6531">
        <w:rPr>
          <w:rFonts w:ascii="Times New Roman" w:eastAsia="Times New Roman" w:hAnsi="Times New Roman" w:cs="Times New Roman"/>
          <w:b/>
          <w:sz w:val="26"/>
          <w:szCs w:val="26"/>
        </w:rPr>
        <w:t>BY THE COMMISSION,</w:t>
      </w:r>
    </w:p>
    <w:p w14:paraId="6EE0D598" w14:textId="31AB1C06"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b/>
          <w:sz w:val="26"/>
          <w:szCs w:val="26"/>
        </w:rPr>
      </w:pPr>
    </w:p>
    <w:p w14:paraId="426F183D" w14:textId="77777777"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b/>
          <w:sz w:val="26"/>
          <w:szCs w:val="26"/>
        </w:rPr>
      </w:pPr>
    </w:p>
    <w:p w14:paraId="3B01A4EB" w14:textId="4754D5E4"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b/>
          <w:sz w:val="26"/>
          <w:szCs w:val="26"/>
        </w:rPr>
      </w:pPr>
    </w:p>
    <w:p w14:paraId="1C9E6FEF" w14:textId="77777777" w:rsidR="003E3038" w:rsidRPr="006D6531" w:rsidRDefault="003E3038" w:rsidP="0017567A">
      <w:pPr>
        <w:keepNext/>
        <w:keepLines/>
        <w:tabs>
          <w:tab w:val="left" w:pos="-720"/>
        </w:tabs>
        <w:suppressAutoHyphens/>
        <w:spacing w:after="0" w:line="240" w:lineRule="auto"/>
        <w:rPr>
          <w:rFonts w:ascii="Times New Roman" w:eastAsia="Times New Roman" w:hAnsi="Times New Roman" w:cs="Times New Roman"/>
          <w:b/>
          <w:sz w:val="26"/>
          <w:szCs w:val="26"/>
        </w:rPr>
      </w:pPr>
    </w:p>
    <w:p w14:paraId="49208D28" w14:textId="77777777"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t>Rosemary Chiavetta</w:t>
      </w:r>
    </w:p>
    <w:p w14:paraId="00D423CF" w14:textId="77777777"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r>
      <w:r w:rsidRPr="006D6531">
        <w:rPr>
          <w:rFonts w:ascii="Times New Roman" w:eastAsia="Times New Roman" w:hAnsi="Times New Roman" w:cs="Times New Roman"/>
          <w:sz w:val="26"/>
          <w:szCs w:val="26"/>
        </w:rPr>
        <w:tab/>
        <w:t>Secretary</w:t>
      </w:r>
    </w:p>
    <w:p w14:paraId="0A4E5570" w14:textId="77777777" w:rsidR="00CB06ED" w:rsidRPr="006D6531" w:rsidRDefault="00CB06ED" w:rsidP="0017567A">
      <w:pPr>
        <w:keepNext/>
        <w:keepLines/>
        <w:tabs>
          <w:tab w:val="left" w:pos="-720"/>
        </w:tabs>
        <w:suppressAutoHyphens/>
        <w:spacing w:after="0" w:line="240" w:lineRule="auto"/>
        <w:rPr>
          <w:rFonts w:ascii="Times New Roman" w:eastAsia="Times New Roman" w:hAnsi="Times New Roman" w:cs="Times New Roman"/>
          <w:sz w:val="26"/>
          <w:szCs w:val="26"/>
        </w:rPr>
      </w:pPr>
    </w:p>
    <w:p w14:paraId="656E5B5E" w14:textId="53735345"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6D6531">
        <w:rPr>
          <w:rFonts w:ascii="Times New Roman" w:eastAsia="Times New Roman" w:hAnsi="Times New Roman" w:cs="Times New Roman"/>
          <w:sz w:val="26"/>
          <w:szCs w:val="26"/>
        </w:rPr>
        <w:t>(SEAL)</w:t>
      </w:r>
    </w:p>
    <w:p w14:paraId="55B41491" w14:textId="77777777"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p>
    <w:p w14:paraId="7885E7CC" w14:textId="0D3C9867"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6D6531">
        <w:rPr>
          <w:rFonts w:ascii="Times New Roman" w:eastAsia="Times New Roman" w:hAnsi="Times New Roman" w:cs="Times New Roman"/>
          <w:sz w:val="26"/>
          <w:szCs w:val="26"/>
        </w:rPr>
        <w:t xml:space="preserve">ORDER ADOPTED:  </w:t>
      </w:r>
      <w:r w:rsidR="00505FFF">
        <w:rPr>
          <w:rFonts w:ascii="Times New Roman" w:eastAsia="Times New Roman" w:hAnsi="Times New Roman" w:cs="Times New Roman"/>
          <w:sz w:val="26"/>
          <w:szCs w:val="26"/>
        </w:rPr>
        <w:t>November 18</w:t>
      </w:r>
      <w:r w:rsidRPr="006D6531">
        <w:rPr>
          <w:rFonts w:ascii="Times New Roman" w:eastAsia="Times New Roman" w:hAnsi="Times New Roman" w:cs="Times New Roman"/>
          <w:sz w:val="26"/>
          <w:szCs w:val="26"/>
        </w:rPr>
        <w:t>, 2021</w:t>
      </w:r>
    </w:p>
    <w:p w14:paraId="441A773E" w14:textId="77777777" w:rsidR="00420E92" w:rsidRPr="006D6531"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p>
    <w:p w14:paraId="747C3BA1" w14:textId="2B92F2A7" w:rsidR="00BF6F01" w:rsidRPr="006D6531" w:rsidRDefault="00420E92" w:rsidP="0017567A">
      <w:pPr>
        <w:keepNext/>
        <w:keepLines/>
        <w:tabs>
          <w:tab w:val="left" w:pos="-720"/>
        </w:tabs>
        <w:suppressAutoHyphens/>
        <w:spacing w:after="0" w:line="240" w:lineRule="auto"/>
        <w:rPr>
          <w:rFonts w:ascii="Times New Roman" w:hAnsi="Times New Roman" w:cs="Times New Roman"/>
          <w:sz w:val="26"/>
          <w:szCs w:val="26"/>
        </w:rPr>
      </w:pPr>
      <w:r w:rsidRPr="006D6531">
        <w:rPr>
          <w:rFonts w:ascii="Times New Roman" w:eastAsia="Times New Roman" w:hAnsi="Times New Roman" w:cs="Times New Roman"/>
          <w:sz w:val="26"/>
          <w:szCs w:val="26"/>
        </w:rPr>
        <w:t xml:space="preserve">ORDER ENTERED:  </w:t>
      </w:r>
      <w:r w:rsidR="00A95009">
        <w:rPr>
          <w:rFonts w:ascii="Times New Roman" w:eastAsia="Times New Roman" w:hAnsi="Times New Roman" w:cs="Times New Roman"/>
          <w:sz w:val="26"/>
          <w:szCs w:val="26"/>
        </w:rPr>
        <w:t>November 18, 2021</w:t>
      </w:r>
    </w:p>
    <w:sectPr w:rsidR="00BF6F01" w:rsidRPr="006D6531" w:rsidSect="00A927B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794C" w14:textId="77777777" w:rsidR="00C86089" w:rsidRDefault="00C86089" w:rsidP="00441C94">
      <w:pPr>
        <w:spacing w:after="0" w:line="240" w:lineRule="auto"/>
      </w:pPr>
      <w:r>
        <w:separator/>
      </w:r>
    </w:p>
  </w:endnote>
  <w:endnote w:type="continuationSeparator" w:id="0">
    <w:p w14:paraId="3CFC5285" w14:textId="77777777" w:rsidR="00C86089" w:rsidRDefault="00C86089" w:rsidP="0044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13821"/>
      <w:docPartObj>
        <w:docPartGallery w:val="Page Numbers (Bottom of Page)"/>
        <w:docPartUnique/>
      </w:docPartObj>
    </w:sdtPr>
    <w:sdtEndPr>
      <w:rPr>
        <w:noProof/>
        <w:sz w:val="26"/>
        <w:szCs w:val="26"/>
      </w:rPr>
    </w:sdtEndPr>
    <w:sdtContent>
      <w:p w14:paraId="27B3961E" w14:textId="7DA79CC2" w:rsidR="008D7325" w:rsidRPr="00CB06ED" w:rsidRDefault="008D7325" w:rsidP="00CB06ED">
        <w:pPr>
          <w:pStyle w:val="Footer"/>
          <w:jc w:val="center"/>
          <w:rPr>
            <w:sz w:val="26"/>
            <w:szCs w:val="26"/>
          </w:rPr>
        </w:pPr>
        <w:r w:rsidRPr="00CB06ED">
          <w:rPr>
            <w:sz w:val="26"/>
            <w:szCs w:val="26"/>
          </w:rPr>
          <w:fldChar w:fldCharType="begin"/>
        </w:r>
        <w:r w:rsidRPr="00CB06ED">
          <w:rPr>
            <w:sz w:val="26"/>
            <w:szCs w:val="26"/>
          </w:rPr>
          <w:instrText xml:space="preserve"> PAGE   \* MERGEFORMAT </w:instrText>
        </w:r>
        <w:r w:rsidRPr="00CB06ED">
          <w:rPr>
            <w:sz w:val="26"/>
            <w:szCs w:val="26"/>
          </w:rPr>
          <w:fldChar w:fldCharType="separate"/>
        </w:r>
        <w:r w:rsidRPr="00CB06ED">
          <w:rPr>
            <w:noProof/>
            <w:sz w:val="26"/>
            <w:szCs w:val="26"/>
          </w:rPr>
          <w:t>2</w:t>
        </w:r>
        <w:r w:rsidRPr="00CB06E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3725" w14:textId="77777777" w:rsidR="00C86089" w:rsidRDefault="00C86089" w:rsidP="00441C94">
      <w:pPr>
        <w:spacing w:after="0" w:line="240" w:lineRule="auto"/>
      </w:pPr>
      <w:r>
        <w:separator/>
      </w:r>
    </w:p>
  </w:footnote>
  <w:footnote w:type="continuationSeparator" w:id="0">
    <w:p w14:paraId="5AEC7CCE" w14:textId="77777777" w:rsidR="00C86089" w:rsidRDefault="00C86089" w:rsidP="00441C94">
      <w:pPr>
        <w:spacing w:after="0" w:line="240" w:lineRule="auto"/>
      </w:pPr>
      <w:r>
        <w:continuationSeparator/>
      </w:r>
    </w:p>
  </w:footnote>
  <w:footnote w:id="1">
    <w:p w14:paraId="39524FAB" w14:textId="0AD968CB" w:rsidR="00BF44CB" w:rsidRPr="0017567A" w:rsidRDefault="00BF44CB" w:rsidP="009E1767">
      <w:pPr>
        <w:pStyle w:val="FootnoteText"/>
        <w:spacing w:after="120"/>
        <w:ind w:firstLine="720"/>
        <w:rPr>
          <w:sz w:val="26"/>
          <w:szCs w:val="26"/>
        </w:rPr>
      </w:pPr>
      <w:r w:rsidRPr="0017567A">
        <w:rPr>
          <w:rStyle w:val="FootnoteReference"/>
          <w:sz w:val="26"/>
          <w:szCs w:val="26"/>
        </w:rPr>
        <w:footnoteRef/>
      </w:r>
      <w:r w:rsidRPr="0017567A">
        <w:rPr>
          <w:sz w:val="26"/>
          <w:szCs w:val="26"/>
        </w:rPr>
        <w:t xml:space="preserve"> </w:t>
      </w:r>
      <w:r w:rsidRPr="0017567A">
        <w:rPr>
          <w:sz w:val="26"/>
          <w:szCs w:val="26"/>
        </w:rPr>
        <w:tab/>
      </w:r>
      <w:r w:rsidR="002A30EC" w:rsidRPr="00AD2B93">
        <w:rPr>
          <w:sz w:val="26"/>
          <w:szCs w:val="26"/>
        </w:rPr>
        <w:t xml:space="preserve">The OCA and I&amp;E </w:t>
      </w:r>
      <w:r w:rsidR="0083453C" w:rsidRPr="00AD2B93">
        <w:rPr>
          <w:sz w:val="26"/>
          <w:szCs w:val="26"/>
        </w:rPr>
        <w:t xml:space="preserve">each </w:t>
      </w:r>
      <w:r w:rsidR="002A30EC" w:rsidRPr="00B82980">
        <w:rPr>
          <w:sz w:val="26"/>
          <w:szCs w:val="26"/>
        </w:rPr>
        <w:t>filed</w:t>
      </w:r>
      <w:r w:rsidR="002A30EC" w:rsidRPr="005966AA">
        <w:rPr>
          <w:sz w:val="26"/>
          <w:szCs w:val="26"/>
        </w:rPr>
        <w:t xml:space="preserve"> letters </w:t>
      </w:r>
      <w:r w:rsidR="0083453C" w:rsidRPr="00AD2B93">
        <w:rPr>
          <w:sz w:val="26"/>
          <w:szCs w:val="26"/>
        </w:rPr>
        <w:t xml:space="preserve">on May 12, 2021, </w:t>
      </w:r>
      <w:r w:rsidR="002A30EC" w:rsidRPr="00AD2B93">
        <w:rPr>
          <w:sz w:val="26"/>
          <w:szCs w:val="26"/>
        </w:rPr>
        <w:t xml:space="preserve">advising </w:t>
      </w:r>
      <w:r w:rsidR="0083453C" w:rsidRPr="00AD2B93">
        <w:rPr>
          <w:sz w:val="26"/>
          <w:szCs w:val="26"/>
        </w:rPr>
        <w:t xml:space="preserve">the Commission </w:t>
      </w:r>
      <w:r w:rsidR="002A30EC" w:rsidRPr="00AD2B93">
        <w:rPr>
          <w:sz w:val="26"/>
          <w:szCs w:val="26"/>
        </w:rPr>
        <w:t xml:space="preserve">that they would not be filing exceptions to the ALJ’s Recommended Decision. </w:t>
      </w:r>
    </w:p>
  </w:footnote>
  <w:footnote w:id="2">
    <w:p w14:paraId="1D3B04BF" w14:textId="4F512C71" w:rsidR="00B40B4E" w:rsidRPr="0017567A" w:rsidRDefault="00B40B4E" w:rsidP="00B40B4E">
      <w:pPr>
        <w:pStyle w:val="FootnoteText"/>
        <w:ind w:firstLine="720"/>
        <w:rPr>
          <w:sz w:val="26"/>
          <w:szCs w:val="26"/>
        </w:rPr>
      </w:pPr>
      <w:r w:rsidRPr="0017567A">
        <w:rPr>
          <w:rStyle w:val="FootnoteReference"/>
          <w:sz w:val="26"/>
          <w:szCs w:val="26"/>
        </w:rPr>
        <w:footnoteRef/>
      </w:r>
      <w:r w:rsidRPr="0017567A">
        <w:rPr>
          <w:sz w:val="26"/>
          <w:szCs w:val="26"/>
        </w:rPr>
        <w:t xml:space="preserve"> </w:t>
      </w:r>
      <w:r w:rsidRPr="0017567A">
        <w:rPr>
          <w:sz w:val="26"/>
          <w:szCs w:val="26"/>
        </w:rPr>
        <w:tab/>
      </w:r>
      <w:r w:rsidR="007D4BD3" w:rsidRPr="00AD2B93">
        <w:rPr>
          <w:sz w:val="26"/>
          <w:szCs w:val="26"/>
        </w:rPr>
        <w:t>As a procedural matter</w:t>
      </w:r>
      <w:r w:rsidR="007D4BD3" w:rsidRPr="0017567A">
        <w:rPr>
          <w:sz w:val="26"/>
          <w:szCs w:val="26"/>
        </w:rPr>
        <w:t xml:space="preserve">, </w:t>
      </w:r>
      <w:r w:rsidRPr="00AD2B93">
        <w:rPr>
          <w:sz w:val="26"/>
          <w:szCs w:val="26"/>
        </w:rPr>
        <w:t>Twin Lakes</w:t>
      </w:r>
      <w:r w:rsidR="00E13973" w:rsidRPr="00AD2B93">
        <w:rPr>
          <w:sz w:val="26"/>
          <w:szCs w:val="26"/>
        </w:rPr>
        <w:t xml:space="preserve">’ Petition was ultimately treated as a </w:t>
      </w:r>
      <w:r w:rsidR="00FB62AA" w:rsidRPr="00B82980">
        <w:rPr>
          <w:sz w:val="26"/>
          <w:szCs w:val="26"/>
        </w:rPr>
        <w:t>p</w:t>
      </w:r>
      <w:r w:rsidR="0025592C" w:rsidRPr="005966AA">
        <w:rPr>
          <w:sz w:val="26"/>
          <w:szCs w:val="26"/>
        </w:rPr>
        <w:t>etition for</w:t>
      </w:r>
      <w:r w:rsidR="00E13973" w:rsidRPr="00AD2B93">
        <w:rPr>
          <w:sz w:val="26"/>
          <w:szCs w:val="26"/>
        </w:rPr>
        <w:t xml:space="preserve"> relief</w:t>
      </w:r>
      <w:r w:rsidR="00791BAA" w:rsidRPr="00AD2B93">
        <w:rPr>
          <w:sz w:val="26"/>
          <w:szCs w:val="26"/>
        </w:rPr>
        <w:t xml:space="preserve">, </w:t>
      </w:r>
      <w:r w:rsidR="00FB62AA" w:rsidRPr="00AD2B93">
        <w:rPr>
          <w:sz w:val="26"/>
          <w:szCs w:val="26"/>
        </w:rPr>
        <w:t xml:space="preserve">properly brought </w:t>
      </w:r>
      <w:r w:rsidR="00791BAA" w:rsidRPr="00AD2B93">
        <w:rPr>
          <w:sz w:val="26"/>
          <w:szCs w:val="26"/>
        </w:rPr>
        <w:t>pursuant to</w:t>
      </w:r>
      <w:r w:rsidR="0025592C" w:rsidRPr="00AD2B93">
        <w:rPr>
          <w:sz w:val="26"/>
          <w:szCs w:val="26"/>
        </w:rPr>
        <w:t xml:space="preserve"> 52 Pa. Code § 5.41</w:t>
      </w:r>
      <w:r w:rsidR="00FB62AA" w:rsidRPr="00AD2B93">
        <w:rPr>
          <w:sz w:val="26"/>
          <w:szCs w:val="26"/>
        </w:rPr>
        <w:t>,</w:t>
      </w:r>
      <w:r w:rsidR="00E13973" w:rsidRPr="00AD2B93">
        <w:rPr>
          <w:sz w:val="26"/>
          <w:szCs w:val="26"/>
        </w:rPr>
        <w:t xml:space="preserve"> </w:t>
      </w:r>
      <w:r w:rsidR="00EF5AE8" w:rsidRPr="00AD2B93">
        <w:rPr>
          <w:sz w:val="26"/>
          <w:szCs w:val="26"/>
        </w:rPr>
        <w:t>requesting that the Commission institute a</w:t>
      </w:r>
      <w:r w:rsidR="00ED4A0E" w:rsidRPr="00AD2B93">
        <w:rPr>
          <w:sz w:val="26"/>
          <w:szCs w:val="26"/>
        </w:rPr>
        <w:t xml:space="preserve"> Section 529 </w:t>
      </w:r>
      <w:r w:rsidR="00EF5AE8" w:rsidRPr="00AD2B93">
        <w:rPr>
          <w:sz w:val="26"/>
          <w:szCs w:val="26"/>
        </w:rPr>
        <w:t xml:space="preserve">investigation </w:t>
      </w:r>
      <w:r w:rsidR="0002101A" w:rsidRPr="00AD2B93">
        <w:rPr>
          <w:sz w:val="26"/>
          <w:szCs w:val="26"/>
        </w:rPr>
        <w:t xml:space="preserve">into </w:t>
      </w:r>
      <w:r w:rsidR="00EF5AE8" w:rsidRPr="00AD2B93">
        <w:rPr>
          <w:sz w:val="26"/>
          <w:szCs w:val="26"/>
        </w:rPr>
        <w:t xml:space="preserve">whether the Commission should authorize the </w:t>
      </w:r>
      <w:r w:rsidR="007D4BD3" w:rsidRPr="00AD2B93">
        <w:rPr>
          <w:sz w:val="26"/>
          <w:szCs w:val="26"/>
        </w:rPr>
        <w:t>acquisition</w:t>
      </w:r>
      <w:r w:rsidR="00EF5AE8" w:rsidRPr="00AD2B93">
        <w:rPr>
          <w:sz w:val="26"/>
          <w:szCs w:val="26"/>
        </w:rPr>
        <w:t xml:space="preserve"> of Twin Lake</w:t>
      </w:r>
      <w:r w:rsidR="00ED4A0E" w:rsidRPr="00AD2B93">
        <w:rPr>
          <w:sz w:val="26"/>
          <w:szCs w:val="26"/>
        </w:rPr>
        <w:t>s by a capable public utility</w:t>
      </w:r>
      <w:r w:rsidR="007D4BD3" w:rsidRPr="00AD2B93">
        <w:rPr>
          <w:sz w:val="26"/>
          <w:szCs w:val="26"/>
        </w:rPr>
        <w:t xml:space="preserve">, which </w:t>
      </w:r>
      <w:r w:rsidR="00D85325" w:rsidRPr="00AD2B93">
        <w:rPr>
          <w:sz w:val="26"/>
          <w:szCs w:val="26"/>
        </w:rPr>
        <w:t xml:space="preserve">the Commission </w:t>
      </w:r>
      <w:r w:rsidR="007D4BD3" w:rsidRPr="00AD2B93">
        <w:rPr>
          <w:sz w:val="26"/>
          <w:szCs w:val="26"/>
        </w:rPr>
        <w:t xml:space="preserve">granted by </w:t>
      </w:r>
      <w:r w:rsidR="00D85325" w:rsidRPr="00AD2B93">
        <w:rPr>
          <w:sz w:val="26"/>
          <w:szCs w:val="26"/>
        </w:rPr>
        <w:t xml:space="preserve">its </w:t>
      </w:r>
      <w:r w:rsidR="007D4BD3" w:rsidRPr="00AD2B93">
        <w:rPr>
          <w:sz w:val="26"/>
          <w:szCs w:val="26"/>
        </w:rPr>
        <w:t>Opinion and Order entered September 17, 2020</w:t>
      </w:r>
      <w:r w:rsidR="00791BAA" w:rsidRPr="00AD2B93">
        <w:rPr>
          <w:sz w:val="26"/>
          <w:szCs w:val="26"/>
        </w:rPr>
        <w:t>, directing that I&amp;E participate in th</w:t>
      </w:r>
      <w:r w:rsidR="00B06425" w:rsidRPr="00AD2B93">
        <w:rPr>
          <w:sz w:val="26"/>
          <w:szCs w:val="26"/>
        </w:rPr>
        <w:t xml:space="preserve">is Section 529 </w:t>
      </w:r>
      <w:r w:rsidR="00791BAA" w:rsidRPr="00AD2B93">
        <w:rPr>
          <w:sz w:val="26"/>
          <w:szCs w:val="26"/>
        </w:rPr>
        <w:t>proceeding</w:t>
      </w:r>
      <w:r w:rsidR="007D4BD3" w:rsidRPr="00AD2B93">
        <w:rPr>
          <w:sz w:val="26"/>
          <w:szCs w:val="26"/>
        </w:rPr>
        <w:t>.</w:t>
      </w:r>
      <w:r w:rsidR="00ED4A0E" w:rsidRPr="0017567A">
        <w:rPr>
          <w:sz w:val="26"/>
          <w:szCs w:val="26"/>
        </w:rPr>
        <w:t xml:space="preserve"> </w:t>
      </w:r>
      <w:r w:rsidR="008C5AEF">
        <w:rPr>
          <w:sz w:val="26"/>
          <w:szCs w:val="26"/>
        </w:rPr>
        <w:t xml:space="preserve"> </w:t>
      </w:r>
    </w:p>
  </w:footnote>
  <w:footnote w:id="3">
    <w:p w14:paraId="30000BA1" w14:textId="1AF752B4" w:rsidR="00CA7734" w:rsidRPr="00F12A88" w:rsidRDefault="00CA7734" w:rsidP="00F12A88">
      <w:pPr>
        <w:spacing w:after="0" w:line="240" w:lineRule="auto"/>
        <w:ind w:firstLine="720"/>
        <w:rPr>
          <w:sz w:val="26"/>
          <w:szCs w:val="26"/>
        </w:rPr>
      </w:pPr>
      <w:r w:rsidRPr="00323989">
        <w:rPr>
          <w:rStyle w:val="FootnoteReference"/>
          <w:rFonts w:ascii="Times New Roman" w:hAnsi="Times New Roman" w:cs="Times New Roman"/>
          <w:sz w:val="26"/>
          <w:szCs w:val="26"/>
        </w:rPr>
        <w:footnoteRef/>
      </w:r>
      <w:r w:rsidRPr="00323989">
        <w:rPr>
          <w:rFonts w:ascii="Times New Roman" w:hAnsi="Times New Roman" w:cs="Times New Roman"/>
          <w:sz w:val="26"/>
          <w:szCs w:val="26"/>
        </w:rPr>
        <w:t xml:space="preserve"> </w:t>
      </w:r>
      <w:r>
        <w:tab/>
      </w:r>
      <w:r w:rsidRPr="00F856FD">
        <w:rPr>
          <w:rFonts w:ascii="Times New Roman" w:hAnsi="Times New Roman" w:cs="Times New Roman"/>
          <w:sz w:val="26"/>
          <w:szCs w:val="26"/>
        </w:rPr>
        <w:t xml:space="preserve">This amendment was further extended for an additional month by subsequent filings. </w:t>
      </w:r>
      <w:r w:rsidR="00AA4975">
        <w:rPr>
          <w:rFonts w:ascii="Times New Roman" w:hAnsi="Times New Roman" w:cs="Times New Roman"/>
          <w:sz w:val="26"/>
          <w:szCs w:val="26"/>
        </w:rPr>
        <w:t xml:space="preserve"> </w:t>
      </w:r>
    </w:p>
  </w:footnote>
  <w:footnote w:id="4">
    <w:p w14:paraId="0CCAEB78" w14:textId="77777777" w:rsidR="00CA7734" w:rsidRPr="0017567A" w:rsidRDefault="00CA7734" w:rsidP="00CA7734">
      <w:pPr>
        <w:pStyle w:val="FootnoteText"/>
        <w:ind w:firstLine="720"/>
        <w:rPr>
          <w:sz w:val="26"/>
          <w:szCs w:val="26"/>
        </w:rPr>
      </w:pPr>
      <w:r w:rsidRPr="0017567A">
        <w:rPr>
          <w:rStyle w:val="FootnoteReference"/>
          <w:sz w:val="26"/>
          <w:szCs w:val="26"/>
        </w:rPr>
        <w:footnoteRef/>
      </w:r>
      <w:r w:rsidRPr="0017567A">
        <w:rPr>
          <w:sz w:val="26"/>
          <w:szCs w:val="26"/>
        </w:rPr>
        <w:t xml:space="preserve"> </w:t>
      </w:r>
      <w:r w:rsidRPr="0017567A">
        <w:rPr>
          <w:sz w:val="26"/>
          <w:szCs w:val="26"/>
        </w:rPr>
        <w:tab/>
      </w:r>
      <w:r w:rsidRPr="00EC32B3">
        <w:rPr>
          <w:sz w:val="26"/>
          <w:szCs w:val="26"/>
        </w:rPr>
        <w:t xml:space="preserve">In addition, during this time, Aqua submitted its </w:t>
      </w:r>
      <w:r w:rsidRPr="00AD2B93">
        <w:rPr>
          <w:sz w:val="26"/>
          <w:szCs w:val="26"/>
        </w:rPr>
        <w:t>status report regarding its due diligence efforts and investigation</w:t>
      </w:r>
      <w:r w:rsidRPr="00B82980">
        <w:rPr>
          <w:sz w:val="26"/>
          <w:szCs w:val="26"/>
        </w:rPr>
        <w:t xml:space="preserve"> </w:t>
      </w:r>
      <w:r w:rsidRPr="005966AA">
        <w:rPr>
          <w:sz w:val="26"/>
          <w:szCs w:val="26"/>
        </w:rPr>
        <w:t>on November 17, 2020, and Twin Lakes filed additional amendments to its affiliated interest agreements.</w:t>
      </w:r>
    </w:p>
  </w:footnote>
  <w:footnote w:id="5">
    <w:p w14:paraId="703ADA73" w14:textId="6FE055CC" w:rsidR="00031467" w:rsidRDefault="00031467" w:rsidP="00BB5B05">
      <w:pPr>
        <w:spacing w:after="120" w:line="240" w:lineRule="auto"/>
        <w:ind w:firstLine="720"/>
        <w:rPr>
          <w:rFonts w:ascii="Times New Roman" w:eastAsia="Times New Roman" w:hAnsi="Times New Roman" w:cs="Times New Roman"/>
          <w:color w:val="000000"/>
          <w:sz w:val="26"/>
          <w:szCs w:val="26"/>
        </w:rPr>
      </w:pPr>
      <w:r w:rsidRPr="00881332">
        <w:rPr>
          <w:rStyle w:val="FootnoteReference"/>
          <w:rFonts w:ascii="Times New Roman" w:hAnsi="Times New Roman" w:cs="Times New Roman"/>
          <w:sz w:val="26"/>
          <w:szCs w:val="26"/>
        </w:rPr>
        <w:footnoteRef/>
      </w:r>
      <w:r w:rsidRPr="00881332">
        <w:rPr>
          <w:rFonts w:ascii="Times New Roman" w:hAnsi="Times New Roman" w:cs="Times New Roman"/>
          <w:sz w:val="26"/>
          <w:szCs w:val="26"/>
        </w:rPr>
        <w:t xml:space="preserve">  </w:t>
      </w:r>
      <w:r w:rsidR="00081911" w:rsidRPr="00881332">
        <w:rPr>
          <w:rFonts w:ascii="Times New Roman" w:hAnsi="Times New Roman" w:cs="Times New Roman"/>
          <w:sz w:val="26"/>
          <w:szCs w:val="26"/>
        </w:rPr>
        <w:tab/>
      </w:r>
      <w:r w:rsidRPr="00881332">
        <w:rPr>
          <w:rFonts w:ascii="Times New Roman" w:eastAsia="Times New Roman" w:hAnsi="Times New Roman" w:cs="Times New Roman"/>
          <w:color w:val="000000"/>
          <w:sz w:val="26"/>
          <w:szCs w:val="26"/>
        </w:rPr>
        <w:t>Regarding the burden of proof, in most proceedings, Section 332(a) of the Code provides that</w:t>
      </w:r>
      <w:r w:rsidRPr="00E02DFF">
        <w:rPr>
          <w:rFonts w:ascii="Times New Roman" w:eastAsia="Times New Roman" w:hAnsi="Times New Roman" w:cs="Times New Roman"/>
          <w:color w:val="000000"/>
          <w:sz w:val="26"/>
          <w:szCs w:val="26"/>
        </w:rPr>
        <w:t xml:space="preserve"> the party seeking relief from the Commission has the burden of proof.</w:t>
      </w:r>
      <w:r>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66 Pa.</w:t>
      </w:r>
      <w:r>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C.S. § 332(a).  For example, as a matter of law, a complainant must show that the named utility is responsible or accountable for the problem described in the complaint in order to prevail.  </w:t>
      </w:r>
      <w:r w:rsidRPr="00E02DFF">
        <w:rPr>
          <w:rFonts w:ascii="Times New Roman" w:eastAsia="Times New Roman" w:hAnsi="Times New Roman" w:cs="Times New Roman"/>
          <w:i/>
          <w:iCs/>
          <w:color w:val="000000"/>
          <w:sz w:val="26"/>
          <w:szCs w:val="26"/>
        </w:rPr>
        <w:t>Patterson v. Bell Tel. Co. of Pa.</w:t>
      </w:r>
      <w:r w:rsidRPr="00E02DFF">
        <w:rPr>
          <w:rFonts w:ascii="Times New Roman" w:eastAsia="Times New Roman" w:hAnsi="Times New Roman" w:cs="Times New Roman"/>
          <w:color w:val="000000"/>
          <w:sz w:val="26"/>
          <w:szCs w:val="26"/>
        </w:rPr>
        <w:t xml:space="preserve">, 72 Pa. PUC 196 (1990).  “Burden of proof” means a duty to establish a fact by a preponderance of the evidence, or evidence more convincing, by even the smallest degree, than the evidence presented by the other party.  </w:t>
      </w:r>
      <w:r w:rsidRPr="00E02DFF">
        <w:rPr>
          <w:rFonts w:ascii="Times New Roman" w:eastAsia="Times New Roman" w:hAnsi="Times New Roman" w:cs="Times New Roman"/>
          <w:i/>
          <w:iCs/>
          <w:color w:val="000000"/>
          <w:sz w:val="26"/>
          <w:szCs w:val="26"/>
        </w:rPr>
        <w:t>Se-Ling Hosiery v. Margulies</w:t>
      </w:r>
      <w:r w:rsidRPr="00E02DFF">
        <w:rPr>
          <w:rFonts w:ascii="Times New Roman" w:eastAsia="Times New Roman" w:hAnsi="Times New Roman" w:cs="Times New Roman"/>
          <w:color w:val="000000"/>
          <w:sz w:val="26"/>
          <w:szCs w:val="26"/>
        </w:rPr>
        <w:t xml:space="preserve">, 364 Pa. 54, 70 A.2d 854 (1950).  The offense must be a violation of the Code, the Commission’s </w:t>
      </w:r>
      <w:r>
        <w:rPr>
          <w:rFonts w:ascii="Times New Roman" w:eastAsia="Times New Roman" w:hAnsi="Times New Roman" w:cs="Times New Roman"/>
          <w:color w:val="000000"/>
          <w:sz w:val="26"/>
          <w:szCs w:val="26"/>
        </w:rPr>
        <w:t>R</w:t>
      </w:r>
      <w:r w:rsidRPr="00E02DFF">
        <w:rPr>
          <w:rFonts w:ascii="Times New Roman" w:eastAsia="Times New Roman" w:hAnsi="Times New Roman" w:cs="Times New Roman"/>
          <w:color w:val="000000"/>
          <w:sz w:val="26"/>
          <w:szCs w:val="26"/>
        </w:rPr>
        <w:t>egulations, or an outstanding order of the Commission.  66 Pa.</w:t>
      </w:r>
      <w:r>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C.S. § 701.  If a complainant establishes a </w:t>
      </w:r>
      <w:r w:rsidRPr="00E02DFF">
        <w:rPr>
          <w:rFonts w:ascii="Times New Roman" w:eastAsia="Times New Roman" w:hAnsi="Times New Roman" w:cs="Times New Roman"/>
          <w:i/>
          <w:color w:val="000000"/>
          <w:sz w:val="26"/>
          <w:szCs w:val="26"/>
        </w:rPr>
        <w:t xml:space="preserve">prima facie </w:t>
      </w:r>
      <w:r w:rsidRPr="00E02DFF">
        <w:rPr>
          <w:rFonts w:ascii="Times New Roman" w:eastAsia="Times New Roman" w:hAnsi="Times New Roman" w:cs="Times New Roman"/>
          <w:color w:val="000000"/>
          <w:sz w:val="26"/>
          <w:szCs w:val="26"/>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E02DFF">
        <w:rPr>
          <w:rFonts w:ascii="Times New Roman" w:eastAsia="Times New Roman" w:hAnsi="Times New Roman" w:cs="Times New Roman"/>
          <w:i/>
          <w:iCs/>
          <w:color w:val="000000"/>
          <w:sz w:val="26"/>
          <w:szCs w:val="26"/>
        </w:rPr>
        <w:t xml:space="preserve">Milkie v. Pa. </w:t>
      </w:r>
      <w:r>
        <w:rPr>
          <w:rFonts w:ascii="Times New Roman" w:eastAsia="Times New Roman" w:hAnsi="Times New Roman" w:cs="Times New Roman"/>
          <w:i/>
          <w:iCs/>
          <w:color w:val="000000"/>
          <w:sz w:val="26"/>
          <w:szCs w:val="26"/>
        </w:rPr>
        <w:t>PUC</w:t>
      </w:r>
      <w:r w:rsidRPr="00E02DFF">
        <w:rPr>
          <w:rFonts w:ascii="Times New Roman" w:eastAsia="Times New Roman" w:hAnsi="Times New Roman" w:cs="Times New Roman"/>
          <w:color w:val="000000"/>
          <w:sz w:val="26"/>
          <w:szCs w:val="26"/>
        </w:rPr>
        <w:t>, 768</w:t>
      </w:r>
      <w:r w:rsidR="00857456">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A.2d</w:t>
      </w:r>
      <w:r w:rsidR="00857456">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1217 (Pa.</w:t>
      </w:r>
      <w:r>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color w:val="000000"/>
          <w:sz w:val="26"/>
          <w:szCs w:val="26"/>
        </w:rPr>
        <w:t xml:space="preserve">Cmwlth. 2001); </w:t>
      </w:r>
      <w:r w:rsidRPr="00E02DFF">
        <w:rPr>
          <w:rFonts w:ascii="Times New Roman" w:eastAsia="Times New Roman" w:hAnsi="Times New Roman" w:cs="Times New Roman"/>
          <w:i/>
          <w:color w:val="000000"/>
          <w:sz w:val="26"/>
          <w:szCs w:val="26"/>
        </w:rPr>
        <w:t>see also</w:t>
      </w:r>
      <w:r w:rsidRPr="00E02DFF">
        <w:rPr>
          <w:rFonts w:ascii="Times New Roman" w:eastAsia="Times New Roman" w:hAnsi="Times New Roman" w:cs="Times New Roman"/>
          <w:color w:val="000000"/>
          <w:sz w:val="26"/>
          <w:szCs w:val="26"/>
        </w:rPr>
        <w:t xml:space="preserve">, </w:t>
      </w:r>
      <w:r w:rsidRPr="00E02DFF">
        <w:rPr>
          <w:rFonts w:ascii="Times New Roman" w:eastAsia="Times New Roman" w:hAnsi="Times New Roman" w:cs="Times New Roman"/>
          <w:i/>
          <w:iCs/>
          <w:color w:val="000000"/>
          <w:sz w:val="26"/>
          <w:szCs w:val="26"/>
        </w:rPr>
        <w:t>Burleson v. Pa.</w:t>
      </w:r>
      <w:r>
        <w:rPr>
          <w:rFonts w:ascii="Times New Roman" w:eastAsia="Times New Roman" w:hAnsi="Times New Roman" w:cs="Times New Roman"/>
          <w:i/>
          <w:iCs/>
          <w:color w:val="000000"/>
          <w:sz w:val="26"/>
          <w:szCs w:val="26"/>
        </w:rPr>
        <w:t xml:space="preserve"> PUC</w:t>
      </w:r>
      <w:r w:rsidRPr="00E02DFF">
        <w:rPr>
          <w:rFonts w:ascii="Times New Roman" w:eastAsia="Times New Roman" w:hAnsi="Times New Roman" w:cs="Times New Roman"/>
          <w:color w:val="000000"/>
          <w:sz w:val="26"/>
          <w:szCs w:val="26"/>
        </w:rPr>
        <w:t>, 443 A.2d 1373 (Pa.</w:t>
      </w:r>
      <w:r w:rsidR="00857456">
        <w:rPr>
          <w:rFonts w:ascii="Times New Roman" w:eastAsia="Times New Roman" w:hAnsi="Times New Roman" w:cs="Times New Roman"/>
          <w:color w:val="000000"/>
          <w:sz w:val="26"/>
          <w:szCs w:val="26"/>
        </w:rPr>
        <w:t> </w:t>
      </w:r>
      <w:r w:rsidRPr="00E02DFF">
        <w:rPr>
          <w:rFonts w:ascii="Times New Roman" w:eastAsia="Times New Roman" w:hAnsi="Times New Roman" w:cs="Times New Roman"/>
          <w:color w:val="000000"/>
          <w:sz w:val="26"/>
          <w:szCs w:val="26"/>
        </w:rPr>
        <w:t xml:space="preserve">Cmwlth. 1982). </w:t>
      </w:r>
    </w:p>
    <w:p w14:paraId="79651E1E" w14:textId="733E2B49" w:rsidR="00031467" w:rsidRDefault="00031467" w:rsidP="00881332">
      <w:pPr>
        <w:spacing w:after="0" w:line="240" w:lineRule="auto"/>
        <w:ind w:firstLine="1440"/>
      </w:pPr>
      <w:r>
        <w:rPr>
          <w:rFonts w:ascii="Times New Roman" w:eastAsia="Times New Roman" w:hAnsi="Times New Roman" w:cs="Times New Roman"/>
          <w:color w:val="000000"/>
          <w:sz w:val="26"/>
          <w:szCs w:val="26"/>
        </w:rPr>
        <w:t>Even in Section 529 proceedings, which has a statutorily prescribed burden of proof, the burden of proof on any underlying allegations of violations of the utility’s duties would be relevant, especially if the utility disputed the acquisition under Section</w:t>
      </w:r>
      <w:r w:rsidR="00857456">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529.  However, in the present case, the utility in question is requesting the acquisition.  Therefore, the burden </w:t>
      </w:r>
      <w:r w:rsidR="008430F5">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t xml:space="preserve">f proof on any underlying claim for violation of a utility’s duty under the code is not operative here.  </w:t>
      </w:r>
    </w:p>
  </w:footnote>
  <w:footnote w:id="6">
    <w:p w14:paraId="67792C0E" w14:textId="1D2C7C43" w:rsidR="0039333F" w:rsidRPr="00B82980" w:rsidRDefault="0039333F" w:rsidP="00840140">
      <w:pPr>
        <w:pStyle w:val="footnotedescription"/>
        <w:spacing w:line="240" w:lineRule="auto"/>
        <w:ind w:firstLine="720"/>
        <w:rPr>
          <w:sz w:val="26"/>
          <w:szCs w:val="26"/>
        </w:rPr>
      </w:pPr>
      <w:r w:rsidRPr="0017567A">
        <w:rPr>
          <w:rStyle w:val="footnotemark"/>
          <w:rFonts w:eastAsiaTheme="majorEastAsia"/>
          <w:sz w:val="26"/>
          <w:szCs w:val="26"/>
        </w:rPr>
        <w:footnoteRef/>
      </w:r>
      <w:r w:rsidRPr="0017567A">
        <w:rPr>
          <w:sz w:val="26"/>
          <w:szCs w:val="26"/>
        </w:rPr>
        <w:t xml:space="preserve"> </w:t>
      </w:r>
      <w:r w:rsidR="0094494B" w:rsidRPr="0017567A">
        <w:rPr>
          <w:sz w:val="26"/>
          <w:szCs w:val="26"/>
        </w:rPr>
        <w:tab/>
      </w:r>
      <w:r w:rsidRPr="00B82980">
        <w:rPr>
          <w:sz w:val="26"/>
          <w:szCs w:val="26"/>
        </w:rPr>
        <w:t>Aqua further notes that it raised this concern in its Post-Hearing Main Brief in Opposition to the OCA’s Petition for Interim Emergency Relief at 17, n.7, in its Post-Hearing Reply Brief in Opposition to the OCA’s Petition for Interim Emergency Relief at</w:t>
      </w:r>
      <w:r w:rsidR="00840140">
        <w:rPr>
          <w:sz w:val="26"/>
          <w:szCs w:val="26"/>
        </w:rPr>
        <w:t> </w:t>
      </w:r>
      <w:r w:rsidRPr="00B82980">
        <w:rPr>
          <w:sz w:val="26"/>
          <w:szCs w:val="26"/>
        </w:rPr>
        <w:t>11-12, and in its Brief in Support of the Interim Order Denying the OCA’s Petition for Interim Emergency Relief at 11, n.3.</w:t>
      </w:r>
      <w:r w:rsidR="0094494B" w:rsidRPr="00B82980">
        <w:rPr>
          <w:sz w:val="26"/>
          <w:szCs w:val="26"/>
        </w:rPr>
        <w:t xml:space="preserve">  Aqua Exc. at</w:t>
      </w:r>
      <w:r w:rsidR="00076B42" w:rsidRPr="00B82980">
        <w:rPr>
          <w:sz w:val="26"/>
          <w:szCs w:val="26"/>
        </w:rPr>
        <w:t xml:space="preserve"> 2</w:t>
      </w:r>
      <w:r w:rsidR="0094494B" w:rsidRPr="00B82980">
        <w:rPr>
          <w:sz w:val="26"/>
          <w:szCs w:val="26"/>
        </w:rPr>
        <w:t xml:space="preserve"> </w:t>
      </w:r>
      <w:r w:rsidR="00076B42" w:rsidRPr="00B82980">
        <w:rPr>
          <w:sz w:val="26"/>
          <w:szCs w:val="26"/>
        </w:rPr>
        <w:t>n</w:t>
      </w:r>
      <w:r w:rsidR="00AB3D57" w:rsidRPr="00B82980">
        <w:rPr>
          <w:sz w:val="26"/>
          <w:szCs w:val="26"/>
        </w:rPr>
        <w:t>.</w:t>
      </w:r>
      <w:r w:rsidR="001C2F3F" w:rsidRPr="00B82980">
        <w:rPr>
          <w:sz w:val="26"/>
          <w:szCs w:val="26"/>
        </w:rPr>
        <w:t xml:space="preserve"> 1. </w:t>
      </w:r>
      <w:r w:rsidR="0094494B" w:rsidRPr="00B82980">
        <w:rPr>
          <w:sz w:val="26"/>
          <w:szCs w:val="26"/>
        </w:rPr>
        <w:t xml:space="preserve"> </w:t>
      </w:r>
    </w:p>
  </w:footnote>
  <w:footnote w:id="7">
    <w:p w14:paraId="5E0AD2C8" w14:textId="4EA7EB02" w:rsidR="002A1840" w:rsidRPr="00F7668F" w:rsidRDefault="002A1840" w:rsidP="002A1840">
      <w:pPr>
        <w:pStyle w:val="FootnoteText"/>
        <w:ind w:firstLine="720"/>
        <w:rPr>
          <w:sz w:val="26"/>
          <w:szCs w:val="26"/>
        </w:rPr>
      </w:pPr>
      <w:r w:rsidRPr="00A66D1F">
        <w:rPr>
          <w:rStyle w:val="FootnoteReference"/>
          <w:sz w:val="26"/>
          <w:szCs w:val="26"/>
        </w:rPr>
        <w:footnoteRef/>
      </w:r>
      <w:r w:rsidRPr="00A66D1F">
        <w:rPr>
          <w:sz w:val="26"/>
          <w:szCs w:val="26"/>
        </w:rPr>
        <w:t xml:space="preserve"> </w:t>
      </w:r>
      <w:r w:rsidRPr="00A66D1F">
        <w:rPr>
          <w:sz w:val="26"/>
          <w:szCs w:val="26"/>
        </w:rPr>
        <w:tab/>
      </w:r>
      <w:r w:rsidRPr="00A121F9">
        <w:rPr>
          <w:sz w:val="26"/>
          <w:szCs w:val="26"/>
        </w:rPr>
        <w:t>We note that the ALJ’s Initial Decision</w:t>
      </w:r>
      <w:r w:rsidRPr="00390A0B">
        <w:rPr>
          <w:sz w:val="26"/>
          <w:szCs w:val="26"/>
        </w:rPr>
        <w:t xml:space="preserve"> treated the Service Agreements as “moot.”</w:t>
      </w:r>
      <w:r w:rsidRPr="00A121F9">
        <w:rPr>
          <w:sz w:val="26"/>
          <w:szCs w:val="26"/>
        </w:rPr>
        <w:t xml:space="preserve">  </w:t>
      </w:r>
      <w:r w:rsidRPr="00A121F9">
        <w:rPr>
          <w:i/>
          <w:iCs/>
          <w:sz w:val="26"/>
          <w:szCs w:val="26"/>
        </w:rPr>
        <w:t>See</w:t>
      </w:r>
      <w:r w:rsidRPr="00A121F9">
        <w:rPr>
          <w:sz w:val="26"/>
          <w:szCs w:val="26"/>
        </w:rPr>
        <w:t xml:space="preserve"> R.D. at 53 (Ordering para. no. 5).  However, given our conclusion that the Service Agreements, to the extent they reflect an attempt by a certificated public utility, Middlesex, to abandon or “transfer” its lawful duties under the Code to another entity, its wholly owned subsidiary, Twin Lakes, we conclude the Service Agreements to be contrary to the Code and void, and shall deny approval of the Service Agreements.  It follows then, that Middlesex’s attempt to terminate the Service Agreements by the </w:t>
      </w:r>
      <w:r w:rsidRPr="00A121F9">
        <w:rPr>
          <w:i/>
          <w:iCs/>
          <w:sz w:val="26"/>
          <w:szCs w:val="26"/>
        </w:rPr>
        <w:t>June 1</w:t>
      </w:r>
      <w:r w:rsidR="005A255F" w:rsidRPr="00A121F9">
        <w:rPr>
          <w:i/>
          <w:iCs/>
          <w:sz w:val="26"/>
          <w:szCs w:val="26"/>
        </w:rPr>
        <w:t xml:space="preserve"> </w:t>
      </w:r>
      <w:r w:rsidRPr="00A121F9">
        <w:rPr>
          <w:i/>
          <w:iCs/>
          <w:sz w:val="26"/>
          <w:szCs w:val="26"/>
        </w:rPr>
        <w:t>Notice of Termination</w:t>
      </w:r>
      <w:r w:rsidR="005A255F" w:rsidRPr="00A121F9">
        <w:rPr>
          <w:i/>
          <w:iCs/>
          <w:sz w:val="26"/>
          <w:szCs w:val="26"/>
        </w:rPr>
        <w:t xml:space="preserve"> Letter</w:t>
      </w:r>
      <w:r w:rsidRPr="00A121F9">
        <w:rPr>
          <w:sz w:val="26"/>
          <w:szCs w:val="26"/>
        </w:rPr>
        <w:t xml:space="preserve"> is similarly, void.  Therefore, we</w:t>
      </w:r>
      <w:r>
        <w:rPr>
          <w:sz w:val="26"/>
          <w:szCs w:val="26"/>
        </w:rPr>
        <w:t xml:space="preserve"> shall modify the Initial Decision’s treatment of the Service Agreements and subsequent modifications</w:t>
      </w:r>
      <w:r w:rsidR="005A255F">
        <w:rPr>
          <w:sz w:val="26"/>
          <w:szCs w:val="26"/>
        </w:rPr>
        <w:t xml:space="preserve"> thereto</w:t>
      </w:r>
      <w:r>
        <w:rPr>
          <w:sz w:val="26"/>
          <w:szCs w:val="26"/>
        </w:rPr>
        <w:t xml:space="preserve">. </w:t>
      </w:r>
      <w:r w:rsidRPr="00F7668F">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D5F"/>
    <w:multiLevelType w:val="multilevel"/>
    <w:tmpl w:val="D3D6439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4ED1C11"/>
    <w:multiLevelType w:val="hybridMultilevel"/>
    <w:tmpl w:val="63763E1E"/>
    <w:lvl w:ilvl="0" w:tplc="71764518">
      <w:start w:val="1"/>
      <w:numFmt w:val="decimal"/>
      <w:lvlText w:val="%1."/>
      <w:lvlJc w:val="left"/>
      <w:pPr>
        <w:ind w:left="1080" w:hanging="360"/>
      </w:pPr>
      <w:rPr>
        <w:rFonts w:ascii="Times New Roman" w:hAnsi="Times New Roman" w:hint="default"/>
        <w:sz w:val="26"/>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15:restartNumberingAfterBreak="0">
    <w:nsid w:val="05536FEF"/>
    <w:multiLevelType w:val="hybridMultilevel"/>
    <w:tmpl w:val="36FA6CFC"/>
    <w:lvl w:ilvl="0" w:tplc="E758A2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A24FB9"/>
    <w:multiLevelType w:val="multilevel"/>
    <w:tmpl w:val="839A16F8"/>
    <w:lvl w:ilvl="0">
      <w:start w:val="1"/>
      <w:numFmt w:val="decimal"/>
      <w:pStyle w:val="TOCH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FB327E"/>
    <w:multiLevelType w:val="hybridMultilevel"/>
    <w:tmpl w:val="779AB3CA"/>
    <w:lvl w:ilvl="0" w:tplc="D636733C">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8D356">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4E530">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A1668">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2137A">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A091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268D4">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C0700">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4989C">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14226B"/>
    <w:multiLevelType w:val="hybridMultilevel"/>
    <w:tmpl w:val="C98EF792"/>
    <w:lvl w:ilvl="0" w:tplc="7D2EBA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11ECA"/>
    <w:multiLevelType w:val="hybridMultilevel"/>
    <w:tmpl w:val="B036A3D6"/>
    <w:lvl w:ilvl="0" w:tplc="7E46DF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E1585"/>
    <w:multiLevelType w:val="hybridMultilevel"/>
    <w:tmpl w:val="C7349A34"/>
    <w:lvl w:ilvl="0" w:tplc="2C0AF60A">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9056E0"/>
    <w:multiLevelType w:val="hybridMultilevel"/>
    <w:tmpl w:val="C0CE543E"/>
    <w:lvl w:ilvl="0" w:tplc="2E585BCA">
      <w:start w:val="1"/>
      <w:numFmt w:val="decimal"/>
      <w:pStyle w:val="TOCH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DC215A"/>
    <w:multiLevelType w:val="hybridMultilevel"/>
    <w:tmpl w:val="81AE58FE"/>
    <w:lvl w:ilvl="0" w:tplc="43521C98">
      <w:start w:val="1"/>
      <w:numFmt w:val="decimal"/>
      <w:lvlText w:val="%1."/>
      <w:lvlJc w:val="left"/>
      <w:pPr>
        <w:ind w:left="2160" w:hanging="360"/>
      </w:pPr>
      <w:rPr>
        <w:rFonts w:ascii="Times New Roman" w:hAnsi="Times New Roman"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6C8552D"/>
    <w:multiLevelType w:val="hybridMultilevel"/>
    <w:tmpl w:val="E7041150"/>
    <w:lvl w:ilvl="0" w:tplc="A21C81AA">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2DB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0126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70BED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ABB9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2531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A995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8B12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8B6A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8050D6"/>
    <w:multiLevelType w:val="hybridMultilevel"/>
    <w:tmpl w:val="08AAC900"/>
    <w:lvl w:ilvl="0" w:tplc="7E1202B4">
      <w:start w:val="1"/>
      <w:numFmt w:val="lowerRoman"/>
      <w:pStyle w:val="Heading4"/>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3D18E4"/>
    <w:multiLevelType w:val="hybridMultilevel"/>
    <w:tmpl w:val="36F26B7E"/>
    <w:lvl w:ilvl="0" w:tplc="2E12BA58">
      <w:start w:val="1"/>
      <w:numFmt w:val="decimal"/>
      <w:lvlText w:val="(%1)"/>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12FA54">
      <w:start w:val="1"/>
      <w:numFmt w:val="lowerLetter"/>
      <w:lvlText w:val="%2"/>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C5E18">
      <w:start w:val="1"/>
      <w:numFmt w:val="lowerRoman"/>
      <w:lvlText w:val="%3"/>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8A472">
      <w:start w:val="1"/>
      <w:numFmt w:val="decimal"/>
      <w:lvlText w:val="%4"/>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4AF2C">
      <w:start w:val="1"/>
      <w:numFmt w:val="lowerLetter"/>
      <w:lvlText w:val="%5"/>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C53CE">
      <w:start w:val="1"/>
      <w:numFmt w:val="lowerRoman"/>
      <w:lvlText w:val="%6"/>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61F82">
      <w:start w:val="1"/>
      <w:numFmt w:val="decimal"/>
      <w:lvlText w:val="%7"/>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25E30">
      <w:start w:val="1"/>
      <w:numFmt w:val="lowerLetter"/>
      <w:lvlText w:val="%8"/>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C7114">
      <w:start w:val="1"/>
      <w:numFmt w:val="lowerRoman"/>
      <w:lvlText w:val="%9"/>
      <w:lvlJc w:val="left"/>
      <w:pPr>
        <w:ind w:left="7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A600A"/>
    <w:multiLevelType w:val="hybridMultilevel"/>
    <w:tmpl w:val="D8EEA64E"/>
    <w:lvl w:ilvl="0" w:tplc="8738FB7A">
      <w:start w:val="1"/>
      <w:numFmt w:val="decimal"/>
      <w:lvlText w:val="%1."/>
      <w:lvlJc w:val="left"/>
      <w:pPr>
        <w:ind w:left="6480" w:hanging="360"/>
      </w:pPr>
      <w:rPr>
        <w:rFonts w:ascii="Times New Roman" w:hAnsi="Times New Roman" w:hint="default"/>
        <w:sz w:val="26"/>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432C363F"/>
    <w:multiLevelType w:val="multilevel"/>
    <w:tmpl w:val="9B1A9FE8"/>
    <w:lvl w:ilvl="0">
      <w:start w:val="1"/>
      <w:numFmt w:val="decimal"/>
      <w:pStyle w:val="TOCH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41B72B8"/>
    <w:multiLevelType w:val="multilevel"/>
    <w:tmpl w:val="9EEA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BF2C7E"/>
    <w:multiLevelType w:val="hybridMultilevel"/>
    <w:tmpl w:val="BAEEEDC6"/>
    <w:lvl w:ilvl="0" w:tplc="4A48FF5A">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A391047"/>
    <w:multiLevelType w:val="hybridMultilevel"/>
    <w:tmpl w:val="488EF9DC"/>
    <w:lvl w:ilvl="0" w:tplc="FDC6308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EE58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4B5B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63E8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AF1E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053D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ED29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8448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63A3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5D3FBD"/>
    <w:multiLevelType w:val="hybridMultilevel"/>
    <w:tmpl w:val="BF165B4E"/>
    <w:lvl w:ilvl="0" w:tplc="5352DDCC">
      <w:start w:val="1"/>
      <w:numFmt w:val="upperRoman"/>
      <w:pStyle w:val="Heading1"/>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E4B57"/>
    <w:multiLevelType w:val="hybridMultilevel"/>
    <w:tmpl w:val="FA680104"/>
    <w:lvl w:ilvl="0" w:tplc="3606E9DC">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30D0B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E5A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607D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0811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45FF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6E3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8CAF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6903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B33302"/>
    <w:multiLevelType w:val="hybridMultilevel"/>
    <w:tmpl w:val="5FACD36E"/>
    <w:lvl w:ilvl="0" w:tplc="3EC42E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177B8F"/>
    <w:multiLevelType w:val="hybridMultilevel"/>
    <w:tmpl w:val="EBCC8742"/>
    <w:lvl w:ilvl="0" w:tplc="821CEFA4">
      <w:start w:val="1"/>
      <w:numFmt w:val="upperLetter"/>
      <w:lvlText w:val="%1."/>
      <w:lvlJc w:val="left"/>
      <w:pPr>
        <w:ind w:left="3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77570CF9"/>
    <w:multiLevelType w:val="multilevel"/>
    <w:tmpl w:val="97807182"/>
    <w:lvl w:ilvl="0">
      <w:start w:val="1"/>
      <w:numFmt w:val="decimal"/>
      <w:pStyle w:val="TOCH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3"/>
  </w:num>
  <w:num w:numId="3">
    <w:abstractNumId w:val="9"/>
  </w:num>
  <w:num w:numId="4">
    <w:abstractNumId w:val="22"/>
  </w:num>
  <w:num w:numId="5">
    <w:abstractNumId w:val="16"/>
  </w:num>
  <w:num w:numId="6">
    <w:abstractNumId w:val="14"/>
  </w:num>
  <w:num w:numId="7">
    <w:abstractNumId w:val="13"/>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5"/>
  </w:num>
  <w:num w:numId="17">
    <w:abstractNumId w:val="18"/>
  </w:num>
  <w:num w:numId="18">
    <w:abstractNumId w:val="20"/>
  </w:num>
  <w:num w:numId="19">
    <w:abstractNumId w:val="0"/>
  </w:num>
  <w:num w:numId="20">
    <w:abstractNumId w:val="7"/>
  </w:num>
  <w:num w:numId="21">
    <w:abstractNumId w:val="4"/>
  </w:num>
  <w:num w:numId="22">
    <w:abstractNumId w:val="17"/>
  </w:num>
  <w:num w:numId="23">
    <w:abstractNumId w:val="12"/>
  </w:num>
  <w:num w:numId="24">
    <w:abstractNumId w:val="10"/>
  </w:num>
  <w:num w:numId="25">
    <w:abstractNumId w:val="19"/>
  </w:num>
  <w:num w:numId="26">
    <w:abstractNumId w:val="8"/>
  </w:num>
  <w:num w:numId="27">
    <w:abstractNumId w:val="11"/>
  </w:num>
  <w:num w:numId="28">
    <w:abstractNumId w:val="6"/>
  </w:num>
  <w:num w:numId="29">
    <w:abstractNumId w:val="5"/>
  </w:num>
  <w:num w:numId="30">
    <w:abstractNumId w:val="2"/>
  </w:num>
  <w:num w:numId="31">
    <w:abstractNumId w:val="8"/>
    <w:lvlOverride w:ilvl="0">
      <w:startOverride w:val="1"/>
    </w:lvlOverride>
  </w:num>
  <w:num w:numId="3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F9"/>
    <w:rsid w:val="00000F66"/>
    <w:rsid w:val="000022F8"/>
    <w:rsid w:val="000033B6"/>
    <w:rsid w:val="000040E9"/>
    <w:rsid w:val="00004A20"/>
    <w:rsid w:val="00004D38"/>
    <w:rsid w:val="00007453"/>
    <w:rsid w:val="00010C74"/>
    <w:rsid w:val="0001210F"/>
    <w:rsid w:val="0001470B"/>
    <w:rsid w:val="000149B0"/>
    <w:rsid w:val="000154D7"/>
    <w:rsid w:val="00017497"/>
    <w:rsid w:val="00017C55"/>
    <w:rsid w:val="00020C06"/>
    <w:rsid w:val="0002101A"/>
    <w:rsid w:val="000224BF"/>
    <w:rsid w:val="00022598"/>
    <w:rsid w:val="00023D83"/>
    <w:rsid w:val="00024B2C"/>
    <w:rsid w:val="00031467"/>
    <w:rsid w:val="00031F6F"/>
    <w:rsid w:val="00032023"/>
    <w:rsid w:val="0003333C"/>
    <w:rsid w:val="0003377E"/>
    <w:rsid w:val="0003383F"/>
    <w:rsid w:val="00033B3A"/>
    <w:rsid w:val="00035650"/>
    <w:rsid w:val="000356FB"/>
    <w:rsid w:val="00035857"/>
    <w:rsid w:val="00040BB1"/>
    <w:rsid w:val="000415FF"/>
    <w:rsid w:val="000418D2"/>
    <w:rsid w:val="00042E02"/>
    <w:rsid w:val="00043CB7"/>
    <w:rsid w:val="00045408"/>
    <w:rsid w:val="00045F4B"/>
    <w:rsid w:val="00046A7E"/>
    <w:rsid w:val="000501B1"/>
    <w:rsid w:val="00051524"/>
    <w:rsid w:val="0005259A"/>
    <w:rsid w:val="000526DD"/>
    <w:rsid w:val="00053626"/>
    <w:rsid w:val="000537A9"/>
    <w:rsid w:val="000567C9"/>
    <w:rsid w:val="00056965"/>
    <w:rsid w:val="00057AB2"/>
    <w:rsid w:val="00057AFF"/>
    <w:rsid w:val="00057CDA"/>
    <w:rsid w:val="00060FF4"/>
    <w:rsid w:val="0006248E"/>
    <w:rsid w:val="00063D27"/>
    <w:rsid w:val="0006447C"/>
    <w:rsid w:val="000665DE"/>
    <w:rsid w:val="00067919"/>
    <w:rsid w:val="00073A25"/>
    <w:rsid w:val="000745B9"/>
    <w:rsid w:val="00075142"/>
    <w:rsid w:val="00076391"/>
    <w:rsid w:val="00076B42"/>
    <w:rsid w:val="00080926"/>
    <w:rsid w:val="00081911"/>
    <w:rsid w:val="00081D70"/>
    <w:rsid w:val="00085F97"/>
    <w:rsid w:val="00087263"/>
    <w:rsid w:val="000875F7"/>
    <w:rsid w:val="00090EB2"/>
    <w:rsid w:val="00091899"/>
    <w:rsid w:val="00091EE5"/>
    <w:rsid w:val="0009212E"/>
    <w:rsid w:val="00092C4E"/>
    <w:rsid w:val="00093F5D"/>
    <w:rsid w:val="00094947"/>
    <w:rsid w:val="00095063"/>
    <w:rsid w:val="000965D0"/>
    <w:rsid w:val="000A0EE1"/>
    <w:rsid w:val="000A168C"/>
    <w:rsid w:val="000A2735"/>
    <w:rsid w:val="000A40CD"/>
    <w:rsid w:val="000A51C1"/>
    <w:rsid w:val="000A5BBF"/>
    <w:rsid w:val="000A6ABF"/>
    <w:rsid w:val="000A78E3"/>
    <w:rsid w:val="000A7B94"/>
    <w:rsid w:val="000A7C52"/>
    <w:rsid w:val="000B12E3"/>
    <w:rsid w:val="000B5F89"/>
    <w:rsid w:val="000B6352"/>
    <w:rsid w:val="000C2439"/>
    <w:rsid w:val="000C2C0B"/>
    <w:rsid w:val="000C3FA4"/>
    <w:rsid w:val="000C5AA5"/>
    <w:rsid w:val="000D1461"/>
    <w:rsid w:val="000D1D78"/>
    <w:rsid w:val="000D2FEE"/>
    <w:rsid w:val="000D5337"/>
    <w:rsid w:val="000D58B7"/>
    <w:rsid w:val="000D5C21"/>
    <w:rsid w:val="000D6157"/>
    <w:rsid w:val="000D6551"/>
    <w:rsid w:val="000D6926"/>
    <w:rsid w:val="000D6F11"/>
    <w:rsid w:val="000D794D"/>
    <w:rsid w:val="000E2FF5"/>
    <w:rsid w:val="000E53F5"/>
    <w:rsid w:val="000E5934"/>
    <w:rsid w:val="000E5DBF"/>
    <w:rsid w:val="000E781B"/>
    <w:rsid w:val="000E7E94"/>
    <w:rsid w:val="000F11D1"/>
    <w:rsid w:val="000F2635"/>
    <w:rsid w:val="000F3EAA"/>
    <w:rsid w:val="000F416F"/>
    <w:rsid w:val="000F53B6"/>
    <w:rsid w:val="000F63E4"/>
    <w:rsid w:val="000F78FE"/>
    <w:rsid w:val="001022B4"/>
    <w:rsid w:val="00102D79"/>
    <w:rsid w:val="001036F7"/>
    <w:rsid w:val="0010388F"/>
    <w:rsid w:val="001056AD"/>
    <w:rsid w:val="00106934"/>
    <w:rsid w:val="00107690"/>
    <w:rsid w:val="00111C01"/>
    <w:rsid w:val="00112CBB"/>
    <w:rsid w:val="00112DEE"/>
    <w:rsid w:val="00113BC9"/>
    <w:rsid w:val="001145D5"/>
    <w:rsid w:val="00115129"/>
    <w:rsid w:val="00115324"/>
    <w:rsid w:val="001155C6"/>
    <w:rsid w:val="001164C4"/>
    <w:rsid w:val="0012105F"/>
    <w:rsid w:val="001220ED"/>
    <w:rsid w:val="00122A43"/>
    <w:rsid w:val="001231D6"/>
    <w:rsid w:val="00123C29"/>
    <w:rsid w:val="00125C1D"/>
    <w:rsid w:val="0012605E"/>
    <w:rsid w:val="0012624F"/>
    <w:rsid w:val="00132802"/>
    <w:rsid w:val="00134580"/>
    <w:rsid w:val="00134612"/>
    <w:rsid w:val="00135A6E"/>
    <w:rsid w:val="00135F12"/>
    <w:rsid w:val="001377DC"/>
    <w:rsid w:val="00137894"/>
    <w:rsid w:val="00140012"/>
    <w:rsid w:val="0014077A"/>
    <w:rsid w:val="00140C42"/>
    <w:rsid w:val="00141DE9"/>
    <w:rsid w:val="00142164"/>
    <w:rsid w:val="00152825"/>
    <w:rsid w:val="001532D1"/>
    <w:rsid w:val="00153E5E"/>
    <w:rsid w:val="001545EC"/>
    <w:rsid w:val="00157241"/>
    <w:rsid w:val="0015738B"/>
    <w:rsid w:val="00160909"/>
    <w:rsid w:val="00160965"/>
    <w:rsid w:val="001612B6"/>
    <w:rsid w:val="0016296F"/>
    <w:rsid w:val="00164442"/>
    <w:rsid w:val="001664CF"/>
    <w:rsid w:val="00166B50"/>
    <w:rsid w:val="00170991"/>
    <w:rsid w:val="00170EB8"/>
    <w:rsid w:val="00172209"/>
    <w:rsid w:val="001739F6"/>
    <w:rsid w:val="0017567A"/>
    <w:rsid w:val="00175E33"/>
    <w:rsid w:val="00184E09"/>
    <w:rsid w:val="00184F05"/>
    <w:rsid w:val="00185B20"/>
    <w:rsid w:val="00185CD1"/>
    <w:rsid w:val="00191865"/>
    <w:rsid w:val="001918B1"/>
    <w:rsid w:val="00193D93"/>
    <w:rsid w:val="001947EB"/>
    <w:rsid w:val="00197A52"/>
    <w:rsid w:val="00197F5F"/>
    <w:rsid w:val="001A0012"/>
    <w:rsid w:val="001A0593"/>
    <w:rsid w:val="001A0D40"/>
    <w:rsid w:val="001A341B"/>
    <w:rsid w:val="001A3E78"/>
    <w:rsid w:val="001A481E"/>
    <w:rsid w:val="001A4EAB"/>
    <w:rsid w:val="001A54A2"/>
    <w:rsid w:val="001A6A0F"/>
    <w:rsid w:val="001A721B"/>
    <w:rsid w:val="001A7DC2"/>
    <w:rsid w:val="001B0203"/>
    <w:rsid w:val="001B0C52"/>
    <w:rsid w:val="001B1209"/>
    <w:rsid w:val="001B3E56"/>
    <w:rsid w:val="001B62FB"/>
    <w:rsid w:val="001B743E"/>
    <w:rsid w:val="001B7763"/>
    <w:rsid w:val="001C1A68"/>
    <w:rsid w:val="001C2F3F"/>
    <w:rsid w:val="001C47E7"/>
    <w:rsid w:val="001C49B4"/>
    <w:rsid w:val="001C4D4C"/>
    <w:rsid w:val="001C504F"/>
    <w:rsid w:val="001C625A"/>
    <w:rsid w:val="001C6F1C"/>
    <w:rsid w:val="001D3091"/>
    <w:rsid w:val="001D372F"/>
    <w:rsid w:val="001D3B20"/>
    <w:rsid w:val="001D4089"/>
    <w:rsid w:val="001D53AF"/>
    <w:rsid w:val="001D7275"/>
    <w:rsid w:val="001D7DA5"/>
    <w:rsid w:val="001E0151"/>
    <w:rsid w:val="001E04CC"/>
    <w:rsid w:val="001E0F56"/>
    <w:rsid w:val="001E1CAC"/>
    <w:rsid w:val="001E43E2"/>
    <w:rsid w:val="001E4930"/>
    <w:rsid w:val="001E4CF1"/>
    <w:rsid w:val="001E4FDF"/>
    <w:rsid w:val="001E573B"/>
    <w:rsid w:val="001E5756"/>
    <w:rsid w:val="001F057C"/>
    <w:rsid w:val="001F28A6"/>
    <w:rsid w:val="001F2AC0"/>
    <w:rsid w:val="001F3F89"/>
    <w:rsid w:val="001F5109"/>
    <w:rsid w:val="001F5A15"/>
    <w:rsid w:val="001F6FEF"/>
    <w:rsid w:val="002000D7"/>
    <w:rsid w:val="00201309"/>
    <w:rsid w:val="002016A7"/>
    <w:rsid w:val="00203849"/>
    <w:rsid w:val="00204571"/>
    <w:rsid w:val="002062FA"/>
    <w:rsid w:val="0020650F"/>
    <w:rsid w:val="002071EE"/>
    <w:rsid w:val="00207238"/>
    <w:rsid w:val="0021174F"/>
    <w:rsid w:val="0021191E"/>
    <w:rsid w:val="0021364D"/>
    <w:rsid w:val="00213D18"/>
    <w:rsid w:val="00216EE1"/>
    <w:rsid w:val="002208B6"/>
    <w:rsid w:val="00220FBA"/>
    <w:rsid w:val="0022227A"/>
    <w:rsid w:val="00223E11"/>
    <w:rsid w:val="002267F6"/>
    <w:rsid w:val="00227353"/>
    <w:rsid w:val="00227B67"/>
    <w:rsid w:val="002310A3"/>
    <w:rsid w:val="00231F47"/>
    <w:rsid w:val="00232EF1"/>
    <w:rsid w:val="002335F9"/>
    <w:rsid w:val="00233F8A"/>
    <w:rsid w:val="0023687B"/>
    <w:rsid w:val="00237288"/>
    <w:rsid w:val="00240D76"/>
    <w:rsid w:val="00240D9C"/>
    <w:rsid w:val="0024336D"/>
    <w:rsid w:val="00245495"/>
    <w:rsid w:val="0024795F"/>
    <w:rsid w:val="00247BFD"/>
    <w:rsid w:val="00254474"/>
    <w:rsid w:val="00254BC5"/>
    <w:rsid w:val="00255300"/>
    <w:rsid w:val="0025592C"/>
    <w:rsid w:val="00255A1E"/>
    <w:rsid w:val="00255D8A"/>
    <w:rsid w:val="002571C7"/>
    <w:rsid w:val="002608C1"/>
    <w:rsid w:val="002616E5"/>
    <w:rsid w:val="00263F7E"/>
    <w:rsid w:val="00265669"/>
    <w:rsid w:val="00266DDD"/>
    <w:rsid w:val="0027027A"/>
    <w:rsid w:val="0027061D"/>
    <w:rsid w:val="00271373"/>
    <w:rsid w:val="002718C6"/>
    <w:rsid w:val="00271F4B"/>
    <w:rsid w:val="002722C4"/>
    <w:rsid w:val="00274951"/>
    <w:rsid w:val="00276DA0"/>
    <w:rsid w:val="00281E69"/>
    <w:rsid w:val="0028233E"/>
    <w:rsid w:val="00282638"/>
    <w:rsid w:val="00282DFF"/>
    <w:rsid w:val="00282FC0"/>
    <w:rsid w:val="00284D05"/>
    <w:rsid w:val="00285F95"/>
    <w:rsid w:val="00286A55"/>
    <w:rsid w:val="00286F50"/>
    <w:rsid w:val="002873F0"/>
    <w:rsid w:val="00290A2B"/>
    <w:rsid w:val="00291028"/>
    <w:rsid w:val="002919F3"/>
    <w:rsid w:val="00293E7C"/>
    <w:rsid w:val="002A0071"/>
    <w:rsid w:val="002A0989"/>
    <w:rsid w:val="002A09C5"/>
    <w:rsid w:val="002A09E5"/>
    <w:rsid w:val="002A1070"/>
    <w:rsid w:val="002A1840"/>
    <w:rsid w:val="002A1B81"/>
    <w:rsid w:val="002A30EC"/>
    <w:rsid w:val="002A31BE"/>
    <w:rsid w:val="002A3378"/>
    <w:rsid w:val="002A3676"/>
    <w:rsid w:val="002A3868"/>
    <w:rsid w:val="002A4B67"/>
    <w:rsid w:val="002A5467"/>
    <w:rsid w:val="002A7079"/>
    <w:rsid w:val="002B059B"/>
    <w:rsid w:val="002B0697"/>
    <w:rsid w:val="002B1719"/>
    <w:rsid w:val="002B1A20"/>
    <w:rsid w:val="002B1B87"/>
    <w:rsid w:val="002B289C"/>
    <w:rsid w:val="002B3E66"/>
    <w:rsid w:val="002B4452"/>
    <w:rsid w:val="002B5E8E"/>
    <w:rsid w:val="002B774B"/>
    <w:rsid w:val="002C1556"/>
    <w:rsid w:val="002C1BCB"/>
    <w:rsid w:val="002C28F0"/>
    <w:rsid w:val="002C4963"/>
    <w:rsid w:val="002C5864"/>
    <w:rsid w:val="002D1763"/>
    <w:rsid w:val="002D2EF6"/>
    <w:rsid w:val="002D500A"/>
    <w:rsid w:val="002E1357"/>
    <w:rsid w:val="002E2058"/>
    <w:rsid w:val="002E2C53"/>
    <w:rsid w:val="002E3C75"/>
    <w:rsid w:val="002E4B19"/>
    <w:rsid w:val="002E4D10"/>
    <w:rsid w:val="002E52CA"/>
    <w:rsid w:val="002E538E"/>
    <w:rsid w:val="002E6023"/>
    <w:rsid w:val="002E607F"/>
    <w:rsid w:val="002E7433"/>
    <w:rsid w:val="002E75F6"/>
    <w:rsid w:val="002E78DB"/>
    <w:rsid w:val="002F0C78"/>
    <w:rsid w:val="002F1A67"/>
    <w:rsid w:val="002F1F80"/>
    <w:rsid w:val="002F22C6"/>
    <w:rsid w:val="002F2655"/>
    <w:rsid w:val="002F4547"/>
    <w:rsid w:val="002F4636"/>
    <w:rsid w:val="002F4ED8"/>
    <w:rsid w:val="0030032A"/>
    <w:rsid w:val="00301D96"/>
    <w:rsid w:val="00303606"/>
    <w:rsid w:val="003042E9"/>
    <w:rsid w:val="00304839"/>
    <w:rsid w:val="0030636C"/>
    <w:rsid w:val="00306A05"/>
    <w:rsid w:val="00307143"/>
    <w:rsid w:val="0032035B"/>
    <w:rsid w:val="0032053C"/>
    <w:rsid w:val="0032095E"/>
    <w:rsid w:val="00320BC7"/>
    <w:rsid w:val="003220B4"/>
    <w:rsid w:val="0032238B"/>
    <w:rsid w:val="00322B86"/>
    <w:rsid w:val="00323989"/>
    <w:rsid w:val="00323B02"/>
    <w:rsid w:val="00325100"/>
    <w:rsid w:val="003263B6"/>
    <w:rsid w:val="003263F9"/>
    <w:rsid w:val="003275A8"/>
    <w:rsid w:val="00331751"/>
    <w:rsid w:val="003321A5"/>
    <w:rsid w:val="003334CC"/>
    <w:rsid w:val="00334B53"/>
    <w:rsid w:val="003374B1"/>
    <w:rsid w:val="0034231E"/>
    <w:rsid w:val="00342BC4"/>
    <w:rsid w:val="00343ED5"/>
    <w:rsid w:val="00344CB4"/>
    <w:rsid w:val="0034627E"/>
    <w:rsid w:val="00347B4A"/>
    <w:rsid w:val="003503C3"/>
    <w:rsid w:val="0035198A"/>
    <w:rsid w:val="00352341"/>
    <w:rsid w:val="003523A0"/>
    <w:rsid w:val="00352457"/>
    <w:rsid w:val="0035302A"/>
    <w:rsid w:val="00353FDD"/>
    <w:rsid w:val="00354650"/>
    <w:rsid w:val="003547A7"/>
    <w:rsid w:val="00354998"/>
    <w:rsid w:val="00354B19"/>
    <w:rsid w:val="00354B82"/>
    <w:rsid w:val="00355575"/>
    <w:rsid w:val="0035643E"/>
    <w:rsid w:val="0035685F"/>
    <w:rsid w:val="00360490"/>
    <w:rsid w:val="003604B6"/>
    <w:rsid w:val="00363118"/>
    <w:rsid w:val="00363450"/>
    <w:rsid w:val="00363E44"/>
    <w:rsid w:val="00364756"/>
    <w:rsid w:val="00365134"/>
    <w:rsid w:val="00365AD7"/>
    <w:rsid w:val="00366092"/>
    <w:rsid w:val="00366FBD"/>
    <w:rsid w:val="003671FC"/>
    <w:rsid w:val="00367B7A"/>
    <w:rsid w:val="003711D1"/>
    <w:rsid w:val="00371627"/>
    <w:rsid w:val="0037240A"/>
    <w:rsid w:val="00373913"/>
    <w:rsid w:val="0037758E"/>
    <w:rsid w:val="003803F0"/>
    <w:rsid w:val="00383E74"/>
    <w:rsid w:val="003849FD"/>
    <w:rsid w:val="00385EE7"/>
    <w:rsid w:val="0039006F"/>
    <w:rsid w:val="00390A0B"/>
    <w:rsid w:val="0039127B"/>
    <w:rsid w:val="003916CC"/>
    <w:rsid w:val="0039221C"/>
    <w:rsid w:val="00392ABC"/>
    <w:rsid w:val="00392B1C"/>
    <w:rsid w:val="0039333F"/>
    <w:rsid w:val="00397B7D"/>
    <w:rsid w:val="00397DCD"/>
    <w:rsid w:val="003A42E9"/>
    <w:rsid w:val="003A43EC"/>
    <w:rsid w:val="003A4787"/>
    <w:rsid w:val="003A4C7C"/>
    <w:rsid w:val="003A5A52"/>
    <w:rsid w:val="003A5AC7"/>
    <w:rsid w:val="003A5C46"/>
    <w:rsid w:val="003A5E09"/>
    <w:rsid w:val="003A5F61"/>
    <w:rsid w:val="003B098D"/>
    <w:rsid w:val="003B0C78"/>
    <w:rsid w:val="003B3440"/>
    <w:rsid w:val="003B5C15"/>
    <w:rsid w:val="003C055E"/>
    <w:rsid w:val="003C1D34"/>
    <w:rsid w:val="003C35FA"/>
    <w:rsid w:val="003C4D8F"/>
    <w:rsid w:val="003C4FEB"/>
    <w:rsid w:val="003C50B6"/>
    <w:rsid w:val="003C56BC"/>
    <w:rsid w:val="003C5DC9"/>
    <w:rsid w:val="003D0692"/>
    <w:rsid w:val="003D17F8"/>
    <w:rsid w:val="003D1DB8"/>
    <w:rsid w:val="003D1F8E"/>
    <w:rsid w:val="003D3101"/>
    <w:rsid w:val="003D4391"/>
    <w:rsid w:val="003D5608"/>
    <w:rsid w:val="003D5E2F"/>
    <w:rsid w:val="003E0C98"/>
    <w:rsid w:val="003E2921"/>
    <w:rsid w:val="003E3038"/>
    <w:rsid w:val="003E3069"/>
    <w:rsid w:val="003E4185"/>
    <w:rsid w:val="003E4590"/>
    <w:rsid w:val="003E4A14"/>
    <w:rsid w:val="003E5593"/>
    <w:rsid w:val="003E5C59"/>
    <w:rsid w:val="003F0458"/>
    <w:rsid w:val="003F23B6"/>
    <w:rsid w:val="003F4735"/>
    <w:rsid w:val="003F5852"/>
    <w:rsid w:val="003F5F74"/>
    <w:rsid w:val="003F6768"/>
    <w:rsid w:val="003F7652"/>
    <w:rsid w:val="003F78EF"/>
    <w:rsid w:val="003F7F6B"/>
    <w:rsid w:val="0040049F"/>
    <w:rsid w:val="00401D8E"/>
    <w:rsid w:val="00402C82"/>
    <w:rsid w:val="00402ED5"/>
    <w:rsid w:val="0040391A"/>
    <w:rsid w:val="00406909"/>
    <w:rsid w:val="00407106"/>
    <w:rsid w:val="0040720D"/>
    <w:rsid w:val="00411337"/>
    <w:rsid w:val="00411DDD"/>
    <w:rsid w:val="00415D8D"/>
    <w:rsid w:val="00415FCA"/>
    <w:rsid w:val="00420E92"/>
    <w:rsid w:val="004210E5"/>
    <w:rsid w:val="004219C0"/>
    <w:rsid w:val="004222A8"/>
    <w:rsid w:val="00426487"/>
    <w:rsid w:val="00426B64"/>
    <w:rsid w:val="00426FD3"/>
    <w:rsid w:val="0042737F"/>
    <w:rsid w:val="0043035C"/>
    <w:rsid w:val="00430D86"/>
    <w:rsid w:val="00430FD3"/>
    <w:rsid w:val="00431D12"/>
    <w:rsid w:val="00433F34"/>
    <w:rsid w:val="00434AEC"/>
    <w:rsid w:val="0043598F"/>
    <w:rsid w:val="00436387"/>
    <w:rsid w:val="00440C27"/>
    <w:rsid w:val="00441787"/>
    <w:rsid w:val="00441C94"/>
    <w:rsid w:val="004440F9"/>
    <w:rsid w:val="00444B58"/>
    <w:rsid w:val="00445719"/>
    <w:rsid w:val="004471ED"/>
    <w:rsid w:val="00447D86"/>
    <w:rsid w:val="0045471D"/>
    <w:rsid w:val="004577C9"/>
    <w:rsid w:val="004579D8"/>
    <w:rsid w:val="00457B72"/>
    <w:rsid w:val="00460E10"/>
    <w:rsid w:val="00463677"/>
    <w:rsid w:val="0046367B"/>
    <w:rsid w:val="00463B55"/>
    <w:rsid w:val="00463F0D"/>
    <w:rsid w:val="00463F6B"/>
    <w:rsid w:val="00465E64"/>
    <w:rsid w:val="00467AD8"/>
    <w:rsid w:val="00472375"/>
    <w:rsid w:val="00472631"/>
    <w:rsid w:val="00472F5F"/>
    <w:rsid w:val="004732BC"/>
    <w:rsid w:val="00475002"/>
    <w:rsid w:val="0047572A"/>
    <w:rsid w:val="004765D4"/>
    <w:rsid w:val="00481CA7"/>
    <w:rsid w:val="00481F33"/>
    <w:rsid w:val="00482404"/>
    <w:rsid w:val="00483248"/>
    <w:rsid w:val="00491223"/>
    <w:rsid w:val="00492EB0"/>
    <w:rsid w:val="0049309B"/>
    <w:rsid w:val="00493961"/>
    <w:rsid w:val="00494B2C"/>
    <w:rsid w:val="004A0CE9"/>
    <w:rsid w:val="004A1289"/>
    <w:rsid w:val="004A3A9A"/>
    <w:rsid w:val="004A5C77"/>
    <w:rsid w:val="004A6B9D"/>
    <w:rsid w:val="004B0804"/>
    <w:rsid w:val="004B1861"/>
    <w:rsid w:val="004B2E70"/>
    <w:rsid w:val="004B585D"/>
    <w:rsid w:val="004B60BF"/>
    <w:rsid w:val="004B672D"/>
    <w:rsid w:val="004B6804"/>
    <w:rsid w:val="004B6ABC"/>
    <w:rsid w:val="004C04E5"/>
    <w:rsid w:val="004C2EDD"/>
    <w:rsid w:val="004C3137"/>
    <w:rsid w:val="004C3481"/>
    <w:rsid w:val="004C3D1A"/>
    <w:rsid w:val="004C55AC"/>
    <w:rsid w:val="004C6055"/>
    <w:rsid w:val="004C73FD"/>
    <w:rsid w:val="004C7ED6"/>
    <w:rsid w:val="004D03C8"/>
    <w:rsid w:val="004D08D0"/>
    <w:rsid w:val="004D2B16"/>
    <w:rsid w:val="004D36BE"/>
    <w:rsid w:val="004D40A4"/>
    <w:rsid w:val="004D481D"/>
    <w:rsid w:val="004D52A9"/>
    <w:rsid w:val="004D5351"/>
    <w:rsid w:val="004E0B0F"/>
    <w:rsid w:val="004E26CF"/>
    <w:rsid w:val="004E3BFD"/>
    <w:rsid w:val="004E56CD"/>
    <w:rsid w:val="004E5731"/>
    <w:rsid w:val="004E594A"/>
    <w:rsid w:val="004E73B0"/>
    <w:rsid w:val="004E77F5"/>
    <w:rsid w:val="004E7DEA"/>
    <w:rsid w:val="004F10A6"/>
    <w:rsid w:val="004F19DC"/>
    <w:rsid w:val="004F32C0"/>
    <w:rsid w:val="004F340B"/>
    <w:rsid w:val="004F575A"/>
    <w:rsid w:val="004F58D6"/>
    <w:rsid w:val="005005AB"/>
    <w:rsid w:val="00500C27"/>
    <w:rsid w:val="00501212"/>
    <w:rsid w:val="0050224F"/>
    <w:rsid w:val="005029D6"/>
    <w:rsid w:val="00503CDC"/>
    <w:rsid w:val="00503E7E"/>
    <w:rsid w:val="00504818"/>
    <w:rsid w:val="005049A3"/>
    <w:rsid w:val="00505FFF"/>
    <w:rsid w:val="00506295"/>
    <w:rsid w:val="00513C45"/>
    <w:rsid w:val="005147D9"/>
    <w:rsid w:val="00514B50"/>
    <w:rsid w:val="005161AA"/>
    <w:rsid w:val="005174DA"/>
    <w:rsid w:val="00520F08"/>
    <w:rsid w:val="00522C70"/>
    <w:rsid w:val="00524F3D"/>
    <w:rsid w:val="00525F87"/>
    <w:rsid w:val="005270AB"/>
    <w:rsid w:val="00530218"/>
    <w:rsid w:val="0053110B"/>
    <w:rsid w:val="00535B19"/>
    <w:rsid w:val="00535BC5"/>
    <w:rsid w:val="005367E9"/>
    <w:rsid w:val="00537F44"/>
    <w:rsid w:val="00540841"/>
    <w:rsid w:val="00546206"/>
    <w:rsid w:val="0054680D"/>
    <w:rsid w:val="00547257"/>
    <w:rsid w:val="00547DE9"/>
    <w:rsid w:val="005526AC"/>
    <w:rsid w:val="005527FF"/>
    <w:rsid w:val="00553B48"/>
    <w:rsid w:val="0055406A"/>
    <w:rsid w:val="00554EA4"/>
    <w:rsid w:val="00555BD4"/>
    <w:rsid w:val="00561BDC"/>
    <w:rsid w:val="00561C65"/>
    <w:rsid w:val="005632A7"/>
    <w:rsid w:val="00563EB0"/>
    <w:rsid w:val="0057072A"/>
    <w:rsid w:val="0057151D"/>
    <w:rsid w:val="005742FB"/>
    <w:rsid w:val="00574BFD"/>
    <w:rsid w:val="00576B05"/>
    <w:rsid w:val="00577303"/>
    <w:rsid w:val="00577BEF"/>
    <w:rsid w:val="00580550"/>
    <w:rsid w:val="00580C5D"/>
    <w:rsid w:val="00580DEF"/>
    <w:rsid w:val="005810E1"/>
    <w:rsid w:val="0058283F"/>
    <w:rsid w:val="00583049"/>
    <w:rsid w:val="00583194"/>
    <w:rsid w:val="0058490E"/>
    <w:rsid w:val="00587836"/>
    <w:rsid w:val="00590D3E"/>
    <w:rsid w:val="00592533"/>
    <w:rsid w:val="0059381B"/>
    <w:rsid w:val="00593F16"/>
    <w:rsid w:val="00594658"/>
    <w:rsid w:val="005948F1"/>
    <w:rsid w:val="005966AA"/>
    <w:rsid w:val="00596B34"/>
    <w:rsid w:val="00596E21"/>
    <w:rsid w:val="005A0299"/>
    <w:rsid w:val="005A1ABD"/>
    <w:rsid w:val="005A255F"/>
    <w:rsid w:val="005A2CB7"/>
    <w:rsid w:val="005A3689"/>
    <w:rsid w:val="005B0199"/>
    <w:rsid w:val="005B0468"/>
    <w:rsid w:val="005B26BF"/>
    <w:rsid w:val="005B2933"/>
    <w:rsid w:val="005B3943"/>
    <w:rsid w:val="005B518C"/>
    <w:rsid w:val="005B7190"/>
    <w:rsid w:val="005B79F4"/>
    <w:rsid w:val="005C0195"/>
    <w:rsid w:val="005C071D"/>
    <w:rsid w:val="005C5096"/>
    <w:rsid w:val="005C60D5"/>
    <w:rsid w:val="005C714A"/>
    <w:rsid w:val="005C75DF"/>
    <w:rsid w:val="005D1CB0"/>
    <w:rsid w:val="005D24B8"/>
    <w:rsid w:val="005D39E1"/>
    <w:rsid w:val="005D47E8"/>
    <w:rsid w:val="005D4C18"/>
    <w:rsid w:val="005D50F0"/>
    <w:rsid w:val="005D69A8"/>
    <w:rsid w:val="005D7504"/>
    <w:rsid w:val="005E463F"/>
    <w:rsid w:val="005E6413"/>
    <w:rsid w:val="005F388D"/>
    <w:rsid w:val="005F484B"/>
    <w:rsid w:val="005F5F01"/>
    <w:rsid w:val="005F60BE"/>
    <w:rsid w:val="006002A0"/>
    <w:rsid w:val="00600B0A"/>
    <w:rsid w:val="00600BB5"/>
    <w:rsid w:val="00600C89"/>
    <w:rsid w:val="00601CD7"/>
    <w:rsid w:val="00603179"/>
    <w:rsid w:val="00605EFE"/>
    <w:rsid w:val="00606AA9"/>
    <w:rsid w:val="00606C18"/>
    <w:rsid w:val="006070EE"/>
    <w:rsid w:val="006122ED"/>
    <w:rsid w:val="00612860"/>
    <w:rsid w:val="00612BEA"/>
    <w:rsid w:val="00616632"/>
    <w:rsid w:val="006204E9"/>
    <w:rsid w:val="006212DB"/>
    <w:rsid w:val="0062456D"/>
    <w:rsid w:val="0062535E"/>
    <w:rsid w:val="0062605D"/>
    <w:rsid w:val="0062621D"/>
    <w:rsid w:val="0062736E"/>
    <w:rsid w:val="00632506"/>
    <w:rsid w:val="00633AE1"/>
    <w:rsid w:val="0063450D"/>
    <w:rsid w:val="00634DF9"/>
    <w:rsid w:val="00634F0C"/>
    <w:rsid w:val="00635326"/>
    <w:rsid w:val="00635E51"/>
    <w:rsid w:val="00642809"/>
    <w:rsid w:val="00644FCE"/>
    <w:rsid w:val="00646E3C"/>
    <w:rsid w:val="00647139"/>
    <w:rsid w:val="006476D2"/>
    <w:rsid w:val="00647C1B"/>
    <w:rsid w:val="00651FA2"/>
    <w:rsid w:val="00652980"/>
    <w:rsid w:val="006530F3"/>
    <w:rsid w:val="00654182"/>
    <w:rsid w:val="00655708"/>
    <w:rsid w:val="00657325"/>
    <w:rsid w:val="00657542"/>
    <w:rsid w:val="00660FE7"/>
    <w:rsid w:val="00661645"/>
    <w:rsid w:val="00661B16"/>
    <w:rsid w:val="00662F44"/>
    <w:rsid w:val="00664232"/>
    <w:rsid w:val="00666BD9"/>
    <w:rsid w:val="00666FC9"/>
    <w:rsid w:val="00667394"/>
    <w:rsid w:val="00667980"/>
    <w:rsid w:val="0067029F"/>
    <w:rsid w:val="006703D3"/>
    <w:rsid w:val="00670516"/>
    <w:rsid w:val="0067139A"/>
    <w:rsid w:val="00671D47"/>
    <w:rsid w:val="00671E19"/>
    <w:rsid w:val="0067442A"/>
    <w:rsid w:val="00675E82"/>
    <w:rsid w:val="006769AB"/>
    <w:rsid w:val="00676C89"/>
    <w:rsid w:val="0067786B"/>
    <w:rsid w:val="00680C24"/>
    <w:rsid w:val="006812FC"/>
    <w:rsid w:val="00681AC8"/>
    <w:rsid w:val="00683C39"/>
    <w:rsid w:val="006902B5"/>
    <w:rsid w:val="00690754"/>
    <w:rsid w:val="00694E29"/>
    <w:rsid w:val="00694FC9"/>
    <w:rsid w:val="00696AF9"/>
    <w:rsid w:val="00696CEA"/>
    <w:rsid w:val="006A04C2"/>
    <w:rsid w:val="006A0608"/>
    <w:rsid w:val="006A0636"/>
    <w:rsid w:val="006A1044"/>
    <w:rsid w:val="006A2C5B"/>
    <w:rsid w:val="006A36FE"/>
    <w:rsid w:val="006A412D"/>
    <w:rsid w:val="006A499C"/>
    <w:rsid w:val="006A4AB1"/>
    <w:rsid w:val="006A636B"/>
    <w:rsid w:val="006A749C"/>
    <w:rsid w:val="006A7572"/>
    <w:rsid w:val="006B0219"/>
    <w:rsid w:val="006B035C"/>
    <w:rsid w:val="006B03BE"/>
    <w:rsid w:val="006B102A"/>
    <w:rsid w:val="006B137C"/>
    <w:rsid w:val="006B252D"/>
    <w:rsid w:val="006B31F4"/>
    <w:rsid w:val="006B31F7"/>
    <w:rsid w:val="006B504A"/>
    <w:rsid w:val="006B5E1E"/>
    <w:rsid w:val="006B713F"/>
    <w:rsid w:val="006B7180"/>
    <w:rsid w:val="006C45DA"/>
    <w:rsid w:val="006C5BFF"/>
    <w:rsid w:val="006C6DAF"/>
    <w:rsid w:val="006C74A2"/>
    <w:rsid w:val="006C76F8"/>
    <w:rsid w:val="006C7F0D"/>
    <w:rsid w:val="006D0234"/>
    <w:rsid w:val="006D0619"/>
    <w:rsid w:val="006D2197"/>
    <w:rsid w:val="006D3E39"/>
    <w:rsid w:val="006D6531"/>
    <w:rsid w:val="006D68C3"/>
    <w:rsid w:val="006D79E1"/>
    <w:rsid w:val="006E00C0"/>
    <w:rsid w:val="006E05EF"/>
    <w:rsid w:val="006E0DFB"/>
    <w:rsid w:val="006E1C2D"/>
    <w:rsid w:val="006E2F65"/>
    <w:rsid w:val="006E54DF"/>
    <w:rsid w:val="006E55F4"/>
    <w:rsid w:val="006E777B"/>
    <w:rsid w:val="006E77B9"/>
    <w:rsid w:val="006E787E"/>
    <w:rsid w:val="006F1639"/>
    <w:rsid w:val="006F7945"/>
    <w:rsid w:val="006F7CB2"/>
    <w:rsid w:val="00702587"/>
    <w:rsid w:val="00702E37"/>
    <w:rsid w:val="00704D98"/>
    <w:rsid w:val="00705DBB"/>
    <w:rsid w:val="0070779D"/>
    <w:rsid w:val="00707D07"/>
    <w:rsid w:val="00710D09"/>
    <w:rsid w:val="007115EA"/>
    <w:rsid w:val="00711EF2"/>
    <w:rsid w:val="00712E5B"/>
    <w:rsid w:val="007154D9"/>
    <w:rsid w:val="007159F9"/>
    <w:rsid w:val="0071703A"/>
    <w:rsid w:val="00717442"/>
    <w:rsid w:val="0071756E"/>
    <w:rsid w:val="007176B0"/>
    <w:rsid w:val="00720423"/>
    <w:rsid w:val="007209DB"/>
    <w:rsid w:val="00721C6F"/>
    <w:rsid w:val="007221AD"/>
    <w:rsid w:val="00722905"/>
    <w:rsid w:val="00722A34"/>
    <w:rsid w:val="0072348A"/>
    <w:rsid w:val="00725E62"/>
    <w:rsid w:val="007273B8"/>
    <w:rsid w:val="00727BA0"/>
    <w:rsid w:val="00731381"/>
    <w:rsid w:val="00732206"/>
    <w:rsid w:val="00732F21"/>
    <w:rsid w:val="007338F3"/>
    <w:rsid w:val="00734224"/>
    <w:rsid w:val="00735842"/>
    <w:rsid w:val="00736137"/>
    <w:rsid w:val="00737C1F"/>
    <w:rsid w:val="007405BC"/>
    <w:rsid w:val="00740757"/>
    <w:rsid w:val="007408D2"/>
    <w:rsid w:val="00742441"/>
    <w:rsid w:val="0074244D"/>
    <w:rsid w:val="007445C3"/>
    <w:rsid w:val="007446EE"/>
    <w:rsid w:val="00744C12"/>
    <w:rsid w:val="00745F48"/>
    <w:rsid w:val="00746018"/>
    <w:rsid w:val="00747941"/>
    <w:rsid w:val="00747FDC"/>
    <w:rsid w:val="00754993"/>
    <w:rsid w:val="00754D8C"/>
    <w:rsid w:val="0075533F"/>
    <w:rsid w:val="007560E5"/>
    <w:rsid w:val="00756819"/>
    <w:rsid w:val="007636CA"/>
    <w:rsid w:val="00766621"/>
    <w:rsid w:val="00770120"/>
    <w:rsid w:val="00770374"/>
    <w:rsid w:val="0077056F"/>
    <w:rsid w:val="0077076D"/>
    <w:rsid w:val="00770848"/>
    <w:rsid w:val="00775976"/>
    <w:rsid w:val="00777F9A"/>
    <w:rsid w:val="0078014D"/>
    <w:rsid w:val="00780B20"/>
    <w:rsid w:val="00781425"/>
    <w:rsid w:val="007871C3"/>
    <w:rsid w:val="00791B6C"/>
    <w:rsid w:val="00791BAA"/>
    <w:rsid w:val="00792742"/>
    <w:rsid w:val="00792F01"/>
    <w:rsid w:val="00793078"/>
    <w:rsid w:val="00793592"/>
    <w:rsid w:val="007935CB"/>
    <w:rsid w:val="00793F52"/>
    <w:rsid w:val="00793FB7"/>
    <w:rsid w:val="007944A2"/>
    <w:rsid w:val="007952CB"/>
    <w:rsid w:val="0079590C"/>
    <w:rsid w:val="007A3550"/>
    <w:rsid w:val="007A41FA"/>
    <w:rsid w:val="007A43F6"/>
    <w:rsid w:val="007A68ED"/>
    <w:rsid w:val="007A723B"/>
    <w:rsid w:val="007B1263"/>
    <w:rsid w:val="007B15F4"/>
    <w:rsid w:val="007B1F8A"/>
    <w:rsid w:val="007B2534"/>
    <w:rsid w:val="007B2917"/>
    <w:rsid w:val="007B31DF"/>
    <w:rsid w:val="007B41C2"/>
    <w:rsid w:val="007C05AE"/>
    <w:rsid w:val="007C1A32"/>
    <w:rsid w:val="007C1E59"/>
    <w:rsid w:val="007C3253"/>
    <w:rsid w:val="007C43B2"/>
    <w:rsid w:val="007C4C7F"/>
    <w:rsid w:val="007D03AC"/>
    <w:rsid w:val="007D1390"/>
    <w:rsid w:val="007D3056"/>
    <w:rsid w:val="007D313E"/>
    <w:rsid w:val="007D4BD3"/>
    <w:rsid w:val="007D56E8"/>
    <w:rsid w:val="007D5E45"/>
    <w:rsid w:val="007D6513"/>
    <w:rsid w:val="007D6C62"/>
    <w:rsid w:val="007D6D49"/>
    <w:rsid w:val="007E006E"/>
    <w:rsid w:val="007E057D"/>
    <w:rsid w:val="007E07CD"/>
    <w:rsid w:val="007E10F0"/>
    <w:rsid w:val="007E12FE"/>
    <w:rsid w:val="007E1EFB"/>
    <w:rsid w:val="007E4460"/>
    <w:rsid w:val="007E5016"/>
    <w:rsid w:val="007E66E5"/>
    <w:rsid w:val="007E7041"/>
    <w:rsid w:val="007E7BF1"/>
    <w:rsid w:val="007F157B"/>
    <w:rsid w:val="007F18AA"/>
    <w:rsid w:val="007F69BA"/>
    <w:rsid w:val="008007BE"/>
    <w:rsid w:val="00801CD4"/>
    <w:rsid w:val="00803033"/>
    <w:rsid w:val="0080342D"/>
    <w:rsid w:val="0080374D"/>
    <w:rsid w:val="008132B4"/>
    <w:rsid w:val="00814D0D"/>
    <w:rsid w:val="00814F35"/>
    <w:rsid w:val="008154BD"/>
    <w:rsid w:val="008157FC"/>
    <w:rsid w:val="008157FE"/>
    <w:rsid w:val="008159D6"/>
    <w:rsid w:val="00816CF9"/>
    <w:rsid w:val="00816F64"/>
    <w:rsid w:val="00817016"/>
    <w:rsid w:val="008206F0"/>
    <w:rsid w:val="00820DFF"/>
    <w:rsid w:val="00821774"/>
    <w:rsid w:val="00823E56"/>
    <w:rsid w:val="008241D7"/>
    <w:rsid w:val="00826283"/>
    <w:rsid w:val="00830241"/>
    <w:rsid w:val="008312ED"/>
    <w:rsid w:val="00832BE1"/>
    <w:rsid w:val="0083453C"/>
    <w:rsid w:val="00840140"/>
    <w:rsid w:val="00840153"/>
    <w:rsid w:val="00840E4B"/>
    <w:rsid w:val="00840F74"/>
    <w:rsid w:val="0084145F"/>
    <w:rsid w:val="00841BED"/>
    <w:rsid w:val="0084268F"/>
    <w:rsid w:val="00842D9A"/>
    <w:rsid w:val="008430F5"/>
    <w:rsid w:val="008434CA"/>
    <w:rsid w:val="008461AB"/>
    <w:rsid w:val="008461E8"/>
    <w:rsid w:val="00846A14"/>
    <w:rsid w:val="008503D9"/>
    <w:rsid w:val="00853136"/>
    <w:rsid w:val="00854767"/>
    <w:rsid w:val="00854A77"/>
    <w:rsid w:val="00857456"/>
    <w:rsid w:val="008612E2"/>
    <w:rsid w:val="0086202C"/>
    <w:rsid w:val="00862E47"/>
    <w:rsid w:val="00863899"/>
    <w:rsid w:val="00864A47"/>
    <w:rsid w:val="0086557E"/>
    <w:rsid w:val="00865FDF"/>
    <w:rsid w:val="00870E6D"/>
    <w:rsid w:val="008719C4"/>
    <w:rsid w:val="008743FB"/>
    <w:rsid w:val="0087547D"/>
    <w:rsid w:val="008754CD"/>
    <w:rsid w:val="00875D37"/>
    <w:rsid w:val="00876215"/>
    <w:rsid w:val="008762F9"/>
    <w:rsid w:val="00881332"/>
    <w:rsid w:val="00883005"/>
    <w:rsid w:val="008832A7"/>
    <w:rsid w:val="00884D21"/>
    <w:rsid w:val="008851A0"/>
    <w:rsid w:val="00885B56"/>
    <w:rsid w:val="00887857"/>
    <w:rsid w:val="00893B51"/>
    <w:rsid w:val="008950B5"/>
    <w:rsid w:val="008A08CD"/>
    <w:rsid w:val="008A238E"/>
    <w:rsid w:val="008A274C"/>
    <w:rsid w:val="008A3A3D"/>
    <w:rsid w:val="008A53C7"/>
    <w:rsid w:val="008A649E"/>
    <w:rsid w:val="008B12CA"/>
    <w:rsid w:val="008B2111"/>
    <w:rsid w:val="008B3BE2"/>
    <w:rsid w:val="008B4E5E"/>
    <w:rsid w:val="008B5A13"/>
    <w:rsid w:val="008B5BEB"/>
    <w:rsid w:val="008B6804"/>
    <w:rsid w:val="008B6A33"/>
    <w:rsid w:val="008B6ABB"/>
    <w:rsid w:val="008B76B4"/>
    <w:rsid w:val="008C0A7B"/>
    <w:rsid w:val="008C3E71"/>
    <w:rsid w:val="008C4731"/>
    <w:rsid w:val="008C4A0F"/>
    <w:rsid w:val="008C5AEF"/>
    <w:rsid w:val="008D15F8"/>
    <w:rsid w:val="008D498E"/>
    <w:rsid w:val="008D5A3A"/>
    <w:rsid w:val="008D7325"/>
    <w:rsid w:val="008D7CD2"/>
    <w:rsid w:val="008E0728"/>
    <w:rsid w:val="008E0795"/>
    <w:rsid w:val="008E2DBC"/>
    <w:rsid w:val="008E3F6A"/>
    <w:rsid w:val="008E470B"/>
    <w:rsid w:val="008E56D1"/>
    <w:rsid w:val="008F20F5"/>
    <w:rsid w:val="008F3678"/>
    <w:rsid w:val="008F3C8B"/>
    <w:rsid w:val="008F623B"/>
    <w:rsid w:val="008F7113"/>
    <w:rsid w:val="00900B99"/>
    <w:rsid w:val="00902147"/>
    <w:rsid w:val="00903C51"/>
    <w:rsid w:val="00905F54"/>
    <w:rsid w:val="00907236"/>
    <w:rsid w:val="0091122F"/>
    <w:rsid w:val="0091258D"/>
    <w:rsid w:val="009152BD"/>
    <w:rsid w:val="00915E5E"/>
    <w:rsid w:val="00916365"/>
    <w:rsid w:val="009163F0"/>
    <w:rsid w:val="00916E2A"/>
    <w:rsid w:val="00917E87"/>
    <w:rsid w:val="0092042E"/>
    <w:rsid w:val="00921D21"/>
    <w:rsid w:val="00923FF0"/>
    <w:rsid w:val="00932CEE"/>
    <w:rsid w:val="009360F2"/>
    <w:rsid w:val="0093727F"/>
    <w:rsid w:val="00940689"/>
    <w:rsid w:val="009426B5"/>
    <w:rsid w:val="009427B4"/>
    <w:rsid w:val="00942E7E"/>
    <w:rsid w:val="0094494B"/>
    <w:rsid w:val="00944BCB"/>
    <w:rsid w:val="00944EDD"/>
    <w:rsid w:val="00945148"/>
    <w:rsid w:val="00945AA8"/>
    <w:rsid w:val="0094699A"/>
    <w:rsid w:val="00947578"/>
    <w:rsid w:val="00950FAA"/>
    <w:rsid w:val="009517B1"/>
    <w:rsid w:val="009520F0"/>
    <w:rsid w:val="009544A9"/>
    <w:rsid w:val="009559B6"/>
    <w:rsid w:val="0095690F"/>
    <w:rsid w:val="00957AF6"/>
    <w:rsid w:val="00957D42"/>
    <w:rsid w:val="00960000"/>
    <w:rsid w:val="00960B6E"/>
    <w:rsid w:val="009614DC"/>
    <w:rsid w:val="00961A14"/>
    <w:rsid w:val="00965350"/>
    <w:rsid w:val="0096625C"/>
    <w:rsid w:val="009663C2"/>
    <w:rsid w:val="00966C5F"/>
    <w:rsid w:val="00970594"/>
    <w:rsid w:val="00970E33"/>
    <w:rsid w:val="009712CA"/>
    <w:rsid w:val="009722F0"/>
    <w:rsid w:val="009760CC"/>
    <w:rsid w:val="00977366"/>
    <w:rsid w:val="00980E5E"/>
    <w:rsid w:val="00982EB5"/>
    <w:rsid w:val="0098346D"/>
    <w:rsid w:val="009850D9"/>
    <w:rsid w:val="00985860"/>
    <w:rsid w:val="00994871"/>
    <w:rsid w:val="00994CFD"/>
    <w:rsid w:val="009961A9"/>
    <w:rsid w:val="00996564"/>
    <w:rsid w:val="00996742"/>
    <w:rsid w:val="00997283"/>
    <w:rsid w:val="009A2818"/>
    <w:rsid w:val="009A2EE4"/>
    <w:rsid w:val="009A4214"/>
    <w:rsid w:val="009A55E2"/>
    <w:rsid w:val="009B0246"/>
    <w:rsid w:val="009B0294"/>
    <w:rsid w:val="009B0521"/>
    <w:rsid w:val="009B0858"/>
    <w:rsid w:val="009B0A3A"/>
    <w:rsid w:val="009B251E"/>
    <w:rsid w:val="009B3259"/>
    <w:rsid w:val="009B46B5"/>
    <w:rsid w:val="009B4D26"/>
    <w:rsid w:val="009B5194"/>
    <w:rsid w:val="009B572B"/>
    <w:rsid w:val="009B74B5"/>
    <w:rsid w:val="009C079E"/>
    <w:rsid w:val="009C25FD"/>
    <w:rsid w:val="009C6304"/>
    <w:rsid w:val="009D1C9E"/>
    <w:rsid w:val="009D3D76"/>
    <w:rsid w:val="009D4CC2"/>
    <w:rsid w:val="009D5C76"/>
    <w:rsid w:val="009D6E21"/>
    <w:rsid w:val="009E0E4D"/>
    <w:rsid w:val="009E1767"/>
    <w:rsid w:val="009E430B"/>
    <w:rsid w:val="009E7DBA"/>
    <w:rsid w:val="009F185B"/>
    <w:rsid w:val="009F1BEA"/>
    <w:rsid w:val="009F1D4D"/>
    <w:rsid w:val="009F30AA"/>
    <w:rsid w:val="009F3F8F"/>
    <w:rsid w:val="009F4D2F"/>
    <w:rsid w:val="00A01A14"/>
    <w:rsid w:val="00A02088"/>
    <w:rsid w:val="00A0251F"/>
    <w:rsid w:val="00A04082"/>
    <w:rsid w:val="00A05021"/>
    <w:rsid w:val="00A05721"/>
    <w:rsid w:val="00A07D6C"/>
    <w:rsid w:val="00A1188E"/>
    <w:rsid w:val="00A121F9"/>
    <w:rsid w:val="00A12BEF"/>
    <w:rsid w:val="00A1329F"/>
    <w:rsid w:val="00A135EC"/>
    <w:rsid w:val="00A138C6"/>
    <w:rsid w:val="00A13EDF"/>
    <w:rsid w:val="00A145EA"/>
    <w:rsid w:val="00A156BB"/>
    <w:rsid w:val="00A1791B"/>
    <w:rsid w:val="00A20A69"/>
    <w:rsid w:val="00A21D77"/>
    <w:rsid w:val="00A23DC9"/>
    <w:rsid w:val="00A2623D"/>
    <w:rsid w:val="00A2675D"/>
    <w:rsid w:val="00A26E4F"/>
    <w:rsid w:val="00A30FDC"/>
    <w:rsid w:val="00A31A9E"/>
    <w:rsid w:val="00A31FD2"/>
    <w:rsid w:val="00A34D32"/>
    <w:rsid w:val="00A350BA"/>
    <w:rsid w:val="00A36679"/>
    <w:rsid w:val="00A378F7"/>
    <w:rsid w:val="00A426A8"/>
    <w:rsid w:val="00A44674"/>
    <w:rsid w:val="00A478FD"/>
    <w:rsid w:val="00A47971"/>
    <w:rsid w:val="00A47C66"/>
    <w:rsid w:val="00A54BD9"/>
    <w:rsid w:val="00A56401"/>
    <w:rsid w:val="00A56E8A"/>
    <w:rsid w:val="00A57914"/>
    <w:rsid w:val="00A57D26"/>
    <w:rsid w:val="00A57EBA"/>
    <w:rsid w:val="00A60D90"/>
    <w:rsid w:val="00A639F3"/>
    <w:rsid w:val="00A64506"/>
    <w:rsid w:val="00A66230"/>
    <w:rsid w:val="00A66D1F"/>
    <w:rsid w:val="00A6758F"/>
    <w:rsid w:val="00A70955"/>
    <w:rsid w:val="00A71143"/>
    <w:rsid w:val="00A71167"/>
    <w:rsid w:val="00A71656"/>
    <w:rsid w:val="00A71C33"/>
    <w:rsid w:val="00A724D1"/>
    <w:rsid w:val="00A74459"/>
    <w:rsid w:val="00A80211"/>
    <w:rsid w:val="00A80650"/>
    <w:rsid w:val="00A824FF"/>
    <w:rsid w:val="00A84D65"/>
    <w:rsid w:val="00A85678"/>
    <w:rsid w:val="00A86AF0"/>
    <w:rsid w:val="00A8784F"/>
    <w:rsid w:val="00A905F3"/>
    <w:rsid w:val="00A9251B"/>
    <w:rsid w:val="00A927B3"/>
    <w:rsid w:val="00A9401C"/>
    <w:rsid w:val="00A944B9"/>
    <w:rsid w:val="00A95009"/>
    <w:rsid w:val="00AA05F3"/>
    <w:rsid w:val="00AA35F2"/>
    <w:rsid w:val="00AA4975"/>
    <w:rsid w:val="00AA63C4"/>
    <w:rsid w:val="00AA65A0"/>
    <w:rsid w:val="00AA6AA8"/>
    <w:rsid w:val="00AB2687"/>
    <w:rsid w:val="00AB3D57"/>
    <w:rsid w:val="00AB55F1"/>
    <w:rsid w:val="00AB6ECD"/>
    <w:rsid w:val="00AB7462"/>
    <w:rsid w:val="00AB7889"/>
    <w:rsid w:val="00AB794B"/>
    <w:rsid w:val="00AC16BD"/>
    <w:rsid w:val="00AC2829"/>
    <w:rsid w:val="00AC33CC"/>
    <w:rsid w:val="00AC4997"/>
    <w:rsid w:val="00AC6D40"/>
    <w:rsid w:val="00AC75FE"/>
    <w:rsid w:val="00AD23EB"/>
    <w:rsid w:val="00AD2B93"/>
    <w:rsid w:val="00AD2E70"/>
    <w:rsid w:val="00AD5CB7"/>
    <w:rsid w:val="00AD5E12"/>
    <w:rsid w:val="00AE0077"/>
    <w:rsid w:val="00AE2DAF"/>
    <w:rsid w:val="00AE5E01"/>
    <w:rsid w:val="00AE6B67"/>
    <w:rsid w:val="00AF4581"/>
    <w:rsid w:val="00AF465E"/>
    <w:rsid w:val="00AF4F34"/>
    <w:rsid w:val="00AF5142"/>
    <w:rsid w:val="00AF5664"/>
    <w:rsid w:val="00AF6093"/>
    <w:rsid w:val="00AF7E05"/>
    <w:rsid w:val="00B01688"/>
    <w:rsid w:val="00B02805"/>
    <w:rsid w:val="00B02880"/>
    <w:rsid w:val="00B033A4"/>
    <w:rsid w:val="00B05477"/>
    <w:rsid w:val="00B05F20"/>
    <w:rsid w:val="00B06425"/>
    <w:rsid w:val="00B0651A"/>
    <w:rsid w:val="00B1057E"/>
    <w:rsid w:val="00B1303C"/>
    <w:rsid w:val="00B15AB3"/>
    <w:rsid w:val="00B17A37"/>
    <w:rsid w:val="00B20E07"/>
    <w:rsid w:val="00B21AC3"/>
    <w:rsid w:val="00B2219E"/>
    <w:rsid w:val="00B22CF9"/>
    <w:rsid w:val="00B23CE8"/>
    <w:rsid w:val="00B24860"/>
    <w:rsid w:val="00B25463"/>
    <w:rsid w:val="00B25DE0"/>
    <w:rsid w:val="00B26765"/>
    <w:rsid w:val="00B30FA8"/>
    <w:rsid w:val="00B3207B"/>
    <w:rsid w:val="00B3489D"/>
    <w:rsid w:val="00B3767A"/>
    <w:rsid w:val="00B37FCE"/>
    <w:rsid w:val="00B40B4E"/>
    <w:rsid w:val="00B4219F"/>
    <w:rsid w:val="00B42387"/>
    <w:rsid w:val="00B4410C"/>
    <w:rsid w:val="00B45332"/>
    <w:rsid w:val="00B46906"/>
    <w:rsid w:val="00B4769F"/>
    <w:rsid w:val="00B47C0E"/>
    <w:rsid w:val="00B47C6C"/>
    <w:rsid w:val="00B47D60"/>
    <w:rsid w:val="00B50EC5"/>
    <w:rsid w:val="00B5100C"/>
    <w:rsid w:val="00B513F9"/>
    <w:rsid w:val="00B5258B"/>
    <w:rsid w:val="00B52ECD"/>
    <w:rsid w:val="00B5381B"/>
    <w:rsid w:val="00B53E1D"/>
    <w:rsid w:val="00B57F46"/>
    <w:rsid w:val="00B57F8E"/>
    <w:rsid w:val="00B6045E"/>
    <w:rsid w:val="00B61185"/>
    <w:rsid w:val="00B61870"/>
    <w:rsid w:val="00B6379D"/>
    <w:rsid w:val="00B63FB0"/>
    <w:rsid w:val="00B649E2"/>
    <w:rsid w:val="00B64ADE"/>
    <w:rsid w:val="00B64EBC"/>
    <w:rsid w:val="00B65025"/>
    <w:rsid w:val="00B6745C"/>
    <w:rsid w:val="00B70C1D"/>
    <w:rsid w:val="00B70D3F"/>
    <w:rsid w:val="00B740DA"/>
    <w:rsid w:val="00B74AB3"/>
    <w:rsid w:val="00B753AE"/>
    <w:rsid w:val="00B80894"/>
    <w:rsid w:val="00B80A47"/>
    <w:rsid w:val="00B80B35"/>
    <w:rsid w:val="00B816C3"/>
    <w:rsid w:val="00B81A65"/>
    <w:rsid w:val="00B82980"/>
    <w:rsid w:val="00B82CF6"/>
    <w:rsid w:val="00B841FE"/>
    <w:rsid w:val="00B844A5"/>
    <w:rsid w:val="00B85D47"/>
    <w:rsid w:val="00B872B9"/>
    <w:rsid w:val="00B87735"/>
    <w:rsid w:val="00B87964"/>
    <w:rsid w:val="00B90ABC"/>
    <w:rsid w:val="00B94E3C"/>
    <w:rsid w:val="00B9536C"/>
    <w:rsid w:val="00B9587C"/>
    <w:rsid w:val="00B9663D"/>
    <w:rsid w:val="00B97FAD"/>
    <w:rsid w:val="00BA17C7"/>
    <w:rsid w:val="00BA196E"/>
    <w:rsid w:val="00BA2040"/>
    <w:rsid w:val="00BA3B82"/>
    <w:rsid w:val="00BA6856"/>
    <w:rsid w:val="00BA720C"/>
    <w:rsid w:val="00BA79F2"/>
    <w:rsid w:val="00BB1BE9"/>
    <w:rsid w:val="00BB2C5C"/>
    <w:rsid w:val="00BB3164"/>
    <w:rsid w:val="00BB48EA"/>
    <w:rsid w:val="00BB5B05"/>
    <w:rsid w:val="00BB5D9A"/>
    <w:rsid w:val="00BC0196"/>
    <w:rsid w:val="00BC01C8"/>
    <w:rsid w:val="00BC1DC6"/>
    <w:rsid w:val="00BC267C"/>
    <w:rsid w:val="00BC3BF3"/>
    <w:rsid w:val="00BC43CB"/>
    <w:rsid w:val="00BC4878"/>
    <w:rsid w:val="00BC49B6"/>
    <w:rsid w:val="00BC4B53"/>
    <w:rsid w:val="00BC6181"/>
    <w:rsid w:val="00BC7CCD"/>
    <w:rsid w:val="00BD0771"/>
    <w:rsid w:val="00BD2A0C"/>
    <w:rsid w:val="00BD2CE8"/>
    <w:rsid w:val="00BD7F2C"/>
    <w:rsid w:val="00BE04EC"/>
    <w:rsid w:val="00BE2943"/>
    <w:rsid w:val="00BE2C9A"/>
    <w:rsid w:val="00BE2CF1"/>
    <w:rsid w:val="00BE3C2E"/>
    <w:rsid w:val="00BE6062"/>
    <w:rsid w:val="00BE60B9"/>
    <w:rsid w:val="00BE6AB0"/>
    <w:rsid w:val="00BF1179"/>
    <w:rsid w:val="00BF2E71"/>
    <w:rsid w:val="00BF3634"/>
    <w:rsid w:val="00BF44CB"/>
    <w:rsid w:val="00BF65B4"/>
    <w:rsid w:val="00BF6F01"/>
    <w:rsid w:val="00C02B55"/>
    <w:rsid w:val="00C03131"/>
    <w:rsid w:val="00C03ACF"/>
    <w:rsid w:val="00C06BDC"/>
    <w:rsid w:val="00C11BE9"/>
    <w:rsid w:val="00C126C1"/>
    <w:rsid w:val="00C1295E"/>
    <w:rsid w:val="00C158B5"/>
    <w:rsid w:val="00C16A86"/>
    <w:rsid w:val="00C17789"/>
    <w:rsid w:val="00C177B0"/>
    <w:rsid w:val="00C2073B"/>
    <w:rsid w:val="00C23E63"/>
    <w:rsid w:val="00C24A7F"/>
    <w:rsid w:val="00C24EDE"/>
    <w:rsid w:val="00C25CBA"/>
    <w:rsid w:val="00C26E4E"/>
    <w:rsid w:val="00C3128B"/>
    <w:rsid w:val="00C31636"/>
    <w:rsid w:val="00C31ED8"/>
    <w:rsid w:val="00C33ADA"/>
    <w:rsid w:val="00C340A4"/>
    <w:rsid w:val="00C34BBD"/>
    <w:rsid w:val="00C350DB"/>
    <w:rsid w:val="00C36AD0"/>
    <w:rsid w:val="00C37D2F"/>
    <w:rsid w:val="00C4124A"/>
    <w:rsid w:val="00C41ECE"/>
    <w:rsid w:val="00C42E23"/>
    <w:rsid w:val="00C42FB1"/>
    <w:rsid w:val="00C456ED"/>
    <w:rsid w:val="00C45C95"/>
    <w:rsid w:val="00C46616"/>
    <w:rsid w:val="00C46F0C"/>
    <w:rsid w:val="00C502C3"/>
    <w:rsid w:val="00C50A02"/>
    <w:rsid w:val="00C50A42"/>
    <w:rsid w:val="00C50F26"/>
    <w:rsid w:val="00C531FC"/>
    <w:rsid w:val="00C53AA8"/>
    <w:rsid w:val="00C5567E"/>
    <w:rsid w:val="00C62F57"/>
    <w:rsid w:val="00C64AD6"/>
    <w:rsid w:val="00C65E9F"/>
    <w:rsid w:val="00C666E3"/>
    <w:rsid w:val="00C66701"/>
    <w:rsid w:val="00C66D7E"/>
    <w:rsid w:val="00C670BC"/>
    <w:rsid w:val="00C71013"/>
    <w:rsid w:val="00C71EB6"/>
    <w:rsid w:val="00C72B7A"/>
    <w:rsid w:val="00C73575"/>
    <w:rsid w:val="00C73A7A"/>
    <w:rsid w:val="00C74463"/>
    <w:rsid w:val="00C74CEE"/>
    <w:rsid w:val="00C75B02"/>
    <w:rsid w:val="00C77E72"/>
    <w:rsid w:val="00C80092"/>
    <w:rsid w:val="00C80A79"/>
    <w:rsid w:val="00C81849"/>
    <w:rsid w:val="00C82981"/>
    <w:rsid w:val="00C82CB0"/>
    <w:rsid w:val="00C83294"/>
    <w:rsid w:val="00C83802"/>
    <w:rsid w:val="00C84C95"/>
    <w:rsid w:val="00C84D77"/>
    <w:rsid w:val="00C86089"/>
    <w:rsid w:val="00C86C82"/>
    <w:rsid w:val="00C87859"/>
    <w:rsid w:val="00C9224C"/>
    <w:rsid w:val="00C92752"/>
    <w:rsid w:val="00C94223"/>
    <w:rsid w:val="00C9532E"/>
    <w:rsid w:val="00C95BC1"/>
    <w:rsid w:val="00C96435"/>
    <w:rsid w:val="00CA13C7"/>
    <w:rsid w:val="00CA2085"/>
    <w:rsid w:val="00CA39DA"/>
    <w:rsid w:val="00CA3A46"/>
    <w:rsid w:val="00CA3E40"/>
    <w:rsid w:val="00CA489E"/>
    <w:rsid w:val="00CA4A72"/>
    <w:rsid w:val="00CA61E7"/>
    <w:rsid w:val="00CA7734"/>
    <w:rsid w:val="00CA7C9D"/>
    <w:rsid w:val="00CB06ED"/>
    <w:rsid w:val="00CB0911"/>
    <w:rsid w:val="00CB2C53"/>
    <w:rsid w:val="00CB2DD5"/>
    <w:rsid w:val="00CB3116"/>
    <w:rsid w:val="00CB3445"/>
    <w:rsid w:val="00CB522A"/>
    <w:rsid w:val="00CB6176"/>
    <w:rsid w:val="00CB78E6"/>
    <w:rsid w:val="00CC0CB7"/>
    <w:rsid w:val="00CC1D66"/>
    <w:rsid w:val="00CC38C6"/>
    <w:rsid w:val="00CC3994"/>
    <w:rsid w:val="00CC521E"/>
    <w:rsid w:val="00CC5C99"/>
    <w:rsid w:val="00CC657E"/>
    <w:rsid w:val="00CD058B"/>
    <w:rsid w:val="00CD118C"/>
    <w:rsid w:val="00CD3353"/>
    <w:rsid w:val="00CD3FAF"/>
    <w:rsid w:val="00CD5637"/>
    <w:rsid w:val="00CD6061"/>
    <w:rsid w:val="00CD6AA0"/>
    <w:rsid w:val="00CE0594"/>
    <w:rsid w:val="00CE06C5"/>
    <w:rsid w:val="00CE19CF"/>
    <w:rsid w:val="00CE20C1"/>
    <w:rsid w:val="00CE2D2A"/>
    <w:rsid w:val="00CE3805"/>
    <w:rsid w:val="00CE3D93"/>
    <w:rsid w:val="00CE40BA"/>
    <w:rsid w:val="00CE4516"/>
    <w:rsid w:val="00CE4629"/>
    <w:rsid w:val="00CE696F"/>
    <w:rsid w:val="00CE7881"/>
    <w:rsid w:val="00CF0DA3"/>
    <w:rsid w:val="00CF1634"/>
    <w:rsid w:val="00CF49AF"/>
    <w:rsid w:val="00CF5A33"/>
    <w:rsid w:val="00CF5F77"/>
    <w:rsid w:val="00D0146B"/>
    <w:rsid w:val="00D01E0F"/>
    <w:rsid w:val="00D02B1A"/>
    <w:rsid w:val="00D03C85"/>
    <w:rsid w:val="00D06266"/>
    <w:rsid w:val="00D07106"/>
    <w:rsid w:val="00D075C3"/>
    <w:rsid w:val="00D1012B"/>
    <w:rsid w:val="00D10EDC"/>
    <w:rsid w:val="00D12469"/>
    <w:rsid w:val="00D15052"/>
    <w:rsid w:val="00D15115"/>
    <w:rsid w:val="00D15311"/>
    <w:rsid w:val="00D15AD2"/>
    <w:rsid w:val="00D22EBB"/>
    <w:rsid w:val="00D244B0"/>
    <w:rsid w:val="00D2472F"/>
    <w:rsid w:val="00D24C28"/>
    <w:rsid w:val="00D24E1E"/>
    <w:rsid w:val="00D25403"/>
    <w:rsid w:val="00D25A0A"/>
    <w:rsid w:val="00D26DD9"/>
    <w:rsid w:val="00D27373"/>
    <w:rsid w:val="00D30CF9"/>
    <w:rsid w:val="00D336C6"/>
    <w:rsid w:val="00D35632"/>
    <w:rsid w:val="00D35869"/>
    <w:rsid w:val="00D35F7B"/>
    <w:rsid w:val="00D37390"/>
    <w:rsid w:val="00D418ED"/>
    <w:rsid w:val="00D43B1C"/>
    <w:rsid w:val="00D472CD"/>
    <w:rsid w:val="00D502BF"/>
    <w:rsid w:val="00D50972"/>
    <w:rsid w:val="00D5121E"/>
    <w:rsid w:val="00D52C9F"/>
    <w:rsid w:val="00D5605E"/>
    <w:rsid w:val="00D578B0"/>
    <w:rsid w:val="00D60186"/>
    <w:rsid w:val="00D601B9"/>
    <w:rsid w:val="00D6069A"/>
    <w:rsid w:val="00D6186F"/>
    <w:rsid w:val="00D63F09"/>
    <w:rsid w:val="00D64E8D"/>
    <w:rsid w:val="00D65E71"/>
    <w:rsid w:val="00D67E53"/>
    <w:rsid w:val="00D71E1F"/>
    <w:rsid w:val="00D73465"/>
    <w:rsid w:val="00D7568B"/>
    <w:rsid w:val="00D80F70"/>
    <w:rsid w:val="00D818FD"/>
    <w:rsid w:val="00D82CD1"/>
    <w:rsid w:val="00D835DC"/>
    <w:rsid w:val="00D83D76"/>
    <w:rsid w:val="00D84A02"/>
    <w:rsid w:val="00D85325"/>
    <w:rsid w:val="00D85746"/>
    <w:rsid w:val="00D87BEC"/>
    <w:rsid w:val="00D87DCD"/>
    <w:rsid w:val="00D916D4"/>
    <w:rsid w:val="00D91EE2"/>
    <w:rsid w:val="00D92816"/>
    <w:rsid w:val="00DA05F6"/>
    <w:rsid w:val="00DA28A3"/>
    <w:rsid w:val="00DA51ED"/>
    <w:rsid w:val="00DA5B12"/>
    <w:rsid w:val="00DB0107"/>
    <w:rsid w:val="00DB0A7F"/>
    <w:rsid w:val="00DB0CF3"/>
    <w:rsid w:val="00DB232E"/>
    <w:rsid w:val="00DB28FC"/>
    <w:rsid w:val="00DB60D7"/>
    <w:rsid w:val="00DB6165"/>
    <w:rsid w:val="00DB6AB7"/>
    <w:rsid w:val="00DB6BC6"/>
    <w:rsid w:val="00DC1021"/>
    <w:rsid w:val="00DC1AA9"/>
    <w:rsid w:val="00DC3189"/>
    <w:rsid w:val="00DC3D5B"/>
    <w:rsid w:val="00DC4C2D"/>
    <w:rsid w:val="00DC52D6"/>
    <w:rsid w:val="00DC62D1"/>
    <w:rsid w:val="00DC699E"/>
    <w:rsid w:val="00DC742E"/>
    <w:rsid w:val="00DC7B4C"/>
    <w:rsid w:val="00DD0344"/>
    <w:rsid w:val="00DD038F"/>
    <w:rsid w:val="00DD120C"/>
    <w:rsid w:val="00DD129D"/>
    <w:rsid w:val="00DD29E0"/>
    <w:rsid w:val="00DD36CC"/>
    <w:rsid w:val="00DD395A"/>
    <w:rsid w:val="00DD45D1"/>
    <w:rsid w:val="00DD4876"/>
    <w:rsid w:val="00DD5C03"/>
    <w:rsid w:val="00DD5EAE"/>
    <w:rsid w:val="00DD5EE4"/>
    <w:rsid w:val="00DD6251"/>
    <w:rsid w:val="00DD6766"/>
    <w:rsid w:val="00DE1340"/>
    <w:rsid w:val="00DE1BB5"/>
    <w:rsid w:val="00DE1D68"/>
    <w:rsid w:val="00DE403D"/>
    <w:rsid w:val="00DE473A"/>
    <w:rsid w:val="00DE5088"/>
    <w:rsid w:val="00DE551A"/>
    <w:rsid w:val="00DE6B67"/>
    <w:rsid w:val="00DE6B6F"/>
    <w:rsid w:val="00DF29E1"/>
    <w:rsid w:val="00DF3B11"/>
    <w:rsid w:val="00DF4A33"/>
    <w:rsid w:val="00DF52BA"/>
    <w:rsid w:val="00DF6E7F"/>
    <w:rsid w:val="00DF7702"/>
    <w:rsid w:val="00E00BFB"/>
    <w:rsid w:val="00E01EBB"/>
    <w:rsid w:val="00E025DB"/>
    <w:rsid w:val="00E02DFF"/>
    <w:rsid w:val="00E0347C"/>
    <w:rsid w:val="00E03C18"/>
    <w:rsid w:val="00E04C0C"/>
    <w:rsid w:val="00E07B4F"/>
    <w:rsid w:val="00E11289"/>
    <w:rsid w:val="00E11704"/>
    <w:rsid w:val="00E13973"/>
    <w:rsid w:val="00E1527A"/>
    <w:rsid w:val="00E1534F"/>
    <w:rsid w:val="00E16E6D"/>
    <w:rsid w:val="00E2038B"/>
    <w:rsid w:val="00E20525"/>
    <w:rsid w:val="00E23016"/>
    <w:rsid w:val="00E236C8"/>
    <w:rsid w:val="00E23790"/>
    <w:rsid w:val="00E23E02"/>
    <w:rsid w:val="00E2434C"/>
    <w:rsid w:val="00E24C1A"/>
    <w:rsid w:val="00E2538B"/>
    <w:rsid w:val="00E26F1E"/>
    <w:rsid w:val="00E31217"/>
    <w:rsid w:val="00E3141B"/>
    <w:rsid w:val="00E3301C"/>
    <w:rsid w:val="00E33435"/>
    <w:rsid w:val="00E334B8"/>
    <w:rsid w:val="00E34479"/>
    <w:rsid w:val="00E36ED0"/>
    <w:rsid w:val="00E40E1F"/>
    <w:rsid w:val="00E43D63"/>
    <w:rsid w:val="00E50221"/>
    <w:rsid w:val="00E51F87"/>
    <w:rsid w:val="00E52C68"/>
    <w:rsid w:val="00E532C1"/>
    <w:rsid w:val="00E532FF"/>
    <w:rsid w:val="00E54424"/>
    <w:rsid w:val="00E61350"/>
    <w:rsid w:val="00E6305D"/>
    <w:rsid w:val="00E6320B"/>
    <w:rsid w:val="00E63865"/>
    <w:rsid w:val="00E64CAA"/>
    <w:rsid w:val="00E6540C"/>
    <w:rsid w:val="00E6601A"/>
    <w:rsid w:val="00E66A7C"/>
    <w:rsid w:val="00E708C5"/>
    <w:rsid w:val="00E70B15"/>
    <w:rsid w:val="00E70E5B"/>
    <w:rsid w:val="00E71B55"/>
    <w:rsid w:val="00E72342"/>
    <w:rsid w:val="00E73442"/>
    <w:rsid w:val="00E75514"/>
    <w:rsid w:val="00E77EAC"/>
    <w:rsid w:val="00E80E0B"/>
    <w:rsid w:val="00E8202D"/>
    <w:rsid w:val="00E83AC1"/>
    <w:rsid w:val="00E854BA"/>
    <w:rsid w:val="00E8597D"/>
    <w:rsid w:val="00E900FF"/>
    <w:rsid w:val="00E9022F"/>
    <w:rsid w:val="00E912B3"/>
    <w:rsid w:val="00E922F3"/>
    <w:rsid w:val="00E92CCC"/>
    <w:rsid w:val="00E9450C"/>
    <w:rsid w:val="00E9483D"/>
    <w:rsid w:val="00E950CB"/>
    <w:rsid w:val="00E95934"/>
    <w:rsid w:val="00E966FE"/>
    <w:rsid w:val="00E97B3A"/>
    <w:rsid w:val="00E97BA0"/>
    <w:rsid w:val="00EA0846"/>
    <w:rsid w:val="00EA178B"/>
    <w:rsid w:val="00EA19D5"/>
    <w:rsid w:val="00EA45C5"/>
    <w:rsid w:val="00EB0402"/>
    <w:rsid w:val="00EB2E54"/>
    <w:rsid w:val="00EB3DC3"/>
    <w:rsid w:val="00EB447F"/>
    <w:rsid w:val="00EB4D2E"/>
    <w:rsid w:val="00EB54BA"/>
    <w:rsid w:val="00EB55DB"/>
    <w:rsid w:val="00EC0370"/>
    <w:rsid w:val="00EC18FE"/>
    <w:rsid w:val="00EC28A5"/>
    <w:rsid w:val="00EC32B3"/>
    <w:rsid w:val="00EC3738"/>
    <w:rsid w:val="00EC4428"/>
    <w:rsid w:val="00EC7519"/>
    <w:rsid w:val="00ED00F4"/>
    <w:rsid w:val="00ED0822"/>
    <w:rsid w:val="00ED1418"/>
    <w:rsid w:val="00ED1565"/>
    <w:rsid w:val="00ED1926"/>
    <w:rsid w:val="00ED2C59"/>
    <w:rsid w:val="00ED4A0E"/>
    <w:rsid w:val="00ED4C9E"/>
    <w:rsid w:val="00ED656B"/>
    <w:rsid w:val="00EE26A4"/>
    <w:rsid w:val="00EE2B56"/>
    <w:rsid w:val="00EE32E1"/>
    <w:rsid w:val="00EE3507"/>
    <w:rsid w:val="00EE5676"/>
    <w:rsid w:val="00EE5904"/>
    <w:rsid w:val="00EE6E4F"/>
    <w:rsid w:val="00EE7026"/>
    <w:rsid w:val="00EE7151"/>
    <w:rsid w:val="00EE72A2"/>
    <w:rsid w:val="00EF196E"/>
    <w:rsid w:val="00EF385D"/>
    <w:rsid w:val="00EF5802"/>
    <w:rsid w:val="00EF5AE8"/>
    <w:rsid w:val="00EF5F71"/>
    <w:rsid w:val="00EF68D1"/>
    <w:rsid w:val="00EF6FE4"/>
    <w:rsid w:val="00F00604"/>
    <w:rsid w:val="00F00D7D"/>
    <w:rsid w:val="00F01B20"/>
    <w:rsid w:val="00F024AA"/>
    <w:rsid w:val="00F0297E"/>
    <w:rsid w:val="00F03ECE"/>
    <w:rsid w:val="00F044CC"/>
    <w:rsid w:val="00F0527E"/>
    <w:rsid w:val="00F052D1"/>
    <w:rsid w:val="00F07843"/>
    <w:rsid w:val="00F0784A"/>
    <w:rsid w:val="00F11EA5"/>
    <w:rsid w:val="00F122BE"/>
    <w:rsid w:val="00F126F5"/>
    <w:rsid w:val="00F12A88"/>
    <w:rsid w:val="00F135F0"/>
    <w:rsid w:val="00F137D0"/>
    <w:rsid w:val="00F13B87"/>
    <w:rsid w:val="00F16290"/>
    <w:rsid w:val="00F16408"/>
    <w:rsid w:val="00F16899"/>
    <w:rsid w:val="00F172C0"/>
    <w:rsid w:val="00F20882"/>
    <w:rsid w:val="00F211CE"/>
    <w:rsid w:val="00F230BE"/>
    <w:rsid w:val="00F2316F"/>
    <w:rsid w:val="00F25310"/>
    <w:rsid w:val="00F26935"/>
    <w:rsid w:val="00F26EC2"/>
    <w:rsid w:val="00F27F08"/>
    <w:rsid w:val="00F30037"/>
    <w:rsid w:val="00F33EFE"/>
    <w:rsid w:val="00F35C9F"/>
    <w:rsid w:val="00F35D59"/>
    <w:rsid w:val="00F36483"/>
    <w:rsid w:val="00F36861"/>
    <w:rsid w:val="00F406E9"/>
    <w:rsid w:val="00F40B2A"/>
    <w:rsid w:val="00F40E38"/>
    <w:rsid w:val="00F411BB"/>
    <w:rsid w:val="00F41309"/>
    <w:rsid w:val="00F4188C"/>
    <w:rsid w:val="00F41AE5"/>
    <w:rsid w:val="00F4240D"/>
    <w:rsid w:val="00F42A30"/>
    <w:rsid w:val="00F42CA5"/>
    <w:rsid w:val="00F434CD"/>
    <w:rsid w:val="00F443DA"/>
    <w:rsid w:val="00F44FC3"/>
    <w:rsid w:val="00F474C1"/>
    <w:rsid w:val="00F474DE"/>
    <w:rsid w:val="00F51D14"/>
    <w:rsid w:val="00F53072"/>
    <w:rsid w:val="00F543AE"/>
    <w:rsid w:val="00F55699"/>
    <w:rsid w:val="00F55B21"/>
    <w:rsid w:val="00F5726B"/>
    <w:rsid w:val="00F60BAC"/>
    <w:rsid w:val="00F60CEB"/>
    <w:rsid w:val="00F6162F"/>
    <w:rsid w:val="00F62927"/>
    <w:rsid w:val="00F63E46"/>
    <w:rsid w:val="00F64193"/>
    <w:rsid w:val="00F7038C"/>
    <w:rsid w:val="00F71437"/>
    <w:rsid w:val="00F72875"/>
    <w:rsid w:val="00F72917"/>
    <w:rsid w:val="00F742E4"/>
    <w:rsid w:val="00F743C3"/>
    <w:rsid w:val="00F75774"/>
    <w:rsid w:val="00F76151"/>
    <w:rsid w:val="00F7731B"/>
    <w:rsid w:val="00F80412"/>
    <w:rsid w:val="00F8186A"/>
    <w:rsid w:val="00F82140"/>
    <w:rsid w:val="00F824A0"/>
    <w:rsid w:val="00F85C69"/>
    <w:rsid w:val="00F86470"/>
    <w:rsid w:val="00F90CBF"/>
    <w:rsid w:val="00F910BA"/>
    <w:rsid w:val="00F9156E"/>
    <w:rsid w:val="00F9196D"/>
    <w:rsid w:val="00F96281"/>
    <w:rsid w:val="00F96BCA"/>
    <w:rsid w:val="00F97E9A"/>
    <w:rsid w:val="00FA2BAF"/>
    <w:rsid w:val="00FA393E"/>
    <w:rsid w:val="00FA47CA"/>
    <w:rsid w:val="00FA5B34"/>
    <w:rsid w:val="00FA78CD"/>
    <w:rsid w:val="00FA7A66"/>
    <w:rsid w:val="00FB13AE"/>
    <w:rsid w:val="00FB13E5"/>
    <w:rsid w:val="00FB5DD9"/>
    <w:rsid w:val="00FB62AA"/>
    <w:rsid w:val="00FC060D"/>
    <w:rsid w:val="00FC0CD6"/>
    <w:rsid w:val="00FC10F3"/>
    <w:rsid w:val="00FC1F49"/>
    <w:rsid w:val="00FC655A"/>
    <w:rsid w:val="00FC6586"/>
    <w:rsid w:val="00FC77D7"/>
    <w:rsid w:val="00FD0444"/>
    <w:rsid w:val="00FD0ECA"/>
    <w:rsid w:val="00FD11BA"/>
    <w:rsid w:val="00FD15CC"/>
    <w:rsid w:val="00FD1613"/>
    <w:rsid w:val="00FD1817"/>
    <w:rsid w:val="00FD33C6"/>
    <w:rsid w:val="00FD43EF"/>
    <w:rsid w:val="00FD5356"/>
    <w:rsid w:val="00FD5548"/>
    <w:rsid w:val="00FD6884"/>
    <w:rsid w:val="00FD6F4C"/>
    <w:rsid w:val="00FE0E60"/>
    <w:rsid w:val="00FE1922"/>
    <w:rsid w:val="00FE2123"/>
    <w:rsid w:val="00FE235D"/>
    <w:rsid w:val="00FE2850"/>
    <w:rsid w:val="00FE3A68"/>
    <w:rsid w:val="00FE680F"/>
    <w:rsid w:val="00FF0026"/>
    <w:rsid w:val="00FF0634"/>
    <w:rsid w:val="00FF0C05"/>
    <w:rsid w:val="00FF12FD"/>
    <w:rsid w:val="00FF2352"/>
    <w:rsid w:val="00FF2BD7"/>
    <w:rsid w:val="00FF56A6"/>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6B1F"/>
  <w15:chartTrackingRefBased/>
  <w15:docId w15:val="{9CC7CED6-A2C1-44C1-B87D-4C4B9182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F9"/>
    <w:rPr>
      <w:rFonts w:eastAsiaTheme="minorHAnsi"/>
    </w:rPr>
  </w:style>
  <w:style w:type="paragraph" w:styleId="Heading1">
    <w:name w:val="heading 1"/>
    <w:basedOn w:val="ListParagraph"/>
    <w:next w:val="Normal"/>
    <w:link w:val="Heading1Char"/>
    <w:uiPriority w:val="9"/>
    <w:qFormat/>
    <w:rsid w:val="007273B8"/>
    <w:pPr>
      <w:keepNext/>
      <w:keepLines/>
      <w:numPr>
        <w:numId w:val="17"/>
      </w:numPr>
      <w:spacing w:after="0" w:line="360" w:lineRule="auto"/>
      <w:ind w:left="0" w:firstLine="0"/>
      <w:jc w:val="center"/>
      <w:outlineLvl w:val="0"/>
    </w:pPr>
    <w:rPr>
      <w:rFonts w:ascii="Times New Roman" w:hAnsi="Times New Roman" w:cs="Times New Roman"/>
      <w:b/>
      <w:sz w:val="26"/>
      <w:szCs w:val="26"/>
    </w:rPr>
  </w:style>
  <w:style w:type="paragraph" w:styleId="Heading2">
    <w:name w:val="heading 2"/>
    <w:basedOn w:val="Heading1"/>
    <w:next w:val="Normal"/>
    <w:link w:val="Heading2Char"/>
    <w:uiPriority w:val="9"/>
    <w:unhideWhenUsed/>
    <w:qFormat/>
    <w:rsid w:val="00BB5B05"/>
    <w:pPr>
      <w:numPr>
        <w:numId w:val="20"/>
      </w:numPr>
      <w:ind w:left="720" w:hanging="720"/>
      <w:jc w:val="left"/>
      <w:outlineLvl w:val="1"/>
    </w:pPr>
    <w:rPr>
      <w:rFonts w:eastAsia="Calibri"/>
    </w:rPr>
  </w:style>
  <w:style w:type="paragraph" w:styleId="Heading3">
    <w:name w:val="heading 3"/>
    <w:basedOn w:val="TOCH3"/>
    <w:next w:val="Normal"/>
    <w:link w:val="Heading3Char"/>
    <w:uiPriority w:val="9"/>
    <w:unhideWhenUsed/>
    <w:qFormat/>
    <w:rsid w:val="00970E33"/>
    <w:pPr>
      <w:outlineLvl w:val="2"/>
    </w:pPr>
  </w:style>
  <w:style w:type="paragraph" w:styleId="Heading4">
    <w:name w:val="heading 4"/>
    <w:basedOn w:val="ListParagraph"/>
    <w:next w:val="Normal"/>
    <w:link w:val="Heading4Char"/>
    <w:uiPriority w:val="9"/>
    <w:unhideWhenUsed/>
    <w:qFormat/>
    <w:rsid w:val="00970E33"/>
    <w:pPr>
      <w:keepNext/>
      <w:numPr>
        <w:numId w:val="27"/>
      </w:numPr>
      <w:spacing w:after="0" w:line="240" w:lineRule="auto"/>
      <w:outlineLvl w:val="3"/>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2">
    <w:name w:val="TOC H 2"/>
    <w:basedOn w:val="ListParagraph"/>
    <w:link w:val="TOCH2Char"/>
    <w:autoRedefine/>
    <w:qFormat/>
    <w:rsid w:val="003503C3"/>
    <w:pPr>
      <w:numPr>
        <w:numId w:val="2"/>
      </w:numPr>
      <w:contextualSpacing w:val="0"/>
    </w:pPr>
    <w:rPr>
      <w:rFonts w:ascii="Times New Roman Bold" w:hAnsi="Times New Roman Bold"/>
      <w:b/>
      <w:bCs/>
      <w:szCs w:val="26"/>
    </w:rPr>
  </w:style>
  <w:style w:type="character" w:customStyle="1" w:styleId="TOCH2Char">
    <w:name w:val="TOC H 2 Char"/>
    <w:basedOn w:val="DefaultParagraphFont"/>
    <w:link w:val="TOCH2"/>
    <w:rsid w:val="003503C3"/>
    <w:rPr>
      <w:rFonts w:ascii="Times New Roman Bold" w:eastAsia="Times New Roman" w:hAnsi="Times New Roman Bold"/>
      <w:b/>
      <w:bCs/>
      <w:sz w:val="26"/>
      <w:szCs w:val="26"/>
    </w:rPr>
  </w:style>
  <w:style w:type="paragraph" w:styleId="ListParagraph">
    <w:name w:val="List Paragraph"/>
    <w:basedOn w:val="Normal"/>
    <w:link w:val="ListParagraphChar"/>
    <w:uiPriority w:val="34"/>
    <w:qFormat/>
    <w:rsid w:val="003503C3"/>
    <w:pPr>
      <w:ind w:left="720"/>
      <w:contextualSpacing/>
    </w:pPr>
  </w:style>
  <w:style w:type="paragraph" w:customStyle="1" w:styleId="TOCH4">
    <w:name w:val="TOC H 4"/>
    <w:basedOn w:val="Normal"/>
    <w:link w:val="TOCH4Char"/>
    <w:qFormat/>
    <w:rsid w:val="00BF3634"/>
    <w:pPr>
      <w:numPr>
        <w:numId w:val="4"/>
      </w:numPr>
      <w:ind w:left="2160" w:hanging="360"/>
      <w:jc w:val="both"/>
      <w:outlineLvl w:val="2"/>
    </w:pPr>
    <w:rPr>
      <w:bCs/>
      <w:szCs w:val="26"/>
    </w:rPr>
  </w:style>
  <w:style w:type="character" w:customStyle="1" w:styleId="TOCH4Char">
    <w:name w:val="TOC H 4 Char"/>
    <w:basedOn w:val="DefaultParagraphFont"/>
    <w:link w:val="TOCH4"/>
    <w:rsid w:val="00BF3634"/>
    <w:rPr>
      <w:rFonts w:eastAsia="Times New Roman"/>
      <w:bCs/>
      <w:sz w:val="26"/>
      <w:szCs w:val="26"/>
    </w:rPr>
  </w:style>
  <w:style w:type="paragraph" w:customStyle="1" w:styleId="TOCH5">
    <w:name w:val="TOC H 5"/>
    <w:basedOn w:val="TOCH4"/>
    <w:link w:val="TOCH5Char"/>
    <w:autoRedefine/>
    <w:qFormat/>
    <w:rsid w:val="00C94223"/>
    <w:pPr>
      <w:keepNext/>
      <w:numPr>
        <w:numId w:val="6"/>
      </w:numPr>
      <w:spacing w:line="240" w:lineRule="auto"/>
      <w:ind w:left="2520" w:hanging="360"/>
    </w:pPr>
    <w:rPr>
      <w:rFonts w:ascii="Times New Roman Bold" w:hAnsi="Times New Roman Bold"/>
      <w:b/>
      <w:bCs w:val="0"/>
    </w:rPr>
  </w:style>
  <w:style w:type="character" w:customStyle="1" w:styleId="TOCH5Char">
    <w:name w:val="TOC H 5 Char"/>
    <w:basedOn w:val="TOCH4Char"/>
    <w:link w:val="TOCH5"/>
    <w:rsid w:val="00C94223"/>
    <w:rPr>
      <w:rFonts w:ascii="Times New Roman Bold" w:eastAsia="Times New Roman" w:hAnsi="Times New Roman Bold"/>
      <w:b/>
      <w:bCs w:val="0"/>
      <w:sz w:val="26"/>
      <w:szCs w:val="26"/>
    </w:rPr>
  </w:style>
  <w:style w:type="character" w:customStyle="1" w:styleId="Heading1Char">
    <w:name w:val="Heading 1 Char"/>
    <w:basedOn w:val="DefaultParagraphFont"/>
    <w:link w:val="Heading1"/>
    <w:uiPriority w:val="9"/>
    <w:rsid w:val="007273B8"/>
    <w:rPr>
      <w:rFonts w:ascii="Times New Roman" w:eastAsiaTheme="minorHAnsi" w:hAnsi="Times New Roman" w:cs="Times New Roman"/>
      <w:b/>
      <w:sz w:val="26"/>
      <w:szCs w:val="26"/>
    </w:rPr>
  </w:style>
  <w:style w:type="character" w:customStyle="1" w:styleId="Heading3Char">
    <w:name w:val="Heading 3 Char"/>
    <w:basedOn w:val="DefaultParagraphFont"/>
    <w:link w:val="Heading3"/>
    <w:uiPriority w:val="9"/>
    <w:rsid w:val="00970E33"/>
    <w:rPr>
      <w:rFonts w:ascii="Times New Roman" w:eastAsiaTheme="minorHAnsi" w:hAnsi="Times New Roman" w:cs="Times New Roman"/>
      <w:b/>
      <w:sz w:val="26"/>
      <w:szCs w:val="26"/>
    </w:rPr>
  </w:style>
  <w:style w:type="paragraph" w:styleId="Footer">
    <w:name w:val="footer"/>
    <w:basedOn w:val="Normal"/>
    <w:link w:val="FooterChar"/>
    <w:uiPriority w:val="99"/>
    <w:unhideWhenUsed/>
    <w:rsid w:val="00B513F9"/>
    <w:pPr>
      <w:tabs>
        <w:tab w:val="center" w:pos="4680"/>
        <w:tab w:val="right" w:pos="9360"/>
      </w:tabs>
      <w:spacing w:after="0" w:line="240" w:lineRule="auto"/>
      <w:ind w:left="10" w:right="50" w:hanging="10"/>
    </w:pPr>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B513F9"/>
    <w:rPr>
      <w:rFonts w:ascii="Times New Roman" w:hAnsi="Times New Roman" w:cs="Times New Roman"/>
      <w:color w:val="000000"/>
      <w:sz w:val="24"/>
    </w:rPr>
  </w:style>
  <w:style w:type="paragraph" w:customStyle="1" w:styleId="TOCH3">
    <w:name w:val="TOC H 3"/>
    <w:basedOn w:val="ListParagraph"/>
    <w:link w:val="TOCH3Char"/>
    <w:qFormat/>
    <w:rsid w:val="00BB5B05"/>
    <w:pPr>
      <w:keepNext/>
      <w:numPr>
        <w:numId w:val="26"/>
      </w:numPr>
      <w:spacing w:after="0" w:line="360" w:lineRule="auto"/>
      <w:ind w:left="1440" w:hanging="720"/>
    </w:pPr>
    <w:rPr>
      <w:rFonts w:ascii="Times New Roman" w:hAnsi="Times New Roman" w:cs="Times New Roman"/>
      <w:b/>
      <w:sz w:val="26"/>
      <w:szCs w:val="26"/>
    </w:rPr>
  </w:style>
  <w:style w:type="character" w:customStyle="1" w:styleId="ListParagraphChar">
    <w:name w:val="List Paragraph Char"/>
    <w:basedOn w:val="DefaultParagraphFont"/>
    <w:link w:val="ListParagraph"/>
    <w:uiPriority w:val="34"/>
    <w:rsid w:val="00B513F9"/>
    <w:rPr>
      <w:rFonts w:ascii="Times New Roman" w:hAnsi="Times New Roman" w:cs="Times New Roman"/>
      <w:color w:val="000000"/>
      <w:sz w:val="26"/>
    </w:rPr>
  </w:style>
  <w:style w:type="character" w:customStyle="1" w:styleId="TOCH3Char">
    <w:name w:val="TOC H 3 Char"/>
    <w:basedOn w:val="Heading3Char"/>
    <w:link w:val="TOCH3"/>
    <w:rsid w:val="00BB5B05"/>
    <w:rPr>
      <w:rFonts w:ascii="Times New Roman" w:eastAsiaTheme="minorHAnsi" w:hAnsi="Times New Roman" w:cs="Times New Roman"/>
      <w:b/>
      <w:bCs/>
      <w:sz w:val="26"/>
      <w:szCs w:val="26"/>
    </w:rPr>
  </w:style>
  <w:style w:type="paragraph" w:styleId="NoSpacing">
    <w:name w:val="No Spacing"/>
    <w:uiPriority w:val="1"/>
    <w:qFormat/>
    <w:rsid w:val="00B513F9"/>
    <w:pPr>
      <w:tabs>
        <w:tab w:val="left" w:pos="1440"/>
      </w:tabs>
      <w:spacing w:after="0" w:line="240" w:lineRule="auto"/>
    </w:pPr>
    <w:rPr>
      <w:rFonts w:ascii="Times New Roman" w:hAnsi="Times New Roman" w:cs="Times New Roman"/>
      <w:sz w:val="24"/>
      <w:szCs w:val="20"/>
    </w:rPr>
  </w:style>
  <w:style w:type="paragraph" w:styleId="Header">
    <w:name w:val="header"/>
    <w:basedOn w:val="Normal"/>
    <w:link w:val="HeaderChar"/>
    <w:uiPriority w:val="99"/>
    <w:unhideWhenUsed/>
    <w:rsid w:val="0044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C94"/>
    <w:rPr>
      <w:rFonts w:eastAsiaTheme="minorHAnsi"/>
    </w:rPr>
  </w:style>
  <w:style w:type="paragraph" w:styleId="FootnoteText">
    <w:name w:val="footnote text"/>
    <w:basedOn w:val="Normal"/>
    <w:link w:val="FootnoteTextChar"/>
    <w:uiPriority w:val="99"/>
    <w:semiHidden/>
    <w:unhideWhenUsed/>
    <w:rsid w:val="00DC699E"/>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C699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699E"/>
    <w:rPr>
      <w:vertAlign w:val="superscript"/>
    </w:rPr>
  </w:style>
  <w:style w:type="paragraph" w:customStyle="1" w:styleId="footnotedescription">
    <w:name w:val="footnote description"/>
    <w:next w:val="Normal"/>
    <w:link w:val="footnotedescriptionChar"/>
    <w:hidden/>
    <w:rsid w:val="0020650F"/>
    <w:pPr>
      <w:spacing w:after="0" w:line="247" w:lineRule="auto"/>
    </w:pPr>
    <w:rPr>
      <w:rFonts w:ascii="Times New Roman" w:hAnsi="Times New Roman" w:cs="Times New Roman"/>
      <w:color w:val="000000"/>
      <w:sz w:val="20"/>
    </w:rPr>
  </w:style>
  <w:style w:type="character" w:customStyle="1" w:styleId="footnotedescriptionChar">
    <w:name w:val="footnote description Char"/>
    <w:link w:val="footnotedescription"/>
    <w:rsid w:val="0020650F"/>
    <w:rPr>
      <w:rFonts w:ascii="Times New Roman" w:hAnsi="Times New Roman" w:cs="Times New Roman"/>
      <w:color w:val="000000"/>
      <w:sz w:val="20"/>
    </w:rPr>
  </w:style>
  <w:style w:type="numbering" w:customStyle="1" w:styleId="NoList1">
    <w:name w:val="No List1"/>
    <w:next w:val="NoList"/>
    <w:uiPriority w:val="99"/>
    <w:semiHidden/>
    <w:unhideWhenUsed/>
    <w:rsid w:val="00B57F46"/>
  </w:style>
  <w:style w:type="character" w:customStyle="1" w:styleId="footnotemark">
    <w:name w:val="footnote mark"/>
    <w:hidden/>
    <w:rsid w:val="00B57F46"/>
    <w:rPr>
      <w:rFonts w:ascii="Times New Roman" w:eastAsia="Times New Roman" w:hAnsi="Times New Roman" w:cs="Times New Roman"/>
      <w:color w:val="000000"/>
      <w:sz w:val="20"/>
      <w:vertAlign w:val="superscript"/>
    </w:rPr>
  </w:style>
  <w:style w:type="table" w:customStyle="1" w:styleId="TableGrid">
    <w:name w:val="TableGrid"/>
    <w:rsid w:val="00BC267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350BA"/>
    <w:rPr>
      <w:color w:val="0563C1" w:themeColor="hyperlink"/>
      <w:u w:val="single"/>
    </w:rPr>
  </w:style>
  <w:style w:type="character" w:styleId="UnresolvedMention">
    <w:name w:val="Unresolved Mention"/>
    <w:basedOn w:val="DefaultParagraphFont"/>
    <w:uiPriority w:val="99"/>
    <w:semiHidden/>
    <w:unhideWhenUsed/>
    <w:rsid w:val="00A350BA"/>
    <w:rPr>
      <w:color w:val="605E5C"/>
      <w:shd w:val="clear" w:color="auto" w:fill="E1DFDD"/>
    </w:rPr>
  </w:style>
  <w:style w:type="paragraph" w:styleId="TOC3">
    <w:name w:val="toc 3"/>
    <w:hidden/>
    <w:uiPriority w:val="39"/>
    <w:rsid w:val="00106934"/>
    <w:pPr>
      <w:spacing w:after="27" w:line="248" w:lineRule="auto"/>
      <w:ind w:left="15" w:right="23" w:firstLine="180"/>
    </w:pPr>
    <w:rPr>
      <w:rFonts w:ascii="Times New Roman" w:hAnsi="Times New Roman" w:cs="Times New Roman"/>
      <w:color w:val="000000"/>
      <w:sz w:val="26"/>
    </w:rPr>
  </w:style>
  <w:style w:type="character" w:styleId="CommentReference">
    <w:name w:val="annotation reference"/>
    <w:basedOn w:val="DefaultParagraphFont"/>
    <w:uiPriority w:val="99"/>
    <w:semiHidden/>
    <w:unhideWhenUsed/>
    <w:rsid w:val="00307143"/>
    <w:rPr>
      <w:sz w:val="16"/>
      <w:szCs w:val="16"/>
    </w:rPr>
  </w:style>
  <w:style w:type="paragraph" w:styleId="CommentText">
    <w:name w:val="annotation text"/>
    <w:basedOn w:val="Normal"/>
    <w:link w:val="CommentTextChar"/>
    <w:uiPriority w:val="99"/>
    <w:semiHidden/>
    <w:unhideWhenUsed/>
    <w:rsid w:val="00307143"/>
    <w:pPr>
      <w:spacing w:line="240" w:lineRule="auto"/>
    </w:pPr>
    <w:rPr>
      <w:sz w:val="20"/>
      <w:szCs w:val="20"/>
    </w:rPr>
  </w:style>
  <w:style w:type="character" w:customStyle="1" w:styleId="CommentTextChar">
    <w:name w:val="Comment Text Char"/>
    <w:basedOn w:val="DefaultParagraphFont"/>
    <w:link w:val="CommentText"/>
    <w:uiPriority w:val="99"/>
    <w:semiHidden/>
    <w:rsid w:val="0030714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07143"/>
    <w:rPr>
      <w:b/>
      <w:bCs/>
    </w:rPr>
  </w:style>
  <w:style w:type="character" w:customStyle="1" w:styleId="CommentSubjectChar">
    <w:name w:val="Comment Subject Char"/>
    <w:basedOn w:val="CommentTextChar"/>
    <w:link w:val="CommentSubject"/>
    <w:uiPriority w:val="99"/>
    <w:semiHidden/>
    <w:rsid w:val="00307143"/>
    <w:rPr>
      <w:rFonts w:eastAsiaTheme="minorHAnsi"/>
      <w:b/>
      <w:bCs/>
      <w:sz w:val="20"/>
      <w:szCs w:val="20"/>
    </w:rPr>
  </w:style>
  <w:style w:type="table" w:styleId="TableGrid0">
    <w:name w:val="Table Grid"/>
    <w:basedOn w:val="TableNormal"/>
    <w:uiPriority w:val="39"/>
    <w:rsid w:val="0050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1"/>
    <w:pPr>
      <w:spacing w:after="0" w:line="240" w:lineRule="auto"/>
    </w:pPr>
    <w:rPr>
      <w:rFonts w:eastAsiaTheme="minorHAnsi"/>
    </w:rPr>
  </w:style>
  <w:style w:type="character" w:customStyle="1" w:styleId="Heading2Char">
    <w:name w:val="Heading 2 Char"/>
    <w:basedOn w:val="DefaultParagraphFont"/>
    <w:link w:val="Heading2"/>
    <w:uiPriority w:val="9"/>
    <w:rsid w:val="00BB5B05"/>
    <w:rPr>
      <w:rFonts w:ascii="Times New Roman" w:eastAsia="Calibri" w:hAnsi="Times New Roman" w:cs="Times New Roman"/>
      <w:b/>
      <w:bCs/>
      <w:sz w:val="26"/>
      <w:szCs w:val="26"/>
      <w:u w:color="000000"/>
    </w:rPr>
  </w:style>
  <w:style w:type="character" w:customStyle="1" w:styleId="Heading4Char">
    <w:name w:val="Heading 4 Char"/>
    <w:basedOn w:val="DefaultParagraphFont"/>
    <w:link w:val="Heading4"/>
    <w:uiPriority w:val="9"/>
    <w:rsid w:val="00970E33"/>
    <w:rPr>
      <w:rFonts w:ascii="Times New Roman" w:eastAsiaTheme="minorHAnsi" w:hAnsi="Times New Roman" w:cs="Times New Roman"/>
      <w:b/>
      <w:sz w:val="26"/>
      <w:szCs w:val="26"/>
    </w:rPr>
  </w:style>
  <w:style w:type="paragraph" w:styleId="TOC1">
    <w:name w:val="toc 1"/>
    <w:basedOn w:val="Normal"/>
    <w:next w:val="Normal"/>
    <w:autoRedefine/>
    <w:uiPriority w:val="39"/>
    <w:unhideWhenUsed/>
    <w:rsid w:val="00C66701"/>
    <w:pPr>
      <w:tabs>
        <w:tab w:val="left" w:pos="720"/>
        <w:tab w:val="right" w:leader="dot" w:pos="9350"/>
      </w:tabs>
      <w:spacing w:after="100"/>
    </w:pPr>
  </w:style>
  <w:style w:type="paragraph" w:styleId="TOC2">
    <w:name w:val="toc 2"/>
    <w:basedOn w:val="Normal"/>
    <w:next w:val="Normal"/>
    <w:autoRedefine/>
    <w:uiPriority w:val="39"/>
    <w:unhideWhenUsed/>
    <w:rsid w:val="00F024AA"/>
    <w:pPr>
      <w:tabs>
        <w:tab w:val="left" w:pos="1440"/>
        <w:tab w:val="right" w:leader="dot" w:pos="9350"/>
      </w:tabs>
      <w:spacing w:after="100"/>
      <w:ind w:left="1440" w:hanging="720"/>
    </w:pPr>
  </w:style>
  <w:style w:type="paragraph" w:styleId="TOC4">
    <w:name w:val="toc 4"/>
    <w:basedOn w:val="Normal"/>
    <w:next w:val="Normal"/>
    <w:autoRedefine/>
    <w:uiPriority w:val="39"/>
    <w:unhideWhenUsed/>
    <w:rsid w:val="00D472CD"/>
    <w:pPr>
      <w:tabs>
        <w:tab w:val="right" w:leader="dot" w:pos="9350"/>
      </w:tabs>
      <w:spacing w:after="100"/>
      <w:ind w:left="28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fd8e65c750cf44237df999a9ddbbec12">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dea24834c9f875ee6365e0d06164c1c"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8DDAA-D524-4514-B588-5EC754EC5972}">
  <ds:schemaRefs>
    <ds:schemaRef ds:uri="http://schemas.openxmlformats.org/officeDocument/2006/bibliography"/>
  </ds:schemaRefs>
</ds:datastoreItem>
</file>

<file path=customXml/itemProps2.xml><?xml version="1.0" encoding="utf-8"?>
<ds:datastoreItem xmlns:ds="http://schemas.openxmlformats.org/officeDocument/2006/customXml" ds:itemID="{CD117860-E6CB-45AA-B22D-D20920F81A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77A20-F3B6-4A96-AE83-8A00F2275AB4}">
  <ds:schemaRefs>
    <ds:schemaRef ds:uri="http://schemas.microsoft.com/sharepoint/v3/contenttype/forms"/>
  </ds:schemaRefs>
</ds:datastoreItem>
</file>

<file path=customXml/itemProps4.xml><?xml version="1.0" encoding="utf-8"?>
<ds:datastoreItem xmlns:ds="http://schemas.openxmlformats.org/officeDocument/2006/customXml" ds:itemID="{C387342F-F01E-424F-A62E-270BE871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15117</Words>
  <Characters>86168</Characters>
  <Application>Microsoft Office Word</Application>
  <DocSecurity>4</DocSecurity>
  <Lines>718</Lines>
  <Paragraphs>202</Paragraphs>
  <ScaleCrop>false</ScaleCrop>
  <HeadingPairs>
    <vt:vector size="2" baseType="variant">
      <vt:variant>
        <vt:lpstr>Title</vt:lpstr>
      </vt:variant>
      <vt:variant>
        <vt:i4>1</vt:i4>
      </vt:variant>
    </vt:vector>
  </HeadingPairs>
  <TitlesOfParts>
    <vt:vector size="1" baseType="lpstr">
      <vt:lpstr>Section 529</vt:lpstr>
    </vt:vector>
  </TitlesOfParts>
  <Company/>
  <LinksUpToDate>false</LinksUpToDate>
  <CharactersWithSpaces>101083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529</dc:title>
  <dc:subject/>
  <dc:creator>Reitenbach, Dawn;Elizabeth Lion Januzzi</dc:creator>
  <cp:keywords/>
  <dc:description/>
  <cp:lastModifiedBy>Wagner, Nathan R</cp:lastModifiedBy>
  <cp:revision>2</cp:revision>
  <dcterms:created xsi:type="dcterms:W3CDTF">2021-11-18T15:53:00Z</dcterms:created>
  <dcterms:modified xsi:type="dcterms:W3CDTF">2021-11-18T15:53:00Z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