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68F4454F" w:rsidR="000525AA" w:rsidRDefault="000525AA">
      <w:pPr>
        <w:rPr>
          <w:sz w:val="24"/>
        </w:rPr>
        <w:sectPr w:rsidR="000525AA" w:rsidSect="00365389">
          <w:footerReference w:type="even" r:id="rId11"/>
          <w:footerReference w:type="default" r:id="rId12"/>
          <w:pgSz w:w="12240" w:h="15840" w:code="1"/>
          <w:pgMar w:top="720" w:right="1440" w:bottom="720" w:left="1440" w:header="720" w:footer="720" w:gutter="0"/>
          <w:cols w:space="720"/>
          <w:titlePg/>
        </w:sectPr>
      </w:pPr>
    </w:p>
    <w:p w14:paraId="4DCEDA81" w14:textId="0ED142E1" w:rsidR="00E741AA" w:rsidRDefault="00E741AA" w:rsidP="0094096F">
      <w:pPr>
        <w:rPr>
          <w:rFonts w:ascii="Arial" w:hAnsi="Arial" w:cs="Arial"/>
          <w:sz w:val="24"/>
          <w:szCs w:val="24"/>
        </w:rPr>
      </w:pPr>
    </w:p>
    <w:p w14:paraId="1E8BBB79" w14:textId="0D4DB9DA" w:rsidR="001E1BF3" w:rsidRPr="00063ECE" w:rsidRDefault="00063ECE" w:rsidP="00847367">
      <w:pPr>
        <w:rPr>
          <w:rFonts w:ascii="Arial" w:hAnsi="Arial" w:cs="Arial"/>
          <w:color w:val="000066"/>
          <w:sz w:val="24"/>
          <w:szCs w:val="24"/>
        </w:rPr>
      </w:pP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>
        <w:rPr>
          <w:color w:val="000066"/>
          <w:sz w:val="26"/>
          <w:szCs w:val="26"/>
        </w:rPr>
        <w:tab/>
      </w:r>
      <w:r w:rsidRPr="00063ECE">
        <w:rPr>
          <w:rFonts w:ascii="Arial" w:hAnsi="Arial" w:cs="Arial"/>
          <w:sz w:val="24"/>
          <w:szCs w:val="24"/>
        </w:rPr>
        <w:t>November 18, 2021</w:t>
      </w:r>
    </w:p>
    <w:p w14:paraId="10831377" w14:textId="77777777" w:rsidR="00E741AA" w:rsidRPr="00102402" w:rsidRDefault="00E741AA" w:rsidP="00E741AA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RICHARD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2402">
        <w:rPr>
          <w:rFonts w:ascii="Arial" w:hAnsi="Arial" w:cs="Arial"/>
          <w:b/>
          <w:sz w:val="24"/>
          <w:szCs w:val="24"/>
        </w:rPr>
        <w:t>G WEBSTER JR</w:t>
      </w:r>
    </w:p>
    <w:p w14:paraId="0F8E8164" w14:textId="77777777" w:rsidR="00E741AA" w:rsidRPr="00102402" w:rsidRDefault="00E741AA" w:rsidP="00E741A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6906A5E7" w14:textId="77777777" w:rsidR="00E741AA" w:rsidRPr="00102402" w:rsidRDefault="00E741AA" w:rsidP="00E741AA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PECO ENERGY COMPANY</w:t>
      </w:r>
    </w:p>
    <w:p w14:paraId="3F17812F" w14:textId="77777777" w:rsidR="00E741AA" w:rsidRPr="00C71906" w:rsidRDefault="00E741AA" w:rsidP="00E741AA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2301 MARKET STREET S15</w:t>
      </w:r>
    </w:p>
    <w:p w14:paraId="03C3C1FE" w14:textId="2C308F77" w:rsidR="00E741AA" w:rsidRPr="00C71906" w:rsidRDefault="00E741AA" w:rsidP="00E741AA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 xml:space="preserve">PHILADELPHIA PA </w:t>
      </w:r>
      <w:r w:rsidR="00C143F5">
        <w:rPr>
          <w:rFonts w:ascii="Arial" w:hAnsi="Arial" w:cs="Arial"/>
          <w:b/>
          <w:sz w:val="24"/>
          <w:szCs w:val="24"/>
        </w:rPr>
        <w:t xml:space="preserve"> </w:t>
      </w:r>
      <w:r w:rsidRPr="00C71906">
        <w:rPr>
          <w:rFonts w:ascii="Arial" w:hAnsi="Arial" w:cs="Arial"/>
          <w:b/>
          <w:sz w:val="24"/>
          <w:szCs w:val="24"/>
        </w:rPr>
        <w:t>19103</w:t>
      </w:r>
    </w:p>
    <w:p w14:paraId="07F5DF8E" w14:textId="77777777" w:rsidR="00E741AA" w:rsidRPr="00102402" w:rsidRDefault="00E741AA" w:rsidP="00E741A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E8DF97D" w14:textId="18581DA8" w:rsidR="00E741AA" w:rsidRDefault="00E741AA" w:rsidP="00E741AA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  Audit of PECO Energy Company’s N</w:t>
      </w:r>
      <w:r w:rsidR="001C3B27">
        <w:rPr>
          <w:rFonts w:ascii="Arial" w:hAnsi="Arial" w:cs="Arial"/>
          <w:b/>
          <w:sz w:val="24"/>
          <w:szCs w:val="24"/>
        </w:rPr>
        <w:t>BT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7A92560" w14:textId="77777777" w:rsidR="00E741AA" w:rsidRDefault="00E741AA" w:rsidP="00E741AA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 xml:space="preserve">Docket No. </w:t>
      </w:r>
      <w:r w:rsidRPr="00913805">
        <w:rPr>
          <w:rFonts w:ascii="Arial" w:hAnsi="Arial" w:cs="Arial"/>
          <w:b/>
          <w:sz w:val="24"/>
          <w:szCs w:val="24"/>
        </w:rPr>
        <w:t>D-2020-3021330</w:t>
      </w:r>
    </w:p>
    <w:p w14:paraId="1F0B9C2F" w14:textId="77777777" w:rsidR="00E741AA" w:rsidRPr="00102402" w:rsidRDefault="00E741AA" w:rsidP="00E741A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1B73756B" w14:textId="77777777" w:rsidR="00E741AA" w:rsidRPr="00102402" w:rsidRDefault="00E741AA" w:rsidP="00E741AA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 xml:space="preserve">Dear Mr. </w:t>
      </w:r>
      <w:r>
        <w:rPr>
          <w:rFonts w:ascii="Arial" w:hAnsi="Arial" w:cs="Arial"/>
          <w:sz w:val="24"/>
          <w:szCs w:val="24"/>
        </w:rPr>
        <w:t>Webster</w:t>
      </w:r>
      <w:r w:rsidRPr="00102402">
        <w:rPr>
          <w:rFonts w:ascii="Arial" w:hAnsi="Arial" w:cs="Arial"/>
          <w:sz w:val="24"/>
          <w:szCs w:val="24"/>
        </w:rPr>
        <w:t>:</w:t>
      </w:r>
    </w:p>
    <w:p w14:paraId="376C4225" w14:textId="77777777" w:rsidR="00E741AA" w:rsidRPr="00102402" w:rsidRDefault="00E741AA" w:rsidP="00E741AA">
      <w:pPr>
        <w:ind w:left="720" w:hanging="720"/>
        <w:rPr>
          <w:rFonts w:ascii="Arial" w:hAnsi="Arial" w:cs="Arial"/>
          <w:sz w:val="24"/>
          <w:szCs w:val="24"/>
        </w:rPr>
      </w:pPr>
    </w:p>
    <w:p w14:paraId="4F3248BA" w14:textId="64765CCC" w:rsidR="00E741AA" w:rsidRDefault="00E741AA" w:rsidP="00E741AA">
      <w:pPr>
        <w:rPr>
          <w:rFonts w:ascii="Arial" w:hAnsi="Arial" w:cs="Arial"/>
          <w:sz w:val="24"/>
        </w:rPr>
      </w:pPr>
      <w:r w:rsidRPr="00102402">
        <w:rPr>
          <w:rFonts w:ascii="Arial" w:hAnsi="Arial" w:cs="Arial"/>
          <w:sz w:val="24"/>
          <w:szCs w:val="24"/>
        </w:rPr>
        <w:tab/>
        <w:t xml:space="preserve">Enclosed is a copy of the Bureau of Audits’ report on PECO Energy Company’s   </w:t>
      </w:r>
      <w:r>
        <w:rPr>
          <w:rFonts w:ascii="Arial" w:hAnsi="Arial" w:cs="Arial"/>
          <w:sz w:val="24"/>
          <w:szCs w:val="24"/>
        </w:rPr>
        <w:t>Non-</w:t>
      </w:r>
      <w:proofErr w:type="spellStart"/>
      <w:r>
        <w:rPr>
          <w:rFonts w:ascii="Arial" w:hAnsi="Arial" w:cs="Arial"/>
          <w:sz w:val="24"/>
          <w:szCs w:val="24"/>
        </w:rPr>
        <w:t>Bypassable</w:t>
      </w:r>
      <w:proofErr w:type="spellEnd"/>
      <w:r>
        <w:rPr>
          <w:rFonts w:ascii="Arial" w:hAnsi="Arial" w:cs="Arial"/>
          <w:sz w:val="24"/>
          <w:szCs w:val="24"/>
        </w:rPr>
        <w:t xml:space="preserve"> Transmission Service Charge</w:t>
      </w:r>
      <w:r w:rsidR="00520F31">
        <w:rPr>
          <w:rFonts w:ascii="Arial" w:hAnsi="Arial" w:cs="Arial"/>
          <w:sz w:val="24"/>
          <w:szCs w:val="24"/>
        </w:rPr>
        <w:t xml:space="preserve"> (NBT)</w:t>
      </w:r>
      <w:r w:rsidRPr="00102402">
        <w:rPr>
          <w:rFonts w:ascii="Arial" w:hAnsi="Arial" w:cs="Arial"/>
          <w:sz w:val="24"/>
          <w:szCs w:val="24"/>
        </w:rPr>
        <w:t xml:space="preserve"> for the </w:t>
      </w:r>
      <w:r w:rsidR="00520F3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-</w:t>
      </w:r>
      <w:r w:rsidRPr="00102402">
        <w:rPr>
          <w:rFonts w:ascii="Arial" w:hAnsi="Arial" w:cs="Arial"/>
          <w:sz w:val="24"/>
          <w:szCs w:val="24"/>
        </w:rPr>
        <w:t>month</w:t>
      </w:r>
      <w:r>
        <w:rPr>
          <w:rFonts w:ascii="Arial" w:hAnsi="Arial" w:cs="Arial"/>
          <w:sz w:val="24"/>
          <w:szCs w:val="24"/>
        </w:rPr>
        <w:t xml:space="preserve"> periods</w:t>
      </w:r>
      <w:r w:rsidRPr="00102402">
        <w:rPr>
          <w:rFonts w:ascii="Arial" w:hAnsi="Arial" w:cs="Arial"/>
          <w:sz w:val="24"/>
          <w:szCs w:val="24"/>
        </w:rPr>
        <w:t xml:space="preserve"> ended </w:t>
      </w:r>
      <w:r>
        <w:rPr>
          <w:rFonts w:ascii="Arial" w:hAnsi="Arial" w:cs="Arial"/>
          <w:sz w:val="24"/>
          <w:szCs w:val="24"/>
        </w:rPr>
        <w:t>November</w:t>
      </w:r>
      <w:r w:rsidRPr="00102402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0</w:t>
      </w:r>
      <w:r w:rsidRPr="0010240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02402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and November 30, 2018</w:t>
      </w:r>
      <w:r w:rsidRPr="001024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 </w:t>
      </w:r>
      <w:r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>
        <w:rPr>
          <w:rFonts w:ascii="Arial" w:hAnsi="Arial" w:cs="Arial"/>
          <w:sz w:val="24"/>
          <w:szCs w:val="24"/>
        </w:rPr>
        <w:t xml:space="preserve">to the public </w:t>
      </w:r>
      <w:r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25071B">
        <w:rPr>
          <w:rFonts w:ascii="Arial" w:hAnsi="Arial" w:cs="Arial"/>
          <w:sz w:val="24"/>
          <w:szCs w:val="24"/>
        </w:rPr>
        <w:t>November</w:t>
      </w:r>
      <w:r w:rsidR="00520F31">
        <w:rPr>
          <w:rFonts w:ascii="Arial" w:hAnsi="Arial" w:cs="Arial"/>
          <w:sz w:val="24"/>
          <w:szCs w:val="24"/>
        </w:rPr>
        <w:t xml:space="preserve"> 18, 2021</w:t>
      </w:r>
      <w:r>
        <w:rPr>
          <w:rFonts w:ascii="Arial" w:hAnsi="Arial" w:cs="Arial"/>
          <w:sz w:val="24"/>
          <w:szCs w:val="24"/>
        </w:rPr>
        <w:t xml:space="preserve">.  </w:t>
      </w:r>
      <w:r w:rsidRPr="000F1E17">
        <w:rPr>
          <w:rFonts w:ascii="Arial" w:hAnsi="Arial" w:cs="Arial"/>
          <w:sz w:val="24"/>
        </w:rPr>
        <w:t>The report d</w:t>
      </w:r>
      <w:r w:rsidR="00520F31">
        <w:rPr>
          <w:rFonts w:ascii="Arial" w:hAnsi="Arial" w:cs="Arial"/>
          <w:sz w:val="24"/>
        </w:rPr>
        <w:t>isclosed the following observation:</w:t>
      </w:r>
    </w:p>
    <w:p w14:paraId="2BD2F9EE" w14:textId="57CAEC56" w:rsidR="003323BA" w:rsidRDefault="003323BA" w:rsidP="00E741AA">
      <w:pPr>
        <w:rPr>
          <w:rFonts w:ascii="Arial" w:hAnsi="Arial" w:cs="Arial"/>
          <w:sz w:val="24"/>
        </w:rPr>
      </w:pPr>
    </w:p>
    <w:p w14:paraId="3D977D81" w14:textId="103784F4" w:rsidR="00520F31" w:rsidRDefault="003323BA" w:rsidP="003323BA">
      <w:pPr>
        <w:suppressAutoHyphens/>
        <w:ind w:left="1530" w:hanging="1530"/>
        <w:rPr>
          <w:rFonts w:ascii="Arial" w:hAnsi="Arial" w:cs="Arial"/>
          <w:sz w:val="24"/>
        </w:rPr>
      </w:pPr>
      <w:r w:rsidRPr="003323BA">
        <w:rPr>
          <w:rFonts w:ascii="Arial" w:hAnsi="Arial" w:cs="Arial"/>
          <w:kern w:val="1"/>
          <w:sz w:val="24"/>
          <w:szCs w:val="24"/>
        </w:rPr>
        <w:t>Observation</w:t>
      </w:r>
      <w:r>
        <w:rPr>
          <w:rFonts w:ascii="Arial" w:hAnsi="Arial" w:cs="Arial"/>
          <w:kern w:val="1"/>
          <w:sz w:val="24"/>
          <w:szCs w:val="24"/>
        </w:rPr>
        <w:t xml:space="preserve"> -</w:t>
      </w:r>
      <w:r w:rsidRPr="003323BA">
        <w:rPr>
          <w:rFonts w:ascii="Arial" w:hAnsi="Arial" w:cs="Arial"/>
          <w:kern w:val="1"/>
          <w:sz w:val="24"/>
          <w:szCs w:val="24"/>
        </w:rPr>
        <w:t xml:space="preserve"> PECO did not retain the $5.5 million of PJM credits as stated in the NBT rate filings.</w:t>
      </w:r>
    </w:p>
    <w:p w14:paraId="571CE5C1" w14:textId="77777777" w:rsidR="00E741AA" w:rsidRPr="00102402" w:rsidRDefault="00E741AA" w:rsidP="00E741AA">
      <w:pPr>
        <w:rPr>
          <w:rFonts w:ascii="Arial" w:hAnsi="Arial" w:cs="Arial"/>
          <w:sz w:val="24"/>
          <w:szCs w:val="24"/>
        </w:rPr>
      </w:pPr>
    </w:p>
    <w:p w14:paraId="0AA70352" w14:textId="77777777" w:rsidR="00E741AA" w:rsidRPr="00697BD4" w:rsidRDefault="00E741AA" w:rsidP="00E741AA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>
        <w:rPr>
          <w:rFonts w:ascii="Arial" w:hAnsi="Arial" w:cs="Arial"/>
          <w:sz w:val="24"/>
          <w:szCs w:val="24"/>
        </w:rPr>
        <w:t>PECO</w:t>
      </w:r>
      <w:r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Pr="00697BD4">
        <w:rPr>
          <w:rFonts w:ascii="Arial" w:hAnsi="Arial" w:cs="Arial"/>
          <w:sz w:val="24"/>
          <w:szCs w:val="24"/>
        </w:rPr>
        <w:tab/>
      </w:r>
    </w:p>
    <w:p w14:paraId="44370AF9" w14:textId="77777777" w:rsidR="00E741AA" w:rsidRPr="00B84F03" w:rsidRDefault="00E741AA" w:rsidP="00E741AA">
      <w:pPr>
        <w:tabs>
          <w:tab w:val="left" w:pos="576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EACD66A" w14:textId="77777777" w:rsidR="00E741AA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7AA5FD3" w14:textId="54290BEA" w:rsidR="00E741AA" w:rsidRPr="00B84F03" w:rsidRDefault="00063ECE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9CF8E7F" wp14:editId="216FB9A0">
            <wp:simplePos x="0" y="0"/>
            <wp:positionH relativeFrom="margin">
              <wp:posOffset>2933700</wp:posOffset>
            </wp:positionH>
            <wp:positionV relativeFrom="paragraph">
              <wp:posOffset>6985</wp:posOffset>
            </wp:positionV>
            <wp:extent cx="1837944" cy="704088"/>
            <wp:effectExtent l="0" t="0" r="0" b="127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AA" w:rsidRPr="00B84F03">
        <w:rPr>
          <w:rFonts w:ascii="Arial" w:hAnsi="Arial" w:cs="Arial"/>
          <w:sz w:val="24"/>
          <w:szCs w:val="24"/>
        </w:rPr>
        <w:tab/>
      </w:r>
      <w:r w:rsidR="00E741AA" w:rsidRPr="00B84F03">
        <w:rPr>
          <w:rFonts w:ascii="Arial" w:hAnsi="Arial" w:cs="Arial"/>
          <w:sz w:val="24"/>
          <w:szCs w:val="24"/>
        </w:rPr>
        <w:tab/>
      </w:r>
      <w:r w:rsidR="00E741AA" w:rsidRPr="00B84F03">
        <w:rPr>
          <w:rFonts w:ascii="Arial" w:hAnsi="Arial" w:cs="Arial"/>
          <w:sz w:val="24"/>
          <w:szCs w:val="24"/>
        </w:rPr>
        <w:tab/>
      </w:r>
      <w:r w:rsidR="00E741AA" w:rsidRPr="00B84F03">
        <w:rPr>
          <w:rFonts w:ascii="Arial" w:hAnsi="Arial" w:cs="Arial"/>
          <w:sz w:val="24"/>
          <w:szCs w:val="24"/>
        </w:rPr>
        <w:tab/>
      </w:r>
      <w:r w:rsidR="00E741AA" w:rsidRPr="00B84F03">
        <w:rPr>
          <w:rFonts w:ascii="Arial" w:hAnsi="Arial" w:cs="Arial"/>
          <w:sz w:val="24"/>
          <w:szCs w:val="24"/>
        </w:rPr>
        <w:tab/>
      </w:r>
      <w:r w:rsidR="00E741AA" w:rsidRPr="00B84F03">
        <w:rPr>
          <w:rFonts w:ascii="Arial" w:hAnsi="Arial" w:cs="Arial"/>
          <w:sz w:val="24"/>
          <w:szCs w:val="24"/>
        </w:rPr>
        <w:tab/>
      </w:r>
      <w:r w:rsidR="00E741AA" w:rsidRPr="00B84F03">
        <w:rPr>
          <w:rFonts w:ascii="Arial" w:hAnsi="Arial" w:cs="Arial"/>
          <w:sz w:val="24"/>
          <w:szCs w:val="24"/>
        </w:rPr>
        <w:tab/>
      </w:r>
      <w:r w:rsidR="00E741AA">
        <w:rPr>
          <w:rFonts w:ascii="Arial" w:hAnsi="Arial" w:cs="Arial"/>
          <w:sz w:val="24"/>
          <w:szCs w:val="24"/>
        </w:rPr>
        <w:tab/>
        <w:t>Sincerely</w:t>
      </w:r>
      <w:r w:rsidR="00E741AA" w:rsidRPr="00B84F03">
        <w:rPr>
          <w:rFonts w:ascii="Arial" w:hAnsi="Arial" w:cs="Arial"/>
          <w:sz w:val="24"/>
          <w:szCs w:val="24"/>
        </w:rPr>
        <w:t>,</w:t>
      </w:r>
    </w:p>
    <w:p w14:paraId="7E2AE7C8" w14:textId="6E351D12" w:rsidR="00E741AA" w:rsidRPr="00B84F03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F0AE475" w14:textId="3FE1CAAC" w:rsidR="00E741AA" w:rsidRPr="00B84F03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FEB3FA2" w14:textId="77777777" w:rsidR="00E741AA" w:rsidRPr="00B84F03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EF50F9B" w14:textId="77777777" w:rsidR="00E741AA" w:rsidRPr="00B84F03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0A647A90" w14:textId="77777777" w:rsidR="00E741AA" w:rsidRPr="00B84F03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4BBEA434" w14:textId="77777777" w:rsidR="00E741AA" w:rsidRPr="00102402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BAE3A13" w14:textId="77777777" w:rsidR="00E741AA" w:rsidRPr="00102402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5F6ED48" w14:textId="77777777" w:rsidR="00E741AA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CF998BB" w14:textId="77777777" w:rsidR="00E741AA" w:rsidRPr="00102402" w:rsidRDefault="00E741AA" w:rsidP="00E741A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4E6512E7" w14:textId="77777777" w:rsidR="00E741AA" w:rsidRDefault="00E741AA" w:rsidP="00E741AA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16930103" w14:textId="77777777" w:rsidR="00E741AA" w:rsidRPr="00102402" w:rsidRDefault="00E741AA" w:rsidP="00E741AA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Lori </w:t>
      </w:r>
      <w:r>
        <w:rPr>
          <w:rFonts w:ascii="Arial" w:hAnsi="Arial" w:cs="Arial"/>
          <w:sz w:val="24"/>
          <w:szCs w:val="24"/>
        </w:rPr>
        <w:t xml:space="preserve">A. </w:t>
      </w:r>
      <w:r w:rsidRPr="00102402">
        <w:rPr>
          <w:rFonts w:ascii="Arial" w:hAnsi="Arial" w:cs="Arial"/>
          <w:sz w:val="24"/>
          <w:szCs w:val="24"/>
        </w:rPr>
        <w:t>Burger</w:t>
      </w:r>
    </w:p>
    <w:p w14:paraId="209A8272" w14:textId="77777777" w:rsidR="00E741AA" w:rsidRPr="00102402" w:rsidRDefault="00E741AA" w:rsidP="00E741AA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>(717) 425-7847</w:t>
      </w:r>
    </w:p>
    <w:p w14:paraId="3A945E59" w14:textId="77777777" w:rsidR="000525AA" w:rsidRPr="00A35F64" w:rsidRDefault="000525AA" w:rsidP="00900881">
      <w:pPr>
        <w:jc w:val="center"/>
        <w:rPr>
          <w:color w:val="000066"/>
          <w:sz w:val="26"/>
          <w:szCs w:val="26"/>
        </w:rPr>
      </w:pPr>
    </w:p>
    <w:sectPr w:rsidR="000525AA" w:rsidRPr="00A35F64" w:rsidSect="00365389">
      <w:footerReference w:type="even" r:id="rId14"/>
      <w:footerReference w:type="default" r:id="rId15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F982" w14:textId="77777777" w:rsidR="00B66D5F" w:rsidRDefault="00B66D5F">
      <w:r>
        <w:separator/>
      </w:r>
    </w:p>
  </w:endnote>
  <w:endnote w:type="continuationSeparator" w:id="0">
    <w:p w14:paraId="0BDB17CB" w14:textId="77777777" w:rsidR="00B66D5F" w:rsidRDefault="00B6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7BA0" w14:textId="77777777" w:rsidR="00B66D5F" w:rsidRDefault="00B66D5F">
      <w:r>
        <w:separator/>
      </w:r>
    </w:p>
  </w:footnote>
  <w:footnote w:type="continuationSeparator" w:id="0">
    <w:p w14:paraId="36989518" w14:textId="77777777" w:rsidR="00B66D5F" w:rsidRDefault="00B6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25AA"/>
    <w:rsid w:val="0006058D"/>
    <w:rsid w:val="00063ECE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C3B27"/>
    <w:rsid w:val="001C69D9"/>
    <w:rsid w:val="001D37A3"/>
    <w:rsid w:val="001E1BF3"/>
    <w:rsid w:val="002229C3"/>
    <w:rsid w:val="0022598F"/>
    <w:rsid w:val="0025071B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323BA"/>
    <w:rsid w:val="00340F5E"/>
    <w:rsid w:val="003569E8"/>
    <w:rsid w:val="00365389"/>
    <w:rsid w:val="00372134"/>
    <w:rsid w:val="00385CA5"/>
    <w:rsid w:val="00474D6A"/>
    <w:rsid w:val="004C090E"/>
    <w:rsid w:val="004C4A5A"/>
    <w:rsid w:val="004D2698"/>
    <w:rsid w:val="004D57EC"/>
    <w:rsid w:val="0051639C"/>
    <w:rsid w:val="00520F31"/>
    <w:rsid w:val="005409B8"/>
    <w:rsid w:val="005E25C5"/>
    <w:rsid w:val="00602685"/>
    <w:rsid w:val="006439A8"/>
    <w:rsid w:val="006755C0"/>
    <w:rsid w:val="00685561"/>
    <w:rsid w:val="0071154F"/>
    <w:rsid w:val="0071271A"/>
    <w:rsid w:val="00717C2B"/>
    <w:rsid w:val="00757E82"/>
    <w:rsid w:val="007605C6"/>
    <w:rsid w:val="007617B1"/>
    <w:rsid w:val="00794CF5"/>
    <w:rsid w:val="007A69A2"/>
    <w:rsid w:val="007C085F"/>
    <w:rsid w:val="007F7263"/>
    <w:rsid w:val="0081537D"/>
    <w:rsid w:val="00847367"/>
    <w:rsid w:val="008750DB"/>
    <w:rsid w:val="0088179E"/>
    <w:rsid w:val="00900881"/>
    <w:rsid w:val="00934FA1"/>
    <w:rsid w:val="00937AC0"/>
    <w:rsid w:val="0094096F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0773"/>
    <w:rsid w:val="00B05141"/>
    <w:rsid w:val="00B64EDB"/>
    <w:rsid w:val="00B659CF"/>
    <w:rsid w:val="00B66D5F"/>
    <w:rsid w:val="00B75046"/>
    <w:rsid w:val="00BE47D7"/>
    <w:rsid w:val="00BE4A72"/>
    <w:rsid w:val="00BE5119"/>
    <w:rsid w:val="00BE6D93"/>
    <w:rsid w:val="00C143F5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5033A"/>
    <w:rsid w:val="00D618AF"/>
    <w:rsid w:val="00D725FE"/>
    <w:rsid w:val="00D901A3"/>
    <w:rsid w:val="00DD678C"/>
    <w:rsid w:val="00DE3F29"/>
    <w:rsid w:val="00E0528B"/>
    <w:rsid w:val="00E24D3E"/>
    <w:rsid w:val="00E349DA"/>
    <w:rsid w:val="00E426DA"/>
    <w:rsid w:val="00E54C34"/>
    <w:rsid w:val="00E741AA"/>
    <w:rsid w:val="00E976AD"/>
    <w:rsid w:val="00EB4DF4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Hodge, Christine</cp:lastModifiedBy>
  <cp:revision>2</cp:revision>
  <cp:lastPrinted>2018-09-26T14:32:00Z</cp:lastPrinted>
  <dcterms:created xsi:type="dcterms:W3CDTF">2021-11-18T16:26:00Z</dcterms:created>
  <dcterms:modified xsi:type="dcterms:W3CDTF">2021-11-18T16:26:00Z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