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73BE" w14:textId="77777777" w:rsidR="00067BDE" w:rsidRDefault="00067BDE" w:rsidP="00067BDE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6"/>
              <w:szCs w:val="26"/>
            </w:rPr>
            <w:t>PENNSYLVANIA</w:t>
          </w:r>
        </w:smartTag>
      </w:smartTag>
    </w:p>
    <w:p w14:paraId="63C51E6E" w14:textId="77777777" w:rsidR="00067BDE" w:rsidRDefault="00067BDE" w:rsidP="00067B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PUBLIC UTILITY COMMISSION</w:t>
      </w:r>
    </w:p>
    <w:p w14:paraId="1C2D5D12" w14:textId="77777777" w:rsidR="00067BDE" w:rsidRDefault="00067BDE" w:rsidP="00067BDE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6"/>
              <w:szCs w:val="26"/>
            </w:rPr>
            <w:t>Harrisburg</w:t>
          </w:r>
        </w:smartTag>
        <w:r>
          <w:rPr>
            <w:b/>
            <w:sz w:val="26"/>
            <w:szCs w:val="26"/>
          </w:rPr>
          <w:t xml:space="preserve">, </w:t>
        </w:r>
        <w:smartTag w:uri="urn:schemas-microsoft-com:office:smarttags" w:element="State">
          <w:r>
            <w:rPr>
              <w:b/>
              <w:sz w:val="26"/>
              <w:szCs w:val="26"/>
            </w:rPr>
            <w:t>PA</w:t>
          </w:r>
        </w:smartTag>
        <w:r>
          <w:rPr>
            <w:b/>
            <w:sz w:val="26"/>
            <w:szCs w:val="26"/>
          </w:rPr>
          <w:t xml:space="preserve">  </w:t>
        </w:r>
        <w:smartTag w:uri="urn:schemas-microsoft-com:office:smarttags" w:element="PostalCode">
          <w:r>
            <w:rPr>
              <w:b/>
              <w:sz w:val="26"/>
              <w:szCs w:val="26"/>
            </w:rPr>
            <w:t>17105-3265</w:t>
          </w:r>
        </w:smartTag>
      </w:smartTag>
    </w:p>
    <w:p w14:paraId="13583FBA" w14:textId="77777777" w:rsidR="00067BDE" w:rsidRDefault="00067BDE" w:rsidP="00067BDE">
      <w:pPr>
        <w:jc w:val="center"/>
        <w:rPr>
          <w:b/>
          <w:sz w:val="26"/>
          <w:szCs w:val="26"/>
        </w:rPr>
      </w:pPr>
    </w:p>
    <w:p w14:paraId="3B918149" w14:textId="77777777" w:rsidR="00067BDE" w:rsidRDefault="00067BDE" w:rsidP="00067BDE">
      <w:pPr>
        <w:jc w:val="center"/>
        <w:rPr>
          <w:b/>
          <w:sz w:val="26"/>
          <w:szCs w:val="26"/>
        </w:rPr>
      </w:pPr>
    </w:p>
    <w:p w14:paraId="5819A8A2" w14:textId="77777777" w:rsidR="00067BDE" w:rsidRDefault="00067BDE" w:rsidP="00067BDE">
      <w:pPr>
        <w:jc w:val="center"/>
        <w:rPr>
          <w:b/>
          <w:sz w:val="26"/>
          <w:szCs w:val="26"/>
        </w:rPr>
      </w:pPr>
    </w:p>
    <w:p w14:paraId="6B6723E5" w14:textId="7FFA1294" w:rsidR="00067BDE" w:rsidRDefault="00067BDE" w:rsidP="00067BD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Public Meeting held </w:t>
      </w:r>
      <w:r w:rsidR="00B823D4">
        <w:rPr>
          <w:sz w:val="26"/>
          <w:szCs w:val="26"/>
        </w:rPr>
        <w:t>November 18, 2021</w:t>
      </w:r>
    </w:p>
    <w:p w14:paraId="1252B3FF" w14:textId="77777777" w:rsidR="00067BDE" w:rsidRDefault="00067BDE" w:rsidP="00067BDE">
      <w:pPr>
        <w:jc w:val="right"/>
        <w:rPr>
          <w:sz w:val="26"/>
          <w:szCs w:val="26"/>
        </w:rPr>
      </w:pPr>
    </w:p>
    <w:p w14:paraId="09D001E6" w14:textId="77777777" w:rsidR="00067BDE" w:rsidRDefault="00067BDE" w:rsidP="00067BDE">
      <w:pPr>
        <w:rPr>
          <w:sz w:val="26"/>
          <w:szCs w:val="26"/>
        </w:rPr>
      </w:pPr>
      <w:r>
        <w:rPr>
          <w:sz w:val="26"/>
          <w:szCs w:val="26"/>
        </w:rPr>
        <w:t>Commissioners Present:</w:t>
      </w:r>
    </w:p>
    <w:p w14:paraId="0BE59A3E" w14:textId="77777777" w:rsidR="00067BDE" w:rsidRDefault="00067BDE" w:rsidP="00067BDE">
      <w:pPr>
        <w:rPr>
          <w:sz w:val="26"/>
          <w:szCs w:val="26"/>
        </w:rPr>
      </w:pP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5776"/>
        <w:gridCol w:w="3779"/>
      </w:tblGrid>
      <w:tr w:rsidR="00067BDE" w14:paraId="730F32FE" w14:textId="77777777" w:rsidTr="003247FB">
        <w:tc>
          <w:tcPr>
            <w:tcW w:w="9555" w:type="dxa"/>
            <w:gridSpan w:val="2"/>
            <w:hideMark/>
          </w:tcPr>
          <w:p w14:paraId="7548C695" w14:textId="44D668BC" w:rsidR="00067BDE" w:rsidRDefault="00067B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Gladys </w:t>
            </w:r>
            <w:r w:rsidR="004A7096">
              <w:rPr>
                <w:sz w:val="26"/>
                <w:szCs w:val="26"/>
              </w:rPr>
              <w:t>Brown Dutrieuille</w:t>
            </w:r>
            <w:r>
              <w:rPr>
                <w:sz w:val="26"/>
                <w:szCs w:val="26"/>
              </w:rPr>
              <w:t>, Chairman</w:t>
            </w:r>
          </w:p>
          <w:p w14:paraId="03F74509" w14:textId="05AAD1EF" w:rsidR="00067BDE" w:rsidRDefault="00B823D4">
            <w:pPr>
              <w:rPr>
                <w:sz w:val="26"/>
                <w:szCs w:val="26"/>
              </w:rPr>
            </w:pPr>
            <w:r w:rsidRPr="00B823D4">
              <w:rPr>
                <w:sz w:val="26"/>
                <w:szCs w:val="26"/>
              </w:rPr>
              <w:t>John F. Coleman, Jr.</w:t>
            </w:r>
            <w:r w:rsidR="00067BDE">
              <w:rPr>
                <w:sz w:val="26"/>
                <w:szCs w:val="26"/>
              </w:rPr>
              <w:t>, Vice Chairman</w:t>
            </w:r>
          </w:p>
          <w:p w14:paraId="2AB4BEF9" w14:textId="74A072EF" w:rsidR="00067BDE" w:rsidRDefault="007F6F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Ralph V. Yanora</w:t>
            </w:r>
          </w:p>
        </w:tc>
      </w:tr>
      <w:tr w:rsidR="00067BDE" w14:paraId="6A0478C2" w14:textId="77777777" w:rsidTr="003247FB">
        <w:tc>
          <w:tcPr>
            <w:tcW w:w="9555" w:type="dxa"/>
            <w:gridSpan w:val="2"/>
            <w:hideMark/>
          </w:tcPr>
          <w:p w14:paraId="292420A1" w14:textId="71C382EC" w:rsidR="00067BDE" w:rsidRDefault="00067BDE">
            <w:pPr>
              <w:rPr>
                <w:sz w:val="26"/>
                <w:szCs w:val="26"/>
              </w:rPr>
            </w:pPr>
          </w:p>
        </w:tc>
      </w:tr>
      <w:tr w:rsidR="00067BDE" w14:paraId="703F0477" w14:textId="77777777" w:rsidTr="008115C0">
        <w:tc>
          <w:tcPr>
            <w:tcW w:w="5776" w:type="dxa"/>
          </w:tcPr>
          <w:p w14:paraId="6B176EAF" w14:textId="77777777" w:rsidR="00067BDE" w:rsidRDefault="00067BDE">
            <w:pPr>
              <w:rPr>
                <w:sz w:val="26"/>
                <w:szCs w:val="26"/>
              </w:rPr>
            </w:pPr>
          </w:p>
          <w:p w14:paraId="7CFE1540" w14:textId="2F8BF409" w:rsidR="00067BDE" w:rsidRDefault="00067B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Securities Certificate of Duquesne Light Company with respect to the issuance of debt in </w:t>
            </w:r>
            <w:r w:rsidR="00C807D0">
              <w:rPr>
                <w:sz w:val="26"/>
                <w:szCs w:val="26"/>
              </w:rPr>
              <w:t>a</w:t>
            </w:r>
            <w:r w:rsidR="00B43ED7">
              <w:rPr>
                <w:sz w:val="26"/>
                <w:szCs w:val="26"/>
              </w:rPr>
              <w:t>n aggregate</w:t>
            </w:r>
            <w:r w:rsidR="00C807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principal amount not to exceed $</w:t>
            </w:r>
            <w:r w:rsidR="004A709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00 million</w:t>
            </w:r>
          </w:p>
        </w:tc>
        <w:tc>
          <w:tcPr>
            <w:tcW w:w="3779" w:type="dxa"/>
          </w:tcPr>
          <w:p w14:paraId="3A8224D2" w14:textId="77777777" w:rsidR="00067BDE" w:rsidRDefault="00067BDE">
            <w:pPr>
              <w:rPr>
                <w:sz w:val="26"/>
                <w:szCs w:val="26"/>
              </w:rPr>
            </w:pPr>
          </w:p>
          <w:p w14:paraId="4191D5F4" w14:textId="3608FF02" w:rsidR="003247FB" w:rsidRDefault="00067BDE">
            <w:pPr>
              <w:pStyle w:val="BodyTextIndent2"/>
              <w:ind w:left="1440"/>
              <w:jc w:val="left"/>
              <w:rPr>
                <w:color w:val="auto"/>
              </w:rPr>
            </w:pPr>
            <w:r>
              <w:rPr>
                <w:color w:val="auto"/>
              </w:rPr>
              <w:t>Docket No.</w:t>
            </w:r>
            <w:r w:rsidR="003247FB">
              <w:rPr>
                <w:color w:val="auto"/>
              </w:rPr>
              <w:t xml:space="preserve">:      </w:t>
            </w:r>
          </w:p>
          <w:p w14:paraId="2DCB6DC6" w14:textId="0F8A23F3" w:rsidR="00067BDE" w:rsidRDefault="00067BDE">
            <w:pPr>
              <w:pStyle w:val="BodyTextIndent2"/>
              <w:ind w:left="1440"/>
              <w:jc w:val="left"/>
              <w:rPr>
                <w:color w:val="auto"/>
                <w:szCs w:val="26"/>
              </w:rPr>
            </w:pPr>
            <w:r>
              <w:rPr>
                <w:color w:val="auto"/>
              </w:rPr>
              <w:t>S-20</w:t>
            </w:r>
            <w:r w:rsidR="00B43ED7">
              <w:rPr>
                <w:color w:val="auto"/>
              </w:rPr>
              <w:t>21</w:t>
            </w:r>
            <w:r w:rsidR="004A7096">
              <w:rPr>
                <w:color w:val="auto"/>
              </w:rPr>
              <w:t>-</w:t>
            </w:r>
            <w:r w:rsidR="00335EF3">
              <w:rPr>
                <w:color w:val="auto"/>
              </w:rPr>
              <w:t>3028991</w:t>
            </w:r>
            <w:r>
              <w:rPr>
                <w:color w:val="auto"/>
              </w:rPr>
              <w:t xml:space="preserve">        </w:t>
            </w:r>
          </w:p>
        </w:tc>
      </w:tr>
    </w:tbl>
    <w:p w14:paraId="3C9B4AA2" w14:textId="53E91342" w:rsidR="00067BDE" w:rsidRDefault="00067BDE" w:rsidP="00067BDE">
      <w:pPr>
        <w:rPr>
          <w:sz w:val="26"/>
          <w:szCs w:val="26"/>
        </w:rPr>
      </w:pPr>
    </w:p>
    <w:p w14:paraId="6A32A625" w14:textId="77777777" w:rsidR="00067BDE" w:rsidRDefault="00067BDE" w:rsidP="00067BDE">
      <w:pPr>
        <w:rPr>
          <w:sz w:val="26"/>
          <w:szCs w:val="26"/>
        </w:rPr>
      </w:pPr>
    </w:p>
    <w:p w14:paraId="341CCFE7" w14:textId="77777777" w:rsidR="00067BDE" w:rsidRDefault="00067BDE" w:rsidP="00067B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ORDER</w:t>
      </w:r>
    </w:p>
    <w:p w14:paraId="5060B16D" w14:textId="77777777" w:rsidR="00067BDE" w:rsidRDefault="00067BDE" w:rsidP="00067BDE">
      <w:pPr>
        <w:jc w:val="center"/>
        <w:rPr>
          <w:b/>
          <w:sz w:val="26"/>
          <w:szCs w:val="26"/>
        </w:rPr>
      </w:pPr>
    </w:p>
    <w:p w14:paraId="28837AA4" w14:textId="77777777" w:rsidR="00067BDE" w:rsidRDefault="00067BDE" w:rsidP="00067BDE">
      <w:pPr>
        <w:jc w:val="center"/>
        <w:rPr>
          <w:b/>
          <w:sz w:val="26"/>
          <w:szCs w:val="26"/>
        </w:rPr>
      </w:pPr>
    </w:p>
    <w:p w14:paraId="5704A976" w14:textId="77777777" w:rsidR="00067BDE" w:rsidRDefault="00067BDE" w:rsidP="00067BD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BY THE COMMISSION:</w:t>
      </w:r>
    </w:p>
    <w:p w14:paraId="68E6036F" w14:textId="77777777" w:rsidR="00067BDE" w:rsidRDefault="00067BDE" w:rsidP="00067BDE">
      <w:pPr>
        <w:spacing w:line="360" w:lineRule="auto"/>
        <w:rPr>
          <w:sz w:val="26"/>
          <w:szCs w:val="26"/>
        </w:rPr>
      </w:pPr>
    </w:p>
    <w:p w14:paraId="5B1EA4EB" w14:textId="71BFD2D0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On October </w:t>
      </w:r>
      <w:r w:rsidR="009F0D75">
        <w:rPr>
          <w:sz w:val="26"/>
          <w:szCs w:val="26"/>
        </w:rPr>
        <w:t>6</w:t>
      </w:r>
      <w:r>
        <w:rPr>
          <w:sz w:val="26"/>
          <w:szCs w:val="26"/>
        </w:rPr>
        <w:t>, 20</w:t>
      </w:r>
      <w:r w:rsidR="009F0D75">
        <w:rPr>
          <w:sz w:val="26"/>
          <w:szCs w:val="26"/>
        </w:rPr>
        <w:t>21</w:t>
      </w:r>
      <w:r>
        <w:rPr>
          <w:sz w:val="26"/>
          <w:szCs w:val="26"/>
        </w:rPr>
        <w:t>, Duquesne Light Company (Duquesne or the Company) filed for registration pursuant to Chapter 19 of the Public Utility Code, 66 Pa. C.S. §§ 1901-1904, the above-captioned securities certificate for the issuance of long-term debt in a</w:t>
      </w:r>
      <w:r w:rsidR="00EC48D3">
        <w:rPr>
          <w:sz w:val="26"/>
          <w:szCs w:val="26"/>
        </w:rPr>
        <w:t>n aggregate</w:t>
      </w:r>
      <w:r>
        <w:rPr>
          <w:sz w:val="26"/>
          <w:szCs w:val="26"/>
        </w:rPr>
        <w:t xml:space="preserve"> principal amount not to exceed $</w:t>
      </w:r>
      <w:r w:rsidR="004A7096">
        <w:rPr>
          <w:sz w:val="26"/>
          <w:szCs w:val="26"/>
        </w:rPr>
        <w:t>4</w:t>
      </w:r>
      <w:r>
        <w:rPr>
          <w:sz w:val="26"/>
          <w:szCs w:val="26"/>
        </w:rPr>
        <w:t>00 million.</w:t>
      </w:r>
      <w:r w:rsidR="00FD0DBA">
        <w:rPr>
          <w:sz w:val="26"/>
          <w:szCs w:val="26"/>
        </w:rPr>
        <w:t xml:space="preserve">  On </w:t>
      </w:r>
      <w:r w:rsidR="0029705A">
        <w:rPr>
          <w:sz w:val="26"/>
          <w:szCs w:val="26"/>
        </w:rPr>
        <w:t>October 11, 2021, the Company voluntarily extended the statutory consideration period until December 6, 2021.</w:t>
      </w:r>
      <w:r>
        <w:rPr>
          <w:sz w:val="26"/>
          <w:szCs w:val="26"/>
        </w:rPr>
        <w:t xml:space="preserve"> </w:t>
      </w:r>
    </w:p>
    <w:p w14:paraId="41A9C548" w14:textId="77777777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</w:p>
    <w:p w14:paraId="290222F0" w14:textId="604F1CF8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Duquesne</w:t>
      </w:r>
      <w:r>
        <w:t xml:space="preserve"> </w:t>
      </w:r>
      <w:r>
        <w:rPr>
          <w:sz w:val="26"/>
          <w:szCs w:val="26"/>
        </w:rPr>
        <w:t xml:space="preserve">is a subsidiary of Duquesne Light Holdings, Inc., </w:t>
      </w:r>
      <w:r w:rsidR="00C96769">
        <w:rPr>
          <w:sz w:val="26"/>
          <w:szCs w:val="26"/>
        </w:rPr>
        <w:t>which</w:t>
      </w:r>
      <w:r>
        <w:rPr>
          <w:sz w:val="26"/>
          <w:szCs w:val="26"/>
        </w:rPr>
        <w:t xml:space="preserve"> is a wholly owned subsidiary of DQE Holdings LLC.  </w:t>
      </w:r>
      <w:r w:rsidR="002D3CC4">
        <w:rPr>
          <w:sz w:val="26"/>
          <w:szCs w:val="26"/>
        </w:rPr>
        <w:t>Duquesne</w:t>
      </w:r>
      <w:r>
        <w:rPr>
          <w:sz w:val="26"/>
          <w:szCs w:val="26"/>
        </w:rPr>
        <w:t xml:space="preserve"> is a jurisdictional public utility</w:t>
      </w:r>
      <w:r w:rsidR="005078CC">
        <w:rPr>
          <w:sz w:val="26"/>
          <w:szCs w:val="26"/>
        </w:rPr>
        <w:t xml:space="preserve"> engaged in the </w:t>
      </w:r>
      <w:r w:rsidR="00B35FC0">
        <w:rPr>
          <w:sz w:val="26"/>
          <w:szCs w:val="26"/>
        </w:rPr>
        <w:t xml:space="preserve">distribution and transmission of electric service to approximately </w:t>
      </w:r>
      <w:r w:rsidR="003747CA">
        <w:rPr>
          <w:sz w:val="26"/>
          <w:szCs w:val="26"/>
        </w:rPr>
        <w:t>600,000 customers</w:t>
      </w:r>
      <w:r w:rsidR="00756E2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87BC1">
        <w:rPr>
          <w:sz w:val="26"/>
          <w:szCs w:val="26"/>
        </w:rPr>
        <w:t xml:space="preserve">of which nearly 90% are residential, and </w:t>
      </w:r>
      <w:r>
        <w:rPr>
          <w:sz w:val="26"/>
          <w:szCs w:val="26"/>
        </w:rPr>
        <w:t xml:space="preserve">primarily </w:t>
      </w:r>
      <w:r w:rsidR="00756E25">
        <w:rPr>
          <w:sz w:val="26"/>
          <w:szCs w:val="26"/>
        </w:rPr>
        <w:t>within</w:t>
      </w:r>
      <w:r>
        <w:rPr>
          <w:sz w:val="26"/>
          <w:szCs w:val="26"/>
        </w:rPr>
        <w:t xml:space="preserve"> Allegheny and Beaver Counties.</w:t>
      </w:r>
      <w:r w:rsidR="00EA7DED">
        <w:rPr>
          <w:sz w:val="26"/>
          <w:szCs w:val="26"/>
        </w:rPr>
        <w:t xml:space="preserve">  The Company’s transmission </w:t>
      </w:r>
      <w:r w:rsidR="00C022B6">
        <w:rPr>
          <w:sz w:val="26"/>
          <w:szCs w:val="26"/>
        </w:rPr>
        <w:t xml:space="preserve">and delivery system consists of </w:t>
      </w:r>
      <w:r w:rsidR="00C022B6">
        <w:rPr>
          <w:sz w:val="26"/>
          <w:szCs w:val="26"/>
        </w:rPr>
        <w:lastRenderedPageBreak/>
        <w:t xml:space="preserve">approximately 45,000 miles of overhead power lines, </w:t>
      </w:r>
      <w:r w:rsidR="00D646AA">
        <w:rPr>
          <w:sz w:val="26"/>
          <w:szCs w:val="26"/>
        </w:rPr>
        <w:t xml:space="preserve">250,000 utility poles, and 103,000 transformers over a territory of approximately </w:t>
      </w:r>
      <w:r w:rsidR="00B75334">
        <w:rPr>
          <w:sz w:val="26"/>
          <w:szCs w:val="26"/>
        </w:rPr>
        <w:t>817 square miles.</w:t>
      </w:r>
    </w:p>
    <w:p w14:paraId="52032B7A" w14:textId="0EE4B625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</w:p>
    <w:p w14:paraId="22D5E297" w14:textId="0B3D6997" w:rsidR="003E2612" w:rsidRDefault="00E147F2" w:rsidP="003247FB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Via the instant securities certificate, t</w:t>
      </w:r>
      <w:r w:rsidR="00067BDE">
        <w:rPr>
          <w:sz w:val="26"/>
          <w:szCs w:val="26"/>
        </w:rPr>
        <w:t>he Company proposes to issue securities in the form of First Mortgage Bonds (FMBs), Pollution Control Revenue Refunding Bonds, unsecured notes, bank borrowings, and/or similar securities, not to exceed $</w:t>
      </w:r>
      <w:r w:rsidR="004A7096">
        <w:rPr>
          <w:sz w:val="26"/>
          <w:szCs w:val="26"/>
        </w:rPr>
        <w:t>4</w:t>
      </w:r>
      <w:r w:rsidR="00067BDE">
        <w:rPr>
          <w:sz w:val="26"/>
          <w:szCs w:val="26"/>
        </w:rPr>
        <w:t>00 million</w:t>
      </w:r>
      <w:r w:rsidR="005D391B">
        <w:rPr>
          <w:sz w:val="26"/>
          <w:szCs w:val="26"/>
        </w:rPr>
        <w:t xml:space="preserve"> through December 31, 2023</w:t>
      </w:r>
      <w:r w:rsidR="00067BDE">
        <w:rPr>
          <w:sz w:val="26"/>
          <w:szCs w:val="26"/>
        </w:rPr>
        <w:t xml:space="preserve">.  </w:t>
      </w:r>
      <w:r w:rsidR="00535567">
        <w:rPr>
          <w:sz w:val="26"/>
          <w:szCs w:val="26"/>
        </w:rPr>
        <w:t xml:space="preserve">The </w:t>
      </w:r>
      <w:r w:rsidR="00000F3B">
        <w:rPr>
          <w:sz w:val="26"/>
          <w:szCs w:val="26"/>
        </w:rPr>
        <w:t>instant securities certificate</w:t>
      </w:r>
      <w:r w:rsidR="00535567">
        <w:rPr>
          <w:sz w:val="26"/>
          <w:szCs w:val="26"/>
        </w:rPr>
        <w:t xml:space="preserve"> will replace and cancel </w:t>
      </w:r>
      <w:r w:rsidR="00000F3B">
        <w:rPr>
          <w:sz w:val="26"/>
          <w:szCs w:val="26"/>
        </w:rPr>
        <w:t>an</w:t>
      </w:r>
      <w:r w:rsidR="00535567">
        <w:rPr>
          <w:sz w:val="26"/>
          <w:szCs w:val="26"/>
        </w:rPr>
        <w:t xml:space="preserve"> existing securities certificate</w:t>
      </w:r>
      <w:r w:rsidR="00CA7C29">
        <w:rPr>
          <w:sz w:val="26"/>
          <w:szCs w:val="26"/>
        </w:rPr>
        <w:t xml:space="preserve"> registered by the Commission under Docket No. S</w:t>
      </w:r>
      <w:r w:rsidR="003247FB">
        <w:rPr>
          <w:sz w:val="26"/>
          <w:szCs w:val="26"/>
        </w:rPr>
        <w:noBreakHyphen/>
      </w:r>
      <w:r w:rsidR="00CA7C29">
        <w:rPr>
          <w:sz w:val="26"/>
          <w:szCs w:val="26"/>
        </w:rPr>
        <w:t>2019</w:t>
      </w:r>
      <w:r w:rsidR="003247FB">
        <w:rPr>
          <w:sz w:val="26"/>
          <w:szCs w:val="26"/>
        </w:rPr>
        <w:noBreakHyphen/>
      </w:r>
      <w:r w:rsidR="00CA7C29">
        <w:rPr>
          <w:sz w:val="26"/>
          <w:szCs w:val="26"/>
        </w:rPr>
        <w:t xml:space="preserve">3013570, </w:t>
      </w:r>
      <w:r w:rsidR="00462341">
        <w:rPr>
          <w:sz w:val="26"/>
          <w:szCs w:val="26"/>
        </w:rPr>
        <w:t xml:space="preserve">which was </w:t>
      </w:r>
      <w:r w:rsidR="00136365">
        <w:rPr>
          <w:sz w:val="26"/>
          <w:szCs w:val="26"/>
        </w:rPr>
        <w:t>for the</w:t>
      </w:r>
      <w:r w:rsidR="00162C74">
        <w:rPr>
          <w:sz w:val="26"/>
          <w:szCs w:val="26"/>
        </w:rPr>
        <w:t xml:space="preserve"> issu</w:t>
      </w:r>
      <w:r w:rsidR="000C510B">
        <w:rPr>
          <w:sz w:val="26"/>
          <w:szCs w:val="26"/>
        </w:rPr>
        <w:t>ance of</w:t>
      </w:r>
      <w:r w:rsidR="00162C74">
        <w:rPr>
          <w:sz w:val="26"/>
          <w:szCs w:val="26"/>
        </w:rPr>
        <w:t xml:space="preserve"> debt in an a</w:t>
      </w:r>
      <w:r w:rsidR="00F96B76">
        <w:rPr>
          <w:sz w:val="26"/>
          <w:szCs w:val="26"/>
        </w:rPr>
        <w:t xml:space="preserve">mount not to exceed $400 million through December 31, 2021.  Duquesne currently has </w:t>
      </w:r>
      <w:r w:rsidR="00A1172C">
        <w:rPr>
          <w:sz w:val="26"/>
          <w:szCs w:val="26"/>
        </w:rPr>
        <w:t xml:space="preserve">$200 million remaining available under the existing certificate, which the Company claims is insufficient for </w:t>
      </w:r>
      <w:r w:rsidR="008C1A67">
        <w:rPr>
          <w:sz w:val="26"/>
          <w:szCs w:val="26"/>
        </w:rPr>
        <w:t>near term needs.</w:t>
      </w:r>
    </w:p>
    <w:p w14:paraId="15B97E59" w14:textId="77777777" w:rsidR="003E2612" w:rsidRDefault="003E2612" w:rsidP="00577304">
      <w:pPr>
        <w:spacing w:line="360" w:lineRule="auto"/>
        <w:rPr>
          <w:sz w:val="26"/>
          <w:szCs w:val="26"/>
        </w:rPr>
      </w:pPr>
    </w:p>
    <w:p w14:paraId="3736741D" w14:textId="701891F2" w:rsidR="00A618B4" w:rsidRDefault="00490A6D" w:rsidP="003E2612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Duquesne </w:t>
      </w:r>
      <w:r w:rsidR="00913201">
        <w:rPr>
          <w:sz w:val="26"/>
          <w:szCs w:val="26"/>
        </w:rPr>
        <w:t>proposes to issue and sell the new debt in one or more series from time to time</w:t>
      </w:r>
      <w:r w:rsidR="00634778">
        <w:rPr>
          <w:sz w:val="26"/>
          <w:szCs w:val="26"/>
        </w:rPr>
        <w:t xml:space="preserve"> on terms determined by ma</w:t>
      </w:r>
      <w:r w:rsidR="00960642">
        <w:rPr>
          <w:sz w:val="26"/>
          <w:szCs w:val="26"/>
        </w:rPr>
        <w:t>rket conditions at the time of the sale</w:t>
      </w:r>
      <w:r w:rsidR="004C5FF4">
        <w:rPr>
          <w:sz w:val="26"/>
          <w:szCs w:val="26"/>
        </w:rPr>
        <w:t xml:space="preserve">.  </w:t>
      </w:r>
      <w:r w:rsidR="00067BDE">
        <w:rPr>
          <w:sz w:val="26"/>
          <w:szCs w:val="26"/>
        </w:rPr>
        <w:t xml:space="preserve">The exact type of debt to be issued will be determined </w:t>
      </w:r>
      <w:r w:rsidR="002A4537">
        <w:rPr>
          <w:sz w:val="26"/>
          <w:szCs w:val="26"/>
        </w:rPr>
        <w:t xml:space="preserve">at the time of issuance </w:t>
      </w:r>
      <w:r w:rsidR="00067BDE">
        <w:rPr>
          <w:sz w:val="26"/>
          <w:szCs w:val="26"/>
        </w:rPr>
        <w:t>after comparing market rates, issuance costs, and other factors.  Duquesne expects to issue</w:t>
      </w:r>
      <w:r w:rsidR="00BC0F5A">
        <w:rPr>
          <w:sz w:val="26"/>
          <w:szCs w:val="26"/>
        </w:rPr>
        <w:t xml:space="preserve"> $150 million</w:t>
      </w:r>
      <w:r w:rsidR="00067BDE">
        <w:rPr>
          <w:sz w:val="26"/>
          <w:szCs w:val="26"/>
        </w:rPr>
        <w:t xml:space="preserve"> in the form of FMBs </w:t>
      </w:r>
      <w:r w:rsidR="00BC0F5A">
        <w:rPr>
          <w:sz w:val="26"/>
          <w:szCs w:val="26"/>
        </w:rPr>
        <w:t xml:space="preserve">in 2022, </w:t>
      </w:r>
      <w:r w:rsidR="00067BDE">
        <w:rPr>
          <w:sz w:val="26"/>
          <w:szCs w:val="26"/>
        </w:rPr>
        <w:t xml:space="preserve">and </w:t>
      </w:r>
      <w:r w:rsidR="00106AA1">
        <w:rPr>
          <w:sz w:val="26"/>
          <w:szCs w:val="26"/>
        </w:rPr>
        <w:t>up to</w:t>
      </w:r>
      <w:r w:rsidR="00067BDE">
        <w:rPr>
          <w:sz w:val="26"/>
          <w:szCs w:val="26"/>
        </w:rPr>
        <w:t xml:space="preserve"> $2</w:t>
      </w:r>
      <w:r w:rsidR="00106AA1">
        <w:rPr>
          <w:sz w:val="26"/>
          <w:szCs w:val="26"/>
        </w:rPr>
        <w:t>50</w:t>
      </w:r>
      <w:r w:rsidR="00067BDE">
        <w:rPr>
          <w:sz w:val="26"/>
          <w:szCs w:val="26"/>
        </w:rPr>
        <w:t xml:space="preserve"> million </w:t>
      </w:r>
      <w:r w:rsidR="00106AA1">
        <w:rPr>
          <w:sz w:val="26"/>
          <w:szCs w:val="26"/>
        </w:rPr>
        <w:t xml:space="preserve">of additional </w:t>
      </w:r>
      <w:r w:rsidR="00283386">
        <w:rPr>
          <w:sz w:val="26"/>
          <w:szCs w:val="26"/>
        </w:rPr>
        <w:t>FMB</w:t>
      </w:r>
      <w:r w:rsidR="00067BDE">
        <w:rPr>
          <w:sz w:val="26"/>
          <w:szCs w:val="26"/>
        </w:rPr>
        <w:t>s</w:t>
      </w:r>
      <w:r w:rsidR="00283386">
        <w:rPr>
          <w:sz w:val="26"/>
          <w:szCs w:val="26"/>
        </w:rPr>
        <w:t xml:space="preserve"> in 2023</w:t>
      </w:r>
      <w:r w:rsidR="00067BDE">
        <w:rPr>
          <w:sz w:val="26"/>
          <w:szCs w:val="26"/>
        </w:rPr>
        <w:t xml:space="preserve">. </w:t>
      </w:r>
    </w:p>
    <w:p w14:paraId="17B28C79" w14:textId="77777777" w:rsidR="00A618B4" w:rsidRDefault="00A618B4" w:rsidP="00067BDE">
      <w:pPr>
        <w:spacing w:line="360" w:lineRule="auto"/>
        <w:ind w:firstLine="720"/>
        <w:rPr>
          <w:sz w:val="26"/>
          <w:szCs w:val="26"/>
        </w:rPr>
      </w:pPr>
    </w:p>
    <w:p w14:paraId="560B7FEC" w14:textId="2415087E" w:rsidR="00067BDE" w:rsidRDefault="00067BDE" w:rsidP="003247FB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Over the </w:t>
      </w:r>
      <w:r w:rsidR="00066A4F">
        <w:rPr>
          <w:sz w:val="26"/>
          <w:szCs w:val="26"/>
        </w:rPr>
        <w:t>three-year</w:t>
      </w:r>
      <w:r>
        <w:rPr>
          <w:sz w:val="26"/>
          <w:szCs w:val="26"/>
        </w:rPr>
        <w:t xml:space="preserve"> period of 20</w:t>
      </w:r>
      <w:r w:rsidR="00771A13">
        <w:rPr>
          <w:sz w:val="26"/>
          <w:szCs w:val="26"/>
        </w:rPr>
        <w:t>21</w:t>
      </w:r>
      <w:r>
        <w:rPr>
          <w:sz w:val="26"/>
          <w:szCs w:val="26"/>
        </w:rPr>
        <w:t>-20</w:t>
      </w:r>
      <w:r w:rsidR="00931397">
        <w:rPr>
          <w:sz w:val="26"/>
          <w:szCs w:val="26"/>
        </w:rPr>
        <w:t>2</w:t>
      </w:r>
      <w:r w:rsidR="00771A13">
        <w:rPr>
          <w:sz w:val="26"/>
          <w:szCs w:val="26"/>
        </w:rPr>
        <w:t>3</w:t>
      </w:r>
      <w:r>
        <w:rPr>
          <w:sz w:val="26"/>
          <w:szCs w:val="26"/>
        </w:rPr>
        <w:t xml:space="preserve">, Duquesne expects to spend </w:t>
      </w:r>
      <w:r w:rsidR="00037640">
        <w:rPr>
          <w:sz w:val="26"/>
          <w:szCs w:val="26"/>
        </w:rPr>
        <w:t>approximately $</w:t>
      </w:r>
      <w:r w:rsidR="00240275">
        <w:rPr>
          <w:sz w:val="26"/>
          <w:szCs w:val="26"/>
        </w:rPr>
        <w:t>385.9 million annually</w:t>
      </w:r>
      <w:r>
        <w:rPr>
          <w:sz w:val="26"/>
          <w:szCs w:val="26"/>
        </w:rPr>
        <w:t xml:space="preserve"> on capital expenditures related to</w:t>
      </w:r>
      <w:r w:rsidR="00931397">
        <w:rPr>
          <w:sz w:val="26"/>
          <w:szCs w:val="26"/>
        </w:rPr>
        <w:t xml:space="preserve"> </w:t>
      </w:r>
      <w:r w:rsidR="00151947">
        <w:rPr>
          <w:sz w:val="26"/>
          <w:szCs w:val="26"/>
        </w:rPr>
        <w:t xml:space="preserve">the Company’s Long-term Infrastructure Improvement </w:t>
      </w:r>
      <w:r w:rsidR="00760336">
        <w:rPr>
          <w:sz w:val="26"/>
          <w:szCs w:val="26"/>
        </w:rPr>
        <w:t>Plan</w:t>
      </w:r>
      <w:r w:rsidR="001C74DF">
        <w:rPr>
          <w:sz w:val="26"/>
          <w:szCs w:val="26"/>
        </w:rPr>
        <w:t>,</w:t>
      </w:r>
      <w:r w:rsidR="00760336">
        <w:rPr>
          <w:sz w:val="26"/>
          <w:szCs w:val="26"/>
        </w:rPr>
        <w:t xml:space="preserve"> and electric </w:t>
      </w:r>
      <w:r w:rsidR="00931397">
        <w:rPr>
          <w:sz w:val="26"/>
          <w:szCs w:val="26"/>
        </w:rPr>
        <w:t>transmission</w:t>
      </w:r>
      <w:r>
        <w:rPr>
          <w:sz w:val="26"/>
          <w:szCs w:val="26"/>
        </w:rPr>
        <w:t xml:space="preserve"> and</w:t>
      </w:r>
      <w:r w:rsidR="00931397">
        <w:rPr>
          <w:sz w:val="26"/>
          <w:szCs w:val="26"/>
        </w:rPr>
        <w:t xml:space="preserve"> distribution </w:t>
      </w:r>
      <w:r w:rsidR="00760336">
        <w:rPr>
          <w:sz w:val="26"/>
          <w:szCs w:val="26"/>
        </w:rPr>
        <w:t xml:space="preserve">line investments </w:t>
      </w:r>
      <w:r w:rsidR="004C0904">
        <w:rPr>
          <w:sz w:val="26"/>
          <w:szCs w:val="26"/>
        </w:rPr>
        <w:t>required to address system capacity, reliability, and asset management needs</w:t>
      </w:r>
      <w:r>
        <w:rPr>
          <w:sz w:val="26"/>
          <w:szCs w:val="26"/>
        </w:rPr>
        <w:t xml:space="preserve">.  </w:t>
      </w:r>
      <w:r w:rsidR="00F23E1D">
        <w:rPr>
          <w:sz w:val="26"/>
          <w:szCs w:val="26"/>
        </w:rPr>
        <w:t xml:space="preserve">A portion of these capital expenditures would be financed by debt from this </w:t>
      </w:r>
      <w:r w:rsidR="006D6684">
        <w:rPr>
          <w:sz w:val="26"/>
          <w:szCs w:val="26"/>
        </w:rPr>
        <w:t>s</w:t>
      </w:r>
      <w:r w:rsidR="00F23E1D">
        <w:rPr>
          <w:sz w:val="26"/>
          <w:szCs w:val="26"/>
        </w:rPr>
        <w:t xml:space="preserve">ecurities </w:t>
      </w:r>
      <w:r w:rsidR="006D6684">
        <w:rPr>
          <w:sz w:val="26"/>
          <w:szCs w:val="26"/>
        </w:rPr>
        <w:t>c</w:t>
      </w:r>
      <w:r w:rsidR="00F23E1D">
        <w:rPr>
          <w:sz w:val="26"/>
          <w:szCs w:val="26"/>
        </w:rPr>
        <w:t>ertificate.</w:t>
      </w:r>
      <w:r w:rsidR="006D7FBD">
        <w:rPr>
          <w:sz w:val="26"/>
          <w:szCs w:val="26"/>
        </w:rPr>
        <w:t xml:space="preserve">  Duquesne states that the proposed debt issuances may </w:t>
      </w:r>
      <w:r w:rsidR="006D6BCF">
        <w:rPr>
          <w:sz w:val="26"/>
          <w:szCs w:val="26"/>
        </w:rPr>
        <w:t xml:space="preserve">also </w:t>
      </w:r>
      <w:r w:rsidR="006D7FBD">
        <w:rPr>
          <w:sz w:val="26"/>
          <w:szCs w:val="26"/>
        </w:rPr>
        <w:t>be used to refinance outstanding debt and for general corporate purposes.</w:t>
      </w:r>
    </w:p>
    <w:p w14:paraId="29DE92CF" w14:textId="5AB2E7FD" w:rsidR="0097443E" w:rsidRDefault="0097443E" w:rsidP="000C510B">
      <w:pPr>
        <w:spacing w:line="360" w:lineRule="auto"/>
        <w:rPr>
          <w:sz w:val="26"/>
          <w:szCs w:val="26"/>
        </w:rPr>
      </w:pPr>
    </w:p>
    <w:p w14:paraId="7357EB84" w14:textId="0FD6A729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Duquesne’s </w:t>
      </w:r>
      <w:r w:rsidR="00E82DBA">
        <w:rPr>
          <w:sz w:val="26"/>
          <w:szCs w:val="26"/>
        </w:rPr>
        <w:t xml:space="preserve">corporate </w:t>
      </w:r>
      <w:r w:rsidR="00390C31" w:rsidRPr="00390C31">
        <w:rPr>
          <w:sz w:val="26"/>
          <w:szCs w:val="26"/>
        </w:rPr>
        <w:t>credit rating is BBB</w:t>
      </w:r>
      <w:r w:rsidR="00DC2E86">
        <w:rPr>
          <w:sz w:val="26"/>
          <w:szCs w:val="26"/>
        </w:rPr>
        <w:t>+</w:t>
      </w:r>
      <w:r>
        <w:rPr>
          <w:sz w:val="26"/>
          <w:szCs w:val="26"/>
        </w:rPr>
        <w:t xml:space="preserve"> by S&amp;P’s rating service</w:t>
      </w:r>
      <w:r w:rsidR="006B04C4">
        <w:rPr>
          <w:sz w:val="26"/>
          <w:szCs w:val="26"/>
        </w:rPr>
        <w:t xml:space="preserve"> and A3 by Moody’s</w:t>
      </w:r>
      <w:r w:rsidR="00BB6BDB">
        <w:rPr>
          <w:sz w:val="26"/>
          <w:szCs w:val="26"/>
        </w:rPr>
        <w:t>, which is investment grade</w:t>
      </w:r>
      <w:r>
        <w:rPr>
          <w:sz w:val="26"/>
          <w:szCs w:val="26"/>
        </w:rPr>
        <w:t xml:space="preserve">.  </w:t>
      </w:r>
      <w:r w:rsidR="00B40798">
        <w:rPr>
          <w:sz w:val="26"/>
          <w:szCs w:val="26"/>
        </w:rPr>
        <w:t>The Company</w:t>
      </w:r>
      <w:r>
        <w:rPr>
          <w:sz w:val="26"/>
          <w:szCs w:val="26"/>
        </w:rPr>
        <w:t>’s capital structure consist</w:t>
      </w:r>
      <w:r w:rsidR="00D0581C">
        <w:rPr>
          <w:sz w:val="26"/>
          <w:szCs w:val="26"/>
        </w:rPr>
        <w:t xml:space="preserve">s of approximately </w:t>
      </w:r>
      <w:r w:rsidR="00C864C3">
        <w:rPr>
          <w:sz w:val="26"/>
          <w:szCs w:val="26"/>
        </w:rPr>
        <w:t>48</w:t>
      </w:r>
      <w:r>
        <w:rPr>
          <w:sz w:val="26"/>
          <w:szCs w:val="26"/>
        </w:rPr>
        <w:t>% long-term debt</w:t>
      </w:r>
      <w:r w:rsidR="00931397">
        <w:rPr>
          <w:sz w:val="26"/>
          <w:szCs w:val="26"/>
        </w:rPr>
        <w:t xml:space="preserve"> </w:t>
      </w:r>
      <w:r>
        <w:rPr>
          <w:sz w:val="26"/>
          <w:szCs w:val="26"/>
        </w:rPr>
        <w:t>and 5</w:t>
      </w:r>
      <w:r w:rsidR="00931397">
        <w:rPr>
          <w:sz w:val="26"/>
          <w:szCs w:val="26"/>
        </w:rPr>
        <w:t>2</w:t>
      </w:r>
      <w:r>
        <w:rPr>
          <w:sz w:val="26"/>
          <w:szCs w:val="26"/>
        </w:rPr>
        <w:t>% common equity.</w:t>
      </w:r>
    </w:p>
    <w:p w14:paraId="0EF5C552" w14:textId="0C5BE76B" w:rsidR="00DF3944" w:rsidRDefault="00DF3944" w:rsidP="00067BDE">
      <w:pPr>
        <w:spacing w:line="360" w:lineRule="auto"/>
        <w:ind w:firstLine="720"/>
        <w:rPr>
          <w:sz w:val="26"/>
          <w:szCs w:val="26"/>
        </w:rPr>
      </w:pPr>
    </w:p>
    <w:p w14:paraId="1FEA4A06" w14:textId="3A9AC9A1" w:rsidR="00067BDE" w:rsidRDefault="00321436" w:rsidP="00067BD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C</w:t>
      </w:r>
      <w:r w:rsidR="00067BDE">
        <w:rPr>
          <w:sz w:val="26"/>
          <w:szCs w:val="26"/>
        </w:rPr>
        <w:t>ompliance checks found that the Company is current with its annual, quarterly, and Security Planning and Readiness report filing requirements and has no outstanding fines or assessments.</w:t>
      </w:r>
    </w:p>
    <w:p w14:paraId="7A268B9D" w14:textId="77777777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</w:p>
    <w:p w14:paraId="33C6F228" w14:textId="32CB5056" w:rsidR="00067BDE" w:rsidRDefault="00067BDE" w:rsidP="00067BDE">
      <w:pPr>
        <w:spacing w:line="360" w:lineRule="auto"/>
        <w:ind w:firstLine="720"/>
        <w:rPr>
          <w:b/>
          <w:sz w:val="26"/>
          <w:szCs w:val="26"/>
        </w:rPr>
      </w:pPr>
      <w:r>
        <w:rPr>
          <w:sz w:val="26"/>
          <w:szCs w:val="26"/>
        </w:rPr>
        <w:t>Having reviewed the instant filing, we have determined that Duquesne’s proposal for the issuance of up to $</w:t>
      </w:r>
      <w:r w:rsidR="00787303">
        <w:rPr>
          <w:sz w:val="26"/>
          <w:szCs w:val="26"/>
        </w:rPr>
        <w:t>4</w:t>
      </w:r>
      <w:r>
        <w:rPr>
          <w:sz w:val="26"/>
          <w:szCs w:val="26"/>
        </w:rPr>
        <w:t xml:space="preserve">00 million of debt is necessary or proper for the present and probable future capital needs of the utility; </w:t>
      </w:r>
      <w:r>
        <w:rPr>
          <w:b/>
          <w:sz w:val="26"/>
          <w:szCs w:val="26"/>
        </w:rPr>
        <w:t>THEREFORE,</w:t>
      </w:r>
    </w:p>
    <w:p w14:paraId="7244C690" w14:textId="77777777" w:rsidR="00067BDE" w:rsidRDefault="00067BDE" w:rsidP="00067BDE">
      <w:pPr>
        <w:spacing w:line="360" w:lineRule="auto"/>
        <w:rPr>
          <w:b/>
          <w:sz w:val="26"/>
          <w:szCs w:val="26"/>
        </w:rPr>
      </w:pPr>
    </w:p>
    <w:p w14:paraId="538280F1" w14:textId="77777777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  <w:r>
        <w:rPr>
          <w:b/>
          <w:sz w:val="26"/>
          <w:szCs w:val="26"/>
        </w:rPr>
        <w:t>IT IS ORDERED:</w:t>
      </w:r>
    </w:p>
    <w:p w14:paraId="5099767D" w14:textId="77777777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</w:p>
    <w:p w14:paraId="2A638A8E" w14:textId="084F2553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1.  That the securities certificate of Duquesne Light Company with respect to </w:t>
      </w:r>
      <w:r w:rsidR="005B1188" w:rsidRPr="005B1188">
        <w:rPr>
          <w:sz w:val="26"/>
          <w:szCs w:val="26"/>
        </w:rPr>
        <w:t>the issuance of long-term debt in an aggregate principal amount not to exceed $400 million</w:t>
      </w:r>
      <w:r>
        <w:rPr>
          <w:sz w:val="26"/>
          <w:szCs w:val="26"/>
        </w:rPr>
        <w:t xml:space="preserve"> is hereby registered.</w:t>
      </w:r>
    </w:p>
    <w:p w14:paraId="47C727B4" w14:textId="77777777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</w:p>
    <w:p w14:paraId="3E4AEE1F" w14:textId="12EE2BAF" w:rsidR="00067BDE" w:rsidRDefault="00067BDE" w:rsidP="00067BDE">
      <w:pPr>
        <w:tabs>
          <w:tab w:val="left" w:pos="1800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2.  That within 60 days of </w:t>
      </w:r>
      <w:r w:rsidR="008E1966">
        <w:rPr>
          <w:sz w:val="26"/>
          <w:szCs w:val="26"/>
        </w:rPr>
        <w:t>any</w:t>
      </w:r>
      <w:r>
        <w:rPr>
          <w:sz w:val="26"/>
          <w:szCs w:val="26"/>
        </w:rPr>
        <w:t xml:space="preserve"> issuance of debt Duquesne Light Company shall notify the Commission of such issuance, along with a summary of the type of debt, interest rate, </w:t>
      </w:r>
      <w:r w:rsidR="003B5F0E">
        <w:rPr>
          <w:sz w:val="26"/>
          <w:szCs w:val="26"/>
        </w:rPr>
        <w:t>maturity,</w:t>
      </w:r>
      <w:r>
        <w:rPr>
          <w:sz w:val="26"/>
          <w:szCs w:val="26"/>
        </w:rPr>
        <w:t xml:space="preserve"> and call provisions.</w:t>
      </w:r>
    </w:p>
    <w:p w14:paraId="5B9DEAE9" w14:textId="77777777" w:rsidR="00067BDE" w:rsidRDefault="00067BDE" w:rsidP="00067BDE">
      <w:pPr>
        <w:tabs>
          <w:tab w:val="left" w:pos="1800"/>
        </w:tabs>
        <w:spacing w:line="360" w:lineRule="auto"/>
        <w:ind w:firstLine="720"/>
        <w:rPr>
          <w:sz w:val="26"/>
          <w:szCs w:val="26"/>
        </w:rPr>
      </w:pPr>
    </w:p>
    <w:p w14:paraId="5449C9B4" w14:textId="1E6A11C3" w:rsidR="00067BDE" w:rsidRDefault="00067BDE" w:rsidP="00067BDE">
      <w:pPr>
        <w:tabs>
          <w:tab w:val="left" w:pos="1800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3.  That the registration of the debt securities will end on December 31, 20</w:t>
      </w:r>
      <w:r w:rsidR="00787303">
        <w:rPr>
          <w:sz w:val="26"/>
          <w:szCs w:val="26"/>
        </w:rPr>
        <w:t>2</w:t>
      </w:r>
      <w:r w:rsidR="00223955">
        <w:rPr>
          <w:sz w:val="26"/>
          <w:szCs w:val="26"/>
        </w:rPr>
        <w:t>3</w:t>
      </w:r>
      <w:r w:rsidR="00321436">
        <w:rPr>
          <w:sz w:val="26"/>
          <w:szCs w:val="26"/>
        </w:rPr>
        <w:t>,</w:t>
      </w:r>
      <w:r w:rsidR="00321436" w:rsidRPr="00321436">
        <w:rPr>
          <w:sz w:val="26"/>
          <w:szCs w:val="26"/>
        </w:rPr>
        <w:t xml:space="preserve"> </w:t>
      </w:r>
      <w:r w:rsidR="00321436">
        <w:rPr>
          <w:sz w:val="26"/>
          <w:szCs w:val="26"/>
        </w:rPr>
        <w:t>if no issuance has taken place by that date.</w:t>
      </w:r>
    </w:p>
    <w:p w14:paraId="2DCBEF29" w14:textId="77777777" w:rsidR="00067BDE" w:rsidRDefault="00067BDE" w:rsidP="00067BDE">
      <w:pPr>
        <w:tabs>
          <w:tab w:val="left" w:pos="1800"/>
        </w:tabs>
        <w:spacing w:line="360" w:lineRule="auto"/>
        <w:ind w:firstLine="720"/>
        <w:rPr>
          <w:sz w:val="26"/>
          <w:szCs w:val="26"/>
        </w:rPr>
      </w:pPr>
    </w:p>
    <w:p w14:paraId="03A2B989" w14:textId="77777777" w:rsidR="00067BDE" w:rsidRDefault="00067BDE" w:rsidP="00067BDE">
      <w:pPr>
        <w:tabs>
          <w:tab w:val="left" w:pos="1800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4.  That upon receipt of the final filing under Ordering Paragraph 2, above, this case shall be marked closed.</w:t>
      </w:r>
    </w:p>
    <w:p w14:paraId="14B474BE" w14:textId="77777777" w:rsidR="00067BDE" w:rsidRDefault="00067BDE" w:rsidP="00067BDE">
      <w:pPr>
        <w:tabs>
          <w:tab w:val="left" w:pos="1800"/>
        </w:tabs>
        <w:spacing w:line="360" w:lineRule="auto"/>
        <w:ind w:firstLine="720"/>
        <w:rPr>
          <w:sz w:val="26"/>
          <w:szCs w:val="26"/>
        </w:rPr>
      </w:pPr>
    </w:p>
    <w:p w14:paraId="704A7AF5" w14:textId="263F57D0" w:rsidR="00787E48" w:rsidRDefault="00067BDE" w:rsidP="003B5F0E">
      <w:pPr>
        <w:tabs>
          <w:tab w:val="left" w:pos="1800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5.  That the remaining balance of the securities certificate registered at Docket No. S-201</w:t>
      </w:r>
      <w:r w:rsidR="003B5F0E">
        <w:rPr>
          <w:sz w:val="26"/>
          <w:szCs w:val="26"/>
        </w:rPr>
        <w:t>9</w:t>
      </w:r>
      <w:r w:rsidR="00787303">
        <w:rPr>
          <w:sz w:val="26"/>
          <w:szCs w:val="26"/>
        </w:rPr>
        <w:t>-</w:t>
      </w:r>
      <w:r w:rsidR="003B5F0E">
        <w:rPr>
          <w:sz w:val="26"/>
          <w:szCs w:val="26"/>
        </w:rPr>
        <w:t>3013570</w:t>
      </w:r>
      <w:r>
        <w:rPr>
          <w:sz w:val="26"/>
          <w:szCs w:val="26"/>
        </w:rPr>
        <w:t xml:space="preserve"> is canceled.</w:t>
      </w:r>
    </w:p>
    <w:p w14:paraId="20E102C8" w14:textId="5EF82258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33470FE" w14:textId="77777777" w:rsidR="00067BDE" w:rsidRDefault="00067BDE" w:rsidP="00067BD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6.  Consistent with Section 1903(b) of the Public Utility Code, 66 Pa. C.S. § 1903(b), the registration of the subject securities certificate does not represent Commission approval of the proposed projects for rate recovery pursuant to 66 Pa. C.S. §§ 1301-1328.   </w:t>
      </w:r>
    </w:p>
    <w:p w14:paraId="3DDFC546" w14:textId="77777777" w:rsidR="00067BDE" w:rsidRDefault="00067BDE" w:rsidP="00067BDE">
      <w:pPr>
        <w:tabs>
          <w:tab w:val="left" w:pos="1800"/>
        </w:tabs>
        <w:spacing w:line="360" w:lineRule="auto"/>
        <w:ind w:firstLine="720"/>
        <w:rPr>
          <w:sz w:val="26"/>
          <w:szCs w:val="26"/>
        </w:rPr>
      </w:pPr>
    </w:p>
    <w:p w14:paraId="4C9FD1CA" w14:textId="77777777" w:rsidR="00067BDE" w:rsidRDefault="00067BDE" w:rsidP="00067BDE">
      <w:pPr>
        <w:tabs>
          <w:tab w:val="left" w:pos="1800"/>
        </w:tabs>
        <w:spacing w:line="360" w:lineRule="auto"/>
        <w:ind w:firstLine="720"/>
        <w:rPr>
          <w:sz w:val="26"/>
          <w:szCs w:val="26"/>
        </w:rPr>
      </w:pPr>
    </w:p>
    <w:p w14:paraId="1233B01F" w14:textId="2D2A6CC9" w:rsidR="00067BDE" w:rsidRDefault="004B400E" w:rsidP="00321436">
      <w:pPr>
        <w:spacing w:line="360" w:lineRule="auto"/>
        <w:ind w:left="2880" w:firstLine="1440"/>
        <w:rPr>
          <w:sz w:val="26"/>
          <w:szCs w:val="26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728E142" wp14:editId="2248FCB2">
            <wp:simplePos x="0" y="0"/>
            <wp:positionH relativeFrom="column">
              <wp:posOffset>2552700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BDE">
        <w:rPr>
          <w:b/>
          <w:sz w:val="26"/>
          <w:szCs w:val="26"/>
        </w:rPr>
        <w:t>BY THE COMMISSION</w:t>
      </w:r>
    </w:p>
    <w:p w14:paraId="63F84F54" w14:textId="61A8C588" w:rsidR="00067BDE" w:rsidRDefault="00067BDE" w:rsidP="00321436">
      <w:pPr>
        <w:ind w:left="4320"/>
        <w:rPr>
          <w:sz w:val="26"/>
          <w:szCs w:val="26"/>
        </w:rPr>
      </w:pPr>
    </w:p>
    <w:p w14:paraId="480840F3" w14:textId="24FA30AF" w:rsidR="00067BDE" w:rsidRDefault="00067BDE" w:rsidP="00321436">
      <w:pPr>
        <w:ind w:left="4320"/>
        <w:rPr>
          <w:sz w:val="26"/>
          <w:szCs w:val="26"/>
        </w:rPr>
      </w:pPr>
    </w:p>
    <w:p w14:paraId="09E20D3A" w14:textId="77777777" w:rsidR="00E766F1" w:rsidRDefault="00E766F1" w:rsidP="00321436">
      <w:pPr>
        <w:ind w:left="4320"/>
        <w:rPr>
          <w:sz w:val="26"/>
          <w:szCs w:val="26"/>
        </w:rPr>
      </w:pPr>
    </w:p>
    <w:p w14:paraId="7FB098A5" w14:textId="77777777" w:rsidR="00067BDE" w:rsidRDefault="00067BDE" w:rsidP="00321436">
      <w:pPr>
        <w:ind w:left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34DCE123" w14:textId="77777777" w:rsidR="00067BDE" w:rsidRDefault="00067BDE" w:rsidP="00321436">
      <w:pPr>
        <w:ind w:left="4320"/>
        <w:rPr>
          <w:sz w:val="26"/>
          <w:szCs w:val="26"/>
        </w:rPr>
      </w:pPr>
      <w:r>
        <w:rPr>
          <w:sz w:val="26"/>
          <w:szCs w:val="26"/>
        </w:rPr>
        <w:t>Secretary</w:t>
      </w:r>
    </w:p>
    <w:p w14:paraId="18B5C479" w14:textId="77777777" w:rsidR="00067BDE" w:rsidRDefault="00067BDE" w:rsidP="00321436">
      <w:pPr>
        <w:spacing w:line="360" w:lineRule="auto"/>
        <w:ind w:left="4320"/>
        <w:rPr>
          <w:sz w:val="26"/>
          <w:szCs w:val="26"/>
        </w:rPr>
      </w:pPr>
    </w:p>
    <w:p w14:paraId="103F17BF" w14:textId="77777777" w:rsidR="00067BDE" w:rsidRDefault="00067BDE" w:rsidP="0032143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(SEAL)</w:t>
      </w:r>
    </w:p>
    <w:p w14:paraId="5F7EC04B" w14:textId="1C66D276" w:rsidR="00067BDE" w:rsidRDefault="00067BDE" w:rsidP="0032143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ORDER ADOPTED:  </w:t>
      </w:r>
      <w:r w:rsidR="00B71534">
        <w:rPr>
          <w:sz w:val="26"/>
          <w:szCs w:val="26"/>
        </w:rPr>
        <w:t>November 18, 2021</w:t>
      </w:r>
    </w:p>
    <w:p w14:paraId="57781238" w14:textId="350C71F7" w:rsidR="004B400E" w:rsidRDefault="00067BDE" w:rsidP="0032143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ORDER ENTERED:  </w:t>
      </w:r>
      <w:r w:rsidR="004B400E">
        <w:rPr>
          <w:sz w:val="26"/>
          <w:szCs w:val="26"/>
        </w:rPr>
        <w:t>November 18, 2021</w:t>
      </w:r>
    </w:p>
    <w:p w14:paraId="0DF9106B" w14:textId="77777777" w:rsidR="0063246A" w:rsidRDefault="0063246A"/>
    <w:sectPr w:rsidR="0063246A" w:rsidSect="00E66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A1EF" w14:textId="77777777" w:rsidR="00A22B56" w:rsidRDefault="00A22B56" w:rsidP="00E665F7">
      <w:r>
        <w:separator/>
      </w:r>
    </w:p>
  </w:endnote>
  <w:endnote w:type="continuationSeparator" w:id="0">
    <w:p w14:paraId="68C54499" w14:textId="77777777" w:rsidR="00A22B56" w:rsidRDefault="00A22B56" w:rsidP="00E6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D693" w14:textId="77777777" w:rsidR="00E665F7" w:rsidRDefault="00E66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64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CF121" w14:textId="0C7DF270" w:rsidR="00E665F7" w:rsidRDefault="00E665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5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5681A" w14:textId="77777777" w:rsidR="00E665F7" w:rsidRDefault="00E66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3F8C" w14:textId="77777777" w:rsidR="00E665F7" w:rsidRDefault="00E66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AC53" w14:textId="77777777" w:rsidR="00A22B56" w:rsidRDefault="00A22B56" w:rsidP="00E665F7">
      <w:r>
        <w:separator/>
      </w:r>
    </w:p>
  </w:footnote>
  <w:footnote w:type="continuationSeparator" w:id="0">
    <w:p w14:paraId="7BAA37DB" w14:textId="77777777" w:rsidR="00A22B56" w:rsidRDefault="00A22B56" w:rsidP="00E6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49F2" w14:textId="77777777" w:rsidR="00E665F7" w:rsidRDefault="00E66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597C" w14:textId="77777777" w:rsidR="00E665F7" w:rsidRDefault="00E66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3E30" w14:textId="77777777" w:rsidR="00E665F7" w:rsidRDefault="00E66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BDE"/>
    <w:rsid w:val="00000F3B"/>
    <w:rsid w:val="00001402"/>
    <w:rsid w:val="00001941"/>
    <w:rsid w:val="00037640"/>
    <w:rsid w:val="00046823"/>
    <w:rsid w:val="00051A64"/>
    <w:rsid w:val="00066A4F"/>
    <w:rsid w:val="00067BDE"/>
    <w:rsid w:val="00086C28"/>
    <w:rsid w:val="000C510B"/>
    <w:rsid w:val="00106AA1"/>
    <w:rsid w:val="0011048A"/>
    <w:rsid w:val="00114CFB"/>
    <w:rsid w:val="00136365"/>
    <w:rsid w:val="00151947"/>
    <w:rsid w:val="00162C74"/>
    <w:rsid w:val="001C74DF"/>
    <w:rsid w:val="00223955"/>
    <w:rsid w:val="00240275"/>
    <w:rsid w:val="00283386"/>
    <w:rsid w:val="0029705A"/>
    <w:rsid w:val="002A0F2B"/>
    <w:rsid w:val="002A4537"/>
    <w:rsid w:val="002D3CC4"/>
    <w:rsid w:val="00301C74"/>
    <w:rsid w:val="00312D4E"/>
    <w:rsid w:val="00317A87"/>
    <w:rsid w:val="00321436"/>
    <w:rsid w:val="003247FB"/>
    <w:rsid w:val="00335EF3"/>
    <w:rsid w:val="00350683"/>
    <w:rsid w:val="003747CA"/>
    <w:rsid w:val="00390C31"/>
    <w:rsid w:val="003B5F0E"/>
    <w:rsid w:val="003E2612"/>
    <w:rsid w:val="00462341"/>
    <w:rsid w:val="00487BC1"/>
    <w:rsid w:val="00490A6D"/>
    <w:rsid w:val="004A7096"/>
    <w:rsid w:val="004B400E"/>
    <w:rsid w:val="004B4E21"/>
    <w:rsid w:val="004C0904"/>
    <w:rsid w:val="004C5FF4"/>
    <w:rsid w:val="004F5DDB"/>
    <w:rsid w:val="005078CC"/>
    <w:rsid w:val="00517191"/>
    <w:rsid w:val="0053437E"/>
    <w:rsid w:val="00535567"/>
    <w:rsid w:val="00557074"/>
    <w:rsid w:val="00577304"/>
    <w:rsid w:val="005B1188"/>
    <w:rsid w:val="005D391B"/>
    <w:rsid w:val="005E0224"/>
    <w:rsid w:val="005E2E94"/>
    <w:rsid w:val="0063246A"/>
    <w:rsid w:val="00634778"/>
    <w:rsid w:val="006567FB"/>
    <w:rsid w:val="006B04C4"/>
    <w:rsid w:val="006D6684"/>
    <w:rsid w:val="006D6BCF"/>
    <w:rsid w:val="006D7FBD"/>
    <w:rsid w:val="00756E25"/>
    <w:rsid w:val="00760336"/>
    <w:rsid w:val="00771A13"/>
    <w:rsid w:val="00775C8C"/>
    <w:rsid w:val="00787303"/>
    <w:rsid w:val="00787E48"/>
    <w:rsid w:val="007F6FB9"/>
    <w:rsid w:val="008115C0"/>
    <w:rsid w:val="008B61F5"/>
    <w:rsid w:val="008C1A67"/>
    <w:rsid w:val="008E1966"/>
    <w:rsid w:val="00903673"/>
    <w:rsid w:val="00913201"/>
    <w:rsid w:val="00931397"/>
    <w:rsid w:val="009400EF"/>
    <w:rsid w:val="00960642"/>
    <w:rsid w:val="0097443E"/>
    <w:rsid w:val="009C3FC7"/>
    <w:rsid w:val="009F0D75"/>
    <w:rsid w:val="009F1FAB"/>
    <w:rsid w:val="00A1172C"/>
    <w:rsid w:val="00A22B56"/>
    <w:rsid w:val="00A33DBB"/>
    <w:rsid w:val="00A618B4"/>
    <w:rsid w:val="00A61C3B"/>
    <w:rsid w:val="00A873E4"/>
    <w:rsid w:val="00AA01BF"/>
    <w:rsid w:val="00AD5E17"/>
    <w:rsid w:val="00AF3007"/>
    <w:rsid w:val="00B35FC0"/>
    <w:rsid w:val="00B40798"/>
    <w:rsid w:val="00B43ED7"/>
    <w:rsid w:val="00B71534"/>
    <w:rsid w:val="00B75334"/>
    <w:rsid w:val="00B823D4"/>
    <w:rsid w:val="00BB6BDB"/>
    <w:rsid w:val="00BC0F5A"/>
    <w:rsid w:val="00BD2BE6"/>
    <w:rsid w:val="00C022B6"/>
    <w:rsid w:val="00C724E8"/>
    <w:rsid w:val="00C807D0"/>
    <w:rsid w:val="00C83ACE"/>
    <w:rsid w:val="00C864C3"/>
    <w:rsid w:val="00C96769"/>
    <w:rsid w:val="00CA7C29"/>
    <w:rsid w:val="00D0581C"/>
    <w:rsid w:val="00D30B0F"/>
    <w:rsid w:val="00D60BFD"/>
    <w:rsid w:val="00D646AA"/>
    <w:rsid w:val="00D87372"/>
    <w:rsid w:val="00DA2D67"/>
    <w:rsid w:val="00DC2E86"/>
    <w:rsid w:val="00DF3944"/>
    <w:rsid w:val="00E07D12"/>
    <w:rsid w:val="00E147F2"/>
    <w:rsid w:val="00E665F7"/>
    <w:rsid w:val="00E766F1"/>
    <w:rsid w:val="00E82DBA"/>
    <w:rsid w:val="00EA7DED"/>
    <w:rsid w:val="00EC48D3"/>
    <w:rsid w:val="00F23E1D"/>
    <w:rsid w:val="00F96B15"/>
    <w:rsid w:val="00F96B76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FB39C50"/>
  <w15:chartTrackingRefBased/>
  <w15:docId w15:val="{AE181FD8-9B55-4BE4-BC04-A5F02256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067BDE"/>
    <w:pPr>
      <w:ind w:left="720"/>
      <w:jc w:val="center"/>
    </w:pPr>
    <w:rPr>
      <w:color w:val="0000FF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67BDE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3E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6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5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6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5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Sheffer, Ryan</cp:lastModifiedBy>
  <cp:revision>3</cp:revision>
  <cp:lastPrinted>2019-11-13T18:39:00Z</cp:lastPrinted>
  <dcterms:created xsi:type="dcterms:W3CDTF">2021-11-01T13:49:00Z</dcterms:created>
  <dcterms:modified xsi:type="dcterms:W3CDTF">2021-11-18T12:54:00Z</dcterms:modified>
</cp:coreProperties>
</file>