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FFD4" w14:textId="62E23993" w:rsidR="001B3461" w:rsidRPr="00F1714B" w:rsidRDefault="001B3461" w:rsidP="00E55426">
      <w:pPr>
        <w:tabs>
          <w:tab w:val="center" w:pos="4680"/>
        </w:tabs>
        <w:suppressAutoHyphens/>
        <w:spacing w:line="240" w:lineRule="auto"/>
        <w:contextualSpacing/>
        <w:jc w:val="center"/>
        <w:rPr>
          <w:rFonts w:cs="Times New Roman"/>
          <w:b/>
          <w:szCs w:val="26"/>
        </w:rPr>
      </w:pPr>
      <w:r w:rsidRPr="00F1714B">
        <w:rPr>
          <w:rFonts w:cs="Times New Roman"/>
          <w:b/>
          <w:szCs w:val="26"/>
        </w:rPr>
        <w:t>PENNSYLVANIA</w:t>
      </w:r>
    </w:p>
    <w:p w14:paraId="323A3172" w14:textId="77777777" w:rsidR="001B3461" w:rsidRPr="00F1714B" w:rsidRDefault="001B3461" w:rsidP="00E55426">
      <w:pPr>
        <w:tabs>
          <w:tab w:val="center" w:pos="4680"/>
        </w:tabs>
        <w:suppressAutoHyphens/>
        <w:spacing w:line="240" w:lineRule="auto"/>
        <w:contextualSpacing/>
        <w:jc w:val="center"/>
        <w:rPr>
          <w:rFonts w:cs="Times New Roman"/>
          <w:szCs w:val="26"/>
        </w:rPr>
      </w:pPr>
      <w:r w:rsidRPr="00F1714B">
        <w:rPr>
          <w:rFonts w:cs="Times New Roman"/>
          <w:b/>
          <w:szCs w:val="26"/>
        </w:rPr>
        <w:t>PUBLIC UTILITY COMMISSION</w:t>
      </w:r>
    </w:p>
    <w:p w14:paraId="7D87BC8D" w14:textId="77777777" w:rsidR="001B3461" w:rsidRPr="00F1714B" w:rsidRDefault="001B3461" w:rsidP="00E55426">
      <w:pPr>
        <w:tabs>
          <w:tab w:val="center" w:pos="4680"/>
        </w:tabs>
        <w:suppressAutoHyphens/>
        <w:spacing w:line="240" w:lineRule="auto"/>
        <w:contextualSpacing/>
        <w:jc w:val="center"/>
        <w:rPr>
          <w:rFonts w:cs="Times New Roman"/>
          <w:b/>
          <w:szCs w:val="26"/>
        </w:rPr>
      </w:pPr>
      <w:r w:rsidRPr="00F1714B">
        <w:rPr>
          <w:rFonts w:cs="Times New Roman"/>
          <w:b/>
          <w:szCs w:val="26"/>
        </w:rPr>
        <w:t>Harrisburg, PA 17105-3265</w:t>
      </w:r>
    </w:p>
    <w:p w14:paraId="5B595AC4" w14:textId="77777777" w:rsidR="001B3461" w:rsidRPr="00F1714B" w:rsidRDefault="001B3461" w:rsidP="00E55426">
      <w:pPr>
        <w:tabs>
          <w:tab w:val="center" w:pos="4680"/>
        </w:tabs>
        <w:suppressAutoHyphens/>
        <w:spacing w:line="240" w:lineRule="auto"/>
        <w:contextualSpacing/>
        <w:jc w:val="center"/>
        <w:rPr>
          <w:rFonts w:cs="Times New Roman"/>
          <w:szCs w:val="26"/>
        </w:rPr>
      </w:pPr>
    </w:p>
    <w:tbl>
      <w:tblPr>
        <w:tblW w:w="13143" w:type="dxa"/>
        <w:tblLook w:val="04A0" w:firstRow="1" w:lastRow="0" w:firstColumn="1" w:lastColumn="0" w:noHBand="0" w:noVBand="1"/>
      </w:tblPr>
      <w:tblGrid>
        <w:gridCol w:w="3510"/>
        <w:gridCol w:w="2880"/>
        <w:gridCol w:w="1080"/>
        <w:gridCol w:w="3330"/>
        <w:gridCol w:w="1263"/>
        <w:gridCol w:w="1080"/>
      </w:tblGrid>
      <w:tr w:rsidR="001B3461" w:rsidRPr="00F1714B" w14:paraId="70935805" w14:textId="77777777" w:rsidTr="00AF7618">
        <w:trPr>
          <w:gridAfter w:val="2"/>
          <w:wAfter w:w="2343" w:type="dxa"/>
          <w:trHeight w:val="720"/>
        </w:trPr>
        <w:tc>
          <w:tcPr>
            <w:tcW w:w="3510" w:type="dxa"/>
          </w:tcPr>
          <w:p w14:paraId="0DFC00A0" w14:textId="7AD919CB" w:rsidR="001B3461" w:rsidRPr="00F1714B" w:rsidRDefault="001B3461" w:rsidP="00E55426">
            <w:pPr>
              <w:spacing w:line="276" w:lineRule="auto"/>
              <w:contextualSpacing/>
              <w:rPr>
                <w:rFonts w:eastAsia="Times New Roman" w:cs="Times New Roman"/>
                <w:szCs w:val="26"/>
              </w:rPr>
            </w:pPr>
          </w:p>
        </w:tc>
        <w:tc>
          <w:tcPr>
            <w:tcW w:w="7290" w:type="dxa"/>
            <w:gridSpan w:val="3"/>
          </w:tcPr>
          <w:p w14:paraId="17B0B16D" w14:textId="7DECFC98" w:rsidR="001B3461" w:rsidRPr="00F1714B" w:rsidRDefault="000A551D" w:rsidP="00E55426">
            <w:pPr>
              <w:spacing w:line="276" w:lineRule="auto"/>
              <w:contextualSpacing/>
              <w:rPr>
                <w:rFonts w:eastAsia="Times New Roman" w:cs="Times New Roman"/>
                <w:szCs w:val="26"/>
              </w:rPr>
            </w:pPr>
            <w:r w:rsidRPr="00F1714B">
              <w:rPr>
                <w:rFonts w:cs="Times New Roman"/>
                <w:szCs w:val="26"/>
              </w:rPr>
              <w:t xml:space="preserve">                                  </w:t>
            </w:r>
            <w:r w:rsidR="001B3461" w:rsidRPr="00F1714B">
              <w:rPr>
                <w:rFonts w:cs="Times New Roman"/>
                <w:szCs w:val="26"/>
              </w:rPr>
              <w:t xml:space="preserve">Public Meeting held </w:t>
            </w:r>
            <w:r w:rsidR="0081795E" w:rsidRPr="00F1714B">
              <w:rPr>
                <w:rFonts w:cs="Times New Roman"/>
                <w:szCs w:val="26"/>
              </w:rPr>
              <w:t>October 28</w:t>
            </w:r>
            <w:r w:rsidR="001B3461" w:rsidRPr="00F1714B">
              <w:rPr>
                <w:rFonts w:cs="Times New Roman"/>
                <w:szCs w:val="26"/>
              </w:rPr>
              <w:t>,</w:t>
            </w:r>
            <w:r w:rsidRPr="00F1714B">
              <w:rPr>
                <w:rFonts w:cs="Times New Roman"/>
                <w:szCs w:val="26"/>
              </w:rPr>
              <w:t xml:space="preserve"> 2021 </w:t>
            </w:r>
            <w:r w:rsidR="001B3461" w:rsidRPr="00F1714B">
              <w:rPr>
                <w:rFonts w:cs="Times New Roman"/>
                <w:szCs w:val="26"/>
              </w:rPr>
              <w:t xml:space="preserve">       </w:t>
            </w:r>
          </w:p>
        </w:tc>
      </w:tr>
      <w:tr w:rsidR="001B3461" w:rsidRPr="00F1714B" w14:paraId="1290FBFF" w14:textId="77777777" w:rsidTr="002E4CAD">
        <w:trPr>
          <w:gridAfter w:val="1"/>
          <w:wAfter w:w="1080" w:type="dxa"/>
        </w:trPr>
        <w:tc>
          <w:tcPr>
            <w:tcW w:w="7470" w:type="dxa"/>
            <w:gridSpan w:val="3"/>
          </w:tcPr>
          <w:p w14:paraId="5FA4A536" w14:textId="77777777" w:rsidR="001B3461" w:rsidRPr="00F1714B" w:rsidRDefault="001B3461" w:rsidP="00E55426">
            <w:pPr>
              <w:spacing w:line="240" w:lineRule="auto"/>
              <w:contextualSpacing/>
              <w:rPr>
                <w:rFonts w:eastAsia="Times New Roman" w:cs="Times New Roman"/>
                <w:szCs w:val="26"/>
              </w:rPr>
            </w:pPr>
            <w:r w:rsidRPr="00F1714B">
              <w:rPr>
                <w:rFonts w:cs="Times New Roman"/>
                <w:szCs w:val="26"/>
              </w:rPr>
              <w:t>Commissioners Present:</w:t>
            </w:r>
          </w:p>
          <w:p w14:paraId="4A62E9F3" w14:textId="77777777" w:rsidR="001B3461" w:rsidRPr="00F1714B" w:rsidRDefault="001B3461" w:rsidP="00E55426">
            <w:pPr>
              <w:spacing w:line="240" w:lineRule="auto"/>
              <w:contextualSpacing/>
              <w:rPr>
                <w:rFonts w:cs="Times New Roman"/>
                <w:szCs w:val="26"/>
              </w:rPr>
            </w:pPr>
          </w:p>
          <w:p w14:paraId="1CAE89EF" w14:textId="011118B9" w:rsidR="003E13B9" w:rsidRPr="00F1714B" w:rsidRDefault="001B3461" w:rsidP="00E55426">
            <w:pPr>
              <w:tabs>
                <w:tab w:val="left" w:pos="705"/>
              </w:tabs>
              <w:spacing w:line="240" w:lineRule="auto"/>
              <w:ind w:firstLine="720"/>
              <w:contextualSpacing/>
              <w:rPr>
                <w:rFonts w:cs="Times New Roman"/>
                <w:szCs w:val="26"/>
              </w:rPr>
            </w:pPr>
            <w:r w:rsidRPr="00F1714B">
              <w:rPr>
                <w:rFonts w:cs="Times New Roman"/>
                <w:szCs w:val="26"/>
              </w:rPr>
              <w:t>Gladys Brown Dutrieuille, Chairman</w:t>
            </w:r>
            <w:r w:rsidR="002E4CAD">
              <w:rPr>
                <w:rFonts w:cs="Times New Roman"/>
                <w:szCs w:val="26"/>
              </w:rPr>
              <w:t xml:space="preserve">, Statement, Dissenting </w:t>
            </w:r>
          </w:p>
          <w:p w14:paraId="77456429" w14:textId="3DFAF704" w:rsidR="001B3461" w:rsidRPr="00F1714B" w:rsidRDefault="001B3461" w:rsidP="00E55426">
            <w:pPr>
              <w:tabs>
                <w:tab w:val="left" w:pos="705"/>
              </w:tabs>
              <w:spacing w:line="240" w:lineRule="auto"/>
              <w:ind w:firstLine="720"/>
              <w:contextualSpacing/>
              <w:jc w:val="both"/>
              <w:rPr>
                <w:rFonts w:cs="Times New Roman"/>
                <w:szCs w:val="26"/>
              </w:rPr>
            </w:pPr>
            <w:r w:rsidRPr="00F1714B">
              <w:rPr>
                <w:rFonts w:cs="Times New Roman"/>
                <w:szCs w:val="26"/>
              </w:rPr>
              <w:t>John F. Coleman, Jr.</w:t>
            </w:r>
            <w:r w:rsidR="00154801" w:rsidRPr="00F1714B">
              <w:rPr>
                <w:rFonts w:cs="Times New Roman"/>
                <w:szCs w:val="26"/>
              </w:rPr>
              <w:t>, Vice Chairman</w:t>
            </w:r>
            <w:r w:rsidRPr="00F1714B">
              <w:rPr>
                <w:rFonts w:cs="Times New Roman"/>
                <w:szCs w:val="26"/>
              </w:rPr>
              <w:t xml:space="preserve"> </w:t>
            </w:r>
          </w:p>
          <w:p w14:paraId="3C20641E" w14:textId="77777777" w:rsidR="001B3461" w:rsidRPr="00F1714B" w:rsidRDefault="001B3461" w:rsidP="00E55426">
            <w:pPr>
              <w:tabs>
                <w:tab w:val="left" w:pos="705"/>
              </w:tabs>
              <w:spacing w:line="240" w:lineRule="auto"/>
              <w:ind w:firstLine="720"/>
              <w:contextualSpacing/>
              <w:jc w:val="both"/>
              <w:rPr>
                <w:rFonts w:cs="Times New Roman"/>
                <w:szCs w:val="26"/>
              </w:rPr>
            </w:pPr>
            <w:r w:rsidRPr="00F1714B">
              <w:rPr>
                <w:rFonts w:cs="Times New Roman"/>
                <w:szCs w:val="26"/>
              </w:rPr>
              <w:t>Ralph V. Yanora</w:t>
            </w:r>
          </w:p>
          <w:p w14:paraId="41ADAA0A" w14:textId="77777777" w:rsidR="001B3461" w:rsidRPr="00F1714B" w:rsidRDefault="001B3461" w:rsidP="00E55426">
            <w:pPr>
              <w:tabs>
                <w:tab w:val="left" w:pos="705"/>
              </w:tabs>
              <w:spacing w:line="240" w:lineRule="auto"/>
              <w:ind w:firstLine="720"/>
              <w:contextualSpacing/>
              <w:jc w:val="both"/>
              <w:rPr>
                <w:rFonts w:eastAsia="Times New Roman" w:cs="Times New Roman"/>
                <w:szCs w:val="26"/>
              </w:rPr>
            </w:pPr>
          </w:p>
        </w:tc>
        <w:tc>
          <w:tcPr>
            <w:tcW w:w="4593" w:type="dxa"/>
            <w:gridSpan w:val="2"/>
          </w:tcPr>
          <w:p w14:paraId="3E6124FD" w14:textId="77777777" w:rsidR="001B3461" w:rsidRPr="00F1714B" w:rsidRDefault="001B3461" w:rsidP="00E55426">
            <w:pPr>
              <w:spacing w:line="240" w:lineRule="auto"/>
              <w:contextualSpacing/>
              <w:jc w:val="right"/>
              <w:rPr>
                <w:rFonts w:eastAsia="Times New Roman" w:cs="Times New Roman"/>
                <w:szCs w:val="26"/>
              </w:rPr>
            </w:pPr>
          </w:p>
          <w:p w14:paraId="2FD4D235" w14:textId="77777777" w:rsidR="001B3461" w:rsidRPr="00F1714B" w:rsidRDefault="001B3461" w:rsidP="00E55426">
            <w:pPr>
              <w:spacing w:line="240" w:lineRule="auto"/>
              <w:contextualSpacing/>
              <w:jc w:val="right"/>
              <w:rPr>
                <w:rFonts w:eastAsia="Times New Roman" w:cs="Times New Roman"/>
                <w:szCs w:val="26"/>
              </w:rPr>
            </w:pPr>
          </w:p>
        </w:tc>
      </w:tr>
      <w:tr w:rsidR="001B3461" w:rsidRPr="00F1714B" w14:paraId="5149910A" w14:textId="77777777" w:rsidTr="00AF7618">
        <w:tc>
          <w:tcPr>
            <w:tcW w:w="6390" w:type="dxa"/>
            <w:gridSpan w:val="2"/>
          </w:tcPr>
          <w:p w14:paraId="5F2016B7" w14:textId="77777777" w:rsidR="001B3461" w:rsidRPr="00F1714B" w:rsidRDefault="001B3461" w:rsidP="00E55426">
            <w:pPr>
              <w:spacing w:line="240" w:lineRule="auto"/>
              <w:contextualSpacing/>
              <w:rPr>
                <w:rFonts w:eastAsia="Times New Roman" w:cs="Times New Roman"/>
                <w:szCs w:val="26"/>
              </w:rPr>
            </w:pPr>
            <w:bookmarkStart w:id="0" w:name="_Hlk77769297"/>
            <w:bookmarkStart w:id="1" w:name="_Hlk82082607"/>
            <w:r w:rsidRPr="00F1714B">
              <w:rPr>
                <w:rFonts w:cs="Times New Roman"/>
                <w:szCs w:val="26"/>
              </w:rPr>
              <w:t>Rulemaking to Comply with the Competitive Classification of Telecommunication Retail Services Under 66 Pa.C.S § 3016(a); General Review of Regulations 52 Pa. Code, Chapter 53, Chapter 63 and Chapter 64</w:t>
            </w:r>
          </w:p>
          <w:bookmarkEnd w:id="0"/>
          <w:p w14:paraId="6D144358" w14:textId="77777777" w:rsidR="001B3461" w:rsidRPr="00F1714B" w:rsidRDefault="001B3461" w:rsidP="00E55426">
            <w:pPr>
              <w:overflowPunct w:val="0"/>
              <w:autoSpaceDE w:val="0"/>
              <w:autoSpaceDN w:val="0"/>
              <w:adjustRightInd w:val="0"/>
              <w:spacing w:line="240" w:lineRule="auto"/>
              <w:ind w:right="342"/>
              <w:textAlignment w:val="baseline"/>
              <w:rPr>
                <w:rFonts w:eastAsia="Times New Roman" w:cs="Times New Roman"/>
                <w:szCs w:val="26"/>
              </w:rPr>
            </w:pPr>
          </w:p>
        </w:tc>
        <w:tc>
          <w:tcPr>
            <w:tcW w:w="6753" w:type="dxa"/>
            <w:gridSpan w:val="4"/>
            <w:hideMark/>
          </w:tcPr>
          <w:p w14:paraId="3D687125" w14:textId="77777777" w:rsidR="001B3461" w:rsidRPr="00F1714B" w:rsidRDefault="001B3461" w:rsidP="00E55426">
            <w:pPr>
              <w:spacing w:line="240" w:lineRule="auto"/>
              <w:contextualSpacing/>
              <w:rPr>
                <w:rFonts w:cs="Times New Roman"/>
                <w:szCs w:val="26"/>
              </w:rPr>
            </w:pPr>
            <w:r w:rsidRPr="00F1714B">
              <w:rPr>
                <w:rFonts w:cs="Times New Roman"/>
                <w:szCs w:val="26"/>
              </w:rPr>
              <w:t>Docket No. L-2018-3001391</w:t>
            </w:r>
          </w:p>
          <w:p w14:paraId="6AC95AC0" w14:textId="77777777" w:rsidR="001B3461" w:rsidRPr="00F1714B" w:rsidRDefault="001B3461" w:rsidP="00E55426">
            <w:pPr>
              <w:spacing w:line="240" w:lineRule="auto"/>
              <w:contextualSpacing/>
              <w:jc w:val="center"/>
              <w:rPr>
                <w:rFonts w:eastAsia="Times New Roman" w:cs="Times New Roman"/>
                <w:szCs w:val="26"/>
              </w:rPr>
            </w:pPr>
          </w:p>
          <w:p w14:paraId="49AB6E70" w14:textId="77777777" w:rsidR="001B3461" w:rsidRPr="00F1714B" w:rsidRDefault="001B3461" w:rsidP="00E55426">
            <w:pPr>
              <w:spacing w:line="240" w:lineRule="auto"/>
              <w:contextualSpacing/>
              <w:jc w:val="center"/>
              <w:rPr>
                <w:rFonts w:eastAsia="Times New Roman" w:cs="Times New Roman"/>
                <w:szCs w:val="26"/>
              </w:rPr>
            </w:pPr>
          </w:p>
          <w:p w14:paraId="50B88DBC" w14:textId="77777777" w:rsidR="001B3461" w:rsidRPr="00F1714B" w:rsidRDefault="001B3461" w:rsidP="00E55426">
            <w:pPr>
              <w:spacing w:line="240" w:lineRule="auto"/>
              <w:contextualSpacing/>
              <w:jc w:val="center"/>
              <w:rPr>
                <w:rFonts w:eastAsia="Times New Roman" w:cs="Times New Roman"/>
                <w:szCs w:val="26"/>
              </w:rPr>
            </w:pPr>
          </w:p>
          <w:p w14:paraId="53225756" w14:textId="77777777" w:rsidR="001B3461" w:rsidRPr="00F1714B" w:rsidRDefault="001B3461" w:rsidP="00E55426">
            <w:pPr>
              <w:spacing w:line="240" w:lineRule="auto"/>
              <w:contextualSpacing/>
              <w:jc w:val="center"/>
              <w:rPr>
                <w:rFonts w:eastAsia="Times New Roman" w:cs="Times New Roman"/>
                <w:szCs w:val="26"/>
              </w:rPr>
            </w:pPr>
          </w:p>
          <w:p w14:paraId="677D699D" w14:textId="77777777" w:rsidR="001B3461" w:rsidRPr="00F1714B" w:rsidRDefault="001B3461" w:rsidP="00E55426">
            <w:pPr>
              <w:spacing w:line="240" w:lineRule="auto"/>
              <w:contextualSpacing/>
              <w:jc w:val="center"/>
              <w:rPr>
                <w:rFonts w:eastAsia="Times New Roman" w:cs="Times New Roman"/>
                <w:szCs w:val="26"/>
              </w:rPr>
            </w:pPr>
          </w:p>
        </w:tc>
      </w:tr>
    </w:tbl>
    <w:p w14:paraId="0E4E00C8" w14:textId="77777777" w:rsidR="001B3461" w:rsidRPr="00F1714B" w:rsidRDefault="001B3461" w:rsidP="00E55426">
      <w:pPr>
        <w:spacing w:line="240" w:lineRule="auto"/>
        <w:jc w:val="center"/>
        <w:rPr>
          <w:rFonts w:cs="Times New Roman"/>
          <w:b/>
          <w:szCs w:val="26"/>
        </w:rPr>
      </w:pPr>
    </w:p>
    <w:bookmarkEnd w:id="1"/>
    <w:p w14:paraId="6180AB75" w14:textId="2FB0C198" w:rsidR="001B3461" w:rsidRPr="00F1714B" w:rsidRDefault="00B578F4" w:rsidP="00E55426">
      <w:pPr>
        <w:spacing w:line="240" w:lineRule="auto"/>
        <w:jc w:val="center"/>
        <w:rPr>
          <w:rFonts w:cs="Times New Roman"/>
          <w:b/>
          <w:szCs w:val="26"/>
        </w:rPr>
      </w:pPr>
      <w:r w:rsidRPr="00F1714B">
        <w:rPr>
          <w:rFonts w:cs="Times New Roman"/>
          <w:b/>
          <w:szCs w:val="26"/>
        </w:rPr>
        <w:t xml:space="preserve">FINAL </w:t>
      </w:r>
      <w:r w:rsidR="001B3461" w:rsidRPr="00F1714B">
        <w:rPr>
          <w:rFonts w:cs="Times New Roman"/>
          <w:b/>
          <w:szCs w:val="26"/>
        </w:rPr>
        <w:t>RULEMAKING ORDER</w:t>
      </w:r>
    </w:p>
    <w:p w14:paraId="2BE88FB0" w14:textId="77777777" w:rsidR="00EC5C49" w:rsidRPr="00F1714B" w:rsidRDefault="00EC5C49" w:rsidP="00E55426">
      <w:pPr>
        <w:spacing w:line="240" w:lineRule="auto"/>
        <w:contextualSpacing/>
        <w:rPr>
          <w:rFonts w:cs="Times New Roman"/>
          <w:b/>
          <w:szCs w:val="26"/>
        </w:rPr>
      </w:pPr>
    </w:p>
    <w:p w14:paraId="19D5148E" w14:textId="77777777" w:rsidR="001B3461" w:rsidRPr="00F1714B" w:rsidRDefault="001B3461" w:rsidP="00A274A5">
      <w:pPr>
        <w:contextualSpacing/>
        <w:rPr>
          <w:rFonts w:cs="Times New Roman"/>
          <w:b/>
          <w:szCs w:val="26"/>
        </w:rPr>
      </w:pPr>
      <w:r w:rsidRPr="00F1714B">
        <w:rPr>
          <w:rFonts w:cs="Times New Roman"/>
          <w:b/>
          <w:szCs w:val="26"/>
        </w:rPr>
        <w:t>BY THE COMMISSION:</w:t>
      </w:r>
    </w:p>
    <w:p w14:paraId="114FC096" w14:textId="12567079" w:rsidR="00E957DD" w:rsidRPr="00F1714B" w:rsidRDefault="00E957DD" w:rsidP="00E957DD">
      <w:pPr>
        <w:ind w:firstLine="720"/>
        <w:rPr>
          <w:szCs w:val="26"/>
        </w:rPr>
      </w:pPr>
      <w:r w:rsidRPr="00F1714B">
        <w:rPr>
          <w:szCs w:val="26"/>
        </w:rPr>
        <w:t xml:space="preserve">This rulemaking proceeding arose out of the </w:t>
      </w:r>
      <w:r w:rsidR="006D25C0" w:rsidRPr="00F1714B">
        <w:rPr>
          <w:szCs w:val="26"/>
        </w:rPr>
        <w:t>Pennsylvania Public Utility Commissio</w:t>
      </w:r>
      <w:r w:rsidR="003A4CF5" w:rsidRPr="00F1714B">
        <w:rPr>
          <w:szCs w:val="26"/>
        </w:rPr>
        <w:t xml:space="preserve">n’s </w:t>
      </w:r>
      <w:r w:rsidR="006D25C0" w:rsidRPr="00F1714B">
        <w:rPr>
          <w:szCs w:val="26"/>
        </w:rPr>
        <w:t>(</w:t>
      </w:r>
      <w:r w:rsidRPr="00F1714B">
        <w:rPr>
          <w:szCs w:val="26"/>
        </w:rPr>
        <w:t>Commission</w:t>
      </w:r>
      <w:r w:rsidR="006D25C0" w:rsidRPr="00F1714B">
        <w:rPr>
          <w:szCs w:val="26"/>
        </w:rPr>
        <w:t xml:space="preserve">) </w:t>
      </w:r>
      <w:r w:rsidRPr="00F1714B">
        <w:rPr>
          <w:szCs w:val="26"/>
        </w:rPr>
        <w:t xml:space="preserve">decision in February 2015 to reclassify stand-alone basic telephone service as competitive in parts of the Verizon Pennsylvania and Verizon North (collectively Verizon) service territories.  As part of that proceeding, the Commission granted Verizon a 5-year waiver of certain Chapter 63 and Chapter 64 regulations in competitive wire centers.  The waiver was granted, pending a rulemaking to address the status of these regulations in competitive and noncompetitive areas on a permanent and industry-wide basis.  </w:t>
      </w:r>
    </w:p>
    <w:p w14:paraId="268BC26E" w14:textId="77777777" w:rsidR="00305220" w:rsidRPr="00F1714B" w:rsidRDefault="00305220" w:rsidP="00E957DD">
      <w:pPr>
        <w:ind w:firstLine="720"/>
        <w:rPr>
          <w:szCs w:val="26"/>
        </w:rPr>
      </w:pPr>
    </w:p>
    <w:p w14:paraId="72FD525F" w14:textId="113C33A7" w:rsidR="00E957DD" w:rsidRPr="00F1714B" w:rsidRDefault="007517DD" w:rsidP="00E55426">
      <w:pPr>
        <w:ind w:firstLine="720"/>
        <w:rPr>
          <w:szCs w:val="26"/>
        </w:rPr>
      </w:pPr>
      <w:r w:rsidRPr="00F1714B">
        <w:rPr>
          <w:rFonts w:eastAsia="Times New Roman" w:cs="Times New Roman"/>
          <w:szCs w:val="26"/>
        </w:rPr>
        <w:t>Subsequently, t</w:t>
      </w:r>
      <w:r w:rsidR="00E957DD" w:rsidRPr="00F1714B">
        <w:rPr>
          <w:rFonts w:eastAsia="Times New Roman" w:cs="Times New Roman"/>
          <w:szCs w:val="26"/>
        </w:rPr>
        <w:t>he Commission in July 2018 issued an Advance Notice of Proposed Rulemaking seeking feedback on a variety of options with our telecommunications regulations.  After reviewing that feedback</w:t>
      </w:r>
      <w:r w:rsidR="00CF2BD4" w:rsidRPr="00F1714B">
        <w:rPr>
          <w:rFonts w:eastAsia="Times New Roman" w:cs="Times New Roman"/>
          <w:szCs w:val="26"/>
        </w:rPr>
        <w:t xml:space="preserve"> from interested stakeholders</w:t>
      </w:r>
      <w:r w:rsidR="00E957DD" w:rsidRPr="00F1714B">
        <w:rPr>
          <w:szCs w:val="26"/>
        </w:rPr>
        <w:t xml:space="preserve">, </w:t>
      </w:r>
      <w:r w:rsidR="00D1319D" w:rsidRPr="00F1714B">
        <w:rPr>
          <w:szCs w:val="26"/>
        </w:rPr>
        <w:t xml:space="preserve">the Commission issued a </w:t>
      </w:r>
      <w:r w:rsidR="00D2011D" w:rsidRPr="00F1714B">
        <w:rPr>
          <w:i/>
          <w:iCs/>
          <w:szCs w:val="26"/>
        </w:rPr>
        <w:t>Notice</w:t>
      </w:r>
      <w:r w:rsidR="00D2011D" w:rsidRPr="00F1714B">
        <w:rPr>
          <w:szCs w:val="26"/>
        </w:rPr>
        <w:t xml:space="preserve"> </w:t>
      </w:r>
      <w:r w:rsidR="00D2011D" w:rsidRPr="00F1714B">
        <w:rPr>
          <w:i/>
          <w:szCs w:val="26"/>
        </w:rPr>
        <w:t xml:space="preserve">of </w:t>
      </w:r>
      <w:r w:rsidR="00D1319D" w:rsidRPr="00F1714B">
        <w:rPr>
          <w:i/>
          <w:szCs w:val="26"/>
        </w:rPr>
        <w:t>Proposed Rulemaking Order</w:t>
      </w:r>
      <w:r w:rsidR="00D2011D" w:rsidRPr="00F1714B">
        <w:rPr>
          <w:i/>
          <w:szCs w:val="26"/>
        </w:rPr>
        <w:t xml:space="preserve"> </w:t>
      </w:r>
      <w:r w:rsidR="007F1B07" w:rsidRPr="00F1714B">
        <w:rPr>
          <w:i/>
          <w:szCs w:val="26"/>
        </w:rPr>
        <w:t xml:space="preserve">(NPRM </w:t>
      </w:r>
      <w:r w:rsidR="007F1B07" w:rsidRPr="00F1714B">
        <w:rPr>
          <w:i/>
          <w:szCs w:val="26"/>
        </w:rPr>
        <w:lastRenderedPageBreak/>
        <w:t xml:space="preserve">Order) </w:t>
      </w:r>
      <w:r w:rsidR="00D2011D" w:rsidRPr="00F1714B">
        <w:rPr>
          <w:iCs/>
          <w:szCs w:val="26"/>
        </w:rPr>
        <w:t>and accompanying Annex which</w:t>
      </w:r>
      <w:r w:rsidR="00D2011D" w:rsidRPr="00F1714B">
        <w:rPr>
          <w:szCs w:val="26"/>
        </w:rPr>
        <w:t xml:space="preserve"> proposed amendments to </w:t>
      </w:r>
      <w:r w:rsidR="00762BD1" w:rsidRPr="00F1714B">
        <w:rPr>
          <w:szCs w:val="26"/>
        </w:rPr>
        <w:t xml:space="preserve">the regulations in </w:t>
      </w:r>
      <w:r w:rsidR="008566F7" w:rsidRPr="00F1714B">
        <w:rPr>
          <w:szCs w:val="26"/>
        </w:rPr>
        <w:t xml:space="preserve">Chapters 53, 63 and 64 of Title 52 of the </w:t>
      </w:r>
      <w:r w:rsidR="00BB173C" w:rsidRPr="00F1714B">
        <w:rPr>
          <w:bCs/>
          <w:szCs w:val="26"/>
        </w:rPr>
        <w:t>Pennsylvania Code (Pa. Code)</w:t>
      </w:r>
      <w:r w:rsidR="004F7CE7" w:rsidRPr="00F1714B">
        <w:rPr>
          <w:bCs/>
          <w:szCs w:val="26"/>
        </w:rPr>
        <w:t xml:space="preserve">, </w:t>
      </w:r>
      <w:r w:rsidR="002C1059" w:rsidRPr="00F1714B">
        <w:rPr>
          <w:bCs/>
          <w:szCs w:val="26"/>
        </w:rPr>
        <w:t>52 Pa. Code</w:t>
      </w:r>
      <w:r w:rsidR="004F7CE7" w:rsidRPr="00F1714B">
        <w:rPr>
          <w:bCs/>
          <w:szCs w:val="26"/>
        </w:rPr>
        <w:t xml:space="preserve"> </w:t>
      </w:r>
      <w:r w:rsidR="002C1059" w:rsidRPr="00F1714B">
        <w:rPr>
          <w:bCs/>
          <w:szCs w:val="26"/>
        </w:rPr>
        <w:t>§§ 53.57</w:t>
      </w:r>
      <w:r w:rsidR="009D2A3D" w:rsidRPr="00F1714B">
        <w:rPr>
          <w:rFonts w:cs="Times New Roman"/>
          <w:bCs/>
          <w:szCs w:val="26"/>
        </w:rPr>
        <w:t>—</w:t>
      </w:r>
      <w:r w:rsidR="002C1059" w:rsidRPr="00F1714B">
        <w:rPr>
          <w:bCs/>
          <w:szCs w:val="26"/>
        </w:rPr>
        <w:t xml:space="preserve">53.60, </w:t>
      </w:r>
      <w:r w:rsidR="000C6F00" w:rsidRPr="00F1714B">
        <w:rPr>
          <w:bCs/>
          <w:szCs w:val="26"/>
        </w:rPr>
        <w:t xml:space="preserve">§§ </w:t>
      </w:r>
      <w:r w:rsidR="002C1059" w:rsidRPr="00F1714B">
        <w:rPr>
          <w:bCs/>
          <w:szCs w:val="26"/>
        </w:rPr>
        <w:t xml:space="preserve">63.1 </w:t>
      </w:r>
      <w:r w:rsidR="002C1059" w:rsidRPr="00F1714B">
        <w:rPr>
          <w:bCs/>
          <w:i/>
          <w:szCs w:val="26"/>
        </w:rPr>
        <w:t>et seq.</w:t>
      </w:r>
      <w:r w:rsidR="002C1059" w:rsidRPr="00F1714B">
        <w:rPr>
          <w:bCs/>
          <w:szCs w:val="26"/>
        </w:rPr>
        <w:t xml:space="preserve">, </w:t>
      </w:r>
      <w:r w:rsidR="00AE18EE" w:rsidRPr="00F1714B">
        <w:rPr>
          <w:bCs/>
          <w:szCs w:val="26"/>
        </w:rPr>
        <w:t xml:space="preserve">and </w:t>
      </w:r>
      <w:r w:rsidR="002C1059" w:rsidRPr="00F1714B">
        <w:rPr>
          <w:bCs/>
          <w:szCs w:val="26"/>
        </w:rPr>
        <w:t xml:space="preserve">§§ 64.1 </w:t>
      </w:r>
      <w:r w:rsidR="002C1059" w:rsidRPr="00F1714B">
        <w:rPr>
          <w:bCs/>
          <w:i/>
          <w:szCs w:val="26"/>
        </w:rPr>
        <w:t>et seq.</w:t>
      </w:r>
      <w:r w:rsidR="002C1059" w:rsidRPr="00F1714B">
        <w:rPr>
          <w:bCs/>
          <w:szCs w:val="26"/>
        </w:rPr>
        <w:t xml:space="preserve">, </w:t>
      </w:r>
      <w:r w:rsidR="00762BD1" w:rsidRPr="00F1714B">
        <w:rPr>
          <w:szCs w:val="26"/>
        </w:rPr>
        <w:t xml:space="preserve">that govern </w:t>
      </w:r>
      <w:r w:rsidR="00B839BA" w:rsidRPr="00F1714B">
        <w:rPr>
          <w:szCs w:val="26"/>
        </w:rPr>
        <w:t xml:space="preserve">our </w:t>
      </w:r>
      <w:r w:rsidR="00762BD1" w:rsidRPr="00F1714B">
        <w:rPr>
          <w:szCs w:val="26"/>
        </w:rPr>
        <w:t>jurisdictional telecommunications public utilities</w:t>
      </w:r>
      <w:r w:rsidR="004807ED" w:rsidRPr="00F1714B">
        <w:rPr>
          <w:szCs w:val="26"/>
        </w:rPr>
        <w:t xml:space="preserve"> or </w:t>
      </w:r>
      <w:r w:rsidR="00CF2BD4" w:rsidRPr="00F1714B">
        <w:rPr>
          <w:szCs w:val="26"/>
        </w:rPr>
        <w:t xml:space="preserve">jurisdictional </w:t>
      </w:r>
      <w:r w:rsidR="004807ED" w:rsidRPr="00F1714B">
        <w:rPr>
          <w:szCs w:val="26"/>
        </w:rPr>
        <w:t>local exchange carriers (LECs)</w:t>
      </w:r>
      <w:r w:rsidR="008566F7" w:rsidRPr="00F1714B">
        <w:rPr>
          <w:szCs w:val="26"/>
        </w:rPr>
        <w:t>.</w:t>
      </w:r>
      <w:r w:rsidR="00CF2BD4" w:rsidRPr="00F1714B">
        <w:rPr>
          <w:rStyle w:val="FootnoteReference"/>
          <w:szCs w:val="26"/>
        </w:rPr>
        <w:footnoteReference w:id="1"/>
      </w:r>
      <w:r w:rsidR="008566F7" w:rsidRPr="00F1714B">
        <w:rPr>
          <w:szCs w:val="26"/>
        </w:rPr>
        <w:t xml:space="preserve">  </w:t>
      </w:r>
    </w:p>
    <w:p w14:paraId="6C301A62" w14:textId="77777777" w:rsidR="00E957DD" w:rsidRPr="00F1714B" w:rsidRDefault="00E957DD" w:rsidP="00E55426">
      <w:pPr>
        <w:ind w:firstLine="720"/>
        <w:rPr>
          <w:szCs w:val="26"/>
        </w:rPr>
      </w:pPr>
    </w:p>
    <w:p w14:paraId="73F176F2" w14:textId="04356B90" w:rsidR="000E54AB" w:rsidRPr="00F1714B" w:rsidRDefault="008566F7" w:rsidP="00E55426">
      <w:pPr>
        <w:ind w:firstLine="720"/>
        <w:rPr>
          <w:szCs w:val="26"/>
        </w:rPr>
      </w:pPr>
      <w:r w:rsidRPr="00F1714B">
        <w:rPr>
          <w:szCs w:val="26"/>
        </w:rPr>
        <w:t xml:space="preserve">Essentially, </w:t>
      </w:r>
      <w:r w:rsidR="00F450C8" w:rsidRPr="00F1714B">
        <w:rPr>
          <w:szCs w:val="26"/>
        </w:rPr>
        <w:t xml:space="preserve">with </w:t>
      </w:r>
      <w:r w:rsidR="005D45B9" w:rsidRPr="00F1714B">
        <w:rPr>
          <w:szCs w:val="26"/>
        </w:rPr>
        <w:t xml:space="preserve">the </w:t>
      </w:r>
      <w:r w:rsidR="00B129E0" w:rsidRPr="00F1714B">
        <w:rPr>
          <w:szCs w:val="26"/>
        </w:rPr>
        <w:t xml:space="preserve">issuance of the </w:t>
      </w:r>
      <w:r w:rsidR="005D45B9" w:rsidRPr="00F1714B">
        <w:rPr>
          <w:i/>
          <w:iCs/>
          <w:szCs w:val="26"/>
        </w:rPr>
        <w:t>N</w:t>
      </w:r>
      <w:r w:rsidR="007F1B07" w:rsidRPr="00F1714B">
        <w:rPr>
          <w:i/>
          <w:iCs/>
          <w:szCs w:val="26"/>
        </w:rPr>
        <w:t>PRM Order</w:t>
      </w:r>
      <w:r w:rsidR="007F1B07" w:rsidRPr="00F1714B">
        <w:rPr>
          <w:szCs w:val="26"/>
        </w:rPr>
        <w:t xml:space="preserve"> and Annex</w:t>
      </w:r>
      <w:r w:rsidR="00F450C8" w:rsidRPr="00F1714B">
        <w:rPr>
          <w:szCs w:val="26"/>
        </w:rPr>
        <w:t xml:space="preserve">, </w:t>
      </w:r>
      <w:r w:rsidR="00B129E0" w:rsidRPr="00F1714B">
        <w:rPr>
          <w:szCs w:val="26"/>
        </w:rPr>
        <w:t xml:space="preserve">the Commission </w:t>
      </w:r>
      <w:r w:rsidR="00F450C8" w:rsidRPr="00F1714B">
        <w:rPr>
          <w:szCs w:val="26"/>
        </w:rPr>
        <w:t xml:space="preserve">was </w:t>
      </w:r>
      <w:r w:rsidR="00B129E0" w:rsidRPr="00F1714B">
        <w:rPr>
          <w:szCs w:val="26"/>
        </w:rPr>
        <w:t xml:space="preserve">abiding by its </w:t>
      </w:r>
      <w:r w:rsidR="005D45B9" w:rsidRPr="00F1714B">
        <w:rPr>
          <w:szCs w:val="26"/>
        </w:rPr>
        <w:t>statutory obligation</w:t>
      </w:r>
      <w:r w:rsidR="000C323E" w:rsidRPr="00F1714B">
        <w:rPr>
          <w:szCs w:val="26"/>
        </w:rPr>
        <w:t>s</w:t>
      </w:r>
      <w:r w:rsidR="005D45B9" w:rsidRPr="00F1714B">
        <w:rPr>
          <w:szCs w:val="26"/>
        </w:rPr>
        <w:t xml:space="preserve"> in Section</w:t>
      </w:r>
      <w:r w:rsidR="000C323E" w:rsidRPr="00F1714B">
        <w:rPr>
          <w:szCs w:val="26"/>
        </w:rPr>
        <w:t>s</w:t>
      </w:r>
      <w:r w:rsidR="005D45B9" w:rsidRPr="00F1714B">
        <w:rPr>
          <w:szCs w:val="26"/>
        </w:rPr>
        <w:t xml:space="preserve"> 3019(b)(2) </w:t>
      </w:r>
      <w:r w:rsidR="000C323E" w:rsidRPr="00F1714B">
        <w:rPr>
          <w:szCs w:val="26"/>
        </w:rPr>
        <w:t xml:space="preserve">and (3) </w:t>
      </w:r>
      <w:r w:rsidR="005D45B9" w:rsidRPr="00F1714B">
        <w:rPr>
          <w:szCs w:val="26"/>
        </w:rPr>
        <w:t>of the Public Utility Code</w:t>
      </w:r>
      <w:r w:rsidR="00131815" w:rsidRPr="00F1714B">
        <w:rPr>
          <w:szCs w:val="26"/>
        </w:rPr>
        <w:t xml:space="preserve"> (Code)</w:t>
      </w:r>
      <w:r w:rsidR="005D45B9" w:rsidRPr="00F1714B">
        <w:rPr>
          <w:szCs w:val="26"/>
        </w:rPr>
        <w:t>, 66 Pa.</w:t>
      </w:r>
      <w:r w:rsidR="009B3E42" w:rsidRPr="00F1714B">
        <w:rPr>
          <w:szCs w:val="26"/>
        </w:rPr>
        <w:t xml:space="preserve"> </w:t>
      </w:r>
      <w:r w:rsidR="005D45B9" w:rsidRPr="00F1714B">
        <w:rPr>
          <w:szCs w:val="26"/>
        </w:rPr>
        <w:t>C.S. §</w:t>
      </w:r>
      <w:r w:rsidR="000C323E" w:rsidRPr="00F1714B">
        <w:rPr>
          <w:szCs w:val="26"/>
        </w:rPr>
        <w:t>§</w:t>
      </w:r>
      <w:r w:rsidR="005D45B9" w:rsidRPr="00F1714B">
        <w:rPr>
          <w:szCs w:val="26"/>
        </w:rPr>
        <w:t xml:space="preserve"> 3019(b)(2)</w:t>
      </w:r>
      <w:r w:rsidR="000C323E" w:rsidRPr="00F1714B">
        <w:rPr>
          <w:szCs w:val="26"/>
        </w:rPr>
        <w:t xml:space="preserve"> and (3)</w:t>
      </w:r>
      <w:r w:rsidR="005D45B9" w:rsidRPr="00F1714B">
        <w:rPr>
          <w:szCs w:val="26"/>
        </w:rPr>
        <w:t xml:space="preserve">, </w:t>
      </w:r>
      <w:r w:rsidR="004F1738" w:rsidRPr="00F1714B">
        <w:rPr>
          <w:szCs w:val="26"/>
        </w:rPr>
        <w:t xml:space="preserve">which require it </w:t>
      </w:r>
      <w:r w:rsidR="005D45B9" w:rsidRPr="00F1714B">
        <w:rPr>
          <w:szCs w:val="26"/>
        </w:rPr>
        <w:t xml:space="preserve">to </w:t>
      </w:r>
      <w:r w:rsidR="000444CE" w:rsidRPr="00F1714B">
        <w:rPr>
          <w:szCs w:val="26"/>
        </w:rPr>
        <w:t>revi</w:t>
      </w:r>
      <w:r w:rsidR="000E54AB" w:rsidRPr="00F1714B">
        <w:rPr>
          <w:szCs w:val="26"/>
        </w:rPr>
        <w:t>ew and revi</w:t>
      </w:r>
      <w:r w:rsidR="00F67501" w:rsidRPr="00F1714B">
        <w:rPr>
          <w:szCs w:val="26"/>
        </w:rPr>
        <w:t>se</w:t>
      </w:r>
      <w:r w:rsidR="000E54AB" w:rsidRPr="00F1714B">
        <w:rPr>
          <w:szCs w:val="26"/>
        </w:rPr>
        <w:t xml:space="preserve"> the quality of service standards contained in 52 Pa. Code that address </w:t>
      </w:r>
      <w:r w:rsidR="005D45B9" w:rsidRPr="00F1714B">
        <w:rPr>
          <w:szCs w:val="26"/>
        </w:rPr>
        <w:t>the safety, adequacy, reliability and privacy of telecommunications services and the ordering, installation, suspension, termination and restoration of any telecommunications service</w:t>
      </w:r>
      <w:r w:rsidR="000E54AB" w:rsidRPr="00F1714B">
        <w:rPr>
          <w:szCs w:val="26"/>
        </w:rPr>
        <w:t xml:space="preserve"> taking </w:t>
      </w:r>
      <w:r w:rsidR="005D45B9" w:rsidRPr="00F1714B">
        <w:rPr>
          <w:szCs w:val="26"/>
        </w:rPr>
        <w:t>into consideration the emergence of new industry participants, technological advancements, service standards and consumer demand.</w:t>
      </w:r>
      <w:r w:rsidR="00131815" w:rsidRPr="00F1714B">
        <w:rPr>
          <w:szCs w:val="26"/>
        </w:rPr>
        <w:t xml:space="preserve">  In the </w:t>
      </w:r>
      <w:r w:rsidR="00131815" w:rsidRPr="00F1714B">
        <w:rPr>
          <w:i/>
          <w:iCs/>
          <w:szCs w:val="26"/>
        </w:rPr>
        <w:t>NPRM Order</w:t>
      </w:r>
      <w:r w:rsidR="00131815" w:rsidRPr="00F1714B">
        <w:rPr>
          <w:szCs w:val="26"/>
        </w:rPr>
        <w:t xml:space="preserve">, the Commission specified </w:t>
      </w:r>
      <w:r w:rsidR="00316088" w:rsidRPr="00F1714B">
        <w:rPr>
          <w:szCs w:val="26"/>
        </w:rPr>
        <w:t>the need</w:t>
      </w:r>
      <w:r w:rsidR="009A072B" w:rsidRPr="00F1714B">
        <w:rPr>
          <w:rFonts w:cs="Times New Roman"/>
          <w:bCs/>
          <w:szCs w:val="26"/>
        </w:rPr>
        <w:t xml:space="preserve"> to balance attempting to create a more level regulatory playing field for our regulated </w:t>
      </w:r>
      <w:r w:rsidR="003C2B95" w:rsidRPr="00F1714B">
        <w:rPr>
          <w:rFonts w:cs="Times New Roman"/>
          <w:bCs/>
          <w:szCs w:val="26"/>
        </w:rPr>
        <w:t>incumbent local exchange carriers (</w:t>
      </w:r>
      <w:r w:rsidR="009A072B" w:rsidRPr="00F1714B">
        <w:rPr>
          <w:rFonts w:cs="Times New Roman"/>
          <w:bCs/>
          <w:szCs w:val="26"/>
        </w:rPr>
        <w:t>ILECs</w:t>
      </w:r>
      <w:r w:rsidR="003C2B95" w:rsidRPr="00F1714B">
        <w:rPr>
          <w:rFonts w:cs="Times New Roman"/>
          <w:bCs/>
          <w:szCs w:val="26"/>
        </w:rPr>
        <w:t xml:space="preserve">) that are competing against alternative voice service providers operating in the Commonwealth </w:t>
      </w:r>
      <w:r w:rsidR="009A072B" w:rsidRPr="00F1714B">
        <w:rPr>
          <w:rFonts w:cs="Times New Roman"/>
          <w:bCs/>
          <w:szCs w:val="26"/>
        </w:rPr>
        <w:t>with the countervailing principle of ensuring that consumers retain adequate protections.</w:t>
      </w:r>
      <w:r w:rsidR="000E54AB" w:rsidRPr="00F1714B">
        <w:rPr>
          <w:szCs w:val="26"/>
        </w:rPr>
        <w:t xml:space="preserve"> </w:t>
      </w:r>
    </w:p>
    <w:p w14:paraId="09158C1C" w14:textId="77777777" w:rsidR="000C323E" w:rsidRPr="00F1714B" w:rsidRDefault="000C323E" w:rsidP="00E55426">
      <w:pPr>
        <w:ind w:firstLine="720"/>
        <w:rPr>
          <w:szCs w:val="26"/>
        </w:rPr>
      </w:pPr>
    </w:p>
    <w:p w14:paraId="512028E1" w14:textId="4DB70EC9" w:rsidR="000A6BF3" w:rsidRPr="00F1714B" w:rsidRDefault="00E957DD" w:rsidP="00CF2BD4">
      <w:pPr>
        <w:pStyle w:val="p3"/>
        <w:tabs>
          <w:tab w:val="clear" w:pos="204"/>
          <w:tab w:val="left" w:pos="720"/>
        </w:tabs>
        <w:spacing w:line="360" w:lineRule="auto"/>
        <w:rPr>
          <w:sz w:val="26"/>
          <w:szCs w:val="26"/>
        </w:rPr>
      </w:pPr>
      <w:r w:rsidRPr="00F1714B">
        <w:rPr>
          <w:sz w:val="26"/>
          <w:szCs w:val="26"/>
        </w:rPr>
        <w:tab/>
      </w:r>
      <w:r w:rsidR="007E5CE0" w:rsidRPr="00F1714B">
        <w:rPr>
          <w:sz w:val="26"/>
          <w:szCs w:val="26"/>
        </w:rPr>
        <w:t xml:space="preserve">Specifically, </w:t>
      </w:r>
      <w:r w:rsidR="0022497C" w:rsidRPr="00F1714B">
        <w:rPr>
          <w:sz w:val="26"/>
          <w:szCs w:val="26"/>
        </w:rPr>
        <w:t xml:space="preserve">the Commission </w:t>
      </w:r>
      <w:r w:rsidR="00F450C8" w:rsidRPr="00F1714B">
        <w:rPr>
          <w:sz w:val="26"/>
          <w:szCs w:val="26"/>
        </w:rPr>
        <w:t>offer</w:t>
      </w:r>
      <w:r w:rsidR="002D2008" w:rsidRPr="00F1714B">
        <w:rPr>
          <w:sz w:val="26"/>
          <w:szCs w:val="26"/>
        </w:rPr>
        <w:t>ed</w:t>
      </w:r>
      <w:r w:rsidR="00F450C8" w:rsidRPr="00F1714B">
        <w:rPr>
          <w:sz w:val="26"/>
          <w:szCs w:val="26"/>
        </w:rPr>
        <w:t xml:space="preserve"> </w:t>
      </w:r>
      <w:r w:rsidR="0022497C" w:rsidRPr="00F1714B">
        <w:rPr>
          <w:sz w:val="26"/>
          <w:szCs w:val="26"/>
        </w:rPr>
        <w:t>propos</w:t>
      </w:r>
      <w:r w:rsidR="00F450C8" w:rsidRPr="00F1714B">
        <w:rPr>
          <w:sz w:val="26"/>
          <w:szCs w:val="26"/>
        </w:rPr>
        <w:t xml:space="preserve">als </w:t>
      </w:r>
      <w:r w:rsidR="00DB3B9A" w:rsidRPr="00F1714B">
        <w:rPr>
          <w:sz w:val="26"/>
          <w:szCs w:val="26"/>
        </w:rPr>
        <w:t xml:space="preserve">in the Annex that </w:t>
      </w:r>
      <w:r w:rsidR="000E54AB" w:rsidRPr="00F1714B">
        <w:rPr>
          <w:sz w:val="26"/>
          <w:szCs w:val="26"/>
        </w:rPr>
        <w:t>eliminat</w:t>
      </w:r>
      <w:r w:rsidR="00DB3B9A" w:rsidRPr="00F1714B">
        <w:rPr>
          <w:sz w:val="26"/>
          <w:szCs w:val="26"/>
        </w:rPr>
        <w:t>ed</w:t>
      </w:r>
      <w:r w:rsidR="000E54AB" w:rsidRPr="00F1714B">
        <w:rPr>
          <w:sz w:val="26"/>
          <w:szCs w:val="26"/>
        </w:rPr>
        <w:t xml:space="preserve"> </w:t>
      </w:r>
      <w:r w:rsidR="00500B0B" w:rsidRPr="00F1714B">
        <w:rPr>
          <w:sz w:val="26"/>
          <w:szCs w:val="26"/>
        </w:rPr>
        <w:t>certain</w:t>
      </w:r>
      <w:r w:rsidR="00F07C89" w:rsidRPr="00F1714B">
        <w:rPr>
          <w:sz w:val="26"/>
          <w:szCs w:val="26"/>
        </w:rPr>
        <w:t xml:space="preserve"> </w:t>
      </w:r>
      <w:r w:rsidR="00FB148A" w:rsidRPr="00F1714B">
        <w:rPr>
          <w:sz w:val="26"/>
          <w:szCs w:val="26"/>
        </w:rPr>
        <w:t xml:space="preserve">regulations </w:t>
      </w:r>
      <w:r w:rsidR="0022497C" w:rsidRPr="00F1714B">
        <w:rPr>
          <w:sz w:val="26"/>
          <w:szCs w:val="26"/>
        </w:rPr>
        <w:t xml:space="preserve">as </w:t>
      </w:r>
      <w:r w:rsidR="00F95830" w:rsidRPr="00F1714B">
        <w:rPr>
          <w:sz w:val="26"/>
          <w:szCs w:val="26"/>
        </w:rPr>
        <w:t xml:space="preserve">unnecessary </w:t>
      </w:r>
      <w:r w:rsidR="00C37819" w:rsidRPr="00F1714B">
        <w:rPr>
          <w:sz w:val="26"/>
          <w:szCs w:val="26"/>
        </w:rPr>
        <w:t xml:space="preserve">either </w:t>
      </w:r>
      <w:r w:rsidR="00F95830" w:rsidRPr="00F1714B">
        <w:rPr>
          <w:sz w:val="26"/>
          <w:szCs w:val="26"/>
        </w:rPr>
        <w:t xml:space="preserve">due to the </w:t>
      </w:r>
      <w:r w:rsidR="00FB148A" w:rsidRPr="00F1714B">
        <w:rPr>
          <w:sz w:val="26"/>
          <w:szCs w:val="26"/>
        </w:rPr>
        <w:t xml:space="preserve">increasing presence of competition in the Pennsylvania telecommunications services market </w:t>
      </w:r>
      <w:r w:rsidR="002E35DB" w:rsidRPr="00F1714B">
        <w:rPr>
          <w:sz w:val="26"/>
          <w:szCs w:val="26"/>
        </w:rPr>
        <w:t xml:space="preserve"> </w:t>
      </w:r>
      <w:r w:rsidR="000C323E" w:rsidRPr="00F1714B">
        <w:rPr>
          <w:sz w:val="26"/>
          <w:szCs w:val="26"/>
        </w:rPr>
        <w:t xml:space="preserve">or </w:t>
      </w:r>
      <w:r w:rsidR="00C37819" w:rsidRPr="00F1714B">
        <w:rPr>
          <w:sz w:val="26"/>
          <w:szCs w:val="26"/>
        </w:rPr>
        <w:t xml:space="preserve">their </w:t>
      </w:r>
      <w:r w:rsidR="002E35DB" w:rsidRPr="00F1714B">
        <w:rPr>
          <w:sz w:val="26"/>
          <w:szCs w:val="26"/>
        </w:rPr>
        <w:t xml:space="preserve">general </w:t>
      </w:r>
      <w:r w:rsidR="00C37819" w:rsidRPr="00F1714B">
        <w:rPr>
          <w:sz w:val="26"/>
          <w:szCs w:val="26"/>
        </w:rPr>
        <w:t>obsolescence</w:t>
      </w:r>
      <w:r w:rsidR="00555B4D" w:rsidRPr="00F1714B">
        <w:rPr>
          <w:sz w:val="26"/>
          <w:szCs w:val="26"/>
        </w:rPr>
        <w:t xml:space="preserve"> given changes to the market and technology</w:t>
      </w:r>
      <w:r w:rsidR="00422FA5" w:rsidRPr="00F1714B">
        <w:rPr>
          <w:sz w:val="26"/>
          <w:szCs w:val="26"/>
        </w:rPr>
        <w:t xml:space="preserve">.  </w:t>
      </w:r>
      <w:r w:rsidR="00F95830" w:rsidRPr="00F1714B">
        <w:rPr>
          <w:sz w:val="26"/>
          <w:szCs w:val="26"/>
        </w:rPr>
        <w:t xml:space="preserve">The Commission </w:t>
      </w:r>
      <w:r w:rsidR="00FB148A" w:rsidRPr="00F1714B">
        <w:rPr>
          <w:sz w:val="26"/>
          <w:szCs w:val="26"/>
        </w:rPr>
        <w:t xml:space="preserve">requested input from interested stakeholders on its proposed revisions </w:t>
      </w:r>
      <w:r w:rsidR="00F95830" w:rsidRPr="00F1714B">
        <w:rPr>
          <w:sz w:val="26"/>
          <w:szCs w:val="26"/>
        </w:rPr>
        <w:t xml:space="preserve">set forth in the Annex.  </w:t>
      </w:r>
      <w:r w:rsidR="00322DAD" w:rsidRPr="00F1714B">
        <w:rPr>
          <w:bCs/>
          <w:sz w:val="26"/>
          <w:szCs w:val="26"/>
        </w:rPr>
        <w:t xml:space="preserve">This order constitutes the preamble to </w:t>
      </w:r>
      <w:r w:rsidR="00DB3B9A" w:rsidRPr="00F1714B">
        <w:rPr>
          <w:bCs/>
          <w:sz w:val="26"/>
          <w:szCs w:val="26"/>
        </w:rPr>
        <w:t xml:space="preserve">the </w:t>
      </w:r>
      <w:r w:rsidR="00322DAD" w:rsidRPr="00F1714B">
        <w:rPr>
          <w:bCs/>
          <w:sz w:val="26"/>
          <w:szCs w:val="26"/>
        </w:rPr>
        <w:t xml:space="preserve">final rulemaking process and the accompanying Annex sets forth the </w:t>
      </w:r>
      <w:r w:rsidR="00322DAD" w:rsidRPr="00F1714B">
        <w:rPr>
          <w:sz w:val="26"/>
          <w:szCs w:val="26"/>
        </w:rPr>
        <w:t xml:space="preserve">final revisions to Chapters 53, 63 and 64 of </w:t>
      </w:r>
      <w:r w:rsidR="00E27F12" w:rsidRPr="00F1714B">
        <w:rPr>
          <w:sz w:val="26"/>
          <w:szCs w:val="26"/>
        </w:rPr>
        <w:t>Title 52 of the Pa. Code</w:t>
      </w:r>
      <w:r w:rsidR="00322DAD" w:rsidRPr="00F1714B">
        <w:rPr>
          <w:sz w:val="26"/>
          <w:szCs w:val="26"/>
        </w:rPr>
        <w:t>.</w:t>
      </w:r>
    </w:p>
    <w:p w14:paraId="0D795391" w14:textId="77777777" w:rsidR="001B3461" w:rsidRPr="00F1714B" w:rsidRDefault="001B3461" w:rsidP="00E43EA2">
      <w:pPr>
        <w:keepNext/>
        <w:keepLines/>
        <w:jc w:val="center"/>
        <w:rPr>
          <w:rFonts w:cs="Times New Roman"/>
          <w:b/>
          <w:bCs/>
          <w:szCs w:val="26"/>
        </w:rPr>
      </w:pPr>
      <w:r w:rsidRPr="00F1714B">
        <w:rPr>
          <w:rFonts w:cs="Times New Roman"/>
          <w:b/>
          <w:bCs/>
          <w:szCs w:val="26"/>
        </w:rPr>
        <w:lastRenderedPageBreak/>
        <w:t>BACKGROUND</w:t>
      </w:r>
    </w:p>
    <w:p w14:paraId="6A99A6AF" w14:textId="4DB9B744" w:rsidR="001B3461" w:rsidRPr="00F1714B" w:rsidRDefault="003E3752" w:rsidP="002A5F6D">
      <w:pPr>
        <w:keepNext/>
        <w:keepLines/>
        <w:rPr>
          <w:szCs w:val="26"/>
        </w:rPr>
      </w:pPr>
      <w:r w:rsidRPr="00F1714B">
        <w:rPr>
          <w:rFonts w:cs="Times New Roman"/>
          <w:b/>
          <w:bCs/>
          <w:szCs w:val="26"/>
        </w:rPr>
        <w:t>I.</w:t>
      </w:r>
      <w:r w:rsidRPr="00F1714B">
        <w:rPr>
          <w:rFonts w:cs="Times New Roman"/>
          <w:b/>
          <w:bCs/>
          <w:szCs w:val="26"/>
        </w:rPr>
        <w:tab/>
      </w:r>
      <w:r w:rsidR="001B3461" w:rsidRPr="00F1714B">
        <w:rPr>
          <w:rFonts w:cs="Times New Roman"/>
          <w:b/>
          <w:bCs/>
          <w:szCs w:val="26"/>
        </w:rPr>
        <w:t xml:space="preserve">Verizon </w:t>
      </w:r>
      <w:r w:rsidR="003D5FF4" w:rsidRPr="00F1714B">
        <w:rPr>
          <w:rFonts w:cs="Times New Roman"/>
          <w:b/>
          <w:bCs/>
          <w:szCs w:val="26"/>
        </w:rPr>
        <w:t xml:space="preserve">Reclassification Proceeding </w:t>
      </w:r>
    </w:p>
    <w:p w14:paraId="2AC6CB12" w14:textId="2A2112FD" w:rsidR="005F4960" w:rsidRPr="00F1714B" w:rsidRDefault="00842D2B" w:rsidP="00CF2BD4">
      <w:pPr>
        <w:keepNext/>
        <w:keepLines/>
        <w:ind w:firstLine="720"/>
        <w:contextualSpacing/>
        <w:rPr>
          <w:rFonts w:eastAsia="Calibri" w:cs="Times New Roman"/>
          <w:bCs/>
          <w:szCs w:val="26"/>
        </w:rPr>
      </w:pPr>
      <w:r w:rsidRPr="00F1714B">
        <w:rPr>
          <w:rFonts w:eastAsia="Calibri" w:cs="Times New Roman"/>
          <w:bCs/>
          <w:szCs w:val="26"/>
        </w:rPr>
        <w:t>On October 6, 2014, p</w:t>
      </w:r>
      <w:r w:rsidR="00510F37" w:rsidRPr="00F1714B">
        <w:rPr>
          <w:rFonts w:eastAsia="Calibri" w:cs="Times New Roman"/>
          <w:bCs/>
          <w:szCs w:val="26"/>
        </w:rPr>
        <w:t>ursuant to Section 3016(a) of the Code, 66 Pa.C.S. § 3016(a), our two non-rural incumbent local exchange carriers (ILECs), Verizon Pennsylvania LLC (Verizon PA) and Verizon North LLC (Verizon North) (</w:t>
      </w:r>
      <w:r w:rsidR="001711C7" w:rsidRPr="00F1714B">
        <w:rPr>
          <w:rFonts w:eastAsia="Calibri" w:cs="Times New Roman"/>
          <w:bCs/>
          <w:szCs w:val="26"/>
        </w:rPr>
        <w:t xml:space="preserve">hereinafter </w:t>
      </w:r>
      <w:r w:rsidR="00510F37" w:rsidRPr="00F1714B">
        <w:rPr>
          <w:rFonts w:eastAsia="Calibri" w:cs="Times New Roman"/>
          <w:bCs/>
          <w:szCs w:val="26"/>
        </w:rPr>
        <w:t xml:space="preserve">collectively </w:t>
      </w:r>
      <w:r w:rsidR="001711C7" w:rsidRPr="00F1714B">
        <w:rPr>
          <w:rFonts w:eastAsia="Calibri" w:cs="Times New Roman"/>
          <w:bCs/>
          <w:szCs w:val="26"/>
        </w:rPr>
        <w:t>referred to as “</w:t>
      </w:r>
      <w:r w:rsidR="00510F37" w:rsidRPr="00F1714B">
        <w:rPr>
          <w:rFonts w:eastAsia="Calibri" w:cs="Times New Roman"/>
          <w:bCs/>
          <w:szCs w:val="26"/>
        </w:rPr>
        <w:t>Verizon</w:t>
      </w:r>
      <w:r w:rsidR="001711C7" w:rsidRPr="00F1714B">
        <w:rPr>
          <w:rFonts w:eastAsia="Calibri" w:cs="Times New Roman"/>
          <w:bCs/>
          <w:szCs w:val="26"/>
        </w:rPr>
        <w:t>”</w:t>
      </w:r>
      <w:r w:rsidR="00510F37" w:rsidRPr="00F1714B">
        <w:rPr>
          <w:rFonts w:eastAsia="Calibri" w:cs="Times New Roman"/>
          <w:bCs/>
          <w:szCs w:val="26"/>
        </w:rPr>
        <w:t xml:space="preserve">), </w:t>
      </w:r>
      <w:r w:rsidR="00E2293C" w:rsidRPr="00F1714B">
        <w:rPr>
          <w:rFonts w:eastAsia="Calibri" w:cs="Times New Roman"/>
          <w:bCs/>
          <w:szCs w:val="26"/>
        </w:rPr>
        <w:t xml:space="preserve">filed a joint petition </w:t>
      </w:r>
      <w:r w:rsidR="005F4960" w:rsidRPr="00F1714B">
        <w:rPr>
          <w:rFonts w:eastAsia="Calibri" w:cs="Times New Roman"/>
          <w:bCs/>
          <w:szCs w:val="26"/>
        </w:rPr>
        <w:t>r</w:t>
      </w:r>
      <w:r w:rsidR="00096D76" w:rsidRPr="00F1714B">
        <w:rPr>
          <w:rFonts w:eastAsia="Calibri" w:cs="Times New Roman"/>
          <w:bCs/>
          <w:szCs w:val="26"/>
        </w:rPr>
        <w:t>eques</w:t>
      </w:r>
      <w:r w:rsidR="00E2293C" w:rsidRPr="00F1714B">
        <w:rPr>
          <w:rFonts w:eastAsia="Calibri" w:cs="Times New Roman"/>
          <w:bCs/>
          <w:szCs w:val="26"/>
        </w:rPr>
        <w:t xml:space="preserve">ting the Commission to grant a </w:t>
      </w:r>
      <w:r w:rsidR="00096D76" w:rsidRPr="00F1714B">
        <w:rPr>
          <w:rFonts w:eastAsia="Calibri" w:cs="Times New Roman"/>
          <w:bCs/>
          <w:szCs w:val="26"/>
        </w:rPr>
        <w:t xml:space="preserve">competitive classification </w:t>
      </w:r>
      <w:r w:rsidR="00E2293C" w:rsidRPr="00F1714B">
        <w:rPr>
          <w:rFonts w:eastAsia="Calibri" w:cs="Times New Roman"/>
          <w:bCs/>
          <w:szCs w:val="26"/>
        </w:rPr>
        <w:t xml:space="preserve">to </w:t>
      </w:r>
      <w:r w:rsidR="00B60631" w:rsidRPr="00F1714B">
        <w:rPr>
          <w:rFonts w:eastAsia="Calibri" w:cs="Times New Roman"/>
          <w:bCs/>
          <w:szCs w:val="26"/>
        </w:rPr>
        <w:t xml:space="preserve">all of its remaining </w:t>
      </w:r>
      <w:r w:rsidR="00096D76" w:rsidRPr="00F1714B">
        <w:rPr>
          <w:rFonts w:eastAsia="Calibri" w:cs="Times New Roman"/>
          <w:bCs/>
          <w:szCs w:val="26"/>
        </w:rPr>
        <w:t xml:space="preserve">retail </w:t>
      </w:r>
      <w:r w:rsidR="00B60631" w:rsidRPr="00F1714B">
        <w:rPr>
          <w:rFonts w:eastAsia="Calibri" w:cs="Times New Roman"/>
          <w:bCs/>
          <w:szCs w:val="26"/>
        </w:rPr>
        <w:t>protected</w:t>
      </w:r>
      <w:r w:rsidR="000A1400" w:rsidRPr="00F1714B">
        <w:rPr>
          <w:rFonts w:eastAsia="Calibri" w:cs="Times New Roman"/>
          <w:bCs/>
          <w:szCs w:val="26"/>
        </w:rPr>
        <w:t xml:space="preserve"> services</w:t>
      </w:r>
      <w:r w:rsidR="00156696" w:rsidRPr="00F1714B">
        <w:rPr>
          <w:rFonts w:eastAsia="Calibri" w:cs="Times New Roman"/>
          <w:bCs/>
          <w:szCs w:val="26"/>
        </w:rPr>
        <w:t xml:space="preserve"> </w:t>
      </w:r>
      <w:r w:rsidR="00FB148A" w:rsidRPr="00F1714B">
        <w:rPr>
          <w:rFonts w:eastAsia="Calibri" w:cs="Times New Roman"/>
          <w:bCs/>
          <w:szCs w:val="26"/>
        </w:rPr>
        <w:t xml:space="preserve">(excluding special access service and intrastate switched access service), </w:t>
      </w:r>
      <w:r w:rsidR="00B60631" w:rsidRPr="00F1714B">
        <w:rPr>
          <w:rFonts w:eastAsia="Calibri" w:cs="Times New Roman"/>
          <w:bCs/>
          <w:szCs w:val="26"/>
        </w:rPr>
        <w:t xml:space="preserve">and any other </w:t>
      </w:r>
      <w:r w:rsidR="00FB148A" w:rsidRPr="00F1714B">
        <w:rPr>
          <w:rFonts w:eastAsia="Calibri" w:cs="Times New Roman"/>
          <w:bCs/>
          <w:szCs w:val="26"/>
        </w:rPr>
        <w:t xml:space="preserve">telecommunications </w:t>
      </w:r>
      <w:r w:rsidR="00B60631" w:rsidRPr="00F1714B">
        <w:rPr>
          <w:rFonts w:eastAsia="Calibri" w:cs="Times New Roman"/>
          <w:bCs/>
          <w:szCs w:val="26"/>
        </w:rPr>
        <w:t xml:space="preserve">service offered to residential and business customers </w:t>
      </w:r>
      <w:r w:rsidR="00FB148A" w:rsidRPr="00F1714B">
        <w:rPr>
          <w:rFonts w:eastAsia="Calibri" w:cs="Times New Roman"/>
          <w:bCs/>
          <w:szCs w:val="26"/>
        </w:rPr>
        <w:t xml:space="preserve">that had </w:t>
      </w:r>
      <w:r w:rsidR="00B60631" w:rsidRPr="00F1714B">
        <w:rPr>
          <w:rFonts w:eastAsia="Calibri" w:cs="Times New Roman"/>
          <w:bCs/>
          <w:szCs w:val="26"/>
        </w:rPr>
        <w:t xml:space="preserve">yet to </w:t>
      </w:r>
      <w:r w:rsidR="00F67501" w:rsidRPr="00F1714B">
        <w:rPr>
          <w:rFonts w:eastAsia="Calibri" w:cs="Times New Roman"/>
          <w:bCs/>
          <w:szCs w:val="26"/>
        </w:rPr>
        <w:t xml:space="preserve">be </w:t>
      </w:r>
      <w:r w:rsidR="00B60631" w:rsidRPr="00F1714B">
        <w:rPr>
          <w:rFonts w:eastAsia="Calibri" w:cs="Times New Roman"/>
          <w:bCs/>
          <w:szCs w:val="26"/>
        </w:rPr>
        <w:t>classified as competitive</w:t>
      </w:r>
      <w:r w:rsidR="00FB148A" w:rsidRPr="00F1714B">
        <w:rPr>
          <w:rFonts w:eastAsia="Calibri" w:cs="Times New Roman"/>
          <w:bCs/>
          <w:szCs w:val="26"/>
        </w:rPr>
        <w:t>.</w:t>
      </w:r>
      <w:r w:rsidR="005F4960" w:rsidRPr="00F1714B">
        <w:rPr>
          <w:rStyle w:val="FootnoteReference"/>
          <w:rFonts w:eastAsia="Calibri" w:cs="Times New Roman"/>
          <w:bCs/>
          <w:szCs w:val="26"/>
        </w:rPr>
        <w:footnoteReference w:id="2"/>
      </w:r>
      <w:r w:rsidR="00C8081A" w:rsidRPr="00F1714B">
        <w:rPr>
          <w:rFonts w:eastAsia="Calibri" w:cs="Times New Roman"/>
          <w:bCs/>
          <w:szCs w:val="26"/>
        </w:rPr>
        <w:t xml:space="preserve">  </w:t>
      </w:r>
      <w:r w:rsidR="00156696" w:rsidRPr="00F1714B">
        <w:rPr>
          <w:rFonts w:eastAsia="Calibri" w:cs="Times New Roman"/>
          <w:bCs/>
          <w:szCs w:val="26"/>
        </w:rPr>
        <w:t xml:space="preserve">Essentially, </w:t>
      </w:r>
      <w:r w:rsidR="00FB148A" w:rsidRPr="00F1714B">
        <w:rPr>
          <w:rFonts w:eastAsia="Calibri" w:cs="Times New Roman"/>
          <w:bCs/>
          <w:szCs w:val="26"/>
        </w:rPr>
        <w:t xml:space="preserve">Verizon requested this </w:t>
      </w:r>
      <w:r w:rsidRPr="00F1714B">
        <w:rPr>
          <w:rFonts w:eastAsia="Calibri" w:cs="Times New Roman"/>
          <w:bCs/>
          <w:szCs w:val="26"/>
        </w:rPr>
        <w:t xml:space="preserve">specific regulatory </w:t>
      </w:r>
      <w:r w:rsidR="00FB148A" w:rsidRPr="00F1714B">
        <w:rPr>
          <w:rFonts w:eastAsia="Calibri" w:cs="Times New Roman"/>
          <w:bCs/>
          <w:szCs w:val="26"/>
        </w:rPr>
        <w:t xml:space="preserve">relief for </w:t>
      </w:r>
      <w:r w:rsidR="005F4960" w:rsidRPr="00F1714B">
        <w:rPr>
          <w:rFonts w:eastAsia="Calibri" w:cs="Times New Roman"/>
          <w:bCs/>
          <w:szCs w:val="26"/>
        </w:rPr>
        <w:t xml:space="preserve">its </w:t>
      </w:r>
      <w:r w:rsidR="00156696" w:rsidRPr="00F1714B">
        <w:rPr>
          <w:rFonts w:eastAsia="Calibri" w:cs="Times New Roman"/>
          <w:bCs/>
          <w:szCs w:val="26"/>
        </w:rPr>
        <w:t xml:space="preserve">basic </w:t>
      </w:r>
      <w:r w:rsidR="000C323E" w:rsidRPr="00F1714B">
        <w:rPr>
          <w:rFonts w:eastAsia="Calibri" w:cs="Times New Roman"/>
          <w:bCs/>
          <w:szCs w:val="26"/>
        </w:rPr>
        <w:t>standalone</w:t>
      </w:r>
      <w:r w:rsidR="00156696" w:rsidRPr="00F1714B">
        <w:rPr>
          <w:rFonts w:eastAsia="Calibri" w:cs="Times New Roman"/>
          <w:bCs/>
          <w:szCs w:val="26"/>
        </w:rPr>
        <w:t xml:space="preserve"> telephone service, commonly referred to as basic local exchange service </w:t>
      </w:r>
      <w:r w:rsidR="005F4960" w:rsidRPr="00F1714B">
        <w:rPr>
          <w:rFonts w:eastAsia="Calibri" w:cs="Times New Roman"/>
          <w:bCs/>
          <w:szCs w:val="26"/>
        </w:rPr>
        <w:t xml:space="preserve">offered </w:t>
      </w:r>
      <w:r w:rsidR="005F4960" w:rsidRPr="00F1714B">
        <w:rPr>
          <w:rFonts w:cs="Times New Roman"/>
          <w:szCs w:val="26"/>
        </w:rPr>
        <w:t xml:space="preserve">in </w:t>
      </w:r>
      <w:r w:rsidR="005F4960" w:rsidRPr="00F1714B">
        <w:rPr>
          <w:rFonts w:eastAsia="Calibri" w:cs="Times New Roman"/>
          <w:bCs/>
          <w:szCs w:val="26"/>
        </w:rPr>
        <w:t>its wire centers</w:t>
      </w:r>
      <w:r w:rsidR="003C0D2C" w:rsidRPr="00F1714B">
        <w:rPr>
          <w:rStyle w:val="FootnoteReference"/>
          <w:rFonts w:eastAsia="Calibri" w:cs="Times New Roman"/>
          <w:bCs/>
          <w:szCs w:val="26"/>
        </w:rPr>
        <w:footnoteReference w:id="3"/>
      </w:r>
      <w:r w:rsidR="00E71BC9" w:rsidRPr="00F1714B">
        <w:rPr>
          <w:rFonts w:eastAsia="Calibri" w:cs="Times New Roman"/>
          <w:bCs/>
          <w:szCs w:val="26"/>
        </w:rPr>
        <w:t xml:space="preserve"> </w:t>
      </w:r>
      <w:r w:rsidR="005F4960" w:rsidRPr="00F1714B">
        <w:rPr>
          <w:rFonts w:eastAsia="Calibri" w:cs="Times New Roman"/>
          <w:bCs/>
          <w:szCs w:val="26"/>
        </w:rPr>
        <w:t xml:space="preserve">located in the metropolitan areas of </w:t>
      </w:r>
      <w:r w:rsidR="005F4960" w:rsidRPr="00F1714B">
        <w:rPr>
          <w:rFonts w:cs="Times New Roman"/>
          <w:szCs w:val="26"/>
        </w:rPr>
        <w:t>Philadelphia, Erie, Scranton/Wilkes-Barre, Harrisburg, Pittsburgh, Allentown, and York</w:t>
      </w:r>
      <w:r w:rsidR="005F4960" w:rsidRPr="00F1714B">
        <w:rPr>
          <w:rFonts w:eastAsia="Calibri" w:cs="Times New Roman"/>
          <w:bCs/>
          <w:szCs w:val="26"/>
        </w:rPr>
        <w:t>.</w:t>
      </w:r>
      <w:r w:rsidR="005F4960" w:rsidRPr="00F1714B">
        <w:rPr>
          <w:rStyle w:val="FootnoteReference"/>
          <w:rFonts w:eastAsia="Calibri" w:cs="Times New Roman"/>
          <w:bCs/>
          <w:szCs w:val="26"/>
        </w:rPr>
        <w:footnoteReference w:id="4"/>
      </w:r>
      <w:r w:rsidR="005F4960" w:rsidRPr="00F1714B">
        <w:rPr>
          <w:rFonts w:eastAsia="Calibri" w:cs="Times New Roman"/>
          <w:bCs/>
          <w:szCs w:val="26"/>
        </w:rPr>
        <w:t xml:space="preserve">  </w:t>
      </w:r>
    </w:p>
    <w:p w14:paraId="724F20DB" w14:textId="77777777" w:rsidR="003C0D2C" w:rsidRPr="00F1714B" w:rsidRDefault="003C0D2C" w:rsidP="00E55426">
      <w:pPr>
        <w:ind w:firstLine="720"/>
        <w:contextualSpacing/>
        <w:rPr>
          <w:rFonts w:eastAsia="Calibri" w:cs="Times New Roman"/>
          <w:bCs/>
          <w:szCs w:val="26"/>
        </w:rPr>
      </w:pPr>
    </w:p>
    <w:p w14:paraId="09739250" w14:textId="53EA38F1" w:rsidR="00D86BB2" w:rsidRPr="00F1714B" w:rsidRDefault="00096D76" w:rsidP="00E55426">
      <w:pPr>
        <w:ind w:firstLine="720"/>
        <w:contextualSpacing/>
        <w:rPr>
          <w:rFonts w:eastAsia="Calibri" w:cs="Times New Roman"/>
          <w:bCs/>
          <w:szCs w:val="26"/>
        </w:rPr>
      </w:pPr>
      <w:r w:rsidRPr="00F1714B">
        <w:rPr>
          <w:rFonts w:eastAsia="Calibri" w:cs="Times New Roman"/>
          <w:bCs/>
          <w:szCs w:val="26"/>
        </w:rPr>
        <w:t xml:space="preserve">In this same </w:t>
      </w:r>
      <w:r w:rsidR="00227B32" w:rsidRPr="00F1714B">
        <w:rPr>
          <w:rFonts w:eastAsia="Calibri" w:cs="Times New Roman"/>
          <w:bCs/>
          <w:szCs w:val="26"/>
        </w:rPr>
        <w:t>p</w:t>
      </w:r>
      <w:r w:rsidRPr="00F1714B">
        <w:rPr>
          <w:rFonts w:eastAsia="Calibri" w:cs="Times New Roman"/>
          <w:bCs/>
          <w:szCs w:val="26"/>
        </w:rPr>
        <w:t xml:space="preserve">etition, Verizon </w:t>
      </w:r>
      <w:r w:rsidR="00D86BB2" w:rsidRPr="00F1714B">
        <w:rPr>
          <w:rFonts w:eastAsia="Calibri" w:cs="Times New Roman"/>
          <w:bCs/>
          <w:szCs w:val="26"/>
        </w:rPr>
        <w:t xml:space="preserve">also </w:t>
      </w:r>
      <w:r w:rsidRPr="00F1714B">
        <w:rPr>
          <w:rFonts w:eastAsia="Calibri" w:cs="Times New Roman"/>
          <w:bCs/>
          <w:szCs w:val="26"/>
        </w:rPr>
        <w:t>requested a</w:t>
      </w:r>
      <w:r w:rsidR="00842D2B" w:rsidRPr="00F1714B">
        <w:rPr>
          <w:rFonts w:eastAsia="Calibri" w:cs="Times New Roman"/>
          <w:bCs/>
          <w:szCs w:val="26"/>
        </w:rPr>
        <w:t>n</w:t>
      </w:r>
      <w:r w:rsidR="00842D2B" w:rsidRPr="00F1714B">
        <w:rPr>
          <w:bCs/>
          <w:szCs w:val="26"/>
        </w:rPr>
        <w:t xml:space="preserve"> eleven-year waiver </w:t>
      </w:r>
      <w:r w:rsidRPr="00F1714B">
        <w:rPr>
          <w:rFonts w:eastAsia="Calibri" w:cs="Times New Roman"/>
          <w:bCs/>
          <w:szCs w:val="26"/>
        </w:rPr>
        <w:t xml:space="preserve">of certain </w:t>
      </w:r>
      <w:r w:rsidR="00842D2B" w:rsidRPr="00F1714B">
        <w:rPr>
          <w:bCs/>
          <w:szCs w:val="26"/>
        </w:rPr>
        <w:t xml:space="preserve">parts of Chapter 63 and all of Chapter 64 of </w:t>
      </w:r>
      <w:r w:rsidR="00BB173C" w:rsidRPr="00F1714B">
        <w:rPr>
          <w:bCs/>
          <w:szCs w:val="26"/>
        </w:rPr>
        <w:t>our regulations</w:t>
      </w:r>
      <w:r w:rsidR="00842D2B" w:rsidRPr="00F1714B">
        <w:rPr>
          <w:bCs/>
          <w:szCs w:val="26"/>
        </w:rPr>
        <w:t>.</w:t>
      </w:r>
      <w:r w:rsidR="005F4960" w:rsidRPr="00F1714B">
        <w:rPr>
          <w:rStyle w:val="FootnoteReference"/>
          <w:bCs/>
          <w:szCs w:val="26"/>
        </w:rPr>
        <w:footnoteReference w:id="5"/>
      </w:r>
      <w:r w:rsidR="005F4960" w:rsidRPr="00F1714B">
        <w:rPr>
          <w:bCs/>
          <w:szCs w:val="26"/>
        </w:rPr>
        <w:t xml:space="preserve">  </w:t>
      </w:r>
      <w:r w:rsidR="00842D2B" w:rsidRPr="00F1714B">
        <w:rPr>
          <w:bCs/>
          <w:szCs w:val="26"/>
        </w:rPr>
        <w:t xml:space="preserve">Verizon requested that this regulatory waiver </w:t>
      </w:r>
      <w:r w:rsidR="00FB148A" w:rsidRPr="00F1714B">
        <w:rPr>
          <w:rFonts w:eastAsia="Calibri" w:cs="Times New Roman"/>
          <w:bCs/>
          <w:szCs w:val="26"/>
        </w:rPr>
        <w:t xml:space="preserve">should apply to all the wire centers where the services above were classified as </w:t>
      </w:r>
      <w:r w:rsidR="00D86BB2" w:rsidRPr="00F1714B">
        <w:rPr>
          <w:rFonts w:eastAsia="Calibri" w:cs="Times New Roman"/>
          <w:bCs/>
          <w:szCs w:val="26"/>
        </w:rPr>
        <w:t xml:space="preserve">“competitive” </w:t>
      </w:r>
      <w:r w:rsidR="00FB148A" w:rsidRPr="00F1714B">
        <w:rPr>
          <w:rFonts w:eastAsia="Calibri" w:cs="Times New Roman"/>
          <w:bCs/>
          <w:szCs w:val="26"/>
        </w:rPr>
        <w:t>by the Commission in the proceeding</w:t>
      </w:r>
      <w:r w:rsidRPr="00F1714B">
        <w:rPr>
          <w:rFonts w:eastAsia="Calibri" w:cs="Times New Roman"/>
          <w:bCs/>
          <w:szCs w:val="26"/>
        </w:rPr>
        <w:t>.</w:t>
      </w:r>
      <w:r w:rsidR="005F4960" w:rsidRPr="00F1714B">
        <w:rPr>
          <w:rStyle w:val="FootnoteReference"/>
          <w:rFonts w:eastAsia="Calibri" w:cs="Times New Roman"/>
          <w:bCs/>
          <w:szCs w:val="26"/>
        </w:rPr>
        <w:footnoteReference w:id="6"/>
      </w:r>
      <w:r w:rsidRPr="00F1714B">
        <w:rPr>
          <w:rFonts w:eastAsia="Calibri" w:cs="Times New Roman"/>
          <w:bCs/>
          <w:szCs w:val="26"/>
        </w:rPr>
        <w:t xml:space="preserve">  </w:t>
      </w:r>
    </w:p>
    <w:p w14:paraId="481A84D1" w14:textId="77777777" w:rsidR="00D86BB2" w:rsidRPr="00F1714B" w:rsidRDefault="00D86BB2" w:rsidP="00E55426">
      <w:pPr>
        <w:ind w:firstLine="720"/>
        <w:contextualSpacing/>
        <w:rPr>
          <w:rFonts w:eastAsia="Calibri" w:cs="Times New Roman"/>
          <w:bCs/>
          <w:szCs w:val="26"/>
        </w:rPr>
      </w:pPr>
    </w:p>
    <w:p w14:paraId="6267AE47" w14:textId="1CDF5674" w:rsidR="009C7D81" w:rsidRPr="00F1714B" w:rsidRDefault="00096D76" w:rsidP="00E55426">
      <w:pPr>
        <w:ind w:firstLine="720"/>
        <w:contextualSpacing/>
        <w:rPr>
          <w:rFonts w:cs="Times New Roman"/>
          <w:bCs/>
          <w:szCs w:val="26"/>
        </w:rPr>
      </w:pPr>
      <w:r w:rsidRPr="00F1714B">
        <w:rPr>
          <w:rFonts w:eastAsia="Calibri" w:cs="Times New Roman"/>
          <w:bCs/>
          <w:szCs w:val="26"/>
        </w:rPr>
        <w:lastRenderedPageBreak/>
        <w:t xml:space="preserve">The Commission conducted a full evidentiary proceeding on </w:t>
      </w:r>
      <w:r w:rsidR="005F4960" w:rsidRPr="00F1714B">
        <w:rPr>
          <w:rFonts w:eastAsia="Calibri" w:cs="Times New Roman"/>
          <w:bCs/>
          <w:szCs w:val="26"/>
        </w:rPr>
        <w:t xml:space="preserve">the Joint </w:t>
      </w:r>
      <w:r w:rsidRPr="00F1714B">
        <w:rPr>
          <w:rFonts w:eastAsia="Calibri" w:cs="Times New Roman"/>
          <w:bCs/>
          <w:szCs w:val="26"/>
        </w:rPr>
        <w:t xml:space="preserve">Petition </w:t>
      </w:r>
      <w:r w:rsidR="00B60631" w:rsidRPr="00F1714B">
        <w:rPr>
          <w:rFonts w:eastAsia="Calibri" w:cs="Times New Roman"/>
          <w:bCs/>
          <w:szCs w:val="26"/>
        </w:rPr>
        <w:t xml:space="preserve">and </w:t>
      </w:r>
      <w:r w:rsidRPr="00F1714B">
        <w:rPr>
          <w:rFonts w:eastAsia="Calibri" w:cs="Times New Roman"/>
          <w:bCs/>
          <w:szCs w:val="26"/>
        </w:rPr>
        <w:t>allowed interested stakeholders to intervene</w:t>
      </w:r>
      <w:r w:rsidR="00B60631" w:rsidRPr="00F1714B">
        <w:rPr>
          <w:rFonts w:eastAsia="Calibri" w:cs="Times New Roman"/>
          <w:bCs/>
          <w:szCs w:val="26"/>
        </w:rPr>
        <w:t xml:space="preserve"> </w:t>
      </w:r>
      <w:r w:rsidRPr="00F1714B">
        <w:rPr>
          <w:rFonts w:eastAsia="Calibri" w:cs="Times New Roman"/>
          <w:bCs/>
          <w:szCs w:val="26"/>
        </w:rPr>
        <w:t xml:space="preserve">and present testimony regarding Verizon’s </w:t>
      </w:r>
      <w:r w:rsidR="000A1400" w:rsidRPr="00F1714B">
        <w:rPr>
          <w:rFonts w:eastAsia="Calibri" w:cs="Times New Roman"/>
          <w:bCs/>
          <w:szCs w:val="26"/>
        </w:rPr>
        <w:t xml:space="preserve">specific </w:t>
      </w:r>
      <w:r w:rsidRPr="00F1714B">
        <w:rPr>
          <w:rFonts w:eastAsia="Calibri" w:cs="Times New Roman"/>
          <w:bCs/>
          <w:szCs w:val="26"/>
        </w:rPr>
        <w:t xml:space="preserve">request for a competitive classification </w:t>
      </w:r>
      <w:r w:rsidR="000A1400" w:rsidRPr="00F1714B">
        <w:rPr>
          <w:rFonts w:eastAsia="Calibri" w:cs="Times New Roman"/>
          <w:bCs/>
          <w:szCs w:val="26"/>
        </w:rPr>
        <w:t xml:space="preserve">of certain retail protected services </w:t>
      </w:r>
      <w:r w:rsidRPr="00F1714B">
        <w:rPr>
          <w:rFonts w:eastAsia="Calibri" w:cs="Times New Roman"/>
          <w:bCs/>
          <w:szCs w:val="26"/>
        </w:rPr>
        <w:t xml:space="preserve">in these </w:t>
      </w:r>
      <w:r w:rsidR="00717C87" w:rsidRPr="00F1714B">
        <w:rPr>
          <w:rFonts w:eastAsia="Calibri" w:cs="Times New Roman"/>
          <w:bCs/>
          <w:szCs w:val="26"/>
        </w:rPr>
        <w:t xml:space="preserve">specific </w:t>
      </w:r>
      <w:r w:rsidRPr="00F1714B">
        <w:rPr>
          <w:rFonts w:eastAsia="Calibri" w:cs="Times New Roman"/>
          <w:bCs/>
          <w:szCs w:val="26"/>
        </w:rPr>
        <w:t xml:space="preserve">geographic areas. </w:t>
      </w:r>
      <w:r w:rsidR="00C8081A" w:rsidRPr="00F1714B">
        <w:rPr>
          <w:rFonts w:eastAsia="Calibri" w:cs="Times New Roman"/>
          <w:bCs/>
          <w:szCs w:val="26"/>
        </w:rPr>
        <w:t xml:space="preserve"> </w:t>
      </w:r>
      <w:r w:rsidRPr="00F1714B">
        <w:rPr>
          <w:rFonts w:eastAsia="Calibri" w:cs="Times New Roman"/>
          <w:bCs/>
          <w:szCs w:val="26"/>
        </w:rPr>
        <w:t>By an Order en</w:t>
      </w:r>
      <w:r w:rsidR="00510F37" w:rsidRPr="00F1714B">
        <w:rPr>
          <w:rFonts w:eastAsia="Calibri" w:cs="Times New Roman"/>
          <w:bCs/>
          <w:szCs w:val="26"/>
        </w:rPr>
        <w:t xml:space="preserve">tered March 4, 2015, </w:t>
      </w:r>
      <w:r w:rsidR="001B3461" w:rsidRPr="00F1714B">
        <w:rPr>
          <w:rFonts w:eastAsia="Calibri" w:cs="Times New Roman"/>
          <w:bCs/>
          <w:szCs w:val="26"/>
        </w:rPr>
        <w:t>the Commission partially grant</w:t>
      </w:r>
      <w:r w:rsidR="008C70AF" w:rsidRPr="00F1714B">
        <w:rPr>
          <w:rFonts w:eastAsia="Calibri" w:cs="Times New Roman"/>
          <w:bCs/>
          <w:szCs w:val="26"/>
        </w:rPr>
        <w:t>ed</w:t>
      </w:r>
      <w:r w:rsidR="001B3461" w:rsidRPr="00F1714B">
        <w:rPr>
          <w:rFonts w:eastAsia="Calibri" w:cs="Times New Roman"/>
          <w:bCs/>
          <w:szCs w:val="26"/>
        </w:rPr>
        <w:t xml:space="preserve"> </w:t>
      </w:r>
      <w:r w:rsidR="00C8081A" w:rsidRPr="00F1714B">
        <w:rPr>
          <w:rFonts w:eastAsia="Calibri" w:cs="Times New Roman"/>
          <w:bCs/>
          <w:szCs w:val="26"/>
        </w:rPr>
        <w:t>the Joint P</w:t>
      </w:r>
      <w:r w:rsidR="001B3461" w:rsidRPr="00F1714B">
        <w:rPr>
          <w:rFonts w:eastAsia="Calibri" w:cs="Times New Roman"/>
          <w:bCs/>
          <w:szCs w:val="26"/>
        </w:rPr>
        <w:t xml:space="preserve">etition </w:t>
      </w:r>
      <w:r w:rsidR="00D86BB2" w:rsidRPr="00F1714B">
        <w:rPr>
          <w:rFonts w:eastAsia="Calibri" w:cs="Times New Roman"/>
          <w:bCs/>
          <w:szCs w:val="26"/>
        </w:rPr>
        <w:t xml:space="preserve">by </w:t>
      </w:r>
      <w:r w:rsidR="001B3461" w:rsidRPr="00F1714B">
        <w:rPr>
          <w:rFonts w:eastAsia="Calibri" w:cs="Times New Roman"/>
          <w:bCs/>
          <w:szCs w:val="26"/>
        </w:rPr>
        <w:t>reclassify</w:t>
      </w:r>
      <w:r w:rsidR="00D86BB2" w:rsidRPr="00F1714B">
        <w:rPr>
          <w:rFonts w:eastAsia="Calibri" w:cs="Times New Roman"/>
          <w:bCs/>
          <w:szCs w:val="26"/>
        </w:rPr>
        <w:t xml:space="preserve">ing </w:t>
      </w:r>
      <w:r w:rsidR="00C8081A" w:rsidRPr="00F1714B">
        <w:rPr>
          <w:rFonts w:eastAsia="Calibri" w:cs="Times New Roman"/>
          <w:bCs/>
          <w:szCs w:val="26"/>
        </w:rPr>
        <w:t xml:space="preserve">Verizon’s </w:t>
      </w:r>
      <w:r w:rsidR="00D86BB2" w:rsidRPr="00F1714B">
        <w:rPr>
          <w:rFonts w:eastAsia="Calibri" w:cs="Times New Roman"/>
          <w:bCs/>
          <w:szCs w:val="26"/>
        </w:rPr>
        <w:t>retail</w:t>
      </w:r>
      <w:r w:rsidR="000052DC" w:rsidRPr="00F1714B">
        <w:rPr>
          <w:rFonts w:eastAsia="Calibri" w:cs="Times New Roman"/>
          <w:bCs/>
          <w:szCs w:val="26"/>
        </w:rPr>
        <w:t xml:space="preserve"> </w:t>
      </w:r>
      <w:r w:rsidR="000A1400" w:rsidRPr="00F1714B">
        <w:rPr>
          <w:rFonts w:cs="Times New Roman"/>
          <w:szCs w:val="26"/>
        </w:rPr>
        <w:t xml:space="preserve">basic standalone telephone service and other services (except special access and intrastate switched access service) offered to both residential and business customers </w:t>
      </w:r>
      <w:r w:rsidR="00D86BB2" w:rsidRPr="00F1714B">
        <w:rPr>
          <w:rFonts w:eastAsia="Calibri" w:cs="Times New Roman"/>
          <w:bCs/>
          <w:szCs w:val="26"/>
        </w:rPr>
        <w:t xml:space="preserve">as competitive in </w:t>
      </w:r>
      <w:r w:rsidR="00E5354C" w:rsidRPr="00F1714B">
        <w:rPr>
          <w:rFonts w:eastAsia="Calibri" w:cs="Times New Roman"/>
          <w:bCs/>
          <w:szCs w:val="26"/>
        </w:rPr>
        <w:t xml:space="preserve">153 of the </w:t>
      </w:r>
      <w:r w:rsidR="006C1D96" w:rsidRPr="00F1714B">
        <w:rPr>
          <w:rFonts w:eastAsia="Calibri" w:cs="Times New Roman"/>
          <w:bCs/>
          <w:szCs w:val="26"/>
        </w:rPr>
        <w:t xml:space="preserve">194 wire </w:t>
      </w:r>
      <w:r w:rsidR="001B3461" w:rsidRPr="00F1714B">
        <w:rPr>
          <w:rFonts w:eastAsia="Calibri" w:cs="Times New Roman"/>
          <w:bCs/>
          <w:szCs w:val="26"/>
        </w:rPr>
        <w:t>centers</w:t>
      </w:r>
      <w:r w:rsidR="006C1D96" w:rsidRPr="00F1714B">
        <w:rPr>
          <w:rFonts w:eastAsia="Calibri" w:cs="Times New Roman"/>
          <w:bCs/>
          <w:szCs w:val="26"/>
        </w:rPr>
        <w:t xml:space="preserve"> where Verizon had requested regulatory relief</w:t>
      </w:r>
      <w:r w:rsidR="005F4960" w:rsidRPr="00F1714B">
        <w:rPr>
          <w:rFonts w:eastAsia="Calibri" w:cs="Times New Roman"/>
          <w:bCs/>
          <w:szCs w:val="26"/>
        </w:rPr>
        <w:t>.</w:t>
      </w:r>
      <w:r w:rsidR="001B3461" w:rsidRPr="00F1714B">
        <w:rPr>
          <w:rStyle w:val="FootnoteReference"/>
          <w:rFonts w:cs="Times New Roman"/>
          <w:bCs/>
          <w:szCs w:val="26"/>
        </w:rPr>
        <w:footnoteReference w:id="7"/>
      </w:r>
      <w:r w:rsidR="001B3461" w:rsidRPr="00F1714B">
        <w:rPr>
          <w:rFonts w:cs="Times New Roman"/>
          <w:bCs/>
          <w:szCs w:val="26"/>
        </w:rPr>
        <w:t xml:space="preserve">  </w:t>
      </w:r>
    </w:p>
    <w:p w14:paraId="11862F1A" w14:textId="77777777" w:rsidR="009C7D81" w:rsidRPr="00F1714B" w:rsidRDefault="009C7D81" w:rsidP="00E55426">
      <w:pPr>
        <w:contextualSpacing/>
        <w:rPr>
          <w:rFonts w:cs="Times New Roman"/>
          <w:bCs/>
          <w:szCs w:val="26"/>
        </w:rPr>
      </w:pPr>
    </w:p>
    <w:p w14:paraId="49D39E2F" w14:textId="233B5A9C" w:rsidR="00DB0CD0" w:rsidRPr="00F1714B" w:rsidRDefault="00C8081A" w:rsidP="00E55426">
      <w:pPr>
        <w:ind w:firstLine="720"/>
        <w:contextualSpacing/>
        <w:rPr>
          <w:rFonts w:cs="Times New Roman"/>
          <w:bCs/>
          <w:szCs w:val="26"/>
        </w:rPr>
      </w:pPr>
      <w:r w:rsidRPr="00F1714B">
        <w:rPr>
          <w:rFonts w:cs="Times New Roman"/>
          <w:bCs/>
          <w:szCs w:val="26"/>
        </w:rPr>
        <w:t>The</w:t>
      </w:r>
      <w:r w:rsidRPr="00F1714B">
        <w:rPr>
          <w:rFonts w:cs="Times New Roman"/>
          <w:bCs/>
          <w:i/>
          <w:szCs w:val="26"/>
        </w:rPr>
        <w:t xml:space="preserve"> Reclassification Order</w:t>
      </w:r>
      <w:r w:rsidRPr="00F1714B">
        <w:rPr>
          <w:rFonts w:cs="Times New Roman"/>
          <w:bCs/>
          <w:szCs w:val="26"/>
        </w:rPr>
        <w:t xml:space="preserve"> also granted, in part, Verizon’s waiver request by</w:t>
      </w:r>
      <w:r w:rsidR="00AE63AA" w:rsidRPr="00F1714B">
        <w:rPr>
          <w:rFonts w:cs="Times New Roman"/>
          <w:bCs/>
          <w:szCs w:val="26"/>
        </w:rPr>
        <w:t xml:space="preserve"> giving Verizon a temporary waiver </w:t>
      </w:r>
      <w:r w:rsidRPr="00F1714B">
        <w:rPr>
          <w:rFonts w:cs="Times New Roman"/>
          <w:bCs/>
          <w:szCs w:val="26"/>
        </w:rPr>
        <w:t xml:space="preserve">of certain of the </w:t>
      </w:r>
      <w:r w:rsidR="00236683" w:rsidRPr="00F1714B">
        <w:rPr>
          <w:rFonts w:cs="Times New Roman"/>
          <w:bCs/>
          <w:szCs w:val="26"/>
        </w:rPr>
        <w:t xml:space="preserve">telecommunications regulations within </w:t>
      </w:r>
      <w:r w:rsidRPr="00F1714B">
        <w:rPr>
          <w:rFonts w:cs="Times New Roman"/>
          <w:bCs/>
          <w:szCs w:val="26"/>
        </w:rPr>
        <w:t xml:space="preserve">Chapter 63 and Chapter 64 </w:t>
      </w:r>
      <w:r w:rsidR="00FA5EA7" w:rsidRPr="00F1714B">
        <w:rPr>
          <w:rFonts w:cs="Times New Roman"/>
          <w:bCs/>
          <w:szCs w:val="26"/>
        </w:rPr>
        <w:t>of Title 52 of the Pa. Code</w:t>
      </w:r>
      <w:r w:rsidR="002C1059" w:rsidRPr="00F1714B">
        <w:rPr>
          <w:rFonts w:cs="Times New Roman"/>
          <w:bCs/>
          <w:szCs w:val="26"/>
        </w:rPr>
        <w:t xml:space="preserve"> </w:t>
      </w:r>
      <w:r w:rsidRPr="00F1714B">
        <w:rPr>
          <w:rFonts w:cs="Times New Roman"/>
          <w:bCs/>
          <w:szCs w:val="26"/>
        </w:rPr>
        <w:t>in the</w:t>
      </w:r>
      <w:r w:rsidR="00FA5EA7" w:rsidRPr="00F1714B">
        <w:rPr>
          <w:rFonts w:cs="Times New Roman"/>
          <w:bCs/>
          <w:szCs w:val="26"/>
        </w:rPr>
        <w:t xml:space="preserve"> </w:t>
      </w:r>
      <w:r w:rsidR="001929DE" w:rsidRPr="00F1714B">
        <w:rPr>
          <w:rFonts w:cs="Times New Roman"/>
          <w:bCs/>
          <w:szCs w:val="26"/>
        </w:rPr>
        <w:t xml:space="preserve">153 </w:t>
      </w:r>
      <w:r w:rsidR="00FA5EA7" w:rsidRPr="00F1714B">
        <w:rPr>
          <w:rFonts w:cs="Times New Roman"/>
          <w:bCs/>
          <w:szCs w:val="26"/>
        </w:rPr>
        <w:t xml:space="preserve">newly-classified </w:t>
      </w:r>
      <w:r w:rsidRPr="00F1714B">
        <w:rPr>
          <w:rFonts w:cs="Times New Roman"/>
          <w:bCs/>
          <w:szCs w:val="26"/>
        </w:rPr>
        <w:t xml:space="preserve"> competitive wire centers.</w:t>
      </w:r>
      <w:r w:rsidR="004444A5" w:rsidRPr="00F1714B">
        <w:rPr>
          <w:rStyle w:val="FootnoteReference"/>
          <w:rFonts w:cs="Times New Roman"/>
          <w:color w:val="000000"/>
          <w:szCs w:val="26"/>
        </w:rPr>
        <w:footnoteReference w:id="8"/>
      </w:r>
      <w:r w:rsidRPr="00F1714B">
        <w:rPr>
          <w:rFonts w:cs="Times New Roman"/>
          <w:bCs/>
          <w:szCs w:val="26"/>
        </w:rPr>
        <w:t xml:space="preserve">  </w:t>
      </w:r>
      <w:r w:rsidR="006E3E08" w:rsidRPr="00F1714B">
        <w:rPr>
          <w:bCs/>
          <w:szCs w:val="26"/>
        </w:rPr>
        <w:t>Th</w:t>
      </w:r>
      <w:r w:rsidR="00D67614" w:rsidRPr="00F1714B">
        <w:rPr>
          <w:bCs/>
          <w:szCs w:val="26"/>
        </w:rPr>
        <w:t>is temporary waiver</w:t>
      </w:r>
      <w:r w:rsidR="00F32138" w:rsidRPr="00F1714B">
        <w:rPr>
          <w:bCs/>
          <w:szCs w:val="26"/>
        </w:rPr>
        <w:t xml:space="preserve"> was</w:t>
      </w:r>
      <w:r w:rsidR="00D67614" w:rsidRPr="00F1714B">
        <w:rPr>
          <w:bCs/>
          <w:szCs w:val="26"/>
        </w:rPr>
        <w:t xml:space="preserve"> set to be in effect for a </w:t>
      </w:r>
      <w:r w:rsidR="006E3E08" w:rsidRPr="00F1714B">
        <w:rPr>
          <w:bCs/>
          <w:szCs w:val="26"/>
        </w:rPr>
        <w:t>period of five years</w:t>
      </w:r>
      <w:r w:rsidR="00DB0CD0" w:rsidRPr="00F1714B">
        <w:rPr>
          <w:rFonts w:cs="Times New Roman"/>
          <w:color w:val="000000"/>
          <w:szCs w:val="26"/>
        </w:rPr>
        <w:t xml:space="preserve"> or could expire earlier pending </w:t>
      </w:r>
      <w:r w:rsidR="00DB0CD0" w:rsidRPr="00F1714B">
        <w:rPr>
          <w:rFonts w:cs="Times New Roman"/>
          <w:szCs w:val="26"/>
        </w:rPr>
        <w:t xml:space="preserve">the initiation and completion of a </w:t>
      </w:r>
      <w:r w:rsidR="00DB0CD0" w:rsidRPr="00F1714B">
        <w:rPr>
          <w:rFonts w:cs="Times New Roman"/>
          <w:color w:val="000000"/>
          <w:szCs w:val="26"/>
        </w:rPr>
        <w:t xml:space="preserve">rulemaking to determine whether the temporary regulatory waivers should become permanently codified through </w:t>
      </w:r>
      <w:r w:rsidR="00DB0CD0" w:rsidRPr="00F1714B">
        <w:rPr>
          <w:rFonts w:cs="Times New Roman"/>
          <w:bCs/>
          <w:color w:val="000000"/>
          <w:szCs w:val="26"/>
        </w:rPr>
        <w:t>amendment</w:t>
      </w:r>
      <w:r w:rsidR="00DB0CD0" w:rsidRPr="00F1714B">
        <w:rPr>
          <w:rFonts w:cs="Times New Roman"/>
          <w:color w:val="000000"/>
          <w:szCs w:val="26"/>
        </w:rPr>
        <w:t xml:space="preserve"> of our applicable regulations</w:t>
      </w:r>
      <w:r w:rsidR="007D2B32" w:rsidRPr="00F1714B">
        <w:rPr>
          <w:rFonts w:cs="Times New Roman"/>
          <w:color w:val="000000"/>
          <w:szCs w:val="26"/>
        </w:rPr>
        <w:t xml:space="preserve"> set forth</w:t>
      </w:r>
      <w:r w:rsidR="00DB0CD0" w:rsidRPr="00F1714B">
        <w:rPr>
          <w:rFonts w:cs="Times New Roman"/>
          <w:color w:val="000000"/>
          <w:szCs w:val="26"/>
        </w:rPr>
        <w:t xml:space="preserve"> in Chapter 63 and Chapter 64 </w:t>
      </w:r>
      <w:r w:rsidR="007D2B32" w:rsidRPr="00F1714B">
        <w:rPr>
          <w:rFonts w:cs="Times New Roman"/>
          <w:color w:val="000000"/>
          <w:szCs w:val="26"/>
        </w:rPr>
        <w:t>of our regulations</w:t>
      </w:r>
      <w:r w:rsidR="00DB0CD0" w:rsidRPr="00F1714B">
        <w:rPr>
          <w:rFonts w:cs="Times New Roman"/>
          <w:bCs/>
          <w:szCs w:val="26"/>
        </w:rPr>
        <w:t>.</w:t>
      </w:r>
      <w:r w:rsidR="00DB0CD0" w:rsidRPr="00F1714B">
        <w:rPr>
          <w:rStyle w:val="FootnoteReference"/>
          <w:rFonts w:cs="Times New Roman"/>
          <w:bCs/>
          <w:szCs w:val="26"/>
        </w:rPr>
        <w:footnoteReference w:id="9"/>
      </w:r>
    </w:p>
    <w:p w14:paraId="370FEA7D" w14:textId="77777777" w:rsidR="003C0D2C" w:rsidRPr="00F1714B" w:rsidRDefault="003C0D2C" w:rsidP="00E55426">
      <w:pPr>
        <w:ind w:firstLine="720"/>
        <w:contextualSpacing/>
        <w:rPr>
          <w:bCs/>
          <w:szCs w:val="26"/>
        </w:rPr>
      </w:pPr>
    </w:p>
    <w:p w14:paraId="1BB4E821" w14:textId="788F800A" w:rsidR="002609E2" w:rsidRPr="00F1714B" w:rsidRDefault="003E3752" w:rsidP="00E55426">
      <w:pPr>
        <w:ind w:firstLine="720"/>
        <w:contextualSpacing/>
        <w:rPr>
          <w:bCs/>
          <w:szCs w:val="26"/>
        </w:rPr>
      </w:pPr>
      <w:r w:rsidRPr="00F1714B">
        <w:rPr>
          <w:rFonts w:eastAsia="Calibri"/>
          <w:bCs/>
          <w:szCs w:val="26"/>
        </w:rPr>
        <w:t>One of t</w:t>
      </w:r>
      <w:r w:rsidR="006E3E08" w:rsidRPr="00F1714B">
        <w:rPr>
          <w:rFonts w:eastAsia="Calibri"/>
          <w:bCs/>
          <w:szCs w:val="26"/>
        </w:rPr>
        <w:t xml:space="preserve">he </w:t>
      </w:r>
      <w:r w:rsidR="00D67614" w:rsidRPr="00F1714B">
        <w:rPr>
          <w:rFonts w:eastAsia="Calibri"/>
          <w:bCs/>
          <w:szCs w:val="26"/>
        </w:rPr>
        <w:t xml:space="preserve">primary </w:t>
      </w:r>
      <w:r w:rsidR="006E3E08" w:rsidRPr="00F1714B">
        <w:rPr>
          <w:rFonts w:eastAsia="Calibri"/>
          <w:bCs/>
          <w:szCs w:val="26"/>
        </w:rPr>
        <w:t>purpose</w:t>
      </w:r>
      <w:r w:rsidRPr="00F1714B">
        <w:rPr>
          <w:rFonts w:eastAsia="Calibri"/>
          <w:bCs/>
          <w:szCs w:val="26"/>
        </w:rPr>
        <w:t>s</w:t>
      </w:r>
      <w:r w:rsidR="006E3E08" w:rsidRPr="00F1714B">
        <w:rPr>
          <w:rFonts w:eastAsia="Calibri"/>
          <w:bCs/>
          <w:szCs w:val="26"/>
        </w:rPr>
        <w:t xml:space="preserve"> of the </w:t>
      </w:r>
      <w:r w:rsidR="00D67614" w:rsidRPr="00F1714B">
        <w:rPr>
          <w:rFonts w:eastAsia="Calibri"/>
          <w:bCs/>
          <w:szCs w:val="26"/>
        </w:rPr>
        <w:t>temporary waivers</w:t>
      </w:r>
      <w:r w:rsidR="00B06AD3" w:rsidRPr="00F1714B">
        <w:rPr>
          <w:rFonts w:cs="Times New Roman"/>
          <w:bCs/>
          <w:szCs w:val="26"/>
          <w:vertAlign w:val="superscript"/>
        </w:rPr>
        <w:footnoteReference w:id="10"/>
      </w:r>
      <w:r w:rsidR="00D67614" w:rsidRPr="00F1714B">
        <w:rPr>
          <w:rFonts w:eastAsia="Calibri"/>
          <w:bCs/>
          <w:szCs w:val="26"/>
        </w:rPr>
        <w:t xml:space="preserve"> </w:t>
      </w:r>
      <w:r w:rsidR="006E3E08" w:rsidRPr="00F1714B">
        <w:rPr>
          <w:rFonts w:eastAsia="Calibri"/>
          <w:bCs/>
          <w:szCs w:val="26"/>
        </w:rPr>
        <w:t xml:space="preserve">was to afford </w:t>
      </w:r>
      <w:r w:rsidR="00D67614" w:rsidRPr="00F1714B">
        <w:rPr>
          <w:rFonts w:eastAsia="Calibri"/>
          <w:bCs/>
          <w:szCs w:val="26"/>
        </w:rPr>
        <w:t xml:space="preserve">the Commission </w:t>
      </w:r>
      <w:r w:rsidR="006E3E08" w:rsidRPr="00F1714B">
        <w:rPr>
          <w:rFonts w:eastAsia="Calibri"/>
          <w:bCs/>
          <w:szCs w:val="26"/>
        </w:rPr>
        <w:t xml:space="preserve">time to collect </w:t>
      </w:r>
      <w:r w:rsidR="005638DD" w:rsidRPr="00F1714B">
        <w:rPr>
          <w:rFonts w:eastAsia="Calibri"/>
          <w:bCs/>
          <w:szCs w:val="26"/>
        </w:rPr>
        <w:t xml:space="preserve">pertinent </w:t>
      </w:r>
      <w:r w:rsidR="006E3E08" w:rsidRPr="00F1714B">
        <w:rPr>
          <w:rFonts w:eastAsia="Calibri"/>
          <w:bCs/>
          <w:szCs w:val="26"/>
        </w:rPr>
        <w:t>data</w:t>
      </w:r>
      <w:r w:rsidR="005638DD" w:rsidRPr="00F1714B">
        <w:rPr>
          <w:rFonts w:eastAsia="Calibri"/>
          <w:bCs/>
          <w:szCs w:val="26"/>
        </w:rPr>
        <w:t xml:space="preserve"> regarding </w:t>
      </w:r>
      <w:r w:rsidR="006E3E08" w:rsidRPr="00F1714B">
        <w:rPr>
          <w:rFonts w:eastAsia="Calibri"/>
          <w:bCs/>
          <w:szCs w:val="26"/>
        </w:rPr>
        <w:t>the market conditions present in the aftermath of the competitive reclassification, particularly in the areas of affordability and quality of service</w:t>
      </w:r>
      <w:r w:rsidR="002E35DB" w:rsidRPr="00F1714B">
        <w:rPr>
          <w:rFonts w:eastAsia="Calibri"/>
          <w:bCs/>
          <w:szCs w:val="26"/>
        </w:rPr>
        <w:t>,</w:t>
      </w:r>
      <w:r w:rsidR="00233476" w:rsidRPr="00F1714B">
        <w:rPr>
          <w:rFonts w:cs="Times New Roman"/>
          <w:szCs w:val="26"/>
        </w:rPr>
        <w:t xml:space="preserve"> so that this data would help the Commission to assess the market </w:t>
      </w:r>
      <w:r w:rsidR="00233476" w:rsidRPr="00F1714B">
        <w:rPr>
          <w:rFonts w:cs="Times New Roman"/>
          <w:szCs w:val="26"/>
        </w:rPr>
        <w:lastRenderedPageBreak/>
        <w:t>conditions present in the 153 “competitive” wire centers.</w:t>
      </w:r>
      <w:r w:rsidR="005638DD" w:rsidRPr="00F1714B">
        <w:rPr>
          <w:rStyle w:val="FootnoteReference"/>
          <w:rFonts w:eastAsia="Calibri"/>
          <w:bCs/>
          <w:szCs w:val="26"/>
        </w:rPr>
        <w:footnoteReference w:id="11"/>
      </w:r>
      <w:r w:rsidR="00233476" w:rsidRPr="00F1714B">
        <w:rPr>
          <w:rFonts w:eastAsia="Calibri"/>
          <w:bCs/>
          <w:szCs w:val="26"/>
        </w:rPr>
        <w:t xml:space="preserve">  Thus, t</w:t>
      </w:r>
      <w:r w:rsidR="009C7D81" w:rsidRPr="00F1714B">
        <w:rPr>
          <w:rFonts w:cs="Times New Roman"/>
          <w:bCs/>
          <w:szCs w:val="26"/>
        </w:rPr>
        <w:t xml:space="preserve">he Commission directed </w:t>
      </w:r>
      <w:r w:rsidR="00DE5276" w:rsidRPr="00F1714B">
        <w:rPr>
          <w:rFonts w:cs="Times New Roman"/>
          <w:bCs/>
          <w:szCs w:val="26"/>
        </w:rPr>
        <w:t xml:space="preserve">Verizon to </w:t>
      </w:r>
      <w:r w:rsidR="009C7D81" w:rsidRPr="00F1714B">
        <w:rPr>
          <w:rFonts w:cs="Times New Roman"/>
          <w:szCs w:val="26"/>
        </w:rPr>
        <w:t>report annually for a period of two years data under two categories: (1) Affordability of Basic Service; and (2) Quality of Service as further directed by the Commission</w:t>
      </w:r>
      <w:r w:rsidR="00FC2E88" w:rsidRPr="00F1714B">
        <w:rPr>
          <w:rFonts w:cs="Times New Roman"/>
          <w:szCs w:val="26"/>
        </w:rPr>
        <w:t xml:space="preserve"> and that, after receiving input from interested parties, the Commission’s Bureau of Technical Utility Services (TUS) would advise </w:t>
      </w:r>
      <w:r w:rsidR="002E35DB" w:rsidRPr="00F1714B">
        <w:rPr>
          <w:rFonts w:cs="Times New Roman"/>
          <w:szCs w:val="26"/>
        </w:rPr>
        <w:t>Verizon</w:t>
      </w:r>
      <w:r w:rsidR="00FC2E88" w:rsidRPr="00F1714B">
        <w:rPr>
          <w:rFonts w:cs="Times New Roman"/>
          <w:szCs w:val="26"/>
        </w:rPr>
        <w:t xml:space="preserve"> of the specific data to be provided, form requirements, and schedule for the reporting of this data.</w:t>
      </w:r>
      <w:r w:rsidR="002609E2" w:rsidRPr="00F1714B">
        <w:rPr>
          <w:rStyle w:val="FootnoteReference"/>
          <w:rFonts w:cs="Times New Roman"/>
          <w:szCs w:val="26"/>
        </w:rPr>
        <w:footnoteReference w:id="12"/>
      </w:r>
      <w:r w:rsidR="002609E2" w:rsidRPr="00F1714B">
        <w:rPr>
          <w:rFonts w:cs="Times New Roman"/>
          <w:szCs w:val="26"/>
        </w:rPr>
        <w:t xml:space="preserve"> </w:t>
      </w:r>
    </w:p>
    <w:p w14:paraId="2F6A3F64" w14:textId="0639EA05" w:rsidR="00FC2E88" w:rsidRPr="00F1714B" w:rsidRDefault="00FC2E88" w:rsidP="00E55426">
      <w:pPr>
        <w:ind w:firstLine="720"/>
        <w:contextualSpacing/>
        <w:rPr>
          <w:rFonts w:cs="Times New Roman"/>
          <w:szCs w:val="26"/>
        </w:rPr>
      </w:pPr>
    </w:p>
    <w:p w14:paraId="79FAB716" w14:textId="2F3DF1A4" w:rsidR="00E774CD" w:rsidRPr="00F1714B" w:rsidRDefault="003E3752" w:rsidP="002A5F6D">
      <w:pPr>
        <w:keepNext/>
        <w:keepLines/>
        <w:rPr>
          <w:rFonts w:cs="Times New Roman"/>
          <w:b/>
          <w:bCs/>
          <w:szCs w:val="26"/>
        </w:rPr>
      </w:pPr>
      <w:r w:rsidRPr="00F1714B">
        <w:rPr>
          <w:rFonts w:cs="Times New Roman"/>
          <w:b/>
          <w:bCs/>
          <w:szCs w:val="26"/>
        </w:rPr>
        <w:t>I</w:t>
      </w:r>
      <w:r w:rsidR="00E957DD" w:rsidRPr="00F1714B">
        <w:rPr>
          <w:rFonts w:cs="Times New Roman"/>
          <w:b/>
          <w:bCs/>
          <w:szCs w:val="26"/>
        </w:rPr>
        <w:t>I</w:t>
      </w:r>
      <w:r w:rsidRPr="00F1714B">
        <w:rPr>
          <w:rFonts w:cs="Times New Roman"/>
          <w:b/>
          <w:bCs/>
          <w:szCs w:val="26"/>
        </w:rPr>
        <w:t>.</w:t>
      </w:r>
      <w:r w:rsidRPr="00F1714B">
        <w:rPr>
          <w:rFonts w:cs="Times New Roman"/>
          <w:b/>
          <w:bCs/>
          <w:szCs w:val="26"/>
        </w:rPr>
        <w:tab/>
      </w:r>
      <w:r w:rsidR="00E774CD" w:rsidRPr="00F1714B">
        <w:rPr>
          <w:rFonts w:cs="Times New Roman"/>
          <w:b/>
          <w:bCs/>
          <w:szCs w:val="26"/>
        </w:rPr>
        <w:t>Verizon Proprietary Data Submissions (2015-2016)</w:t>
      </w:r>
    </w:p>
    <w:p w14:paraId="122B41EE" w14:textId="2110297E" w:rsidR="00E774CD" w:rsidRPr="00F1714B" w:rsidRDefault="0072001B" w:rsidP="00E55426">
      <w:pPr>
        <w:ind w:firstLine="720"/>
        <w:rPr>
          <w:rFonts w:cs="Times New Roman"/>
          <w:b/>
          <w:bCs/>
          <w:szCs w:val="26"/>
        </w:rPr>
      </w:pPr>
      <w:r w:rsidRPr="00F1714B">
        <w:rPr>
          <w:rFonts w:cs="Times New Roman"/>
          <w:bCs/>
          <w:szCs w:val="26"/>
        </w:rPr>
        <w:t xml:space="preserve">In accordance with the </w:t>
      </w:r>
      <w:r w:rsidR="00096162" w:rsidRPr="00F1714B">
        <w:rPr>
          <w:rFonts w:cs="Times New Roman"/>
          <w:bCs/>
          <w:szCs w:val="26"/>
        </w:rPr>
        <w:t xml:space="preserve">directives set forth in the </w:t>
      </w:r>
      <w:r w:rsidR="00FC2E88" w:rsidRPr="00F1714B">
        <w:rPr>
          <w:rFonts w:cs="Times New Roman"/>
          <w:bCs/>
          <w:i/>
          <w:iCs/>
          <w:szCs w:val="26"/>
        </w:rPr>
        <w:t>Reclassification Order</w:t>
      </w:r>
      <w:r w:rsidR="00FC2E88" w:rsidRPr="00F1714B">
        <w:rPr>
          <w:rFonts w:cs="Times New Roman"/>
          <w:bCs/>
          <w:szCs w:val="26"/>
        </w:rPr>
        <w:t xml:space="preserve">, the </w:t>
      </w:r>
      <w:r w:rsidRPr="00F1714B">
        <w:rPr>
          <w:rFonts w:cs="Times New Roman"/>
          <w:bCs/>
          <w:i/>
          <w:iCs/>
          <w:szCs w:val="26"/>
        </w:rPr>
        <w:t>2015</w:t>
      </w:r>
      <w:r w:rsidRPr="00F1714B">
        <w:rPr>
          <w:rFonts w:cs="Times New Roman"/>
          <w:bCs/>
          <w:szCs w:val="26"/>
        </w:rPr>
        <w:t xml:space="preserve"> </w:t>
      </w:r>
      <w:r w:rsidR="005F4960" w:rsidRPr="00F1714B">
        <w:rPr>
          <w:rFonts w:cs="Times New Roman"/>
          <w:bCs/>
          <w:i/>
          <w:iCs/>
          <w:szCs w:val="26"/>
        </w:rPr>
        <w:t>Tentative</w:t>
      </w:r>
      <w:r w:rsidR="005F4960" w:rsidRPr="00F1714B">
        <w:rPr>
          <w:rFonts w:cs="Times New Roman"/>
          <w:bCs/>
          <w:szCs w:val="26"/>
        </w:rPr>
        <w:t xml:space="preserve"> </w:t>
      </w:r>
      <w:r w:rsidRPr="00F1714B">
        <w:rPr>
          <w:rFonts w:cs="Times New Roman"/>
          <w:bCs/>
          <w:i/>
          <w:iCs/>
          <w:szCs w:val="26"/>
        </w:rPr>
        <w:t>Implementation Order</w:t>
      </w:r>
      <w:r w:rsidR="005F4960" w:rsidRPr="00F1714B">
        <w:rPr>
          <w:rFonts w:cs="Times New Roman"/>
          <w:bCs/>
          <w:i/>
          <w:iCs/>
          <w:szCs w:val="26"/>
        </w:rPr>
        <w:t xml:space="preserve">, Final Implementation Order </w:t>
      </w:r>
      <w:r w:rsidRPr="00F1714B">
        <w:rPr>
          <w:rFonts w:cs="Times New Roman"/>
          <w:bCs/>
          <w:szCs w:val="26"/>
        </w:rPr>
        <w:t xml:space="preserve">and </w:t>
      </w:r>
      <w:r w:rsidR="00096162" w:rsidRPr="00F1714B">
        <w:rPr>
          <w:rFonts w:cs="Times New Roman"/>
          <w:bCs/>
          <w:szCs w:val="26"/>
        </w:rPr>
        <w:t xml:space="preserve">the </w:t>
      </w:r>
      <w:r w:rsidRPr="00F1714B">
        <w:rPr>
          <w:rFonts w:cs="Times New Roman"/>
          <w:bCs/>
          <w:i/>
          <w:iCs/>
          <w:szCs w:val="26"/>
        </w:rPr>
        <w:t xml:space="preserve">Reporting Order, </w:t>
      </w:r>
      <w:r w:rsidR="00E774CD" w:rsidRPr="00F1714B">
        <w:rPr>
          <w:rFonts w:cs="Times New Roman"/>
          <w:szCs w:val="26"/>
        </w:rPr>
        <w:t xml:space="preserve">Verizon </w:t>
      </w:r>
      <w:r w:rsidR="00C90A3D" w:rsidRPr="00F1714B">
        <w:rPr>
          <w:rFonts w:cs="Times New Roman"/>
          <w:szCs w:val="26"/>
        </w:rPr>
        <w:t xml:space="preserve">was directed to submit </w:t>
      </w:r>
      <w:r w:rsidR="00E774CD" w:rsidRPr="00F1714B">
        <w:rPr>
          <w:rFonts w:cs="Times New Roman"/>
          <w:bCs/>
          <w:szCs w:val="26"/>
        </w:rPr>
        <w:t xml:space="preserve">two separate reports for calendar years 2015 and 2016 </w:t>
      </w:r>
      <w:r w:rsidRPr="00F1714B">
        <w:rPr>
          <w:rFonts w:cs="Times New Roman"/>
          <w:bCs/>
          <w:szCs w:val="26"/>
        </w:rPr>
        <w:t xml:space="preserve">in the docket of the </w:t>
      </w:r>
      <w:r w:rsidR="002E35DB" w:rsidRPr="00F1714B">
        <w:rPr>
          <w:rFonts w:cs="Times New Roman"/>
          <w:bCs/>
          <w:szCs w:val="26"/>
        </w:rPr>
        <w:t>r</w:t>
      </w:r>
      <w:r w:rsidRPr="00F1714B">
        <w:rPr>
          <w:rFonts w:cs="Times New Roman"/>
          <w:bCs/>
          <w:szCs w:val="26"/>
        </w:rPr>
        <w:t>eclassification proceeding</w:t>
      </w:r>
      <w:r w:rsidR="00E774CD" w:rsidRPr="00F1714B">
        <w:rPr>
          <w:rFonts w:cs="Times New Roman"/>
          <w:bCs/>
          <w:szCs w:val="26"/>
        </w:rPr>
        <w:t>.</w:t>
      </w:r>
      <w:r w:rsidR="005F4960" w:rsidRPr="00F1714B">
        <w:rPr>
          <w:rFonts w:cs="Times New Roman"/>
          <w:szCs w:val="26"/>
          <w:vertAlign w:val="superscript"/>
        </w:rPr>
        <w:footnoteReference w:id="13"/>
      </w:r>
      <w:r w:rsidR="005F4960" w:rsidRPr="00F1714B">
        <w:rPr>
          <w:rFonts w:cs="Times New Roman"/>
          <w:bCs/>
          <w:szCs w:val="26"/>
        </w:rPr>
        <w:t xml:space="preserve">  </w:t>
      </w:r>
      <w:r w:rsidR="00E774CD" w:rsidRPr="00F1714B">
        <w:rPr>
          <w:rFonts w:cs="Times New Roman"/>
          <w:bCs/>
          <w:szCs w:val="26"/>
        </w:rPr>
        <w:t xml:space="preserve">This data represented a “snapshot” of the </w:t>
      </w:r>
      <w:r w:rsidR="00E774CD" w:rsidRPr="00F1714B">
        <w:rPr>
          <w:rFonts w:cs="Times New Roman"/>
          <w:szCs w:val="26"/>
        </w:rPr>
        <w:t xml:space="preserve">market conditions that may have arisen as a result of the </w:t>
      </w:r>
      <w:r w:rsidR="00D71F25" w:rsidRPr="00F1714B">
        <w:rPr>
          <w:rFonts w:cs="Times New Roman"/>
          <w:szCs w:val="26"/>
        </w:rPr>
        <w:t>“</w:t>
      </w:r>
      <w:r w:rsidR="00E774CD" w:rsidRPr="00F1714B">
        <w:rPr>
          <w:rFonts w:cs="Times New Roman"/>
          <w:szCs w:val="26"/>
        </w:rPr>
        <w:t>competitive</w:t>
      </w:r>
      <w:r w:rsidR="00D71F25" w:rsidRPr="00F1714B">
        <w:rPr>
          <w:rFonts w:cs="Times New Roman"/>
          <w:szCs w:val="26"/>
        </w:rPr>
        <w:t>”</w:t>
      </w:r>
      <w:r w:rsidR="00E774CD" w:rsidRPr="00F1714B">
        <w:rPr>
          <w:rFonts w:cs="Times New Roman"/>
          <w:szCs w:val="26"/>
        </w:rPr>
        <w:t xml:space="preserve"> classification</w:t>
      </w:r>
      <w:r w:rsidR="00D71F25" w:rsidRPr="00F1714B">
        <w:rPr>
          <w:rFonts w:cs="Times New Roman"/>
          <w:szCs w:val="26"/>
        </w:rPr>
        <w:t xml:space="preserve"> of the 153 wire centers</w:t>
      </w:r>
      <w:r w:rsidR="00E774CD" w:rsidRPr="00F1714B">
        <w:rPr>
          <w:rFonts w:cs="Times New Roman"/>
          <w:szCs w:val="26"/>
        </w:rPr>
        <w:t xml:space="preserve">, including the impact of </w:t>
      </w:r>
      <w:r w:rsidR="00D71F25" w:rsidRPr="00F1714B">
        <w:rPr>
          <w:rFonts w:cs="Times New Roman"/>
          <w:szCs w:val="26"/>
        </w:rPr>
        <w:t xml:space="preserve">the </w:t>
      </w:r>
      <w:r w:rsidR="00E774CD" w:rsidRPr="00F1714B">
        <w:rPr>
          <w:rFonts w:cs="Times New Roman"/>
          <w:szCs w:val="26"/>
        </w:rPr>
        <w:t>competitive classification on the affordability of basic local exchange service, the number of certain access line</w:t>
      </w:r>
      <w:r w:rsidR="00D71F25" w:rsidRPr="00F1714B">
        <w:rPr>
          <w:rFonts w:cs="Times New Roman"/>
          <w:szCs w:val="26"/>
        </w:rPr>
        <w:t>s</w:t>
      </w:r>
      <w:r w:rsidR="00E774CD" w:rsidRPr="00F1714B">
        <w:rPr>
          <w:rFonts w:cs="Times New Roman"/>
          <w:szCs w:val="26"/>
        </w:rPr>
        <w:t xml:space="preserve"> and quality of service statistics.  Verizon was </w:t>
      </w:r>
      <w:r w:rsidR="00B9373E" w:rsidRPr="00F1714B">
        <w:rPr>
          <w:rFonts w:cs="Times New Roman"/>
          <w:szCs w:val="26"/>
        </w:rPr>
        <w:t xml:space="preserve">further </w:t>
      </w:r>
      <w:r w:rsidR="00E774CD" w:rsidRPr="00F1714B">
        <w:rPr>
          <w:rFonts w:cs="Times New Roman"/>
          <w:szCs w:val="26"/>
        </w:rPr>
        <w:t>directed to submit</w:t>
      </w:r>
      <w:r w:rsidR="00C90A3D" w:rsidRPr="00F1714B">
        <w:rPr>
          <w:rFonts w:cs="Times New Roman"/>
          <w:szCs w:val="26"/>
        </w:rPr>
        <w:t xml:space="preserve"> these </w:t>
      </w:r>
      <w:r w:rsidR="00E774CD" w:rsidRPr="00F1714B">
        <w:rPr>
          <w:rFonts w:cs="Times New Roman"/>
          <w:szCs w:val="26"/>
        </w:rPr>
        <w:t xml:space="preserve">calendar year reports no later than April 1, 2016, and April 1, 2017, respectively.  Verizon submitted both </w:t>
      </w:r>
      <w:r w:rsidR="00D71F25" w:rsidRPr="00F1714B">
        <w:rPr>
          <w:rFonts w:cs="Times New Roman"/>
          <w:szCs w:val="26"/>
        </w:rPr>
        <w:t xml:space="preserve">annual </w:t>
      </w:r>
      <w:r w:rsidR="00E774CD" w:rsidRPr="00F1714B">
        <w:rPr>
          <w:rFonts w:cs="Times New Roman"/>
          <w:szCs w:val="26"/>
        </w:rPr>
        <w:t xml:space="preserve">reports </w:t>
      </w:r>
      <w:r w:rsidR="00D71F25" w:rsidRPr="00F1714B">
        <w:rPr>
          <w:rFonts w:cs="Times New Roman"/>
          <w:szCs w:val="26"/>
        </w:rPr>
        <w:t xml:space="preserve">to the Commission </w:t>
      </w:r>
      <w:r w:rsidR="00E774CD" w:rsidRPr="00F1714B">
        <w:rPr>
          <w:rFonts w:cs="Times New Roman"/>
          <w:szCs w:val="26"/>
        </w:rPr>
        <w:t>in a timely manner</w:t>
      </w:r>
      <w:r w:rsidR="00D71F25" w:rsidRPr="00F1714B">
        <w:rPr>
          <w:rFonts w:cs="Times New Roman"/>
          <w:szCs w:val="26"/>
        </w:rPr>
        <w:t>.</w:t>
      </w:r>
    </w:p>
    <w:p w14:paraId="5D696500" w14:textId="77777777" w:rsidR="00E774CD" w:rsidRPr="00F1714B" w:rsidRDefault="00E774CD" w:rsidP="00E55426">
      <w:pPr>
        <w:rPr>
          <w:rFonts w:cs="Times New Roman"/>
          <w:b/>
          <w:bCs/>
          <w:szCs w:val="26"/>
        </w:rPr>
      </w:pPr>
    </w:p>
    <w:p w14:paraId="39991E5A" w14:textId="29B88B10" w:rsidR="003D5FF4" w:rsidRPr="00F1714B" w:rsidRDefault="003E3752" w:rsidP="002A5F6D">
      <w:pPr>
        <w:keepNext/>
        <w:keepLines/>
        <w:rPr>
          <w:rFonts w:cs="Times New Roman"/>
          <w:b/>
          <w:bCs/>
          <w:szCs w:val="26"/>
        </w:rPr>
      </w:pPr>
      <w:r w:rsidRPr="00F1714B">
        <w:rPr>
          <w:rFonts w:cs="Times New Roman"/>
          <w:b/>
          <w:bCs/>
          <w:szCs w:val="26"/>
        </w:rPr>
        <w:lastRenderedPageBreak/>
        <w:t>I</w:t>
      </w:r>
      <w:r w:rsidR="003A06B6" w:rsidRPr="00F1714B">
        <w:rPr>
          <w:rFonts w:cs="Times New Roman"/>
          <w:b/>
          <w:bCs/>
          <w:szCs w:val="26"/>
        </w:rPr>
        <w:t>II</w:t>
      </w:r>
      <w:r w:rsidRPr="00F1714B">
        <w:rPr>
          <w:rFonts w:cs="Times New Roman"/>
          <w:b/>
          <w:bCs/>
          <w:szCs w:val="26"/>
        </w:rPr>
        <w:t>.</w:t>
      </w:r>
      <w:r w:rsidRPr="00F1714B">
        <w:rPr>
          <w:rFonts w:cs="Times New Roman"/>
          <w:b/>
          <w:bCs/>
          <w:szCs w:val="26"/>
        </w:rPr>
        <w:tab/>
      </w:r>
      <w:r w:rsidR="003D5FF4" w:rsidRPr="00F1714B">
        <w:rPr>
          <w:rFonts w:cs="Times New Roman"/>
          <w:b/>
          <w:bCs/>
          <w:szCs w:val="26"/>
        </w:rPr>
        <w:t>Advance Notice of Proposed Rulemaking</w:t>
      </w:r>
    </w:p>
    <w:p w14:paraId="52EA183C" w14:textId="2EB8D1D6" w:rsidR="00750045" w:rsidRPr="00F1714B" w:rsidRDefault="00F1000D" w:rsidP="00E957DD">
      <w:pPr>
        <w:pStyle w:val="ListParagraph"/>
        <w:keepNext/>
        <w:keepLines/>
        <w:ind w:left="0" w:firstLine="720"/>
        <w:rPr>
          <w:rFonts w:cs="Times New Roman"/>
          <w:szCs w:val="26"/>
        </w:rPr>
      </w:pPr>
      <w:r w:rsidRPr="00F1714B">
        <w:rPr>
          <w:rFonts w:cs="Times New Roman"/>
          <w:bCs/>
          <w:szCs w:val="26"/>
        </w:rPr>
        <w:t xml:space="preserve">The Commission stated in the </w:t>
      </w:r>
      <w:r w:rsidRPr="00F1714B">
        <w:rPr>
          <w:rFonts w:cs="Times New Roman"/>
          <w:bCs/>
          <w:i/>
          <w:iCs/>
          <w:szCs w:val="26"/>
        </w:rPr>
        <w:t>Reclassification Order</w:t>
      </w:r>
      <w:r w:rsidRPr="00F1714B">
        <w:rPr>
          <w:rFonts w:cs="Times New Roman"/>
          <w:bCs/>
          <w:szCs w:val="26"/>
        </w:rPr>
        <w:t xml:space="preserve"> that it would initiate a rulemaking proceeding to determine whether the temporary regulatory waivers that were granted in the </w:t>
      </w:r>
      <w:r w:rsidRPr="00F1714B">
        <w:rPr>
          <w:rFonts w:cs="Times New Roman"/>
          <w:bCs/>
          <w:i/>
          <w:iCs/>
          <w:szCs w:val="26"/>
        </w:rPr>
        <w:t>Reclassification Order</w:t>
      </w:r>
      <w:r w:rsidRPr="00F1714B">
        <w:rPr>
          <w:rFonts w:cs="Times New Roman"/>
          <w:bCs/>
          <w:szCs w:val="26"/>
        </w:rPr>
        <w:t xml:space="preserve"> should become permanently codified through amendment of our applicable and governing telecommunications regulations in Chapters 63 and Chapter 64 of the Title 52 of the Pa. Code.</w:t>
      </w:r>
      <w:r w:rsidRPr="00F1714B">
        <w:rPr>
          <w:rStyle w:val="FootnoteReference"/>
          <w:rFonts w:cs="Times New Roman"/>
          <w:bCs/>
          <w:szCs w:val="26"/>
        </w:rPr>
        <w:footnoteReference w:id="14"/>
      </w:r>
      <w:r w:rsidRPr="00F1714B">
        <w:rPr>
          <w:rFonts w:cs="Times New Roman"/>
          <w:bCs/>
          <w:szCs w:val="26"/>
        </w:rPr>
        <w:t xml:space="preserve">  To accomplish this objective</w:t>
      </w:r>
      <w:r w:rsidR="001B3461" w:rsidRPr="00F1714B">
        <w:rPr>
          <w:rFonts w:cs="Times New Roman"/>
          <w:bCs/>
          <w:szCs w:val="26"/>
        </w:rPr>
        <w:t xml:space="preserve">, the Commission issued an </w:t>
      </w:r>
      <w:r w:rsidR="001B3461" w:rsidRPr="00F1714B">
        <w:rPr>
          <w:rFonts w:cs="Times New Roman"/>
          <w:szCs w:val="26"/>
        </w:rPr>
        <w:t xml:space="preserve">Advanced Notice of Proposed Rulemaking </w:t>
      </w:r>
      <w:r w:rsidR="001B3461" w:rsidRPr="00F1714B">
        <w:rPr>
          <w:rFonts w:cs="Times New Roman"/>
          <w:bCs/>
          <w:szCs w:val="26"/>
        </w:rPr>
        <w:t>Order (</w:t>
      </w:r>
      <w:r w:rsidR="001B3461" w:rsidRPr="00F1714B">
        <w:rPr>
          <w:rFonts w:cs="Times New Roman"/>
          <w:bCs/>
          <w:i/>
          <w:iCs/>
          <w:szCs w:val="26"/>
        </w:rPr>
        <w:t>ANPR</w:t>
      </w:r>
      <w:r w:rsidR="00523FDB" w:rsidRPr="00F1714B">
        <w:rPr>
          <w:rFonts w:cs="Times New Roman"/>
          <w:bCs/>
          <w:i/>
          <w:iCs/>
          <w:szCs w:val="26"/>
        </w:rPr>
        <w:t>M</w:t>
      </w:r>
      <w:r w:rsidR="001B3461" w:rsidRPr="00F1714B">
        <w:rPr>
          <w:rFonts w:cs="Times New Roman"/>
          <w:bCs/>
          <w:i/>
          <w:iCs/>
          <w:szCs w:val="26"/>
        </w:rPr>
        <w:t xml:space="preserve"> Order</w:t>
      </w:r>
      <w:r w:rsidR="001B3461" w:rsidRPr="00F1714B">
        <w:rPr>
          <w:rFonts w:cs="Times New Roman"/>
          <w:bCs/>
          <w:szCs w:val="26"/>
        </w:rPr>
        <w:t xml:space="preserve">) at </w:t>
      </w:r>
      <w:r w:rsidR="005C6D82" w:rsidRPr="00F1714B">
        <w:rPr>
          <w:rFonts w:cs="Times New Roman"/>
          <w:bCs/>
          <w:szCs w:val="26"/>
        </w:rPr>
        <w:t xml:space="preserve">the </w:t>
      </w:r>
      <w:r w:rsidR="00D71F25" w:rsidRPr="00F1714B">
        <w:rPr>
          <w:rFonts w:cs="Times New Roman"/>
          <w:bCs/>
          <w:szCs w:val="26"/>
        </w:rPr>
        <w:t>above-captioned d</w:t>
      </w:r>
      <w:r w:rsidR="001B3461" w:rsidRPr="00F1714B">
        <w:rPr>
          <w:rFonts w:cs="Times New Roman"/>
          <w:bCs/>
          <w:szCs w:val="26"/>
        </w:rPr>
        <w:t>ocket on July 12, 2018.</w:t>
      </w:r>
      <w:r w:rsidR="001B3461" w:rsidRPr="00F1714B">
        <w:rPr>
          <w:rStyle w:val="FootnoteReference"/>
          <w:rFonts w:cs="Times New Roman"/>
          <w:bCs/>
          <w:szCs w:val="26"/>
        </w:rPr>
        <w:footnoteReference w:id="15"/>
      </w:r>
      <w:r w:rsidR="001B3461" w:rsidRPr="00F1714B">
        <w:rPr>
          <w:rFonts w:cs="Times New Roman"/>
          <w:bCs/>
          <w:szCs w:val="26"/>
        </w:rPr>
        <w:t xml:space="preserve">  </w:t>
      </w:r>
      <w:r w:rsidR="00057A01" w:rsidRPr="00F1714B">
        <w:rPr>
          <w:rFonts w:cs="Times New Roman"/>
          <w:szCs w:val="26"/>
        </w:rPr>
        <w:t xml:space="preserve">The </w:t>
      </w:r>
      <w:r w:rsidR="00057A01" w:rsidRPr="00F1714B">
        <w:rPr>
          <w:rFonts w:cs="Times New Roman"/>
          <w:i/>
          <w:iCs/>
          <w:szCs w:val="26"/>
        </w:rPr>
        <w:t>ANPR</w:t>
      </w:r>
      <w:r w:rsidR="00523FDB" w:rsidRPr="00F1714B">
        <w:rPr>
          <w:rFonts w:cs="Times New Roman"/>
          <w:i/>
          <w:iCs/>
          <w:szCs w:val="26"/>
        </w:rPr>
        <w:t>M</w:t>
      </w:r>
      <w:r w:rsidR="00057A01" w:rsidRPr="00F1714B">
        <w:rPr>
          <w:rFonts w:cs="Times New Roman"/>
          <w:i/>
          <w:iCs/>
          <w:szCs w:val="26"/>
        </w:rPr>
        <w:t xml:space="preserve"> </w:t>
      </w:r>
      <w:r w:rsidR="005B21BD" w:rsidRPr="00F1714B">
        <w:rPr>
          <w:rFonts w:cs="Times New Roman"/>
          <w:i/>
          <w:iCs/>
          <w:szCs w:val="26"/>
        </w:rPr>
        <w:t>Order</w:t>
      </w:r>
      <w:r w:rsidR="005B21BD" w:rsidRPr="00F1714B">
        <w:rPr>
          <w:rFonts w:cs="Times New Roman"/>
          <w:szCs w:val="26"/>
        </w:rPr>
        <w:t xml:space="preserve"> </w:t>
      </w:r>
      <w:r w:rsidR="00057A01" w:rsidRPr="00F1714B">
        <w:rPr>
          <w:rFonts w:cs="Times New Roman"/>
          <w:szCs w:val="26"/>
        </w:rPr>
        <w:t xml:space="preserve">was intended to address not only those </w:t>
      </w:r>
      <w:r w:rsidR="00855ED0" w:rsidRPr="00F1714B">
        <w:rPr>
          <w:rFonts w:cs="Times New Roman"/>
          <w:szCs w:val="26"/>
        </w:rPr>
        <w:t xml:space="preserve">telecommunications </w:t>
      </w:r>
      <w:r w:rsidR="00057A01" w:rsidRPr="00F1714B">
        <w:rPr>
          <w:rFonts w:cs="Times New Roman"/>
          <w:szCs w:val="26"/>
        </w:rPr>
        <w:t xml:space="preserve">regulations that were temporarily waived </w:t>
      </w:r>
      <w:r w:rsidR="00D71F25" w:rsidRPr="00F1714B">
        <w:rPr>
          <w:rFonts w:cs="Times New Roman"/>
          <w:szCs w:val="26"/>
        </w:rPr>
        <w:t xml:space="preserve">in the wire centers where </w:t>
      </w:r>
      <w:r w:rsidR="00057A01" w:rsidRPr="00F1714B">
        <w:rPr>
          <w:rFonts w:cs="Times New Roman"/>
          <w:szCs w:val="26"/>
        </w:rPr>
        <w:t>Verizon</w:t>
      </w:r>
      <w:r w:rsidR="00D71F25" w:rsidRPr="00F1714B">
        <w:rPr>
          <w:rFonts w:cs="Times New Roman"/>
          <w:szCs w:val="26"/>
        </w:rPr>
        <w:t xml:space="preserve"> had obtained a </w:t>
      </w:r>
      <w:r w:rsidR="00057A01" w:rsidRPr="00F1714B">
        <w:rPr>
          <w:rFonts w:cs="Times New Roman"/>
          <w:szCs w:val="26"/>
        </w:rPr>
        <w:t xml:space="preserve">competitive classification </w:t>
      </w:r>
      <w:r w:rsidR="00D71F25" w:rsidRPr="00F1714B">
        <w:rPr>
          <w:rFonts w:cs="Times New Roman"/>
          <w:szCs w:val="26"/>
        </w:rPr>
        <w:t>of its retail services</w:t>
      </w:r>
      <w:r w:rsidR="009A072B" w:rsidRPr="00F1714B">
        <w:rPr>
          <w:rFonts w:cs="Times New Roman"/>
          <w:szCs w:val="26"/>
        </w:rPr>
        <w:t>,</w:t>
      </w:r>
      <w:r w:rsidR="00D71F25" w:rsidRPr="00F1714B">
        <w:rPr>
          <w:rFonts w:cs="Times New Roman"/>
          <w:szCs w:val="26"/>
        </w:rPr>
        <w:t xml:space="preserve"> </w:t>
      </w:r>
      <w:r w:rsidR="00057A01" w:rsidRPr="00F1714B">
        <w:rPr>
          <w:rFonts w:cs="Times New Roman"/>
          <w:szCs w:val="26"/>
        </w:rPr>
        <w:t>but also</w:t>
      </w:r>
      <w:r w:rsidR="009A072B" w:rsidRPr="00F1714B">
        <w:rPr>
          <w:rFonts w:cs="Times New Roman"/>
          <w:szCs w:val="26"/>
        </w:rPr>
        <w:t>,</w:t>
      </w:r>
      <w:r w:rsidR="00057A01" w:rsidRPr="00F1714B">
        <w:rPr>
          <w:rFonts w:cs="Times New Roman"/>
          <w:szCs w:val="26"/>
        </w:rPr>
        <w:t xml:space="preserve"> those that, in effect, had become less vital given the evolution of the provision of telecommunications </w:t>
      </w:r>
      <w:r w:rsidR="00D71F25" w:rsidRPr="00F1714B">
        <w:rPr>
          <w:rFonts w:cs="Times New Roman"/>
          <w:szCs w:val="26"/>
        </w:rPr>
        <w:t xml:space="preserve">services </w:t>
      </w:r>
      <w:r w:rsidR="00057A01" w:rsidRPr="00F1714B">
        <w:rPr>
          <w:rFonts w:cs="Times New Roman"/>
          <w:szCs w:val="26"/>
        </w:rPr>
        <w:t xml:space="preserve">today. </w:t>
      </w:r>
      <w:r w:rsidR="005B21BD" w:rsidRPr="00F1714B">
        <w:rPr>
          <w:rFonts w:cs="Times New Roman"/>
          <w:szCs w:val="26"/>
        </w:rPr>
        <w:t xml:space="preserve"> </w:t>
      </w:r>
    </w:p>
    <w:p w14:paraId="6A4B31AF" w14:textId="77777777" w:rsidR="00E957DD" w:rsidRPr="00F1714B" w:rsidRDefault="00E957DD" w:rsidP="00CF2BD4">
      <w:pPr>
        <w:pStyle w:val="ListParagraph"/>
        <w:keepNext/>
        <w:keepLines/>
        <w:ind w:left="0" w:firstLine="720"/>
        <w:rPr>
          <w:rFonts w:cs="Times New Roman"/>
          <w:szCs w:val="26"/>
        </w:rPr>
      </w:pPr>
    </w:p>
    <w:p w14:paraId="36E9E8BE" w14:textId="2DA3B57B" w:rsidR="005B21BD" w:rsidRPr="00F1714B" w:rsidRDefault="00750045" w:rsidP="00E55426">
      <w:pPr>
        <w:pStyle w:val="ListParagraph"/>
        <w:ind w:left="0" w:firstLine="720"/>
        <w:rPr>
          <w:rFonts w:cs="Times New Roman"/>
          <w:szCs w:val="26"/>
        </w:rPr>
      </w:pPr>
      <w:r w:rsidRPr="00F1714B">
        <w:rPr>
          <w:rFonts w:cs="Times New Roman"/>
          <w:szCs w:val="26"/>
        </w:rPr>
        <w:t>Specifically, t</w:t>
      </w:r>
      <w:r w:rsidRPr="00F1714B">
        <w:rPr>
          <w:color w:val="000000"/>
          <w:szCs w:val="26"/>
          <w:bdr w:val="none" w:sz="0" w:space="0" w:color="auto" w:frame="1"/>
          <w:shd w:val="clear" w:color="auto" w:fill="FFFFFF"/>
        </w:rPr>
        <w:t xml:space="preserve">he Commission </w:t>
      </w:r>
      <w:r w:rsidRPr="00F1714B">
        <w:rPr>
          <w:color w:val="201F1E"/>
          <w:szCs w:val="26"/>
          <w:shd w:val="clear" w:color="auto" w:fill="FFFFFF"/>
        </w:rPr>
        <w:t xml:space="preserve">requested comment on whether to expand the waivers granted in the </w:t>
      </w:r>
      <w:r w:rsidRPr="00F1714B">
        <w:rPr>
          <w:i/>
          <w:iCs/>
          <w:color w:val="201F1E"/>
          <w:szCs w:val="26"/>
          <w:shd w:val="clear" w:color="auto" w:fill="FFFFFF"/>
        </w:rPr>
        <w:t xml:space="preserve">Reclassification Order </w:t>
      </w:r>
      <w:r w:rsidR="00697FFE" w:rsidRPr="00F1714B">
        <w:rPr>
          <w:color w:val="201F1E"/>
          <w:szCs w:val="26"/>
          <w:shd w:val="clear" w:color="auto" w:fill="FFFFFF"/>
        </w:rPr>
        <w:t xml:space="preserve">beyond </w:t>
      </w:r>
      <w:r w:rsidRPr="00F1714B">
        <w:rPr>
          <w:color w:val="201F1E"/>
          <w:szCs w:val="26"/>
          <w:shd w:val="clear" w:color="auto" w:fill="FFFFFF"/>
        </w:rPr>
        <w:t xml:space="preserve">any wire center </w:t>
      </w:r>
      <w:r w:rsidR="00697FFE" w:rsidRPr="00F1714B">
        <w:rPr>
          <w:color w:val="201F1E"/>
          <w:szCs w:val="26"/>
          <w:shd w:val="clear" w:color="auto" w:fill="FFFFFF"/>
        </w:rPr>
        <w:t>that had be</w:t>
      </w:r>
      <w:r w:rsidR="00714D1C" w:rsidRPr="00F1714B">
        <w:rPr>
          <w:color w:val="201F1E"/>
          <w:szCs w:val="26"/>
          <w:shd w:val="clear" w:color="auto" w:fill="FFFFFF"/>
        </w:rPr>
        <w:t>e</w:t>
      </w:r>
      <w:r w:rsidR="00697FFE" w:rsidRPr="00F1714B">
        <w:rPr>
          <w:color w:val="201F1E"/>
          <w:szCs w:val="26"/>
          <w:shd w:val="clear" w:color="auto" w:fill="FFFFFF"/>
        </w:rPr>
        <w:t xml:space="preserve">n </w:t>
      </w:r>
      <w:r w:rsidRPr="00F1714B">
        <w:rPr>
          <w:color w:val="201F1E"/>
          <w:szCs w:val="26"/>
          <w:shd w:val="clear" w:color="auto" w:fill="FFFFFF"/>
        </w:rPr>
        <w:t>classified as competitive</w:t>
      </w:r>
      <w:r w:rsidR="00922F8D" w:rsidRPr="00F1714B">
        <w:rPr>
          <w:color w:val="201F1E"/>
          <w:szCs w:val="26"/>
          <w:shd w:val="clear" w:color="auto" w:fill="FFFFFF"/>
        </w:rPr>
        <w:t xml:space="preserve"> or</w:t>
      </w:r>
      <w:r w:rsidRPr="00F1714B">
        <w:rPr>
          <w:color w:val="201F1E"/>
          <w:szCs w:val="26"/>
          <w:shd w:val="clear" w:color="auto" w:fill="FFFFFF"/>
        </w:rPr>
        <w:t xml:space="preserve"> whether to rescind or amend any Chapter 63 and 64 regulations for </w:t>
      </w:r>
      <w:r w:rsidR="008F50CE" w:rsidRPr="00F1714B">
        <w:rPr>
          <w:color w:val="201F1E"/>
          <w:szCs w:val="26"/>
          <w:shd w:val="clear" w:color="auto" w:fill="FFFFFF"/>
        </w:rPr>
        <w:t>noncompetitive</w:t>
      </w:r>
      <w:r w:rsidRPr="00F1714B">
        <w:rPr>
          <w:color w:val="201F1E"/>
          <w:szCs w:val="26"/>
          <w:shd w:val="clear" w:color="auto" w:fill="FFFFFF"/>
        </w:rPr>
        <w:t xml:space="preserve"> wire centers, and whether to create a separate chapter in our regulations to address service provided in competitive wire centers.</w:t>
      </w:r>
      <w:r w:rsidR="00D72DEE" w:rsidRPr="00F1714B">
        <w:rPr>
          <w:color w:val="201F1E"/>
          <w:szCs w:val="26"/>
          <w:shd w:val="clear" w:color="auto" w:fill="FFFFFF"/>
        </w:rPr>
        <w:t xml:space="preserve">  </w:t>
      </w:r>
      <w:r w:rsidRPr="00F1714B">
        <w:rPr>
          <w:color w:val="201F1E"/>
          <w:szCs w:val="26"/>
          <w:shd w:val="clear" w:color="auto" w:fill="FFFFFF"/>
        </w:rPr>
        <w:t xml:space="preserve">The Commission also asked for comment on whether we should make permanent any waivers of regulations granted outside of the reclassification decision and invited any reasonable alternative proposals to our existing telephone regulations.  </w:t>
      </w:r>
      <w:r w:rsidR="005B21BD" w:rsidRPr="00F1714B">
        <w:rPr>
          <w:rFonts w:cs="Times New Roman"/>
          <w:szCs w:val="26"/>
        </w:rPr>
        <w:t xml:space="preserve">The </w:t>
      </w:r>
      <w:r w:rsidR="005B21BD" w:rsidRPr="00F1714B">
        <w:rPr>
          <w:rFonts w:cs="Times New Roman"/>
          <w:i/>
          <w:iCs/>
          <w:szCs w:val="26"/>
        </w:rPr>
        <w:t>ANPR</w:t>
      </w:r>
      <w:r w:rsidR="00CF2BD4" w:rsidRPr="00F1714B">
        <w:rPr>
          <w:rFonts w:cs="Times New Roman"/>
          <w:i/>
          <w:iCs/>
          <w:szCs w:val="26"/>
        </w:rPr>
        <w:t>M</w:t>
      </w:r>
      <w:r w:rsidR="005B21BD" w:rsidRPr="00F1714B">
        <w:rPr>
          <w:rFonts w:cs="Times New Roman"/>
          <w:i/>
          <w:iCs/>
          <w:szCs w:val="26"/>
        </w:rPr>
        <w:t xml:space="preserve"> Order</w:t>
      </w:r>
      <w:r w:rsidR="005B21BD" w:rsidRPr="00F1714B">
        <w:rPr>
          <w:rFonts w:cs="Times New Roman"/>
          <w:szCs w:val="26"/>
        </w:rPr>
        <w:t xml:space="preserve"> was published in the </w:t>
      </w:r>
      <w:r w:rsidR="005B21BD" w:rsidRPr="00F1714B">
        <w:rPr>
          <w:rFonts w:cs="Times New Roman"/>
          <w:i/>
          <w:iCs/>
          <w:szCs w:val="26"/>
        </w:rPr>
        <w:t>Pennsylvania Bulletin</w:t>
      </w:r>
      <w:r w:rsidR="005B21BD" w:rsidRPr="00F1714B">
        <w:rPr>
          <w:rFonts w:cs="Times New Roman"/>
          <w:szCs w:val="26"/>
        </w:rPr>
        <w:t xml:space="preserve"> and comments were solicited by the Commission.</w:t>
      </w:r>
      <w:r w:rsidR="005B21BD" w:rsidRPr="00F1714B">
        <w:rPr>
          <w:rStyle w:val="FootnoteReference"/>
          <w:rFonts w:cs="Times New Roman"/>
          <w:szCs w:val="26"/>
        </w:rPr>
        <w:footnoteReference w:id="16"/>
      </w:r>
    </w:p>
    <w:p w14:paraId="63B81F1A" w14:textId="77777777" w:rsidR="005B21BD" w:rsidRPr="00F1714B" w:rsidRDefault="005B21BD" w:rsidP="00E55426">
      <w:pPr>
        <w:pStyle w:val="ListParagraph"/>
        <w:ind w:left="0" w:firstLine="720"/>
        <w:rPr>
          <w:rFonts w:cs="Times New Roman"/>
          <w:szCs w:val="26"/>
        </w:rPr>
      </w:pPr>
    </w:p>
    <w:p w14:paraId="55533253" w14:textId="65ACE623" w:rsidR="001B3461" w:rsidRPr="00F1714B" w:rsidRDefault="001B3461" w:rsidP="002A5F6D">
      <w:pPr>
        <w:ind w:firstLine="720"/>
        <w:contextualSpacing/>
        <w:rPr>
          <w:rFonts w:cs="Times New Roman"/>
          <w:bCs/>
          <w:szCs w:val="26"/>
        </w:rPr>
      </w:pPr>
      <w:r w:rsidRPr="00F1714B">
        <w:rPr>
          <w:rFonts w:cs="Times New Roman"/>
          <w:bCs/>
          <w:szCs w:val="26"/>
        </w:rPr>
        <w:lastRenderedPageBreak/>
        <w:t xml:space="preserve">The Commission received comments </w:t>
      </w:r>
      <w:r w:rsidR="002D3258" w:rsidRPr="00F1714B">
        <w:rPr>
          <w:rFonts w:cs="Times New Roman"/>
          <w:bCs/>
          <w:szCs w:val="26"/>
        </w:rPr>
        <w:t xml:space="preserve">and replies </w:t>
      </w:r>
      <w:r w:rsidR="005B21BD" w:rsidRPr="00F1714B">
        <w:rPr>
          <w:rFonts w:cs="Times New Roman"/>
          <w:bCs/>
          <w:szCs w:val="26"/>
        </w:rPr>
        <w:t xml:space="preserve">to its </w:t>
      </w:r>
      <w:r w:rsidRPr="00F1714B">
        <w:rPr>
          <w:rFonts w:cs="Times New Roman"/>
          <w:bCs/>
          <w:i/>
          <w:iCs/>
          <w:szCs w:val="26"/>
        </w:rPr>
        <w:t>ANPR</w:t>
      </w:r>
      <w:r w:rsidR="00080C2A" w:rsidRPr="00F1714B">
        <w:rPr>
          <w:rFonts w:cs="Times New Roman"/>
          <w:bCs/>
          <w:i/>
          <w:iCs/>
          <w:szCs w:val="26"/>
        </w:rPr>
        <w:t>M</w:t>
      </w:r>
      <w:r w:rsidRPr="00F1714B">
        <w:rPr>
          <w:rFonts w:cs="Times New Roman"/>
          <w:bCs/>
          <w:i/>
          <w:iCs/>
          <w:szCs w:val="26"/>
        </w:rPr>
        <w:t xml:space="preserve"> </w:t>
      </w:r>
      <w:r w:rsidR="005B21BD" w:rsidRPr="00F1714B">
        <w:rPr>
          <w:rFonts w:cs="Times New Roman"/>
          <w:bCs/>
          <w:i/>
          <w:iCs/>
          <w:szCs w:val="26"/>
        </w:rPr>
        <w:t>Order</w:t>
      </w:r>
      <w:r w:rsidR="002D3258" w:rsidRPr="00F1714B">
        <w:rPr>
          <w:rFonts w:cs="Times New Roman"/>
          <w:bCs/>
          <w:szCs w:val="26"/>
        </w:rPr>
        <w:t xml:space="preserve"> from several parties</w:t>
      </w:r>
      <w:r w:rsidR="005B21BD" w:rsidRPr="00F1714B">
        <w:rPr>
          <w:rFonts w:cs="Times New Roman"/>
          <w:bCs/>
          <w:szCs w:val="26"/>
        </w:rPr>
        <w:t>.</w:t>
      </w:r>
      <w:r w:rsidR="005B21BD" w:rsidRPr="00F1714B">
        <w:rPr>
          <w:rStyle w:val="FootnoteReference"/>
          <w:rFonts w:cs="Times New Roman"/>
          <w:bCs/>
          <w:szCs w:val="26"/>
        </w:rPr>
        <w:footnoteReference w:id="17"/>
      </w:r>
      <w:r w:rsidR="005B21BD" w:rsidRPr="00F1714B">
        <w:rPr>
          <w:rFonts w:cs="Times New Roman"/>
          <w:bCs/>
          <w:szCs w:val="26"/>
        </w:rPr>
        <w:t xml:space="preserve">  The </w:t>
      </w:r>
      <w:r w:rsidRPr="00F1714B">
        <w:rPr>
          <w:rFonts w:cs="Times New Roman"/>
          <w:bCs/>
          <w:szCs w:val="26"/>
        </w:rPr>
        <w:t xml:space="preserve">comments addressed the proposed treatment of </w:t>
      </w:r>
      <w:r w:rsidR="00D71F25" w:rsidRPr="00F1714B">
        <w:rPr>
          <w:rFonts w:cs="Times New Roman"/>
          <w:bCs/>
          <w:szCs w:val="26"/>
        </w:rPr>
        <w:t xml:space="preserve">certain aspects of </w:t>
      </w:r>
      <w:r w:rsidRPr="00F1714B">
        <w:rPr>
          <w:rFonts w:cs="Times New Roman"/>
          <w:bCs/>
          <w:szCs w:val="26"/>
        </w:rPr>
        <w:t>Chapter</w:t>
      </w:r>
      <w:r w:rsidR="002D3258" w:rsidRPr="00F1714B">
        <w:rPr>
          <w:rFonts w:cs="Times New Roman"/>
          <w:bCs/>
          <w:szCs w:val="26"/>
        </w:rPr>
        <w:t>s</w:t>
      </w:r>
      <w:r w:rsidRPr="00F1714B">
        <w:rPr>
          <w:rFonts w:cs="Times New Roman"/>
          <w:bCs/>
          <w:szCs w:val="26"/>
        </w:rPr>
        <w:t xml:space="preserve"> 53, 63 and 64 </w:t>
      </w:r>
      <w:r w:rsidR="00D71F25" w:rsidRPr="00F1714B">
        <w:rPr>
          <w:rFonts w:cs="Times New Roman"/>
          <w:bCs/>
          <w:szCs w:val="26"/>
        </w:rPr>
        <w:t xml:space="preserve">of the Commission’s </w:t>
      </w:r>
      <w:r w:rsidRPr="00F1714B">
        <w:rPr>
          <w:rFonts w:cs="Times New Roman"/>
          <w:bCs/>
          <w:szCs w:val="26"/>
        </w:rPr>
        <w:t xml:space="preserve">regulations </w:t>
      </w:r>
      <w:r w:rsidR="00D71F25" w:rsidRPr="00F1714B">
        <w:rPr>
          <w:rFonts w:cs="Times New Roman"/>
          <w:bCs/>
          <w:szCs w:val="26"/>
        </w:rPr>
        <w:t xml:space="preserve">by </w:t>
      </w:r>
      <w:r w:rsidR="00842D2B" w:rsidRPr="00F1714B">
        <w:rPr>
          <w:rFonts w:cs="Times New Roman"/>
          <w:bCs/>
          <w:szCs w:val="26"/>
        </w:rPr>
        <w:t xml:space="preserve">suggesting </w:t>
      </w:r>
      <w:r w:rsidR="00D71F25" w:rsidRPr="00F1714B">
        <w:rPr>
          <w:rFonts w:cs="Times New Roman"/>
          <w:bCs/>
          <w:szCs w:val="26"/>
        </w:rPr>
        <w:t xml:space="preserve">that the Commission </w:t>
      </w:r>
      <w:r w:rsidR="00842D2B" w:rsidRPr="00F1714B">
        <w:rPr>
          <w:rFonts w:cs="Times New Roman"/>
          <w:bCs/>
          <w:szCs w:val="26"/>
        </w:rPr>
        <w:t xml:space="preserve">should </w:t>
      </w:r>
      <w:r w:rsidR="00D71F25" w:rsidRPr="00F1714B">
        <w:rPr>
          <w:rFonts w:cs="Times New Roman"/>
          <w:bCs/>
          <w:szCs w:val="26"/>
        </w:rPr>
        <w:t>eliminat</w:t>
      </w:r>
      <w:r w:rsidR="00842D2B" w:rsidRPr="00F1714B">
        <w:rPr>
          <w:rFonts w:cs="Times New Roman"/>
          <w:bCs/>
          <w:szCs w:val="26"/>
        </w:rPr>
        <w:t>e</w:t>
      </w:r>
      <w:r w:rsidR="00D71F25" w:rsidRPr="00F1714B">
        <w:rPr>
          <w:rFonts w:cs="Times New Roman"/>
          <w:bCs/>
          <w:szCs w:val="26"/>
        </w:rPr>
        <w:t xml:space="preserve"> </w:t>
      </w:r>
      <w:r w:rsidR="005F5D22" w:rsidRPr="00F1714B">
        <w:rPr>
          <w:rFonts w:cs="Times New Roman"/>
          <w:bCs/>
          <w:szCs w:val="26"/>
        </w:rPr>
        <w:t xml:space="preserve">all </w:t>
      </w:r>
      <w:r w:rsidR="00D71F25" w:rsidRPr="00F1714B">
        <w:rPr>
          <w:rFonts w:cs="Times New Roman"/>
          <w:bCs/>
          <w:szCs w:val="26"/>
        </w:rPr>
        <w:t xml:space="preserve">obsolete and unnecessary telecommunications regulations in the context of a </w:t>
      </w:r>
      <w:r w:rsidR="00215B65" w:rsidRPr="00F1714B">
        <w:rPr>
          <w:rFonts w:cs="Times New Roman"/>
          <w:bCs/>
          <w:szCs w:val="26"/>
        </w:rPr>
        <w:t>r</w:t>
      </w:r>
      <w:r w:rsidR="00D71F25" w:rsidRPr="00F1714B">
        <w:rPr>
          <w:rFonts w:cs="Times New Roman"/>
          <w:bCs/>
          <w:szCs w:val="26"/>
        </w:rPr>
        <w:t>ulemaking</w:t>
      </w:r>
      <w:r w:rsidR="00842D2B" w:rsidRPr="00F1714B">
        <w:rPr>
          <w:rFonts w:cs="Times New Roman"/>
          <w:bCs/>
          <w:szCs w:val="26"/>
        </w:rPr>
        <w:t xml:space="preserve">.  </w:t>
      </w:r>
      <w:r w:rsidR="00D71F25" w:rsidRPr="00F1714B">
        <w:rPr>
          <w:rFonts w:cs="Times New Roman"/>
          <w:bCs/>
          <w:szCs w:val="26"/>
        </w:rPr>
        <w:t xml:space="preserve">Essentially, the parties were suggesting that the Commission should immediately proceed with </w:t>
      </w:r>
      <w:r w:rsidR="002D3258" w:rsidRPr="00F1714B">
        <w:rPr>
          <w:rFonts w:cs="Times New Roman"/>
          <w:bCs/>
          <w:szCs w:val="26"/>
        </w:rPr>
        <w:t>initiating a Notice of Proposed Rulemaking</w:t>
      </w:r>
      <w:r w:rsidRPr="00F1714B">
        <w:rPr>
          <w:rFonts w:cs="Times New Roman"/>
          <w:bCs/>
          <w:szCs w:val="26"/>
        </w:rPr>
        <w:t xml:space="preserve"> </w:t>
      </w:r>
      <w:r w:rsidR="00D71F25" w:rsidRPr="00F1714B">
        <w:rPr>
          <w:rFonts w:cs="Times New Roman"/>
          <w:bCs/>
          <w:szCs w:val="26"/>
        </w:rPr>
        <w:t xml:space="preserve">to address the waived regulations </w:t>
      </w:r>
      <w:r w:rsidRPr="00F1714B">
        <w:rPr>
          <w:rFonts w:cs="Times New Roman"/>
          <w:bCs/>
          <w:szCs w:val="26"/>
        </w:rPr>
        <w:t xml:space="preserve">and </w:t>
      </w:r>
      <w:r w:rsidR="00D71F25" w:rsidRPr="00F1714B">
        <w:rPr>
          <w:rFonts w:cs="Times New Roman"/>
          <w:bCs/>
          <w:szCs w:val="26"/>
        </w:rPr>
        <w:t xml:space="preserve">any </w:t>
      </w:r>
      <w:r w:rsidRPr="00F1714B">
        <w:rPr>
          <w:rFonts w:cs="Times New Roman"/>
          <w:bCs/>
          <w:szCs w:val="26"/>
        </w:rPr>
        <w:t>other pertinent matters</w:t>
      </w:r>
      <w:r w:rsidR="00D71F25" w:rsidRPr="00F1714B">
        <w:rPr>
          <w:rFonts w:cs="Times New Roman"/>
          <w:bCs/>
          <w:szCs w:val="26"/>
        </w:rPr>
        <w:t xml:space="preserve"> that need to be resolved given the existence of competitive and noncompetitive wire centers in Pennsylvania</w:t>
      </w:r>
      <w:r w:rsidRPr="00F1714B">
        <w:rPr>
          <w:rFonts w:cs="Times New Roman"/>
          <w:bCs/>
          <w:szCs w:val="26"/>
        </w:rPr>
        <w:t>.</w:t>
      </w:r>
      <w:r w:rsidR="001342EB" w:rsidRPr="00F1714B">
        <w:rPr>
          <w:rStyle w:val="FootnoteReference"/>
          <w:rFonts w:cs="Times New Roman"/>
          <w:bCs/>
          <w:szCs w:val="26"/>
        </w:rPr>
        <w:footnoteReference w:id="18"/>
      </w:r>
    </w:p>
    <w:p w14:paraId="6509ED1C" w14:textId="77777777" w:rsidR="00215B65" w:rsidRPr="00F1714B" w:rsidRDefault="00215B65" w:rsidP="002A5F6D">
      <w:pPr>
        <w:ind w:firstLine="720"/>
        <w:contextualSpacing/>
        <w:rPr>
          <w:rFonts w:cs="Times New Roman"/>
          <w:bCs/>
          <w:szCs w:val="26"/>
        </w:rPr>
      </w:pPr>
    </w:p>
    <w:p w14:paraId="57ED3572" w14:textId="0B5BFCF9" w:rsidR="00F07C89" w:rsidRPr="00F1714B" w:rsidRDefault="003A06B6" w:rsidP="002A5F6D">
      <w:pPr>
        <w:ind w:left="720" w:hanging="720"/>
        <w:rPr>
          <w:rFonts w:cs="Times New Roman"/>
          <w:szCs w:val="26"/>
        </w:rPr>
      </w:pPr>
      <w:r w:rsidRPr="00F1714B">
        <w:rPr>
          <w:rFonts w:cs="Times New Roman"/>
          <w:b/>
          <w:bCs/>
          <w:szCs w:val="26"/>
        </w:rPr>
        <w:t>I</w:t>
      </w:r>
      <w:r w:rsidR="003E3752" w:rsidRPr="00F1714B">
        <w:rPr>
          <w:rFonts w:cs="Times New Roman"/>
          <w:b/>
          <w:bCs/>
          <w:szCs w:val="26"/>
        </w:rPr>
        <w:t>V.</w:t>
      </w:r>
      <w:r w:rsidR="003E3752" w:rsidRPr="00F1714B">
        <w:rPr>
          <w:rFonts w:cs="Times New Roman"/>
          <w:b/>
          <w:bCs/>
          <w:szCs w:val="26"/>
        </w:rPr>
        <w:tab/>
      </w:r>
      <w:r w:rsidR="002D3258" w:rsidRPr="00F1714B">
        <w:rPr>
          <w:rFonts w:cs="Times New Roman"/>
          <w:b/>
          <w:bCs/>
          <w:szCs w:val="26"/>
        </w:rPr>
        <w:t xml:space="preserve">Extension of </w:t>
      </w:r>
      <w:r w:rsidR="000B234A" w:rsidRPr="00F1714B">
        <w:rPr>
          <w:rFonts w:cs="Times New Roman"/>
          <w:b/>
          <w:bCs/>
          <w:szCs w:val="26"/>
        </w:rPr>
        <w:t xml:space="preserve">Regulatory </w:t>
      </w:r>
      <w:r w:rsidR="002D3258" w:rsidRPr="00F1714B">
        <w:rPr>
          <w:rFonts w:cs="Times New Roman"/>
          <w:b/>
          <w:bCs/>
          <w:szCs w:val="26"/>
        </w:rPr>
        <w:t>Waiver</w:t>
      </w:r>
      <w:r w:rsidR="000B234A" w:rsidRPr="00F1714B">
        <w:rPr>
          <w:rFonts w:cs="Times New Roman"/>
          <w:b/>
          <w:bCs/>
          <w:szCs w:val="26"/>
        </w:rPr>
        <w:t xml:space="preserve">s </w:t>
      </w:r>
      <w:r w:rsidR="002D3258" w:rsidRPr="00F1714B">
        <w:rPr>
          <w:rFonts w:cs="Times New Roman"/>
          <w:b/>
          <w:bCs/>
          <w:szCs w:val="26"/>
        </w:rPr>
        <w:t xml:space="preserve">and </w:t>
      </w:r>
      <w:r w:rsidR="000B234A" w:rsidRPr="00F1714B">
        <w:rPr>
          <w:rFonts w:cs="Times New Roman"/>
          <w:b/>
          <w:bCs/>
          <w:szCs w:val="26"/>
        </w:rPr>
        <w:t xml:space="preserve">Access to </w:t>
      </w:r>
      <w:r w:rsidR="002D3258" w:rsidRPr="00F1714B">
        <w:rPr>
          <w:rFonts w:cs="Times New Roman"/>
          <w:b/>
          <w:bCs/>
          <w:szCs w:val="26"/>
        </w:rPr>
        <w:t xml:space="preserve">Verizon </w:t>
      </w:r>
      <w:r w:rsidR="000B234A" w:rsidRPr="00F1714B">
        <w:rPr>
          <w:rFonts w:cs="Times New Roman"/>
          <w:b/>
          <w:bCs/>
          <w:szCs w:val="26"/>
        </w:rPr>
        <w:t xml:space="preserve">Market </w:t>
      </w:r>
    </w:p>
    <w:p w14:paraId="6CF118E6" w14:textId="014B176B" w:rsidR="00E95280" w:rsidRPr="00F1714B" w:rsidRDefault="00E95280" w:rsidP="00E060B9">
      <w:pPr>
        <w:ind w:firstLine="720"/>
        <w:rPr>
          <w:rFonts w:eastAsia="Times New Roman" w:cs="Times New Roman"/>
          <w:szCs w:val="26"/>
        </w:rPr>
      </w:pPr>
      <w:r w:rsidRPr="00F1714B">
        <w:rPr>
          <w:rFonts w:cs="Times New Roman"/>
          <w:szCs w:val="26"/>
        </w:rPr>
        <w:t>The issue of access to Verizon</w:t>
      </w:r>
      <w:r w:rsidR="00274EC9" w:rsidRPr="00F1714B">
        <w:rPr>
          <w:rFonts w:cs="Times New Roman"/>
          <w:szCs w:val="26"/>
        </w:rPr>
        <w:t xml:space="preserve">’s </w:t>
      </w:r>
      <w:r w:rsidRPr="00F1714B">
        <w:rPr>
          <w:rFonts w:cs="Times New Roman"/>
          <w:szCs w:val="26"/>
        </w:rPr>
        <w:t xml:space="preserve">2015 and 2016 proprietary data reports was </w:t>
      </w:r>
      <w:r w:rsidR="00DF5AD7" w:rsidRPr="00F1714B">
        <w:rPr>
          <w:rFonts w:cs="Times New Roman"/>
          <w:szCs w:val="26"/>
        </w:rPr>
        <w:t xml:space="preserve">raised </w:t>
      </w:r>
      <w:r w:rsidRPr="00F1714B">
        <w:rPr>
          <w:rFonts w:cs="Times New Roman"/>
          <w:szCs w:val="26"/>
        </w:rPr>
        <w:t xml:space="preserve">by several parties </w:t>
      </w:r>
      <w:r w:rsidR="000C3E97" w:rsidRPr="00F1714B">
        <w:rPr>
          <w:rFonts w:cs="Times New Roman"/>
          <w:szCs w:val="26"/>
        </w:rPr>
        <w:t xml:space="preserve">in their </w:t>
      </w:r>
      <w:r w:rsidRPr="00F1714B">
        <w:rPr>
          <w:rFonts w:cs="Times New Roman"/>
          <w:szCs w:val="26"/>
        </w:rPr>
        <w:t>comment</w:t>
      </w:r>
      <w:r w:rsidR="000C3E97" w:rsidRPr="00F1714B">
        <w:rPr>
          <w:rFonts w:cs="Times New Roman"/>
          <w:szCs w:val="26"/>
        </w:rPr>
        <w:t xml:space="preserve">s to </w:t>
      </w:r>
      <w:r w:rsidRPr="00F1714B">
        <w:rPr>
          <w:rFonts w:cs="Times New Roman"/>
          <w:i/>
          <w:iCs/>
          <w:szCs w:val="26"/>
        </w:rPr>
        <w:t>ANPR</w:t>
      </w:r>
      <w:r w:rsidR="00080C2A" w:rsidRPr="00F1714B">
        <w:rPr>
          <w:rFonts w:cs="Times New Roman"/>
          <w:i/>
          <w:iCs/>
          <w:szCs w:val="26"/>
        </w:rPr>
        <w:t>M</w:t>
      </w:r>
      <w:r w:rsidR="000C3E97" w:rsidRPr="00F1714B">
        <w:rPr>
          <w:rFonts w:cs="Times New Roman"/>
          <w:szCs w:val="26"/>
        </w:rPr>
        <w:t xml:space="preserve"> </w:t>
      </w:r>
      <w:r w:rsidR="000C3E97" w:rsidRPr="00F1714B">
        <w:rPr>
          <w:rFonts w:cs="Times New Roman"/>
          <w:i/>
          <w:iCs/>
          <w:szCs w:val="26"/>
        </w:rPr>
        <w:t>Order</w:t>
      </w:r>
      <w:r w:rsidRPr="00F1714B">
        <w:rPr>
          <w:rFonts w:cs="Times New Roman"/>
          <w:szCs w:val="26"/>
        </w:rPr>
        <w:t>.  Also, t</w:t>
      </w:r>
      <w:r w:rsidR="00073D49" w:rsidRPr="00F1714B">
        <w:rPr>
          <w:rFonts w:cs="Times New Roman"/>
          <w:szCs w:val="26"/>
        </w:rPr>
        <w:t xml:space="preserve">he temporary regulatory waivers that the Commission granted to Verizon in the </w:t>
      </w:r>
      <w:r w:rsidR="00073D49" w:rsidRPr="00F1714B">
        <w:rPr>
          <w:rFonts w:cs="Times New Roman"/>
          <w:i/>
          <w:iCs/>
          <w:szCs w:val="26"/>
        </w:rPr>
        <w:t>Reclassification Ord</w:t>
      </w:r>
      <w:r w:rsidR="00DF5AD7" w:rsidRPr="00F1714B">
        <w:rPr>
          <w:rFonts w:cs="Times New Roman"/>
          <w:i/>
          <w:iCs/>
          <w:szCs w:val="26"/>
        </w:rPr>
        <w:t>e</w:t>
      </w:r>
      <w:r w:rsidR="00073D49" w:rsidRPr="00F1714B">
        <w:rPr>
          <w:rFonts w:cs="Times New Roman"/>
          <w:i/>
          <w:iCs/>
          <w:szCs w:val="26"/>
        </w:rPr>
        <w:t>r</w:t>
      </w:r>
      <w:r w:rsidR="00073D49" w:rsidRPr="00F1714B">
        <w:rPr>
          <w:rFonts w:cs="Times New Roman"/>
          <w:szCs w:val="26"/>
        </w:rPr>
        <w:t xml:space="preserve"> w</w:t>
      </w:r>
      <w:r w:rsidR="002D3258" w:rsidRPr="00F1714B">
        <w:rPr>
          <w:rFonts w:cs="Times New Roman"/>
          <w:szCs w:val="26"/>
        </w:rPr>
        <w:t>ere</w:t>
      </w:r>
      <w:r w:rsidR="00073D49" w:rsidRPr="00F1714B">
        <w:rPr>
          <w:rFonts w:cs="Times New Roman"/>
          <w:szCs w:val="26"/>
        </w:rPr>
        <w:t xml:space="preserve"> set to expire March 4, 2020.  </w:t>
      </w:r>
      <w:r w:rsidR="00A27B63" w:rsidRPr="00F1714B">
        <w:rPr>
          <w:rFonts w:cs="Times New Roman"/>
          <w:szCs w:val="26"/>
        </w:rPr>
        <w:t>Fo</w:t>
      </w:r>
      <w:r w:rsidR="00F07C89" w:rsidRPr="00F1714B">
        <w:rPr>
          <w:rFonts w:cs="Times New Roman"/>
          <w:szCs w:val="26"/>
        </w:rPr>
        <w:t xml:space="preserve">llowing the formal closure of the </w:t>
      </w:r>
      <w:r w:rsidR="00F07C89" w:rsidRPr="00F1714B">
        <w:rPr>
          <w:rFonts w:cs="Times New Roman"/>
          <w:i/>
          <w:iCs/>
          <w:szCs w:val="26"/>
        </w:rPr>
        <w:t>ANPR</w:t>
      </w:r>
      <w:r w:rsidR="00F85EE4" w:rsidRPr="00F1714B">
        <w:rPr>
          <w:rFonts w:cs="Times New Roman"/>
          <w:i/>
          <w:iCs/>
          <w:szCs w:val="26"/>
        </w:rPr>
        <w:t>M</w:t>
      </w:r>
      <w:r w:rsidR="00F07C89" w:rsidRPr="00F1714B">
        <w:rPr>
          <w:rFonts w:cs="Times New Roman"/>
          <w:i/>
          <w:iCs/>
          <w:szCs w:val="26"/>
        </w:rPr>
        <w:t xml:space="preserve"> Order</w:t>
      </w:r>
      <w:r w:rsidR="00F07C89" w:rsidRPr="00F1714B">
        <w:rPr>
          <w:rFonts w:cs="Times New Roman"/>
          <w:szCs w:val="26"/>
        </w:rPr>
        <w:t xml:space="preserve"> comment </w:t>
      </w:r>
      <w:r w:rsidR="00F07C89" w:rsidRPr="00F1714B">
        <w:rPr>
          <w:rFonts w:cs="Times New Roman"/>
          <w:szCs w:val="26"/>
        </w:rPr>
        <w:lastRenderedPageBreak/>
        <w:t xml:space="preserve">period, the Commission undertook further actions </w:t>
      </w:r>
      <w:r w:rsidR="00073D49" w:rsidRPr="00F1714B">
        <w:rPr>
          <w:rFonts w:cs="Times New Roman"/>
          <w:szCs w:val="26"/>
        </w:rPr>
        <w:t xml:space="preserve">on the regulatory waivers by issuing </w:t>
      </w:r>
      <w:r w:rsidR="00F07C89" w:rsidRPr="00F1714B">
        <w:rPr>
          <w:rFonts w:cs="Times New Roman"/>
          <w:szCs w:val="26"/>
        </w:rPr>
        <w:t xml:space="preserve">a Tentative Order on February 6, 2020, </w:t>
      </w:r>
      <w:r w:rsidR="00073D49" w:rsidRPr="00F1714B">
        <w:rPr>
          <w:rFonts w:cs="Times New Roman"/>
          <w:szCs w:val="26"/>
        </w:rPr>
        <w:t xml:space="preserve">that </w:t>
      </w:r>
      <w:r w:rsidR="000C3E97" w:rsidRPr="00F1714B">
        <w:rPr>
          <w:rFonts w:cs="Times New Roman"/>
          <w:szCs w:val="26"/>
        </w:rPr>
        <w:t xml:space="preserve">addressed </w:t>
      </w:r>
      <w:r w:rsidRPr="00F1714B">
        <w:rPr>
          <w:rFonts w:eastAsia="Times New Roman" w:cs="Times New Roman"/>
          <w:szCs w:val="26"/>
        </w:rPr>
        <w:t xml:space="preserve">the following issues: 1) </w:t>
      </w:r>
      <w:r w:rsidRPr="00F1714B">
        <w:rPr>
          <w:rFonts w:cs="Times New Roman"/>
          <w:szCs w:val="26"/>
        </w:rPr>
        <w:t xml:space="preserve">granting an extension of the </w:t>
      </w:r>
      <w:r w:rsidRPr="00F1714B">
        <w:rPr>
          <w:rFonts w:eastAsia="Times New Roman" w:cs="Times New Roman"/>
          <w:szCs w:val="26"/>
        </w:rPr>
        <w:t xml:space="preserve">five-year waiver of select Chapter 63 and Chapter 64 Regulations that had been granted to Verizon in the </w:t>
      </w:r>
      <w:r w:rsidRPr="00F1714B">
        <w:rPr>
          <w:rFonts w:eastAsia="Times New Roman" w:cs="Times New Roman"/>
          <w:i/>
          <w:iCs/>
          <w:szCs w:val="26"/>
        </w:rPr>
        <w:t>Reclassification Order</w:t>
      </w:r>
      <w:r w:rsidRPr="00F1714B">
        <w:rPr>
          <w:rFonts w:eastAsia="Times New Roman" w:cs="Times New Roman"/>
          <w:szCs w:val="26"/>
        </w:rPr>
        <w:t xml:space="preserve">; and 2) </w:t>
      </w:r>
      <w:r w:rsidR="000C3E97" w:rsidRPr="00F1714B">
        <w:rPr>
          <w:rFonts w:eastAsia="Times New Roman" w:cs="Times New Roman"/>
          <w:szCs w:val="26"/>
        </w:rPr>
        <w:t>allowing parties participating in the ANPR</w:t>
      </w:r>
      <w:r w:rsidR="00F85EE4" w:rsidRPr="00F1714B">
        <w:rPr>
          <w:rFonts w:eastAsia="Times New Roman" w:cs="Times New Roman"/>
          <w:szCs w:val="26"/>
        </w:rPr>
        <w:t>M</w:t>
      </w:r>
      <w:r w:rsidR="000C3E97" w:rsidRPr="00F1714B">
        <w:rPr>
          <w:rFonts w:eastAsia="Times New Roman" w:cs="Times New Roman"/>
          <w:szCs w:val="26"/>
        </w:rPr>
        <w:t xml:space="preserve"> proceeding to access and review the 2015 and 2016 reports that contained Verizon’s </w:t>
      </w:r>
      <w:r w:rsidRPr="00F1714B">
        <w:rPr>
          <w:rFonts w:eastAsia="Times New Roman" w:cs="Times New Roman"/>
          <w:szCs w:val="26"/>
        </w:rPr>
        <w:t xml:space="preserve">proprietary or confidential </w:t>
      </w:r>
      <w:r w:rsidR="000C3E97" w:rsidRPr="00F1714B">
        <w:rPr>
          <w:rFonts w:eastAsia="Times New Roman" w:cs="Times New Roman"/>
          <w:szCs w:val="26"/>
        </w:rPr>
        <w:t xml:space="preserve">market data and further allowing them </w:t>
      </w:r>
      <w:r w:rsidRPr="00F1714B">
        <w:rPr>
          <w:rFonts w:eastAsia="Times New Roman" w:cs="Times New Roman"/>
          <w:szCs w:val="26"/>
        </w:rPr>
        <w:t xml:space="preserve">to file supplemental comments </w:t>
      </w:r>
      <w:r w:rsidR="000C3E97" w:rsidRPr="00F1714B">
        <w:rPr>
          <w:rFonts w:eastAsia="Times New Roman" w:cs="Times New Roman"/>
          <w:szCs w:val="26"/>
        </w:rPr>
        <w:t xml:space="preserve">on the reports </w:t>
      </w:r>
      <w:r w:rsidRPr="00F1714B">
        <w:rPr>
          <w:rFonts w:eastAsia="Times New Roman" w:cs="Times New Roman"/>
          <w:szCs w:val="26"/>
        </w:rPr>
        <w:t>in the related ANPR</w:t>
      </w:r>
      <w:r w:rsidR="00F85EE4" w:rsidRPr="00F1714B">
        <w:rPr>
          <w:rFonts w:eastAsia="Times New Roman" w:cs="Times New Roman"/>
          <w:szCs w:val="26"/>
        </w:rPr>
        <w:t>M</w:t>
      </w:r>
      <w:r w:rsidRPr="00F1714B">
        <w:rPr>
          <w:rFonts w:eastAsia="Times New Roman" w:cs="Times New Roman"/>
          <w:szCs w:val="26"/>
        </w:rPr>
        <w:t xml:space="preserve"> proceeding.</w:t>
      </w:r>
      <w:r w:rsidRPr="00F1714B">
        <w:rPr>
          <w:rStyle w:val="FootnoteReference"/>
          <w:rFonts w:cs="Times New Roman"/>
          <w:szCs w:val="26"/>
        </w:rPr>
        <w:footnoteReference w:id="19"/>
      </w:r>
    </w:p>
    <w:p w14:paraId="5AC40F54" w14:textId="799D205A" w:rsidR="00A27B63" w:rsidRPr="00F1714B" w:rsidRDefault="00A27B63" w:rsidP="00E55426">
      <w:pPr>
        <w:ind w:firstLine="720"/>
        <w:rPr>
          <w:rFonts w:cs="Times New Roman"/>
          <w:szCs w:val="26"/>
        </w:rPr>
      </w:pPr>
    </w:p>
    <w:p w14:paraId="1A9C419E" w14:textId="6C926504" w:rsidR="00F07C89" w:rsidRPr="00F1714B" w:rsidRDefault="00F07C89" w:rsidP="00E55426">
      <w:pPr>
        <w:keepNext/>
        <w:keepLines/>
        <w:ind w:firstLine="720"/>
        <w:rPr>
          <w:rFonts w:cs="Times New Roman"/>
          <w:szCs w:val="26"/>
        </w:rPr>
      </w:pPr>
      <w:r w:rsidRPr="00F1714B">
        <w:rPr>
          <w:rFonts w:cs="Times New Roman"/>
          <w:szCs w:val="26"/>
        </w:rPr>
        <w:t xml:space="preserve">Following the receipt of comments from Verizon, the OCA and </w:t>
      </w:r>
    </w:p>
    <w:p w14:paraId="5603689B" w14:textId="6AAA814A" w:rsidR="00F07C89" w:rsidRPr="00F1714B" w:rsidRDefault="00F07C89" w:rsidP="0074577C">
      <w:pPr>
        <w:rPr>
          <w:rFonts w:cs="Times New Roman"/>
          <w:szCs w:val="26"/>
        </w:rPr>
      </w:pPr>
      <w:r w:rsidRPr="00F1714B">
        <w:rPr>
          <w:rFonts w:cs="Times New Roman"/>
          <w:szCs w:val="26"/>
        </w:rPr>
        <w:t>CAUSE­PA, the Commission issued a Final Order on February 27, 2020</w:t>
      </w:r>
      <w:r w:rsidR="00943D5F" w:rsidRPr="00F1714B">
        <w:rPr>
          <w:rFonts w:cs="Times New Roman"/>
          <w:szCs w:val="26"/>
        </w:rPr>
        <w:t>,</w:t>
      </w:r>
      <w:r w:rsidRPr="00F1714B">
        <w:rPr>
          <w:rFonts w:cs="Times New Roman"/>
          <w:szCs w:val="26"/>
        </w:rPr>
        <w:t xml:space="preserve"> </w:t>
      </w:r>
      <w:r w:rsidR="00E95280" w:rsidRPr="00F1714B">
        <w:rPr>
          <w:rFonts w:cs="Times New Roman"/>
          <w:szCs w:val="26"/>
        </w:rPr>
        <w:t xml:space="preserve">further extending the temporary regulatory waivers granted to Verizon in the </w:t>
      </w:r>
      <w:r w:rsidR="00E95280" w:rsidRPr="00F1714B">
        <w:rPr>
          <w:rFonts w:cs="Times New Roman"/>
          <w:i/>
          <w:iCs/>
          <w:szCs w:val="26"/>
        </w:rPr>
        <w:t>Reclassification Order</w:t>
      </w:r>
      <w:r w:rsidR="00E95280" w:rsidRPr="00F1714B">
        <w:rPr>
          <w:rFonts w:cs="Times New Roman"/>
          <w:szCs w:val="26"/>
        </w:rPr>
        <w:t xml:space="preserve"> and granting interested stakeholders access to the proprietary market data Verizon had submitted to the Commission</w:t>
      </w:r>
      <w:r w:rsidR="00F67501" w:rsidRPr="00F1714B">
        <w:rPr>
          <w:rFonts w:cs="Times New Roman"/>
          <w:szCs w:val="26"/>
        </w:rPr>
        <w:t xml:space="preserve"> </w:t>
      </w:r>
      <w:r w:rsidR="00E95280" w:rsidRPr="00F1714B">
        <w:rPr>
          <w:rFonts w:cs="Times New Roman"/>
          <w:szCs w:val="26"/>
        </w:rPr>
        <w:t>for the 2015-2016 time frame</w:t>
      </w:r>
      <w:r w:rsidRPr="00F1714B">
        <w:rPr>
          <w:rFonts w:cs="Times New Roman"/>
          <w:szCs w:val="26"/>
        </w:rPr>
        <w:t>.</w:t>
      </w:r>
      <w:r w:rsidR="00842D2B" w:rsidRPr="00F1714B">
        <w:rPr>
          <w:rStyle w:val="FootnoteReference"/>
          <w:rFonts w:cs="Times New Roman"/>
          <w:szCs w:val="26"/>
        </w:rPr>
        <w:footnoteReference w:id="20"/>
      </w:r>
      <w:r w:rsidRPr="00F1714B">
        <w:rPr>
          <w:rFonts w:cs="Times New Roman"/>
          <w:szCs w:val="26"/>
        </w:rPr>
        <w:t xml:space="preserve">  </w:t>
      </w:r>
      <w:r w:rsidR="004F5135" w:rsidRPr="00F1714B">
        <w:rPr>
          <w:rFonts w:cs="Times New Roman"/>
          <w:szCs w:val="26"/>
        </w:rPr>
        <w:t>Specifically</w:t>
      </w:r>
      <w:r w:rsidR="004F5135" w:rsidRPr="00F1714B">
        <w:rPr>
          <w:rFonts w:eastAsia="Calibri" w:cs="Times New Roman"/>
          <w:szCs w:val="26"/>
        </w:rPr>
        <w:t>, the Commission held that it would maintain the regulatory waivers until December 31, 2022</w:t>
      </w:r>
      <w:r w:rsidR="00E31606" w:rsidRPr="00F1714B">
        <w:rPr>
          <w:rFonts w:eastAsia="Calibri" w:cs="Times New Roman"/>
          <w:szCs w:val="26"/>
        </w:rPr>
        <w:t>,</w:t>
      </w:r>
      <w:r w:rsidR="004F5135" w:rsidRPr="00F1714B">
        <w:rPr>
          <w:rFonts w:eastAsia="Calibri" w:cs="Times New Roman"/>
          <w:szCs w:val="26"/>
        </w:rPr>
        <w:t xml:space="preserve"> or</w:t>
      </w:r>
      <w:r w:rsidR="00D7422C" w:rsidRPr="00F1714B">
        <w:rPr>
          <w:rFonts w:eastAsia="Calibri" w:cs="Times New Roman"/>
          <w:szCs w:val="26"/>
        </w:rPr>
        <w:t xml:space="preserve"> the </w:t>
      </w:r>
      <w:r w:rsidR="004F5135" w:rsidRPr="00F1714B">
        <w:rPr>
          <w:rFonts w:eastAsia="Calibri" w:cs="Times New Roman"/>
          <w:szCs w:val="26"/>
        </w:rPr>
        <w:t xml:space="preserve">completion of </w:t>
      </w:r>
      <w:r w:rsidR="007107C2" w:rsidRPr="00F1714B">
        <w:rPr>
          <w:rFonts w:eastAsia="Calibri" w:cs="Times New Roman"/>
          <w:szCs w:val="26"/>
        </w:rPr>
        <w:t>a</w:t>
      </w:r>
      <w:r w:rsidR="004F5135" w:rsidRPr="00F1714B">
        <w:rPr>
          <w:rFonts w:eastAsia="Calibri" w:cs="Times New Roman"/>
          <w:szCs w:val="26"/>
        </w:rPr>
        <w:t xml:space="preserve"> Rulemaking</w:t>
      </w:r>
      <w:r w:rsidR="007107C2" w:rsidRPr="00F1714B">
        <w:rPr>
          <w:rFonts w:eastAsia="Calibri" w:cs="Times New Roman"/>
          <w:szCs w:val="26"/>
        </w:rPr>
        <w:t xml:space="preserve"> regarding Chapters 53, 63 and 64 of the Commission</w:t>
      </w:r>
      <w:r w:rsidR="00E31606" w:rsidRPr="00F1714B">
        <w:rPr>
          <w:rFonts w:eastAsia="Calibri" w:cs="Times New Roman"/>
          <w:szCs w:val="26"/>
        </w:rPr>
        <w:t>’s</w:t>
      </w:r>
      <w:r w:rsidR="007107C2" w:rsidRPr="00F1714B">
        <w:rPr>
          <w:rFonts w:eastAsia="Calibri" w:cs="Times New Roman"/>
          <w:szCs w:val="26"/>
        </w:rPr>
        <w:t xml:space="preserve"> regulations</w:t>
      </w:r>
      <w:r w:rsidR="00215B65" w:rsidRPr="00F1714B">
        <w:rPr>
          <w:rFonts w:eastAsia="Calibri" w:cs="Times New Roman"/>
          <w:szCs w:val="26"/>
        </w:rPr>
        <w:t>,</w:t>
      </w:r>
      <w:r w:rsidR="004F5135" w:rsidRPr="00F1714B">
        <w:rPr>
          <w:rFonts w:eastAsia="Calibri" w:cs="Times New Roman"/>
          <w:szCs w:val="26"/>
        </w:rPr>
        <w:t xml:space="preserve"> whichever is sooner.  T</w:t>
      </w:r>
      <w:r w:rsidR="004F5135" w:rsidRPr="00F1714B">
        <w:rPr>
          <w:rFonts w:cs="Times New Roman"/>
          <w:szCs w:val="26"/>
        </w:rPr>
        <w:t xml:space="preserve">he </w:t>
      </w:r>
      <w:r w:rsidRPr="00F1714B">
        <w:rPr>
          <w:rFonts w:cs="Times New Roman"/>
          <w:szCs w:val="26"/>
        </w:rPr>
        <w:t>Commission</w:t>
      </w:r>
      <w:r w:rsidR="004F5135" w:rsidRPr="00F1714B">
        <w:rPr>
          <w:rFonts w:cs="Times New Roman"/>
          <w:szCs w:val="26"/>
        </w:rPr>
        <w:t xml:space="preserve"> determin</w:t>
      </w:r>
      <w:r w:rsidR="007107C2" w:rsidRPr="00F1714B">
        <w:rPr>
          <w:rFonts w:cs="Times New Roman"/>
          <w:szCs w:val="26"/>
        </w:rPr>
        <w:t xml:space="preserve">ed </w:t>
      </w:r>
      <w:r w:rsidR="004F5135" w:rsidRPr="00F1714B">
        <w:rPr>
          <w:rFonts w:cs="Times New Roman"/>
          <w:szCs w:val="26"/>
        </w:rPr>
        <w:t xml:space="preserve">that it was more appropriate to maintain the </w:t>
      </w:r>
      <w:r w:rsidR="004F5135" w:rsidRPr="00F1714B">
        <w:rPr>
          <w:rFonts w:cs="Times New Roman"/>
          <w:i/>
          <w:iCs/>
          <w:szCs w:val="26"/>
        </w:rPr>
        <w:t xml:space="preserve">status quo </w:t>
      </w:r>
      <w:r w:rsidR="00D7422C" w:rsidRPr="00F1714B">
        <w:rPr>
          <w:rFonts w:cs="Times New Roman"/>
          <w:szCs w:val="26"/>
        </w:rPr>
        <w:t xml:space="preserve">of the temporary regulatory waivers </w:t>
      </w:r>
      <w:r w:rsidR="004F5135" w:rsidRPr="00F1714B">
        <w:rPr>
          <w:rFonts w:cs="Times New Roman"/>
          <w:szCs w:val="26"/>
        </w:rPr>
        <w:t xml:space="preserve">rather than </w:t>
      </w:r>
      <w:r w:rsidRPr="00F1714B">
        <w:rPr>
          <w:rFonts w:eastAsia="Calibri" w:cs="Times New Roman"/>
          <w:szCs w:val="26"/>
        </w:rPr>
        <w:t>rescind</w:t>
      </w:r>
      <w:r w:rsidR="00D7422C" w:rsidRPr="00F1714B">
        <w:rPr>
          <w:rFonts w:eastAsia="Calibri" w:cs="Times New Roman"/>
          <w:szCs w:val="26"/>
        </w:rPr>
        <w:t xml:space="preserve"> </w:t>
      </w:r>
      <w:r w:rsidRPr="00F1714B">
        <w:rPr>
          <w:rFonts w:eastAsia="Calibri" w:cs="Times New Roman"/>
          <w:szCs w:val="26"/>
        </w:rPr>
        <w:t>or end</w:t>
      </w:r>
      <w:r w:rsidR="00D7422C" w:rsidRPr="00F1714B">
        <w:rPr>
          <w:rFonts w:eastAsia="Calibri" w:cs="Times New Roman"/>
          <w:szCs w:val="26"/>
        </w:rPr>
        <w:t xml:space="preserve"> </w:t>
      </w:r>
      <w:r w:rsidR="004F5135" w:rsidRPr="00F1714B">
        <w:rPr>
          <w:rFonts w:eastAsia="Calibri" w:cs="Times New Roman"/>
          <w:szCs w:val="26"/>
        </w:rPr>
        <w:t xml:space="preserve">the temporary regulatory </w:t>
      </w:r>
      <w:r w:rsidRPr="00F1714B">
        <w:rPr>
          <w:rFonts w:eastAsia="Calibri" w:cs="Times New Roman"/>
          <w:szCs w:val="26"/>
        </w:rPr>
        <w:t xml:space="preserve">waivers </w:t>
      </w:r>
      <w:r w:rsidR="004F5135" w:rsidRPr="00F1714B">
        <w:rPr>
          <w:rFonts w:eastAsia="Calibri" w:cs="Times New Roman"/>
          <w:szCs w:val="26"/>
        </w:rPr>
        <w:t xml:space="preserve">it had </w:t>
      </w:r>
      <w:r w:rsidRPr="00F1714B">
        <w:rPr>
          <w:rFonts w:eastAsia="Calibri" w:cs="Times New Roman"/>
          <w:szCs w:val="26"/>
        </w:rPr>
        <w:t xml:space="preserve">granted to Verizon in the </w:t>
      </w:r>
      <w:r w:rsidRPr="00F1714B">
        <w:rPr>
          <w:rFonts w:eastAsia="Calibri" w:cs="Times New Roman"/>
          <w:i/>
          <w:iCs/>
          <w:szCs w:val="26"/>
        </w:rPr>
        <w:t>Reclassification Order.</w:t>
      </w:r>
      <w:r w:rsidR="00D7422C" w:rsidRPr="00F1714B">
        <w:rPr>
          <w:rStyle w:val="FootnoteReference"/>
          <w:rFonts w:eastAsia="Calibri" w:cs="Times New Roman"/>
          <w:szCs w:val="26"/>
        </w:rPr>
        <w:footnoteReference w:id="21"/>
      </w:r>
      <w:r w:rsidRPr="00F1714B">
        <w:rPr>
          <w:rFonts w:eastAsia="Calibri" w:cs="Times New Roman"/>
          <w:szCs w:val="26"/>
        </w:rPr>
        <w:t xml:space="preserve">  </w:t>
      </w:r>
    </w:p>
    <w:p w14:paraId="771EA986" w14:textId="77777777" w:rsidR="00F07C89" w:rsidRPr="00F1714B" w:rsidRDefault="00F07C89" w:rsidP="0074577C">
      <w:pPr>
        <w:ind w:firstLine="720"/>
        <w:rPr>
          <w:rFonts w:cs="Times New Roman"/>
          <w:szCs w:val="26"/>
        </w:rPr>
      </w:pPr>
    </w:p>
    <w:p w14:paraId="028FB6B1" w14:textId="524224A6" w:rsidR="00A27B63" w:rsidRPr="00F1714B" w:rsidRDefault="000B234A" w:rsidP="002A5F6D">
      <w:pPr>
        <w:ind w:firstLine="720"/>
        <w:rPr>
          <w:rFonts w:eastAsia="Times New Roman" w:cs="Times New Roman"/>
          <w:bCs/>
          <w:szCs w:val="26"/>
        </w:rPr>
      </w:pPr>
      <w:r w:rsidRPr="00F1714B">
        <w:rPr>
          <w:rFonts w:cs="Times New Roman"/>
          <w:szCs w:val="26"/>
        </w:rPr>
        <w:lastRenderedPageBreak/>
        <w:t>Additionally, t</w:t>
      </w:r>
      <w:r w:rsidR="00F07C89" w:rsidRPr="00F1714B">
        <w:rPr>
          <w:rFonts w:cs="Times New Roman"/>
          <w:szCs w:val="26"/>
        </w:rPr>
        <w:t>he Commission addressed the availability of Verizon</w:t>
      </w:r>
      <w:r w:rsidRPr="00F1714B">
        <w:rPr>
          <w:rFonts w:cs="Times New Roman"/>
          <w:szCs w:val="26"/>
        </w:rPr>
        <w:t>’s</w:t>
      </w:r>
      <w:r w:rsidR="00F07C89" w:rsidRPr="00F1714B">
        <w:rPr>
          <w:rFonts w:cs="Times New Roman"/>
          <w:szCs w:val="26"/>
        </w:rPr>
        <w:t xml:space="preserve"> 2015-2016 proprietary </w:t>
      </w:r>
      <w:r w:rsidR="00C04B0E" w:rsidRPr="00F1714B">
        <w:rPr>
          <w:rFonts w:cs="Times New Roman"/>
          <w:szCs w:val="26"/>
        </w:rPr>
        <w:t xml:space="preserve">market </w:t>
      </w:r>
      <w:r w:rsidR="00F07C89" w:rsidRPr="00F1714B">
        <w:rPr>
          <w:rFonts w:cs="Times New Roman"/>
          <w:szCs w:val="26"/>
        </w:rPr>
        <w:t>data that had been submitted to the Commission</w:t>
      </w:r>
      <w:r w:rsidR="00D7422C" w:rsidRPr="00F1714B">
        <w:rPr>
          <w:rFonts w:cs="Times New Roman"/>
          <w:szCs w:val="26"/>
        </w:rPr>
        <w:t xml:space="preserve">.  The Commission determined that it would </w:t>
      </w:r>
      <w:r w:rsidR="00F07C89" w:rsidRPr="00F1714B">
        <w:rPr>
          <w:rFonts w:eastAsia="Times New Roman" w:cs="Times New Roman"/>
          <w:bCs/>
          <w:szCs w:val="26"/>
        </w:rPr>
        <w:t>make this data available to the participating parties in the ANPR</w:t>
      </w:r>
      <w:r w:rsidR="00080C2A" w:rsidRPr="00F1714B">
        <w:rPr>
          <w:rFonts w:eastAsia="Times New Roman" w:cs="Times New Roman"/>
          <w:bCs/>
          <w:szCs w:val="26"/>
        </w:rPr>
        <w:t>M</w:t>
      </w:r>
      <w:r w:rsidR="00F07C89" w:rsidRPr="00F1714B">
        <w:rPr>
          <w:rFonts w:eastAsia="Times New Roman" w:cs="Times New Roman"/>
          <w:bCs/>
          <w:szCs w:val="26"/>
        </w:rPr>
        <w:t xml:space="preserve"> </w:t>
      </w:r>
      <w:r w:rsidR="00D7422C" w:rsidRPr="00F1714B">
        <w:rPr>
          <w:rFonts w:eastAsia="Times New Roman" w:cs="Times New Roman"/>
          <w:bCs/>
          <w:szCs w:val="26"/>
        </w:rPr>
        <w:t xml:space="preserve">proceeding </w:t>
      </w:r>
      <w:r w:rsidR="00F07C89" w:rsidRPr="00F1714B">
        <w:rPr>
          <w:rFonts w:eastAsia="Times New Roman" w:cs="Times New Roman"/>
          <w:bCs/>
          <w:szCs w:val="26"/>
        </w:rPr>
        <w:t>in order to provide them with an opportunity to review the data, perform an independent analysis of the data and assist the Commission in assessing the market conditions of these 153 competitive wire centers and to help address the regulatory impact of continuing the regulatory waivers on a permanent and industry-wide basis for any additional areas determined to be competitive</w:t>
      </w:r>
      <w:r w:rsidR="00155319" w:rsidRPr="00F1714B">
        <w:rPr>
          <w:rFonts w:eastAsia="Times New Roman" w:cs="Times New Roman"/>
          <w:bCs/>
          <w:szCs w:val="26"/>
        </w:rPr>
        <w:t>,</w:t>
      </w:r>
      <w:r w:rsidR="00D7422C" w:rsidRPr="00F1714B">
        <w:rPr>
          <w:rFonts w:eastAsia="Times New Roman" w:cs="Times New Roman"/>
          <w:bCs/>
          <w:szCs w:val="26"/>
        </w:rPr>
        <w:t xml:space="preserve"> subject to </w:t>
      </w:r>
      <w:r w:rsidR="007B45BE" w:rsidRPr="00F1714B">
        <w:rPr>
          <w:rFonts w:eastAsia="Times New Roman" w:cs="Times New Roman"/>
          <w:bCs/>
          <w:szCs w:val="26"/>
        </w:rPr>
        <w:t>parties</w:t>
      </w:r>
      <w:r w:rsidR="00215B65" w:rsidRPr="00F1714B">
        <w:rPr>
          <w:rFonts w:eastAsia="Times New Roman" w:cs="Times New Roman"/>
          <w:bCs/>
          <w:szCs w:val="26"/>
        </w:rPr>
        <w:t>’</w:t>
      </w:r>
      <w:r w:rsidR="00D7422C" w:rsidRPr="00F1714B">
        <w:rPr>
          <w:rFonts w:eastAsia="Times New Roman" w:cs="Times New Roman"/>
          <w:bCs/>
          <w:szCs w:val="26"/>
        </w:rPr>
        <w:t xml:space="preserve"> </w:t>
      </w:r>
      <w:r w:rsidR="00F07C89" w:rsidRPr="00F1714B">
        <w:rPr>
          <w:rFonts w:eastAsia="Times New Roman" w:cs="Times New Roman"/>
          <w:bCs/>
          <w:szCs w:val="26"/>
        </w:rPr>
        <w:t>executing</w:t>
      </w:r>
      <w:r w:rsidR="00D7422C" w:rsidRPr="00F1714B">
        <w:rPr>
          <w:rFonts w:eastAsia="Times New Roman" w:cs="Times New Roman"/>
          <w:bCs/>
          <w:szCs w:val="26"/>
        </w:rPr>
        <w:t xml:space="preserve"> a</w:t>
      </w:r>
      <w:r w:rsidR="00F07C89" w:rsidRPr="00F1714B">
        <w:rPr>
          <w:rFonts w:eastAsia="Times New Roman" w:cs="Times New Roman"/>
          <w:bCs/>
          <w:szCs w:val="26"/>
        </w:rPr>
        <w:t xml:space="preserve"> Non-Disclosure Agreement.</w:t>
      </w:r>
      <w:r w:rsidR="000C3E97" w:rsidRPr="00F1714B">
        <w:rPr>
          <w:rStyle w:val="FootnoteReference"/>
          <w:rFonts w:eastAsia="Times New Roman" w:cs="Times New Roman"/>
          <w:bCs/>
          <w:szCs w:val="26"/>
        </w:rPr>
        <w:footnoteReference w:id="22"/>
      </w:r>
      <w:r w:rsidR="00F07C89" w:rsidRPr="00F1714B">
        <w:rPr>
          <w:rFonts w:eastAsia="Times New Roman" w:cs="Times New Roman"/>
          <w:bCs/>
          <w:szCs w:val="26"/>
        </w:rPr>
        <w:t xml:space="preserve">  </w:t>
      </w:r>
    </w:p>
    <w:p w14:paraId="2F0356C4" w14:textId="77777777" w:rsidR="00A27B63" w:rsidRPr="00F1714B" w:rsidRDefault="00A27B63" w:rsidP="002A5F6D">
      <w:pPr>
        <w:ind w:firstLine="720"/>
        <w:rPr>
          <w:rFonts w:eastAsia="Times New Roman" w:cs="Times New Roman"/>
          <w:bCs/>
          <w:szCs w:val="26"/>
        </w:rPr>
      </w:pPr>
    </w:p>
    <w:p w14:paraId="30C7847E" w14:textId="2D1A9713" w:rsidR="00F07C89" w:rsidRPr="00F1714B" w:rsidRDefault="00D7422C" w:rsidP="002A5F6D">
      <w:pPr>
        <w:ind w:firstLine="720"/>
        <w:rPr>
          <w:rFonts w:cs="Times New Roman"/>
          <w:szCs w:val="26"/>
        </w:rPr>
      </w:pPr>
      <w:r w:rsidRPr="00F1714B">
        <w:rPr>
          <w:rFonts w:eastAsia="Times New Roman" w:cs="Times New Roman"/>
          <w:bCs/>
          <w:szCs w:val="26"/>
        </w:rPr>
        <w:t xml:space="preserve">The Commission </w:t>
      </w:r>
      <w:r w:rsidR="000B234A" w:rsidRPr="00F1714B">
        <w:rPr>
          <w:rFonts w:eastAsia="Times New Roman" w:cs="Times New Roman"/>
          <w:bCs/>
          <w:szCs w:val="26"/>
        </w:rPr>
        <w:t xml:space="preserve">also </w:t>
      </w:r>
      <w:r w:rsidRPr="00F1714B">
        <w:rPr>
          <w:rFonts w:eastAsia="Times New Roman" w:cs="Times New Roman"/>
          <w:bCs/>
          <w:szCs w:val="26"/>
        </w:rPr>
        <w:t>determined that o</w:t>
      </w:r>
      <w:r w:rsidR="00F07C89" w:rsidRPr="00F1714B">
        <w:rPr>
          <w:rFonts w:eastAsia="Times New Roman" w:cs="Times New Roman"/>
          <w:bCs/>
          <w:szCs w:val="26"/>
        </w:rPr>
        <w:t xml:space="preserve">nce </w:t>
      </w:r>
      <w:r w:rsidR="00C04B0E" w:rsidRPr="00F1714B">
        <w:rPr>
          <w:rFonts w:eastAsia="Times New Roman" w:cs="Times New Roman"/>
          <w:bCs/>
          <w:szCs w:val="26"/>
        </w:rPr>
        <w:t>its</w:t>
      </w:r>
      <w:r w:rsidR="00F07C89" w:rsidRPr="00F1714B">
        <w:rPr>
          <w:rFonts w:eastAsia="Times New Roman" w:cs="Times New Roman"/>
          <w:bCs/>
          <w:szCs w:val="26"/>
        </w:rPr>
        <w:t xml:space="preserve"> review of Verizon</w:t>
      </w:r>
      <w:r w:rsidR="00084F6C" w:rsidRPr="00F1714B">
        <w:rPr>
          <w:rFonts w:eastAsia="Times New Roman" w:cs="Times New Roman"/>
          <w:bCs/>
          <w:szCs w:val="26"/>
        </w:rPr>
        <w:t>’s</w:t>
      </w:r>
      <w:r w:rsidR="00F07C89" w:rsidRPr="00F1714B">
        <w:rPr>
          <w:rFonts w:eastAsia="Times New Roman" w:cs="Times New Roman"/>
          <w:bCs/>
          <w:szCs w:val="26"/>
        </w:rPr>
        <w:t xml:space="preserve"> historic proprietary data </w:t>
      </w:r>
      <w:r w:rsidRPr="00F1714B">
        <w:rPr>
          <w:rFonts w:eastAsia="Times New Roman" w:cs="Times New Roman"/>
          <w:bCs/>
          <w:szCs w:val="26"/>
        </w:rPr>
        <w:t xml:space="preserve">was </w:t>
      </w:r>
      <w:r w:rsidR="00F07C89" w:rsidRPr="00F1714B">
        <w:rPr>
          <w:rFonts w:eastAsia="Times New Roman" w:cs="Times New Roman"/>
          <w:bCs/>
          <w:szCs w:val="26"/>
        </w:rPr>
        <w:t xml:space="preserve">completed, the parties </w:t>
      </w:r>
      <w:r w:rsidR="00BD7278" w:rsidRPr="00F1714B">
        <w:rPr>
          <w:rFonts w:eastAsia="Times New Roman" w:cs="Times New Roman"/>
          <w:bCs/>
          <w:szCs w:val="26"/>
        </w:rPr>
        <w:t xml:space="preserve">would </w:t>
      </w:r>
      <w:r w:rsidR="00F07C89" w:rsidRPr="00F1714B">
        <w:rPr>
          <w:rFonts w:eastAsia="Times New Roman" w:cs="Times New Roman"/>
          <w:bCs/>
          <w:szCs w:val="26"/>
        </w:rPr>
        <w:t>have the opportunity to file supplemental comments and replies in the pending ANPR</w:t>
      </w:r>
      <w:r w:rsidR="00011950" w:rsidRPr="00F1714B">
        <w:rPr>
          <w:rFonts w:eastAsia="Times New Roman" w:cs="Times New Roman"/>
          <w:bCs/>
          <w:szCs w:val="26"/>
        </w:rPr>
        <w:t>M</w:t>
      </w:r>
      <w:r w:rsidR="00F07C89" w:rsidRPr="00F1714B">
        <w:rPr>
          <w:rFonts w:eastAsia="Times New Roman" w:cs="Times New Roman"/>
          <w:bCs/>
          <w:szCs w:val="26"/>
        </w:rPr>
        <w:t xml:space="preserve"> proceeding.</w:t>
      </w:r>
      <w:r w:rsidRPr="00F1714B">
        <w:rPr>
          <w:rStyle w:val="FootnoteReference"/>
          <w:rFonts w:eastAsia="Times New Roman" w:cs="Times New Roman"/>
          <w:bCs/>
          <w:szCs w:val="26"/>
        </w:rPr>
        <w:footnoteReference w:id="23"/>
      </w:r>
      <w:r w:rsidR="00F07C89" w:rsidRPr="00F1714B">
        <w:rPr>
          <w:rFonts w:eastAsia="Times New Roman" w:cs="Times New Roman"/>
          <w:bCs/>
          <w:szCs w:val="26"/>
        </w:rPr>
        <w:t xml:space="preserve"> </w:t>
      </w:r>
      <w:r w:rsidR="000B234A" w:rsidRPr="00F1714B">
        <w:rPr>
          <w:rFonts w:eastAsia="Times New Roman" w:cs="Times New Roman"/>
          <w:bCs/>
          <w:szCs w:val="26"/>
        </w:rPr>
        <w:t xml:space="preserve">Lastly, </w:t>
      </w:r>
      <w:r w:rsidR="00921E46" w:rsidRPr="00F1714B">
        <w:rPr>
          <w:rFonts w:eastAsia="Times New Roman" w:cs="Times New Roman"/>
          <w:bCs/>
          <w:szCs w:val="26"/>
        </w:rPr>
        <w:t>t</w:t>
      </w:r>
      <w:r w:rsidR="00073D49" w:rsidRPr="00F1714B">
        <w:rPr>
          <w:rFonts w:eastAsia="Times New Roman" w:cs="Times New Roman"/>
          <w:bCs/>
          <w:szCs w:val="26"/>
        </w:rPr>
        <w:t xml:space="preserve">he Commission </w:t>
      </w:r>
      <w:r w:rsidR="00921E46" w:rsidRPr="00F1714B">
        <w:rPr>
          <w:rFonts w:eastAsia="Times New Roman" w:cs="Times New Roman"/>
          <w:bCs/>
          <w:szCs w:val="26"/>
        </w:rPr>
        <w:t xml:space="preserve">directed </w:t>
      </w:r>
      <w:r w:rsidR="000B234A" w:rsidRPr="00F1714B">
        <w:rPr>
          <w:rFonts w:eastAsia="Times New Roman" w:cs="Times New Roman"/>
          <w:bCs/>
          <w:szCs w:val="26"/>
        </w:rPr>
        <w:t xml:space="preserve">the </w:t>
      </w:r>
      <w:r w:rsidR="00F07C89" w:rsidRPr="00F1714B">
        <w:rPr>
          <w:rFonts w:eastAsia="Times New Roman" w:cs="Times New Roman"/>
          <w:szCs w:val="26"/>
        </w:rPr>
        <w:t>Bureau of Consumer Services</w:t>
      </w:r>
      <w:r w:rsidR="008B7FF7" w:rsidRPr="00F1714B">
        <w:rPr>
          <w:rFonts w:eastAsia="Times New Roman" w:cs="Times New Roman"/>
          <w:szCs w:val="26"/>
        </w:rPr>
        <w:t xml:space="preserve"> (BCS)</w:t>
      </w:r>
      <w:r w:rsidR="00F07C89" w:rsidRPr="00F1714B">
        <w:rPr>
          <w:rFonts w:eastAsia="Times New Roman" w:cs="Times New Roman"/>
          <w:szCs w:val="26"/>
        </w:rPr>
        <w:t>, with the assistance of the Law Bureau</w:t>
      </w:r>
      <w:r w:rsidR="007E1D39" w:rsidRPr="00F1714B">
        <w:rPr>
          <w:rFonts w:eastAsia="Times New Roman" w:cs="Times New Roman"/>
          <w:szCs w:val="26"/>
        </w:rPr>
        <w:t>,</w:t>
      </w:r>
      <w:r w:rsidR="00F07C89" w:rsidRPr="00F1714B">
        <w:rPr>
          <w:rFonts w:eastAsia="Times New Roman" w:cs="Times New Roman"/>
          <w:szCs w:val="26"/>
        </w:rPr>
        <w:t xml:space="preserve"> </w:t>
      </w:r>
      <w:r w:rsidR="00215B65" w:rsidRPr="00F1714B">
        <w:rPr>
          <w:rFonts w:eastAsia="Times New Roman" w:cs="Times New Roman"/>
          <w:szCs w:val="26"/>
        </w:rPr>
        <w:t>TUS</w:t>
      </w:r>
      <w:r w:rsidR="00F07C89" w:rsidRPr="00F1714B">
        <w:rPr>
          <w:rFonts w:eastAsia="Times New Roman" w:cs="Times New Roman"/>
          <w:szCs w:val="26"/>
        </w:rPr>
        <w:t xml:space="preserve"> and other bureaus</w:t>
      </w:r>
      <w:r w:rsidR="00215B65" w:rsidRPr="00F1714B">
        <w:rPr>
          <w:rFonts w:eastAsia="Times New Roman" w:cs="Times New Roman"/>
          <w:szCs w:val="26"/>
        </w:rPr>
        <w:t>,</w:t>
      </w:r>
      <w:r w:rsidR="00073D49" w:rsidRPr="00F1714B">
        <w:rPr>
          <w:rFonts w:eastAsia="Times New Roman" w:cs="Times New Roman"/>
          <w:szCs w:val="26"/>
        </w:rPr>
        <w:t xml:space="preserve"> </w:t>
      </w:r>
      <w:r w:rsidR="00921E46" w:rsidRPr="00F1714B">
        <w:rPr>
          <w:rFonts w:eastAsia="Times New Roman" w:cs="Times New Roman"/>
          <w:szCs w:val="26"/>
        </w:rPr>
        <w:t xml:space="preserve">to </w:t>
      </w:r>
      <w:r w:rsidR="00F07C89" w:rsidRPr="00F1714B">
        <w:rPr>
          <w:rFonts w:eastAsia="Times New Roman" w:cs="Times New Roman"/>
          <w:szCs w:val="26"/>
        </w:rPr>
        <w:t xml:space="preserve">complete an </w:t>
      </w:r>
      <w:r w:rsidR="00F07C89" w:rsidRPr="00F1714B">
        <w:rPr>
          <w:rFonts w:eastAsia="Calibri" w:cs="Times New Roman"/>
          <w:szCs w:val="26"/>
        </w:rPr>
        <w:t xml:space="preserve">analysis of </w:t>
      </w:r>
      <w:r w:rsidR="00073D49" w:rsidRPr="00F1714B">
        <w:rPr>
          <w:rFonts w:eastAsia="Calibri" w:cs="Times New Roman"/>
          <w:szCs w:val="26"/>
        </w:rPr>
        <w:t xml:space="preserve">Verizon’s data and prepare </w:t>
      </w:r>
      <w:r w:rsidR="00F07C89" w:rsidRPr="00F1714B">
        <w:rPr>
          <w:rFonts w:eastAsia="Calibri" w:cs="Times New Roman"/>
          <w:szCs w:val="26"/>
        </w:rPr>
        <w:t>conclusions regarding the data and recommendations on moving forward with a Notice of Proposed Rulemaking no later than June 30, 2020.</w:t>
      </w:r>
      <w:r w:rsidR="00073D49" w:rsidRPr="00F1714B">
        <w:rPr>
          <w:rStyle w:val="FootnoteReference"/>
          <w:rFonts w:eastAsia="Calibri" w:cs="Times New Roman"/>
          <w:szCs w:val="26"/>
        </w:rPr>
        <w:footnoteReference w:id="24"/>
      </w:r>
    </w:p>
    <w:p w14:paraId="71329D41" w14:textId="77777777" w:rsidR="00F07C89" w:rsidRPr="00F1714B" w:rsidRDefault="00F07C89" w:rsidP="002A5F6D">
      <w:pPr>
        <w:rPr>
          <w:rFonts w:cs="Times New Roman"/>
          <w:szCs w:val="26"/>
        </w:rPr>
      </w:pPr>
    </w:p>
    <w:p w14:paraId="01D09F8B" w14:textId="68C852BE" w:rsidR="000B234A" w:rsidRPr="00F1714B" w:rsidRDefault="000B234A" w:rsidP="00E55426">
      <w:pPr>
        <w:keepNext/>
        <w:keepLines/>
        <w:ind w:firstLine="547"/>
        <w:rPr>
          <w:rFonts w:cs="Times New Roman"/>
          <w:b/>
          <w:bCs/>
          <w:szCs w:val="26"/>
        </w:rPr>
      </w:pPr>
      <w:r w:rsidRPr="00F1714B">
        <w:rPr>
          <w:rFonts w:cs="Times New Roman"/>
          <w:szCs w:val="26"/>
        </w:rPr>
        <w:t xml:space="preserve">Following the issuance of the </w:t>
      </w:r>
      <w:r w:rsidRPr="00F1714B">
        <w:rPr>
          <w:rFonts w:cs="Times New Roman"/>
          <w:i/>
          <w:iCs/>
          <w:szCs w:val="26"/>
        </w:rPr>
        <w:t xml:space="preserve">February 2020 </w:t>
      </w:r>
      <w:r w:rsidR="00B52664" w:rsidRPr="00F1714B">
        <w:rPr>
          <w:rFonts w:cs="Times New Roman"/>
          <w:i/>
          <w:iCs/>
          <w:szCs w:val="26"/>
        </w:rPr>
        <w:t xml:space="preserve">Final </w:t>
      </w:r>
      <w:r w:rsidRPr="00F1714B">
        <w:rPr>
          <w:rFonts w:cs="Times New Roman"/>
          <w:i/>
          <w:iCs/>
          <w:szCs w:val="26"/>
        </w:rPr>
        <w:t>Order</w:t>
      </w:r>
      <w:r w:rsidRPr="00F1714B">
        <w:rPr>
          <w:rFonts w:cs="Times New Roman"/>
          <w:szCs w:val="26"/>
        </w:rPr>
        <w:t xml:space="preserve">, </w:t>
      </w:r>
      <w:r w:rsidR="00B52664" w:rsidRPr="00F1714B">
        <w:rPr>
          <w:rFonts w:cs="Times New Roman"/>
          <w:szCs w:val="26"/>
        </w:rPr>
        <w:t xml:space="preserve">the Commission received </w:t>
      </w:r>
      <w:r w:rsidRPr="00F1714B">
        <w:rPr>
          <w:rFonts w:cs="Times New Roman"/>
          <w:szCs w:val="26"/>
        </w:rPr>
        <w:t>supplemental comments and replies from the Pennsylvania Office of Consumer Advocate</w:t>
      </w:r>
      <w:r w:rsidR="001C66B3" w:rsidRPr="00F1714B">
        <w:rPr>
          <w:rFonts w:cs="Times New Roman"/>
          <w:szCs w:val="26"/>
        </w:rPr>
        <w:t xml:space="preserve"> (OCA)</w:t>
      </w:r>
      <w:r w:rsidRPr="00F1714B">
        <w:rPr>
          <w:rFonts w:cs="Times New Roman"/>
          <w:szCs w:val="26"/>
        </w:rPr>
        <w:t>, the Pennsylvania Telephone Association (PTA) on behalf of the Rural ILECs,</w:t>
      </w:r>
      <w:r w:rsidRPr="00F1714B">
        <w:rPr>
          <w:rStyle w:val="FootnoteReference"/>
          <w:rFonts w:cs="Times New Roman"/>
          <w:szCs w:val="26"/>
        </w:rPr>
        <w:footnoteReference w:id="25"/>
      </w:r>
      <w:r w:rsidRPr="00F1714B">
        <w:rPr>
          <w:rFonts w:cs="Times New Roman"/>
          <w:szCs w:val="26"/>
        </w:rPr>
        <w:t xml:space="preserve"> Thryv, Inc. (f/k/a Dex Media) and Verizon.  </w:t>
      </w:r>
      <w:r w:rsidR="0025172E" w:rsidRPr="00F1714B">
        <w:rPr>
          <w:rFonts w:cs="Times New Roman"/>
          <w:szCs w:val="26"/>
        </w:rPr>
        <w:t>However</w:t>
      </w:r>
      <w:r w:rsidR="00E774CD" w:rsidRPr="00F1714B">
        <w:rPr>
          <w:rFonts w:cs="Times New Roman"/>
          <w:szCs w:val="26"/>
        </w:rPr>
        <w:t xml:space="preserve">, none of these parties presented substantive analysis of the 2015-2016 Verizon proprietary data submissions in their respective comments. </w:t>
      </w:r>
    </w:p>
    <w:p w14:paraId="0EF42BE0" w14:textId="4D76C7AC" w:rsidR="00F07C89" w:rsidRPr="00F1714B" w:rsidRDefault="00F07C89" w:rsidP="00E55426">
      <w:pPr>
        <w:ind w:firstLine="547"/>
        <w:rPr>
          <w:rFonts w:cs="Times New Roman"/>
          <w:szCs w:val="26"/>
        </w:rPr>
      </w:pPr>
    </w:p>
    <w:p w14:paraId="7EDE4166" w14:textId="7315DC90" w:rsidR="00F07C89" w:rsidRPr="00F1714B" w:rsidRDefault="003E3752" w:rsidP="00705587">
      <w:pPr>
        <w:rPr>
          <w:rFonts w:cs="Times New Roman"/>
          <w:b/>
          <w:bCs/>
          <w:szCs w:val="26"/>
        </w:rPr>
      </w:pPr>
      <w:r w:rsidRPr="00F1714B">
        <w:rPr>
          <w:rFonts w:cs="Times New Roman"/>
          <w:b/>
          <w:bCs/>
          <w:szCs w:val="26"/>
        </w:rPr>
        <w:lastRenderedPageBreak/>
        <w:t>V</w:t>
      </w:r>
      <w:r w:rsidR="00F07C89" w:rsidRPr="00F1714B">
        <w:rPr>
          <w:rFonts w:cs="Times New Roman"/>
          <w:b/>
          <w:bCs/>
          <w:szCs w:val="26"/>
        </w:rPr>
        <w:t>.</w:t>
      </w:r>
      <w:r w:rsidR="00F07C89" w:rsidRPr="00F1714B">
        <w:rPr>
          <w:rFonts w:cs="Times New Roman"/>
          <w:b/>
          <w:bCs/>
          <w:szCs w:val="26"/>
        </w:rPr>
        <w:tab/>
        <w:t>Evaluation</w:t>
      </w:r>
      <w:r w:rsidRPr="00F1714B">
        <w:rPr>
          <w:rFonts w:cs="Times New Roman"/>
          <w:b/>
          <w:bCs/>
          <w:szCs w:val="26"/>
        </w:rPr>
        <w:t xml:space="preserve"> of Veri</w:t>
      </w:r>
      <w:r w:rsidR="00966542" w:rsidRPr="00F1714B">
        <w:rPr>
          <w:rFonts w:cs="Times New Roman"/>
          <w:b/>
          <w:bCs/>
          <w:szCs w:val="26"/>
        </w:rPr>
        <w:t>zon’s Proprietary Data</w:t>
      </w:r>
    </w:p>
    <w:p w14:paraId="59E4D5F6" w14:textId="3CCC57DF" w:rsidR="00F07C89" w:rsidRPr="00F1714B" w:rsidRDefault="00F07C89" w:rsidP="00E55426">
      <w:pPr>
        <w:ind w:firstLine="720"/>
        <w:rPr>
          <w:rFonts w:cs="Times New Roman"/>
          <w:szCs w:val="26"/>
        </w:rPr>
      </w:pPr>
      <w:r w:rsidRPr="00F1714B">
        <w:rPr>
          <w:rFonts w:cs="Times New Roman"/>
          <w:szCs w:val="26"/>
        </w:rPr>
        <w:t xml:space="preserve">Although the Commission did not receive any substantive analysis of the </w:t>
      </w:r>
      <w:r w:rsidR="006C3330" w:rsidRPr="00F1714B">
        <w:rPr>
          <w:rFonts w:cs="Times New Roman"/>
          <w:szCs w:val="26"/>
        </w:rPr>
        <w:t xml:space="preserve">proprietary </w:t>
      </w:r>
      <w:r w:rsidRPr="00F1714B">
        <w:rPr>
          <w:rFonts w:cs="Times New Roman"/>
          <w:szCs w:val="26"/>
        </w:rPr>
        <w:t xml:space="preserve">2015-2016 Verizon </w:t>
      </w:r>
      <w:r w:rsidR="006C3330" w:rsidRPr="00F1714B">
        <w:rPr>
          <w:rFonts w:cs="Times New Roman"/>
          <w:szCs w:val="26"/>
        </w:rPr>
        <w:t xml:space="preserve">market </w:t>
      </w:r>
      <w:r w:rsidRPr="00F1714B">
        <w:rPr>
          <w:rFonts w:cs="Times New Roman"/>
          <w:szCs w:val="26"/>
        </w:rPr>
        <w:t xml:space="preserve">data from </w:t>
      </w:r>
      <w:r w:rsidR="000C3E97" w:rsidRPr="00F1714B">
        <w:rPr>
          <w:rFonts w:cs="Times New Roman"/>
          <w:szCs w:val="26"/>
        </w:rPr>
        <w:t xml:space="preserve">any of the </w:t>
      </w:r>
      <w:r w:rsidRPr="00F1714B">
        <w:rPr>
          <w:rFonts w:cs="Times New Roman"/>
          <w:szCs w:val="26"/>
        </w:rPr>
        <w:t>interested stakeholders</w:t>
      </w:r>
      <w:r w:rsidR="000C3E97" w:rsidRPr="00F1714B">
        <w:rPr>
          <w:rFonts w:cs="Times New Roman"/>
          <w:szCs w:val="26"/>
        </w:rPr>
        <w:t xml:space="preserve"> in the ANPOR proceeding</w:t>
      </w:r>
      <w:r w:rsidRPr="00F1714B">
        <w:rPr>
          <w:rFonts w:cs="Times New Roman"/>
          <w:szCs w:val="26"/>
        </w:rPr>
        <w:t>, it performed its own analysis of the data.  The Commission acknowledge</w:t>
      </w:r>
      <w:r w:rsidR="00583A77" w:rsidRPr="00F1714B">
        <w:rPr>
          <w:rFonts w:cs="Times New Roman"/>
          <w:szCs w:val="26"/>
        </w:rPr>
        <w:t>d</w:t>
      </w:r>
      <w:r w:rsidRPr="00F1714B">
        <w:rPr>
          <w:rFonts w:cs="Times New Roman"/>
          <w:szCs w:val="26"/>
        </w:rPr>
        <w:t xml:space="preserve"> that the requested 2015-2016 Verizon</w:t>
      </w:r>
      <w:r w:rsidR="0080527F" w:rsidRPr="00F1714B">
        <w:rPr>
          <w:rFonts w:cs="Times New Roman"/>
          <w:szCs w:val="26"/>
        </w:rPr>
        <w:t xml:space="preserve"> market</w:t>
      </w:r>
      <w:r w:rsidRPr="00F1714B">
        <w:rPr>
          <w:rFonts w:cs="Times New Roman"/>
          <w:szCs w:val="26"/>
        </w:rPr>
        <w:t xml:space="preserve"> data was limited in scope, granularity and timeframe.  Because the data was submitted on a proprietary basis, the Commission </w:t>
      </w:r>
      <w:r w:rsidR="000C3E97" w:rsidRPr="00F1714B">
        <w:rPr>
          <w:rFonts w:cs="Times New Roman"/>
          <w:szCs w:val="26"/>
        </w:rPr>
        <w:t xml:space="preserve">provided </w:t>
      </w:r>
      <w:r w:rsidRPr="00F1714B">
        <w:rPr>
          <w:rFonts w:cs="Times New Roman"/>
          <w:szCs w:val="26"/>
        </w:rPr>
        <w:t>general observations on an aggregate basis regarding some trends that both the raw numerical data and certain ratios indicate</w:t>
      </w:r>
      <w:r w:rsidR="009E3AA6" w:rsidRPr="00F1714B">
        <w:rPr>
          <w:rFonts w:cs="Times New Roman"/>
          <w:szCs w:val="26"/>
        </w:rPr>
        <w:t>d</w:t>
      </w:r>
      <w:r w:rsidRPr="00F1714B">
        <w:rPr>
          <w:rFonts w:cs="Times New Roman"/>
          <w:szCs w:val="26"/>
        </w:rPr>
        <w:t xml:space="preserve">.  </w:t>
      </w:r>
      <w:r w:rsidR="000C3E97" w:rsidRPr="00F1714B">
        <w:rPr>
          <w:rFonts w:cs="Times New Roman"/>
          <w:szCs w:val="26"/>
        </w:rPr>
        <w:t>The Commission</w:t>
      </w:r>
      <w:r w:rsidR="009E3AA6" w:rsidRPr="00F1714B">
        <w:rPr>
          <w:rFonts w:cs="Times New Roman"/>
          <w:szCs w:val="26"/>
        </w:rPr>
        <w:t>’s</w:t>
      </w:r>
      <w:r w:rsidR="000C3E97" w:rsidRPr="00F1714B">
        <w:rPr>
          <w:rFonts w:cs="Times New Roman"/>
          <w:szCs w:val="26"/>
        </w:rPr>
        <w:t xml:space="preserve"> primary focus was </w:t>
      </w:r>
      <w:r w:rsidRPr="00F1714B">
        <w:rPr>
          <w:rFonts w:cs="Times New Roman"/>
          <w:szCs w:val="26"/>
        </w:rPr>
        <w:t xml:space="preserve">on </w:t>
      </w:r>
      <w:r w:rsidR="009E3AA6" w:rsidRPr="00F1714B">
        <w:rPr>
          <w:rFonts w:cs="Times New Roman"/>
          <w:szCs w:val="26"/>
        </w:rPr>
        <w:t xml:space="preserve">the </w:t>
      </w:r>
      <w:r w:rsidRPr="00F1714B">
        <w:rPr>
          <w:rFonts w:cs="Times New Roman"/>
          <w:szCs w:val="26"/>
        </w:rPr>
        <w:t>specific quality of service metrics</w:t>
      </w:r>
      <w:r w:rsidR="00134E47" w:rsidRPr="00F1714B">
        <w:rPr>
          <w:rFonts w:cs="Times New Roman"/>
          <w:szCs w:val="26"/>
        </w:rPr>
        <w:t>,</w:t>
      </w:r>
      <w:r w:rsidR="000C3E97" w:rsidRPr="00F1714B">
        <w:rPr>
          <w:rFonts w:cs="Times New Roman"/>
          <w:szCs w:val="26"/>
        </w:rPr>
        <w:t xml:space="preserve"> based on its belief that </w:t>
      </w:r>
      <w:r w:rsidRPr="00F1714B">
        <w:rPr>
          <w:rFonts w:cs="Times New Roman"/>
          <w:szCs w:val="26"/>
        </w:rPr>
        <w:t>the pricing of individual rate elements for basic local exchange services in Verizon’</w:t>
      </w:r>
      <w:r w:rsidR="000C3E97" w:rsidRPr="00F1714B">
        <w:rPr>
          <w:rFonts w:cs="Times New Roman"/>
          <w:szCs w:val="26"/>
        </w:rPr>
        <w:t>s</w:t>
      </w:r>
      <w:r w:rsidRPr="00F1714B">
        <w:rPr>
          <w:rFonts w:cs="Times New Roman"/>
          <w:szCs w:val="26"/>
        </w:rPr>
        <w:t xml:space="preserve"> competitive wire centers (i.e., dial tone</w:t>
      </w:r>
      <w:r w:rsidR="009B4999" w:rsidRPr="00F1714B">
        <w:rPr>
          <w:rFonts w:cs="Times New Roman"/>
          <w:szCs w:val="26"/>
        </w:rPr>
        <w:t xml:space="preserve"> line </w:t>
      </w:r>
      <w:r w:rsidR="00F23DDE" w:rsidRPr="00F1714B">
        <w:rPr>
          <w:rFonts w:cs="Times New Roman"/>
          <w:szCs w:val="26"/>
        </w:rPr>
        <w:t>and local usage options</w:t>
      </w:r>
      <w:r w:rsidRPr="00F1714B">
        <w:rPr>
          <w:rFonts w:cs="Times New Roman"/>
          <w:szCs w:val="26"/>
        </w:rPr>
        <w:t>) ha</w:t>
      </w:r>
      <w:r w:rsidR="00583A77" w:rsidRPr="00F1714B">
        <w:rPr>
          <w:rFonts w:cs="Times New Roman"/>
          <w:szCs w:val="26"/>
        </w:rPr>
        <w:t>d</w:t>
      </w:r>
      <w:r w:rsidRPr="00F1714B">
        <w:rPr>
          <w:rFonts w:cs="Times New Roman"/>
          <w:szCs w:val="26"/>
        </w:rPr>
        <w:t xml:space="preserve"> followed the </w:t>
      </w:r>
      <w:r w:rsidR="00F23DDE" w:rsidRPr="00F1714B">
        <w:rPr>
          <w:rFonts w:cs="Times New Roman"/>
          <w:szCs w:val="26"/>
        </w:rPr>
        <w:t xml:space="preserve">same </w:t>
      </w:r>
      <w:r w:rsidRPr="00F1714B">
        <w:rPr>
          <w:rFonts w:cs="Times New Roman"/>
          <w:szCs w:val="26"/>
        </w:rPr>
        <w:t xml:space="preserve">pricing trends </w:t>
      </w:r>
      <w:r w:rsidR="00F23DDE" w:rsidRPr="00F1714B">
        <w:rPr>
          <w:rFonts w:cs="Times New Roman"/>
          <w:szCs w:val="26"/>
        </w:rPr>
        <w:t xml:space="preserve">as </w:t>
      </w:r>
      <w:r w:rsidR="003E10D7" w:rsidRPr="00F1714B">
        <w:rPr>
          <w:rFonts w:cs="Times New Roman"/>
          <w:szCs w:val="26"/>
        </w:rPr>
        <w:t>in Verizon’s noncompetitive wire centers.</w:t>
      </w:r>
      <w:r w:rsidRPr="00F1714B">
        <w:rPr>
          <w:rFonts w:cs="Times New Roman"/>
          <w:szCs w:val="26"/>
          <w:vertAlign w:val="superscript"/>
        </w:rPr>
        <w:footnoteReference w:id="26"/>
      </w:r>
    </w:p>
    <w:p w14:paraId="1F50E9CC" w14:textId="77777777" w:rsidR="00E957DD" w:rsidRPr="00F1714B" w:rsidRDefault="00E957DD" w:rsidP="00E55426">
      <w:pPr>
        <w:ind w:firstLine="720"/>
        <w:rPr>
          <w:rFonts w:cs="Times New Roman"/>
          <w:szCs w:val="26"/>
        </w:rPr>
      </w:pPr>
    </w:p>
    <w:p w14:paraId="64DCA00D" w14:textId="0DEDBB7A" w:rsidR="00F07C89" w:rsidRPr="00F1714B" w:rsidRDefault="00F07C89" w:rsidP="004D4535">
      <w:pPr>
        <w:ind w:firstLine="547"/>
        <w:rPr>
          <w:rFonts w:cs="Times New Roman"/>
          <w:szCs w:val="26"/>
        </w:rPr>
      </w:pPr>
      <w:r w:rsidRPr="00F1714B">
        <w:rPr>
          <w:rFonts w:cs="Times New Roman"/>
          <w:szCs w:val="26"/>
        </w:rPr>
        <w:t xml:space="preserve">The </w:t>
      </w:r>
      <w:r w:rsidR="000C3E97" w:rsidRPr="00F1714B">
        <w:rPr>
          <w:rFonts w:cs="Times New Roman"/>
          <w:szCs w:val="26"/>
        </w:rPr>
        <w:t xml:space="preserve">Commission noted that </w:t>
      </w:r>
      <w:r w:rsidRPr="00F1714B">
        <w:rPr>
          <w:rFonts w:cs="Times New Roman"/>
          <w:szCs w:val="26"/>
        </w:rPr>
        <w:t xml:space="preserve">the collected data did not present any direct causative links to </w:t>
      </w:r>
      <w:r w:rsidR="00B418FC" w:rsidRPr="00F1714B">
        <w:rPr>
          <w:rFonts w:cs="Times New Roman"/>
          <w:szCs w:val="26"/>
        </w:rPr>
        <w:t>or</w:t>
      </w:r>
      <w:r w:rsidR="00EF490F" w:rsidRPr="00F1714B">
        <w:rPr>
          <w:rFonts w:cs="Times New Roman"/>
          <w:szCs w:val="26"/>
        </w:rPr>
        <w:t xml:space="preserve"> </w:t>
      </w:r>
      <w:r w:rsidRPr="00F1714B">
        <w:rPr>
          <w:rFonts w:cs="Times New Roman"/>
          <w:szCs w:val="26"/>
        </w:rPr>
        <w:t>readily available explanations for the observable trends</w:t>
      </w:r>
      <w:r w:rsidR="000C3E97" w:rsidRPr="00F1714B">
        <w:rPr>
          <w:rFonts w:cs="Times New Roman"/>
          <w:szCs w:val="26"/>
        </w:rPr>
        <w:t xml:space="preserve"> regarding certain quality of service metrics</w:t>
      </w:r>
      <w:r w:rsidRPr="00F1714B">
        <w:rPr>
          <w:rFonts w:cs="Times New Roman"/>
          <w:szCs w:val="26"/>
        </w:rPr>
        <w:t xml:space="preserve">.  </w:t>
      </w:r>
      <w:r w:rsidR="000C3E97" w:rsidRPr="00F1714B">
        <w:rPr>
          <w:rFonts w:cs="Times New Roman"/>
          <w:szCs w:val="26"/>
        </w:rPr>
        <w:t xml:space="preserve">The Commission determined that it could not </w:t>
      </w:r>
      <w:r w:rsidRPr="00F1714B">
        <w:rPr>
          <w:rFonts w:cs="Times New Roman"/>
          <w:szCs w:val="26"/>
        </w:rPr>
        <w:t xml:space="preserve">draw any </w:t>
      </w:r>
      <w:r w:rsidR="000C3E97" w:rsidRPr="00F1714B">
        <w:rPr>
          <w:rFonts w:cs="Times New Roman"/>
          <w:szCs w:val="26"/>
        </w:rPr>
        <w:t xml:space="preserve">specific </w:t>
      </w:r>
      <w:r w:rsidRPr="00F1714B">
        <w:rPr>
          <w:rFonts w:cs="Times New Roman"/>
          <w:szCs w:val="26"/>
        </w:rPr>
        <w:t xml:space="preserve">conclusions from </w:t>
      </w:r>
      <w:r w:rsidR="000C3E97" w:rsidRPr="00F1714B">
        <w:rPr>
          <w:rFonts w:cs="Times New Roman"/>
          <w:szCs w:val="26"/>
        </w:rPr>
        <w:t xml:space="preserve">the </w:t>
      </w:r>
      <w:r w:rsidRPr="00F1714B">
        <w:rPr>
          <w:rFonts w:cs="Times New Roman"/>
          <w:szCs w:val="26"/>
        </w:rPr>
        <w:t xml:space="preserve">limited data </w:t>
      </w:r>
      <w:r w:rsidR="000C3E97" w:rsidRPr="00F1714B">
        <w:rPr>
          <w:rFonts w:cs="Times New Roman"/>
          <w:szCs w:val="26"/>
        </w:rPr>
        <w:t xml:space="preserve">presented by </w:t>
      </w:r>
      <w:r w:rsidRPr="00F1714B">
        <w:rPr>
          <w:rFonts w:cs="Times New Roman"/>
          <w:szCs w:val="26"/>
        </w:rPr>
        <w:t xml:space="preserve">Verizon </w:t>
      </w:r>
      <w:r w:rsidR="000C3E97" w:rsidRPr="00F1714B">
        <w:rPr>
          <w:rFonts w:cs="Times New Roman"/>
          <w:szCs w:val="26"/>
        </w:rPr>
        <w:t xml:space="preserve">on whether its </w:t>
      </w:r>
      <w:r w:rsidRPr="00F1714B">
        <w:rPr>
          <w:rFonts w:cs="Times New Roman"/>
          <w:szCs w:val="26"/>
        </w:rPr>
        <w:t xml:space="preserve">network in noncompetitive wire centers – which include a lesser number of major urban areas – </w:t>
      </w:r>
      <w:r w:rsidR="00356A47" w:rsidRPr="00F1714B">
        <w:rPr>
          <w:rFonts w:cs="Times New Roman"/>
          <w:szCs w:val="26"/>
        </w:rPr>
        <w:t>experienced</w:t>
      </w:r>
      <w:r w:rsidRPr="00F1714B">
        <w:rPr>
          <w:rFonts w:cs="Times New Roman"/>
          <w:szCs w:val="26"/>
        </w:rPr>
        <w:t xml:space="preserve"> more quality of service issues than </w:t>
      </w:r>
      <w:r w:rsidR="00356A47" w:rsidRPr="00F1714B">
        <w:rPr>
          <w:rFonts w:cs="Times New Roman"/>
          <w:szCs w:val="26"/>
        </w:rPr>
        <w:t>its network in</w:t>
      </w:r>
      <w:r w:rsidRPr="00F1714B">
        <w:rPr>
          <w:rFonts w:cs="Times New Roman"/>
          <w:szCs w:val="26"/>
        </w:rPr>
        <w:t xml:space="preserve"> competitive </w:t>
      </w:r>
      <w:r w:rsidR="00DA3FC2" w:rsidRPr="00F1714B">
        <w:rPr>
          <w:rFonts w:cs="Times New Roman"/>
          <w:szCs w:val="26"/>
        </w:rPr>
        <w:t>wire centers</w:t>
      </w:r>
      <w:r w:rsidRPr="00F1714B">
        <w:rPr>
          <w:rFonts w:cs="Times New Roman"/>
          <w:szCs w:val="26"/>
        </w:rPr>
        <w:t xml:space="preserve">, or </w:t>
      </w:r>
      <w:r w:rsidR="00B9622E" w:rsidRPr="00F1714B">
        <w:rPr>
          <w:rFonts w:cs="Times New Roman"/>
          <w:szCs w:val="26"/>
        </w:rPr>
        <w:t xml:space="preserve">whether </w:t>
      </w:r>
      <w:r w:rsidRPr="00F1714B">
        <w:rPr>
          <w:rFonts w:cs="Times New Roman"/>
          <w:szCs w:val="26"/>
        </w:rPr>
        <w:t xml:space="preserve">Verizon </w:t>
      </w:r>
      <w:r w:rsidR="000F4BAF" w:rsidRPr="00F1714B">
        <w:rPr>
          <w:rFonts w:cs="Times New Roman"/>
          <w:szCs w:val="26"/>
        </w:rPr>
        <w:t>had</w:t>
      </w:r>
      <w:r w:rsidR="000C3E97" w:rsidRPr="00F1714B">
        <w:rPr>
          <w:rFonts w:cs="Times New Roman"/>
          <w:szCs w:val="26"/>
        </w:rPr>
        <w:t xml:space="preserve"> </w:t>
      </w:r>
      <w:r w:rsidRPr="00F1714B">
        <w:rPr>
          <w:rFonts w:cs="Times New Roman"/>
          <w:szCs w:val="26"/>
        </w:rPr>
        <w:t xml:space="preserve">increased the concentration of </w:t>
      </w:r>
      <w:r w:rsidR="000F4BAF" w:rsidRPr="00F1714B">
        <w:rPr>
          <w:rFonts w:cs="Times New Roman"/>
          <w:szCs w:val="26"/>
        </w:rPr>
        <w:t>its</w:t>
      </w:r>
      <w:r w:rsidRPr="00F1714B">
        <w:rPr>
          <w:rFonts w:cs="Times New Roman"/>
          <w:szCs w:val="26"/>
        </w:rPr>
        <w:t xml:space="preserve"> operational maintenance activities in the competitive wire center areas. </w:t>
      </w:r>
      <w:r w:rsidR="000C3E97" w:rsidRPr="00F1714B">
        <w:rPr>
          <w:rFonts w:cs="Times New Roman"/>
          <w:szCs w:val="26"/>
        </w:rPr>
        <w:t xml:space="preserve"> </w:t>
      </w:r>
      <w:bookmarkStart w:id="4" w:name="_Hlk81474338"/>
      <w:r w:rsidRPr="00F1714B">
        <w:rPr>
          <w:rFonts w:cs="Times New Roman"/>
          <w:szCs w:val="26"/>
        </w:rPr>
        <w:t xml:space="preserve">Accordingly, </w:t>
      </w:r>
      <w:r w:rsidR="000C3E97" w:rsidRPr="00F1714B">
        <w:rPr>
          <w:rFonts w:cs="Times New Roman"/>
          <w:szCs w:val="26"/>
        </w:rPr>
        <w:t xml:space="preserve">the Commission concluded that </w:t>
      </w:r>
      <w:r w:rsidR="00EF490F" w:rsidRPr="00F1714B">
        <w:rPr>
          <w:rFonts w:cs="Times New Roman"/>
          <w:szCs w:val="26"/>
        </w:rPr>
        <w:t xml:space="preserve">the data was inconclusive as to whether there was any </w:t>
      </w:r>
      <w:r w:rsidR="000C3E97" w:rsidRPr="00F1714B">
        <w:rPr>
          <w:rFonts w:cs="Times New Roman"/>
          <w:szCs w:val="26"/>
        </w:rPr>
        <w:t xml:space="preserve">significant </w:t>
      </w:r>
      <w:r w:rsidR="00EF490F" w:rsidRPr="00F1714B">
        <w:rPr>
          <w:rFonts w:cs="Times New Roman"/>
          <w:szCs w:val="26"/>
        </w:rPr>
        <w:t xml:space="preserve">downward </w:t>
      </w:r>
      <w:r w:rsidR="000C3E97" w:rsidRPr="00F1714B">
        <w:rPr>
          <w:rFonts w:cs="Times New Roman"/>
          <w:szCs w:val="26"/>
        </w:rPr>
        <w:t xml:space="preserve">trend </w:t>
      </w:r>
      <w:r w:rsidR="00EF490F" w:rsidRPr="00F1714B">
        <w:rPr>
          <w:rFonts w:cs="Times New Roman"/>
          <w:szCs w:val="26"/>
        </w:rPr>
        <w:t xml:space="preserve">in service quality issues </w:t>
      </w:r>
      <w:r w:rsidR="00663CD6" w:rsidRPr="00F1714B">
        <w:rPr>
          <w:rFonts w:cs="Times New Roman"/>
          <w:szCs w:val="26"/>
        </w:rPr>
        <w:t>in competitive wire centers</w:t>
      </w:r>
      <w:r w:rsidR="00EF64D4" w:rsidRPr="00F1714B">
        <w:rPr>
          <w:rFonts w:cs="Times New Roman"/>
          <w:szCs w:val="26"/>
        </w:rPr>
        <w:t>,</w:t>
      </w:r>
      <w:r w:rsidR="00663CD6" w:rsidRPr="00F1714B">
        <w:rPr>
          <w:rFonts w:cs="Times New Roman"/>
          <w:szCs w:val="26"/>
        </w:rPr>
        <w:t xml:space="preserve"> </w:t>
      </w:r>
      <w:r w:rsidR="00560E3F" w:rsidRPr="00F1714B">
        <w:rPr>
          <w:rFonts w:cs="Times New Roman"/>
          <w:szCs w:val="26"/>
        </w:rPr>
        <w:t xml:space="preserve">which </w:t>
      </w:r>
      <w:r w:rsidR="00EF64D4" w:rsidRPr="00F1714B">
        <w:rPr>
          <w:rFonts w:cs="Times New Roman"/>
          <w:szCs w:val="26"/>
        </w:rPr>
        <w:t>c</w:t>
      </w:r>
      <w:r w:rsidR="00560E3F" w:rsidRPr="00F1714B">
        <w:rPr>
          <w:rFonts w:cs="Times New Roman"/>
          <w:szCs w:val="26"/>
        </w:rPr>
        <w:t>ould have been a</w:t>
      </w:r>
      <w:r w:rsidR="000D5DE9" w:rsidRPr="00F1714B">
        <w:rPr>
          <w:rFonts w:cs="Times New Roman"/>
          <w:szCs w:val="26"/>
        </w:rPr>
        <w:t>n</w:t>
      </w:r>
      <w:r w:rsidR="00560E3F" w:rsidRPr="00F1714B">
        <w:rPr>
          <w:rFonts w:cs="Times New Roman"/>
          <w:szCs w:val="26"/>
        </w:rPr>
        <w:t xml:space="preserve"> </w:t>
      </w:r>
      <w:r w:rsidR="000C3E97" w:rsidRPr="00F1714B">
        <w:rPr>
          <w:rFonts w:cs="Times New Roman"/>
          <w:szCs w:val="26"/>
        </w:rPr>
        <w:t>indicat</w:t>
      </w:r>
      <w:r w:rsidR="0095697B" w:rsidRPr="00F1714B">
        <w:rPr>
          <w:rFonts w:cs="Times New Roman"/>
          <w:szCs w:val="26"/>
        </w:rPr>
        <w:t>or</w:t>
      </w:r>
      <w:r w:rsidR="000C3E97" w:rsidRPr="00F1714B">
        <w:rPr>
          <w:rFonts w:cs="Times New Roman"/>
          <w:szCs w:val="26"/>
        </w:rPr>
        <w:t xml:space="preserve"> that it should </w:t>
      </w:r>
      <w:r w:rsidR="000D5DE9" w:rsidRPr="00F1714B">
        <w:rPr>
          <w:rFonts w:cs="Times New Roman"/>
          <w:szCs w:val="26"/>
        </w:rPr>
        <w:t xml:space="preserve">consider </w:t>
      </w:r>
      <w:r w:rsidRPr="00F1714B">
        <w:rPr>
          <w:rFonts w:cs="Times New Roman"/>
          <w:szCs w:val="26"/>
        </w:rPr>
        <w:t>eliminat</w:t>
      </w:r>
      <w:r w:rsidR="000D5DE9" w:rsidRPr="00F1714B">
        <w:rPr>
          <w:rFonts w:cs="Times New Roman"/>
          <w:szCs w:val="26"/>
        </w:rPr>
        <w:t>ing</w:t>
      </w:r>
      <w:r w:rsidRPr="00F1714B">
        <w:rPr>
          <w:rFonts w:cs="Times New Roman"/>
          <w:szCs w:val="26"/>
        </w:rPr>
        <w:t xml:space="preserve"> entirely </w:t>
      </w:r>
      <w:r w:rsidR="00F67501" w:rsidRPr="00F1714B">
        <w:rPr>
          <w:rFonts w:cs="Times New Roman"/>
          <w:szCs w:val="26"/>
        </w:rPr>
        <w:t xml:space="preserve">the quality of </w:t>
      </w:r>
      <w:r w:rsidR="00EF490F" w:rsidRPr="00F1714B">
        <w:rPr>
          <w:rFonts w:cs="Times New Roman"/>
          <w:szCs w:val="26"/>
        </w:rPr>
        <w:t xml:space="preserve">service regulations </w:t>
      </w:r>
      <w:r w:rsidRPr="00F1714B">
        <w:rPr>
          <w:rFonts w:cs="Times New Roman"/>
          <w:szCs w:val="26"/>
        </w:rPr>
        <w:t xml:space="preserve">where </w:t>
      </w:r>
      <w:r w:rsidRPr="00F1714B">
        <w:rPr>
          <w:rFonts w:cs="Times New Roman"/>
          <w:szCs w:val="26"/>
        </w:rPr>
        <w:lastRenderedPageBreak/>
        <w:t>consumers have multiple options for communications services, including wireline, cable-voice, and wireless options.</w:t>
      </w:r>
    </w:p>
    <w:bookmarkEnd w:id="4"/>
    <w:p w14:paraId="7EF4FD7E" w14:textId="77777777" w:rsidR="00F07C89" w:rsidRPr="00F1714B" w:rsidRDefault="00F07C89" w:rsidP="004D4535">
      <w:pPr>
        <w:ind w:firstLine="547"/>
        <w:rPr>
          <w:rFonts w:cs="Times New Roman"/>
          <w:szCs w:val="26"/>
        </w:rPr>
      </w:pPr>
    </w:p>
    <w:p w14:paraId="17E19523" w14:textId="15D1822A" w:rsidR="00F07C89" w:rsidRPr="00F1714B" w:rsidRDefault="00966542" w:rsidP="00705587">
      <w:pPr>
        <w:contextualSpacing/>
        <w:rPr>
          <w:rFonts w:eastAsia="Calibri" w:cs="Times New Roman"/>
          <w:b/>
          <w:szCs w:val="26"/>
        </w:rPr>
      </w:pPr>
      <w:r w:rsidRPr="00F1714B">
        <w:rPr>
          <w:rFonts w:eastAsia="Calibri" w:cs="Times New Roman"/>
          <w:b/>
          <w:szCs w:val="26"/>
        </w:rPr>
        <w:t>VI.</w:t>
      </w:r>
      <w:r w:rsidRPr="00F1714B">
        <w:rPr>
          <w:rFonts w:eastAsia="Calibri" w:cs="Times New Roman"/>
          <w:b/>
          <w:szCs w:val="26"/>
        </w:rPr>
        <w:tab/>
      </w:r>
      <w:r w:rsidR="00F07C89" w:rsidRPr="00F1714B">
        <w:rPr>
          <w:rFonts w:eastAsia="Calibri" w:cs="Times New Roman"/>
          <w:b/>
          <w:szCs w:val="26"/>
        </w:rPr>
        <w:t>Notice of Proposed Rulemaking</w:t>
      </w:r>
    </w:p>
    <w:p w14:paraId="70FF9366" w14:textId="449764B2" w:rsidR="000A1EEE" w:rsidRPr="00F1714B" w:rsidRDefault="00A52FEA" w:rsidP="00E55426">
      <w:pPr>
        <w:ind w:firstLine="720"/>
        <w:contextualSpacing/>
        <w:rPr>
          <w:rFonts w:eastAsia="Calibri" w:cs="Times New Roman"/>
          <w:bCs/>
          <w:szCs w:val="26"/>
        </w:rPr>
      </w:pPr>
      <w:r w:rsidRPr="00F1714B">
        <w:rPr>
          <w:rFonts w:eastAsia="Calibri" w:cs="Times New Roman"/>
          <w:bCs/>
          <w:szCs w:val="26"/>
        </w:rPr>
        <w:t xml:space="preserve">While </w:t>
      </w:r>
      <w:r w:rsidR="005F07DF" w:rsidRPr="00F1714B">
        <w:rPr>
          <w:rFonts w:eastAsia="Calibri" w:cs="Times New Roman"/>
          <w:bCs/>
          <w:szCs w:val="26"/>
        </w:rPr>
        <w:t xml:space="preserve">the </w:t>
      </w:r>
      <w:r w:rsidRPr="00F1714B">
        <w:rPr>
          <w:rFonts w:eastAsia="Calibri" w:cs="Times New Roman"/>
          <w:bCs/>
          <w:szCs w:val="26"/>
        </w:rPr>
        <w:t xml:space="preserve">Verizon market data was inconclusive, the Commission determined that </w:t>
      </w:r>
      <w:r w:rsidR="004E7FD2" w:rsidRPr="00F1714B">
        <w:rPr>
          <w:rFonts w:eastAsia="Calibri" w:cs="Times New Roman"/>
          <w:bCs/>
          <w:szCs w:val="26"/>
        </w:rPr>
        <w:t>due to the competitive conditions that exist</w:t>
      </w:r>
      <w:r w:rsidR="005F07DF" w:rsidRPr="00F1714B">
        <w:rPr>
          <w:rFonts w:eastAsia="Calibri" w:cs="Times New Roman"/>
          <w:bCs/>
          <w:szCs w:val="26"/>
        </w:rPr>
        <w:t xml:space="preserve">ed </w:t>
      </w:r>
      <w:r w:rsidR="004E7FD2" w:rsidRPr="00F1714B">
        <w:rPr>
          <w:rFonts w:eastAsia="Calibri" w:cs="Times New Roman"/>
          <w:bCs/>
          <w:szCs w:val="26"/>
        </w:rPr>
        <w:t>in the residential and business telecommunications marketplace in Pennsylvania</w:t>
      </w:r>
      <w:r w:rsidR="005F07DF" w:rsidRPr="00F1714B">
        <w:rPr>
          <w:rFonts w:eastAsia="Calibri" w:cs="Times New Roman"/>
          <w:bCs/>
          <w:szCs w:val="26"/>
        </w:rPr>
        <w:t xml:space="preserve">, </w:t>
      </w:r>
      <w:r w:rsidRPr="00F1714B">
        <w:rPr>
          <w:rFonts w:eastAsia="Calibri" w:cs="Times New Roman"/>
          <w:bCs/>
          <w:szCs w:val="26"/>
        </w:rPr>
        <w:t xml:space="preserve">there was still a valid basis to propose revisions to </w:t>
      </w:r>
      <w:r w:rsidR="00A341D5" w:rsidRPr="00F1714B">
        <w:rPr>
          <w:rFonts w:eastAsia="Calibri" w:cs="Times New Roman"/>
          <w:bCs/>
          <w:szCs w:val="26"/>
        </w:rPr>
        <w:t xml:space="preserve">its </w:t>
      </w:r>
      <w:r w:rsidR="004E7FD2" w:rsidRPr="00F1714B">
        <w:rPr>
          <w:rFonts w:eastAsia="Calibri" w:cs="Times New Roman"/>
          <w:bCs/>
          <w:szCs w:val="26"/>
        </w:rPr>
        <w:t xml:space="preserve">regulations </w:t>
      </w:r>
      <w:r w:rsidR="00A341D5" w:rsidRPr="00F1714B">
        <w:rPr>
          <w:rFonts w:eastAsia="Calibri" w:cs="Times New Roman"/>
          <w:bCs/>
          <w:szCs w:val="26"/>
        </w:rPr>
        <w:t xml:space="preserve">that govern jurisdictional </w:t>
      </w:r>
      <w:r w:rsidRPr="00F1714B">
        <w:rPr>
          <w:rFonts w:eastAsia="Calibri" w:cs="Times New Roman"/>
          <w:bCs/>
          <w:szCs w:val="26"/>
        </w:rPr>
        <w:t>telecommunications</w:t>
      </w:r>
      <w:r w:rsidR="00CA1419" w:rsidRPr="00F1714B">
        <w:rPr>
          <w:rFonts w:eastAsia="Calibri" w:cs="Times New Roman"/>
          <w:bCs/>
          <w:szCs w:val="26"/>
        </w:rPr>
        <w:t xml:space="preserve"> </w:t>
      </w:r>
      <w:r w:rsidR="00A341D5" w:rsidRPr="00F1714B">
        <w:rPr>
          <w:rFonts w:eastAsia="Calibri" w:cs="Times New Roman"/>
          <w:bCs/>
          <w:szCs w:val="26"/>
        </w:rPr>
        <w:t xml:space="preserve">public utilities and their </w:t>
      </w:r>
      <w:r w:rsidR="00CA1419" w:rsidRPr="00F1714B">
        <w:rPr>
          <w:rFonts w:eastAsia="Calibri" w:cs="Times New Roman"/>
          <w:bCs/>
          <w:szCs w:val="26"/>
        </w:rPr>
        <w:t>services</w:t>
      </w:r>
      <w:r w:rsidRPr="00F1714B">
        <w:rPr>
          <w:rFonts w:eastAsia="Calibri" w:cs="Times New Roman"/>
          <w:bCs/>
          <w:szCs w:val="26"/>
        </w:rPr>
        <w:t>.</w:t>
      </w:r>
      <w:r w:rsidR="00A75275" w:rsidRPr="00F1714B">
        <w:rPr>
          <w:rFonts w:eastAsia="Calibri" w:cs="Times New Roman"/>
          <w:bCs/>
          <w:szCs w:val="26"/>
        </w:rPr>
        <w:t xml:space="preserve">  </w:t>
      </w:r>
      <w:r w:rsidR="004E7FD2" w:rsidRPr="00F1714B">
        <w:rPr>
          <w:rFonts w:eastAsia="Calibri" w:cs="Times New Roman"/>
          <w:bCs/>
          <w:szCs w:val="26"/>
        </w:rPr>
        <w:t>Consequently, a</w:t>
      </w:r>
      <w:r w:rsidR="00E800D3" w:rsidRPr="00F1714B">
        <w:rPr>
          <w:rFonts w:eastAsia="Calibri" w:cs="Times New Roman"/>
          <w:bCs/>
          <w:szCs w:val="26"/>
        </w:rPr>
        <w:t xml:space="preserve">t the August 27, 2020 Public Meeting, the Commission adopted </w:t>
      </w:r>
      <w:r w:rsidR="006C2202" w:rsidRPr="00F1714B">
        <w:rPr>
          <w:rFonts w:eastAsia="Calibri" w:cs="Times New Roman"/>
          <w:bCs/>
          <w:szCs w:val="26"/>
        </w:rPr>
        <w:t xml:space="preserve">the </w:t>
      </w:r>
      <w:r w:rsidR="00E800D3" w:rsidRPr="00F1714B">
        <w:rPr>
          <w:rFonts w:eastAsia="Calibri" w:cs="Times New Roman"/>
          <w:bCs/>
          <w:szCs w:val="26"/>
        </w:rPr>
        <w:t xml:space="preserve">Motion of </w:t>
      </w:r>
      <w:r w:rsidR="006C2202" w:rsidRPr="00F1714B">
        <w:rPr>
          <w:rFonts w:eastAsia="Calibri" w:cs="Times New Roman"/>
          <w:bCs/>
          <w:szCs w:val="26"/>
        </w:rPr>
        <w:t xml:space="preserve">Vice Chairman David </w:t>
      </w:r>
      <w:r w:rsidR="00F67501" w:rsidRPr="00F1714B">
        <w:rPr>
          <w:rFonts w:eastAsia="Calibri" w:cs="Times New Roman"/>
          <w:bCs/>
          <w:szCs w:val="26"/>
        </w:rPr>
        <w:t>W</w:t>
      </w:r>
      <w:r w:rsidR="006C2202" w:rsidRPr="00F1714B">
        <w:rPr>
          <w:rFonts w:eastAsia="Calibri" w:cs="Times New Roman"/>
          <w:bCs/>
          <w:szCs w:val="26"/>
        </w:rPr>
        <w:t xml:space="preserve">. </w:t>
      </w:r>
      <w:r w:rsidR="00E800D3" w:rsidRPr="00F1714B">
        <w:rPr>
          <w:rFonts w:eastAsia="Calibri" w:cs="Times New Roman"/>
          <w:bCs/>
          <w:szCs w:val="26"/>
        </w:rPr>
        <w:t xml:space="preserve">Sweet to issue a </w:t>
      </w:r>
      <w:r w:rsidR="006C2202" w:rsidRPr="00F1714B">
        <w:rPr>
          <w:rFonts w:eastAsia="Calibri" w:cs="Times New Roman"/>
          <w:bCs/>
          <w:szCs w:val="26"/>
        </w:rPr>
        <w:t xml:space="preserve">Notice of Proposed Rulemaking </w:t>
      </w:r>
      <w:r w:rsidR="00E800D3" w:rsidRPr="00F1714B">
        <w:rPr>
          <w:rFonts w:eastAsia="Calibri" w:cs="Times New Roman"/>
          <w:bCs/>
          <w:szCs w:val="26"/>
        </w:rPr>
        <w:t>at the above-captioned docket</w:t>
      </w:r>
      <w:r w:rsidR="009678F9" w:rsidRPr="00F1714B">
        <w:rPr>
          <w:rFonts w:eastAsia="Calibri" w:cs="Times New Roman"/>
          <w:bCs/>
          <w:szCs w:val="26"/>
        </w:rPr>
        <w:t xml:space="preserve"> that proposed </w:t>
      </w:r>
      <w:r w:rsidR="00E800D3" w:rsidRPr="00F1714B">
        <w:rPr>
          <w:rFonts w:eastAsia="Calibri" w:cs="Times New Roman"/>
          <w:bCs/>
          <w:szCs w:val="26"/>
        </w:rPr>
        <w:t>amendments to certain regulations set forth in Chapter</w:t>
      </w:r>
      <w:r w:rsidR="006C2202" w:rsidRPr="00F1714B">
        <w:rPr>
          <w:rFonts w:eastAsia="Calibri" w:cs="Times New Roman"/>
          <w:bCs/>
          <w:szCs w:val="26"/>
        </w:rPr>
        <w:t>s</w:t>
      </w:r>
      <w:r w:rsidR="00E800D3" w:rsidRPr="00F1714B">
        <w:rPr>
          <w:rFonts w:eastAsia="Calibri" w:cs="Times New Roman"/>
          <w:bCs/>
          <w:szCs w:val="26"/>
        </w:rPr>
        <w:t xml:space="preserve"> 53, 63 and 64 of Title 52 of the Pa. Code.  </w:t>
      </w:r>
    </w:p>
    <w:p w14:paraId="3959A8B2" w14:textId="77777777" w:rsidR="000A1EEE" w:rsidRPr="00F1714B" w:rsidRDefault="000A1EEE" w:rsidP="00E55426">
      <w:pPr>
        <w:ind w:firstLine="720"/>
        <w:contextualSpacing/>
        <w:rPr>
          <w:rFonts w:eastAsia="Calibri" w:cs="Times New Roman"/>
          <w:bCs/>
          <w:szCs w:val="26"/>
        </w:rPr>
      </w:pPr>
    </w:p>
    <w:p w14:paraId="384B0A10" w14:textId="566E79AC" w:rsidR="00E800D3" w:rsidRPr="00F1714B" w:rsidRDefault="00E800D3" w:rsidP="00E55426">
      <w:pPr>
        <w:ind w:firstLine="720"/>
        <w:contextualSpacing/>
        <w:rPr>
          <w:rFonts w:eastAsia="Calibri" w:cs="Times New Roman"/>
          <w:bCs/>
          <w:szCs w:val="26"/>
        </w:rPr>
      </w:pPr>
      <w:r w:rsidRPr="00F1714B">
        <w:rPr>
          <w:rFonts w:eastAsia="Calibri" w:cs="Times New Roman"/>
          <w:bCs/>
          <w:szCs w:val="26"/>
        </w:rPr>
        <w:t xml:space="preserve">Concomitantly, </w:t>
      </w:r>
      <w:r w:rsidR="00444612" w:rsidRPr="00F1714B">
        <w:rPr>
          <w:rFonts w:eastAsia="Calibri" w:cs="Times New Roman"/>
          <w:bCs/>
          <w:szCs w:val="26"/>
        </w:rPr>
        <w:t xml:space="preserve">at this same Public Meeting and at the same docket, </w:t>
      </w:r>
      <w:r w:rsidRPr="00F1714B">
        <w:rPr>
          <w:rFonts w:eastAsia="Calibri" w:cs="Times New Roman"/>
          <w:bCs/>
          <w:szCs w:val="26"/>
        </w:rPr>
        <w:t xml:space="preserve">Chairman Gladys Brown Dutrieuille issued a Statement </w:t>
      </w:r>
      <w:r w:rsidR="00964B5C" w:rsidRPr="00F1714B">
        <w:rPr>
          <w:rFonts w:eastAsia="Calibri" w:cs="Times New Roman"/>
          <w:bCs/>
          <w:szCs w:val="26"/>
        </w:rPr>
        <w:t xml:space="preserve">indicating her support for a Notice of Proposed Rulemaking that </w:t>
      </w:r>
      <w:r w:rsidR="009678F9" w:rsidRPr="00F1714B">
        <w:rPr>
          <w:rFonts w:eastAsia="Calibri" w:cs="Times New Roman"/>
          <w:bCs/>
          <w:szCs w:val="26"/>
        </w:rPr>
        <w:t xml:space="preserve">proposed </w:t>
      </w:r>
      <w:r w:rsidRPr="00F1714B">
        <w:rPr>
          <w:rFonts w:eastAsia="Calibri" w:cs="Times New Roman"/>
          <w:bCs/>
          <w:szCs w:val="26"/>
        </w:rPr>
        <w:t xml:space="preserve">modifications to </w:t>
      </w:r>
      <w:r w:rsidR="00CB4A60" w:rsidRPr="00F1714B">
        <w:rPr>
          <w:rFonts w:eastAsia="Calibri" w:cs="Times New Roman"/>
          <w:bCs/>
          <w:szCs w:val="26"/>
        </w:rPr>
        <w:t xml:space="preserve">our applicable telecommunications </w:t>
      </w:r>
      <w:r w:rsidRPr="00F1714B">
        <w:rPr>
          <w:rFonts w:eastAsia="Calibri" w:cs="Times New Roman"/>
          <w:bCs/>
          <w:szCs w:val="26"/>
        </w:rPr>
        <w:t>regulations</w:t>
      </w:r>
      <w:r w:rsidR="009678F9" w:rsidRPr="00F1714B">
        <w:rPr>
          <w:rFonts w:eastAsia="Calibri" w:cs="Times New Roman"/>
          <w:bCs/>
          <w:szCs w:val="26"/>
        </w:rPr>
        <w:t xml:space="preserve">, but </w:t>
      </w:r>
      <w:r w:rsidR="009C2A25" w:rsidRPr="00F1714B">
        <w:rPr>
          <w:rFonts w:eastAsia="Calibri" w:cs="Times New Roman"/>
          <w:bCs/>
          <w:szCs w:val="26"/>
        </w:rPr>
        <w:t xml:space="preserve">the </w:t>
      </w:r>
      <w:r w:rsidR="000A1EEE" w:rsidRPr="00F1714B">
        <w:rPr>
          <w:rFonts w:eastAsia="Calibri" w:cs="Times New Roman"/>
          <w:bCs/>
          <w:szCs w:val="26"/>
        </w:rPr>
        <w:t xml:space="preserve">Chairman’s </w:t>
      </w:r>
      <w:r w:rsidR="00B97C64" w:rsidRPr="00F1714B">
        <w:rPr>
          <w:rFonts w:eastAsia="Calibri" w:cs="Times New Roman"/>
          <w:bCs/>
          <w:szCs w:val="26"/>
        </w:rPr>
        <w:t xml:space="preserve">Statement </w:t>
      </w:r>
      <w:r w:rsidR="009C2A25" w:rsidRPr="00F1714B">
        <w:rPr>
          <w:rFonts w:eastAsia="Calibri" w:cs="Times New Roman"/>
          <w:bCs/>
          <w:szCs w:val="26"/>
        </w:rPr>
        <w:t xml:space="preserve">also </w:t>
      </w:r>
      <w:r w:rsidR="00B97C64" w:rsidRPr="00F1714B">
        <w:rPr>
          <w:rFonts w:eastAsia="Calibri" w:cs="Times New Roman"/>
          <w:bCs/>
          <w:szCs w:val="26"/>
        </w:rPr>
        <w:t xml:space="preserve">offered a series of questions </w:t>
      </w:r>
      <w:r w:rsidR="00E46E6C" w:rsidRPr="00F1714B">
        <w:rPr>
          <w:rFonts w:eastAsia="Calibri" w:cs="Times New Roman"/>
          <w:bCs/>
          <w:szCs w:val="26"/>
        </w:rPr>
        <w:t>in order to</w:t>
      </w:r>
      <w:r w:rsidR="009C2A25" w:rsidRPr="00F1714B">
        <w:rPr>
          <w:rFonts w:eastAsia="Calibri" w:cs="Times New Roman"/>
          <w:bCs/>
          <w:szCs w:val="26"/>
        </w:rPr>
        <w:t xml:space="preserve"> </w:t>
      </w:r>
      <w:r w:rsidR="00E46E6C" w:rsidRPr="00F1714B">
        <w:rPr>
          <w:rFonts w:eastAsia="Calibri" w:cs="Times New Roman"/>
          <w:bCs/>
          <w:szCs w:val="26"/>
        </w:rPr>
        <w:t xml:space="preserve">gain </w:t>
      </w:r>
      <w:r w:rsidR="009C2A25" w:rsidRPr="00F1714B">
        <w:rPr>
          <w:rFonts w:eastAsia="Calibri" w:cs="Times New Roman"/>
          <w:bCs/>
          <w:szCs w:val="26"/>
        </w:rPr>
        <w:t xml:space="preserve">additional </w:t>
      </w:r>
      <w:r w:rsidR="00A97CB5" w:rsidRPr="00F1714B">
        <w:rPr>
          <w:rFonts w:eastAsia="Calibri" w:cs="Times New Roman"/>
          <w:bCs/>
          <w:szCs w:val="26"/>
        </w:rPr>
        <w:t>input</w:t>
      </w:r>
      <w:r w:rsidR="009C2A25" w:rsidRPr="00F1714B">
        <w:rPr>
          <w:rFonts w:eastAsia="Calibri" w:cs="Times New Roman"/>
          <w:bCs/>
          <w:szCs w:val="26"/>
        </w:rPr>
        <w:t xml:space="preserve"> </w:t>
      </w:r>
      <w:r w:rsidR="00E46E6C" w:rsidRPr="00F1714B">
        <w:rPr>
          <w:rFonts w:eastAsia="Calibri" w:cs="Times New Roman"/>
          <w:bCs/>
          <w:szCs w:val="26"/>
        </w:rPr>
        <w:t xml:space="preserve">from interested stakeholders </w:t>
      </w:r>
      <w:r w:rsidR="00A97CB5" w:rsidRPr="00F1714B">
        <w:rPr>
          <w:rFonts w:eastAsia="Calibri" w:cs="Times New Roman"/>
          <w:bCs/>
          <w:szCs w:val="26"/>
        </w:rPr>
        <w:t xml:space="preserve">on the </w:t>
      </w:r>
      <w:r w:rsidR="00E46E6C" w:rsidRPr="00F1714B">
        <w:rPr>
          <w:rFonts w:eastAsia="Calibri" w:cs="Times New Roman"/>
          <w:bCs/>
          <w:szCs w:val="26"/>
        </w:rPr>
        <w:t xml:space="preserve">Commission’s </w:t>
      </w:r>
      <w:r w:rsidR="00A97CB5" w:rsidRPr="00F1714B">
        <w:rPr>
          <w:rFonts w:eastAsia="Calibri" w:cs="Times New Roman"/>
          <w:bCs/>
          <w:szCs w:val="26"/>
        </w:rPr>
        <w:t xml:space="preserve">proposed modifications to the Chapters 53, </w:t>
      </w:r>
      <w:r w:rsidR="009678F9" w:rsidRPr="00F1714B">
        <w:rPr>
          <w:rFonts w:eastAsia="Calibri" w:cs="Times New Roman"/>
          <w:bCs/>
          <w:szCs w:val="26"/>
        </w:rPr>
        <w:t xml:space="preserve">63 and 64 </w:t>
      </w:r>
      <w:r w:rsidR="00E46E6C" w:rsidRPr="00F1714B">
        <w:rPr>
          <w:rFonts w:eastAsia="Calibri" w:cs="Times New Roman"/>
          <w:bCs/>
          <w:szCs w:val="26"/>
        </w:rPr>
        <w:t xml:space="preserve">telecommunications </w:t>
      </w:r>
      <w:r w:rsidR="009678F9" w:rsidRPr="00F1714B">
        <w:rPr>
          <w:rFonts w:eastAsia="Calibri" w:cs="Times New Roman"/>
          <w:bCs/>
          <w:szCs w:val="26"/>
        </w:rPr>
        <w:t>regulations.</w:t>
      </w:r>
    </w:p>
    <w:p w14:paraId="673E92EC" w14:textId="77777777" w:rsidR="00477D44" w:rsidRPr="00F1714B" w:rsidRDefault="00477D44" w:rsidP="00E55426">
      <w:pPr>
        <w:ind w:firstLine="720"/>
        <w:contextualSpacing/>
        <w:rPr>
          <w:rFonts w:eastAsia="Calibri" w:cs="Times New Roman"/>
          <w:bCs/>
          <w:szCs w:val="26"/>
        </w:rPr>
      </w:pPr>
    </w:p>
    <w:p w14:paraId="25561591" w14:textId="49155792" w:rsidR="007C09EF" w:rsidRPr="00F1714B" w:rsidRDefault="009C2A25" w:rsidP="00E55426">
      <w:pPr>
        <w:ind w:firstLine="720"/>
        <w:contextualSpacing/>
        <w:rPr>
          <w:rFonts w:eastAsia="Calibri" w:cs="Times New Roman"/>
          <w:bCs/>
          <w:szCs w:val="26"/>
        </w:rPr>
      </w:pPr>
      <w:r w:rsidRPr="00F1714B">
        <w:rPr>
          <w:rFonts w:eastAsia="Calibri" w:cs="Times New Roman"/>
          <w:bCs/>
          <w:szCs w:val="26"/>
        </w:rPr>
        <w:t xml:space="preserve">By </w:t>
      </w:r>
      <w:r w:rsidR="00A26A74" w:rsidRPr="00F1714B">
        <w:rPr>
          <w:rFonts w:eastAsia="Calibri" w:cs="Times New Roman"/>
          <w:bCs/>
          <w:szCs w:val="26"/>
        </w:rPr>
        <w:t>o</w:t>
      </w:r>
      <w:r w:rsidRPr="00F1714B">
        <w:rPr>
          <w:rFonts w:eastAsia="Calibri" w:cs="Times New Roman"/>
          <w:bCs/>
          <w:szCs w:val="26"/>
        </w:rPr>
        <w:t>rder</w:t>
      </w:r>
      <w:r w:rsidR="00A26A74" w:rsidRPr="00F1714B">
        <w:rPr>
          <w:rFonts w:eastAsia="Calibri" w:cs="Times New Roman"/>
          <w:bCs/>
          <w:szCs w:val="26"/>
        </w:rPr>
        <w:t xml:space="preserve"> dated</w:t>
      </w:r>
      <w:r w:rsidRPr="00F1714B">
        <w:rPr>
          <w:rFonts w:eastAsia="Calibri" w:cs="Times New Roman"/>
          <w:bCs/>
          <w:szCs w:val="26"/>
        </w:rPr>
        <w:t xml:space="preserve"> September 21, 2020</w:t>
      </w:r>
      <w:r w:rsidR="00F46947" w:rsidRPr="00F1714B">
        <w:rPr>
          <w:rFonts w:eastAsia="Calibri" w:cs="Times New Roman"/>
          <w:bCs/>
          <w:szCs w:val="26"/>
        </w:rPr>
        <w:t xml:space="preserve">, the Commission issued </w:t>
      </w:r>
      <w:r w:rsidR="00AC19AC" w:rsidRPr="00F1714B">
        <w:rPr>
          <w:rFonts w:eastAsia="Calibri" w:cs="Times New Roman"/>
          <w:bCs/>
          <w:szCs w:val="26"/>
        </w:rPr>
        <w:t>its Notice of Proposed Rulemaking Order (</w:t>
      </w:r>
      <w:r w:rsidR="00A75275" w:rsidRPr="00F1714B">
        <w:rPr>
          <w:rFonts w:eastAsia="Calibri" w:cs="Times New Roman"/>
          <w:bCs/>
          <w:i/>
          <w:iCs/>
          <w:szCs w:val="26"/>
        </w:rPr>
        <w:t>NPRM Order</w:t>
      </w:r>
      <w:r w:rsidR="00AC19AC" w:rsidRPr="00F1714B">
        <w:rPr>
          <w:rFonts w:eastAsia="Calibri" w:cs="Times New Roman"/>
          <w:bCs/>
          <w:i/>
          <w:iCs/>
          <w:szCs w:val="26"/>
        </w:rPr>
        <w:t>)</w:t>
      </w:r>
      <w:r w:rsidR="00DB24C0" w:rsidRPr="00F1714B">
        <w:rPr>
          <w:rFonts w:eastAsia="Calibri" w:cs="Times New Roman"/>
          <w:bCs/>
          <w:i/>
          <w:iCs/>
          <w:szCs w:val="26"/>
        </w:rPr>
        <w:t xml:space="preserve"> </w:t>
      </w:r>
      <w:r w:rsidR="00DB24C0" w:rsidRPr="00F1714B">
        <w:rPr>
          <w:rFonts w:eastAsia="Calibri" w:cs="Times New Roman"/>
          <w:bCs/>
          <w:szCs w:val="26"/>
        </w:rPr>
        <w:t>and accompanying Annex that set forth the</w:t>
      </w:r>
      <w:r w:rsidR="00A26A74" w:rsidRPr="00F1714B">
        <w:rPr>
          <w:rFonts w:eastAsia="Calibri" w:cs="Times New Roman"/>
          <w:bCs/>
          <w:szCs w:val="26"/>
        </w:rPr>
        <w:t xml:space="preserve"> actual</w:t>
      </w:r>
      <w:r w:rsidR="00DB24C0" w:rsidRPr="00F1714B">
        <w:rPr>
          <w:rFonts w:eastAsia="Calibri" w:cs="Times New Roman"/>
          <w:bCs/>
          <w:szCs w:val="26"/>
        </w:rPr>
        <w:t xml:space="preserve"> proposed revisions to </w:t>
      </w:r>
      <w:r w:rsidR="00E46E6C" w:rsidRPr="00F1714B">
        <w:rPr>
          <w:rFonts w:eastAsia="Calibri" w:cs="Times New Roman"/>
          <w:bCs/>
          <w:szCs w:val="26"/>
        </w:rPr>
        <w:t xml:space="preserve">the pertinent </w:t>
      </w:r>
      <w:r w:rsidR="007E435C" w:rsidRPr="00F1714B">
        <w:rPr>
          <w:rFonts w:eastAsia="Calibri" w:cs="Times New Roman"/>
          <w:bCs/>
          <w:szCs w:val="26"/>
        </w:rPr>
        <w:t xml:space="preserve">regulations in </w:t>
      </w:r>
      <w:r w:rsidR="00DB24C0" w:rsidRPr="00F1714B">
        <w:rPr>
          <w:rFonts w:eastAsia="Calibri" w:cs="Times New Roman"/>
          <w:bCs/>
          <w:szCs w:val="26"/>
        </w:rPr>
        <w:t>Chapter</w:t>
      </w:r>
      <w:r w:rsidR="00E46E6C" w:rsidRPr="00F1714B">
        <w:rPr>
          <w:rFonts w:eastAsia="Calibri" w:cs="Times New Roman"/>
          <w:bCs/>
          <w:szCs w:val="26"/>
        </w:rPr>
        <w:t>s</w:t>
      </w:r>
      <w:r w:rsidR="00DB24C0" w:rsidRPr="00F1714B">
        <w:rPr>
          <w:rFonts w:eastAsia="Calibri" w:cs="Times New Roman"/>
          <w:bCs/>
          <w:szCs w:val="26"/>
        </w:rPr>
        <w:t xml:space="preserve"> 53, 63 and 64</w:t>
      </w:r>
      <w:r w:rsidR="00F44B7C" w:rsidRPr="00F1714B">
        <w:rPr>
          <w:rFonts w:eastAsia="Calibri" w:cs="Times New Roman"/>
          <w:bCs/>
          <w:szCs w:val="26"/>
        </w:rPr>
        <w:t xml:space="preserve"> of Title 52 of the Pa. Code</w:t>
      </w:r>
      <w:r w:rsidR="00DB24C0" w:rsidRPr="00F1714B">
        <w:rPr>
          <w:rFonts w:eastAsia="Calibri" w:cs="Times New Roman"/>
          <w:bCs/>
          <w:szCs w:val="26"/>
        </w:rPr>
        <w:t xml:space="preserve">.  </w:t>
      </w:r>
      <w:bookmarkStart w:id="5" w:name="_Hlk81474433"/>
      <w:r w:rsidR="00DB24C0" w:rsidRPr="00F1714B">
        <w:rPr>
          <w:rFonts w:eastAsia="Calibri" w:cs="Times New Roman"/>
          <w:bCs/>
          <w:szCs w:val="26"/>
        </w:rPr>
        <w:t>Essentially, in th</w:t>
      </w:r>
      <w:r w:rsidR="00E46E6C" w:rsidRPr="00F1714B">
        <w:rPr>
          <w:rFonts w:eastAsia="Calibri" w:cs="Times New Roman"/>
          <w:bCs/>
          <w:szCs w:val="26"/>
        </w:rPr>
        <w:t>is</w:t>
      </w:r>
      <w:r w:rsidR="00DB24C0" w:rsidRPr="00F1714B">
        <w:rPr>
          <w:rFonts w:eastAsia="Calibri" w:cs="Times New Roman"/>
          <w:bCs/>
          <w:szCs w:val="26"/>
        </w:rPr>
        <w:t xml:space="preserve"> </w:t>
      </w:r>
      <w:r w:rsidR="00DB24C0" w:rsidRPr="00F1714B">
        <w:rPr>
          <w:rFonts w:eastAsia="Calibri" w:cs="Times New Roman"/>
          <w:bCs/>
          <w:i/>
          <w:iCs/>
          <w:szCs w:val="26"/>
        </w:rPr>
        <w:t>NPRM Order</w:t>
      </w:r>
      <w:r w:rsidR="00DB24C0" w:rsidRPr="00F1714B">
        <w:rPr>
          <w:rFonts w:eastAsia="Calibri" w:cs="Times New Roman"/>
          <w:bCs/>
          <w:szCs w:val="26"/>
        </w:rPr>
        <w:t xml:space="preserve">, the Commission explicitly expressed its rationale for </w:t>
      </w:r>
      <w:r w:rsidR="008A2631" w:rsidRPr="00F1714B">
        <w:rPr>
          <w:rFonts w:eastAsia="Calibri" w:cs="Times New Roman"/>
          <w:bCs/>
          <w:szCs w:val="26"/>
        </w:rPr>
        <w:t xml:space="preserve">the following </w:t>
      </w:r>
      <w:r w:rsidR="00DB24C0" w:rsidRPr="00F1714B">
        <w:rPr>
          <w:rFonts w:eastAsia="Calibri" w:cs="Times New Roman"/>
          <w:bCs/>
          <w:szCs w:val="26"/>
        </w:rPr>
        <w:t>proposals</w:t>
      </w:r>
      <w:r w:rsidR="008A2631" w:rsidRPr="00F1714B">
        <w:rPr>
          <w:rFonts w:eastAsia="Calibri" w:cs="Times New Roman"/>
          <w:bCs/>
          <w:szCs w:val="26"/>
        </w:rPr>
        <w:t xml:space="preserve">: (1) </w:t>
      </w:r>
      <w:r w:rsidR="00C62B19" w:rsidRPr="00F1714B">
        <w:rPr>
          <w:rFonts w:eastAsia="Calibri" w:cs="Times New Roman"/>
          <w:bCs/>
          <w:szCs w:val="26"/>
        </w:rPr>
        <w:t xml:space="preserve">making the temporary regulatory waivers that had been granted in the </w:t>
      </w:r>
      <w:r w:rsidR="00C62B19" w:rsidRPr="00F1714B">
        <w:rPr>
          <w:rFonts w:eastAsia="Calibri" w:cs="Times New Roman"/>
          <w:bCs/>
          <w:i/>
          <w:iCs/>
          <w:szCs w:val="26"/>
        </w:rPr>
        <w:t>Reclassification Order</w:t>
      </w:r>
      <w:r w:rsidR="00C62B19" w:rsidRPr="00F1714B">
        <w:rPr>
          <w:rFonts w:eastAsia="Calibri" w:cs="Times New Roman"/>
          <w:bCs/>
          <w:szCs w:val="26"/>
        </w:rPr>
        <w:t xml:space="preserve"> </w:t>
      </w:r>
      <w:r w:rsidR="00A75275" w:rsidRPr="00F1714B">
        <w:rPr>
          <w:rFonts w:eastAsia="Calibri" w:cs="Times New Roman"/>
          <w:bCs/>
          <w:szCs w:val="26"/>
        </w:rPr>
        <w:t>permanent on an industry-wide basis</w:t>
      </w:r>
      <w:r w:rsidR="008A2631" w:rsidRPr="00F1714B">
        <w:rPr>
          <w:rFonts w:eastAsia="Calibri" w:cs="Times New Roman"/>
          <w:bCs/>
          <w:szCs w:val="26"/>
        </w:rPr>
        <w:t>, (2)</w:t>
      </w:r>
      <w:r w:rsidR="00380EF3" w:rsidRPr="00F1714B">
        <w:rPr>
          <w:rFonts w:eastAsia="Calibri" w:cs="Times New Roman"/>
          <w:bCs/>
          <w:i/>
          <w:iCs/>
          <w:szCs w:val="26"/>
        </w:rPr>
        <w:t> </w:t>
      </w:r>
      <w:r w:rsidR="00C62B19" w:rsidRPr="00F1714B">
        <w:rPr>
          <w:rFonts w:eastAsia="Calibri" w:cs="Times New Roman"/>
          <w:bCs/>
          <w:szCs w:val="26"/>
        </w:rPr>
        <w:t>making</w:t>
      </w:r>
      <w:r w:rsidR="00A75275" w:rsidRPr="00F1714B">
        <w:rPr>
          <w:rFonts w:cs="Times New Roman"/>
          <w:szCs w:val="26"/>
        </w:rPr>
        <w:t xml:space="preserve"> </w:t>
      </w:r>
      <w:r w:rsidR="00C62B19" w:rsidRPr="00F1714B">
        <w:rPr>
          <w:rFonts w:cs="Times New Roman"/>
          <w:szCs w:val="26"/>
        </w:rPr>
        <w:t xml:space="preserve">permanent the </w:t>
      </w:r>
      <w:r w:rsidR="00A75275" w:rsidRPr="00F1714B">
        <w:rPr>
          <w:rFonts w:cs="Times New Roman"/>
          <w:szCs w:val="26"/>
        </w:rPr>
        <w:t xml:space="preserve">temporary </w:t>
      </w:r>
      <w:r w:rsidR="00EF490F" w:rsidRPr="00F1714B">
        <w:rPr>
          <w:rFonts w:cs="Times New Roman"/>
          <w:szCs w:val="26"/>
        </w:rPr>
        <w:t xml:space="preserve">detariffing </w:t>
      </w:r>
      <w:r w:rsidR="00A75275" w:rsidRPr="00F1714B">
        <w:rPr>
          <w:rFonts w:cs="Times New Roman"/>
          <w:szCs w:val="26"/>
        </w:rPr>
        <w:t xml:space="preserve">waivers that at various times were </w:t>
      </w:r>
      <w:r w:rsidR="00A75275" w:rsidRPr="00F1714B">
        <w:rPr>
          <w:rFonts w:cs="Times New Roman"/>
          <w:szCs w:val="26"/>
        </w:rPr>
        <w:lastRenderedPageBreak/>
        <w:t xml:space="preserve">granted to regulated telecommunications utilities operating under our jurisdiction and </w:t>
      </w:r>
      <w:r w:rsidR="008A2631" w:rsidRPr="00F1714B">
        <w:rPr>
          <w:rFonts w:cs="Times New Roman"/>
          <w:szCs w:val="26"/>
        </w:rPr>
        <w:t>(3)</w:t>
      </w:r>
      <w:r w:rsidR="00380EF3" w:rsidRPr="00F1714B">
        <w:rPr>
          <w:rFonts w:cs="Times New Roman"/>
          <w:szCs w:val="26"/>
        </w:rPr>
        <w:t> </w:t>
      </w:r>
      <w:r w:rsidR="00A75275" w:rsidRPr="00F1714B">
        <w:rPr>
          <w:rFonts w:cs="Times New Roman"/>
          <w:szCs w:val="26"/>
        </w:rPr>
        <w:t>rescind</w:t>
      </w:r>
      <w:r w:rsidR="00C62B19" w:rsidRPr="00F1714B">
        <w:rPr>
          <w:rFonts w:cs="Times New Roman"/>
          <w:szCs w:val="26"/>
        </w:rPr>
        <w:t xml:space="preserve">ing </w:t>
      </w:r>
      <w:r w:rsidR="00A75275" w:rsidRPr="00F1714B">
        <w:rPr>
          <w:rFonts w:cs="Times New Roman"/>
          <w:szCs w:val="26"/>
        </w:rPr>
        <w:t>obsolete Chapter 63 and 64 regulations</w:t>
      </w:r>
      <w:r w:rsidR="00A75275" w:rsidRPr="00F1714B">
        <w:rPr>
          <w:rFonts w:eastAsia="Calibri" w:cs="Times New Roman"/>
          <w:bCs/>
          <w:szCs w:val="26"/>
        </w:rPr>
        <w:t>.</w:t>
      </w:r>
      <w:r w:rsidR="00A75275" w:rsidRPr="00F1714B">
        <w:rPr>
          <w:rStyle w:val="FootnoteReference"/>
          <w:rFonts w:eastAsia="Calibri" w:cs="Times New Roman"/>
          <w:bCs/>
          <w:szCs w:val="26"/>
        </w:rPr>
        <w:footnoteReference w:id="27"/>
      </w:r>
      <w:r w:rsidR="00A75275" w:rsidRPr="00F1714B">
        <w:rPr>
          <w:rFonts w:eastAsia="Calibri" w:cs="Times New Roman"/>
          <w:bCs/>
          <w:szCs w:val="26"/>
        </w:rPr>
        <w:t xml:space="preserve">  </w:t>
      </w:r>
    </w:p>
    <w:bookmarkEnd w:id="5"/>
    <w:p w14:paraId="21979C70" w14:textId="77777777" w:rsidR="007C09EF" w:rsidRPr="00F1714B" w:rsidRDefault="007C09EF" w:rsidP="00E55426">
      <w:pPr>
        <w:ind w:firstLine="720"/>
        <w:contextualSpacing/>
        <w:rPr>
          <w:rFonts w:eastAsia="Calibri" w:cs="Times New Roman"/>
          <w:bCs/>
          <w:szCs w:val="26"/>
        </w:rPr>
      </w:pPr>
    </w:p>
    <w:p w14:paraId="030FDB42" w14:textId="74B3D1C6" w:rsidR="00E47AD0" w:rsidRPr="00F1714B" w:rsidRDefault="00DB24C0" w:rsidP="00705587">
      <w:pPr>
        <w:ind w:firstLine="720"/>
        <w:contextualSpacing/>
        <w:rPr>
          <w:rFonts w:eastAsia="Calibri" w:cs="Times New Roman"/>
          <w:bCs/>
          <w:szCs w:val="26"/>
        </w:rPr>
      </w:pPr>
      <w:r w:rsidRPr="00F1714B">
        <w:rPr>
          <w:rFonts w:eastAsia="Calibri" w:cs="Times New Roman"/>
          <w:bCs/>
          <w:szCs w:val="26"/>
        </w:rPr>
        <w:t xml:space="preserve">In the </w:t>
      </w:r>
      <w:r w:rsidRPr="00F1714B">
        <w:rPr>
          <w:rFonts w:eastAsia="Calibri" w:cs="Times New Roman"/>
          <w:bCs/>
          <w:i/>
          <w:iCs/>
          <w:szCs w:val="26"/>
        </w:rPr>
        <w:t>NPRM Order</w:t>
      </w:r>
      <w:r w:rsidRPr="00F1714B">
        <w:rPr>
          <w:rFonts w:eastAsia="Calibri" w:cs="Times New Roman"/>
          <w:bCs/>
          <w:szCs w:val="26"/>
        </w:rPr>
        <w:t>, t</w:t>
      </w:r>
      <w:r w:rsidR="002C2EFE" w:rsidRPr="00F1714B">
        <w:rPr>
          <w:rFonts w:eastAsia="Calibri" w:cs="Times New Roman"/>
          <w:bCs/>
          <w:szCs w:val="26"/>
        </w:rPr>
        <w:t xml:space="preserve">he Commission solicited comments from interested stakeholders on </w:t>
      </w:r>
      <w:r w:rsidR="005C6972" w:rsidRPr="00F1714B">
        <w:rPr>
          <w:rFonts w:eastAsia="Calibri" w:cs="Times New Roman"/>
          <w:bCs/>
          <w:szCs w:val="26"/>
        </w:rPr>
        <w:t xml:space="preserve">these </w:t>
      </w:r>
      <w:r w:rsidR="002C2EFE" w:rsidRPr="00F1714B">
        <w:rPr>
          <w:rFonts w:eastAsia="Calibri" w:cs="Times New Roman"/>
          <w:bCs/>
          <w:szCs w:val="26"/>
        </w:rPr>
        <w:t>proposals within the Annex so that the</w:t>
      </w:r>
      <w:r w:rsidR="00E46E6C" w:rsidRPr="00F1714B">
        <w:rPr>
          <w:rFonts w:eastAsia="Calibri" w:cs="Times New Roman"/>
          <w:bCs/>
          <w:szCs w:val="26"/>
        </w:rPr>
        <w:t>ir input</w:t>
      </w:r>
      <w:r w:rsidR="002C2EFE" w:rsidRPr="00F1714B">
        <w:rPr>
          <w:rFonts w:eastAsia="Calibri" w:cs="Times New Roman"/>
          <w:bCs/>
          <w:szCs w:val="26"/>
        </w:rPr>
        <w:t xml:space="preserve"> could assist the Commission in determining whether </w:t>
      </w:r>
      <w:r w:rsidR="005C6972" w:rsidRPr="00F1714B">
        <w:rPr>
          <w:rFonts w:eastAsia="Calibri" w:cs="Times New Roman"/>
          <w:bCs/>
          <w:szCs w:val="26"/>
        </w:rPr>
        <w:t>the</w:t>
      </w:r>
      <w:r w:rsidR="00182A9D" w:rsidRPr="00F1714B">
        <w:rPr>
          <w:rFonts w:eastAsia="Calibri" w:cs="Times New Roman"/>
          <w:bCs/>
          <w:szCs w:val="26"/>
        </w:rPr>
        <w:t xml:space="preserve"> </w:t>
      </w:r>
      <w:r w:rsidR="002C2EFE" w:rsidRPr="00F1714B">
        <w:rPr>
          <w:rFonts w:eastAsia="Calibri" w:cs="Times New Roman"/>
          <w:bCs/>
          <w:szCs w:val="26"/>
        </w:rPr>
        <w:t xml:space="preserve">proposals were warranted.  The </w:t>
      </w:r>
      <w:r w:rsidR="002C2EFE" w:rsidRPr="00F1714B">
        <w:rPr>
          <w:rFonts w:eastAsia="Calibri" w:cs="Times New Roman"/>
          <w:bCs/>
          <w:i/>
          <w:iCs/>
          <w:szCs w:val="26"/>
        </w:rPr>
        <w:t>NPRM Order</w:t>
      </w:r>
      <w:r w:rsidR="002C2EFE" w:rsidRPr="00F1714B">
        <w:rPr>
          <w:rFonts w:eastAsia="Calibri" w:cs="Times New Roman"/>
          <w:bCs/>
          <w:szCs w:val="26"/>
        </w:rPr>
        <w:t xml:space="preserve"> and accompanying Annex were published in the Pennsylvania Bulletin on April 10, 2021.</w:t>
      </w:r>
      <w:r w:rsidR="002C2EFE" w:rsidRPr="00F1714B">
        <w:rPr>
          <w:rStyle w:val="FootnoteReference"/>
          <w:rFonts w:eastAsia="Calibri" w:cs="Times New Roman"/>
          <w:bCs/>
          <w:szCs w:val="26"/>
        </w:rPr>
        <w:footnoteReference w:id="28"/>
      </w:r>
    </w:p>
    <w:p w14:paraId="0BFFD0EE" w14:textId="2E27E7CA" w:rsidR="002858F1" w:rsidRPr="00F1714B" w:rsidRDefault="002858F1" w:rsidP="00705587">
      <w:pPr>
        <w:ind w:firstLine="720"/>
        <w:contextualSpacing/>
        <w:rPr>
          <w:rFonts w:eastAsia="Calibri" w:cs="Times New Roman"/>
          <w:bCs/>
          <w:szCs w:val="26"/>
        </w:rPr>
      </w:pPr>
    </w:p>
    <w:p w14:paraId="1930F33A" w14:textId="5A8C8BA0" w:rsidR="002858F1" w:rsidRPr="00F1714B" w:rsidRDefault="002858F1" w:rsidP="00705587">
      <w:pPr>
        <w:ind w:firstLine="720"/>
        <w:contextualSpacing/>
        <w:rPr>
          <w:rFonts w:eastAsia="Calibri" w:cs="Times New Roman"/>
          <w:bCs/>
          <w:szCs w:val="26"/>
        </w:rPr>
      </w:pPr>
      <w:r w:rsidRPr="00F1714B">
        <w:rPr>
          <w:rFonts w:eastAsia="Calibri" w:cs="Times New Roman"/>
          <w:bCs/>
          <w:szCs w:val="26"/>
        </w:rPr>
        <w:t xml:space="preserve">On May 25, 2021, the Commission received initial comments </w:t>
      </w:r>
      <w:r w:rsidR="009D47FB" w:rsidRPr="00F1714B">
        <w:rPr>
          <w:rFonts w:eastAsia="Calibri" w:cs="Times New Roman"/>
          <w:bCs/>
          <w:szCs w:val="26"/>
        </w:rPr>
        <w:t>from CAUSE-PA, OCA, Tri-Co Connections LLC and Claverack Communications LLC (</w:t>
      </w:r>
      <w:bookmarkStart w:id="6" w:name="_Hlk76993875"/>
      <w:r w:rsidR="009D47FB" w:rsidRPr="00F1714B">
        <w:rPr>
          <w:rFonts w:eastAsia="Calibri" w:cs="Times New Roman"/>
          <w:bCs/>
          <w:szCs w:val="26"/>
        </w:rPr>
        <w:t>collectively “TCC/CCL</w:t>
      </w:r>
      <w:bookmarkEnd w:id="6"/>
      <w:r w:rsidR="009D47FB" w:rsidRPr="00F1714B">
        <w:rPr>
          <w:rFonts w:eastAsia="Calibri" w:cs="Times New Roman"/>
          <w:bCs/>
          <w:szCs w:val="26"/>
        </w:rPr>
        <w:t>”)</w:t>
      </w:r>
      <w:r w:rsidR="0027626F" w:rsidRPr="00F1714B">
        <w:rPr>
          <w:rFonts w:eastAsia="Calibri" w:cs="Times New Roman"/>
          <w:bCs/>
          <w:szCs w:val="26"/>
        </w:rPr>
        <w:t>,</w:t>
      </w:r>
      <w:r w:rsidR="009D47FB" w:rsidRPr="00F1714B">
        <w:rPr>
          <w:rFonts w:eastAsia="Calibri" w:cs="Times New Roman"/>
          <w:bCs/>
          <w:szCs w:val="26"/>
        </w:rPr>
        <w:t xml:space="preserve"> Thryv</w:t>
      </w:r>
      <w:r w:rsidR="0027626F" w:rsidRPr="00F1714B">
        <w:rPr>
          <w:rFonts w:eastAsia="Calibri" w:cs="Times New Roman"/>
          <w:bCs/>
          <w:szCs w:val="26"/>
        </w:rPr>
        <w:t xml:space="preserve"> and Verizon</w:t>
      </w:r>
      <w:r w:rsidR="009D47FB" w:rsidRPr="00F1714B">
        <w:rPr>
          <w:rFonts w:eastAsia="Calibri" w:cs="Times New Roman"/>
          <w:bCs/>
          <w:szCs w:val="26"/>
        </w:rPr>
        <w:t xml:space="preserve"> </w:t>
      </w:r>
      <w:r w:rsidR="0091737C" w:rsidRPr="00F1714B">
        <w:rPr>
          <w:rFonts w:eastAsia="Calibri" w:cs="Times New Roman"/>
          <w:bCs/>
          <w:szCs w:val="26"/>
        </w:rPr>
        <w:t>in response to the</w:t>
      </w:r>
      <w:r w:rsidR="00E46E6C" w:rsidRPr="00F1714B">
        <w:rPr>
          <w:rFonts w:eastAsia="Calibri" w:cs="Times New Roman"/>
          <w:bCs/>
          <w:szCs w:val="26"/>
        </w:rPr>
        <w:t xml:space="preserve"> proposed </w:t>
      </w:r>
      <w:r w:rsidR="00DB24C0" w:rsidRPr="00F1714B">
        <w:rPr>
          <w:rFonts w:eastAsia="Calibri" w:cs="Times New Roman"/>
          <w:bCs/>
          <w:szCs w:val="26"/>
        </w:rPr>
        <w:t xml:space="preserve">regulatory </w:t>
      </w:r>
      <w:r w:rsidR="00177A9F" w:rsidRPr="00F1714B">
        <w:rPr>
          <w:rFonts w:eastAsia="Calibri" w:cs="Times New Roman"/>
          <w:bCs/>
          <w:szCs w:val="26"/>
        </w:rPr>
        <w:t>modification</w:t>
      </w:r>
      <w:r w:rsidR="00B01578" w:rsidRPr="00F1714B">
        <w:rPr>
          <w:rFonts w:eastAsia="Calibri" w:cs="Times New Roman"/>
          <w:bCs/>
          <w:szCs w:val="26"/>
        </w:rPr>
        <w:t>s</w:t>
      </w:r>
      <w:r w:rsidR="00177A9F" w:rsidRPr="00F1714B">
        <w:rPr>
          <w:rFonts w:eastAsia="Calibri" w:cs="Times New Roman"/>
          <w:bCs/>
          <w:szCs w:val="26"/>
        </w:rPr>
        <w:t xml:space="preserve"> </w:t>
      </w:r>
      <w:r w:rsidR="00675287" w:rsidRPr="00F1714B">
        <w:rPr>
          <w:rFonts w:eastAsia="Calibri" w:cs="Times New Roman"/>
          <w:bCs/>
          <w:szCs w:val="26"/>
        </w:rPr>
        <w:t xml:space="preserve">that were </w:t>
      </w:r>
      <w:r w:rsidR="009D47FB" w:rsidRPr="00F1714B">
        <w:rPr>
          <w:rFonts w:eastAsia="Calibri" w:cs="Times New Roman"/>
          <w:bCs/>
          <w:szCs w:val="26"/>
        </w:rPr>
        <w:t xml:space="preserve">set forth in the </w:t>
      </w:r>
      <w:r w:rsidRPr="00F1714B">
        <w:rPr>
          <w:rFonts w:eastAsia="Calibri" w:cs="Times New Roman"/>
          <w:bCs/>
          <w:szCs w:val="26"/>
        </w:rPr>
        <w:t xml:space="preserve">Annex.  The </w:t>
      </w:r>
      <w:r w:rsidR="000D5DE9" w:rsidRPr="00F1714B">
        <w:rPr>
          <w:rFonts w:eastAsia="Calibri" w:cs="Times New Roman"/>
          <w:bCs/>
          <w:szCs w:val="26"/>
        </w:rPr>
        <w:t>PTA</w:t>
      </w:r>
      <w:r w:rsidRPr="00F1714B">
        <w:rPr>
          <w:rFonts w:eastAsia="Calibri" w:cs="Times New Roman"/>
          <w:bCs/>
          <w:szCs w:val="26"/>
        </w:rPr>
        <w:t xml:space="preserve"> filed a letter in lieu of </w:t>
      </w:r>
      <w:r w:rsidR="0091737C" w:rsidRPr="00F1714B">
        <w:rPr>
          <w:rFonts w:eastAsia="Calibri" w:cs="Times New Roman"/>
          <w:bCs/>
          <w:szCs w:val="26"/>
        </w:rPr>
        <w:t xml:space="preserve">filing </w:t>
      </w:r>
      <w:r w:rsidRPr="00F1714B">
        <w:rPr>
          <w:rFonts w:eastAsia="Calibri" w:cs="Times New Roman"/>
          <w:bCs/>
          <w:szCs w:val="26"/>
        </w:rPr>
        <w:t xml:space="preserve">initial comments.  </w:t>
      </w:r>
      <w:r w:rsidR="00CD179C" w:rsidRPr="00F1714B">
        <w:rPr>
          <w:rFonts w:eastAsia="Calibri" w:cs="Times New Roman"/>
          <w:bCs/>
          <w:szCs w:val="26"/>
        </w:rPr>
        <w:t xml:space="preserve">On June 24, 2021, replies were filed by </w:t>
      </w:r>
      <w:r w:rsidR="00F67501" w:rsidRPr="00F1714B">
        <w:rPr>
          <w:rFonts w:eastAsia="Calibri" w:cs="Times New Roman"/>
          <w:bCs/>
          <w:szCs w:val="26"/>
        </w:rPr>
        <w:t xml:space="preserve">the </w:t>
      </w:r>
      <w:r w:rsidR="00CD179C" w:rsidRPr="00F1714B">
        <w:rPr>
          <w:rFonts w:eastAsia="Calibri" w:cs="Times New Roman"/>
          <w:bCs/>
          <w:szCs w:val="26"/>
        </w:rPr>
        <w:t xml:space="preserve">OCA, PTA, TCC/CCL, Thryv and Verizon.  </w:t>
      </w:r>
      <w:r w:rsidR="00216714" w:rsidRPr="00F1714B">
        <w:rPr>
          <w:rFonts w:eastAsia="Calibri" w:cs="Times New Roman"/>
          <w:bCs/>
          <w:szCs w:val="26"/>
        </w:rPr>
        <w:t>The Independent Regulatory Review Commission</w:t>
      </w:r>
      <w:r w:rsidR="00CD179C" w:rsidRPr="00F1714B">
        <w:rPr>
          <w:rFonts w:eastAsia="Calibri" w:cs="Times New Roman"/>
          <w:bCs/>
          <w:szCs w:val="26"/>
        </w:rPr>
        <w:t xml:space="preserve"> (IRRC) </w:t>
      </w:r>
      <w:r w:rsidR="00216714" w:rsidRPr="00F1714B">
        <w:rPr>
          <w:rFonts w:eastAsia="Calibri" w:cs="Times New Roman"/>
          <w:bCs/>
          <w:szCs w:val="26"/>
        </w:rPr>
        <w:t xml:space="preserve">filed Comments to the Annex on </w:t>
      </w:r>
      <w:r w:rsidR="00CD179C" w:rsidRPr="00F1714B">
        <w:rPr>
          <w:rFonts w:eastAsia="Calibri" w:cs="Times New Roman"/>
          <w:bCs/>
          <w:szCs w:val="26"/>
        </w:rPr>
        <w:t>July 23</w:t>
      </w:r>
      <w:r w:rsidR="00216714" w:rsidRPr="00F1714B">
        <w:rPr>
          <w:rFonts w:eastAsia="Calibri" w:cs="Times New Roman"/>
          <w:bCs/>
          <w:szCs w:val="26"/>
        </w:rPr>
        <w:t>, 2021</w:t>
      </w:r>
      <w:r w:rsidRPr="00F1714B">
        <w:rPr>
          <w:rFonts w:eastAsia="Calibri" w:cs="Times New Roman"/>
          <w:bCs/>
          <w:szCs w:val="26"/>
        </w:rPr>
        <w:t xml:space="preserve">.  </w:t>
      </w:r>
    </w:p>
    <w:p w14:paraId="2339F382" w14:textId="39B8653A" w:rsidR="002858F1" w:rsidRPr="00F1714B" w:rsidRDefault="002858F1" w:rsidP="00705587">
      <w:pPr>
        <w:ind w:firstLine="720"/>
        <w:contextualSpacing/>
        <w:jc w:val="center"/>
        <w:rPr>
          <w:rFonts w:eastAsia="Calibri" w:cs="Times New Roman"/>
          <w:bCs/>
          <w:szCs w:val="26"/>
        </w:rPr>
      </w:pPr>
    </w:p>
    <w:p w14:paraId="7AEF0E7E" w14:textId="26BC906F" w:rsidR="001B3461" w:rsidRPr="00F1714B" w:rsidRDefault="0091737C" w:rsidP="00705587">
      <w:pPr>
        <w:jc w:val="center"/>
        <w:rPr>
          <w:rFonts w:cs="Times New Roman"/>
          <w:b/>
          <w:bCs/>
          <w:szCs w:val="26"/>
        </w:rPr>
      </w:pPr>
      <w:r w:rsidRPr="00F1714B">
        <w:rPr>
          <w:rFonts w:cs="Times New Roman"/>
          <w:b/>
          <w:bCs/>
          <w:szCs w:val="26"/>
        </w:rPr>
        <w:t>DISCUSSION</w:t>
      </w:r>
    </w:p>
    <w:p w14:paraId="0AD8FB02" w14:textId="04BF0DFB" w:rsidR="009863B0" w:rsidRPr="00F1714B" w:rsidRDefault="00C377F7" w:rsidP="00705587">
      <w:pPr>
        <w:ind w:firstLine="720"/>
        <w:rPr>
          <w:rFonts w:cs="Times New Roman"/>
          <w:szCs w:val="26"/>
        </w:rPr>
      </w:pPr>
      <w:r w:rsidRPr="00F1714B">
        <w:rPr>
          <w:rFonts w:cs="Times New Roman"/>
          <w:szCs w:val="26"/>
        </w:rPr>
        <w:t>In this section of the Preamble, the Commission discusses some of the general comments we received from interested parties on the proposed modifications to Chapters 53, 63 and 64 of Title 52 of the Pa. Code.  We also discuss some of the responses we received in relation to the questions posed in Chairman Dutrieuille’s Statement.</w:t>
      </w:r>
      <w:r w:rsidR="001E361D" w:rsidRPr="00F1714B">
        <w:rPr>
          <w:rFonts w:cs="Times New Roman"/>
          <w:szCs w:val="26"/>
        </w:rPr>
        <w:t xml:space="preserve">  In addressing the comment and replies filed in response to</w:t>
      </w:r>
      <w:r w:rsidR="00A47F18" w:rsidRPr="00F1714B">
        <w:rPr>
          <w:rFonts w:cs="Times New Roman"/>
          <w:szCs w:val="26"/>
        </w:rPr>
        <w:t xml:space="preserve"> our</w:t>
      </w:r>
      <w:r w:rsidR="001E361D" w:rsidRPr="00F1714B">
        <w:rPr>
          <w:rFonts w:cs="Times New Roman"/>
          <w:szCs w:val="26"/>
        </w:rPr>
        <w:t xml:space="preserve"> </w:t>
      </w:r>
      <w:r w:rsidR="001E361D" w:rsidRPr="00F1714B">
        <w:rPr>
          <w:rFonts w:cs="Times New Roman"/>
          <w:i/>
          <w:iCs/>
          <w:szCs w:val="26"/>
        </w:rPr>
        <w:t>NPRM Order</w:t>
      </w:r>
      <w:r w:rsidR="001E361D" w:rsidRPr="00F1714B">
        <w:rPr>
          <w:rFonts w:cs="Times New Roman"/>
          <w:szCs w:val="26"/>
        </w:rPr>
        <w:t xml:space="preserve"> and </w:t>
      </w:r>
      <w:r w:rsidR="00A47F18" w:rsidRPr="00F1714B">
        <w:rPr>
          <w:rFonts w:cs="Times New Roman"/>
          <w:szCs w:val="26"/>
        </w:rPr>
        <w:t xml:space="preserve">the proposed regulations within the </w:t>
      </w:r>
      <w:r w:rsidR="001E361D" w:rsidRPr="00F1714B">
        <w:rPr>
          <w:rFonts w:cs="Times New Roman"/>
          <w:szCs w:val="26"/>
        </w:rPr>
        <w:t xml:space="preserve">accompanying Annex, we are reminded that we are not required to consider expressly or at great length each and every contention raised by a </w:t>
      </w:r>
      <w:r w:rsidR="001E361D" w:rsidRPr="00F1714B">
        <w:rPr>
          <w:rFonts w:cs="Times New Roman"/>
          <w:szCs w:val="26"/>
        </w:rPr>
        <w:lastRenderedPageBreak/>
        <w:t xml:space="preserve">party to our proceedings. </w:t>
      </w:r>
      <w:r w:rsidR="00E43EA2" w:rsidRPr="00F1714B">
        <w:rPr>
          <w:rFonts w:cs="Times New Roman"/>
          <w:i/>
          <w:iCs/>
          <w:szCs w:val="26"/>
        </w:rPr>
        <w:t>University of Pennsylvania v. Pa. PUC</w:t>
      </w:r>
      <w:r w:rsidR="00E43EA2" w:rsidRPr="00F1714B">
        <w:rPr>
          <w:rFonts w:cs="Times New Roman"/>
          <w:szCs w:val="26"/>
        </w:rPr>
        <w:t>, 485 A.2d 1217 (Pa. Cmwlth. 1984)</w:t>
      </w:r>
      <w:r w:rsidR="001E361D" w:rsidRPr="00F1714B">
        <w:rPr>
          <w:rFonts w:cs="Times New Roman"/>
          <w:szCs w:val="26"/>
        </w:rPr>
        <w:t xml:space="preserve">.  Any </w:t>
      </w:r>
      <w:r w:rsidR="006650A8" w:rsidRPr="00F1714B">
        <w:rPr>
          <w:rFonts w:cs="Times New Roman"/>
          <w:szCs w:val="26"/>
        </w:rPr>
        <w:t xml:space="preserve">comment </w:t>
      </w:r>
      <w:r w:rsidR="004C6FFE" w:rsidRPr="00F1714B">
        <w:rPr>
          <w:rFonts w:cs="Times New Roman"/>
          <w:szCs w:val="26"/>
        </w:rPr>
        <w:t xml:space="preserve">or reply comment </w:t>
      </w:r>
      <w:r w:rsidR="001E361D" w:rsidRPr="00F1714B">
        <w:rPr>
          <w:rFonts w:cs="Times New Roman"/>
          <w:szCs w:val="26"/>
        </w:rPr>
        <w:t>that is not specifically addressed herein shall be deemed to have been duly considered and denied without further discussion.</w:t>
      </w:r>
    </w:p>
    <w:p w14:paraId="5BA14206" w14:textId="521B0C33" w:rsidR="00C377F7" w:rsidRPr="00F1714B" w:rsidRDefault="00C377F7" w:rsidP="00705587">
      <w:pPr>
        <w:ind w:firstLine="720"/>
        <w:rPr>
          <w:rFonts w:cs="Times New Roman"/>
          <w:szCs w:val="26"/>
        </w:rPr>
      </w:pPr>
    </w:p>
    <w:p w14:paraId="6A8E89F8" w14:textId="7CB4DD3E" w:rsidR="00177A9F" w:rsidRPr="00F1714B" w:rsidRDefault="00177A9F" w:rsidP="00705587">
      <w:pPr>
        <w:ind w:firstLine="720"/>
        <w:rPr>
          <w:rFonts w:cs="Times New Roman"/>
          <w:b/>
          <w:bCs/>
          <w:szCs w:val="26"/>
        </w:rPr>
      </w:pPr>
      <w:r w:rsidRPr="00F1714B">
        <w:rPr>
          <w:rFonts w:cs="Times New Roman"/>
          <w:b/>
          <w:bCs/>
          <w:szCs w:val="26"/>
        </w:rPr>
        <w:t>A.</w:t>
      </w:r>
      <w:r w:rsidRPr="00F1714B">
        <w:rPr>
          <w:rFonts w:cs="Times New Roman"/>
          <w:b/>
          <w:bCs/>
          <w:szCs w:val="26"/>
        </w:rPr>
        <w:tab/>
      </w:r>
      <w:r w:rsidR="00625F18" w:rsidRPr="00F1714B">
        <w:rPr>
          <w:rFonts w:cs="Times New Roman"/>
          <w:b/>
          <w:bCs/>
          <w:szCs w:val="26"/>
        </w:rPr>
        <w:t xml:space="preserve">Preliminary </w:t>
      </w:r>
      <w:r w:rsidRPr="00F1714B">
        <w:rPr>
          <w:rFonts w:cs="Times New Roman"/>
          <w:b/>
          <w:bCs/>
          <w:szCs w:val="26"/>
        </w:rPr>
        <w:t>Comments</w:t>
      </w:r>
      <w:r w:rsidR="007A1063" w:rsidRPr="00F1714B">
        <w:rPr>
          <w:rFonts w:cs="Times New Roman"/>
          <w:b/>
          <w:bCs/>
          <w:szCs w:val="26"/>
        </w:rPr>
        <w:t xml:space="preserve"> and Replies</w:t>
      </w:r>
    </w:p>
    <w:p w14:paraId="504FC57F" w14:textId="6F55A52A" w:rsidR="001F3FE7" w:rsidRPr="00F1714B" w:rsidRDefault="00FB046E" w:rsidP="00C377F7">
      <w:pPr>
        <w:ind w:firstLine="720"/>
        <w:rPr>
          <w:rFonts w:cs="Times New Roman"/>
          <w:szCs w:val="26"/>
        </w:rPr>
      </w:pPr>
      <w:r w:rsidRPr="00F1714B">
        <w:rPr>
          <w:rFonts w:cs="Times New Roman"/>
          <w:szCs w:val="26"/>
        </w:rPr>
        <w:t xml:space="preserve">CAUSE-PA generally supports retention of many of the Commission’s </w:t>
      </w:r>
      <w:r w:rsidR="00CB6018" w:rsidRPr="00F1714B">
        <w:rPr>
          <w:rFonts w:cs="Times New Roman"/>
          <w:szCs w:val="26"/>
        </w:rPr>
        <w:t xml:space="preserve">proposed </w:t>
      </w:r>
      <w:r w:rsidRPr="00F1714B">
        <w:rPr>
          <w:rFonts w:cs="Times New Roman"/>
          <w:szCs w:val="26"/>
        </w:rPr>
        <w:t xml:space="preserve">rules, consistent with prior </w:t>
      </w:r>
      <w:r w:rsidR="001F3FE7" w:rsidRPr="00F1714B">
        <w:rPr>
          <w:rFonts w:cs="Times New Roman"/>
          <w:szCs w:val="26"/>
        </w:rPr>
        <w:t xml:space="preserve">filed </w:t>
      </w:r>
      <w:r w:rsidRPr="00F1714B">
        <w:rPr>
          <w:rFonts w:cs="Times New Roman"/>
          <w:szCs w:val="26"/>
        </w:rPr>
        <w:t xml:space="preserve">comments </w:t>
      </w:r>
      <w:r w:rsidR="001F3FE7" w:rsidRPr="00F1714B">
        <w:rPr>
          <w:rFonts w:cs="Times New Roman"/>
          <w:szCs w:val="26"/>
        </w:rPr>
        <w:t xml:space="preserve">from the </w:t>
      </w:r>
      <w:r w:rsidRPr="00F1714B">
        <w:rPr>
          <w:rFonts w:cs="Times New Roman"/>
          <w:szCs w:val="26"/>
        </w:rPr>
        <w:t>OCA in response to the ANPR</w:t>
      </w:r>
      <w:r w:rsidR="00011950" w:rsidRPr="00F1714B">
        <w:rPr>
          <w:rFonts w:cs="Times New Roman"/>
          <w:szCs w:val="26"/>
        </w:rPr>
        <w:t>M</w:t>
      </w:r>
      <w:r w:rsidRPr="00F1714B">
        <w:rPr>
          <w:rFonts w:cs="Times New Roman"/>
          <w:szCs w:val="26"/>
        </w:rPr>
        <w:t xml:space="preserve"> and the present NPRM. </w:t>
      </w:r>
      <w:r w:rsidR="001F3FE7" w:rsidRPr="00F1714B">
        <w:rPr>
          <w:rFonts w:cs="Times New Roman"/>
          <w:szCs w:val="26"/>
        </w:rPr>
        <w:t xml:space="preserve"> </w:t>
      </w:r>
      <w:r w:rsidRPr="00F1714B">
        <w:rPr>
          <w:rFonts w:cs="Times New Roman"/>
          <w:szCs w:val="26"/>
        </w:rPr>
        <w:t xml:space="preserve">CAUSE-PA Comments at 2. </w:t>
      </w:r>
      <w:r w:rsidR="001F3FE7" w:rsidRPr="00F1714B">
        <w:rPr>
          <w:rFonts w:cs="Times New Roman"/>
          <w:szCs w:val="26"/>
        </w:rPr>
        <w:t xml:space="preserve"> </w:t>
      </w:r>
      <w:r w:rsidRPr="00F1714B">
        <w:rPr>
          <w:rFonts w:cs="Times New Roman"/>
          <w:szCs w:val="26"/>
        </w:rPr>
        <w:t xml:space="preserve">CAUSE-PA notes that “while telecommunications technology has and continues to evolve, and increased options are available in many areas of the state, there remains a significant divide between those who have access to stable and affordable telecommunication service and those who do not.” </w:t>
      </w:r>
      <w:r w:rsidR="00D71268" w:rsidRPr="00F1714B">
        <w:rPr>
          <w:rFonts w:cs="Times New Roman"/>
          <w:szCs w:val="26"/>
        </w:rPr>
        <w:t xml:space="preserve"> </w:t>
      </w:r>
      <w:r w:rsidRPr="00F1714B">
        <w:rPr>
          <w:rFonts w:cs="Times New Roman"/>
          <w:szCs w:val="26"/>
        </w:rPr>
        <w:t xml:space="preserve">CAUSE-PA Comments at 2-3. </w:t>
      </w:r>
      <w:r w:rsidR="001F3FE7" w:rsidRPr="00F1714B">
        <w:rPr>
          <w:rFonts w:cs="Times New Roman"/>
          <w:szCs w:val="26"/>
        </w:rPr>
        <w:t xml:space="preserve"> </w:t>
      </w:r>
    </w:p>
    <w:p w14:paraId="1F8A6F22" w14:textId="77777777" w:rsidR="001F3FE7" w:rsidRPr="00F1714B" w:rsidRDefault="001F3FE7" w:rsidP="00C377F7">
      <w:pPr>
        <w:ind w:firstLine="720"/>
        <w:rPr>
          <w:rFonts w:cs="Times New Roman"/>
          <w:szCs w:val="26"/>
        </w:rPr>
      </w:pPr>
    </w:p>
    <w:p w14:paraId="6F3784E2" w14:textId="36673104" w:rsidR="00FB046E" w:rsidRPr="00F1714B" w:rsidRDefault="00FB046E" w:rsidP="00C377F7">
      <w:pPr>
        <w:ind w:firstLine="720"/>
        <w:rPr>
          <w:rFonts w:cs="Times New Roman"/>
          <w:szCs w:val="26"/>
        </w:rPr>
      </w:pPr>
      <w:r w:rsidRPr="00F1714B">
        <w:rPr>
          <w:rFonts w:cs="Times New Roman"/>
          <w:szCs w:val="26"/>
        </w:rPr>
        <w:t>CAUSE-PA further notes that “[f]or many Pennsylvanians, especially those in rural and low</w:t>
      </w:r>
      <w:r w:rsidR="001F3FE7" w:rsidRPr="00F1714B">
        <w:rPr>
          <w:rFonts w:cs="Times New Roman"/>
          <w:szCs w:val="26"/>
        </w:rPr>
        <w:t>-</w:t>
      </w:r>
      <w:r w:rsidRPr="00F1714B">
        <w:rPr>
          <w:rFonts w:cs="Times New Roman"/>
          <w:szCs w:val="26"/>
        </w:rPr>
        <w:t>income communities, basic wireline telecommunication service still provides a very real lifeline</w:t>
      </w:r>
      <w:r w:rsidR="00C978D8" w:rsidRPr="00F1714B">
        <w:rPr>
          <w:rFonts w:cs="Times New Roman"/>
          <w:szCs w:val="26"/>
        </w:rPr>
        <w:t>[</w:t>
      </w:r>
      <w:r w:rsidRPr="00F1714B">
        <w:rPr>
          <w:rFonts w:cs="Times New Roman"/>
          <w:szCs w:val="26"/>
        </w:rPr>
        <w:t>.</w:t>
      </w:r>
      <w:r w:rsidR="00C978D8" w:rsidRPr="00F1714B">
        <w:rPr>
          <w:rFonts w:cs="Times New Roman"/>
          <w:szCs w:val="26"/>
        </w:rPr>
        <w:t>]</w:t>
      </w:r>
      <w:r w:rsidRPr="00F1714B">
        <w:rPr>
          <w:rFonts w:cs="Times New Roman"/>
          <w:szCs w:val="26"/>
        </w:rPr>
        <w:t xml:space="preserve">” CAUSE-PA Comments at 3. </w:t>
      </w:r>
      <w:r w:rsidR="001F3FE7" w:rsidRPr="00F1714B">
        <w:rPr>
          <w:rFonts w:cs="Times New Roman"/>
          <w:szCs w:val="26"/>
        </w:rPr>
        <w:t xml:space="preserve"> </w:t>
      </w:r>
      <w:r w:rsidRPr="00F1714B">
        <w:rPr>
          <w:rFonts w:cs="Times New Roman"/>
          <w:szCs w:val="26"/>
        </w:rPr>
        <w:t xml:space="preserve">Finally, CAUSE-PA argues that “the sheer fact that a competitive service provider offers service in a given area does not ensure that the service offered is affordable or accessible to those in need,” noting that “[i]ndividuals in rural communities… often do not have access to alternatives that offer reliable service to their homes” and that in “urban areas, where mobile and broadband service is relatively ubiquitous, many households </w:t>
      </w:r>
      <w:r w:rsidR="0029364F" w:rsidRPr="00F1714B">
        <w:rPr>
          <w:rFonts w:cs="Times New Roman"/>
          <w:szCs w:val="26"/>
        </w:rPr>
        <w:t>–</w:t>
      </w:r>
      <w:r w:rsidRPr="00F1714B">
        <w:rPr>
          <w:rFonts w:cs="Times New Roman"/>
          <w:szCs w:val="26"/>
        </w:rPr>
        <w:t xml:space="preserve"> especially seniors and homebound individuals </w:t>
      </w:r>
      <w:r w:rsidR="0029364F" w:rsidRPr="00F1714B">
        <w:rPr>
          <w:rFonts w:cs="Times New Roman"/>
          <w:szCs w:val="26"/>
        </w:rPr>
        <w:t>–</w:t>
      </w:r>
      <w:r w:rsidRPr="00F1714B">
        <w:rPr>
          <w:rFonts w:cs="Times New Roman"/>
          <w:szCs w:val="26"/>
        </w:rPr>
        <w:t xml:space="preserve"> still rely on wireline service as their primary mode of communication.” </w:t>
      </w:r>
      <w:r w:rsidR="0029364F" w:rsidRPr="00F1714B">
        <w:rPr>
          <w:rFonts w:cs="Times New Roman"/>
          <w:szCs w:val="26"/>
        </w:rPr>
        <w:t xml:space="preserve"> </w:t>
      </w:r>
      <w:r w:rsidRPr="00F1714B">
        <w:rPr>
          <w:rFonts w:cs="Times New Roman"/>
          <w:szCs w:val="26"/>
        </w:rPr>
        <w:t>CAUSE-PA Comments at 4.</w:t>
      </w:r>
    </w:p>
    <w:p w14:paraId="1E31158B" w14:textId="77777777" w:rsidR="0051255F" w:rsidRPr="00F1714B" w:rsidRDefault="0051255F" w:rsidP="00C377F7">
      <w:pPr>
        <w:rPr>
          <w:rFonts w:cs="Times New Roman"/>
          <w:szCs w:val="26"/>
        </w:rPr>
      </w:pPr>
    </w:p>
    <w:p w14:paraId="3FF1BCBA" w14:textId="6B60B946" w:rsidR="00FB046E" w:rsidRPr="00F1714B" w:rsidRDefault="000D4079" w:rsidP="00C377F7">
      <w:pPr>
        <w:ind w:firstLine="720"/>
        <w:rPr>
          <w:rFonts w:cs="Times New Roman"/>
          <w:szCs w:val="26"/>
        </w:rPr>
      </w:pPr>
      <w:r w:rsidRPr="00F1714B">
        <w:rPr>
          <w:rFonts w:cs="Times New Roman"/>
          <w:szCs w:val="26"/>
        </w:rPr>
        <w:t xml:space="preserve">The </w:t>
      </w:r>
      <w:r w:rsidR="00FB046E" w:rsidRPr="00F1714B">
        <w:rPr>
          <w:rFonts w:cs="Times New Roman"/>
          <w:szCs w:val="26"/>
        </w:rPr>
        <w:t>OCA supports the Commission’s efforts to update and simplify its rules</w:t>
      </w:r>
      <w:r w:rsidR="001F3FE7" w:rsidRPr="00F1714B">
        <w:rPr>
          <w:rFonts w:cs="Times New Roman"/>
          <w:szCs w:val="26"/>
        </w:rPr>
        <w:t xml:space="preserve"> and have them </w:t>
      </w:r>
      <w:r w:rsidR="00FB046E" w:rsidRPr="00F1714B">
        <w:rPr>
          <w:rFonts w:cs="Times New Roman"/>
          <w:szCs w:val="26"/>
        </w:rPr>
        <w:t xml:space="preserve">apply to all telecommunications public utilities </w:t>
      </w:r>
      <w:r w:rsidR="001F3FE7" w:rsidRPr="00F1714B">
        <w:rPr>
          <w:rFonts w:cs="Times New Roman"/>
          <w:szCs w:val="26"/>
        </w:rPr>
        <w:t xml:space="preserve">in order </w:t>
      </w:r>
      <w:r w:rsidR="00FB046E" w:rsidRPr="00F1714B">
        <w:rPr>
          <w:rFonts w:cs="Times New Roman"/>
          <w:szCs w:val="26"/>
        </w:rPr>
        <w:t xml:space="preserve">to protect consumers. </w:t>
      </w:r>
      <w:r w:rsidR="00216714" w:rsidRPr="00F1714B">
        <w:rPr>
          <w:rFonts w:cs="Times New Roman"/>
          <w:szCs w:val="26"/>
        </w:rPr>
        <w:t xml:space="preserve"> </w:t>
      </w:r>
      <w:r w:rsidR="00FB046E" w:rsidRPr="00F1714B">
        <w:rPr>
          <w:rFonts w:cs="Times New Roman"/>
          <w:szCs w:val="26"/>
        </w:rPr>
        <w:t xml:space="preserve">OCA Comments at 1. </w:t>
      </w:r>
      <w:r w:rsidR="00216714" w:rsidRPr="00F1714B">
        <w:rPr>
          <w:rFonts w:cs="Times New Roman"/>
          <w:szCs w:val="26"/>
        </w:rPr>
        <w:t xml:space="preserve"> </w:t>
      </w:r>
      <w:r w:rsidR="00FB046E" w:rsidRPr="00F1714B">
        <w:rPr>
          <w:rFonts w:cs="Times New Roman"/>
          <w:szCs w:val="26"/>
        </w:rPr>
        <w:t xml:space="preserve">OCA proposes that the Commission promulgate “reliability standards” to address pertinent aspects of today’s telecommunications networks </w:t>
      </w:r>
      <w:r w:rsidR="00920E35" w:rsidRPr="00F1714B">
        <w:rPr>
          <w:rFonts w:cs="Times New Roman"/>
          <w:szCs w:val="26"/>
        </w:rPr>
        <w:t xml:space="preserve">through </w:t>
      </w:r>
      <w:r w:rsidR="00FB046E" w:rsidRPr="00F1714B">
        <w:rPr>
          <w:rFonts w:cs="Times New Roman"/>
          <w:szCs w:val="26"/>
        </w:rPr>
        <w:t xml:space="preserve">to the </w:t>
      </w:r>
      <w:r w:rsidR="00920E35" w:rsidRPr="00F1714B">
        <w:rPr>
          <w:rFonts w:cs="Times New Roman"/>
          <w:szCs w:val="26"/>
        </w:rPr>
        <w:t xml:space="preserve">meet point with the </w:t>
      </w:r>
      <w:r w:rsidR="00FB046E" w:rsidRPr="00F1714B">
        <w:rPr>
          <w:rFonts w:cs="Times New Roman"/>
          <w:szCs w:val="26"/>
        </w:rPr>
        <w:t xml:space="preserve">customer’s premises. </w:t>
      </w:r>
      <w:r w:rsidR="00216714" w:rsidRPr="00F1714B">
        <w:rPr>
          <w:rFonts w:cs="Times New Roman"/>
          <w:szCs w:val="26"/>
        </w:rPr>
        <w:t xml:space="preserve"> </w:t>
      </w:r>
      <w:r w:rsidR="00FB046E" w:rsidRPr="00F1714B">
        <w:rPr>
          <w:rFonts w:cs="Times New Roman"/>
          <w:szCs w:val="26"/>
        </w:rPr>
        <w:t>OCA Comments at 2.</w:t>
      </w:r>
    </w:p>
    <w:p w14:paraId="37E1F154" w14:textId="18D51FA7" w:rsidR="00FB046E" w:rsidRPr="00F1714B" w:rsidRDefault="00FB046E" w:rsidP="00E55426">
      <w:pPr>
        <w:ind w:firstLine="720"/>
        <w:rPr>
          <w:rFonts w:cs="Times New Roman"/>
          <w:szCs w:val="26"/>
        </w:rPr>
      </w:pPr>
      <w:r w:rsidRPr="00F1714B">
        <w:rPr>
          <w:rFonts w:cs="Times New Roman"/>
          <w:szCs w:val="26"/>
        </w:rPr>
        <w:lastRenderedPageBreak/>
        <w:t xml:space="preserve">TCC/CCL state that, as “relatively new entrants into the Pennsylvania communications and broadband services markets,” they “can provide input on how the existing regulations correspond with the current marketplace and technologies.” </w:t>
      </w:r>
      <w:r w:rsidR="000F768A" w:rsidRPr="00F1714B">
        <w:rPr>
          <w:rFonts w:cs="Times New Roman"/>
          <w:szCs w:val="26"/>
        </w:rPr>
        <w:t xml:space="preserve"> </w:t>
      </w:r>
      <w:r w:rsidRPr="00F1714B">
        <w:rPr>
          <w:rFonts w:cs="Times New Roman"/>
          <w:szCs w:val="26"/>
        </w:rPr>
        <w:t xml:space="preserve">TCC/CCL Comments at 3. </w:t>
      </w:r>
      <w:r w:rsidR="00CD179C" w:rsidRPr="00F1714B">
        <w:rPr>
          <w:rFonts w:cs="Times New Roman"/>
          <w:szCs w:val="26"/>
        </w:rPr>
        <w:t xml:space="preserve"> </w:t>
      </w:r>
      <w:r w:rsidRPr="00F1714B">
        <w:rPr>
          <w:rFonts w:cs="Times New Roman"/>
          <w:szCs w:val="26"/>
        </w:rPr>
        <w:t>TCC/CCL argue that “[i]ncumbent carriers and competitive carriers are different and could be subject to different regulations</w:t>
      </w:r>
      <w:r w:rsidR="00C978D8" w:rsidRPr="00F1714B">
        <w:rPr>
          <w:rFonts w:cs="Times New Roman"/>
          <w:szCs w:val="26"/>
        </w:rPr>
        <w:t>[</w:t>
      </w:r>
      <w:r w:rsidRPr="00F1714B">
        <w:rPr>
          <w:rFonts w:cs="Times New Roman"/>
          <w:szCs w:val="26"/>
        </w:rPr>
        <w:t>.</w:t>
      </w:r>
      <w:r w:rsidR="00C978D8" w:rsidRPr="00F1714B">
        <w:rPr>
          <w:rFonts w:cs="Times New Roman"/>
          <w:szCs w:val="26"/>
        </w:rPr>
        <w:t>]</w:t>
      </w:r>
      <w:r w:rsidRPr="00F1714B">
        <w:rPr>
          <w:rFonts w:cs="Times New Roman"/>
          <w:szCs w:val="26"/>
        </w:rPr>
        <w:t xml:space="preserve">” </w:t>
      </w:r>
      <w:r w:rsidR="00CD179C" w:rsidRPr="00F1714B">
        <w:rPr>
          <w:rFonts w:cs="Times New Roman"/>
          <w:szCs w:val="26"/>
        </w:rPr>
        <w:t xml:space="preserve"> </w:t>
      </w:r>
      <w:r w:rsidRPr="00F1714B">
        <w:rPr>
          <w:rFonts w:cs="Times New Roman"/>
          <w:szCs w:val="26"/>
        </w:rPr>
        <w:t xml:space="preserve">TCC/CCL Comments at 4. </w:t>
      </w:r>
      <w:r w:rsidR="00CD179C" w:rsidRPr="00F1714B">
        <w:rPr>
          <w:rFonts w:cs="Times New Roman"/>
          <w:szCs w:val="26"/>
        </w:rPr>
        <w:t xml:space="preserve"> </w:t>
      </w:r>
      <w:r w:rsidRPr="00F1714B">
        <w:rPr>
          <w:rFonts w:cs="Times New Roman"/>
          <w:szCs w:val="26"/>
        </w:rPr>
        <w:t xml:space="preserve">TCC/CCL posit that, as competitive carriers, they have no business reason or technical capability to offer, and cannot be required to offer, “basic service” as defined in Commission rules or to otherwise “unbundle” their competitive broadband/voice services offerings to provide standalone voice. </w:t>
      </w:r>
      <w:bookmarkStart w:id="7" w:name="_Hlk76994408"/>
      <w:r w:rsidR="00CD179C" w:rsidRPr="00F1714B">
        <w:rPr>
          <w:rFonts w:cs="Times New Roman"/>
          <w:szCs w:val="26"/>
        </w:rPr>
        <w:t xml:space="preserve"> </w:t>
      </w:r>
      <w:r w:rsidRPr="00F1714B">
        <w:rPr>
          <w:rFonts w:cs="Times New Roman"/>
          <w:szCs w:val="26"/>
        </w:rPr>
        <w:t xml:space="preserve">TCC/CCL Comments at </w:t>
      </w:r>
      <w:bookmarkEnd w:id="7"/>
      <w:r w:rsidRPr="00F1714B">
        <w:rPr>
          <w:rFonts w:cs="Times New Roman"/>
          <w:szCs w:val="26"/>
        </w:rPr>
        <w:t>4-5.</w:t>
      </w:r>
    </w:p>
    <w:p w14:paraId="269D4FEF" w14:textId="77777777" w:rsidR="00946B1F" w:rsidRPr="00F1714B" w:rsidRDefault="00946B1F" w:rsidP="00E55426">
      <w:pPr>
        <w:ind w:firstLine="720"/>
        <w:rPr>
          <w:rFonts w:cs="Times New Roman"/>
          <w:szCs w:val="26"/>
        </w:rPr>
      </w:pPr>
    </w:p>
    <w:p w14:paraId="71F40179" w14:textId="11E8C4F8" w:rsidR="00FB046E" w:rsidRPr="00F1714B" w:rsidRDefault="00FB046E" w:rsidP="00E55426">
      <w:pPr>
        <w:ind w:firstLine="720"/>
        <w:rPr>
          <w:rFonts w:cs="Times New Roman"/>
          <w:szCs w:val="26"/>
        </w:rPr>
      </w:pPr>
      <w:r w:rsidRPr="00F1714B">
        <w:rPr>
          <w:rFonts w:cs="Times New Roman"/>
          <w:szCs w:val="26"/>
        </w:rPr>
        <w:t xml:space="preserve">Verizon supports the Commission’s initiative to update its rules but urges a more aggressive approach. </w:t>
      </w:r>
      <w:r w:rsidR="00CD179C" w:rsidRPr="00F1714B">
        <w:rPr>
          <w:rFonts w:cs="Times New Roman"/>
          <w:szCs w:val="26"/>
        </w:rPr>
        <w:t xml:space="preserve"> </w:t>
      </w:r>
      <w:r w:rsidRPr="00F1714B">
        <w:rPr>
          <w:rFonts w:cs="Times New Roman"/>
          <w:szCs w:val="26"/>
        </w:rPr>
        <w:t xml:space="preserve">Verizon Comments at 1. </w:t>
      </w:r>
      <w:r w:rsidR="007F75EE" w:rsidRPr="00F1714B">
        <w:rPr>
          <w:rFonts w:cs="Times New Roman"/>
          <w:szCs w:val="26"/>
        </w:rPr>
        <w:t xml:space="preserve"> </w:t>
      </w:r>
      <w:r w:rsidRPr="00F1714B">
        <w:rPr>
          <w:rFonts w:cs="Times New Roman"/>
          <w:szCs w:val="26"/>
        </w:rPr>
        <w:t xml:space="preserve">Verizon posits that the Commission’s telephone service regulations are by and large outdated. </w:t>
      </w:r>
      <w:r w:rsidR="007F75EE" w:rsidRPr="00F1714B">
        <w:rPr>
          <w:rFonts w:cs="Times New Roman"/>
          <w:szCs w:val="26"/>
        </w:rPr>
        <w:t xml:space="preserve"> </w:t>
      </w:r>
      <w:r w:rsidRPr="00F1714B">
        <w:rPr>
          <w:rFonts w:cs="Times New Roman"/>
          <w:szCs w:val="26"/>
        </w:rPr>
        <w:t xml:space="preserve">Verizon Comments at 2. </w:t>
      </w:r>
      <w:r w:rsidR="000F768A" w:rsidRPr="00F1714B">
        <w:rPr>
          <w:rFonts w:cs="Times New Roman"/>
          <w:szCs w:val="26"/>
        </w:rPr>
        <w:t xml:space="preserve"> </w:t>
      </w:r>
      <w:r w:rsidRPr="00F1714B">
        <w:rPr>
          <w:rFonts w:cs="Times New Roman"/>
          <w:szCs w:val="26"/>
        </w:rPr>
        <w:t xml:space="preserve">Verizon states that the marketplace for telephone service is fully competitive and many of the Commission’s rules are no longer necessary. </w:t>
      </w:r>
      <w:r w:rsidR="007F75EE" w:rsidRPr="00F1714B">
        <w:rPr>
          <w:rFonts w:cs="Times New Roman"/>
          <w:szCs w:val="26"/>
        </w:rPr>
        <w:t xml:space="preserve"> </w:t>
      </w:r>
      <w:r w:rsidRPr="00F1714B">
        <w:rPr>
          <w:rFonts w:cs="Times New Roman"/>
          <w:szCs w:val="26"/>
        </w:rPr>
        <w:t xml:space="preserve">Verizon Comments at 3. </w:t>
      </w:r>
      <w:r w:rsidR="007F75EE" w:rsidRPr="00F1714B">
        <w:rPr>
          <w:rFonts w:cs="Times New Roman"/>
          <w:szCs w:val="26"/>
        </w:rPr>
        <w:t xml:space="preserve"> </w:t>
      </w:r>
      <w:r w:rsidRPr="00F1714B">
        <w:rPr>
          <w:rFonts w:cs="Times New Roman"/>
          <w:szCs w:val="26"/>
        </w:rPr>
        <w:t>In Verizon’s view, the Commission should approach this proceeding not by identifying which existing rules should be eliminated but rather ask</w:t>
      </w:r>
      <w:r w:rsidR="007F75EE" w:rsidRPr="00F1714B">
        <w:rPr>
          <w:rFonts w:cs="Times New Roman"/>
          <w:szCs w:val="26"/>
        </w:rPr>
        <w:t>ing</w:t>
      </w:r>
      <w:r w:rsidRPr="00F1714B">
        <w:rPr>
          <w:rFonts w:cs="Times New Roman"/>
          <w:szCs w:val="26"/>
        </w:rPr>
        <w:t xml:space="preserve"> whether any existing rules should be continued. </w:t>
      </w:r>
      <w:r w:rsidR="007F75EE" w:rsidRPr="00F1714B">
        <w:rPr>
          <w:rFonts w:cs="Times New Roman"/>
          <w:szCs w:val="26"/>
        </w:rPr>
        <w:t xml:space="preserve"> </w:t>
      </w:r>
      <w:r w:rsidRPr="00F1714B">
        <w:rPr>
          <w:rFonts w:cs="Times New Roman"/>
          <w:szCs w:val="26"/>
        </w:rPr>
        <w:t xml:space="preserve">Verizon Comments at 4. </w:t>
      </w:r>
    </w:p>
    <w:p w14:paraId="5625376E" w14:textId="77777777" w:rsidR="0051255F" w:rsidRPr="00F1714B" w:rsidRDefault="0051255F" w:rsidP="00E55426">
      <w:pPr>
        <w:rPr>
          <w:rFonts w:cs="Times New Roman"/>
          <w:szCs w:val="26"/>
        </w:rPr>
      </w:pPr>
    </w:p>
    <w:p w14:paraId="38E9769E" w14:textId="03AF9A31" w:rsidR="00FB046E" w:rsidRPr="00F1714B" w:rsidRDefault="00FB046E" w:rsidP="00705587">
      <w:pPr>
        <w:ind w:firstLine="720"/>
        <w:rPr>
          <w:rFonts w:cs="Times New Roman"/>
          <w:szCs w:val="26"/>
        </w:rPr>
      </w:pPr>
      <w:r w:rsidRPr="00F1714B">
        <w:rPr>
          <w:rFonts w:cs="Times New Roman"/>
          <w:szCs w:val="26"/>
        </w:rPr>
        <w:t xml:space="preserve">Verizon states that, when the Commission’s </w:t>
      </w:r>
      <w:r w:rsidR="00CB6018" w:rsidRPr="00F1714B">
        <w:rPr>
          <w:rFonts w:cs="Times New Roman"/>
          <w:szCs w:val="26"/>
        </w:rPr>
        <w:t xml:space="preserve">existing telecommunications </w:t>
      </w:r>
      <w:r w:rsidRPr="00F1714B">
        <w:rPr>
          <w:rFonts w:cs="Times New Roman"/>
          <w:szCs w:val="26"/>
        </w:rPr>
        <w:t xml:space="preserve">rules were first adopted, the Commission regulated all voice lines in Pennsylvania, but today, “the vast majority of voice connections in Pennsylvania” are not regulated by the Commission. </w:t>
      </w:r>
      <w:r w:rsidR="007F75EE" w:rsidRPr="00F1714B">
        <w:rPr>
          <w:rFonts w:cs="Times New Roman"/>
          <w:szCs w:val="26"/>
        </w:rPr>
        <w:t xml:space="preserve"> </w:t>
      </w:r>
      <w:r w:rsidRPr="00F1714B">
        <w:rPr>
          <w:rFonts w:cs="Times New Roman"/>
          <w:szCs w:val="26"/>
        </w:rPr>
        <w:t xml:space="preserve">Verizon Comments at 5-6. </w:t>
      </w:r>
      <w:r w:rsidR="007F75EE" w:rsidRPr="00F1714B">
        <w:rPr>
          <w:rFonts w:cs="Times New Roman"/>
          <w:szCs w:val="26"/>
        </w:rPr>
        <w:t xml:space="preserve"> </w:t>
      </w:r>
      <w:r w:rsidRPr="00F1714B">
        <w:rPr>
          <w:rFonts w:cs="Times New Roman"/>
          <w:szCs w:val="26"/>
        </w:rPr>
        <w:t xml:space="preserve">According to Verizon, </w:t>
      </w:r>
      <w:r w:rsidR="007F75EE" w:rsidRPr="00F1714B">
        <w:rPr>
          <w:rFonts w:cs="Times New Roman"/>
          <w:szCs w:val="26"/>
        </w:rPr>
        <w:t>the Federal Communications Commission (</w:t>
      </w:r>
      <w:r w:rsidRPr="00F1714B">
        <w:rPr>
          <w:rFonts w:cs="Times New Roman"/>
          <w:szCs w:val="26"/>
        </w:rPr>
        <w:t>FCC</w:t>
      </w:r>
      <w:r w:rsidR="009B067C" w:rsidRPr="00F1714B">
        <w:rPr>
          <w:rFonts w:cs="Times New Roman"/>
          <w:szCs w:val="26"/>
        </w:rPr>
        <w:t>)</w:t>
      </w:r>
      <w:r w:rsidRPr="00F1714B">
        <w:rPr>
          <w:rFonts w:cs="Times New Roman"/>
          <w:szCs w:val="26"/>
        </w:rPr>
        <w:t xml:space="preserve"> </w:t>
      </w:r>
      <w:r w:rsidR="009B067C" w:rsidRPr="00F1714B">
        <w:rPr>
          <w:rFonts w:cs="Times New Roman"/>
          <w:szCs w:val="26"/>
        </w:rPr>
        <w:t xml:space="preserve">access </w:t>
      </w:r>
      <w:r w:rsidRPr="00F1714B">
        <w:rPr>
          <w:rFonts w:cs="Times New Roman"/>
          <w:szCs w:val="26"/>
        </w:rPr>
        <w:t xml:space="preserve">line count data from 2019 shows that 10.6 percent of voice lines in Pennsylvania are regulated, a percentage that has declined rapidly since 2014. </w:t>
      </w:r>
      <w:r w:rsidR="009B067C" w:rsidRPr="00F1714B">
        <w:rPr>
          <w:rFonts w:cs="Times New Roman"/>
          <w:szCs w:val="26"/>
        </w:rPr>
        <w:t xml:space="preserve"> </w:t>
      </w:r>
      <w:r w:rsidRPr="00F1714B">
        <w:rPr>
          <w:rFonts w:cs="Times New Roman"/>
          <w:szCs w:val="26"/>
        </w:rPr>
        <w:t xml:space="preserve">Verizon Comments at 7-8. </w:t>
      </w:r>
      <w:r w:rsidR="009B067C" w:rsidRPr="00F1714B">
        <w:rPr>
          <w:rFonts w:cs="Times New Roman"/>
          <w:szCs w:val="26"/>
        </w:rPr>
        <w:t xml:space="preserve"> </w:t>
      </w:r>
      <w:r w:rsidRPr="00F1714B">
        <w:rPr>
          <w:rFonts w:cs="Times New Roman"/>
          <w:szCs w:val="26"/>
        </w:rPr>
        <w:t xml:space="preserve">Verizon </w:t>
      </w:r>
      <w:r w:rsidR="009B067C" w:rsidRPr="00F1714B">
        <w:rPr>
          <w:rFonts w:cs="Times New Roman"/>
          <w:szCs w:val="26"/>
        </w:rPr>
        <w:t xml:space="preserve">also </w:t>
      </w:r>
      <w:r w:rsidRPr="00F1714B">
        <w:rPr>
          <w:rFonts w:cs="Times New Roman"/>
          <w:szCs w:val="26"/>
        </w:rPr>
        <w:t xml:space="preserve">notes that the FCC’s line counts do not account for certain forms of Internet-based voice communications, such as FaceTime, Zoom, WebEx and the like. </w:t>
      </w:r>
      <w:r w:rsidR="009B067C" w:rsidRPr="00F1714B">
        <w:rPr>
          <w:rFonts w:cs="Times New Roman"/>
          <w:szCs w:val="26"/>
        </w:rPr>
        <w:t xml:space="preserve"> </w:t>
      </w:r>
      <w:r w:rsidRPr="00F1714B">
        <w:rPr>
          <w:rFonts w:cs="Times New Roman"/>
          <w:szCs w:val="26"/>
        </w:rPr>
        <w:t xml:space="preserve">Verizon Comments, at 9. </w:t>
      </w:r>
      <w:r w:rsidR="009B067C" w:rsidRPr="00F1714B">
        <w:rPr>
          <w:rFonts w:cs="Times New Roman"/>
          <w:szCs w:val="26"/>
        </w:rPr>
        <w:t xml:space="preserve"> </w:t>
      </w:r>
      <w:r w:rsidRPr="00F1714B">
        <w:rPr>
          <w:rFonts w:cs="Times New Roman"/>
          <w:szCs w:val="26"/>
        </w:rPr>
        <w:t xml:space="preserve">Verizon argues that </w:t>
      </w:r>
      <w:r w:rsidRPr="00F1714B">
        <w:rPr>
          <w:rFonts w:cs="Times New Roman"/>
          <w:szCs w:val="26"/>
        </w:rPr>
        <w:lastRenderedPageBreak/>
        <w:t xml:space="preserve">there can be no justification for the Commission to retain its legacy rules when most voice connections today are completely unregulated. </w:t>
      </w:r>
      <w:r w:rsidR="009B067C" w:rsidRPr="00F1714B">
        <w:rPr>
          <w:rFonts w:cs="Times New Roman"/>
          <w:szCs w:val="26"/>
        </w:rPr>
        <w:t xml:space="preserve"> </w:t>
      </w:r>
      <w:r w:rsidRPr="00F1714B">
        <w:rPr>
          <w:rFonts w:cs="Times New Roman"/>
          <w:szCs w:val="26"/>
        </w:rPr>
        <w:t>Verizon Comments at 9.</w:t>
      </w:r>
    </w:p>
    <w:p w14:paraId="782A38C6" w14:textId="77777777" w:rsidR="0051255F" w:rsidRPr="00F1714B" w:rsidRDefault="0051255F" w:rsidP="00705587">
      <w:pPr>
        <w:rPr>
          <w:rFonts w:cs="Times New Roman"/>
          <w:szCs w:val="26"/>
        </w:rPr>
      </w:pPr>
    </w:p>
    <w:p w14:paraId="6F786862" w14:textId="03EEE661" w:rsidR="00FB046E" w:rsidRPr="00F1714B" w:rsidRDefault="00FB046E" w:rsidP="00705587">
      <w:pPr>
        <w:ind w:firstLine="720"/>
        <w:rPr>
          <w:rFonts w:cs="Times New Roman"/>
          <w:szCs w:val="26"/>
        </w:rPr>
      </w:pPr>
      <w:r w:rsidRPr="00F1714B">
        <w:rPr>
          <w:rFonts w:cs="Times New Roman"/>
          <w:szCs w:val="26"/>
        </w:rPr>
        <w:t>Verizon argues that the Commission is required by Pennsylvania law, 66 Pa.</w:t>
      </w:r>
      <w:r w:rsidR="00F7756A" w:rsidRPr="00F1714B">
        <w:rPr>
          <w:rFonts w:cs="Times New Roman"/>
          <w:szCs w:val="26"/>
        </w:rPr>
        <w:t xml:space="preserve"> </w:t>
      </w:r>
      <w:r w:rsidRPr="00F1714B">
        <w:rPr>
          <w:rFonts w:cs="Times New Roman"/>
          <w:szCs w:val="26"/>
        </w:rPr>
        <w:t xml:space="preserve">C.S. §§ 3011(13) and 3019(b)(2), to “presume elimination of all of its rules and justify each new rule under the Chapter 30 standard” and that “[a]ny new regulations should narrowly address only what is absolutely necessary.” </w:t>
      </w:r>
      <w:r w:rsidR="009B067C" w:rsidRPr="00F1714B">
        <w:rPr>
          <w:rFonts w:cs="Times New Roman"/>
          <w:szCs w:val="26"/>
        </w:rPr>
        <w:t xml:space="preserve"> </w:t>
      </w:r>
      <w:r w:rsidRPr="00F1714B">
        <w:rPr>
          <w:rFonts w:cs="Times New Roman"/>
          <w:szCs w:val="26"/>
        </w:rPr>
        <w:t xml:space="preserve">Verizon Comments at 11. </w:t>
      </w:r>
      <w:r w:rsidR="009B067C" w:rsidRPr="00F1714B">
        <w:rPr>
          <w:rFonts w:cs="Times New Roman"/>
          <w:szCs w:val="26"/>
        </w:rPr>
        <w:t xml:space="preserve"> </w:t>
      </w:r>
      <w:r w:rsidRPr="00F1714B">
        <w:rPr>
          <w:rFonts w:cs="Times New Roman"/>
          <w:szCs w:val="26"/>
        </w:rPr>
        <w:t>Verizon argues that “[a]t</w:t>
      </w:r>
      <w:r w:rsidRPr="00F1714B">
        <w:rPr>
          <w:szCs w:val="26"/>
        </w:rPr>
        <w:t xml:space="preserve"> </w:t>
      </w:r>
      <w:r w:rsidRPr="00F1714B">
        <w:rPr>
          <w:rFonts w:cs="Times New Roman"/>
          <w:szCs w:val="26"/>
        </w:rPr>
        <w:t xml:space="preserve">the very least, the Commission should eliminate – for all providers statewide – all of the rules that have been waived in Verizon’s competitive exchanges for the past 6 years.” </w:t>
      </w:r>
      <w:r w:rsidR="009B067C" w:rsidRPr="00F1714B">
        <w:rPr>
          <w:rFonts w:cs="Times New Roman"/>
          <w:szCs w:val="26"/>
        </w:rPr>
        <w:t xml:space="preserve"> </w:t>
      </w:r>
      <w:r w:rsidRPr="00F1714B">
        <w:rPr>
          <w:rFonts w:cs="Times New Roman"/>
          <w:szCs w:val="26"/>
        </w:rPr>
        <w:t xml:space="preserve">Verizon Comments at 11. </w:t>
      </w:r>
      <w:r w:rsidR="009B067C" w:rsidRPr="00F1714B">
        <w:rPr>
          <w:rFonts w:cs="Times New Roman"/>
          <w:szCs w:val="26"/>
        </w:rPr>
        <w:t xml:space="preserve"> </w:t>
      </w:r>
      <w:r w:rsidRPr="00F1714B">
        <w:rPr>
          <w:rFonts w:cs="Times New Roman"/>
          <w:szCs w:val="26"/>
        </w:rPr>
        <w:t>According to Verizon, “[e]ven with a shorter and more streamlined set of regulations, the Commission will retain its statutory authority over service quality and customer interactions for regulated services under 66 Pa. C.S. §</w:t>
      </w:r>
      <w:r w:rsidR="000F768A" w:rsidRPr="00F1714B">
        <w:rPr>
          <w:rFonts w:cs="Times New Roman"/>
          <w:szCs w:val="26"/>
        </w:rPr>
        <w:t> </w:t>
      </w:r>
      <w:r w:rsidRPr="00F1714B">
        <w:rPr>
          <w:rFonts w:cs="Times New Roman"/>
          <w:szCs w:val="26"/>
        </w:rPr>
        <w:t>1501, as the [NOPR] recognizes.”</w:t>
      </w:r>
      <w:r w:rsidR="0067316E" w:rsidRPr="00F1714B">
        <w:rPr>
          <w:rFonts w:cs="Times New Roman"/>
          <w:szCs w:val="26"/>
        </w:rPr>
        <w:t xml:space="preserve">  Verizon Comments at </w:t>
      </w:r>
      <w:r w:rsidR="00A9151B" w:rsidRPr="00F1714B">
        <w:rPr>
          <w:rFonts w:cs="Times New Roman"/>
          <w:szCs w:val="26"/>
        </w:rPr>
        <w:t>12</w:t>
      </w:r>
      <w:r w:rsidR="0067316E" w:rsidRPr="00F1714B">
        <w:rPr>
          <w:rFonts w:cs="Times New Roman"/>
          <w:szCs w:val="26"/>
        </w:rPr>
        <w:t>.</w:t>
      </w:r>
    </w:p>
    <w:p w14:paraId="3B091A11" w14:textId="6739D9E3" w:rsidR="00F41277" w:rsidRPr="00F1714B" w:rsidRDefault="00F41277" w:rsidP="00705587">
      <w:pPr>
        <w:ind w:firstLine="720"/>
        <w:rPr>
          <w:rFonts w:cs="Times New Roman"/>
          <w:szCs w:val="26"/>
        </w:rPr>
      </w:pPr>
    </w:p>
    <w:p w14:paraId="71D9C486" w14:textId="2927D097" w:rsidR="00523B7D" w:rsidRPr="00F1714B" w:rsidRDefault="00975214" w:rsidP="00705587">
      <w:pPr>
        <w:ind w:firstLine="720"/>
        <w:rPr>
          <w:rFonts w:cs="Times New Roman"/>
          <w:szCs w:val="26"/>
        </w:rPr>
      </w:pPr>
      <w:r w:rsidRPr="00F1714B">
        <w:rPr>
          <w:rFonts w:cs="Times New Roman"/>
          <w:szCs w:val="26"/>
        </w:rPr>
        <w:t xml:space="preserve">Specifically, </w:t>
      </w:r>
      <w:r w:rsidR="00523B7D" w:rsidRPr="00F1714B">
        <w:rPr>
          <w:rFonts w:cs="Times New Roman"/>
          <w:szCs w:val="26"/>
        </w:rPr>
        <w:t>Verizon states that it appreciates that the Commission’s NPRM proposes to remove many outdated provisions of Chapter 63 and supports all of those deletions.</w:t>
      </w:r>
      <w:r w:rsidRPr="00F1714B">
        <w:rPr>
          <w:rFonts w:cs="Times New Roman"/>
          <w:szCs w:val="26"/>
        </w:rPr>
        <w:t xml:space="preserve">  </w:t>
      </w:r>
      <w:r w:rsidR="00523B7D" w:rsidRPr="00F1714B">
        <w:rPr>
          <w:rFonts w:cs="Times New Roman"/>
          <w:szCs w:val="26"/>
        </w:rPr>
        <w:t xml:space="preserve">However, it asserts that more work is needed to streamline Chapter 63 into modern, forward-looking rules appropriate for the competitive market of today and tomorrow.  Verizon Comments at 14.  </w:t>
      </w:r>
    </w:p>
    <w:p w14:paraId="4A552B96" w14:textId="77777777" w:rsidR="00523B7D" w:rsidRPr="00F1714B" w:rsidRDefault="00523B7D" w:rsidP="00705587">
      <w:pPr>
        <w:ind w:firstLine="720"/>
        <w:rPr>
          <w:rFonts w:cs="Times New Roman"/>
          <w:szCs w:val="26"/>
        </w:rPr>
      </w:pPr>
    </w:p>
    <w:p w14:paraId="4075EA57" w14:textId="7138AC8E" w:rsidR="00523B7D" w:rsidRPr="00F1714B" w:rsidRDefault="00523B7D" w:rsidP="00E55426">
      <w:pPr>
        <w:ind w:firstLine="720"/>
        <w:rPr>
          <w:rFonts w:cs="Times New Roman"/>
          <w:szCs w:val="26"/>
        </w:rPr>
      </w:pPr>
      <w:r w:rsidRPr="00F1714B">
        <w:rPr>
          <w:rFonts w:cs="Times New Roman"/>
          <w:szCs w:val="26"/>
        </w:rPr>
        <w:t>Verizon asserts that under Chapter 30’s requirement for justifying new regulations, 66 Pa.</w:t>
      </w:r>
      <w:r w:rsidR="005B2E43" w:rsidRPr="00F1714B">
        <w:rPr>
          <w:rFonts w:cs="Times New Roman"/>
          <w:szCs w:val="26"/>
        </w:rPr>
        <w:t xml:space="preserve"> </w:t>
      </w:r>
      <w:r w:rsidRPr="00F1714B">
        <w:rPr>
          <w:rFonts w:cs="Times New Roman"/>
          <w:szCs w:val="26"/>
        </w:rPr>
        <w:t>C.S. § 3019(b)(2), the Commission should only promulgate a new service quality regulation if it has facts to demonstrate that it is necessary, beneficial and in the public interest, “tak[ing] into consideration the emergence of new industry participants, technological advancements, service standards and consumer demand.”  Verizon Comments at 18.  Verizon argues that the benefits of any new regulation must outweigh the burden.</w:t>
      </w:r>
      <w:r w:rsidR="000F768A" w:rsidRPr="00F1714B">
        <w:rPr>
          <w:rFonts w:cs="Times New Roman"/>
          <w:szCs w:val="26"/>
        </w:rPr>
        <w:t xml:space="preserve"> </w:t>
      </w:r>
      <w:r w:rsidRPr="00F1714B">
        <w:rPr>
          <w:rFonts w:cs="Times New Roman"/>
          <w:szCs w:val="26"/>
        </w:rPr>
        <w:t xml:space="preserve"> </w:t>
      </w:r>
      <w:r w:rsidRPr="00F1714B">
        <w:rPr>
          <w:rFonts w:cs="Times New Roman"/>
          <w:i/>
          <w:iCs/>
          <w:szCs w:val="26"/>
        </w:rPr>
        <w:t>Id</w:t>
      </w:r>
      <w:r w:rsidRPr="00F1714B">
        <w:rPr>
          <w:rFonts w:cs="Times New Roman"/>
          <w:szCs w:val="26"/>
        </w:rPr>
        <w:t xml:space="preserve">.  </w:t>
      </w:r>
    </w:p>
    <w:p w14:paraId="06ABE513" w14:textId="77777777" w:rsidR="00523B7D" w:rsidRPr="00F1714B" w:rsidRDefault="00523B7D" w:rsidP="00E55426">
      <w:pPr>
        <w:ind w:firstLine="720"/>
        <w:rPr>
          <w:rFonts w:cs="Times New Roman"/>
          <w:szCs w:val="26"/>
        </w:rPr>
      </w:pPr>
    </w:p>
    <w:p w14:paraId="0B7FB8BC" w14:textId="174FAB47" w:rsidR="00523B7D" w:rsidRPr="00F1714B" w:rsidRDefault="00523B7D" w:rsidP="00705587">
      <w:pPr>
        <w:ind w:firstLine="720"/>
        <w:rPr>
          <w:rFonts w:cs="Times New Roman"/>
          <w:szCs w:val="26"/>
        </w:rPr>
      </w:pPr>
      <w:r w:rsidRPr="00F1714B">
        <w:rPr>
          <w:rFonts w:cs="Times New Roman"/>
          <w:szCs w:val="26"/>
        </w:rPr>
        <w:lastRenderedPageBreak/>
        <w:t xml:space="preserve">Verizon asserts that given that many of the Chapter 63 service quality regulations would only apply to a small and shrinking set of regulated providers and services, not to their VoIP and wireless competitors that serve the vast majority of lines, and the fact that 66 Pa.C.S. § 1501 will continue to require regulated providers to “furnish and maintain adequate, efficient, safe, and reasonable service and facilities,” there is no need for prescriptive service quality standards, metrics, or reporting in the Commission’s new regulations and new service regulations generally cannot be justified.  </w:t>
      </w:r>
      <w:r w:rsidRPr="00F1714B">
        <w:rPr>
          <w:rFonts w:cs="Times New Roman"/>
          <w:i/>
          <w:iCs/>
          <w:szCs w:val="26"/>
        </w:rPr>
        <w:t>Id</w:t>
      </w:r>
      <w:r w:rsidRPr="00F1714B">
        <w:rPr>
          <w:rFonts w:cs="Times New Roman"/>
          <w:szCs w:val="26"/>
        </w:rPr>
        <w:t>.  Lastly, Verizon asserts that the Commission should simply eliminate most of Chapter 63 and offers its proposals for a new Chapter 63.  Verizon Comments at 19-26.</w:t>
      </w:r>
    </w:p>
    <w:p w14:paraId="666A7AD6" w14:textId="77777777" w:rsidR="00910428" w:rsidRPr="00F1714B" w:rsidRDefault="00910428" w:rsidP="00705587">
      <w:pPr>
        <w:ind w:firstLine="720"/>
        <w:rPr>
          <w:rFonts w:cs="Times New Roman"/>
          <w:szCs w:val="26"/>
        </w:rPr>
      </w:pPr>
    </w:p>
    <w:p w14:paraId="4A1F3E27" w14:textId="380678F6" w:rsidR="009B067C" w:rsidRPr="00F1714B" w:rsidRDefault="00523B7D" w:rsidP="00705587">
      <w:pPr>
        <w:ind w:firstLine="720"/>
        <w:rPr>
          <w:rFonts w:cs="Times New Roman"/>
          <w:szCs w:val="26"/>
        </w:rPr>
      </w:pPr>
      <w:r w:rsidRPr="00F1714B">
        <w:rPr>
          <w:rFonts w:cs="Times New Roman"/>
          <w:szCs w:val="26"/>
        </w:rPr>
        <w:t>In response to Verizon’s general comments regarding the Commission’s proposed modifications to the Chapters 53, 63 and 64 regulations, the OCA opposes “the framework and phrasing of Verizon’s alternative proposal to revise Chapters 53, 63 and 64.”  OCA Reply Comments at 3.  Specifically, the OCA comments that it opposes Verizon’s “alternative version of the Chapter 63 regulations.” OCA Reply Comments at 8.  The OCA asserts that Verizon’s proposal is nothing more than an attempt “to rescind or water down many of the Chapter 63 service quality standards” because in OCA’s view, Verizon’s proposal “would remove meaningful standards and regulatory guidance that is still needed to promote and protect today’s complex and important telecommunications network.”  OCA Reply Comments at 10.</w:t>
      </w:r>
      <w:r w:rsidR="00751F47" w:rsidRPr="00F1714B">
        <w:rPr>
          <w:rFonts w:cs="Times New Roman"/>
          <w:szCs w:val="26"/>
        </w:rPr>
        <w:t xml:space="preserve">  Lastly, t</w:t>
      </w:r>
      <w:r w:rsidR="009B067C" w:rsidRPr="00F1714B">
        <w:rPr>
          <w:rFonts w:cs="Times New Roman"/>
          <w:szCs w:val="26"/>
        </w:rPr>
        <w:t xml:space="preserve">he </w:t>
      </w:r>
      <w:r w:rsidR="00F41277" w:rsidRPr="00F1714B">
        <w:rPr>
          <w:rFonts w:cs="Times New Roman"/>
          <w:szCs w:val="26"/>
        </w:rPr>
        <w:t xml:space="preserve">OCA avers that Verizon “presumes that competitive alternatives abound throughout the Commonwealth” and that Verizon’s proposal “provides little guidance as to service quality required of all telecommunications carriers.” </w:t>
      </w:r>
      <w:r w:rsidR="009B067C" w:rsidRPr="00F1714B">
        <w:rPr>
          <w:rFonts w:cs="Times New Roman"/>
          <w:szCs w:val="26"/>
        </w:rPr>
        <w:t xml:space="preserve"> </w:t>
      </w:r>
      <w:r w:rsidR="00F41277" w:rsidRPr="00F1714B">
        <w:rPr>
          <w:rFonts w:cs="Times New Roman"/>
          <w:szCs w:val="26"/>
        </w:rPr>
        <w:t>OCA Reply Comments at 3.</w:t>
      </w:r>
    </w:p>
    <w:p w14:paraId="3E4F025A" w14:textId="77777777" w:rsidR="009B067C" w:rsidRPr="00F1714B" w:rsidRDefault="009B067C" w:rsidP="00705587">
      <w:pPr>
        <w:ind w:firstLine="720"/>
        <w:rPr>
          <w:rFonts w:cs="Times New Roman"/>
          <w:szCs w:val="26"/>
        </w:rPr>
      </w:pPr>
    </w:p>
    <w:p w14:paraId="15A5C860" w14:textId="5CB1A5DC" w:rsidR="00A462F9" w:rsidRPr="00F1714B" w:rsidRDefault="00ED4391" w:rsidP="00705587">
      <w:pPr>
        <w:ind w:firstLine="720"/>
        <w:rPr>
          <w:rFonts w:cs="Times New Roman"/>
          <w:szCs w:val="26"/>
        </w:rPr>
      </w:pPr>
      <w:r w:rsidRPr="00F1714B">
        <w:rPr>
          <w:rFonts w:cs="Times New Roman"/>
          <w:szCs w:val="26"/>
        </w:rPr>
        <w:t xml:space="preserve">In its comments, IRRC notes that </w:t>
      </w:r>
      <w:r w:rsidR="00A462F9" w:rsidRPr="00F1714B">
        <w:rPr>
          <w:rFonts w:cs="Times New Roman"/>
          <w:szCs w:val="26"/>
        </w:rPr>
        <w:t xml:space="preserve">“[w]hile not all commentators agree with the PUC’s approach, there is consensus that this review of the regulatory provisions of 52 Pa. Code Chapters 53 (Tariffs for Noncommon Carriers), 63 (Telephone Service) and 64 (Standards and billing practices for residential telephone service) is much needed and long overdue,” and “[c]ommentators expressed viewpoints ranging from the proposal </w:t>
      </w:r>
      <w:r w:rsidR="00A462F9" w:rsidRPr="00F1714B">
        <w:rPr>
          <w:rFonts w:cs="Times New Roman"/>
          <w:szCs w:val="26"/>
        </w:rPr>
        <w:lastRenderedPageBreak/>
        <w:t>does not go far enough in eliminating outdated and overly prescriptive rules to concerns that it goes too far in removing important consumer protection provisions.”</w:t>
      </w:r>
      <w:r w:rsidR="00D84936" w:rsidRPr="00F1714B">
        <w:rPr>
          <w:rFonts w:cs="Times New Roman"/>
          <w:szCs w:val="26"/>
        </w:rPr>
        <w:t xml:space="preserve"> </w:t>
      </w:r>
      <w:r w:rsidR="00A462F9" w:rsidRPr="00F1714B">
        <w:rPr>
          <w:rFonts w:cs="Times New Roman"/>
          <w:szCs w:val="26"/>
        </w:rPr>
        <w:t xml:space="preserve"> I</w:t>
      </w:r>
      <w:r w:rsidR="001C2AF0" w:rsidRPr="00F1714B">
        <w:rPr>
          <w:rFonts w:cs="Times New Roman"/>
          <w:szCs w:val="26"/>
        </w:rPr>
        <w:t>RR</w:t>
      </w:r>
      <w:r w:rsidR="00BB59F2" w:rsidRPr="00F1714B">
        <w:rPr>
          <w:rFonts w:cs="Times New Roman"/>
          <w:szCs w:val="26"/>
        </w:rPr>
        <w:t>C</w:t>
      </w:r>
      <w:r w:rsidR="00A462F9" w:rsidRPr="00F1714B">
        <w:rPr>
          <w:rFonts w:cs="Times New Roman"/>
          <w:szCs w:val="26"/>
        </w:rPr>
        <w:t xml:space="preserve"> Comments at 1.</w:t>
      </w:r>
    </w:p>
    <w:p w14:paraId="30807CBB" w14:textId="77777777" w:rsidR="00ED4391" w:rsidRPr="00F1714B" w:rsidRDefault="00ED4391" w:rsidP="00705587">
      <w:pPr>
        <w:ind w:firstLine="720"/>
        <w:rPr>
          <w:rFonts w:cs="Times New Roman"/>
          <w:szCs w:val="26"/>
        </w:rPr>
      </w:pPr>
    </w:p>
    <w:p w14:paraId="1404B5A9" w14:textId="3E54D50C" w:rsidR="00A462F9" w:rsidRPr="00F1714B" w:rsidRDefault="00A462F9" w:rsidP="00705587">
      <w:pPr>
        <w:ind w:firstLine="720"/>
        <w:rPr>
          <w:rFonts w:cs="Times New Roman"/>
          <w:szCs w:val="26"/>
        </w:rPr>
      </w:pPr>
      <w:r w:rsidRPr="00F1714B">
        <w:rPr>
          <w:rFonts w:cs="Times New Roman"/>
          <w:szCs w:val="26"/>
        </w:rPr>
        <w:t>I</w:t>
      </w:r>
      <w:r w:rsidR="001C2AF0" w:rsidRPr="00F1714B">
        <w:rPr>
          <w:rFonts w:cs="Times New Roman"/>
          <w:szCs w:val="26"/>
        </w:rPr>
        <w:t>R</w:t>
      </w:r>
      <w:r w:rsidRPr="00F1714B">
        <w:rPr>
          <w:rFonts w:cs="Times New Roman"/>
          <w:szCs w:val="26"/>
        </w:rPr>
        <w:t xml:space="preserve">RC </w:t>
      </w:r>
      <w:r w:rsidR="00ED4391" w:rsidRPr="00F1714B">
        <w:rPr>
          <w:rFonts w:cs="Times New Roman"/>
          <w:szCs w:val="26"/>
        </w:rPr>
        <w:t xml:space="preserve">also </w:t>
      </w:r>
      <w:r w:rsidRPr="00F1714B">
        <w:rPr>
          <w:rFonts w:cs="Times New Roman"/>
          <w:szCs w:val="26"/>
        </w:rPr>
        <w:t>notes that “[c]ommentators assert that the PUC’s proposal, which retains a large portion of its existing regulations, makes only minor changes and ‘falls short of bringing about meaningful change,’” that “[t]he PUC’s approach to ‘redlining’ existing regulations and reinstating a number of waived regulations, [commentators] say, does not fulfill its statutory obligation” under 66 Pa.</w:t>
      </w:r>
      <w:r w:rsidR="005B2E43" w:rsidRPr="00F1714B">
        <w:rPr>
          <w:rFonts w:cs="Times New Roman"/>
          <w:szCs w:val="26"/>
        </w:rPr>
        <w:t xml:space="preserve"> </w:t>
      </w:r>
      <w:r w:rsidR="00CA2B6F" w:rsidRPr="00F1714B">
        <w:rPr>
          <w:rFonts w:cs="Times New Roman"/>
          <w:szCs w:val="26"/>
        </w:rPr>
        <w:t>C.S.</w:t>
      </w:r>
      <w:r w:rsidRPr="00F1714B">
        <w:rPr>
          <w:rFonts w:cs="Times New Roman"/>
          <w:szCs w:val="26"/>
        </w:rPr>
        <w:t xml:space="preserve"> §§ 3011(13) and 3019(b)(2), and that “[c]ommentators point out that the proposal lacks data or a comparative analysis to justify increasing regulation.” </w:t>
      </w:r>
      <w:r w:rsidR="0051579F" w:rsidRPr="00F1714B">
        <w:rPr>
          <w:rFonts w:cs="Times New Roman"/>
          <w:szCs w:val="26"/>
        </w:rPr>
        <w:t xml:space="preserve"> </w:t>
      </w:r>
      <w:r w:rsidRPr="00F1714B">
        <w:rPr>
          <w:rFonts w:cs="Times New Roman"/>
          <w:szCs w:val="26"/>
        </w:rPr>
        <w:t>I</w:t>
      </w:r>
      <w:r w:rsidR="0051579F" w:rsidRPr="00F1714B">
        <w:rPr>
          <w:rFonts w:cs="Times New Roman"/>
          <w:szCs w:val="26"/>
        </w:rPr>
        <w:t>R</w:t>
      </w:r>
      <w:r w:rsidRPr="00F1714B">
        <w:rPr>
          <w:rFonts w:cs="Times New Roman"/>
          <w:szCs w:val="26"/>
        </w:rPr>
        <w:t xml:space="preserve">RC Comments at 2. </w:t>
      </w:r>
    </w:p>
    <w:p w14:paraId="4DE6DEBE" w14:textId="77777777" w:rsidR="00ED4391" w:rsidRPr="00F1714B" w:rsidRDefault="00ED4391" w:rsidP="00705587">
      <w:pPr>
        <w:ind w:firstLine="720"/>
        <w:rPr>
          <w:rFonts w:cs="Times New Roman"/>
          <w:szCs w:val="26"/>
        </w:rPr>
      </w:pPr>
    </w:p>
    <w:p w14:paraId="13B9E35F" w14:textId="7AB1EB13" w:rsidR="00A462F9" w:rsidRPr="00F1714B" w:rsidRDefault="00ED4391" w:rsidP="00705587">
      <w:pPr>
        <w:ind w:firstLine="720"/>
        <w:rPr>
          <w:rFonts w:cs="Times New Roman"/>
          <w:szCs w:val="26"/>
        </w:rPr>
      </w:pPr>
      <w:r w:rsidRPr="00F1714B">
        <w:rPr>
          <w:rFonts w:cs="Times New Roman"/>
          <w:szCs w:val="26"/>
        </w:rPr>
        <w:t xml:space="preserve">In its Comments, </w:t>
      </w:r>
      <w:r w:rsidR="00A462F9" w:rsidRPr="00F1714B">
        <w:rPr>
          <w:rFonts w:cs="Times New Roman"/>
          <w:szCs w:val="26"/>
        </w:rPr>
        <w:t>I</w:t>
      </w:r>
      <w:r w:rsidR="0051579F" w:rsidRPr="00F1714B">
        <w:rPr>
          <w:rFonts w:cs="Times New Roman"/>
          <w:szCs w:val="26"/>
        </w:rPr>
        <w:t>R</w:t>
      </w:r>
      <w:r w:rsidR="00A462F9" w:rsidRPr="00F1714B">
        <w:rPr>
          <w:rFonts w:cs="Times New Roman"/>
          <w:szCs w:val="26"/>
        </w:rPr>
        <w:t xml:space="preserve">RC </w:t>
      </w:r>
      <w:r w:rsidR="0051579F" w:rsidRPr="00F1714B">
        <w:rPr>
          <w:rFonts w:cs="Times New Roman"/>
          <w:szCs w:val="26"/>
        </w:rPr>
        <w:t xml:space="preserve">also </w:t>
      </w:r>
      <w:r w:rsidR="00A462F9" w:rsidRPr="00F1714B">
        <w:rPr>
          <w:rFonts w:cs="Times New Roman"/>
          <w:szCs w:val="26"/>
        </w:rPr>
        <w:t xml:space="preserve">asks the Commission “to explain the reasonableness of its approach in determining what regulations were needed and how it comports with Chapter 30 of the Public Utility Code.” </w:t>
      </w:r>
      <w:r w:rsidR="00CA2B6F" w:rsidRPr="00F1714B">
        <w:rPr>
          <w:rFonts w:cs="Times New Roman"/>
          <w:szCs w:val="26"/>
        </w:rPr>
        <w:t xml:space="preserve"> </w:t>
      </w:r>
      <w:r w:rsidR="00A462F9" w:rsidRPr="00F1714B">
        <w:rPr>
          <w:rFonts w:cs="Times New Roman"/>
          <w:szCs w:val="26"/>
        </w:rPr>
        <w:t>I</w:t>
      </w:r>
      <w:r w:rsidR="001C2AF0" w:rsidRPr="00F1714B">
        <w:rPr>
          <w:rFonts w:cs="Times New Roman"/>
          <w:szCs w:val="26"/>
        </w:rPr>
        <w:t>R</w:t>
      </w:r>
      <w:r w:rsidR="00A462F9" w:rsidRPr="00F1714B">
        <w:rPr>
          <w:rFonts w:cs="Times New Roman"/>
          <w:szCs w:val="26"/>
        </w:rPr>
        <w:t>RC Comments at 2.</w:t>
      </w:r>
    </w:p>
    <w:p w14:paraId="16942B25" w14:textId="77777777" w:rsidR="00A47F18" w:rsidRPr="00F1714B" w:rsidRDefault="00A47F18" w:rsidP="00705587">
      <w:pPr>
        <w:ind w:firstLine="720"/>
        <w:rPr>
          <w:rFonts w:cs="Times New Roman"/>
          <w:szCs w:val="26"/>
        </w:rPr>
      </w:pPr>
    </w:p>
    <w:p w14:paraId="19FD3EE8" w14:textId="0722B7FA" w:rsidR="00946B1F" w:rsidRPr="00F1714B" w:rsidRDefault="00946B1F" w:rsidP="00705587">
      <w:pPr>
        <w:ind w:firstLine="720"/>
        <w:rPr>
          <w:rFonts w:cs="Times New Roman"/>
          <w:szCs w:val="26"/>
        </w:rPr>
      </w:pPr>
      <w:r w:rsidRPr="00F1714B">
        <w:rPr>
          <w:rFonts w:cs="Times New Roman"/>
          <w:b/>
          <w:bCs/>
          <w:szCs w:val="26"/>
        </w:rPr>
        <w:t>B.</w:t>
      </w:r>
      <w:r w:rsidRPr="00F1714B">
        <w:rPr>
          <w:rFonts w:cs="Times New Roman"/>
          <w:b/>
          <w:bCs/>
          <w:szCs w:val="26"/>
        </w:rPr>
        <w:tab/>
        <w:t>Responses to Chairman Dutrieuille’s Questions</w:t>
      </w:r>
    </w:p>
    <w:p w14:paraId="0F2A722E" w14:textId="07ACF0E9" w:rsidR="00FB046E" w:rsidRPr="00F1714B" w:rsidRDefault="003B245B" w:rsidP="00E55426">
      <w:pPr>
        <w:ind w:firstLine="720"/>
        <w:rPr>
          <w:rFonts w:cs="Times New Roman"/>
          <w:szCs w:val="26"/>
        </w:rPr>
      </w:pPr>
      <w:r w:rsidRPr="00F1714B">
        <w:rPr>
          <w:rFonts w:cs="Times New Roman"/>
          <w:szCs w:val="26"/>
        </w:rPr>
        <w:t xml:space="preserve">In its responses to the Chairman Dutrieuille’s questions, </w:t>
      </w:r>
      <w:r w:rsidR="00FB046E" w:rsidRPr="00F1714B">
        <w:rPr>
          <w:rFonts w:cs="Times New Roman"/>
          <w:szCs w:val="26"/>
        </w:rPr>
        <w:t xml:space="preserve">CAUSE-PA </w:t>
      </w:r>
      <w:r w:rsidRPr="00F1714B">
        <w:rPr>
          <w:rFonts w:cs="Times New Roman"/>
          <w:szCs w:val="26"/>
        </w:rPr>
        <w:t xml:space="preserve">states that it </w:t>
      </w:r>
      <w:r w:rsidR="00FB046E" w:rsidRPr="00F1714B">
        <w:rPr>
          <w:rFonts w:cs="Times New Roman"/>
          <w:szCs w:val="26"/>
        </w:rPr>
        <w:t xml:space="preserve">supports “ongoing regulatory standards to address the inspection, testing, surveillance, and interference minimization on the providers’ networks to ensure the safety and reliability of our network…regardless of the technology deployed.” </w:t>
      </w:r>
      <w:bookmarkStart w:id="8" w:name="_Hlk76739806"/>
      <w:r w:rsidRPr="00F1714B">
        <w:rPr>
          <w:rFonts w:cs="Times New Roman"/>
          <w:szCs w:val="26"/>
        </w:rPr>
        <w:t xml:space="preserve"> </w:t>
      </w:r>
      <w:r w:rsidR="00FB046E" w:rsidRPr="00F1714B">
        <w:rPr>
          <w:rFonts w:cs="Times New Roman"/>
          <w:szCs w:val="26"/>
        </w:rPr>
        <w:t xml:space="preserve">CAUSE-PA Comments at </w:t>
      </w:r>
      <w:bookmarkEnd w:id="8"/>
      <w:r w:rsidR="00FB046E" w:rsidRPr="00F1714B">
        <w:rPr>
          <w:rFonts w:cs="Times New Roman"/>
          <w:szCs w:val="26"/>
        </w:rPr>
        <w:t xml:space="preserve">3. </w:t>
      </w:r>
    </w:p>
    <w:p w14:paraId="21810567" w14:textId="77777777" w:rsidR="003B245B" w:rsidRPr="00F1714B" w:rsidRDefault="003B245B" w:rsidP="00E55426">
      <w:pPr>
        <w:ind w:firstLine="720"/>
        <w:rPr>
          <w:rFonts w:cs="Times New Roman"/>
          <w:szCs w:val="26"/>
        </w:rPr>
      </w:pPr>
    </w:p>
    <w:p w14:paraId="26E0B5DE" w14:textId="353585D8" w:rsidR="00FB046E" w:rsidRPr="00F1714B" w:rsidRDefault="0015739E" w:rsidP="00E55426">
      <w:pPr>
        <w:ind w:firstLine="720"/>
        <w:rPr>
          <w:rFonts w:cs="Times New Roman"/>
          <w:szCs w:val="26"/>
        </w:rPr>
      </w:pPr>
      <w:r w:rsidRPr="00F1714B">
        <w:rPr>
          <w:rFonts w:cs="Times New Roman"/>
          <w:szCs w:val="26"/>
        </w:rPr>
        <w:t xml:space="preserve">Additionally, </w:t>
      </w:r>
      <w:r w:rsidR="00FB046E" w:rsidRPr="00F1714B">
        <w:rPr>
          <w:rFonts w:cs="Times New Roman"/>
          <w:szCs w:val="26"/>
        </w:rPr>
        <w:t xml:space="preserve">CAUSE-PA </w:t>
      </w:r>
      <w:r w:rsidRPr="00F1714B">
        <w:rPr>
          <w:rFonts w:cs="Times New Roman"/>
          <w:szCs w:val="26"/>
        </w:rPr>
        <w:t xml:space="preserve">states that it </w:t>
      </w:r>
      <w:r w:rsidR="00FB046E" w:rsidRPr="00F1714B">
        <w:rPr>
          <w:rFonts w:cs="Times New Roman"/>
          <w:szCs w:val="26"/>
        </w:rPr>
        <w:t xml:space="preserve">supports “Commission-approved standards for documentation and reporting of response times, resolutions, trouble reports, interference, and service outages, as this information will be critical to monitoring the integrity and stability of our networks and the quality of our providers’ services.” </w:t>
      </w:r>
      <w:r w:rsidRPr="00F1714B">
        <w:rPr>
          <w:rFonts w:cs="Times New Roman"/>
          <w:szCs w:val="26"/>
        </w:rPr>
        <w:t xml:space="preserve"> </w:t>
      </w:r>
      <w:r w:rsidR="00FB046E" w:rsidRPr="00F1714B">
        <w:rPr>
          <w:rFonts w:cs="Times New Roman"/>
          <w:szCs w:val="26"/>
        </w:rPr>
        <w:t>CAUSE-PA Comments at 3</w:t>
      </w:r>
      <w:r w:rsidR="00B34405" w:rsidRPr="00F1714B">
        <w:rPr>
          <w:rFonts w:cs="Times New Roman"/>
          <w:szCs w:val="26"/>
        </w:rPr>
        <w:t>.</w:t>
      </w:r>
      <w:r w:rsidRPr="00F1714B">
        <w:rPr>
          <w:rFonts w:cs="Times New Roman"/>
          <w:szCs w:val="26"/>
        </w:rPr>
        <w:t xml:space="preserve">  </w:t>
      </w:r>
      <w:r w:rsidR="00FB046E" w:rsidRPr="00F1714B">
        <w:rPr>
          <w:rFonts w:cs="Times New Roman"/>
          <w:szCs w:val="26"/>
        </w:rPr>
        <w:t xml:space="preserve">CAUSE-PA </w:t>
      </w:r>
      <w:r w:rsidRPr="00F1714B">
        <w:rPr>
          <w:rFonts w:cs="Times New Roman"/>
          <w:szCs w:val="26"/>
        </w:rPr>
        <w:t xml:space="preserve">also </w:t>
      </w:r>
      <w:r w:rsidR="00FB046E" w:rsidRPr="00F1714B">
        <w:rPr>
          <w:rFonts w:cs="Times New Roman"/>
          <w:szCs w:val="26"/>
        </w:rPr>
        <w:t xml:space="preserve">urges the Commission to retain “regulations imposing standards for installation, interference, trouble reports, and service </w:t>
      </w:r>
      <w:r w:rsidR="00FB046E" w:rsidRPr="00F1714B">
        <w:rPr>
          <w:rFonts w:cs="Times New Roman"/>
          <w:szCs w:val="26"/>
        </w:rPr>
        <w:lastRenderedPageBreak/>
        <w:t xml:space="preserve">outages, and [to] impose new regulatory standards imposing automatic remedies that do not impose undue hurdles for consumers to access relief.” </w:t>
      </w:r>
      <w:r w:rsidRPr="00F1714B">
        <w:rPr>
          <w:rFonts w:cs="Times New Roman"/>
          <w:szCs w:val="26"/>
        </w:rPr>
        <w:t xml:space="preserve"> </w:t>
      </w:r>
      <w:r w:rsidR="00FB046E" w:rsidRPr="00F1714B">
        <w:rPr>
          <w:rFonts w:cs="Times New Roman"/>
          <w:szCs w:val="26"/>
        </w:rPr>
        <w:t>CAUSE-PA Comments at 3-4.</w:t>
      </w:r>
    </w:p>
    <w:p w14:paraId="2B7AD0A0" w14:textId="77777777" w:rsidR="0051255F" w:rsidRPr="00F1714B" w:rsidRDefault="0051255F" w:rsidP="00E55426">
      <w:pPr>
        <w:rPr>
          <w:rFonts w:cs="Times New Roman"/>
          <w:szCs w:val="26"/>
        </w:rPr>
      </w:pPr>
    </w:p>
    <w:p w14:paraId="4A3B51E4" w14:textId="3F4EC6FC" w:rsidR="00FB046E" w:rsidRPr="00F1714B" w:rsidRDefault="00E53D86" w:rsidP="00E55426">
      <w:pPr>
        <w:ind w:firstLine="720"/>
        <w:rPr>
          <w:rFonts w:cs="Times New Roman"/>
          <w:szCs w:val="26"/>
        </w:rPr>
      </w:pPr>
      <w:r w:rsidRPr="00F1714B">
        <w:rPr>
          <w:rFonts w:cs="Times New Roman"/>
          <w:szCs w:val="26"/>
        </w:rPr>
        <w:t xml:space="preserve">Further, </w:t>
      </w:r>
      <w:r w:rsidR="00FB046E" w:rsidRPr="00F1714B">
        <w:rPr>
          <w:rFonts w:cs="Times New Roman"/>
          <w:szCs w:val="26"/>
        </w:rPr>
        <w:t>CAUSE-PA posits that “there should be a threshold for service quality standards for installations, interference, trouble reports, and service outages that trigger notification to consumers – as well as reports documenting the source of the problem and the resolution” and further proposes that “[r]eports filed with the FCC should be automatically filed with the Commission to allow for close monitoring of service quality standards and each companies’ adherence thereto</w:t>
      </w:r>
      <w:r w:rsidR="00013A67" w:rsidRPr="00F1714B">
        <w:rPr>
          <w:rFonts w:cs="Times New Roman"/>
          <w:szCs w:val="26"/>
        </w:rPr>
        <w:t>[.]</w:t>
      </w:r>
      <w:r w:rsidR="00FB046E" w:rsidRPr="00F1714B">
        <w:rPr>
          <w:rFonts w:cs="Times New Roman"/>
          <w:szCs w:val="26"/>
        </w:rPr>
        <w:t xml:space="preserve">” </w:t>
      </w:r>
      <w:r w:rsidRPr="00F1714B">
        <w:rPr>
          <w:rFonts w:cs="Times New Roman"/>
          <w:szCs w:val="26"/>
        </w:rPr>
        <w:t xml:space="preserve"> </w:t>
      </w:r>
      <w:r w:rsidR="00FB046E" w:rsidRPr="00F1714B">
        <w:rPr>
          <w:rFonts w:cs="Times New Roman"/>
          <w:szCs w:val="26"/>
        </w:rPr>
        <w:t>CAUSE-PA Comments at 4.</w:t>
      </w:r>
      <w:r w:rsidR="00296ED6" w:rsidRPr="00F1714B">
        <w:rPr>
          <w:rFonts w:cs="Times New Roman"/>
          <w:szCs w:val="26"/>
        </w:rPr>
        <w:t xml:space="preserve">  </w:t>
      </w:r>
      <w:r w:rsidR="00FB046E" w:rsidRPr="00F1714B">
        <w:rPr>
          <w:rFonts w:cs="Times New Roman"/>
          <w:szCs w:val="26"/>
        </w:rPr>
        <w:t xml:space="preserve">CAUSE-PA states that “the Commission should require providers to continue offering robust consumer education for new </w:t>
      </w:r>
      <w:r w:rsidR="00FB046E" w:rsidRPr="00F1714B">
        <w:rPr>
          <w:rFonts w:cs="Times New Roman"/>
          <w:i/>
          <w:iCs/>
          <w:szCs w:val="26"/>
        </w:rPr>
        <w:t xml:space="preserve">and </w:t>
      </w:r>
      <w:r w:rsidR="00FB046E" w:rsidRPr="00F1714B">
        <w:rPr>
          <w:rFonts w:cs="Times New Roman"/>
          <w:szCs w:val="26"/>
        </w:rPr>
        <w:t>existing customers</w:t>
      </w:r>
      <w:r w:rsidR="00013A67" w:rsidRPr="00F1714B">
        <w:rPr>
          <w:rFonts w:cs="Times New Roman"/>
          <w:szCs w:val="26"/>
        </w:rPr>
        <w:t>[</w:t>
      </w:r>
      <w:r w:rsidR="00FB046E" w:rsidRPr="00F1714B">
        <w:rPr>
          <w:rFonts w:cs="Times New Roman"/>
          <w:szCs w:val="26"/>
        </w:rPr>
        <w:t>.</w:t>
      </w:r>
      <w:r w:rsidR="00013A67" w:rsidRPr="00F1714B">
        <w:rPr>
          <w:rFonts w:cs="Times New Roman"/>
          <w:szCs w:val="26"/>
        </w:rPr>
        <w:t>]</w:t>
      </w:r>
      <w:r w:rsidR="00FB046E" w:rsidRPr="00F1714B">
        <w:rPr>
          <w:rFonts w:cs="Times New Roman"/>
          <w:szCs w:val="26"/>
        </w:rPr>
        <w:t xml:space="preserve">” </w:t>
      </w:r>
      <w:r w:rsidRPr="00F1714B">
        <w:rPr>
          <w:rFonts w:cs="Times New Roman"/>
          <w:szCs w:val="26"/>
        </w:rPr>
        <w:t xml:space="preserve"> </w:t>
      </w:r>
      <w:r w:rsidR="00FB046E" w:rsidRPr="00F1714B">
        <w:rPr>
          <w:rFonts w:cs="Times New Roman"/>
          <w:szCs w:val="26"/>
        </w:rPr>
        <w:t>CAUSE-PA Comments at 4.</w:t>
      </w:r>
    </w:p>
    <w:p w14:paraId="7F5648BC" w14:textId="77777777" w:rsidR="00E53D86" w:rsidRPr="00F1714B" w:rsidRDefault="00E53D86" w:rsidP="00E55426">
      <w:pPr>
        <w:rPr>
          <w:rFonts w:cs="Times New Roman"/>
          <w:szCs w:val="26"/>
        </w:rPr>
      </w:pPr>
    </w:p>
    <w:p w14:paraId="60C1848C" w14:textId="33FB7DD0" w:rsidR="00FB046E" w:rsidRPr="00F1714B" w:rsidRDefault="00FB046E" w:rsidP="00E55426">
      <w:pPr>
        <w:ind w:firstLine="720"/>
        <w:rPr>
          <w:rFonts w:cs="Times New Roman"/>
          <w:szCs w:val="26"/>
        </w:rPr>
      </w:pPr>
      <w:r w:rsidRPr="00F1714B">
        <w:rPr>
          <w:rFonts w:cs="Times New Roman"/>
          <w:szCs w:val="26"/>
        </w:rPr>
        <w:t>CAUSE-PA advocates that the Commission retain rules governing automatic call devices, noting that “[r]obocalls are a problem in Pennsylvania, and there must be regulatory restrictions to prevent a resurgence of nuisance calls” which “often target vulnerable lower income consumers and Seniors, who are especially susceptible to predatory offers of savings and other scams</w:t>
      </w:r>
      <w:r w:rsidR="00013A67" w:rsidRPr="00F1714B">
        <w:rPr>
          <w:rFonts w:cs="Times New Roman"/>
          <w:szCs w:val="26"/>
        </w:rPr>
        <w:t>[</w:t>
      </w:r>
      <w:r w:rsidRPr="00F1714B">
        <w:rPr>
          <w:rFonts w:cs="Times New Roman"/>
          <w:szCs w:val="26"/>
        </w:rPr>
        <w:t>.</w:t>
      </w:r>
      <w:r w:rsidR="00013A67" w:rsidRPr="00F1714B">
        <w:rPr>
          <w:rFonts w:cs="Times New Roman"/>
          <w:szCs w:val="26"/>
        </w:rPr>
        <w:t>]</w:t>
      </w:r>
      <w:r w:rsidRPr="00F1714B">
        <w:rPr>
          <w:rFonts w:cs="Times New Roman"/>
          <w:szCs w:val="26"/>
        </w:rPr>
        <w:t xml:space="preserve">” </w:t>
      </w:r>
      <w:r w:rsidR="00E53D86" w:rsidRPr="00F1714B">
        <w:rPr>
          <w:rFonts w:cs="Times New Roman"/>
          <w:szCs w:val="26"/>
        </w:rPr>
        <w:t xml:space="preserve"> </w:t>
      </w:r>
      <w:r w:rsidRPr="00F1714B">
        <w:rPr>
          <w:rFonts w:cs="Times New Roman"/>
          <w:szCs w:val="26"/>
        </w:rPr>
        <w:t>CAUSE-PA Comments at 4.</w:t>
      </w:r>
    </w:p>
    <w:p w14:paraId="7B06DE33" w14:textId="209C80A7" w:rsidR="00FB046E" w:rsidRPr="00F1714B" w:rsidRDefault="00FB046E" w:rsidP="00705587">
      <w:pPr>
        <w:rPr>
          <w:rFonts w:cs="Times New Roman"/>
          <w:szCs w:val="26"/>
        </w:rPr>
      </w:pPr>
      <w:r w:rsidRPr="00F1714B">
        <w:rPr>
          <w:rFonts w:cs="Times New Roman"/>
          <w:szCs w:val="26"/>
        </w:rPr>
        <w:t>CAUSE-PA supports retaining operator assistance rules, noting that although “[t]he number of households that require operator assistance is likely small… it is likewise the case that those who require operator assistance are likely to have unique vulnerabilities that require additional help to connect…with ease, and without long wait times.” CAUSE-PA Comments at 4.</w:t>
      </w:r>
    </w:p>
    <w:p w14:paraId="2F00448F" w14:textId="77777777" w:rsidR="00AC1F0B" w:rsidRPr="00F1714B" w:rsidRDefault="00AC1F0B" w:rsidP="00705587">
      <w:pPr>
        <w:rPr>
          <w:rFonts w:cs="Times New Roman"/>
          <w:szCs w:val="26"/>
        </w:rPr>
      </w:pPr>
    </w:p>
    <w:p w14:paraId="51874795" w14:textId="63440481" w:rsidR="00FB046E" w:rsidRPr="00F1714B" w:rsidRDefault="00FB046E" w:rsidP="00E55426">
      <w:pPr>
        <w:ind w:firstLine="720"/>
        <w:rPr>
          <w:rFonts w:cs="Times New Roman"/>
          <w:szCs w:val="26"/>
        </w:rPr>
      </w:pPr>
      <w:r w:rsidRPr="00F1714B">
        <w:rPr>
          <w:rFonts w:cs="Times New Roman"/>
          <w:szCs w:val="26"/>
        </w:rPr>
        <w:t xml:space="preserve">CAUSE-PA argues that “[t]he quality of service that a consumer receives should not vary based on the technology deployed – whether that technology is through a traditional or fiber network.” </w:t>
      </w:r>
      <w:r w:rsidR="00FA7724" w:rsidRPr="00F1714B">
        <w:rPr>
          <w:rFonts w:cs="Times New Roman"/>
          <w:szCs w:val="26"/>
        </w:rPr>
        <w:t xml:space="preserve"> </w:t>
      </w:r>
      <w:r w:rsidRPr="00F1714B">
        <w:rPr>
          <w:rFonts w:cs="Times New Roman"/>
          <w:szCs w:val="26"/>
        </w:rPr>
        <w:t>CAUSE-PA Comments at 4.</w:t>
      </w:r>
    </w:p>
    <w:p w14:paraId="17C8312F" w14:textId="77777777" w:rsidR="00EB5CEF" w:rsidRPr="00F1714B" w:rsidRDefault="00EB5CEF" w:rsidP="00E55426">
      <w:pPr>
        <w:ind w:firstLine="720"/>
        <w:rPr>
          <w:rFonts w:cs="Times New Roman"/>
          <w:szCs w:val="26"/>
        </w:rPr>
      </w:pPr>
    </w:p>
    <w:p w14:paraId="4DD1FF1D" w14:textId="689A6149" w:rsidR="00FB046E" w:rsidRPr="00F1714B" w:rsidRDefault="00344D84" w:rsidP="00E55426">
      <w:pPr>
        <w:ind w:firstLine="720"/>
        <w:rPr>
          <w:rFonts w:cs="Times New Roman"/>
          <w:szCs w:val="26"/>
        </w:rPr>
      </w:pPr>
      <w:r w:rsidRPr="00F1714B">
        <w:rPr>
          <w:rFonts w:cs="Times New Roman"/>
          <w:szCs w:val="26"/>
        </w:rPr>
        <w:lastRenderedPageBreak/>
        <w:t xml:space="preserve">In its response to Chairman Dutrieuille’s questions, the </w:t>
      </w:r>
      <w:r w:rsidR="00FB046E" w:rsidRPr="00F1714B">
        <w:rPr>
          <w:rFonts w:cs="Times New Roman"/>
          <w:szCs w:val="26"/>
        </w:rPr>
        <w:t xml:space="preserve">OCA </w:t>
      </w:r>
      <w:r w:rsidRPr="00F1714B">
        <w:rPr>
          <w:rFonts w:cs="Times New Roman"/>
          <w:szCs w:val="26"/>
        </w:rPr>
        <w:t xml:space="preserve">states that it also </w:t>
      </w:r>
      <w:r w:rsidR="00FB046E" w:rsidRPr="00F1714B">
        <w:rPr>
          <w:rFonts w:cs="Times New Roman"/>
          <w:szCs w:val="26"/>
        </w:rPr>
        <w:t xml:space="preserve">supports “development of Commission-approved standards that address the inspection, testing, surveillance, and interference minimization on the providers’ networks, through to the consumer’s Network Interface Device (NID) – or other meet point between the network and customer premises.” </w:t>
      </w:r>
      <w:r w:rsidRPr="00F1714B">
        <w:rPr>
          <w:rFonts w:cs="Times New Roman"/>
          <w:szCs w:val="26"/>
        </w:rPr>
        <w:t xml:space="preserve"> </w:t>
      </w:r>
      <w:r w:rsidR="00FB046E" w:rsidRPr="00F1714B">
        <w:rPr>
          <w:rFonts w:cs="Times New Roman"/>
          <w:szCs w:val="26"/>
        </w:rPr>
        <w:t xml:space="preserve">OCA Comments at 3. </w:t>
      </w:r>
      <w:r w:rsidRPr="00F1714B">
        <w:rPr>
          <w:rFonts w:cs="Times New Roman"/>
          <w:szCs w:val="26"/>
        </w:rPr>
        <w:t xml:space="preserve"> </w:t>
      </w:r>
      <w:r w:rsidR="00FB046E" w:rsidRPr="00F1714B">
        <w:rPr>
          <w:rFonts w:cs="Times New Roman"/>
          <w:szCs w:val="26"/>
        </w:rPr>
        <w:t xml:space="preserve">OCA further supports standards that ensure the availability of information about the quality and reliability of networks, for the benefit of consumers, businesses and public safety. </w:t>
      </w:r>
      <w:bookmarkStart w:id="9" w:name="_Hlk76035000"/>
      <w:r w:rsidRPr="00F1714B">
        <w:rPr>
          <w:rFonts w:cs="Times New Roman"/>
          <w:szCs w:val="26"/>
        </w:rPr>
        <w:t xml:space="preserve"> </w:t>
      </w:r>
      <w:r w:rsidR="00FB046E" w:rsidRPr="00F1714B">
        <w:rPr>
          <w:rFonts w:cs="Times New Roman"/>
          <w:szCs w:val="26"/>
        </w:rPr>
        <w:t>OCA Comments at 4.</w:t>
      </w:r>
    </w:p>
    <w:bookmarkEnd w:id="9"/>
    <w:p w14:paraId="6CE02A90" w14:textId="77777777" w:rsidR="0051255F" w:rsidRPr="00F1714B" w:rsidRDefault="0051255F" w:rsidP="00E55426">
      <w:pPr>
        <w:rPr>
          <w:rFonts w:cs="Times New Roman"/>
          <w:szCs w:val="26"/>
        </w:rPr>
      </w:pPr>
    </w:p>
    <w:p w14:paraId="48A28912" w14:textId="436DBB21" w:rsidR="00FB046E" w:rsidRPr="00F1714B" w:rsidRDefault="003179FC" w:rsidP="00705587">
      <w:pPr>
        <w:ind w:firstLine="720"/>
        <w:rPr>
          <w:rFonts w:cs="Times New Roman"/>
          <w:szCs w:val="26"/>
        </w:rPr>
      </w:pPr>
      <w:r w:rsidRPr="00F1714B">
        <w:rPr>
          <w:rFonts w:cs="Times New Roman"/>
          <w:szCs w:val="26"/>
        </w:rPr>
        <w:t xml:space="preserve">The </w:t>
      </w:r>
      <w:r w:rsidR="00FB046E" w:rsidRPr="00F1714B">
        <w:rPr>
          <w:rFonts w:cs="Times New Roman"/>
          <w:szCs w:val="26"/>
        </w:rPr>
        <w:t xml:space="preserve">OCA </w:t>
      </w:r>
      <w:r w:rsidR="0055704B" w:rsidRPr="00F1714B">
        <w:rPr>
          <w:rFonts w:cs="Times New Roman"/>
          <w:szCs w:val="26"/>
        </w:rPr>
        <w:t xml:space="preserve">further states that it </w:t>
      </w:r>
      <w:r w:rsidR="00FB046E" w:rsidRPr="00F1714B">
        <w:rPr>
          <w:rFonts w:cs="Times New Roman"/>
          <w:szCs w:val="26"/>
        </w:rPr>
        <w:t xml:space="preserve">supports retaining rules that require local exchange carriers to document how consumer trouble reports are resolved. </w:t>
      </w:r>
      <w:r w:rsidRPr="00F1714B">
        <w:rPr>
          <w:rFonts w:cs="Times New Roman"/>
          <w:szCs w:val="26"/>
        </w:rPr>
        <w:t xml:space="preserve"> </w:t>
      </w:r>
      <w:r w:rsidR="00FB046E" w:rsidRPr="00F1714B">
        <w:rPr>
          <w:rFonts w:cs="Times New Roman"/>
          <w:szCs w:val="26"/>
        </w:rPr>
        <w:t>OCA Comments at 4.</w:t>
      </w:r>
      <w:r w:rsidR="0051255F" w:rsidRPr="00F1714B">
        <w:rPr>
          <w:rFonts w:cs="Times New Roman"/>
          <w:szCs w:val="26"/>
        </w:rPr>
        <w:t xml:space="preserve">  </w:t>
      </w:r>
      <w:r w:rsidR="00FB046E" w:rsidRPr="00F1714B">
        <w:rPr>
          <w:rFonts w:cs="Times New Roman"/>
          <w:szCs w:val="26"/>
        </w:rPr>
        <w:t xml:space="preserve">OCA supports retaining rules that provide for bill adjustments to account for out-of-service conditions and is open to consideration of alternative means to ensure consumers do not pay for service quality they do not receive. </w:t>
      </w:r>
      <w:r w:rsidRPr="00F1714B">
        <w:rPr>
          <w:rFonts w:cs="Times New Roman"/>
          <w:szCs w:val="26"/>
        </w:rPr>
        <w:t xml:space="preserve"> </w:t>
      </w:r>
      <w:r w:rsidR="00FB046E" w:rsidRPr="00F1714B">
        <w:rPr>
          <w:rFonts w:cs="Times New Roman"/>
          <w:szCs w:val="26"/>
        </w:rPr>
        <w:t xml:space="preserve">OCA Comments at 4-5. </w:t>
      </w:r>
      <w:r w:rsidRPr="00F1714B">
        <w:rPr>
          <w:rFonts w:cs="Times New Roman"/>
          <w:szCs w:val="26"/>
        </w:rPr>
        <w:t xml:space="preserve"> </w:t>
      </w:r>
      <w:r w:rsidR="00FB046E" w:rsidRPr="00F1714B">
        <w:rPr>
          <w:rFonts w:cs="Times New Roman"/>
          <w:szCs w:val="26"/>
        </w:rPr>
        <w:t xml:space="preserve">However, </w:t>
      </w:r>
      <w:r w:rsidR="0055704B" w:rsidRPr="00F1714B">
        <w:rPr>
          <w:rFonts w:cs="Times New Roman"/>
          <w:szCs w:val="26"/>
        </w:rPr>
        <w:t xml:space="preserve">the </w:t>
      </w:r>
      <w:r w:rsidR="00FB046E" w:rsidRPr="00F1714B">
        <w:rPr>
          <w:rFonts w:cs="Times New Roman"/>
          <w:szCs w:val="26"/>
        </w:rPr>
        <w:t xml:space="preserve">OCA notes that bill adjustments for individual consumers may distract from resolution of underlying network quality issues impacting a larger class of consumers. </w:t>
      </w:r>
      <w:bookmarkStart w:id="10" w:name="_Hlk76035368"/>
      <w:r w:rsidRPr="00F1714B">
        <w:rPr>
          <w:rFonts w:cs="Times New Roman"/>
          <w:szCs w:val="26"/>
        </w:rPr>
        <w:t xml:space="preserve"> </w:t>
      </w:r>
      <w:r w:rsidR="00FB046E" w:rsidRPr="00F1714B">
        <w:rPr>
          <w:rFonts w:cs="Times New Roman"/>
          <w:szCs w:val="26"/>
        </w:rPr>
        <w:t>OCA Comments at 5.</w:t>
      </w:r>
      <w:bookmarkEnd w:id="10"/>
      <w:r w:rsidR="0051255F" w:rsidRPr="00F1714B">
        <w:rPr>
          <w:rFonts w:cs="Times New Roman"/>
          <w:szCs w:val="26"/>
        </w:rPr>
        <w:t xml:space="preserve">  </w:t>
      </w:r>
      <w:r w:rsidR="00FB046E" w:rsidRPr="00F1714B">
        <w:rPr>
          <w:rFonts w:cs="Times New Roman"/>
          <w:szCs w:val="26"/>
        </w:rPr>
        <w:t xml:space="preserve">OCA </w:t>
      </w:r>
      <w:r w:rsidR="0055704B" w:rsidRPr="00F1714B">
        <w:rPr>
          <w:rFonts w:cs="Times New Roman"/>
          <w:szCs w:val="26"/>
        </w:rPr>
        <w:t xml:space="preserve">also </w:t>
      </w:r>
      <w:r w:rsidR="00FB046E" w:rsidRPr="00F1714B">
        <w:rPr>
          <w:rFonts w:cs="Times New Roman"/>
          <w:szCs w:val="26"/>
        </w:rPr>
        <w:t xml:space="preserve">supports retaining service quality standards to include surveillance levels and reporting requirements. </w:t>
      </w:r>
      <w:r w:rsidRPr="00F1714B">
        <w:rPr>
          <w:rFonts w:cs="Times New Roman"/>
          <w:szCs w:val="26"/>
        </w:rPr>
        <w:t xml:space="preserve"> </w:t>
      </w:r>
      <w:r w:rsidR="00FB046E" w:rsidRPr="00F1714B">
        <w:rPr>
          <w:rFonts w:cs="Times New Roman"/>
          <w:szCs w:val="26"/>
        </w:rPr>
        <w:t xml:space="preserve">OCA Comments at 5. </w:t>
      </w:r>
      <w:r w:rsidRPr="00F1714B">
        <w:rPr>
          <w:rFonts w:cs="Times New Roman"/>
          <w:szCs w:val="26"/>
        </w:rPr>
        <w:t xml:space="preserve"> </w:t>
      </w:r>
      <w:r w:rsidR="00FB046E" w:rsidRPr="00F1714B">
        <w:rPr>
          <w:rFonts w:cs="Times New Roman"/>
          <w:szCs w:val="26"/>
        </w:rPr>
        <w:t xml:space="preserve">OCA posits that 66 Pa.C.S. § 504 provides the Commission with authority to require carriers to file with the Commission copies </w:t>
      </w:r>
      <w:r w:rsidR="0055704B" w:rsidRPr="00F1714B">
        <w:rPr>
          <w:rFonts w:cs="Times New Roman"/>
          <w:szCs w:val="26"/>
        </w:rPr>
        <w:t>o</w:t>
      </w:r>
      <w:r w:rsidR="00FB046E" w:rsidRPr="00F1714B">
        <w:rPr>
          <w:rFonts w:cs="Times New Roman"/>
          <w:szCs w:val="26"/>
        </w:rPr>
        <w:t>f reports made to the FCC.</w:t>
      </w:r>
      <w:r w:rsidRPr="00F1714B">
        <w:rPr>
          <w:rFonts w:cs="Times New Roman"/>
          <w:szCs w:val="26"/>
        </w:rPr>
        <w:t xml:space="preserve"> </w:t>
      </w:r>
      <w:r w:rsidR="00FB046E" w:rsidRPr="00F1714B">
        <w:rPr>
          <w:rFonts w:cs="Times New Roman"/>
          <w:szCs w:val="26"/>
        </w:rPr>
        <w:t xml:space="preserve"> OCA Comments at 5.</w:t>
      </w:r>
    </w:p>
    <w:p w14:paraId="5019EB17" w14:textId="4969BEFC" w:rsidR="00ED4391" w:rsidRPr="00F1714B" w:rsidRDefault="00ED4391" w:rsidP="00705587">
      <w:pPr>
        <w:ind w:firstLine="720"/>
        <w:rPr>
          <w:rFonts w:cs="Times New Roman"/>
          <w:szCs w:val="26"/>
        </w:rPr>
      </w:pPr>
    </w:p>
    <w:p w14:paraId="47038585" w14:textId="66B116F7" w:rsidR="00FB046E" w:rsidRPr="00F1714B" w:rsidRDefault="0055704B" w:rsidP="00E55426">
      <w:pPr>
        <w:ind w:firstLine="720"/>
        <w:rPr>
          <w:rFonts w:cs="Times New Roman"/>
          <w:szCs w:val="26"/>
        </w:rPr>
      </w:pPr>
      <w:r w:rsidRPr="00F1714B">
        <w:rPr>
          <w:rFonts w:cs="Times New Roman"/>
          <w:szCs w:val="26"/>
        </w:rPr>
        <w:t xml:space="preserve">Furthermore, the </w:t>
      </w:r>
      <w:r w:rsidR="00FB046E" w:rsidRPr="00F1714B">
        <w:rPr>
          <w:rFonts w:cs="Times New Roman"/>
          <w:szCs w:val="26"/>
        </w:rPr>
        <w:t xml:space="preserve">OCA </w:t>
      </w:r>
      <w:r w:rsidRPr="00F1714B">
        <w:rPr>
          <w:rFonts w:cs="Times New Roman"/>
          <w:szCs w:val="26"/>
        </w:rPr>
        <w:t xml:space="preserve">states that it </w:t>
      </w:r>
      <w:r w:rsidR="00FB046E" w:rsidRPr="00F1714B">
        <w:rPr>
          <w:rFonts w:cs="Times New Roman"/>
          <w:szCs w:val="26"/>
        </w:rPr>
        <w:t xml:space="preserve">supports a requirement for carriers and Commission staff to educate consumers about their options to resolve service quality and billing issues. </w:t>
      </w:r>
      <w:r w:rsidR="004D728A" w:rsidRPr="00F1714B">
        <w:rPr>
          <w:rFonts w:cs="Times New Roman"/>
          <w:szCs w:val="26"/>
        </w:rPr>
        <w:t xml:space="preserve"> </w:t>
      </w:r>
      <w:r w:rsidR="00FB046E" w:rsidRPr="00F1714B">
        <w:rPr>
          <w:rFonts w:cs="Times New Roman"/>
          <w:szCs w:val="26"/>
        </w:rPr>
        <w:t>OCA Comments at 6.</w:t>
      </w:r>
      <w:r w:rsidR="0051255F" w:rsidRPr="00F1714B">
        <w:rPr>
          <w:rFonts w:cs="Times New Roman"/>
          <w:szCs w:val="26"/>
        </w:rPr>
        <w:t xml:space="preserve">  </w:t>
      </w:r>
      <w:r w:rsidRPr="00F1714B">
        <w:rPr>
          <w:rFonts w:cs="Times New Roman"/>
          <w:szCs w:val="26"/>
        </w:rPr>
        <w:t xml:space="preserve">The </w:t>
      </w:r>
      <w:r w:rsidR="00FB046E" w:rsidRPr="00F1714B">
        <w:rPr>
          <w:rFonts w:cs="Times New Roman"/>
          <w:szCs w:val="26"/>
        </w:rPr>
        <w:t xml:space="preserve">OCA </w:t>
      </w:r>
      <w:r w:rsidRPr="00F1714B">
        <w:rPr>
          <w:rFonts w:cs="Times New Roman"/>
          <w:szCs w:val="26"/>
        </w:rPr>
        <w:t xml:space="preserve">further states that it </w:t>
      </w:r>
      <w:r w:rsidR="00FB046E" w:rsidRPr="00F1714B">
        <w:rPr>
          <w:rFonts w:cs="Times New Roman"/>
          <w:szCs w:val="26"/>
        </w:rPr>
        <w:t xml:space="preserve">supports revision, not elimination, of the existing rule addressing Automatic Dialing Devices, subsection 63.60. </w:t>
      </w:r>
      <w:r w:rsidR="00F75526" w:rsidRPr="00F1714B">
        <w:rPr>
          <w:rFonts w:cs="Times New Roman"/>
          <w:szCs w:val="26"/>
        </w:rPr>
        <w:t xml:space="preserve"> </w:t>
      </w:r>
      <w:r w:rsidR="00FB046E" w:rsidRPr="00F1714B">
        <w:rPr>
          <w:rFonts w:cs="Times New Roman"/>
          <w:szCs w:val="26"/>
        </w:rPr>
        <w:t>OCA Comments at 6.</w:t>
      </w:r>
      <w:r w:rsidR="0051255F" w:rsidRPr="00F1714B">
        <w:rPr>
          <w:rFonts w:cs="Times New Roman"/>
          <w:szCs w:val="26"/>
        </w:rPr>
        <w:t xml:space="preserve">  </w:t>
      </w:r>
      <w:r w:rsidR="00262705" w:rsidRPr="00F1714B">
        <w:rPr>
          <w:rFonts w:cs="Times New Roman"/>
          <w:szCs w:val="26"/>
        </w:rPr>
        <w:t xml:space="preserve">The </w:t>
      </w:r>
      <w:r w:rsidR="00FB046E" w:rsidRPr="00F1714B">
        <w:rPr>
          <w:rFonts w:cs="Times New Roman"/>
          <w:szCs w:val="26"/>
        </w:rPr>
        <w:t xml:space="preserve">OCA advocates that consumers be able to easily reach an operator or customer service representative to answer questions and address service quality </w:t>
      </w:r>
      <w:r w:rsidR="00F75526" w:rsidRPr="00F1714B">
        <w:rPr>
          <w:rFonts w:cs="Times New Roman"/>
          <w:szCs w:val="26"/>
        </w:rPr>
        <w:t>issues and</w:t>
      </w:r>
      <w:r w:rsidR="00FB046E" w:rsidRPr="00F1714B">
        <w:rPr>
          <w:rFonts w:cs="Times New Roman"/>
          <w:szCs w:val="26"/>
        </w:rPr>
        <w:t xml:space="preserve"> supports the Commission’s proposed “warm transfer” option.</w:t>
      </w:r>
      <w:r w:rsidR="00F75526" w:rsidRPr="00F1714B">
        <w:rPr>
          <w:rFonts w:cs="Times New Roman"/>
          <w:szCs w:val="26"/>
        </w:rPr>
        <w:t xml:space="preserve"> </w:t>
      </w:r>
      <w:r w:rsidR="00FB046E" w:rsidRPr="00F1714B">
        <w:rPr>
          <w:rFonts w:cs="Times New Roman"/>
          <w:szCs w:val="26"/>
        </w:rPr>
        <w:t xml:space="preserve"> OCA Comments at 6.</w:t>
      </w:r>
      <w:r w:rsidR="0051255F" w:rsidRPr="00F1714B">
        <w:rPr>
          <w:rFonts w:cs="Times New Roman"/>
          <w:szCs w:val="26"/>
        </w:rPr>
        <w:t xml:space="preserve">  </w:t>
      </w:r>
      <w:r w:rsidR="00262705" w:rsidRPr="00F1714B">
        <w:rPr>
          <w:rFonts w:cs="Times New Roman"/>
          <w:szCs w:val="26"/>
        </w:rPr>
        <w:t xml:space="preserve">Lastly, the </w:t>
      </w:r>
      <w:r w:rsidR="00FB046E" w:rsidRPr="00F1714B">
        <w:rPr>
          <w:rFonts w:cs="Times New Roman"/>
          <w:szCs w:val="26"/>
        </w:rPr>
        <w:t>OCA posits that consumers should receive uniform service quality no matter what technology is used to deliver service. OCA Comments at 7.</w:t>
      </w:r>
    </w:p>
    <w:p w14:paraId="03E4D869" w14:textId="78373BEE" w:rsidR="00ED4391" w:rsidRPr="00F1714B" w:rsidRDefault="00ED4391" w:rsidP="00705587">
      <w:pPr>
        <w:ind w:firstLine="720"/>
        <w:rPr>
          <w:rFonts w:cs="Times New Roman"/>
          <w:szCs w:val="26"/>
        </w:rPr>
      </w:pPr>
      <w:r w:rsidRPr="00F1714B">
        <w:rPr>
          <w:rFonts w:cs="Times New Roman"/>
          <w:szCs w:val="26"/>
        </w:rPr>
        <w:lastRenderedPageBreak/>
        <w:t>With respect to Chair</w:t>
      </w:r>
      <w:r w:rsidR="00B17689" w:rsidRPr="00F1714B">
        <w:rPr>
          <w:rFonts w:cs="Times New Roman"/>
          <w:szCs w:val="26"/>
        </w:rPr>
        <w:t xml:space="preserve">man </w:t>
      </w:r>
      <w:r w:rsidRPr="00F1714B">
        <w:rPr>
          <w:rFonts w:cs="Times New Roman"/>
          <w:szCs w:val="26"/>
        </w:rPr>
        <w:t>Dutrieu</w:t>
      </w:r>
      <w:r w:rsidR="000765CF" w:rsidRPr="00F1714B">
        <w:rPr>
          <w:rFonts w:cs="Times New Roman"/>
          <w:szCs w:val="26"/>
        </w:rPr>
        <w:t>i</w:t>
      </w:r>
      <w:r w:rsidRPr="00F1714B">
        <w:rPr>
          <w:rFonts w:cs="Times New Roman"/>
          <w:szCs w:val="26"/>
        </w:rPr>
        <w:t>lle</w:t>
      </w:r>
      <w:r w:rsidR="003F3328" w:rsidRPr="00F1714B">
        <w:rPr>
          <w:rFonts w:cs="Times New Roman"/>
          <w:szCs w:val="26"/>
        </w:rPr>
        <w:t>’s Statement</w:t>
      </w:r>
      <w:r w:rsidRPr="00F1714B">
        <w:rPr>
          <w:rFonts w:cs="Times New Roman"/>
          <w:szCs w:val="26"/>
        </w:rPr>
        <w:t>, I</w:t>
      </w:r>
      <w:r w:rsidR="00262705" w:rsidRPr="00F1714B">
        <w:rPr>
          <w:rFonts w:cs="Times New Roman"/>
          <w:szCs w:val="26"/>
        </w:rPr>
        <w:t>R</w:t>
      </w:r>
      <w:r w:rsidRPr="00F1714B">
        <w:rPr>
          <w:rFonts w:cs="Times New Roman"/>
          <w:szCs w:val="26"/>
        </w:rPr>
        <w:t>RC opines that the Commission “should have posed the nine questions to the regulated community, accepted comments on those questions, drafted a proposed rulemaking based on the feedback received, and then commenced the formal rulemaking process,” while noting that “[i]t is unclear whether or not the PUC will be considering the responses to these questions for a future rulemaking or if they are intended to help formulate the final version of this rulemaking.”</w:t>
      </w:r>
      <w:r w:rsidR="006854A5" w:rsidRPr="00F1714B">
        <w:rPr>
          <w:rFonts w:cs="Times New Roman"/>
          <w:szCs w:val="26"/>
        </w:rPr>
        <w:t xml:space="preserve"> </w:t>
      </w:r>
      <w:r w:rsidRPr="00F1714B">
        <w:rPr>
          <w:rFonts w:cs="Times New Roman"/>
          <w:szCs w:val="26"/>
        </w:rPr>
        <w:t xml:space="preserve"> I</w:t>
      </w:r>
      <w:r w:rsidR="001C2AF0" w:rsidRPr="00F1714B">
        <w:rPr>
          <w:rFonts w:cs="Times New Roman"/>
          <w:szCs w:val="26"/>
        </w:rPr>
        <w:t>R</w:t>
      </w:r>
      <w:r w:rsidRPr="00F1714B">
        <w:rPr>
          <w:rFonts w:cs="Times New Roman"/>
          <w:szCs w:val="26"/>
        </w:rPr>
        <w:t>RC Comments at 3.</w:t>
      </w:r>
    </w:p>
    <w:p w14:paraId="09D175E9" w14:textId="149E9B40" w:rsidR="00ED4391" w:rsidRPr="00F1714B" w:rsidRDefault="00ED4391" w:rsidP="00705587">
      <w:pPr>
        <w:ind w:firstLine="720"/>
        <w:rPr>
          <w:rFonts w:cs="Times New Roman"/>
          <w:szCs w:val="26"/>
          <w:u w:val="single"/>
        </w:rPr>
      </w:pPr>
    </w:p>
    <w:p w14:paraId="58651851" w14:textId="7ADD3A78" w:rsidR="00C61893" w:rsidRPr="00F1714B" w:rsidRDefault="00C61893" w:rsidP="00705587">
      <w:pPr>
        <w:keepNext/>
        <w:keepLines/>
        <w:ind w:firstLine="720"/>
        <w:rPr>
          <w:rFonts w:cs="Times New Roman"/>
          <w:b/>
          <w:bCs/>
          <w:szCs w:val="26"/>
        </w:rPr>
      </w:pPr>
      <w:r w:rsidRPr="00F1714B">
        <w:rPr>
          <w:rFonts w:cs="Times New Roman"/>
          <w:b/>
          <w:bCs/>
          <w:szCs w:val="26"/>
        </w:rPr>
        <w:t>C.</w:t>
      </w:r>
      <w:r w:rsidRPr="00F1714B">
        <w:rPr>
          <w:rFonts w:cs="Times New Roman"/>
          <w:b/>
          <w:bCs/>
          <w:szCs w:val="26"/>
        </w:rPr>
        <w:tab/>
        <w:t>Discussion and Resolution</w:t>
      </w:r>
    </w:p>
    <w:p w14:paraId="1418F825" w14:textId="0E5B5CE2" w:rsidR="009050BC" w:rsidRPr="00F1714B" w:rsidRDefault="00316A6A" w:rsidP="00705587">
      <w:pPr>
        <w:keepNext/>
        <w:keepLines/>
        <w:ind w:firstLine="720"/>
        <w:rPr>
          <w:rFonts w:cs="Times New Roman"/>
          <w:b/>
          <w:bCs/>
          <w:szCs w:val="26"/>
        </w:rPr>
      </w:pPr>
      <w:r w:rsidRPr="00F1714B">
        <w:rPr>
          <w:rFonts w:cs="Times New Roman"/>
          <w:b/>
          <w:bCs/>
          <w:szCs w:val="26"/>
        </w:rPr>
        <w:tab/>
        <w:t>1.</w:t>
      </w:r>
      <w:r w:rsidRPr="00F1714B">
        <w:rPr>
          <w:rFonts w:cs="Times New Roman"/>
          <w:b/>
          <w:bCs/>
          <w:szCs w:val="26"/>
        </w:rPr>
        <w:tab/>
        <w:t>IRRC’s concerns about Chairman Dutrieuille’s questions</w:t>
      </w:r>
    </w:p>
    <w:p w14:paraId="4D1B4F07" w14:textId="3E9B3CD3" w:rsidR="00A87124" w:rsidRPr="00F1714B" w:rsidRDefault="00AF7019" w:rsidP="00E55426">
      <w:pPr>
        <w:ind w:firstLine="720"/>
        <w:rPr>
          <w:rFonts w:cs="Times New Roman"/>
          <w:szCs w:val="26"/>
        </w:rPr>
      </w:pPr>
      <w:r w:rsidRPr="00F1714B">
        <w:rPr>
          <w:rFonts w:cs="Times New Roman"/>
          <w:szCs w:val="26"/>
        </w:rPr>
        <w:t xml:space="preserve">IRRC </w:t>
      </w:r>
      <w:r w:rsidR="00CD2FF6" w:rsidRPr="00F1714B">
        <w:rPr>
          <w:rFonts w:cs="Times New Roman"/>
          <w:szCs w:val="26"/>
        </w:rPr>
        <w:t>asserts</w:t>
      </w:r>
      <w:r w:rsidR="001D58C8" w:rsidRPr="00F1714B">
        <w:rPr>
          <w:rFonts w:cs="Times New Roman"/>
          <w:szCs w:val="26"/>
        </w:rPr>
        <w:t xml:space="preserve"> that </w:t>
      </w:r>
      <w:r w:rsidR="005E07EA" w:rsidRPr="00F1714B">
        <w:rPr>
          <w:rFonts w:cs="Times New Roman"/>
          <w:szCs w:val="26"/>
        </w:rPr>
        <w:t xml:space="preserve">the Commission </w:t>
      </w:r>
      <w:r w:rsidR="001D58C8" w:rsidRPr="00F1714B">
        <w:rPr>
          <w:rFonts w:cs="Times New Roman"/>
          <w:szCs w:val="26"/>
        </w:rPr>
        <w:t xml:space="preserve">would have been </w:t>
      </w:r>
      <w:r w:rsidR="008C0D94" w:rsidRPr="00F1714B">
        <w:rPr>
          <w:rFonts w:cs="Times New Roman"/>
          <w:szCs w:val="26"/>
        </w:rPr>
        <w:t xml:space="preserve">better positioned to </w:t>
      </w:r>
      <w:r w:rsidR="005E07EA" w:rsidRPr="00F1714B">
        <w:rPr>
          <w:rFonts w:cs="Times New Roman"/>
          <w:szCs w:val="26"/>
        </w:rPr>
        <w:t xml:space="preserve">commence this rulemaking </w:t>
      </w:r>
      <w:r w:rsidR="00612AA1" w:rsidRPr="00F1714B">
        <w:rPr>
          <w:rFonts w:cs="Times New Roman"/>
          <w:szCs w:val="26"/>
        </w:rPr>
        <w:t xml:space="preserve">and proposed modifications to its Chapters 53, 63 and 64 regulations after </w:t>
      </w:r>
      <w:r w:rsidR="00A70845" w:rsidRPr="00F1714B">
        <w:rPr>
          <w:rFonts w:cs="Times New Roman"/>
          <w:szCs w:val="26"/>
        </w:rPr>
        <w:t xml:space="preserve">receiving feedback from the regulated community on </w:t>
      </w:r>
      <w:r w:rsidR="00EB01B3" w:rsidRPr="00F1714B">
        <w:rPr>
          <w:rFonts w:cs="Times New Roman"/>
          <w:szCs w:val="26"/>
        </w:rPr>
        <w:t>Chair</w:t>
      </w:r>
      <w:r w:rsidR="00B17689" w:rsidRPr="00F1714B">
        <w:rPr>
          <w:rFonts w:cs="Times New Roman"/>
          <w:szCs w:val="26"/>
        </w:rPr>
        <w:t>man</w:t>
      </w:r>
      <w:r w:rsidR="00EB01B3" w:rsidRPr="00F1714B">
        <w:rPr>
          <w:rFonts w:cs="Times New Roman"/>
          <w:szCs w:val="26"/>
        </w:rPr>
        <w:t xml:space="preserve"> Dutrieuille’s </w:t>
      </w:r>
      <w:r w:rsidRPr="00F1714B">
        <w:rPr>
          <w:rFonts w:cs="Times New Roman"/>
          <w:szCs w:val="26"/>
        </w:rPr>
        <w:t>questions</w:t>
      </w:r>
      <w:r w:rsidR="008C0D94" w:rsidRPr="00F1714B">
        <w:rPr>
          <w:rFonts w:cs="Times New Roman"/>
          <w:szCs w:val="26"/>
        </w:rPr>
        <w:t xml:space="preserve">.  </w:t>
      </w:r>
      <w:r w:rsidR="003C3A5A" w:rsidRPr="00F1714B">
        <w:rPr>
          <w:rFonts w:cs="Times New Roman"/>
          <w:szCs w:val="26"/>
        </w:rPr>
        <w:t xml:space="preserve">We note that these questions </w:t>
      </w:r>
      <w:r w:rsidR="007F064A" w:rsidRPr="00F1714B">
        <w:rPr>
          <w:rFonts w:cs="Times New Roman"/>
          <w:szCs w:val="26"/>
        </w:rPr>
        <w:t>are the questions of Chairman Dutrieuille alone</w:t>
      </w:r>
      <w:r w:rsidR="00916866" w:rsidRPr="00F1714B">
        <w:rPr>
          <w:rFonts w:cs="Times New Roman"/>
          <w:szCs w:val="26"/>
        </w:rPr>
        <w:t xml:space="preserve">, </w:t>
      </w:r>
      <w:r w:rsidR="007F064A" w:rsidRPr="00F1714B">
        <w:rPr>
          <w:rFonts w:cs="Times New Roman"/>
          <w:szCs w:val="26"/>
        </w:rPr>
        <w:t xml:space="preserve">not </w:t>
      </w:r>
      <w:r w:rsidR="004614FB" w:rsidRPr="00F1714B">
        <w:rPr>
          <w:rFonts w:cs="Times New Roman"/>
          <w:szCs w:val="26"/>
        </w:rPr>
        <w:t>the Commission</w:t>
      </w:r>
      <w:r w:rsidR="007F064A" w:rsidRPr="00F1714B">
        <w:rPr>
          <w:rFonts w:cs="Times New Roman"/>
          <w:szCs w:val="26"/>
        </w:rPr>
        <w:t xml:space="preserve">.  </w:t>
      </w:r>
      <w:r w:rsidR="000C0161" w:rsidRPr="00F1714B">
        <w:rPr>
          <w:rFonts w:cs="Times New Roman"/>
          <w:szCs w:val="26"/>
        </w:rPr>
        <w:t xml:space="preserve">While </w:t>
      </w:r>
      <w:r w:rsidR="00723369" w:rsidRPr="00F1714B">
        <w:rPr>
          <w:rFonts w:cs="Times New Roman"/>
          <w:szCs w:val="26"/>
        </w:rPr>
        <w:t xml:space="preserve">notice is always </w:t>
      </w:r>
      <w:r w:rsidR="000C0161" w:rsidRPr="00F1714B">
        <w:rPr>
          <w:rFonts w:cs="Times New Roman"/>
          <w:szCs w:val="26"/>
        </w:rPr>
        <w:t>a valid concern</w:t>
      </w:r>
      <w:r w:rsidR="008F0245" w:rsidRPr="00F1714B">
        <w:rPr>
          <w:rFonts w:cs="Times New Roman"/>
          <w:szCs w:val="26"/>
        </w:rPr>
        <w:t>,</w:t>
      </w:r>
      <w:r w:rsidR="000C0161" w:rsidRPr="00F1714B">
        <w:rPr>
          <w:rFonts w:cs="Times New Roman"/>
          <w:szCs w:val="26"/>
        </w:rPr>
        <w:t xml:space="preserve"> we disagree with IRRC’s observation </w:t>
      </w:r>
      <w:r w:rsidR="00723369" w:rsidRPr="00F1714B">
        <w:rPr>
          <w:rFonts w:cs="Times New Roman"/>
          <w:szCs w:val="26"/>
        </w:rPr>
        <w:t xml:space="preserve">at this stage of our NPRM </w:t>
      </w:r>
      <w:r w:rsidR="000C0161" w:rsidRPr="00F1714B">
        <w:rPr>
          <w:rFonts w:cs="Times New Roman"/>
          <w:szCs w:val="26"/>
        </w:rPr>
        <w:t>for the following reason</w:t>
      </w:r>
      <w:r w:rsidR="001400C8" w:rsidRPr="00F1714B">
        <w:rPr>
          <w:rFonts w:cs="Times New Roman"/>
          <w:szCs w:val="26"/>
        </w:rPr>
        <w:t xml:space="preserve">. </w:t>
      </w:r>
      <w:r w:rsidR="009A072B" w:rsidRPr="00F1714B">
        <w:rPr>
          <w:rFonts w:cs="Times New Roman"/>
          <w:szCs w:val="26"/>
        </w:rPr>
        <w:t xml:space="preserve"> In short, we believe that with the issuance of both the </w:t>
      </w:r>
      <w:r w:rsidR="009A072B" w:rsidRPr="00F1714B">
        <w:rPr>
          <w:rFonts w:cs="Times New Roman"/>
          <w:i/>
          <w:iCs/>
          <w:szCs w:val="26"/>
        </w:rPr>
        <w:t>ANPR</w:t>
      </w:r>
      <w:r w:rsidR="00AD30E1" w:rsidRPr="00F1714B">
        <w:rPr>
          <w:rFonts w:cs="Times New Roman"/>
          <w:i/>
          <w:iCs/>
          <w:szCs w:val="26"/>
        </w:rPr>
        <w:t>M</w:t>
      </w:r>
      <w:r w:rsidR="009A072B" w:rsidRPr="00F1714B">
        <w:rPr>
          <w:rFonts w:cs="Times New Roman"/>
          <w:i/>
          <w:iCs/>
          <w:szCs w:val="26"/>
        </w:rPr>
        <w:t xml:space="preserve"> Order </w:t>
      </w:r>
      <w:r w:rsidR="009A072B" w:rsidRPr="00F1714B">
        <w:rPr>
          <w:rFonts w:cs="Times New Roman"/>
          <w:szCs w:val="26"/>
        </w:rPr>
        <w:t xml:space="preserve">and </w:t>
      </w:r>
      <w:r w:rsidR="009A072B" w:rsidRPr="00F1714B">
        <w:rPr>
          <w:rFonts w:cs="Times New Roman"/>
          <w:i/>
          <w:iCs/>
          <w:szCs w:val="26"/>
        </w:rPr>
        <w:t>N</w:t>
      </w:r>
      <w:r w:rsidR="00AD30E1" w:rsidRPr="00F1714B">
        <w:rPr>
          <w:rFonts w:cs="Times New Roman"/>
          <w:i/>
          <w:iCs/>
          <w:szCs w:val="26"/>
        </w:rPr>
        <w:t>PR</w:t>
      </w:r>
      <w:r w:rsidR="00E43EA2" w:rsidRPr="00F1714B">
        <w:rPr>
          <w:rFonts w:cs="Times New Roman"/>
          <w:i/>
          <w:iCs/>
          <w:szCs w:val="26"/>
        </w:rPr>
        <w:t>M</w:t>
      </w:r>
      <w:r w:rsidR="009A072B" w:rsidRPr="00F1714B">
        <w:rPr>
          <w:rFonts w:cs="Times New Roman"/>
          <w:i/>
          <w:iCs/>
          <w:szCs w:val="26"/>
        </w:rPr>
        <w:t xml:space="preserve"> Order</w:t>
      </w:r>
      <w:r w:rsidR="009A072B" w:rsidRPr="00F1714B">
        <w:rPr>
          <w:rFonts w:cs="Times New Roman"/>
          <w:szCs w:val="26"/>
        </w:rPr>
        <w:t>,</w:t>
      </w:r>
      <w:r w:rsidR="009A072B" w:rsidRPr="00F1714B">
        <w:rPr>
          <w:rFonts w:cs="Times New Roman"/>
          <w:i/>
          <w:iCs/>
          <w:szCs w:val="26"/>
        </w:rPr>
        <w:t xml:space="preserve"> </w:t>
      </w:r>
      <w:r w:rsidR="009A072B" w:rsidRPr="00F1714B">
        <w:rPr>
          <w:rFonts w:cs="Times New Roman"/>
          <w:szCs w:val="26"/>
        </w:rPr>
        <w:t xml:space="preserve">the Commission has received adequate input from the relevant stakeholders regarding our Chapters 53, 63 and 64 telecommunications regulations.  </w:t>
      </w:r>
      <w:r w:rsidR="001400C8" w:rsidRPr="00F1714B">
        <w:rPr>
          <w:rFonts w:cs="Times New Roman"/>
          <w:szCs w:val="26"/>
        </w:rPr>
        <w:t xml:space="preserve"> </w:t>
      </w:r>
    </w:p>
    <w:p w14:paraId="27828E92" w14:textId="77777777" w:rsidR="00A87124" w:rsidRPr="00F1714B" w:rsidRDefault="00A87124" w:rsidP="00E55426">
      <w:pPr>
        <w:ind w:firstLine="720"/>
        <w:rPr>
          <w:rFonts w:cs="Times New Roman"/>
          <w:szCs w:val="26"/>
        </w:rPr>
      </w:pPr>
    </w:p>
    <w:p w14:paraId="44348DB2" w14:textId="38D282B0" w:rsidR="007D2615" w:rsidRPr="00F1714B" w:rsidRDefault="001400C8" w:rsidP="00E55426">
      <w:pPr>
        <w:ind w:firstLine="720"/>
        <w:rPr>
          <w:rFonts w:cs="Times New Roman"/>
          <w:szCs w:val="26"/>
        </w:rPr>
      </w:pPr>
      <w:r w:rsidRPr="00F1714B">
        <w:rPr>
          <w:rFonts w:cs="Times New Roman"/>
          <w:szCs w:val="26"/>
        </w:rPr>
        <w:t xml:space="preserve">As outlined </w:t>
      </w:r>
      <w:r w:rsidR="00C6325E" w:rsidRPr="00F1714B">
        <w:rPr>
          <w:rFonts w:cs="Times New Roman"/>
          <w:szCs w:val="26"/>
        </w:rPr>
        <w:t xml:space="preserve">in the Background section </w:t>
      </w:r>
      <w:r w:rsidR="00C6325E" w:rsidRPr="00F1714B">
        <w:rPr>
          <w:rFonts w:cs="Times New Roman"/>
          <w:i/>
          <w:iCs/>
          <w:szCs w:val="26"/>
        </w:rPr>
        <w:t>supra</w:t>
      </w:r>
      <w:r w:rsidR="00C6325E" w:rsidRPr="00F1714B">
        <w:rPr>
          <w:rFonts w:cs="Times New Roman"/>
          <w:szCs w:val="26"/>
        </w:rPr>
        <w:t xml:space="preserve">, </w:t>
      </w:r>
      <w:r w:rsidR="00FC523C" w:rsidRPr="00F1714B">
        <w:rPr>
          <w:rFonts w:cs="Times New Roman"/>
          <w:szCs w:val="26"/>
        </w:rPr>
        <w:t xml:space="preserve">in 2018, </w:t>
      </w:r>
      <w:r w:rsidR="00B0464A" w:rsidRPr="00F1714B">
        <w:rPr>
          <w:rFonts w:cs="Times New Roman"/>
          <w:szCs w:val="26"/>
        </w:rPr>
        <w:t xml:space="preserve">the Commission issued an </w:t>
      </w:r>
      <w:r w:rsidR="00B0464A" w:rsidRPr="00F1714B">
        <w:rPr>
          <w:rFonts w:cs="Times New Roman"/>
          <w:i/>
          <w:iCs/>
          <w:szCs w:val="26"/>
        </w:rPr>
        <w:t>ANPR</w:t>
      </w:r>
      <w:r w:rsidR="001A78AE" w:rsidRPr="00F1714B">
        <w:rPr>
          <w:rFonts w:cs="Times New Roman"/>
          <w:i/>
          <w:iCs/>
          <w:szCs w:val="26"/>
        </w:rPr>
        <w:t>M</w:t>
      </w:r>
      <w:r w:rsidR="00B0464A" w:rsidRPr="00F1714B">
        <w:rPr>
          <w:rFonts w:cs="Times New Roman"/>
          <w:szCs w:val="26"/>
        </w:rPr>
        <w:t xml:space="preserve"> </w:t>
      </w:r>
      <w:r w:rsidR="005A38D9" w:rsidRPr="00F1714B">
        <w:rPr>
          <w:rFonts w:cs="Times New Roman"/>
          <w:i/>
          <w:iCs/>
          <w:szCs w:val="26"/>
        </w:rPr>
        <w:t xml:space="preserve">Order </w:t>
      </w:r>
      <w:r w:rsidR="00D90F99" w:rsidRPr="00F1714B">
        <w:rPr>
          <w:rFonts w:cs="Times New Roman"/>
          <w:szCs w:val="26"/>
        </w:rPr>
        <w:t>in order to initiate this promised rulemaking</w:t>
      </w:r>
      <w:r w:rsidR="00834A39" w:rsidRPr="00F1714B">
        <w:rPr>
          <w:rFonts w:cs="Times New Roman"/>
          <w:szCs w:val="26"/>
        </w:rPr>
        <w:t xml:space="preserve"> </w:t>
      </w:r>
      <w:r w:rsidR="00EF0C36" w:rsidRPr="00F1714B">
        <w:rPr>
          <w:rFonts w:cs="Times New Roman"/>
          <w:szCs w:val="26"/>
        </w:rPr>
        <w:t xml:space="preserve">regarding the </w:t>
      </w:r>
      <w:r w:rsidR="00AF5B2C" w:rsidRPr="00F1714B">
        <w:rPr>
          <w:rFonts w:cs="Times New Roman"/>
          <w:szCs w:val="26"/>
        </w:rPr>
        <w:t xml:space="preserve">continuation of the waivers </w:t>
      </w:r>
      <w:r w:rsidR="00C519BF" w:rsidRPr="00F1714B">
        <w:rPr>
          <w:rFonts w:cs="Times New Roman"/>
          <w:szCs w:val="26"/>
        </w:rPr>
        <w:t>of the Chapters 63 and 64 regulations</w:t>
      </w:r>
      <w:r w:rsidR="005A38D9" w:rsidRPr="00F1714B">
        <w:rPr>
          <w:rFonts w:cs="Times New Roman"/>
          <w:szCs w:val="26"/>
        </w:rPr>
        <w:t>.</w:t>
      </w:r>
      <w:r w:rsidR="00046432" w:rsidRPr="00F1714B">
        <w:rPr>
          <w:rFonts w:cs="Times New Roman"/>
          <w:szCs w:val="26"/>
        </w:rPr>
        <w:t xml:space="preserve">  </w:t>
      </w:r>
      <w:r w:rsidR="004B2F0B" w:rsidRPr="00F1714B">
        <w:rPr>
          <w:rFonts w:cs="Times New Roman"/>
          <w:szCs w:val="26"/>
        </w:rPr>
        <w:t xml:space="preserve">In the </w:t>
      </w:r>
      <w:r w:rsidR="004B2F0B" w:rsidRPr="00F1714B">
        <w:rPr>
          <w:rFonts w:cs="Times New Roman"/>
          <w:i/>
          <w:iCs/>
          <w:szCs w:val="26"/>
        </w:rPr>
        <w:t>ANPR</w:t>
      </w:r>
      <w:r w:rsidR="001A78AE" w:rsidRPr="00F1714B">
        <w:rPr>
          <w:rFonts w:cs="Times New Roman"/>
          <w:i/>
          <w:iCs/>
          <w:szCs w:val="26"/>
        </w:rPr>
        <w:t>M</w:t>
      </w:r>
      <w:r w:rsidR="004B2F0B" w:rsidRPr="00F1714B">
        <w:rPr>
          <w:rFonts w:cs="Times New Roman"/>
          <w:i/>
          <w:iCs/>
          <w:szCs w:val="26"/>
        </w:rPr>
        <w:t xml:space="preserve"> Order</w:t>
      </w:r>
      <w:r w:rsidR="004B2F0B" w:rsidRPr="00F1714B">
        <w:rPr>
          <w:rFonts w:cs="Times New Roman"/>
          <w:szCs w:val="26"/>
        </w:rPr>
        <w:t xml:space="preserve">, the Commission </w:t>
      </w:r>
      <w:r w:rsidR="00B03B62" w:rsidRPr="00F1714B">
        <w:rPr>
          <w:rFonts w:cs="Times New Roman"/>
          <w:szCs w:val="26"/>
        </w:rPr>
        <w:t xml:space="preserve">specifically </w:t>
      </w:r>
      <w:r w:rsidR="004B2F0B" w:rsidRPr="00F1714B">
        <w:rPr>
          <w:rFonts w:cs="Times New Roman"/>
          <w:szCs w:val="26"/>
        </w:rPr>
        <w:t xml:space="preserve">requested </w:t>
      </w:r>
      <w:r w:rsidR="008C1047" w:rsidRPr="00F1714B">
        <w:rPr>
          <w:rFonts w:cs="Times New Roman"/>
          <w:szCs w:val="26"/>
        </w:rPr>
        <w:t xml:space="preserve">parties to </w:t>
      </w:r>
      <w:r w:rsidR="00AF5B2C" w:rsidRPr="00F1714B">
        <w:rPr>
          <w:rFonts w:cs="Times New Roman"/>
          <w:szCs w:val="26"/>
        </w:rPr>
        <w:t>address</w:t>
      </w:r>
      <w:r w:rsidR="00444F26" w:rsidRPr="00F1714B">
        <w:rPr>
          <w:rFonts w:cs="Times New Roman"/>
          <w:szCs w:val="26"/>
        </w:rPr>
        <w:t xml:space="preserve"> </w:t>
      </w:r>
      <w:r w:rsidR="004B2F0B" w:rsidRPr="00F1714B">
        <w:rPr>
          <w:rFonts w:cs="Times New Roman"/>
          <w:szCs w:val="26"/>
        </w:rPr>
        <w:t xml:space="preserve">the following </w:t>
      </w:r>
      <w:r w:rsidR="00453E5D" w:rsidRPr="00F1714B">
        <w:rPr>
          <w:rFonts w:cs="Times New Roman"/>
          <w:szCs w:val="26"/>
        </w:rPr>
        <w:t>four topic</w:t>
      </w:r>
      <w:r w:rsidR="00444F26" w:rsidRPr="00F1714B">
        <w:rPr>
          <w:rFonts w:cs="Times New Roman"/>
          <w:szCs w:val="26"/>
        </w:rPr>
        <w:t>s: (i)</w:t>
      </w:r>
      <w:r w:rsidR="00A73343" w:rsidRPr="00F1714B">
        <w:rPr>
          <w:rFonts w:cs="Times New Roman"/>
          <w:szCs w:val="26"/>
        </w:rPr>
        <w:t> </w:t>
      </w:r>
      <w:r w:rsidR="00444F26" w:rsidRPr="00F1714B">
        <w:rPr>
          <w:rFonts w:cs="Times New Roman"/>
          <w:szCs w:val="26"/>
        </w:rPr>
        <w:t>whether</w:t>
      </w:r>
      <w:r w:rsidR="007470AB" w:rsidRPr="00F1714B">
        <w:rPr>
          <w:rFonts w:cs="Times New Roman"/>
          <w:szCs w:val="26"/>
        </w:rPr>
        <w:t xml:space="preserve"> to make </w:t>
      </w:r>
      <w:r w:rsidR="00444F26" w:rsidRPr="00F1714B">
        <w:rPr>
          <w:rFonts w:cs="Times New Roman"/>
          <w:szCs w:val="26"/>
        </w:rPr>
        <w:t xml:space="preserve">any previously-granted waivers </w:t>
      </w:r>
      <w:r w:rsidR="007470AB" w:rsidRPr="00F1714B">
        <w:rPr>
          <w:rFonts w:cs="Times New Roman"/>
          <w:szCs w:val="26"/>
        </w:rPr>
        <w:t xml:space="preserve">permanent in a </w:t>
      </w:r>
      <w:r w:rsidR="006D649C" w:rsidRPr="00F1714B">
        <w:rPr>
          <w:rFonts w:cs="Times New Roman"/>
          <w:szCs w:val="26"/>
        </w:rPr>
        <w:t xml:space="preserve">wire center </w:t>
      </w:r>
      <w:r w:rsidR="007470AB" w:rsidRPr="00F1714B">
        <w:rPr>
          <w:rFonts w:cs="Times New Roman"/>
          <w:szCs w:val="26"/>
        </w:rPr>
        <w:t xml:space="preserve">currently </w:t>
      </w:r>
      <w:r w:rsidR="002C0F2E" w:rsidRPr="00F1714B">
        <w:rPr>
          <w:rFonts w:cs="Times New Roman"/>
          <w:szCs w:val="26"/>
        </w:rPr>
        <w:t xml:space="preserve">classified as </w:t>
      </w:r>
      <w:r w:rsidR="007470AB" w:rsidRPr="00F1714B">
        <w:rPr>
          <w:rFonts w:cs="Times New Roman"/>
          <w:szCs w:val="26"/>
        </w:rPr>
        <w:t xml:space="preserve">competitive </w:t>
      </w:r>
      <w:r w:rsidR="002C0F2E" w:rsidRPr="00F1714B">
        <w:rPr>
          <w:rFonts w:cs="Times New Roman"/>
          <w:szCs w:val="26"/>
        </w:rPr>
        <w:t>or that may be classified as competitive in the future</w:t>
      </w:r>
      <w:r w:rsidR="007470AB" w:rsidRPr="00F1714B">
        <w:rPr>
          <w:rFonts w:cs="Times New Roman"/>
          <w:szCs w:val="26"/>
        </w:rPr>
        <w:t>; (ii)</w:t>
      </w:r>
      <w:r w:rsidR="00A73343" w:rsidRPr="00F1714B">
        <w:rPr>
          <w:rFonts w:cs="Times New Roman"/>
          <w:szCs w:val="26"/>
        </w:rPr>
        <w:t> </w:t>
      </w:r>
      <w:r w:rsidR="006D649C" w:rsidRPr="00F1714B">
        <w:rPr>
          <w:rFonts w:cs="Times New Roman"/>
          <w:szCs w:val="26"/>
        </w:rPr>
        <w:t xml:space="preserve">whether there are any obsolete or outdated </w:t>
      </w:r>
      <w:r w:rsidR="000D0D48" w:rsidRPr="00F1714B">
        <w:rPr>
          <w:rFonts w:cs="Times New Roman"/>
          <w:szCs w:val="26"/>
        </w:rPr>
        <w:t xml:space="preserve">regulations in noncompetitive wire centers that should be modified or eliminated; (iii) </w:t>
      </w:r>
      <w:r w:rsidR="00361B7C" w:rsidRPr="00F1714B">
        <w:rPr>
          <w:rFonts w:cs="Times New Roman"/>
          <w:szCs w:val="26"/>
        </w:rPr>
        <w:t xml:space="preserve">whether to create separate chapters in our regulations </w:t>
      </w:r>
      <w:r w:rsidR="005256E3" w:rsidRPr="00F1714B">
        <w:rPr>
          <w:rFonts w:cs="Times New Roman"/>
          <w:szCs w:val="26"/>
        </w:rPr>
        <w:t xml:space="preserve">for competitive versus noncompetitive wire centers; and (iv) whether there </w:t>
      </w:r>
      <w:r w:rsidR="005256E3" w:rsidRPr="00F1714B">
        <w:rPr>
          <w:rFonts w:cs="Times New Roman"/>
          <w:szCs w:val="26"/>
        </w:rPr>
        <w:lastRenderedPageBreak/>
        <w:t xml:space="preserve">are any reasonable </w:t>
      </w:r>
      <w:r w:rsidR="00404169" w:rsidRPr="00F1714B">
        <w:rPr>
          <w:rFonts w:cs="Times New Roman"/>
          <w:szCs w:val="26"/>
        </w:rPr>
        <w:t xml:space="preserve">alternative </w:t>
      </w:r>
      <w:r w:rsidR="005256E3" w:rsidRPr="00F1714B">
        <w:rPr>
          <w:rFonts w:cs="Times New Roman"/>
          <w:szCs w:val="26"/>
        </w:rPr>
        <w:t>regulations</w:t>
      </w:r>
      <w:r w:rsidR="00404169" w:rsidRPr="00F1714B">
        <w:rPr>
          <w:rFonts w:cs="Times New Roman"/>
          <w:szCs w:val="26"/>
        </w:rPr>
        <w:t xml:space="preserve"> or regulatory structure/scheme</w:t>
      </w:r>
      <w:r w:rsidR="00D27557" w:rsidRPr="00F1714B">
        <w:rPr>
          <w:rFonts w:cs="Times New Roman"/>
          <w:szCs w:val="26"/>
        </w:rPr>
        <w:t xml:space="preserve"> that the Commission should consider and adopt.  </w:t>
      </w:r>
    </w:p>
    <w:p w14:paraId="656A8AA0" w14:textId="77777777" w:rsidR="007D2615" w:rsidRPr="00F1714B" w:rsidRDefault="007D2615" w:rsidP="00E55426">
      <w:pPr>
        <w:ind w:firstLine="720"/>
        <w:rPr>
          <w:rFonts w:cs="Times New Roman"/>
          <w:szCs w:val="26"/>
        </w:rPr>
      </w:pPr>
    </w:p>
    <w:p w14:paraId="2115E1D0" w14:textId="2DE67B55" w:rsidR="00684D63" w:rsidRPr="00F1714B" w:rsidRDefault="007D2615" w:rsidP="00E55426">
      <w:pPr>
        <w:ind w:firstLine="720"/>
        <w:rPr>
          <w:rFonts w:cs="Times New Roman"/>
          <w:szCs w:val="26"/>
        </w:rPr>
      </w:pPr>
      <w:r w:rsidRPr="00F1714B">
        <w:rPr>
          <w:rFonts w:cs="Times New Roman"/>
          <w:szCs w:val="26"/>
        </w:rPr>
        <w:t xml:space="preserve">The Commission opined that input from stakeholders on the </w:t>
      </w:r>
      <w:r w:rsidR="00DE394D" w:rsidRPr="00F1714B">
        <w:rPr>
          <w:rFonts w:cs="Times New Roman"/>
          <w:szCs w:val="26"/>
        </w:rPr>
        <w:t xml:space="preserve">four </w:t>
      </w:r>
      <w:r w:rsidRPr="00F1714B">
        <w:rPr>
          <w:rFonts w:cs="Times New Roman"/>
          <w:szCs w:val="26"/>
        </w:rPr>
        <w:t>questions</w:t>
      </w:r>
      <w:r w:rsidR="006C765D" w:rsidRPr="00F1714B">
        <w:rPr>
          <w:rFonts w:cs="Times New Roman"/>
          <w:szCs w:val="26"/>
        </w:rPr>
        <w:t xml:space="preserve"> posed</w:t>
      </w:r>
      <w:r w:rsidRPr="00F1714B">
        <w:rPr>
          <w:rFonts w:cs="Times New Roman"/>
          <w:szCs w:val="26"/>
        </w:rPr>
        <w:t xml:space="preserve"> </w:t>
      </w:r>
      <w:r w:rsidR="00196C08" w:rsidRPr="00F1714B">
        <w:rPr>
          <w:rFonts w:cs="Times New Roman"/>
          <w:szCs w:val="26"/>
        </w:rPr>
        <w:t xml:space="preserve">in the </w:t>
      </w:r>
      <w:r w:rsidR="00196C08" w:rsidRPr="00F1714B">
        <w:rPr>
          <w:rFonts w:cs="Times New Roman"/>
          <w:i/>
          <w:iCs/>
          <w:szCs w:val="26"/>
        </w:rPr>
        <w:t>ANPR</w:t>
      </w:r>
      <w:r w:rsidR="001A78AE" w:rsidRPr="00F1714B">
        <w:rPr>
          <w:rFonts w:cs="Times New Roman"/>
          <w:i/>
          <w:iCs/>
          <w:szCs w:val="26"/>
        </w:rPr>
        <w:t>M</w:t>
      </w:r>
      <w:r w:rsidR="00196C08" w:rsidRPr="00F1714B">
        <w:rPr>
          <w:rFonts w:cs="Times New Roman"/>
          <w:i/>
          <w:iCs/>
          <w:szCs w:val="26"/>
        </w:rPr>
        <w:t xml:space="preserve"> Order</w:t>
      </w:r>
      <w:r w:rsidR="00196C08" w:rsidRPr="00F1714B">
        <w:rPr>
          <w:rFonts w:cs="Times New Roman"/>
          <w:szCs w:val="26"/>
        </w:rPr>
        <w:t xml:space="preserve"> </w:t>
      </w:r>
      <w:r w:rsidRPr="00F1714B">
        <w:rPr>
          <w:rFonts w:cs="Times New Roman"/>
          <w:szCs w:val="26"/>
        </w:rPr>
        <w:t>plus the proprietary market data that Verizon ha</w:t>
      </w:r>
      <w:r w:rsidR="00013A67" w:rsidRPr="00F1714B">
        <w:rPr>
          <w:rFonts w:cs="Times New Roman"/>
          <w:szCs w:val="26"/>
        </w:rPr>
        <w:t>d</w:t>
      </w:r>
      <w:r w:rsidRPr="00F1714B">
        <w:rPr>
          <w:rFonts w:cs="Times New Roman"/>
          <w:szCs w:val="26"/>
        </w:rPr>
        <w:t xml:space="preserve"> submitted for its competitive </w:t>
      </w:r>
      <w:r w:rsidR="0035667D" w:rsidRPr="00F1714B">
        <w:rPr>
          <w:rFonts w:cs="Times New Roman"/>
          <w:szCs w:val="26"/>
        </w:rPr>
        <w:t xml:space="preserve">and noncompetitive </w:t>
      </w:r>
      <w:r w:rsidRPr="00F1714B">
        <w:rPr>
          <w:rFonts w:cs="Times New Roman"/>
          <w:szCs w:val="26"/>
        </w:rPr>
        <w:t xml:space="preserve">wire </w:t>
      </w:r>
      <w:r w:rsidR="0035667D" w:rsidRPr="00F1714B">
        <w:rPr>
          <w:rFonts w:cs="Times New Roman"/>
          <w:szCs w:val="26"/>
        </w:rPr>
        <w:t xml:space="preserve">centers </w:t>
      </w:r>
      <w:r w:rsidRPr="00F1714B">
        <w:rPr>
          <w:rFonts w:cs="Times New Roman"/>
          <w:szCs w:val="26"/>
        </w:rPr>
        <w:t>for the 2015-2</w:t>
      </w:r>
      <w:r w:rsidR="0035667D" w:rsidRPr="00F1714B">
        <w:rPr>
          <w:rFonts w:cs="Times New Roman"/>
          <w:szCs w:val="26"/>
        </w:rPr>
        <w:t>016</w:t>
      </w:r>
      <w:r w:rsidRPr="00F1714B">
        <w:rPr>
          <w:rFonts w:cs="Times New Roman"/>
          <w:szCs w:val="26"/>
        </w:rPr>
        <w:t xml:space="preserve"> timeframe, would assist it in making a reasoned and well-informed decision about the need to revise the Chapters 63 and 64 regulations.  </w:t>
      </w:r>
      <w:r w:rsidR="00556444" w:rsidRPr="00F1714B">
        <w:rPr>
          <w:rFonts w:cs="Times New Roman"/>
          <w:szCs w:val="26"/>
        </w:rPr>
        <w:t>T</w:t>
      </w:r>
      <w:r w:rsidR="00D27557" w:rsidRPr="00F1714B">
        <w:rPr>
          <w:rFonts w:cs="Times New Roman"/>
          <w:szCs w:val="26"/>
        </w:rPr>
        <w:t xml:space="preserve">he Commission received input </w:t>
      </w:r>
      <w:r w:rsidR="008935DF" w:rsidRPr="00F1714B">
        <w:rPr>
          <w:rFonts w:cs="Times New Roman"/>
          <w:szCs w:val="26"/>
        </w:rPr>
        <w:t xml:space="preserve">to its </w:t>
      </w:r>
      <w:r w:rsidR="008935DF" w:rsidRPr="00F1714B">
        <w:rPr>
          <w:rFonts w:cs="Times New Roman"/>
          <w:i/>
          <w:iCs/>
          <w:szCs w:val="26"/>
        </w:rPr>
        <w:t>ANPR</w:t>
      </w:r>
      <w:r w:rsidR="001A78AE" w:rsidRPr="00F1714B">
        <w:rPr>
          <w:rFonts w:cs="Times New Roman"/>
          <w:i/>
          <w:iCs/>
          <w:szCs w:val="26"/>
        </w:rPr>
        <w:t>M</w:t>
      </w:r>
      <w:r w:rsidR="008935DF" w:rsidRPr="00F1714B">
        <w:rPr>
          <w:rFonts w:cs="Times New Roman"/>
          <w:i/>
          <w:iCs/>
          <w:szCs w:val="26"/>
        </w:rPr>
        <w:t xml:space="preserve"> Order</w:t>
      </w:r>
      <w:r w:rsidR="009817EC" w:rsidRPr="00F1714B">
        <w:rPr>
          <w:rFonts w:cs="Times New Roman"/>
          <w:i/>
          <w:iCs/>
          <w:szCs w:val="26"/>
        </w:rPr>
        <w:t xml:space="preserve"> </w:t>
      </w:r>
      <w:r w:rsidR="004A1A50" w:rsidRPr="00F1714B">
        <w:rPr>
          <w:rFonts w:cs="Times New Roman"/>
          <w:szCs w:val="26"/>
        </w:rPr>
        <w:t xml:space="preserve">via the receipt of </w:t>
      </w:r>
      <w:r w:rsidR="009817EC" w:rsidRPr="00F1714B">
        <w:rPr>
          <w:rFonts w:cs="Times New Roman"/>
          <w:szCs w:val="26"/>
        </w:rPr>
        <w:t>both comments and reply comments</w:t>
      </w:r>
      <w:r w:rsidR="00556444" w:rsidRPr="00F1714B">
        <w:rPr>
          <w:rFonts w:cs="Times New Roman"/>
          <w:szCs w:val="26"/>
        </w:rPr>
        <w:t>.  Thereafter, we</w:t>
      </w:r>
      <w:r w:rsidR="008935DF" w:rsidRPr="00F1714B">
        <w:rPr>
          <w:rFonts w:cs="Times New Roman"/>
          <w:szCs w:val="26"/>
        </w:rPr>
        <w:t xml:space="preserve"> issued the </w:t>
      </w:r>
      <w:r w:rsidR="008935DF" w:rsidRPr="00F1714B">
        <w:rPr>
          <w:rFonts w:cs="Times New Roman"/>
          <w:i/>
          <w:iCs/>
          <w:szCs w:val="26"/>
        </w:rPr>
        <w:t>NPRM Order</w:t>
      </w:r>
      <w:r w:rsidR="008935DF" w:rsidRPr="00F1714B">
        <w:rPr>
          <w:rFonts w:cs="Times New Roman"/>
          <w:szCs w:val="26"/>
        </w:rPr>
        <w:t xml:space="preserve"> and Annex </w:t>
      </w:r>
      <w:r w:rsidR="00731413" w:rsidRPr="00F1714B">
        <w:rPr>
          <w:rFonts w:cs="Times New Roman"/>
          <w:szCs w:val="26"/>
        </w:rPr>
        <w:t xml:space="preserve">and solicited further input on </w:t>
      </w:r>
      <w:r w:rsidR="00E07337" w:rsidRPr="00F1714B">
        <w:rPr>
          <w:rFonts w:cs="Times New Roman"/>
          <w:szCs w:val="26"/>
        </w:rPr>
        <w:t xml:space="preserve">our </w:t>
      </w:r>
      <w:r w:rsidR="008935DF" w:rsidRPr="00F1714B">
        <w:rPr>
          <w:rFonts w:cs="Times New Roman"/>
          <w:szCs w:val="26"/>
        </w:rPr>
        <w:t xml:space="preserve">proposed modifications to </w:t>
      </w:r>
      <w:r w:rsidR="00E07337" w:rsidRPr="00F1714B">
        <w:rPr>
          <w:rFonts w:cs="Times New Roman"/>
          <w:szCs w:val="26"/>
        </w:rPr>
        <w:t>the</w:t>
      </w:r>
      <w:r w:rsidRPr="00F1714B">
        <w:rPr>
          <w:rFonts w:cs="Times New Roman"/>
          <w:szCs w:val="26"/>
        </w:rPr>
        <w:t xml:space="preserve"> </w:t>
      </w:r>
      <w:r w:rsidR="008935DF" w:rsidRPr="00F1714B">
        <w:rPr>
          <w:rFonts w:cs="Times New Roman"/>
          <w:szCs w:val="26"/>
        </w:rPr>
        <w:t>Chapters 53, 63 and 64</w:t>
      </w:r>
      <w:r w:rsidRPr="00F1714B">
        <w:rPr>
          <w:rFonts w:cs="Times New Roman"/>
          <w:szCs w:val="26"/>
        </w:rPr>
        <w:t xml:space="preserve"> regulations.</w:t>
      </w:r>
      <w:r w:rsidR="001579CD" w:rsidRPr="00F1714B">
        <w:rPr>
          <w:rFonts w:cs="Times New Roman"/>
          <w:szCs w:val="26"/>
        </w:rPr>
        <w:t xml:space="preserve">  As with the </w:t>
      </w:r>
      <w:r w:rsidR="001579CD" w:rsidRPr="00F1714B">
        <w:rPr>
          <w:rFonts w:cs="Times New Roman"/>
          <w:i/>
          <w:iCs/>
          <w:szCs w:val="26"/>
        </w:rPr>
        <w:t>ANPR</w:t>
      </w:r>
      <w:r w:rsidR="008176D6" w:rsidRPr="00F1714B">
        <w:rPr>
          <w:rFonts w:cs="Times New Roman"/>
          <w:i/>
          <w:iCs/>
          <w:szCs w:val="26"/>
        </w:rPr>
        <w:t>M</w:t>
      </w:r>
      <w:r w:rsidR="001579CD" w:rsidRPr="00F1714B">
        <w:rPr>
          <w:rFonts w:cs="Times New Roman"/>
          <w:szCs w:val="26"/>
        </w:rPr>
        <w:t xml:space="preserve">, the Commission received both comments and reply comments to its </w:t>
      </w:r>
      <w:r w:rsidR="001579CD" w:rsidRPr="00F1714B">
        <w:rPr>
          <w:rFonts w:cs="Times New Roman"/>
          <w:i/>
          <w:iCs/>
          <w:szCs w:val="26"/>
        </w:rPr>
        <w:t>NPRM Order.</w:t>
      </w:r>
      <w:r w:rsidRPr="00F1714B">
        <w:rPr>
          <w:rFonts w:cs="Times New Roman"/>
          <w:szCs w:val="26"/>
        </w:rPr>
        <w:t xml:space="preserve">  </w:t>
      </w:r>
    </w:p>
    <w:p w14:paraId="6718D3AD" w14:textId="77777777" w:rsidR="002C2FE9" w:rsidRPr="00F1714B" w:rsidRDefault="002C2FE9" w:rsidP="00E55426">
      <w:pPr>
        <w:ind w:firstLine="720"/>
        <w:rPr>
          <w:rFonts w:cs="Times New Roman"/>
          <w:szCs w:val="26"/>
        </w:rPr>
      </w:pPr>
    </w:p>
    <w:p w14:paraId="5AECDF98" w14:textId="4F771911" w:rsidR="002D7761" w:rsidRPr="00F1714B" w:rsidRDefault="00386D4A" w:rsidP="00E55426">
      <w:pPr>
        <w:ind w:firstLine="720"/>
        <w:rPr>
          <w:rFonts w:cs="Times New Roman"/>
          <w:szCs w:val="26"/>
        </w:rPr>
      </w:pPr>
      <w:r w:rsidRPr="00F1714B">
        <w:rPr>
          <w:rFonts w:cs="Times New Roman"/>
          <w:szCs w:val="26"/>
        </w:rPr>
        <w:t>T</w:t>
      </w:r>
      <w:r w:rsidR="005C4252" w:rsidRPr="00F1714B">
        <w:rPr>
          <w:rFonts w:cs="Times New Roman"/>
          <w:szCs w:val="26"/>
        </w:rPr>
        <w:t>he</w:t>
      </w:r>
      <w:r w:rsidR="00776B96" w:rsidRPr="00F1714B">
        <w:rPr>
          <w:rFonts w:cs="Times New Roman"/>
          <w:szCs w:val="26"/>
        </w:rPr>
        <w:t xml:space="preserve"> </w:t>
      </w:r>
      <w:r w:rsidR="00E6686E" w:rsidRPr="00F1714B">
        <w:rPr>
          <w:rFonts w:cs="Times New Roman"/>
          <w:szCs w:val="26"/>
        </w:rPr>
        <w:t xml:space="preserve">Commission </w:t>
      </w:r>
      <w:r w:rsidR="00D549C9" w:rsidRPr="00F1714B">
        <w:rPr>
          <w:rFonts w:cs="Times New Roman"/>
          <w:szCs w:val="26"/>
        </w:rPr>
        <w:t>ha</w:t>
      </w:r>
      <w:r w:rsidR="00B33ADB" w:rsidRPr="00F1714B">
        <w:rPr>
          <w:rFonts w:cs="Times New Roman"/>
          <w:szCs w:val="26"/>
        </w:rPr>
        <w:t>d</w:t>
      </w:r>
      <w:r w:rsidR="00D549C9" w:rsidRPr="00F1714B">
        <w:rPr>
          <w:rFonts w:cs="Times New Roman"/>
          <w:szCs w:val="26"/>
        </w:rPr>
        <w:t xml:space="preserve"> already </w:t>
      </w:r>
      <w:r w:rsidR="00E6686E" w:rsidRPr="00F1714B">
        <w:rPr>
          <w:rFonts w:cs="Times New Roman"/>
          <w:szCs w:val="26"/>
        </w:rPr>
        <w:t xml:space="preserve">received input </w:t>
      </w:r>
      <w:r w:rsidR="007D3AB9" w:rsidRPr="00F1714B">
        <w:rPr>
          <w:rFonts w:cs="Times New Roman"/>
          <w:szCs w:val="26"/>
        </w:rPr>
        <w:t>from the regulated telecommunications community at the ANPR</w:t>
      </w:r>
      <w:r w:rsidR="00A36B6B" w:rsidRPr="00F1714B">
        <w:rPr>
          <w:rFonts w:cs="Times New Roman"/>
          <w:szCs w:val="26"/>
        </w:rPr>
        <w:t>M</w:t>
      </w:r>
      <w:r w:rsidR="007D3AB9" w:rsidRPr="00F1714B">
        <w:rPr>
          <w:rFonts w:cs="Times New Roman"/>
          <w:i/>
          <w:iCs/>
          <w:szCs w:val="26"/>
        </w:rPr>
        <w:t xml:space="preserve"> </w:t>
      </w:r>
      <w:r w:rsidR="007D3AB9" w:rsidRPr="00F1714B">
        <w:rPr>
          <w:rFonts w:cs="Times New Roman"/>
          <w:szCs w:val="26"/>
        </w:rPr>
        <w:t xml:space="preserve">stage </w:t>
      </w:r>
      <w:r w:rsidRPr="00F1714B">
        <w:rPr>
          <w:rFonts w:cs="Times New Roman"/>
          <w:szCs w:val="26"/>
        </w:rPr>
        <w:t xml:space="preserve">which resulted in </w:t>
      </w:r>
      <w:r w:rsidR="009522E8" w:rsidRPr="00F1714B">
        <w:rPr>
          <w:rFonts w:cs="Times New Roman"/>
          <w:szCs w:val="26"/>
        </w:rPr>
        <w:t xml:space="preserve">the </w:t>
      </w:r>
      <w:r w:rsidR="00D31211" w:rsidRPr="00F1714B">
        <w:rPr>
          <w:rFonts w:cs="Times New Roman"/>
          <w:i/>
          <w:iCs/>
          <w:szCs w:val="26"/>
        </w:rPr>
        <w:t>N</w:t>
      </w:r>
      <w:r w:rsidR="00A36B6B" w:rsidRPr="00F1714B">
        <w:rPr>
          <w:rFonts w:cs="Times New Roman"/>
          <w:i/>
          <w:iCs/>
          <w:szCs w:val="26"/>
        </w:rPr>
        <w:t>PRM</w:t>
      </w:r>
      <w:r w:rsidR="00D31211" w:rsidRPr="00F1714B">
        <w:rPr>
          <w:rFonts w:cs="Times New Roman"/>
          <w:i/>
          <w:iCs/>
          <w:szCs w:val="26"/>
        </w:rPr>
        <w:t xml:space="preserve"> Order</w:t>
      </w:r>
      <w:r w:rsidR="007D3AB9" w:rsidRPr="00F1714B">
        <w:rPr>
          <w:rFonts w:cs="Times New Roman"/>
          <w:szCs w:val="26"/>
        </w:rPr>
        <w:t>.  Th</w:t>
      </w:r>
      <w:r w:rsidR="005508C1" w:rsidRPr="00F1714B">
        <w:rPr>
          <w:rFonts w:cs="Times New Roman"/>
          <w:szCs w:val="26"/>
        </w:rPr>
        <w:t>e</w:t>
      </w:r>
      <w:r w:rsidR="007D3AB9" w:rsidRPr="00F1714B">
        <w:rPr>
          <w:rFonts w:cs="Times New Roman"/>
          <w:szCs w:val="26"/>
        </w:rPr>
        <w:t xml:space="preserve"> input </w:t>
      </w:r>
      <w:r w:rsidR="000A1B83" w:rsidRPr="00F1714B">
        <w:rPr>
          <w:rFonts w:cs="Times New Roman"/>
          <w:szCs w:val="26"/>
        </w:rPr>
        <w:t xml:space="preserve">we received </w:t>
      </w:r>
      <w:r w:rsidR="007D3AB9" w:rsidRPr="00F1714B">
        <w:rPr>
          <w:rFonts w:cs="Times New Roman"/>
          <w:szCs w:val="26"/>
        </w:rPr>
        <w:t>on the</w:t>
      </w:r>
      <w:r w:rsidR="005508C1" w:rsidRPr="00F1714B">
        <w:rPr>
          <w:rFonts w:cs="Times New Roman"/>
          <w:szCs w:val="26"/>
        </w:rPr>
        <w:t xml:space="preserve"> </w:t>
      </w:r>
      <w:r w:rsidR="007D3AB9" w:rsidRPr="00F1714B">
        <w:rPr>
          <w:rFonts w:cs="Times New Roman"/>
          <w:szCs w:val="26"/>
        </w:rPr>
        <w:t xml:space="preserve">question </w:t>
      </w:r>
      <w:r w:rsidR="005508C1" w:rsidRPr="00F1714B">
        <w:rPr>
          <w:rFonts w:cs="Times New Roman"/>
          <w:szCs w:val="26"/>
        </w:rPr>
        <w:t xml:space="preserve">in the </w:t>
      </w:r>
      <w:r w:rsidR="005508C1" w:rsidRPr="00F1714B">
        <w:rPr>
          <w:rFonts w:cs="Times New Roman"/>
          <w:i/>
          <w:iCs/>
          <w:szCs w:val="26"/>
        </w:rPr>
        <w:t>ANPR</w:t>
      </w:r>
      <w:r w:rsidR="00A36B6B" w:rsidRPr="00F1714B">
        <w:rPr>
          <w:rFonts w:cs="Times New Roman"/>
          <w:i/>
          <w:iCs/>
          <w:szCs w:val="26"/>
        </w:rPr>
        <w:t>M</w:t>
      </w:r>
      <w:r w:rsidR="005508C1" w:rsidRPr="00F1714B">
        <w:rPr>
          <w:rFonts w:cs="Times New Roman"/>
          <w:i/>
          <w:iCs/>
          <w:szCs w:val="26"/>
        </w:rPr>
        <w:t xml:space="preserve"> Order</w:t>
      </w:r>
      <w:r w:rsidR="005508C1" w:rsidRPr="00F1714B">
        <w:rPr>
          <w:rFonts w:cs="Times New Roman"/>
          <w:szCs w:val="26"/>
        </w:rPr>
        <w:t xml:space="preserve"> </w:t>
      </w:r>
      <w:r w:rsidR="006B5332" w:rsidRPr="00F1714B">
        <w:rPr>
          <w:rFonts w:cs="Times New Roman"/>
          <w:szCs w:val="26"/>
        </w:rPr>
        <w:t xml:space="preserve">was beneficial and </w:t>
      </w:r>
      <w:r w:rsidR="007021A2" w:rsidRPr="00F1714B">
        <w:rPr>
          <w:rFonts w:cs="Times New Roman"/>
          <w:szCs w:val="26"/>
        </w:rPr>
        <w:t xml:space="preserve">gave us </w:t>
      </w:r>
      <w:r w:rsidR="007D3AB9" w:rsidRPr="00F1714B">
        <w:rPr>
          <w:rFonts w:cs="Times New Roman"/>
          <w:szCs w:val="26"/>
        </w:rPr>
        <w:t xml:space="preserve">the proper </w:t>
      </w:r>
      <w:r w:rsidR="007021A2" w:rsidRPr="00F1714B">
        <w:rPr>
          <w:rFonts w:cs="Times New Roman"/>
          <w:szCs w:val="26"/>
        </w:rPr>
        <w:t xml:space="preserve">foundational </w:t>
      </w:r>
      <w:r w:rsidR="007D3AB9" w:rsidRPr="00F1714B">
        <w:rPr>
          <w:rFonts w:cs="Times New Roman"/>
          <w:szCs w:val="26"/>
        </w:rPr>
        <w:t xml:space="preserve">approach </w:t>
      </w:r>
      <w:r w:rsidR="007234FE" w:rsidRPr="00F1714B">
        <w:rPr>
          <w:rFonts w:cs="Times New Roman"/>
          <w:szCs w:val="26"/>
        </w:rPr>
        <w:t>for</w:t>
      </w:r>
      <w:r w:rsidR="007D3AB9" w:rsidRPr="00F1714B">
        <w:rPr>
          <w:rFonts w:cs="Times New Roman"/>
          <w:szCs w:val="26"/>
        </w:rPr>
        <w:t xml:space="preserve"> revis</w:t>
      </w:r>
      <w:r w:rsidR="006B5332" w:rsidRPr="00F1714B">
        <w:rPr>
          <w:rFonts w:cs="Times New Roman"/>
          <w:szCs w:val="26"/>
        </w:rPr>
        <w:t>ing</w:t>
      </w:r>
      <w:r w:rsidR="007D3AB9" w:rsidRPr="00F1714B">
        <w:rPr>
          <w:rFonts w:cs="Times New Roman"/>
          <w:szCs w:val="26"/>
        </w:rPr>
        <w:t xml:space="preserve"> our telecommunication regulation</w:t>
      </w:r>
      <w:r w:rsidR="007B78D4" w:rsidRPr="00F1714B">
        <w:rPr>
          <w:rFonts w:cs="Times New Roman"/>
          <w:szCs w:val="26"/>
        </w:rPr>
        <w:t>s</w:t>
      </w:r>
      <w:r w:rsidRPr="00F1714B">
        <w:rPr>
          <w:rFonts w:cs="Times New Roman"/>
          <w:szCs w:val="26"/>
        </w:rPr>
        <w:t>.</w:t>
      </w:r>
      <w:r w:rsidR="00A026B0" w:rsidRPr="00F1714B">
        <w:rPr>
          <w:rFonts w:cs="Times New Roman"/>
          <w:szCs w:val="26"/>
        </w:rPr>
        <w:t xml:space="preserve">  This underscore</w:t>
      </w:r>
      <w:r w:rsidR="009522E8" w:rsidRPr="00F1714B">
        <w:rPr>
          <w:rFonts w:cs="Times New Roman"/>
          <w:szCs w:val="26"/>
        </w:rPr>
        <w:t>s</w:t>
      </w:r>
      <w:r w:rsidR="00A026B0" w:rsidRPr="00F1714B">
        <w:rPr>
          <w:rFonts w:cs="Times New Roman"/>
          <w:szCs w:val="26"/>
        </w:rPr>
        <w:t xml:space="preserve"> the fact that the Commission has </w:t>
      </w:r>
      <w:r w:rsidR="007D3AB9" w:rsidRPr="00F1714B">
        <w:rPr>
          <w:rFonts w:cs="Times New Roman"/>
          <w:szCs w:val="26"/>
        </w:rPr>
        <w:t>tak</w:t>
      </w:r>
      <w:r w:rsidR="009522E8" w:rsidRPr="00F1714B">
        <w:rPr>
          <w:rFonts w:cs="Times New Roman"/>
          <w:szCs w:val="26"/>
        </w:rPr>
        <w:t>en</w:t>
      </w:r>
      <w:r w:rsidR="007D3AB9" w:rsidRPr="00F1714B">
        <w:rPr>
          <w:rFonts w:cs="Times New Roman"/>
          <w:szCs w:val="26"/>
        </w:rPr>
        <w:t xml:space="preserve"> the necessary </w:t>
      </w:r>
      <w:r w:rsidR="00A026B0" w:rsidRPr="00F1714B">
        <w:rPr>
          <w:rFonts w:cs="Times New Roman"/>
          <w:szCs w:val="26"/>
        </w:rPr>
        <w:t xml:space="preserve">and </w:t>
      </w:r>
      <w:r w:rsidR="007003BC" w:rsidRPr="00F1714B">
        <w:rPr>
          <w:rFonts w:cs="Times New Roman"/>
          <w:szCs w:val="26"/>
        </w:rPr>
        <w:t xml:space="preserve">deliberate steps </w:t>
      </w:r>
      <w:r w:rsidR="00D31211" w:rsidRPr="00F1714B">
        <w:rPr>
          <w:rFonts w:cs="Times New Roman"/>
          <w:szCs w:val="26"/>
        </w:rPr>
        <w:t xml:space="preserve">to propose </w:t>
      </w:r>
      <w:r w:rsidR="00E6686E" w:rsidRPr="00F1714B">
        <w:rPr>
          <w:rFonts w:cs="Times New Roman"/>
          <w:szCs w:val="26"/>
        </w:rPr>
        <w:t>revisi</w:t>
      </w:r>
      <w:r w:rsidR="00D31211" w:rsidRPr="00F1714B">
        <w:rPr>
          <w:rFonts w:cs="Times New Roman"/>
          <w:szCs w:val="26"/>
        </w:rPr>
        <w:t xml:space="preserve">ons to </w:t>
      </w:r>
      <w:r w:rsidR="00D90F99" w:rsidRPr="00F1714B">
        <w:rPr>
          <w:rFonts w:cs="Times New Roman"/>
          <w:szCs w:val="26"/>
        </w:rPr>
        <w:t xml:space="preserve">the Chapters 53, 63 and 64 </w:t>
      </w:r>
      <w:r w:rsidR="00E6686E" w:rsidRPr="00F1714B">
        <w:rPr>
          <w:rFonts w:cs="Times New Roman"/>
          <w:szCs w:val="26"/>
        </w:rPr>
        <w:t xml:space="preserve">regulations.  </w:t>
      </w:r>
      <w:r w:rsidR="003C41AC" w:rsidRPr="00F1714B">
        <w:rPr>
          <w:rFonts w:cs="Times New Roman"/>
          <w:szCs w:val="26"/>
        </w:rPr>
        <w:t xml:space="preserve">The Chairman’s decision to </w:t>
      </w:r>
      <w:r w:rsidR="00796FD0" w:rsidRPr="00F1714B">
        <w:rPr>
          <w:rFonts w:cs="Times New Roman"/>
          <w:szCs w:val="26"/>
        </w:rPr>
        <w:t xml:space="preserve">pose questions seeking </w:t>
      </w:r>
      <w:r w:rsidR="008E0C9B" w:rsidRPr="00F1714B">
        <w:rPr>
          <w:rFonts w:cs="Times New Roman"/>
          <w:szCs w:val="26"/>
        </w:rPr>
        <w:t xml:space="preserve">additional </w:t>
      </w:r>
      <w:r w:rsidR="003C41AC" w:rsidRPr="00F1714B">
        <w:rPr>
          <w:rFonts w:cs="Times New Roman"/>
          <w:szCs w:val="26"/>
        </w:rPr>
        <w:t xml:space="preserve">input on the proposed modifications after the issuance of the </w:t>
      </w:r>
      <w:r w:rsidR="003C41AC" w:rsidRPr="00F1714B">
        <w:rPr>
          <w:rFonts w:cs="Times New Roman"/>
          <w:i/>
          <w:iCs/>
          <w:szCs w:val="26"/>
        </w:rPr>
        <w:t>ANPR</w:t>
      </w:r>
      <w:r w:rsidR="00011950" w:rsidRPr="00F1714B">
        <w:rPr>
          <w:rFonts w:cs="Times New Roman"/>
          <w:i/>
          <w:iCs/>
          <w:szCs w:val="26"/>
        </w:rPr>
        <w:t>M</w:t>
      </w:r>
      <w:r w:rsidR="003C41AC" w:rsidRPr="00F1714B">
        <w:rPr>
          <w:rFonts w:cs="Times New Roman"/>
          <w:i/>
          <w:iCs/>
          <w:szCs w:val="26"/>
        </w:rPr>
        <w:t xml:space="preserve"> Order</w:t>
      </w:r>
      <w:r w:rsidR="003C41AC" w:rsidRPr="00F1714B">
        <w:rPr>
          <w:rFonts w:cs="Times New Roman"/>
          <w:szCs w:val="26"/>
        </w:rPr>
        <w:t xml:space="preserve"> </w:t>
      </w:r>
      <w:r w:rsidR="00276E7F" w:rsidRPr="00F1714B">
        <w:rPr>
          <w:rFonts w:cs="Times New Roman"/>
          <w:szCs w:val="26"/>
        </w:rPr>
        <w:t xml:space="preserve">and during the issuance of the </w:t>
      </w:r>
      <w:r w:rsidR="00276E7F" w:rsidRPr="00F1714B">
        <w:rPr>
          <w:rFonts w:cs="Times New Roman"/>
          <w:i/>
          <w:iCs/>
          <w:szCs w:val="26"/>
        </w:rPr>
        <w:t>NPRM Order</w:t>
      </w:r>
      <w:r w:rsidR="00276E7F" w:rsidRPr="00F1714B">
        <w:rPr>
          <w:rFonts w:cs="Times New Roman"/>
          <w:szCs w:val="26"/>
        </w:rPr>
        <w:t xml:space="preserve"> </w:t>
      </w:r>
      <w:r w:rsidR="00553AEB" w:rsidRPr="00F1714B">
        <w:rPr>
          <w:rFonts w:cs="Times New Roman"/>
          <w:szCs w:val="26"/>
        </w:rPr>
        <w:t>creates</w:t>
      </w:r>
      <w:r w:rsidR="003C41AC" w:rsidRPr="00F1714B">
        <w:rPr>
          <w:rFonts w:cs="Times New Roman"/>
          <w:szCs w:val="26"/>
        </w:rPr>
        <w:t xml:space="preserve"> </w:t>
      </w:r>
      <w:r w:rsidR="008E0C9B" w:rsidRPr="00F1714B">
        <w:rPr>
          <w:rFonts w:cs="Times New Roman"/>
          <w:szCs w:val="26"/>
        </w:rPr>
        <w:t>no need to delay moving forward with this final rulemaking.  In fact, it</w:t>
      </w:r>
      <w:r w:rsidR="001D3991" w:rsidRPr="00F1714B">
        <w:rPr>
          <w:rFonts w:cs="Times New Roman"/>
          <w:szCs w:val="26"/>
        </w:rPr>
        <w:t xml:space="preserve"> is of </w:t>
      </w:r>
      <w:r w:rsidR="003C41AC" w:rsidRPr="00F1714B">
        <w:rPr>
          <w:rFonts w:cs="Times New Roman"/>
          <w:szCs w:val="26"/>
        </w:rPr>
        <w:t>no real</w:t>
      </w:r>
      <w:r w:rsidR="00F07CFE" w:rsidRPr="00F1714B">
        <w:rPr>
          <w:rFonts w:cs="Times New Roman"/>
          <w:szCs w:val="26"/>
        </w:rPr>
        <w:t xml:space="preserve"> procedural</w:t>
      </w:r>
      <w:r w:rsidR="003C41AC" w:rsidRPr="00F1714B">
        <w:rPr>
          <w:rFonts w:cs="Times New Roman"/>
          <w:szCs w:val="26"/>
        </w:rPr>
        <w:t xml:space="preserve"> consequence.  </w:t>
      </w:r>
    </w:p>
    <w:p w14:paraId="674AFC32" w14:textId="77777777" w:rsidR="002D7761" w:rsidRPr="00F1714B" w:rsidRDefault="002D7761" w:rsidP="00E55426">
      <w:pPr>
        <w:ind w:firstLine="720"/>
        <w:rPr>
          <w:rFonts w:cs="Times New Roman"/>
          <w:szCs w:val="26"/>
        </w:rPr>
      </w:pPr>
    </w:p>
    <w:p w14:paraId="0C314C27" w14:textId="1F16944A" w:rsidR="00B33ADB" w:rsidRPr="00F1714B" w:rsidRDefault="001D3991" w:rsidP="00E55426">
      <w:pPr>
        <w:ind w:firstLine="720"/>
        <w:rPr>
          <w:rFonts w:cs="Times New Roman"/>
          <w:szCs w:val="26"/>
        </w:rPr>
      </w:pPr>
      <w:r w:rsidRPr="00F1714B">
        <w:rPr>
          <w:rFonts w:cs="Times New Roman"/>
          <w:szCs w:val="26"/>
        </w:rPr>
        <w:t xml:space="preserve">There should be no concerns about the validity of proposals </w:t>
      </w:r>
      <w:r w:rsidR="00AC4B75" w:rsidRPr="00F1714B">
        <w:rPr>
          <w:rFonts w:cs="Times New Roman"/>
          <w:szCs w:val="26"/>
        </w:rPr>
        <w:t xml:space="preserve">we issued in the </w:t>
      </w:r>
      <w:r w:rsidR="00AC4B75" w:rsidRPr="00F1714B">
        <w:rPr>
          <w:rFonts w:cs="Times New Roman"/>
          <w:i/>
          <w:iCs/>
          <w:szCs w:val="26"/>
        </w:rPr>
        <w:t>NPRM Order</w:t>
      </w:r>
      <w:r w:rsidR="00AC4B75" w:rsidRPr="00F1714B">
        <w:rPr>
          <w:rFonts w:cs="Times New Roman"/>
          <w:szCs w:val="26"/>
        </w:rPr>
        <w:t xml:space="preserve"> and Annex </w:t>
      </w:r>
      <w:r w:rsidRPr="00F1714B">
        <w:rPr>
          <w:rFonts w:cs="Times New Roman"/>
          <w:szCs w:val="26"/>
        </w:rPr>
        <w:t>to revise our Chapters 53, 63 and 64 regulations</w:t>
      </w:r>
      <w:r w:rsidR="00F56C8C" w:rsidRPr="00F1714B">
        <w:rPr>
          <w:rFonts w:cs="Times New Roman"/>
          <w:szCs w:val="26"/>
        </w:rPr>
        <w:t xml:space="preserve"> as we already </w:t>
      </w:r>
      <w:r w:rsidR="00D90F99" w:rsidRPr="00F1714B">
        <w:rPr>
          <w:rFonts w:cs="Times New Roman"/>
          <w:szCs w:val="26"/>
        </w:rPr>
        <w:t xml:space="preserve">solicited and </w:t>
      </w:r>
      <w:r w:rsidR="00F56C8C" w:rsidRPr="00F1714B">
        <w:rPr>
          <w:rFonts w:cs="Times New Roman"/>
          <w:szCs w:val="26"/>
        </w:rPr>
        <w:t xml:space="preserve">received </w:t>
      </w:r>
      <w:r w:rsidR="00D90F99" w:rsidRPr="00F1714B">
        <w:rPr>
          <w:rFonts w:cs="Times New Roman"/>
          <w:szCs w:val="26"/>
        </w:rPr>
        <w:t xml:space="preserve">input </w:t>
      </w:r>
      <w:r w:rsidR="0079556B" w:rsidRPr="00F1714B">
        <w:rPr>
          <w:rFonts w:cs="Times New Roman"/>
          <w:szCs w:val="26"/>
        </w:rPr>
        <w:t xml:space="preserve">from the regulated community </w:t>
      </w:r>
      <w:r w:rsidR="00D90F99" w:rsidRPr="00F1714B">
        <w:rPr>
          <w:rFonts w:cs="Times New Roman"/>
          <w:szCs w:val="26"/>
        </w:rPr>
        <w:t xml:space="preserve">in 2018 </w:t>
      </w:r>
      <w:r w:rsidR="00817CC5" w:rsidRPr="00F1714B">
        <w:rPr>
          <w:rFonts w:cs="Times New Roman"/>
          <w:szCs w:val="26"/>
        </w:rPr>
        <w:t xml:space="preserve">with </w:t>
      </w:r>
      <w:r w:rsidR="0079556B" w:rsidRPr="00F1714B">
        <w:rPr>
          <w:rFonts w:cs="Times New Roman"/>
          <w:szCs w:val="26"/>
        </w:rPr>
        <w:t xml:space="preserve">the </w:t>
      </w:r>
      <w:r w:rsidR="0079556B" w:rsidRPr="00F1714B">
        <w:rPr>
          <w:rFonts w:cs="Times New Roman"/>
          <w:i/>
          <w:iCs/>
          <w:szCs w:val="26"/>
        </w:rPr>
        <w:t>ANPR</w:t>
      </w:r>
      <w:r w:rsidR="00A36B6B" w:rsidRPr="00F1714B">
        <w:rPr>
          <w:rFonts w:cs="Times New Roman"/>
          <w:i/>
          <w:iCs/>
          <w:szCs w:val="26"/>
        </w:rPr>
        <w:t>M</w:t>
      </w:r>
      <w:r w:rsidR="0079556B" w:rsidRPr="00F1714B">
        <w:rPr>
          <w:rFonts w:cs="Times New Roman"/>
          <w:i/>
          <w:iCs/>
          <w:szCs w:val="26"/>
        </w:rPr>
        <w:t xml:space="preserve"> Order</w:t>
      </w:r>
      <w:r w:rsidR="00817CC5" w:rsidRPr="00F1714B">
        <w:rPr>
          <w:rFonts w:cs="Times New Roman"/>
          <w:szCs w:val="26"/>
        </w:rPr>
        <w:t xml:space="preserve">, which </w:t>
      </w:r>
      <w:r w:rsidR="0079556B" w:rsidRPr="00F1714B">
        <w:rPr>
          <w:rFonts w:cs="Times New Roman"/>
          <w:szCs w:val="26"/>
        </w:rPr>
        <w:t>initiate</w:t>
      </w:r>
      <w:r w:rsidR="000B685D" w:rsidRPr="00F1714B">
        <w:rPr>
          <w:rFonts w:cs="Times New Roman"/>
          <w:szCs w:val="26"/>
        </w:rPr>
        <w:t>d</w:t>
      </w:r>
      <w:r w:rsidR="0079556B" w:rsidRPr="00F1714B">
        <w:rPr>
          <w:rFonts w:cs="Times New Roman"/>
          <w:szCs w:val="26"/>
        </w:rPr>
        <w:t xml:space="preserve"> this rulemaking process</w:t>
      </w:r>
      <w:r w:rsidR="00457242" w:rsidRPr="00F1714B">
        <w:rPr>
          <w:rFonts w:cs="Times New Roman"/>
          <w:szCs w:val="26"/>
        </w:rPr>
        <w:t xml:space="preserve">.  </w:t>
      </w:r>
      <w:r w:rsidR="0017302E" w:rsidRPr="00F1714B">
        <w:rPr>
          <w:rFonts w:cs="Times New Roman"/>
          <w:szCs w:val="26"/>
        </w:rPr>
        <w:t>Thus, t</w:t>
      </w:r>
      <w:r w:rsidR="005D3758" w:rsidRPr="00F1714B">
        <w:rPr>
          <w:rFonts w:cs="Times New Roman"/>
          <w:szCs w:val="26"/>
        </w:rPr>
        <w:t xml:space="preserve">here is no </w:t>
      </w:r>
      <w:r w:rsidR="00E6686E" w:rsidRPr="00F1714B">
        <w:rPr>
          <w:rFonts w:cs="Times New Roman"/>
          <w:szCs w:val="26"/>
        </w:rPr>
        <w:t xml:space="preserve">valid </w:t>
      </w:r>
      <w:r w:rsidR="005D3758" w:rsidRPr="00F1714B">
        <w:rPr>
          <w:rFonts w:cs="Times New Roman"/>
          <w:szCs w:val="26"/>
        </w:rPr>
        <w:t xml:space="preserve">reason </w:t>
      </w:r>
      <w:r w:rsidR="002865AB" w:rsidRPr="00F1714B">
        <w:rPr>
          <w:rFonts w:cs="Times New Roman"/>
          <w:szCs w:val="26"/>
        </w:rPr>
        <w:t>not</w:t>
      </w:r>
      <w:r w:rsidR="00B558EB" w:rsidRPr="00F1714B">
        <w:rPr>
          <w:rFonts w:cs="Times New Roman"/>
          <w:szCs w:val="26"/>
        </w:rPr>
        <w:t xml:space="preserve"> to</w:t>
      </w:r>
      <w:r w:rsidR="002865AB" w:rsidRPr="00F1714B">
        <w:rPr>
          <w:rFonts w:cs="Times New Roman"/>
          <w:szCs w:val="26"/>
        </w:rPr>
        <w:t xml:space="preserve"> </w:t>
      </w:r>
      <w:r w:rsidR="002865AB" w:rsidRPr="00F1714B">
        <w:rPr>
          <w:rFonts w:cs="Times New Roman"/>
          <w:szCs w:val="26"/>
        </w:rPr>
        <w:lastRenderedPageBreak/>
        <w:t xml:space="preserve">move forward </w:t>
      </w:r>
      <w:r w:rsidR="002267AE" w:rsidRPr="00F1714B">
        <w:rPr>
          <w:rFonts w:cs="Times New Roman"/>
          <w:szCs w:val="26"/>
        </w:rPr>
        <w:t xml:space="preserve">at this time or </w:t>
      </w:r>
      <w:r w:rsidR="002865AB" w:rsidRPr="00F1714B">
        <w:rPr>
          <w:rFonts w:cs="Times New Roman"/>
          <w:szCs w:val="26"/>
        </w:rPr>
        <w:t xml:space="preserve">to </w:t>
      </w:r>
      <w:r w:rsidR="00795B82" w:rsidRPr="00F1714B">
        <w:rPr>
          <w:rFonts w:cs="Times New Roman"/>
          <w:szCs w:val="26"/>
        </w:rPr>
        <w:t xml:space="preserve">delay </w:t>
      </w:r>
      <w:r w:rsidR="00232B23" w:rsidRPr="00F1714B">
        <w:rPr>
          <w:rFonts w:cs="Times New Roman"/>
          <w:szCs w:val="26"/>
        </w:rPr>
        <w:t xml:space="preserve">taking </w:t>
      </w:r>
      <w:r w:rsidR="002865AB" w:rsidRPr="00F1714B">
        <w:rPr>
          <w:rFonts w:cs="Times New Roman"/>
          <w:szCs w:val="26"/>
        </w:rPr>
        <w:t xml:space="preserve">further </w:t>
      </w:r>
      <w:r w:rsidR="00795B82" w:rsidRPr="00F1714B">
        <w:rPr>
          <w:rFonts w:cs="Times New Roman"/>
          <w:szCs w:val="26"/>
        </w:rPr>
        <w:t xml:space="preserve">action </w:t>
      </w:r>
      <w:r w:rsidR="00E6686E" w:rsidRPr="00F1714B">
        <w:rPr>
          <w:rFonts w:cs="Times New Roman"/>
          <w:szCs w:val="26"/>
        </w:rPr>
        <w:t>o</w:t>
      </w:r>
      <w:r w:rsidR="002267AE" w:rsidRPr="00F1714B">
        <w:rPr>
          <w:rFonts w:cs="Times New Roman"/>
          <w:szCs w:val="26"/>
        </w:rPr>
        <w:t xml:space="preserve">n the proposed revisions to </w:t>
      </w:r>
      <w:r w:rsidR="002D7761" w:rsidRPr="00F1714B">
        <w:rPr>
          <w:rFonts w:cs="Times New Roman"/>
          <w:szCs w:val="26"/>
        </w:rPr>
        <w:t xml:space="preserve">our telecommunications </w:t>
      </w:r>
      <w:r w:rsidR="00B2794D" w:rsidRPr="00F1714B">
        <w:rPr>
          <w:rFonts w:cs="Times New Roman"/>
          <w:szCs w:val="26"/>
        </w:rPr>
        <w:t>regulations</w:t>
      </w:r>
      <w:r w:rsidR="005D3758" w:rsidRPr="00F1714B">
        <w:rPr>
          <w:rFonts w:cs="Times New Roman"/>
          <w:szCs w:val="26"/>
        </w:rPr>
        <w:t xml:space="preserve">.  </w:t>
      </w:r>
    </w:p>
    <w:p w14:paraId="62C603BA" w14:textId="77777777" w:rsidR="00AC1F0B" w:rsidRPr="00F1714B" w:rsidRDefault="00AC1F0B" w:rsidP="00E55426">
      <w:pPr>
        <w:ind w:firstLine="720"/>
        <w:rPr>
          <w:rFonts w:cs="Times New Roman"/>
          <w:szCs w:val="26"/>
        </w:rPr>
      </w:pPr>
    </w:p>
    <w:p w14:paraId="1C1B1886" w14:textId="2BC08DC4" w:rsidR="005D36C0" w:rsidRPr="00F1714B" w:rsidRDefault="00382B95" w:rsidP="00705587">
      <w:pPr>
        <w:ind w:firstLine="720"/>
        <w:rPr>
          <w:rFonts w:cs="Times New Roman"/>
          <w:szCs w:val="26"/>
        </w:rPr>
      </w:pPr>
      <w:r w:rsidRPr="00F1714B">
        <w:rPr>
          <w:rFonts w:cs="Times New Roman"/>
          <w:szCs w:val="26"/>
        </w:rPr>
        <w:t>Moreover</w:t>
      </w:r>
      <w:r w:rsidR="00726482" w:rsidRPr="00F1714B">
        <w:rPr>
          <w:rFonts w:cs="Times New Roman"/>
          <w:szCs w:val="26"/>
        </w:rPr>
        <w:t>, the Commission is mindful of the fact th</w:t>
      </w:r>
      <w:r w:rsidR="0032111E" w:rsidRPr="00F1714B">
        <w:rPr>
          <w:rFonts w:cs="Times New Roman"/>
          <w:szCs w:val="26"/>
        </w:rPr>
        <w:t xml:space="preserve">at all </w:t>
      </w:r>
      <w:r w:rsidR="00726482" w:rsidRPr="00F1714B">
        <w:rPr>
          <w:rFonts w:cs="Times New Roman"/>
          <w:szCs w:val="26"/>
        </w:rPr>
        <w:t>interested stakeholders were given an opportunity to submit comment</w:t>
      </w:r>
      <w:r w:rsidRPr="00F1714B">
        <w:rPr>
          <w:rFonts w:cs="Times New Roman"/>
          <w:szCs w:val="26"/>
        </w:rPr>
        <w:t>s</w:t>
      </w:r>
      <w:r w:rsidR="00726482" w:rsidRPr="00F1714B">
        <w:rPr>
          <w:rFonts w:cs="Times New Roman"/>
          <w:szCs w:val="26"/>
        </w:rPr>
        <w:t xml:space="preserve"> and replies to the Chairman’s </w:t>
      </w:r>
      <w:r w:rsidRPr="00F1714B">
        <w:rPr>
          <w:rFonts w:cs="Times New Roman"/>
          <w:szCs w:val="26"/>
        </w:rPr>
        <w:t xml:space="preserve">nine </w:t>
      </w:r>
      <w:r w:rsidR="00726482" w:rsidRPr="00F1714B">
        <w:rPr>
          <w:rFonts w:cs="Times New Roman"/>
          <w:szCs w:val="26"/>
        </w:rPr>
        <w:t>questions.</w:t>
      </w:r>
      <w:r w:rsidR="00C67371" w:rsidRPr="00F1714B">
        <w:rPr>
          <w:rFonts w:cs="Times New Roman"/>
          <w:szCs w:val="26"/>
        </w:rPr>
        <w:t xml:space="preserve">  </w:t>
      </w:r>
      <w:r w:rsidR="003B119E" w:rsidRPr="00F1714B">
        <w:rPr>
          <w:rFonts w:cs="Times New Roman"/>
          <w:szCs w:val="26"/>
        </w:rPr>
        <w:t>I</w:t>
      </w:r>
      <w:r w:rsidR="0032111E" w:rsidRPr="00F1714B">
        <w:rPr>
          <w:rFonts w:cs="Times New Roman"/>
          <w:szCs w:val="26"/>
        </w:rPr>
        <w:t>n the likelihood that the Commission determines to utilize th</w:t>
      </w:r>
      <w:r w:rsidR="00856C0A" w:rsidRPr="00F1714B">
        <w:rPr>
          <w:rFonts w:cs="Times New Roman"/>
          <w:szCs w:val="26"/>
        </w:rPr>
        <w:t>os</w:t>
      </w:r>
      <w:r w:rsidR="0032111E" w:rsidRPr="00F1714B">
        <w:rPr>
          <w:rFonts w:cs="Times New Roman"/>
          <w:szCs w:val="26"/>
        </w:rPr>
        <w:t>e responses to assist it i</w:t>
      </w:r>
      <w:r w:rsidR="00021CEF" w:rsidRPr="00F1714B">
        <w:rPr>
          <w:rFonts w:cs="Times New Roman"/>
          <w:szCs w:val="26"/>
        </w:rPr>
        <w:t>n its consideration of whether to adopt or reject its proposed modifications to the Chapters 53, 63 and 64 regulations</w:t>
      </w:r>
      <w:r w:rsidR="00153C83" w:rsidRPr="00F1714B">
        <w:rPr>
          <w:rFonts w:cs="Times New Roman"/>
          <w:szCs w:val="26"/>
        </w:rPr>
        <w:t xml:space="preserve"> in the final-form regulation</w:t>
      </w:r>
      <w:r w:rsidR="00021CEF" w:rsidRPr="00F1714B">
        <w:rPr>
          <w:rFonts w:cs="Times New Roman"/>
          <w:szCs w:val="26"/>
        </w:rPr>
        <w:t>, n</w:t>
      </w:r>
      <w:r w:rsidR="00C67371" w:rsidRPr="00F1714B">
        <w:rPr>
          <w:rFonts w:cs="Times New Roman"/>
          <w:szCs w:val="26"/>
        </w:rPr>
        <w:t xml:space="preserve">o party has been prejudiced as </w:t>
      </w:r>
      <w:r w:rsidR="00021CEF" w:rsidRPr="00F1714B">
        <w:rPr>
          <w:rFonts w:cs="Times New Roman"/>
          <w:szCs w:val="26"/>
        </w:rPr>
        <w:t xml:space="preserve">the entire regulated community </w:t>
      </w:r>
      <w:r w:rsidR="0054289B" w:rsidRPr="00F1714B">
        <w:rPr>
          <w:rFonts w:cs="Times New Roman"/>
          <w:szCs w:val="26"/>
        </w:rPr>
        <w:t>was given notice</w:t>
      </w:r>
      <w:r w:rsidR="0032111E" w:rsidRPr="00F1714B">
        <w:rPr>
          <w:rFonts w:cs="Times New Roman"/>
          <w:szCs w:val="26"/>
        </w:rPr>
        <w:t xml:space="preserve"> and an opportunity</w:t>
      </w:r>
      <w:r w:rsidR="00021CEF" w:rsidRPr="00F1714B">
        <w:rPr>
          <w:rFonts w:cs="Times New Roman"/>
          <w:szCs w:val="26"/>
        </w:rPr>
        <w:t xml:space="preserve"> to respond to the Chairm</w:t>
      </w:r>
      <w:r w:rsidR="00124668" w:rsidRPr="00F1714B">
        <w:rPr>
          <w:rFonts w:cs="Times New Roman"/>
          <w:szCs w:val="26"/>
        </w:rPr>
        <w:t xml:space="preserve">an’s questions.  </w:t>
      </w:r>
      <w:r w:rsidR="009C2596" w:rsidRPr="00F1714B">
        <w:rPr>
          <w:rFonts w:cs="Times New Roman"/>
          <w:szCs w:val="26"/>
        </w:rPr>
        <w:t>It is beyond dispute that with these deliberate steps in this rulemaking process</w:t>
      </w:r>
      <w:r w:rsidR="00B23206" w:rsidRPr="00F1714B">
        <w:rPr>
          <w:rFonts w:cs="Times New Roman"/>
          <w:szCs w:val="26"/>
        </w:rPr>
        <w:t xml:space="preserve">, the Commission has given the regulated telecommunications community ample opportunity to weigh on the proposed modifications to the Chapters 53, 63 and 64 regulations.  </w:t>
      </w:r>
    </w:p>
    <w:p w14:paraId="0BD1B15F" w14:textId="6206F9E7" w:rsidR="00D83601" w:rsidRPr="00F1714B" w:rsidRDefault="00D83601" w:rsidP="00705587">
      <w:pPr>
        <w:ind w:firstLine="720"/>
        <w:rPr>
          <w:rFonts w:cs="Times New Roman"/>
          <w:szCs w:val="26"/>
        </w:rPr>
      </w:pPr>
    </w:p>
    <w:p w14:paraId="40AE0EC6" w14:textId="585A1D38" w:rsidR="00316A6A" w:rsidRPr="00F1714B" w:rsidRDefault="008C4F92" w:rsidP="009863B0">
      <w:pPr>
        <w:ind w:firstLine="720"/>
        <w:rPr>
          <w:rFonts w:cs="Times New Roman"/>
          <w:b/>
          <w:bCs/>
          <w:szCs w:val="26"/>
        </w:rPr>
      </w:pPr>
      <w:r w:rsidRPr="00F1714B">
        <w:rPr>
          <w:rFonts w:cs="Times New Roman"/>
          <w:szCs w:val="26"/>
        </w:rPr>
        <w:tab/>
      </w:r>
      <w:r w:rsidRPr="00F1714B">
        <w:rPr>
          <w:rFonts w:cs="Times New Roman"/>
          <w:b/>
          <w:bCs/>
          <w:szCs w:val="26"/>
        </w:rPr>
        <w:t>2.</w:t>
      </w:r>
      <w:r w:rsidRPr="00F1714B">
        <w:rPr>
          <w:rFonts w:cs="Times New Roman"/>
          <w:b/>
          <w:bCs/>
          <w:szCs w:val="26"/>
        </w:rPr>
        <w:tab/>
        <w:t>Response to Commentators’ General Comments</w:t>
      </w:r>
    </w:p>
    <w:p w14:paraId="05C40686" w14:textId="232AD668" w:rsidR="00CE3D31" w:rsidRPr="00F1714B" w:rsidRDefault="00CE3D31" w:rsidP="00705587">
      <w:pPr>
        <w:ind w:firstLine="720"/>
        <w:rPr>
          <w:rFonts w:cs="Times New Roman"/>
          <w:bCs/>
          <w:szCs w:val="26"/>
        </w:rPr>
      </w:pPr>
      <w:r w:rsidRPr="00F1714B">
        <w:rPr>
          <w:rFonts w:cs="Times New Roman"/>
          <w:sz w:val="24"/>
          <w:szCs w:val="24"/>
        </w:rPr>
        <w:t xml:space="preserve">The Commission </w:t>
      </w:r>
      <w:r w:rsidRPr="00F1714B">
        <w:rPr>
          <w:rFonts w:cs="Times New Roman"/>
          <w:szCs w:val="26"/>
        </w:rPr>
        <w:t>agrees with the commentators on the necessity of updating our existing telecommunications regulations.  Many of these regulations were promulgated</w:t>
      </w:r>
      <w:r w:rsidRPr="00F1714B">
        <w:rPr>
          <w:rFonts w:cs="Times New Roman"/>
          <w:bCs/>
          <w:szCs w:val="26"/>
        </w:rPr>
        <w:t xml:space="preserve"> when only one telecommunications company operated and provided monopoly local telephone service to all customers in its respective certificated service territory.  During this era, consumers had no competitive choices and were unable to obtain voice service from any other local telephone company.</w:t>
      </w:r>
    </w:p>
    <w:p w14:paraId="602C473A" w14:textId="77777777" w:rsidR="00CE3D31" w:rsidRPr="00F1714B" w:rsidRDefault="00CE3D31" w:rsidP="00705587">
      <w:pPr>
        <w:ind w:firstLine="720"/>
        <w:rPr>
          <w:rFonts w:cs="Times New Roman"/>
          <w:szCs w:val="26"/>
        </w:rPr>
      </w:pPr>
    </w:p>
    <w:p w14:paraId="7DDC8391" w14:textId="7FBBBC1B" w:rsidR="00B55593" w:rsidRPr="00F1714B" w:rsidRDefault="00B55593" w:rsidP="00705587">
      <w:pPr>
        <w:ind w:firstLine="720"/>
        <w:rPr>
          <w:rFonts w:cs="Times New Roman"/>
          <w:szCs w:val="26"/>
        </w:rPr>
      </w:pPr>
      <w:r w:rsidRPr="00F1714B">
        <w:rPr>
          <w:rFonts w:cs="Times New Roman"/>
          <w:szCs w:val="26"/>
        </w:rPr>
        <w:t xml:space="preserve">In 1993, the General Assembly enacted the original Chapter 30 of the Public Utility Code (Code), which fundamentally restructured Pennsylvania’s retail local telecommunications services market by allowing new market entrants to provide competitive local telephone service to residential customers and businesses within the service territories of the former monopoly providers.  Likewise, three years later, the United States Congress passed the Telecommunications Act of 1996, which essentially restructured the local telecommunications market on a national level in a similar manner </w:t>
      </w:r>
      <w:r w:rsidRPr="00F1714B">
        <w:rPr>
          <w:rFonts w:cs="Times New Roman"/>
          <w:szCs w:val="26"/>
        </w:rPr>
        <w:lastRenderedPageBreak/>
        <w:t xml:space="preserve">as Chapter 30 had already accomplished in Pennsylvania.  Both legislative actions resulted in the creation of two types of local service providers or local exchange carriers (LECs)—the new-entrant competitive local exchange carriers (CLECs) and the former monopolistic incumbent voice service providers, the ILECs, as both types of entities were able to provide telephone service in the same local calling area.  </w:t>
      </w:r>
    </w:p>
    <w:p w14:paraId="5C6B352F" w14:textId="77777777" w:rsidR="00910428" w:rsidRPr="00F1714B" w:rsidRDefault="00910428" w:rsidP="00705587">
      <w:pPr>
        <w:ind w:firstLine="720"/>
        <w:rPr>
          <w:rFonts w:cs="Times New Roman"/>
          <w:bCs/>
          <w:szCs w:val="26"/>
        </w:rPr>
      </w:pPr>
    </w:p>
    <w:p w14:paraId="790B8473" w14:textId="681DDB19" w:rsidR="00B55593" w:rsidRPr="00F1714B" w:rsidRDefault="00B55593" w:rsidP="00705587">
      <w:pPr>
        <w:ind w:firstLine="720"/>
        <w:rPr>
          <w:rFonts w:cs="Times New Roman"/>
          <w:szCs w:val="26"/>
        </w:rPr>
      </w:pPr>
      <w:r w:rsidRPr="00F1714B">
        <w:rPr>
          <w:rFonts w:cs="Times New Roman"/>
          <w:bCs/>
          <w:szCs w:val="26"/>
        </w:rPr>
        <w:t xml:space="preserve">Since that time, a technological paradigm shift has occurred in the telecommunications marketplace, and other non-traditional competitive entrants (e.g., mobile wireless carriers, cable companies and satellite providers) now provide competitive voice service offerings.  This increased competition has resulted in innovation, which led to </w:t>
      </w:r>
      <w:r w:rsidRPr="00F1714B">
        <w:rPr>
          <w:rFonts w:cs="Times New Roman"/>
          <w:szCs w:val="26"/>
        </w:rPr>
        <w:t>a sweeping technological transition in how retail wired telecommunications services are provisioned.  Currently, wireline service customers are served by two distinct but similar technologies – “end-user” switched access lines and interconnected VoIP “subscriptions.”   Additionally, many consumers have “cut the cord” and now obtain their voice service exclusively from mobile wireless carriers.</w:t>
      </w:r>
    </w:p>
    <w:p w14:paraId="029B3073" w14:textId="49E52736" w:rsidR="00B55593" w:rsidRPr="00F1714B" w:rsidRDefault="00B55593" w:rsidP="00705587">
      <w:pPr>
        <w:ind w:firstLine="720"/>
        <w:rPr>
          <w:rFonts w:cs="Times New Roman"/>
          <w:szCs w:val="26"/>
        </w:rPr>
      </w:pPr>
    </w:p>
    <w:p w14:paraId="6AC38943" w14:textId="65A812D9" w:rsidR="00910428" w:rsidRDefault="00910428" w:rsidP="001B13E4">
      <w:pPr>
        <w:ind w:firstLine="720"/>
        <w:rPr>
          <w:rFonts w:cs="Times New Roman"/>
          <w:szCs w:val="26"/>
        </w:rPr>
      </w:pPr>
      <w:r w:rsidRPr="00F1714B">
        <w:rPr>
          <w:rFonts w:cs="Times New Roman"/>
          <w:szCs w:val="26"/>
        </w:rPr>
        <w:t xml:space="preserve">The Commission acknowledges that competition works to </w:t>
      </w:r>
      <w:r w:rsidRPr="00F1714B">
        <w:rPr>
          <w:rFonts w:cs="Times New Roman"/>
          <w:szCs w:val="26"/>
          <w:lang w:val="en"/>
        </w:rPr>
        <w:t>enhance consumer choice and service and should be a consideration when evaluating regulations applicable to telecommunications service in Pennsylvania.  However, the Commission does not subscribe to the premise that competition singularly justifies eliminating all our Chapter 63 and 64 regulations at this time</w:t>
      </w:r>
      <w:r w:rsidRPr="00F1714B">
        <w:rPr>
          <w:rFonts w:cs="Times New Roman"/>
          <w:szCs w:val="26"/>
        </w:rPr>
        <w:t xml:space="preserve">.  Even though Section 1501 of the Code requires telecommunications carriers to provide reasonable service among other requirements and remains a critical regulatory backstop, the Commission is of the opinion there are circumstances where </w:t>
      </w:r>
      <w:r w:rsidRPr="00F1714B">
        <w:rPr>
          <w:rFonts w:cs="Times New Roman"/>
          <w:i/>
          <w:iCs/>
          <w:szCs w:val="26"/>
        </w:rPr>
        <w:t xml:space="preserve">specific </w:t>
      </w:r>
      <w:r w:rsidRPr="00F1714B">
        <w:rPr>
          <w:rFonts w:cs="Times New Roman"/>
          <w:szCs w:val="26"/>
        </w:rPr>
        <w:t xml:space="preserve">and </w:t>
      </w:r>
      <w:r w:rsidRPr="00F1714B">
        <w:rPr>
          <w:rFonts w:cs="Times New Roman"/>
          <w:i/>
          <w:iCs/>
          <w:szCs w:val="26"/>
        </w:rPr>
        <w:t xml:space="preserve">uniform </w:t>
      </w:r>
      <w:r w:rsidRPr="00F1714B">
        <w:rPr>
          <w:rFonts w:cs="Times New Roman"/>
          <w:szCs w:val="26"/>
        </w:rPr>
        <w:t xml:space="preserve">standards better serve carriers and customers because of the greater predictability they provide.  The Commission has determined this is true for both competitive and noncompetitive areas of the Commonwealth.  Based upon the review of the comments and reply comments submitted in response to the proposed regulations in the Annex accompanying the </w:t>
      </w:r>
      <w:r w:rsidRPr="00F1714B">
        <w:rPr>
          <w:rFonts w:cs="Times New Roman"/>
          <w:i/>
          <w:iCs/>
          <w:szCs w:val="26"/>
        </w:rPr>
        <w:t>NPRM Order</w:t>
      </w:r>
      <w:r w:rsidRPr="00F1714B">
        <w:rPr>
          <w:rFonts w:cs="Times New Roman"/>
          <w:szCs w:val="26"/>
        </w:rPr>
        <w:t xml:space="preserve">, the Commission has concluded that there are additional opportunities to modernize our Chapter 63 and 64 </w:t>
      </w:r>
      <w:r w:rsidRPr="00F1714B">
        <w:rPr>
          <w:rFonts w:cs="Times New Roman"/>
          <w:szCs w:val="26"/>
        </w:rPr>
        <w:lastRenderedPageBreak/>
        <w:t xml:space="preserve">regulations without compromising the important consumer protections contained in the regulations.  Therefore, the Commission has set forth a surgical approach to modernizing its regulations applicable to telephone service in the final-form regulation.  </w:t>
      </w:r>
    </w:p>
    <w:p w14:paraId="7BE7FC26" w14:textId="77777777" w:rsidR="001B13E4" w:rsidRPr="00F1714B" w:rsidRDefault="001B13E4" w:rsidP="001B13E4">
      <w:pPr>
        <w:ind w:firstLine="720"/>
        <w:rPr>
          <w:rFonts w:cs="Times New Roman"/>
          <w:szCs w:val="26"/>
        </w:rPr>
      </w:pPr>
    </w:p>
    <w:p w14:paraId="4334DBC1" w14:textId="32DAD453" w:rsidR="0085258C" w:rsidRPr="00F1714B" w:rsidRDefault="0085258C" w:rsidP="0085258C">
      <w:pPr>
        <w:ind w:firstLine="720"/>
        <w:rPr>
          <w:rFonts w:cs="Times New Roman"/>
          <w:szCs w:val="26"/>
        </w:rPr>
      </w:pPr>
      <w:r w:rsidRPr="00F1714B">
        <w:rPr>
          <w:rFonts w:cs="Times New Roman"/>
          <w:szCs w:val="26"/>
        </w:rPr>
        <w:t xml:space="preserve">Lastly, to bolster its claim that </w:t>
      </w:r>
      <w:proofErr w:type="gramStart"/>
      <w:r w:rsidRPr="00F1714B">
        <w:rPr>
          <w:rFonts w:cs="Times New Roman"/>
          <w:szCs w:val="26"/>
        </w:rPr>
        <w:t>the vast majority of</w:t>
      </w:r>
      <w:proofErr w:type="gramEnd"/>
      <w:r w:rsidRPr="00F1714B">
        <w:rPr>
          <w:rFonts w:cs="Times New Roman"/>
          <w:szCs w:val="26"/>
        </w:rPr>
        <w:t xml:space="preserve"> Chapters 63 and 64 should be eliminated for Title 52 of the Pa. Code, Verizon advocates for the first time in this proceeding a new interpretation of the Chapter 30 statutory criteria.  Specifically, Verizon argues that Chapter 30 requires the Commission “to entirely eliminate all of its existing service quality regulations and it must justify creating or imposing any new service quality regulations only if it has facts to demonstrate that it is necessary, beneficial and in the public interest </w:t>
      </w:r>
      <w:proofErr w:type="spellStart"/>
      <w:r w:rsidRPr="00F1714B">
        <w:rPr>
          <w:rFonts w:cs="Times New Roman"/>
          <w:szCs w:val="26"/>
        </w:rPr>
        <w:t>tak</w:t>
      </w:r>
      <w:proofErr w:type="spellEnd"/>
      <w:r w:rsidRPr="00F1714B">
        <w:rPr>
          <w:rFonts w:cs="Times New Roman"/>
          <w:szCs w:val="26"/>
        </w:rPr>
        <w:t>[</w:t>
      </w:r>
      <w:proofErr w:type="spellStart"/>
      <w:r w:rsidRPr="00F1714B">
        <w:rPr>
          <w:rFonts w:cs="Times New Roman"/>
          <w:szCs w:val="26"/>
        </w:rPr>
        <w:t>ing</w:t>
      </w:r>
      <w:proofErr w:type="spellEnd"/>
      <w:r w:rsidRPr="00F1714B">
        <w:rPr>
          <w:rFonts w:cs="Times New Roman"/>
          <w:szCs w:val="26"/>
        </w:rPr>
        <w:t>] into consideration the emergence of new industry participants, technological advancements, service standards and consumer demand.”  This novel interpretation reads into the statute an interpretation not supported by the words of the statute itself.  Upon review, Chapter 30 does not specifically require the Commission to eliminate its telephone service quality regulations.  Rather, Chapter 30 expressly preserves the Commission’s power to “review and revise” these regulations and in doing so, preserves the Commission’s power to maintain them.</w:t>
      </w:r>
      <w:r w:rsidRPr="00F1714B">
        <w:rPr>
          <w:rStyle w:val="FootnoteReference"/>
          <w:rFonts w:cs="Times New Roman"/>
          <w:szCs w:val="26"/>
        </w:rPr>
        <w:footnoteReference w:id="29"/>
      </w:r>
      <w:r w:rsidRPr="00F1714B">
        <w:rPr>
          <w:rFonts w:cs="Times New Roman"/>
          <w:szCs w:val="26"/>
        </w:rPr>
        <w:t xml:space="preserve">  Thus, as discussed in greater detail below, we have taken a pragmatic and reasoned approach in revising, </w:t>
      </w:r>
      <w:proofErr w:type="gramStart"/>
      <w:r w:rsidRPr="00F1714B">
        <w:rPr>
          <w:rFonts w:cs="Times New Roman"/>
          <w:szCs w:val="26"/>
        </w:rPr>
        <w:t>modifying</w:t>
      </w:r>
      <w:proofErr w:type="gramEnd"/>
      <w:r w:rsidRPr="00F1714B">
        <w:rPr>
          <w:rFonts w:cs="Times New Roman"/>
          <w:szCs w:val="26"/>
        </w:rPr>
        <w:t xml:space="preserve"> and further streamlining our Chapters 53, 63 and 64 regulations as set forth in the attached Annex.</w:t>
      </w:r>
    </w:p>
    <w:p w14:paraId="68689B98" w14:textId="77777777" w:rsidR="0085258C" w:rsidRPr="00F1714B" w:rsidRDefault="0085258C" w:rsidP="0085258C">
      <w:pPr>
        <w:ind w:firstLine="720"/>
        <w:rPr>
          <w:rFonts w:cs="Times New Roman"/>
          <w:szCs w:val="26"/>
        </w:rPr>
      </w:pPr>
    </w:p>
    <w:p w14:paraId="27C491AB" w14:textId="181C2AAA" w:rsidR="001B3461" w:rsidRPr="00F1714B" w:rsidRDefault="001B3461" w:rsidP="00705587">
      <w:pPr>
        <w:pStyle w:val="ListParagraph"/>
        <w:numPr>
          <w:ilvl w:val="0"/>
          <w:numId w:val="8"/>
        </w:numPr>
        <w:rPr>
          <w:rFonts w:cs="Times New Roman"/>
          <w:b/>
          <w:bCs/>
          <w:szCs w:val="26"/>
        </w:rPr>
      </w:pPr>
      <w:r w:rsidRPr="00F1714B">
        <w:rPr>
          <w:rFonts w:cs="Times New Roman"/>
          <w:b/>
          <w:bCs/>
          <w:szCs w:val="26"/>
        </w:rPr>
        <w:t>Chapter 53 Tariffs for Noncommon Carriers: 52 Pa. Code §§ 53.57—53.60</w:t>
      </w:r>
    </w:p>
    <w:p w14:paraId="5D212AF0" w14:textId="13272550" w:rsidR="00ED168B" w:rsidRPr="00F1714B" w:rsidRDefault="001B3461" w:rsidP="00911841">
      <w:pPr>
        <w:ind w:firstLine="720"/>
        <w:contextualSpacing/>
        <w:rPr>
          <w:rFonts w:cs="Times New Roman"/>
          <w:szCs w:val="26"/>
        </w:rPr>
      </w:pPr>
      <w:r w:rsidRPr="00F1714B">
        <w:rPr>
          <w:rFonts w:cs="Times New Roman"/>
          <w:szCs w:val="26"/>
        </w:rPr>
        <w:t xml:space="preserve">In the </w:t>
      </w:r>
      <w:r w:rsidRPr="00F1714B">
        <w:rPr>
          <w:rFonts w:cs="Times New Roman"/>
          <w:i/>
          <w:iCs/>
          <w:szCs w:val="26"/>
        </w:rPr>
        <w:t>ANPR</w:t>
      </w:r>
      <w:r w:rsidR="00B70617" w:rsidRPr="00F1714B">
        <w:rPr>
          <w:rFonts w:cs="Times New Roman"/>
          <w:i/>
          <w:iCs/>
          <w:szCs w:val="26"/>
        </w:rPr>
        <w:t>M</w:t>
      </w:r>
      <w:r w:rsidRPr="00F1714B">
        <w:rPr>
          <w:rFonts w:cs="Times New Roman"/>
          <w:i/>
          <w:iCs/>
          <w:szCs w:val="26"/>
        </w:rPr>
        <w:t xml:space="preserve"> Order</w:t>
      </w:r>
      <w:r w:rsidRPr="00F1714B">
        <w:rPr>
          <w:rFonts w:cs="Times New Roman"/>
          <w:szCs w:val="26"/>
        </w:rPr>
        <w:t xml:space="preserve">, </w:t>
      </w:r>
      <w:r w:rsidR="0091737C" w:rsidRPr="00F1714B">
        <w:rPr>
          <w:rFonts w:cs="Times New Roman"/>
          <w:szCs w:val="26"/>
        </w:rPr>
        <w:t xml:space="preserve">the Commission explicitly </w:t>
      </w:r>
      <w:r w:rsidRPr="00F1714B">
        <w:rPr>
          <w:rFonts w:cs="Times New Roman"/>
          <w:szCs w:val="26"/>
        </w:rPr>
        <w:t xml:space="preserve">discussed the </w:t>
      </w:r>
      <w:r w:rsidR="0091737C" w:rsidRPr="00F1714B">
        <w:rPr>
          <w:rFonts w:cs="Times New Roman"/>
          <w:szCs w:val="26"/>
        </w:rPr>
        <w:t xml:space="preserve">past and periodic </w:t>
      </w:r>
      <w:r w:rsidRPr="00F1714B">
        <w:rPr>
          <w:rFonts w:cs="Times New Roman"/>
          <w:szCs w:val="26"/>
        </w:rPr>
        <w:t xml:space="preserve">temporary regulatory waivers </w:t>
      </w:r>
      <w:r w:rsidR="0091737C" w:rsidRPr="00F1714B">
        <w:rPr>
          <w:rFonts w:cs="Times New Roman"/>
          <w:szCs w:val="26"/>
        </w:rPr>
        <w:t xml:space="preserve">involving the tariffing requirements under Section 53.58.  Specifically, over time, the Commission had granted Verizon and </w:t>
      </w:r>
      <w:r w:rsidR="000D5412" w:rsidRPr="00F1714B">
        <w:rPr>
          <w:rFonts w:cs="Times New Roman"/>
          <w:szCs w:val="26"/>
        </w:rPr>
        <w:t xml:space="preserve">other </w:t>
      </w:r>
      <w:r w:rsidR="0091737C" w:rsidRPr="00F1714B">
        <w:rPr>
          <w:rFonts w:cs="Times New Roman"/>
          <w:szCs w:val="26"/>
        </w:rPr>
        <w:t xml:space="preserve">CLECs tariffing relief regarding the retail services they offered to enterprise </w:t>
      </w:r>
      <w:r w:rsidR="00AA2D48" w:rsidRPr="00F1714B">
        <w:rPr>
          <w:rFonts w:cs="Times New Roman"/>
          <w:szCs w:val="26"/>
        </w:rPr>
        <w:t xml:space="preserve">(business, or non-residential) </w:t>
      </w:r>
      <w:r w:rsidR="0091737C" w:rsidRPr="00F1714B">
        <w:rPr>
          <w:rFonts w:cs="Times New Roman"/>
          <w:szCs w:val="26"/>
        </w:rPr>
        <w:lastRenderedPageBreak/>
        <w:t>and large business customers generating $10,000 or more in annual revenues.</w:t>
      </w:r>
      <w:r w:rsidR="00304816" w:rsidRPr="00F1714B">
        <w:rPr>
          <w:rStyle w:val="FootnoteReference"/>
          <w:rFonts w:cs="Times New Roman"/>
          <w:szCs w:val="26"/>
        </w:rPr>
        <w:footnoteReference w:id="30"/>
      </w:r>
      <w:r w:rsidR="0091737C" w:rsidRPr="00F1714B">
        <w:rPr>
          <w:rFonts w:cs="Times New Roman"/>
          <w:szCs w:val="26"/>
        </w:rPr>
        <w:t xml:space="preserve">  </w:t>
      </w:r>
      <w:r w:rsidR="00085BC4" w:rsidRPr="00F1714B">
        <w:rPr>
          <w:rFonts w:cs="Times New Roman"/>
          <w:szCs w:val="26"/>
        </w:rPr>
        <w:t xml:space="preserve">These waivers existed prior to and were unrelated to Verizon’s reclassification proceeding.  </w:t>
      </w:r>
      <w:r w:rsidR="0091737C" w:rsidRPr="00F1714B">
        <w:rPr>
          <w:rFonts w:cs="Times New Roman"/>
          <w:iCs/>
          <w:szCs w:val="26"/>
        </w:rPr>
        <w:t>The Commission also granted periodic extension</w:t>
      </w:r>
      <w:r w:rsidR="003846CA" w:rsidRPr="00F1714B">
        <w:rPr>
          <w:rFonts w:cs="Times New Roman"/>
          <w:iCs/>
          <w:szCs w:val="26"/>
        </w:rPr>
        <w:t>s</w:t>
      </w:r>
      <w:r w:rsidR="0091737C" w:rsidRPr="00F1714B">
        <w:rPr>
          <w:rFonts w:cs="Times New Roman"/>
          <w:iCs/>
          <w:szCs w:val="26"/>
        </w:rPr>
        <w:t xml:space="preserve"> of these temporary regulatory waivers based on the rationale that it would initiate a rulemaking proceeding to address whether Sections 53.58 and 53.59 should be modified by adopting the periodically renewed temporary waivers as a permanent regulatory change.  Accordingly, w</w:t>
      </w:r>
      <w:r w:rsidR="0091737C" w:rsidRPr="00F1714B">
        <w:rPr>
          <w:rFonts w:cs="Times New Roman"/>
          <w:szCs w:val="26"/>
        </w:rPr>
        <w:t xml:space="preserve">e solicited comments whether such waivers should become permanent and embodied in revised regulations going forward.  </w:t>
      </w:r>
      <w:r w:rsidR="0091737C" w:rsidRPr="00F1714B">
        <w:rPr>
          <w:rFonts w:cs="Times New Roman"/>
          <w:i/>
          <w:iCs/>
          <w:szCs w:val="26"/>
        </w:rPr>
        <w:t>ANPR</w:t>
      </w:r>
      <w:r w:rsidR="00B70617" w:rsidRPr="00F1714B">
        <w:rPr>
          <w:rFonts w:cs="Times New Roman"/>
          <w:i/>
          <w:iCs/>
          <w:szCs w:val="26"/>
        </w:rPr>
        <w:t>M</w:t>
      </w:r>
      <w:r w:rsidR="0091737C" w:rsidRPr="00F1714B">
        <w:rPr>
          <w:rFonts w:cs="Times New Roman"/>
          <w:i/>
          <w:iCs/>
          <w:szCs w:val="26"/>
        </w:rPr>
        <w:t xml:space="preserve"> Order</w:t>
      </w:r>
      <w:r w:rsidR="0091737C" w:rsidRPr="00F1714B">
        <w:rPr>
          <w:rFonts w:cs="Times New Roman"/>
          <w:szCs w:val="26"/>
        </w:rPr>
        <w:t xml:space="preserve"> at 27-28, 48 Pa.B. 4799.  </w:t>
      </w:r>
    </w:p>
    <w:p w14:paraId="5FCF2129" w14:textId="77777777" w:rsidR="0085258C" w:rsidRPr="00F1714B" w:rsidRDefault="0085258C" w:rsidP="00911841">
      <w:pPr>
        <w:ind w:firstLine="720"/>
        <w:contextualSpacing/>
        <w:rPr>
          <w:rFonts w:cs="Times New Roman"/>
          <w:szCs w:val="26"/>
        </w:rPr>
      </w:pPr>
    </w:p>
    <w:p w14:paraId="010127F8" w14:textId="78ECDBF6" w:rsidR="0091737C" w:rsidRPr="00F1714B" w:rsidRDefault="0091737C" w:rsidP="005A65C6">
      <w:pPr>
        <w:ind w:firstLine="720"/>
        <w:contextualSpacing/>
        <w:rPr>
          <w:rFonts w:cs="Times New Roman"/>
          <w:szCs w:val="26"/>
        </w:rPr>
      </w:pPr>
      <w:bookmarkStart w:id="12" w:name="_Hlk77856390"/>
      <w:r w:rsidRPr="00F1714B">
        <w:rPr>
          <w:rFonts w:cs="Times New Roman"/>
          <w:szCs w:val="26"/>
        </w:rPr>
        <w:t xml:space="preserve">The Commission received comments to its </w:t>
      </w:r>
      <w:r w:rsidRPr="00F1714B">
        <w:rPr>
          <w:rFonts w:cs="Times New Roman"/>
          <w:i/>
          <w:iCs/>
          <w:szCs w:val="26"/>
        </w:rPr>
        <w:t>ANPR</w:t>
      </w:r>
      <w:r w:rsidR="00B70617" w:rsidRPr="00F1714B">
        <w:rPr>
          <w:rFonts w:cs="Times New Roman"/>
          <w:i/>
          <w:iCs/>
          <w:szCs w:val="26"/>
        </w:rPr>
        <w:t>M</w:t>
      </w:r>
      <w:r w:rsidRPr="00F1714B">
        <w:rPr>
          <w:rFonts w:cs="Times New Roman"/>
          <w:i/>
          <w:iCs/>
          <w:szCs w:val="26"/>
        </w:rPr>
        <w:t xml:space="preserve"> Order </w:t>
      </w:r>
      <w:r w:rsidRPr="00F1714B">
        <w:rPr>
          <w:rFonts w:cs="Times New Roman"/>
          <w:szCs w:val="26"/>
        </w:rPr>
        <w:t xml:space="preserve">from various stakeholders.  Based upon its review of those comments, </w:t>
      </w:r>
      <w:r w:rsidR="00F1000D" w:rsidRPr="00F1714B">
        <w:rPr>
          <w:rFonts w:cs="Times New Roman"/>
          <w:szCs w:val="26"/>
        </w:rPr>
        <w:t>the Commission determined that it would propose revisions to relevant regulations in Chapter 53 in order to provide clarity as to the tariff filing requirements</w:t>
      </w:r>
      <w:r w:rsidR="00F1000D" w:rsidRPr="00F1714B" w:rsidDel="0091737C">
        <w:rPr>
          <w:rFonts w:cs="Times New Roman"/>
          <w:szCs w:val="26"/>
        </w:rPr>
        <w:t xml:space="preserve"> </w:t>
      </w:r>
      <w:r w:rsidR="00F1000D" w:rsidRPr="00F1714B">
        <w:rPr>
          <w:rFonts w:cs="Times New Roman"/>
          <w:szCs w:val="26"/>
        </w:rPr>
        <w:t>and reporting obligations applicable to the retail, protected and non</w:t>
      </w:r>
      <w:r w:rsidR="00B2197E" w:rsidRPr="00F1714B">
        <w:rPr>
          <w:rFonts w:cs="Times New Roman"/>
          <w:szCs w:val="26"/>
        </w:rPr>
        <w:t xml:space="preserve">competitive </w:t>
      </w:r>
      <w:r w:rsidR="00F1000D" w:rsidRPr="00F1714B">
        <w:rPr>
          <w:rFonts w:cs="Times New Roman"/>
          <w:szCs w:val="26"/>
        </w:rPr>
        <w:t xml:space="preserve">telecommunications services offered by incumbent </w:t>
      </w:r>
      <w:r w:rsidR="00272A19" w:rsidRPr="00F1714B">
        <w:rPr>
          <w:rFonts w:cs="Times New Roman"/>
          <w:szCs w:val="26"/>
        </w:rPr>
        <w:t xml:space="preserve">telecommunications service providers </w:t>
      </w:r>
      <w:r w:rsidR="00F1000D" w:rsidRPr="00F1714B">
        <w:rPr>
          <w:rFonts w:cs="Times New Roman"/>
          <w:szCs w:val="26"/>
        </w:rPr>
        <w:t xml:space="preserve">and competitive </w:t>
      </w:r>
      <w:r w:rsidR="00272A19" w:rsidRPr="00F1714B">
        <w:rPr>
          <w:rFonts w:cs="Times New Roman"/>
          <w:szCs w:val="26"/>
        </w:rPr>
        <w:t>services providers</w:t>
      </w:r>
      <w:r w:rsidR="00F1000D" w:rsidRPr="00F1714B">
        <w:rPr>
          <w:rFonts w:cs="Times New Roman"/>
          <w:szCs w:val="26"/>
        </w:rPr>
        <w:t xml:space="preserve">.  Consequently, </w:t>
      </w:r>
      <w:r w:rsidR="004652DA" w:rsidRPr="00F1714B">
        <w:rPr>
          <w:rFonts w:cs="Times New Roman"/>
          <w:szCs w:val="26"/>
        </w:rPr>
        <w:t>while the Commis</w:t>
      </w:r>
      <w:r w:rsidR="00BF7239" w:rsidRPr="00F1714B">
        <w:rPr>
          <w:rFonts w:cs="Times New Roman"/>
          <w:szCs w:val="26"/>
        </w:rPr>
        <w:t>s</w:t>
      </w:r>
      <w:r w:rsidR="004652DA" w:rsidRPr="00F1714B">
        <w:rPr>
          <w:rFonts w:cs="Times New Roman"/>
          <w:szCs w:val="26"/>
        </w:rPr>
        <w:t xml:space="preserve">ion did not </w:t>
      </w:r>
      <w:r w:rsidR="00BF7239" w:rsidRPr="00F1714B">
        <w:rPr>
          <w:rFonts w:cs="Times New Roman"/>
          <w:szCs w:val="26"/>
        </w:rPr>
        <w:t xml:space="preserve">propose to </w:t>
      </w:r>
      <w:r w:rsidR="004652DA" w:rsidRPr="00F1714B">
        <w:rPr>
          <w:rFonts w:cs="Times New Roman"/>
          <w:szCs w:val="26"/>
        </w:rPr>
        <w:t xml:space="preserve">eliminate </w:t>
      </w:r>
      <w:r w:rsidR="00787910" w:rsidRPr="00F1714B">
        <w:rPr>
          <w:rFonts w:cs="Times New Roman"/>
          <w:szCs w:val="26"/>
        </w:rPr>
        <w:t xml:space="preserve">all applicable </w:t>
      </w:r>
      <w:r w:rsidR="004652DA" w:rsidRPr="00F1714B">
        <w:rPr>
          <w:rFonts w:cs="Times New Roman"/>
          <w:szCs w:val="26"/>
        </w:rPr>
        <w:t xml:space="preserve">tariff filing </w:t>
      </w:r>
      <w:r w:rsidR="004652DA" w:rsidRPr="00F1714B">
        <w:rPr>
          <w:rFonts w:cs="Times New Roman"/>
          <w:szCs w:val="26"/>
        </w:rPr>
        <w:lastRenderedPageBreak/>
        <w:t xml:space="preserve">requirements </w:t>
      </w:r>
      <w:r w:rsidR="00787910" w:rsidRPr="00F1714B">
        <w:rPr>
          <w:rFonts w:cs="Times New Roman"/>
          <w:szCs w:val="26"/>
        </w:rPr>
        <w:t>within</w:t>
      </w:r>
      <w:r w:rsidR="009E373A" w:rsidRPr="00F1714B">
        <w:rPr>
          <w:rFonts w:cs="Times New Roman"/>
          <w:szCs w:val="26"/>
        </w:rPr>
        <w:t xml:space="preserve"> </w:t>
      </w:r>
      <w:r w:rsidR="001D61AE" w:rsidRPr="00F1714B">
        <w:rPr>
          <w:rFonts w:cs="Times New Roman"/>
          <w:szCs w:val="26"/>
        </w:rPr>
        <w:t>C</w:t>
      </w:r>
      <w:r w:rsidR="009E373A" w:rsidRPr="00F1714B">
        <w:rPr>
          <w:rFonts w:cs="Times New Roman"/>
          <w:szCs w:val="26"/>
        </w:rPr>
        <w:t xml:space="preserve">hapter 53 </w:t>
      </w:r>
      <w:r w:rsidR="004652DA" w:rsidRPr="00F1714B">
        <w:rPr>
          <w:rFonts w:cs="Times New Roman"/>
          <w:szCs w:val="26"/>
        </w:rPr>
        <w:t>for noncompetitive and protected services, including basic local exchange services</w:t>
      </w:r>
      <w:r w:rsidR="009E373A" w:rsidRPr="00F1714B">
        <w:rPr>
          <w:rFonts w:cs="Times New Roman"/>
          <w:szCs w:val="26"/>
        </w:rPr>
        <w:t xml:space="preserve">, in its </w:t>
      </w:r>
      <w:r w:rsidR="009E373A" w:rsidRPr="00F1714B">
        <w:rPr>
          <w:rFonts w:cs="Times New Roman"/>
          <w:i/>
          <w:iCs/>
          <w:szCs w:val="26"/>
        </w:rPr>
        <w:t>NOPR Order</w:t>
      </w:r>
      <w:r w:rsidR="009E373A" w:rsidRPr="00F1714B">
        <w:rPr>
          <w:rFonts w:cs="Times New Roman"/>
          <w:szCs w:val="26"/>
        </w:rPr>
        <w:t xml:space="preserve">, the </w:t>
      </w:r>
      <w:r w:rsidR="00F1000D" w:rsidRPr="00F1714B">
        <w:rPr>
          <w:rFonts w:cs="Times New Roman"/>
          <w:szCs w:val="26"/>
        </w:rPr>
        <w:t xml:space="preserve">Commission </w:t>
      </w:r>
      <w:r w:rsidR="009E373A" w:rsidRPr="00F1714B">
        <w:rPr>
          <w:rFonts w:cs="Times New Roman"/>
          <w:szCs w:val="26"/>
        </w:rPr>
        <w:t xml:space="preserve">did </w:t>
      </w:r>
      <w:r w:rsidR="00F1000D" w:rsidRPr="00F1714B">
        <w:rPr>
          <w:rFonts w:cs="Times New Roman"/>
          <w:szCs w:val="26"/>
        </w:rPr>
        <w:t>determine</w:t>
      </w:r>
      <w:r w:rsidR="009E373A" w:rsidRPr="00F1714B">
        <w:rPr>
          <w:rFonts w:cs="Times New Roman"/>
          <w:szCs w:val="26"/>
        </w:rPr>
        <w:t xml:space="preserve"> </w:t>
      </w:r>
      <w:r w:rsidR="00F1000D" w:rsidRPr="00F1714B">
        <w:rPr>
          <w:rFonts w:cs="Times New Roman"/>
          <w:szCs w:val="26"/>
        </w:rPr>
        <w:t xml:space="preserve">it </w:t>
      </w:r>
      <w:r w:rsidRPr="00F1714B">
        <w:rPr>
          <w:rFonts w:cs="Times New Roman"/>
          <w:szCs w:val="26"/>
        </w:rPr>
        <w:t xml:space="preserve">would </w:t>
      </w:r>
      <w:r w:rsidR="001B3461" w:rsidRPr="00F1714B">
        <w:rPr>
          <w:rFonts w:cs="Times New Roman"/>
          <w:szCs w:val="26"/>
        </w:rPr>
        <w:t xml:space="preserve">update the regulatory language </w:t>
      </w:r>
      <w:r w:rsidRPr="00F1714B">
        <w:rPr>
          <w:rFonts w:cs="Times New Roman"/>
          <w:szCs w:val="26"/>
        </w:rPr>
        <w:t xml:space="preserve">in Chapter 53 to </w:t>
      </w:r>
      <w:r w:rsidR="001B3461" w:rsidRPr="00F1714B">
        <w:rPr>
          <w:rFonts w:cs="Times New Roman"/>
          <w:szCs w:val="26"/>
        </w:rPr>
        <w:t>align with the current statutory language of Chapter 30</w:t>
      </w:r>
      <w:r w:rsidRPr="00F1714B">
        <w:rPr>
          <w:rFonts w:cs="Times New Roman"/>
          <w:szCs w:val="26"/>
        </w:rPr>
        <w:t xml:space="preserve"> of the Code.  </w:t>
      </w:r>
      <w:bookmarkEnd w:id="12"/>
      <w:r w:rsidR="000E5C92" w:rsidRPr="00F1714B">
        <w:rPr>
          <w:rFonts w:cs="Times New Roman"/>
          <w:szCs w:val="26"/>
        </w:rPr>
        <w:t xml:space="preserve">Accordingly, the </w:t>
      </w:r>
      <w:r w:rsidRPr="00F1714B">
        <w:rPr>
          <w:rFonts w:cs="Times New Roman"/>
          <w:szCs w:val="26"/>
        </w:rPr>
        <w:t xml:space="preserve">Annex to the </w:t>
      </w:r>
      <w:r w:rsidRPr="00F1714B">
        <w:rPr>
          <w:rFonts w:cs="Times New Roman"/>
          <w:i/>
          <w:iCs/>
          <w:szCs w:val="26"/>
        </w:rPr>
        <w:t>N</w:t>
      </w:r>
      <w:r w:rsidR="002E44C1" w:rsidRPr="00F1714B">
        <w:rPr>
          <w:rFonts w:cs="Times New Roman"/>
          <w:i/>
          <w:iCs/>
          <w:szCs w:val="26"/>
        </w:rPr>
        <w:t>PRM</w:t>
      </w:r>
      <w:r w:rsidRPr="00F1714B">
        <w:rPr>
          <w:rFonts w:cs="Times New Roman"/>
          <w:i/>
          <w:iCs/>
          <w:szCs w:val="26"/>
        </w:rPr>
        <w:t xml:space="preserve"> Order</w:t>
      </w:r>
      <w:r w:rsidRPr="00F1714B">
        <w:rPr>
          <w:rFonts w:cs="Times New Roman"/>
          <w:szCs w:val="26"/>
        </w:rPr>
        <w:t xml:space="preserve"> set forth the proposed revisions to Sections 53.57-53.60 of the Commission’s regulations.</w:t>
      </w:r>
    </w:p>
    <w:p w14:paraId="5A71A14E" w14:textId="77777777" w:rsidR="00B92E3B" w:rsidRPr="00F1714B" w:rsidRDefault="00B92E3B" w:rsidP="005A65C6">
      <w:pPr>
        <w:ind w:firstLine="720"/>
        <w:contextualSpacing/>
        <w:rPr>
          <w:rFonts w:cs="Times New Roman"/>
          <w:szCs w:val="26"/>
        </w:rPr>
      </w:pPr>
    </w:p>
    <w:p w14:paraId="794082A2" w14:textId="14D26D33" w:rsidR="00947765" w:rsidRPr="00F1714B" w:rsidRDefault="00335C3F" w:rsidP="005A65C6">
      <w:pPr>
        <w:ind w:firstLine="720"/>
        <w:rPr>
          <w:rFonts w:cs="Times New Roman"/>
          <w:b/>
          <w:bCs/>
          <w:szCs w:val="26"/>
        </w:rPr>
      </w:pPr>
      <w:r w:rsidRPr="00F1714B">
        <w:rPr>
          <w:rFonts w:cs="Times New Roman"/>
          <w:b/>
          <w:bCs/>
          <w:szCs w:val="26"/>
        </w:rPr>
        <w:t>A.</w:t>
      </w:r>
      <w:r w:rsidR="00B77707" w:rsidRPr="00F1714B">
        <w:rPr>
          <w:rFonts w:cs="Times New Roman"/>
          <w:b/>
          <w:bCs/>
          <w:szCs w:val="26"/>
        </w:rPr>
        <w:tab/>
      </w:r>
      <w:r w:rsidR="00162D3D" w:rsidRPr="00F1714B">
        <w:rPr>
          <w:rFonts w:cs="Times New Roman"/>
          <w:b/>
          <w:bCs/>
          <w:szCs w:val="26"/>
        </w:rPr>
        <w:t xml:space="preserve">52 Pa. Code § </w:t>
      </w:r>
      <w:r w:rsidR="00FC3BF3" w:rsidRPr="00F1714B">
        <w:rPr>
          <w:rFonts w:cs="Times New Roman"/>
          <w:b/>
          <w:bCs/>
          <w:szCs w:val="26"/>
        </w:rPr>
        <w:t xml:space="preserve">53.57 </w:t>
      </w:r>
    </w:p>
    <w:p w14:paraId="33493B3B" w14:textId="0C359C50" w:rsidR="00792409" w:rsidRPr="00F1714B" w:rsidRDefault="00947765" w:rsidP="005A65C6">
      <w:pPr>
        <w:ind w:firstLine="720"/>
        <w:rPr>
          <w:rFonts w:cs="Times New Roman"/>
          <w:szCs w:val="26"/>
        </w:rPr>
      </w:pPr>
      <w:r w:rsidRPr="00F1714B">
        <w:rPr>
          <w:rFonts w:cs="Times New Roman"/>
          <w:szCs w:val="26"/>
        </w:rPr>
        <w:t xml:space="preserve">Section 53.57 sets forth the definition of the terms used in </w:t>
      </w:r>
      <w:r w:rsidR="0086609E" w:rsidRPr="00F1714B">
        <w:rPr>
          <w:rFonts w:cs="Times New Roman"/>
          <w:szCs w:val="26"/>
        </w:rPr>
        <w:t>52 Pa. Code §§ 53.57</w:t>
      </w:r>
      <w:r w:rsidR="001026F2" w:rsidRPr="00F1714B">
        <w:rPr>
          <w:rFonts w:cs="Times New Roman"/>
          <w:szCs w:val="26"/>
        </w:rPr>
        <w:t>—</w:t>
      </w:r>
      <w:r w:rsidR="0086609E" w:rsidRPr="00F1714B">
        <w:rPr>
          <w:rFonts w:cs="Times New Roman"/>
          <w:szCs w:val="26"/>
        </w:rPr>
        <w:t xml:space="preserve">53.60.  </w:t>
      </w:r>
      <w:r w:rsidR="00B550EA" w:rsidRPr="00F1714B">
        <w:rPr>
          <w:rFonts w:cs="Times New Roman"/>
          <w:szCs w:val="26"/>
        </w:rPr>
        <w:t xml:space="preserve">In the Annex to the </w:t>
      </w:r>
      <w:r w:rsidR="00B550EA" w:rsidRPr="00F1714B">
        <w:rPr>
          <w:rFonts w:cs="Times New Roman"/>
          <w:i/>
          <w:iCs/>
          <w:szCs w:val="26"/>
        </w:rPr>
        <w:t>NPRM Order</w:t>
      </w:r>
      <w:r w:rsidR="00B550EA" w:rsidRPr="00F1714B">
        <w:rPr>
          <w:rFonts w:cs="Times New Roman"/>
          <w:szCs w:val="26"/>
        </w:rPr>
        <w:t xml:space="preserve">, the Commission, </w:t>
      </w:r>
      <w:r w:rsidR="00B550EA" w:rsidRPr="00F1714B">
        <w:rPr>
          <w:rFonts w:cs="Times New Roman"/>
          <w:i/>
          <w:iCs/>
          <w:szCs w:val="26"/>
        </w:rPr>
        <w:t>inter alia</w:t>
      </w:r>
      <w:r w:rsidR="00B550EA" w:rsidRPr="00F1714B">
        <w:rPr>
          <w:rFonts w:cs="Times New Roman"/>
          <w:szCs w:val="26"/>
        </w:rPr>
        <w:t xml:space="preserve">, </w:t>
      </w:r>
      <w:r w:rsidR="002E6F17" w:rsidRPr="00F1714B">
        <w:rPr>
          <w:rFonts w:cs="Times New Roman"/>
          <w:szCs w:val="26"/>
        </w:rPr>
        <w:t xml:space="preserve">proposed to </w:t>
      </w:r>
      <w:r w:rsidR="00B550EA" w:rsidRPr="00F1714B">
        <w:rPr>
          <w:rFonts w:cs="Times New Roman"/>
          <w:szCs w:val="26"/>
        </w:rPr>
        <w:t>replace</w:t>
      </w:r>
      <w:r w:rsidR="002E6F17" w:rsidRPr="00F1714B">
        <w:rPr>
          <w:rFonts w:cs="Times New Roman"/>
          <w:szCs w:val="26"/>
        </w:rPr>
        <w:t xml:space="preserve"> the </w:t>
      </w:r>
      <w:r w:rsidR="00FC3BF3" w:rsidRPr="00F1714B">
        <w:rPr>
          <w:rFonts w:cs="Times New Roman"/>
          <w:szCs w:val="26"/>
        </w:rPr>
        <w:t>current definition</w:t>
      </w:r>
      <w:r w:rsidR="00792409" w:rsidRPr="00F1714B">
        <w:rPr>
          <w:rFonts w:cs="Times New Roman"/>
          <w:szCs w:val="26"/>
        </w:rPr>
        <w:t xml:space="preserve">s </w:t>
      </w:r>
      <w:r w:rsidR="002E6F17" w:rsidRPr="00F1714B">
        <w:rPr>
          <w:rFonts w:cs="Times New Roman"/>
          <w:szCs w:val="26"/>
        </w:rPr>
        <w:t xml:space="preserve">within Section 53.57 </w:t>
      </w:r>
      <w:r w:rsidR="00792409" w:rsidRPr="00F1714B">
        <w:rPr>
          <w:rFonts w:cs="Times New Roman"/>
          <w:szCs w:val="26"/>
        </w:rPr>
        <w:t xml:space="preserve">so as to be consistent with the statutory terms set forth in the current version of Chapter 30 of the Code, 66 Pa.C.S. </w:t>
      </w:r>
      <w:r w:rsidR="001D1D63" w:rsidRPr="00F1714B">
        <w:rPr>
          <w:rFonts w:cs="Times New Roman"/>
          <w:szCs w:val="26"/>
        </w:rPr>
        <w:t>§§ 3011</w:t>
      </w:r>
      <w:r w:rsidR="001026F2" w:rsidRPr="00F1714B">
        <w:rPr>
          <w:rFonts w:cs="Times New Roman"/>
          <w:szCs w:val="26"/>
        </w:rPr>
        <w:t>—</w:t>
      </w:r>
      <w:r w:rsidR="001D1D63" w:rsidRPr="00F1714B">
        <w:rPr>
          <w:rFonts w:cs="Times New Roman"/>
          <w:szCs w:val="26"/>
        </w:rPr>
        <w:t xml:space="preserve">3019.  </w:t>
      </w:r>
    </w:p>
    <w:p w14:paraId="2DCA5A23" w14:textId="46F0AC35" w:rsidR="002148FD" w:rsidRPr="00F1714B" w:rsidRDefault="002148FD" w:rsidP="005A65C6">
      <w:pPr>
        <w:ind w:firstLine="720"/>
        <w:rPr>
          <w:rFonts w:cs="Times New Roman"/>
          <w:szCs w:val="26"/>
        </w:rPr>
      </w:pPr>
    </w:p>
    <w:p w14:paraId="1A0B4FA3" w14:textId="629AF5AE" w:rsidR="002148FD" w:rsidRPr="00F1714B" w:rsidRDefault="002148FD" w:rsidP="005A65C6">
      <w:pPr>
        <w:ind w:firstLine="720"/>
        <w:rPr>
          <w:rFonts w:cs="Times New Roman"/>
          <w:b/>
          <w:bCs/>
          <w:szCs w:val="26"/>
        </w:rPr>
      </w:pPr>
      <w:r w:rsidRPr="00F1714B">
        <w:rPr>
          <w:rFonts w:cs="Times New Roman"/>
          <w:szCs w:val="26"/>
        </w:rPr>
        <w:tab/>
      </w:r>
      <w:r w:rsidRPr="00F1714B">
        <w:rPr>
          <w:rFonts w:cs="Times New Roman"/>
          <w:b/>
          <w:bCs/>
          <w:szCs w:val="26"/>
        </w:rPr>
        <w:t>1.</w:t>
      </w:r>
      <w:r w:rsidRPr="00F1714B">
        <w:rPr>
          <w:rFonts w:cs="Times New Roman"/>
          <w:b/>
          <w:bCs/>
          <w:szCs w:val="26"/>
        </w:rPr>
        <w:tab/>
        <w:t>Comm</w:t>
      </w:r>
      <w:r w:rsidR="005D65EB" w:rsidRPr="00F1714B">
        <w:rPr>
          <w:rFonts w:cs="Times New Roman"/>
          <w:b/>
          <w:bCs/>
          <w:szCs w:val="26"/>
        </w:rPr>
        <w:t>ents</w:t>
      </w:r>
      <w:r w:rsidR="0037691B" w:rsidRPr="00F1714B">
        <w:rPr>
          <w:rFonts w:cs="Times New Roman"/>
          <w:b/>
          <w:bCs/>
          <w:szCs w:val="26"/>
        </w:rPr>
        <w:t xml:space="preserve"> and Replies</w:t>
      </w:r>
    </w:p>
    <w:p w14:paraId="648A0234" w14:textId="1CF46680" w:rsidR="00F92818" w:rsidRPr="00F1714B" w:rsidRDefault="00F92818" w:rsidP="00FB3B13">
      <w:pPr>
        <w:ind w:firstLine="720"/>
        <w:rPr>
          <w:rFonts w:cs="Times New Roman"/>
          <w:szCs w:val="26"/>
        </w:rPr>
      </w:pPr>
      <w:r w:rsidRPr="00F1714B">
        <w:rPr>
          <w:rFonts w:cs="Times New Roman"/>
          <w:szCs w:val="26"/>
        </w:rPr>
        <w:t>IRRC recommends that the Commission “should adopt a definition for the term ‘</w:t>
      </w:r>
      <w:r w:rsidRPr="00F1714B">
        <w:rPr>
          <w:rFonts w:cs="Times New Roman"/>
          <w:i/>
          <w:szCs w:val="26"/>
        </w:rPr>
        <w:t>joint or bundled service package’</w:t>
      </w:r>
      <w:r w:rsidRPr="00F1714B">
        <w:rPr>
          <w:rFonts w:cs="Times New Roman"/>
          <w:szCs w:val="26"/>
        </w:rPr>
        <w:t xml:space="preserve"> that is consistent with ‘</w:t>
      </w:r>
      <w:r w:rsidRPr="00F1714B">
        <w:rPr>
          <w:rFonts w:cs="Times New Roman"/>
          <w:i/>
          <w:szCs w:val="26"/>
        </w:rPr>
        <w:t>bundled service package’</w:t>
      </w:r>
      <w:r w:rsidRPr="00F1714B">
        <w:rPr>
          <w:rFonts w:cs="Times New Roman"/>
          <w:szCs w:val="26"/>
        </w:rPr>
        <w:t xml:space="preserve"> contained in § 64.2 (relating to Definitions).” </w:t>
      </w:r>
      <w:r w:rsidR="001026F2" w:rsidRPr="00F1714B">
        <w:rPr>
          <w:rFonts w:cs="Times New Roman"/>
          <w:szCs w:val="26"/>
        </w:rPr>
        <w:t xml:space="preserve"> </w:t>
      </w:r>
      <w:r w:rsidRPr="00F1714B">
        <w:rPr>
          <w:rFonts w:cs="Times New Roman"/>
          <w:szCs w:val="26"/>
        </w:rPr>
        <w:t>IRRC Comments at 4.</w:t>
      </w:r>
    </w:p>
    <w:p w14:paraId="31040B30" w14:textId="77777777" w:rsidR="00F92818" w:rsidRPr="00F1714B" w:rsidRDefault="00F92818" w:rsidP="00FB3B13">
      <w:pPr>
        <w:ind w:firstLine="720"/>
        <w:rPr>
          <w:rFonts w:cs="Times New Roman"/>
          <w:szCs w:val="26"/>
        </w:rPr>
      </w:pPr>
    </w:p>
    <w:p w14:paraId="2D10F058" w14:textId="5AEBF229" w:rsidR="0026376D" w:rsidRPr="00F1714B" w:rsidRDefault="002459B7" w:rsidP="00FB3B13">
      <w:pPr>
        <w:ind w:firstLine="720"/>
        <w:rPr>
          <w:rFonts w:cs="Times New Roman"/>
          <w:szCs w:val="26"/>
        </w:rPr>
      </w:pPr>
      <w:r w:rsidRPr="00F1714B">
        <w:rPr>
          <w:rFonts w:cs="Times New Roman"/>
          <w:szCs w:val="26"/>
        </w:rPr>
        <w:t xml:space="preserve">TCC/CCL note that Chapters 53 and 64 of the Commission’s rules use different terms to describe “service offerings that contain multiple services at a single price” and </w:t>
      </w:r>
      <w:r w:rsidR="002E6F17" w:rsidRPr="00F1714B">
        <w:rPr>
          <w:rFonts w:cs="Times New Roman"/>
          <w:szCs w:val="26"/>
        </w:rPr>
        <w:t xml:space="preserve">recommends </w:t>
      </w:r>
      <w:r w:rsidRPr="00F1714B">
        <w:rPr>
          <w:rFonts w:cs="Times New Roman"/>
          <w:szCs w:val="26"/>
        </w:rPr>
        <w:t>that the Commission adopt its proposed single definition</w:t>
      </w:r>
      <w:r w:rsidR="001E74FE" w:rsidRPr="00F1714B">
        <w:rPr>
          <w:rFonts w:cs="Times New Roman"/>
          <w:szCs w:val="26"/>
        </w:rPr>
        <w:t xml:space="preserve"> </w:t>
      </w:r>
      <w:r w:rsidR="00E14070" w:rsidRPr="00F1714B">
        <w:rPr>
          <w:rFonts w:cs="Times New Roman"/>
          <w:szCs w:val="26"/>
        </w:rPr>
        <w:t xml:space="preserve">that has been </w:t>
      </w:r>
      <w:r w:rsidRPr="00F1714B">
        <w:rPr>
          <w:rFonts w:cs="Times New Roman"/>
          <w:szCs w:val="26"/>
        </w:rPr>
        <w:t>modified to include references to a “product guide or similar document” as well as services being provided by an affiliate</w:t>
      </w:r>
      <w:r w:rsidR="002E6F17" w:rsidRPr="00F1714B">
        <w:rPr>
          <w:rFonts w:cs="Times New Roman"/>
          <w:szCs w:val="26"/>
        </w:rPr>
        <w:t xml:space="preserve"> and incorporate </w:t>
      </w:r>
      <w:r w:rsidR="001C12F1" w:rsidRPr="00F1714B">
        <w:rPr>
          <w:rFonts w:cs="Times New Roman"/>
          <w:szCs w:val="26"/>
        </w:rPr>
        <w:t xml:space="preserve">this </w:t>
      </w:r>
      <w:r w:rsidR="00FB3B13" w:rsidRPr="00F1714B">
        <w:rPr>
          <w:rFonts w:cs="Times New Roman"/>
          <w:szCs w:val="26"/>
        </w:rPr>
        <w:t xml:space="preserve">proposed definition </w:t>
      </w:r>
      <w:r w:rsidR="002E6F17" w:rsidRPr="00F1714B">
        <w:rPr>
          <w:rFonts w:cs="Times New Roman"/>
          <w:szCs w:val="26"/>
        </w:rPr>
        <w:t>within Section 53.57</w:t>
      </w:r>
      <w:r w:rsidRPr="00F1714B">
        <w:rPr>
          <w:rFonts w:cs="Times New Roman"/>
          <w:szCs w:val="26"/>
        </w:rPr>
        <w:t xml:space="preserve">. </w:t>
      </w:r>
      <w:r w:rsidR="0023381D" w:rsidRPr="00F1714B">
        <w:rPr>
          <w:rFonts w:cs="Times New Roman"/>
          <w:szCs w:val="26"/>
        </w:rPr>
        <w:t xml:space="preserve"> </w:t>
      </w:r>
      <w:r w:rsidRPr="00F1714B">
        <w:rPr>
          <w:rFonts w:cs="Times New Roman"/>
          <w:szCs w:val="26"/>
        </w:rPr>
        <w:t xml:space="preserve">TCC/CCL Comments at 5-6. </w:t>
      </w:r>
    </w:p>
    <w:p w14:paraId="1F0DF6AE" w14:textId="77777777" w:rsidR="002A3317" w:rsidRPr="00F1714B" w:rsidRDefault="002A3317" w:rsidP="00FB3B13">
      <w:pPr>
        <w:ind w:firstLine="720"/>
        <w:rPr>
          <w:rFonts w:cs="Times New Roman"/>
          <w:szCs w:val="26"/>
        </w:rPr>
      </w:pPr>
    </w:p>
    <w:p w14:paraId="30E84CE3" w14:textId="62BE2AE2" w:rsidR="001A3B10" w:rsidRPr="00F1714B" w:rsidRDefault="002A3317" w:rsidP="002E6F17">
      <w:pPr>
        <w:ind w:firstLine="720"/>
        <w:rPr>
          <w:rFonts w:cs="Times New Roman"/>
          <w:szCs w:val="26"/>
        </w:rPr>
      </w:pPr>
      <w:r w:rsidRPr="00F1714B">
        <w:rPr>
          <w:rFonts w:cs="Times New Roman"/>
          <w:szCs w:val="26"/>
        </w:rPr>
        <w:t xml:space="preserve">Verizon offers proposals for a new and streamline Chapter 53 regulations in the Attachment to its Comments.  </w:t>
      </w:r>
      <w:bookmarkStart w:id="13" w:name="_Hlk81295027"/>
      <w:r w:rsidR="001A3B10" w:rsidRPr="00F1714B">
        <w:rPr>
          <w:rFonts w:cs="Times New Roman"/>
          <w:szCs w:val="26"/>
        </w:rPr>
        <w:t xml:space="preserve">With respect to </w:t>
      </w:r>
      <w:r w:rsidRPr="00F1714B">
        <w:rPr>
          <w:rFonts w:cs="Times New Roman"/>
          <w:szCs w:val="26"/>
        </w:rPr>
        <w:t xml:space="preserve">Verizon’s proposed definitional terms for </w:t>
      </w:r>
      <w:r w:rsidR="009001C6" w:rsidRPr="00F1714B">
        <w:rPr>
          <w:rFonts w:cs="Times New Roman"/>
          <w:szCs w:val="26"/>
        </w:rPr>
        <w:t>S</w:t>
      </w:r>
      <w:r w:rsidR="001A3B10" w:rsidRPr="00F1714B">
        <w:rPr>
          <w:rFonts w:cs="Times New Roman"/>
          <w:szCs w:val="26"/>
        </w:rPr>
        <w:t xml:space="preserve">ection 53.57, OCA concurs with Verizon’s proposed amended definitions of “competitive service,” “local exchange telecommunications company,” “noncompetitive service,” and “protected service” to indicate that the </w:t>
      </w:r>
      <w:r w:rsidR="00C53B88" w:rsidRPr="00F1714B">
        <w:rPr>
          <w:rFonts w:cs="Times New Roman"/>
          <w:szCs w:val="26"/>
        </w:rPr>
        <w:t>S</w:t>
      </w:r>
      <w:r w:rsidR="001A3B10" w:rsidRPr="00F1714B">
        <w:rPr>
          <w:rFonts w:cs="Times New Roman"/>
          <w:szCs w:val="26"/>
        </w:rPr>
        <w:t xml:space="preserve">ection 53.57 definition mirrors the </w:t>
      </w:r>
      <w:r w:rsidR="001A3B10" w:rsidRPr="00F1714B">
        <w:rPr>
          <w:rFonts w:cs="Times New Roman"/>
          <w:szCs w:val="26"/>
        </w:rPr>
        <w:lastRenderedPageBreak/>
        <w:t xml:space="preserve">relevant statutory Section 3012 definition. </w:t>
      </w:r>
      <w:r w:rsidR="00C53B88" w:rsidRPr="00F1714B">
        <w:rPr>
          <w:rFonts w:cs="Times New Roman"/>
          <w:szCs w:val="26"/>
        </w:rPr>
        <w:t xml:space="preserve"> </w:t>
      </w:r>
      <w:r w:rsidR="001A3B10" w:rsidRPr="00F1714B">
        <w:rPr>
          <w:rFonts w:cs="Times New Roman"/>
          <w:szCs w:val="26"/>
        </w:rPr>
        <w:t>OCA Reply Comments at 4.</w:t>
      </w:r>
      <w:r w:rsidR="00B20FCF" w:rsidRPr="00F1714B">
        <w:rPr>
          <w:rFonts w:cs="Times New Roman"/>
          <w:szCs w:val="26"/>
        </w:rPr>
        <w:t xml:space="preserve">  While OCA agrees with Verizon that subsection 53.57 should define the terms “competitive wire center” and “noncompetitive wire center,” it argues its definitions of those terms (as set forth in OCA Comments for subsections 63.1 and 64.2) – not Verizon’s – should be used. </w:t>
      </w:r>
      <w:r w:rsidR="0023381D" w:rsidRPr="00F1714B">
        <w:rPr>
          <w:rFonts w:cs="Times New Roman"/>
          <w:szCs w:val="26"/>
        </w:rPr>
        <w:t xml:space="preserve"> </w:t>
      </w:r>
      <w:r w:rsidR="00B20FCF" w:rsidRPr="00F1714B">
        <w:rPr>
          <w:rFonts w:cs="Times New Roman"/>
          <w:szCs w:val="26"/>
        </w:rPr>
        <w:t>OCA Reply Comments at 4-5.</w:t>
      </w:r>
    </w:p>
    <w:p w14:paraId="1270D072" w14:textId="77777777" w:rsidR="002F3789" w:rsidRPr="00F1714B" w:rsidRDefault="002F3789" w:rsidP="002E6F17">
      <w:pPr>
        <w:ind w:firstLine="720"/>
        <w:rPr>
          <w:rFonts w:cs="Times New Roman"/>
          <w:szCs w:val="26"/>
        </w:rPr>
      </w:pPr>
    </w:p>
    <w:p w14:paraId="191ECC3E" w14:textId="1C810203" w:rsidR="00B20FCF" w:rsidRPr="00F1714B" w:rsidRDefault="003964B8" w:rsidP="002E6F17">
      <w:pPr>
        <w:ind w:firstLine="720"/>
        <w:rPr>
          <w:rFonts w:cs="Times New Roman"/>
          <w:szCs w:val="26"/>
        </w:rPr>
      </w:pPr>
      <w:r w:rsidRPr="00F1714B">
        <w:rPr>
          <w:rFonts w:cs="Times New Roman"/>
          <w:szCs w:val="26"/>
        </w:rPr>
        <w:t xml:space="preserve">The </w:t>
      </w:r>
      <w:r w:rsidR="001A3B10" w:rsidRPr="00F1714B">
        <w:rPr>
          <w:rFonts w:cs="Times New Roman"/>
          <w:szCs w:val="26"/>
        </w:rPr>
        <w:t xml:space="preserve">OCA opposes Verizon’s proposal to eliminate the phrase “subject to the jurisdiction of the Commission and” from the Commission’s proposed definition of “competitive telecommunications carrier” because “[t]he jurisdictional element is appropriate.” </w:t>
      </w:r>
      <w:r w:rsidRPr="00F1714B">
        <w:rPr>
          <w:rFonts w:cs="Times New Roman"/>
          <w:szCs w:val="26"/>
        </w:rPr>
        <w:t xml:space="preserve"> </w:t>
      </w:r>
      <w:r w:rsidR="001A3B10" w:rsidRPr="00F1714B">
        <w:rPr>
          <w:rFonts w:cs="Times New Roman"/>
          <w:szCs w:val="26"/>
        </w:rPr>
        <w:t xml:space="preserve">OCA Reply Comments at 4.  </w:t>
      </w:r>
      <w:r w:rsidRPr="00F1714B">
        <w:rPr>
          <w:rFonts w:cs="Times New Roman"/>
          <w:szCs w:val="26"/>
        </w:rPr>
        <w:t xml:space="preserve">The </w:t>
      </w:r>
      <w:r w:rsidR="001A3B10" w:rsidRPr="00F1714B">
        <w:rPr>
          <w:rFonts w:cs="Times New Roman"/>
          <w:szCs w:val="26"/>
        </w:rPr>
        <w:t xml:space="preserve">OCA </w:t>
      </w:r>
      <w:r w:rsidR="00B20FCF" w:rsidRPr="00F1714B">
        <w:rPr>
          <w:rFonts w:cs="Times New Roman"/>
          <w:szCs w:val="26"/>
        </w:rPr>
        <w:t xml:space="preserve">also </w:t>
      </w:r>
      <w:r w:rsidR="001A3B10" w:rsidRPr="00F1714B">
        <w:rPr>
          <w:rFonts w:cs="Times New Roman"/>
          <w:szCs w:val="26"/>
        </w:rPr>
        <w:t>opposes Verizon’s proposed definitions of “dwelling” and “noncompetitive stand-alone basic residential service” insofar as “they are tied to Verizon’s proposal to sunset regulatory protections by end of 2023,” and notes that a rejection of Verizon’s “arbitrary phase out proposal” could well moot these definitions. OCA Reply Comments at 5</w:t>
      </w:r>
      <w:bookmarkEnd w:id="13"/>
      <w:r w:rsidR="001A3B10" w:rsidRPr="00F1714B">
        <w:rPr>
          <w:rFonts w:cs="Times New Roman"/>
          <w:szCs w:val="26"/>
        </w:rPr>
        <w:t>.</w:t>
      </w:r>
      <w:r w:rsidR="00B20FCF" w:rsidRPr="00F1714B">
        <w:rPr>
          <w:rFonts w:cs="Times New Roman"/>
          <w:szCs w:val="26"/>
        </w:rPr>
        <w:t xml:space="preserve">  </w:t>
      </w:r>
    </w:p>
    <w:p w14:paraId="5FD3004F" w14:textId="77777777" w:rsidR="00B20FCF" w:rsidRPr="00F1714B" w:rsidRDefault="00B20FCF" w:rsidP="00E55426">
      <w:pPr>
        <w:ind w:firstLine="720"/>
        <w:rPr>
          <w:rFonts w:cs="Times New Roman"/>
          <w:szCs w:val="26"/>
        </w:rPr>
      </w:pPr>
    </w:p>
    <w:p w14:paraId="2E09AEAA" w14:textId="2171C73F" w:rsidR="001A3B10" w:rsidRPr="00F1714B" w:rsidRDefault="00B20FCF" w:rsidP="00E55426">
      <w:pPr>
        <w:ind w:firstLine="720"/>
        <w:rPr>
          <w:rFonts w:cs="Times New Roman"/>
          <w:szCs w:val="26"/>
        </w:rPr>
      </w:pPr>
      <w:r w:rsidRPr="00F1714B">
        <w:rPr>
          <w:rFonts w:cs="Times New Roman"/>
          <w:szCs w:val="26"/>
        </w:rPr>
        <w:t xml:space="preserve">Lastly, </w:t>
      </w:r>
      <w:r w:rsidR="003964B8" w:rsidRPr="00F1714B">
        <w:rPr>
          <w:rFonts w:cs="Times New Roman"/>
          <w:szCs w:val="26"/>
        </w:rPr>
        <w:t xml:space="preserve">the </w:t>
      </w:r>
      <w:r w:rsidR="001A3B10" w:rsidRPr="00F1714B">
        <w:rPr>
          <w:rFonts w:cs="Times New Roman"/>
          <w:szCs w:val="26"/>
        </w:rPr>
        <w:t xml:space="preserve">OCA opposes Verizon’s proposed elimination of the term “Lifeline plan” and notes that “the obligation to offer Lifeline service – as defined by federal regulations, Commission orders designating an entity as an eligible telecommunications carrier (ETC), and relevant Chapter 30 Plan provisions – does not turn on the competitive or noncompetitive classification of the residential service or the geographic area where offered.” </w:t>
      </w:r>
      <w:r w:rsidR="003964B8" w:rsidRPr="00F1714B">
        <w:rPr>
          <w:rFonts w:cs="Times New Roman"/>
          <w:szCs w:val="26"/>
        </w:rPr>
        <w:t xml:space="preserve"> </w:t>
      </w:r>
      <w:r w:rsidR="001A3B10" w:rsidRPr="00F1714B">
        <w:rPr>
          <w:rFonts w:cs="Times New Roman"/>
          <w:szCs w:val="26"/>
        </w:rPr>
        <w:t xml:space="preserve">OCA Reply Comments at 6. </w:t>
      </w:r>
      <w:r w:rsidR="003964B8" w:rsidRPr="00F1714B">
        <w:rPr>
          <w:rFonts w:cs="Times New Roman"/>
          <w:szCs w:val="26"/>
        </w:rPr>
        <w:t xml:space="preserve"> The </w:t>
      </w:r>
      <w:r w:rsidR="001A3B10" w:rsidRPr="00F1714B">
        <w:rPr>
          <w:rFonts w:cs="Times New Roman"/>
          <w:szCs w:val="26"/>
        </w:rPr>
        <w:t xml:space="preserve">OCA urges the Commission to “provide affirmative guidance and regulation of more than just residential stand-alone basic service in a noncompetitive area.” </w:t>
      </w:r>
      <w:r w:rsidR="004603D5" w:rsidRPr="00F1714B">
        <w:rPr>
          <w:rFonts w:cs="Times New Roman"/>
          <w:szCs w:val="26"/>
        </w:rPr>
        <w:t xml:space="preserve"> </w:t>
      </w:r>
      <w:r w:rsidR="001A3B10" w:rsidRPr="00F1714B">
        <w:rPr>
          <w:rFonts w:cs="Times New Roman"/>
          <w:szCs w:val="26"/>
        </w:rPr>
        <w:t xml:space="preserve">OCA Reply Comments at 6. </w:t>
      </w:r>
    </w:p>
    <w:p w14:paraId="6A212E5A" w14:textId="77777777" w:rsidR="001A3B10" w:rsidRPr="00F1714B" w:rsidRDefault="001A3B10" w:rsidP="00E55426">
      <w:pPr>
        <w:ind w:firstLine="720"/>
        <w:rPr>
          <w:rFonts w:cs="Times New Roman"/>
          <w:szCs w:val="26"/>
        </w:rPr>
      </w:pPr>
    </w:p>
    <w:p w14:paraId="1249ACE1" w14:textId="51CBAA91" w:rsidR="00074678" w:rsidRPr="00F1714B" w:rsidRDefault="00C411C0" w:rsidP="005A65C6">
      <w:pPr>
        <w:keepNext/>
        <w:keepLines/>
        <w:ind w:left="720" w:firstLine="720"/>
        <w:rPr>
          <w:rFonts w:cs="Times New Roman"/>
          <w:b/>
          <w:bCs/>
          <w:szCs w:val="26"/>
        </w:rPr>
      </w:pPr>
      <w:r w:rsidRPr="00F1714B">
        <w:rPr>
          <w:rFonts w:cs="Times New Roman"/>
          <w:b/>
          <w:bCs/>
          <w:szCs w:val="26"/>
        </w:rPr>
        <w:t>2.</w:t>
      </w:r>
      <w:r w:rsidRPr="00F1714B">
        <w:rPr>
          <w:rFonts w:cs="Times New Roman"/>
          <w:b/>
          <w:bCs/>
          <w:szCs w:val="26"/>
        </w:rPr>
        <w:tab/>
      </w:r>
      <w:r w:rsidR="00D61EFA" w:rsidRPr="00F1714B">
        <w:rPr>
          <w:rFonts w:cs="Times New Roman"/>
          <w:b/>
          <w:bCs/>
          <w:szCs w:val="26"/>
        </w:rPr>
        <w:t>Discussion</w:t>
      </w:r>
      <w:r w:rsidR="000C73DD" w:rsidRPr="00F1714B">
        <w:rPr>
          <w:rFonts w:cs="Times New Roman"/>
          <w:b/>
          <w:bCs/>
          <w:szCs w:val="26"/>
        </w:rPr>
        <w:t xml:space="preserve"> and </w:t>
      </w:r>
      <w:r w:rsidR="002459B7" w:rsidRPr="00F1714B">
        <w:rPr>
          <w:rFonts w:cs="Times New Roman"/>
          <w:b/>
          <w:bCs/>
          <w:szCs w:val="26"/>
        </w:rPr>
        <w:t>Resolution</w:t>
      </w:r>
    </w:p>
    <w:p w14:paraId="0D5B4CED" w14:textId="4BC84242" w:rsidR="003964B8" w:rsidRPr="00F1714B" w:rsidRDefault="002F3789" w:rsidP="00E55426">
      <w:pPr>
        <w:rPr>
          <w:rFonts w:cs="Times New Roman"/>
          <w:szCs w:val="26"/>
        </w:rPr>
      </w:pPr>
      <w:r w:rsidRPr="00F1714B">
        <w:rPr>
          <w:rFonts w:cs="Times New Roman"/>
          <w:szCs w:val="26"/>
        </w:rPr>
        <w:tab/>
        <w:t xml:space="preserve">Taking into consideration </w:t>
      </w:r>
      <w:r w:rsidR="008E7A63" w:rsidRPr="00F1714B">
        <w:rPr>
          <w:rFonts w:cs="Times New Roman"/>
          <w:szCs w:val="26"/>
        </w:rPr>
        <w:t xml:space="preserve">the comments from </w:t>
      </w:r>
      <w:r w:rsidRPr="00F1714B">
        <w:rPr>
          <w:rFonts w:cs="Times New Roman"/>
          <w:szCs w:val="26"/>
        </w:rPr>
        <w:t xml:space="preserve">IRRC and </w:t>
      </w:r>
      <w:r w:rsidR="008E7A63" w:rsidRPr="00F1714B">
        <w:rPr>
          <w:rFonts w:cs="Times New Roman"/>
          <w:szCs w:val="26"/>
        </w:rPr>
        <w:t xml:space="preserve">TCC/CCL, we will ensure that the </w:t>
      </w:r>
      <w:r w:rsidR="000A6864" w:rsidRPr="00F1714B">
        <w:rPr>
          <w:rFonts w:cs="Times New Roman"/>
          <w:szCs w:val="26"/>
        </w:rPr>
        <w:t>definition of the regulatory term “joint or bundled package” is consistent in both this section and Section 64.2 in Chapter 64</w:t>
      </w:r>
      <w:r w:rsidR="006D7ABE" w:rsidRPr="00F1714B">
        <w:rPr>
          <w:rFonts w:cs="Times New Roman"/>
          <w:szCs w:val="26"/>
        </w:rPr>
        <w:t xml:space="preserve"> of our </w:t>
      </w:r>
      <w:r w:rsidR="002E6F17" w:rsidRPr="00F1714B">
        <w:rPr>
          <w:rFonts w:cs="Times New Roman"/>
          <w:szCs w:val="26"/>
        </w:rPr>
        <w:t xml:space="preserve">final-form </w:t>
      </w:r>
      <w:r w:rsidR="006D7ABE" w:rsidRPr="00F1714B">
        <w:rPr>
          <w:rFonts w:cs="Times New Roman"/>
          <w:szCs w:val="26"/>
        </w:rPr>
        <w:t>regulations</w:t>
      </w:r>
      <w:r w:rsidR="000A6864" w:rsidRPr="00F1714B">
        <w:rPr>
          <w:rFonts w:cs="Times New Roman"/>
          <w:szCs w:val="26"/>
        </w:rPr>
        <w:t>.</w:t>
      </w:r>
    </w:p>
    <w:p w14:paraId="48423835" w14:textId="2F731289" w:rsidR="00DD5FBF" w:rsidRPr="00F1714B" w:rsidRDefault="00DD5FBF" w:rsidP="00E55426">
      <w:pPr>
        <w:rPr>
          <w:rFonts w:cs="Times New Roman"/>
          <w:szCs w:val="26"/>
        </w:rPr>
      </w:pPr>
    </w:p>
    <w:p w14:paraId="50D27EF1" w14:textId="42092E65" w:rsidR="00DD5FBF" w:rsidRPr="00F1714B" w:rsidRDefault="00DD5FBF" w:rsidP="00E55426">
      <w:pPr>
        <w:rPr>
          <w:rFonts w:cs="Times New Roman"/>
          <w:szCs w:val="26"/>
        </w:rPr>
      </w:pPr>
      <w:r w:rsidRPr="00F1714B">
        <w:rPr>
          <w:rFonts w:cs="Times New Roman"/>
          <w:szCs w:val="26"/>
        </w:rPr>
        <w:lastRenderedPageBreak/>
        <w:tab/>
      </w:r>
      <w:r w:rsidR="00F51F57" w:rsidRPr="00F1714B">
        <w:rPr>
          <w:rFonts w:cs="Times New Roman"/>
          <w:szCs w:val="26"/>
        </w:rPr>
        <w:t xml:space="preserve">We acknowledge that a few of our proposed definitions </w:t>
      </w:r>
      <w:r w:rsidR="00DB4247" w:rsidRPr="00F1714B">
        <w:rPr>
          <w:rFonts w:cs="Times New Roman"/>
          <w:szCs w:val="26"/>
        </w:rPr>
        <w:t xml:space="preserve">in this rule </w:t>
      </w:r>
      <w:r w:rsidR="00F51F57" w:rsidRPr="00F1714B">
        <w:rPr>
          <w:rFonts w:cs="Times New Roman"/>
          <w:szCs w:val="26"/>
        </w:rPr>
        <w:t xml:space="preserve">are inconsistent with the </w:t>
      </w:r>
      <w:r w:rsidR="00DB4247" w:rsidRPr="00F1714B">
        <w:rPr>
          <w:rFonts w:cs="Times New Roman"/>
          <w:szCs w:val="26"/>
        </w:rPr>
        <w:t xml:space="preserve">statutory </w:t>
      </w:r>
      <w:r w:rsidR="00F51F57" w:rsidRPr="00F1714B">
        <w:rPr>
          <w:rFonts w:cs="Times New Roman"/>
          <w:szCs w:val="26"/>
        </w:rPr>
        <w:t xml:space="preserve">language of </w:t>
      </w:r>
      <w:r w:rsidR="00A25511" w:rsidRPr="00F1714B">
        <w:rPr>
          <w:rFonts w:cs="Times New Roman"/>
          <w:szCs w:val="26"/>
        </w:rPr>
        <w:t>Chapter 30 of the Code</w:t>
      </w:r>
      <w:r w:rsidR="00F51F57" w:rsidRPr="00F1714B">
        <w:rPr>
          <w:rFonts w:cs="Times New Roman"/>
          <w:szCs w:val="26"/>
        </w:rPr>
        <w:t xml:space="preserve">.  </w:t>
      </w:r>
      <w:r w:rsidR="00B6050C" w:rsidRPr="00F1714B">
        <w:rPr>
          <w:rFonts w:cs="Times New Roman"/>
          <w:szCs w:val="26"/>
        </w:rPr>
        <w:t xml:space="preserve">To ensure accuracy and consistency with Chapter 30, the Commission </w:t>
      </w:r>
      <w:r w:rsidR="00880C91" w:rsidRPr="00F1714B">
        <w:rPr>
          <w:rFonts w:cs="Times New Roman"/>
          <w:szCs w:val="26"/>
        </w:rPr>
        <w:t>agree</w:t>
      </w:r>
      <w:r w:rsidR="00B6050C" w:rsidRPr="00F1714B">
        <w:rPr>
          <w:rFonts w:cs="Times New Roman"/>
          <w:szCs w:val="26"/>
        </w:rPr>
        <w:t>s</w:t>
      </w:r>
      <w:r w:rsidR="00880C91" w:rsidRPr="00F1714B">
        <w:rPr>
          <w:rFonts w:cs="Times New Roman"/>
          <w:szCs w:val="26"/>
        </w:rPr>
        <w:t xml:space="preserve"> with </w:t>
      </w:r>
      <w:r w:rsidRPr="00F1714B">
        <w:rPr>
          <w:rFonts w:cs="Times New Roman"/>
          <w:szCs w:val="26"/>
        </w:rPr>
        <w:t xml:space="preserve">Verizon’s </w:t>
      </w:r>
      <w:r w:rsidR="00611989" w:rsidRPr="00F1714B">
        <w:rPr>
          <w:rFonts w:cs="Times New Roman"/>
          <w:szCs w:val="26"/>
        </w:rPr>
        <w:t xml:space="preserve">rationale that </w:t>
      </w:r>
      <w:r w:rsidR="00D2050B" w:rsidRPr="00F1714B">
        <w:rPr>
          <w:rFonts w:cs="Times New Roman"/>
          <w:szCs w:val="26"/>
        </w:rPr>
        <w:t xml:space="preserve">the </w:t>
      </w:r>
      <w:r w:rsidRPr="00F1714B">
        <w:rPr>
          <w:rFonts w:cs="Times New Roman"/>
          <w:szCs w:val="26"/>
        </w:rPr>
        <w:t xml:space="preserve">proposed definitions of “competitive service,” “local exchange telecommunications company,” “noncompetitive service,” and “protected service” </w:t>
      </w:r>
      <w:r w:rsidR="00CA2C45" w:rsidRPr="00F1714B">
        <w:rPr>
          <w:rFonts w:cs="Times New Roman"/>
          <w:szCs w:val="26"/>
        </w:rPr>
        <w:t xml:space="preserve">in Section 53.57 </w:t>
      </w:r>
      <w:r w:rsidR="00C53035" w:rsidRPr="00F1714B">
        <w:rPr>
          <w:rFonts w:cs="Times New Roman"/>
          <w:szCs w:val="26"/>
        </w:rPr>
        <w:t xml:space="preserve">should be </w:t>
      </w:r>
      <w:r w:rsidR="0052170D" w:rsidRPr="00F1714B">
        <w:rPr>
          <w:rFonts w:cs="Times New Roman"/>
          <w:szCs w:val="26"/>
        </w:rPr>
        <w:t xml:space="preserve">defined </w:t>
      </w:r>
      <w:r w:rsidR="00CA2C45" w:rsidRPr="00F1714B">
        <w:rPr>
          <w:rFonts w:cs="Times New Roman"/>
          <w:szCs w:val="26"/>
        </w:rPr>
        <w:t xml:space="preserve">in a manner that </w:t>
      </w:r>
      <w:r w:rsidRPr="00F1714B">
        <w:rPr>
          <w:rFonts w:cs="Times New Roman"/>
          <w:szCs w:val="26"/>
        </w:rPr>
        <w:t xml:space="preserve">mirrors the relevant statutory </w:t>
      </w:r>
      <w:r w:rsidR="00611989" w:rsidRPr="00F1714B">
        <w:rPr>
          <w:rFonts w:cs="Times New Roman"/>
          <w:szCs w:val="26"/>
        </w:rPr>
        <w:t xml:space="preserve">language in </w:t>
      </w:r>
      <w:r w:rsidRPr="00F1714B">
        <w:rPr>
          <w:rFonts w:cs="Times New Roman"/>
          <w:szCs w:val="26"/>
        </w:rPr>
        <w:t xml:space="preserve">Section 3012 </w:t>
      </w:r>
      <w:r w:rsidR="00611989" w:rsidRPr="00F1714B">
        <w:rPr>
          <w:rFonts w:cs="Times New Roman"/>
          <w:szCs w:val="26"/>
        </w:rPr>
        <w:t>of the Code</w:t>
      </w:r>
      <w:r w:rsidR="00F51F57" w:rsidRPr="00F1714B">
        <w:rPr>
          <w:rFonts w:cs="Times New Roman"/>
          <w:szCs w:val="26"/>
        </w:rPr>
        <w:t>, which explicitly defines the terms “competitive service,</w:t>
      </w:r>
      <w:r w:rsidR="008248EC" w:rsidRPr="00F1714B">
        <w:rPr>
          <w:rFonts w:cs="Times New Roman"/>
          <w:szCs w:val="26"/>
        </w:rPr>
        <w:t>”</w:t>
      </w:r>
      <w:r w:rsidR="00F51F57" w:rsidRPr="00F1714B">
        <w:rPr>
          <w:rFonts w:cs="Times New Roman"/>
          <w:szCs w:val="26"/>
        </w:rPr>
        <w:t xml:space="preserve"> “noncompetitive service” and other terms.</w:t>
      </w:r>
      <w:r w:rsidR="00F51F57" w:rsidRPr="00F1714B">
        <w:rPr>
          <w:rStyle w:val="FootnoteReference"/>
          <w:rFonts w:cs="Times New Roman"/>
          <w:szCs w:val="26"/>
        </w:rPr>
        <w:footnoteReference w:id="31"/>
      </w:r>
      <w:r w:rsidR="00F51F57" w:rsidRPr="00F1714B">
        <w:rPr>
          <w:rFonts w:cs="Times New Roman"/>
          <w:szCs w:val="26"/>
        </w:rPr>
        <w:t xml:space="preserve">  </w:t>
      </w:r>
      <w:r w:rsidR="00611989" w:rsidRPr="00F1714B">
        <w:rPr>
          <w:rFonts w:cs="Times New Roman"/>
          <w:szCs w:val="26"/>
        </w:rPr>
        <w:t xml:space="preserve">However, we reject </w:t>
      </w:r>
      <w:r w:rsidRPr="00F1714B">
        <w:rPr>
          <w:rFonts w:cs="Times New Roman"/>
          <w:szCs w:val="26"/>
        </w:rPr>
        <w:t>Verizon</w:t>
      </w:r>
      <w:r w:rsidR="00A945C2" w:rsidRPr="00F1714B">
        <w:rPr>
          <w:rFonts w:cs="Times New Roman"/>
          <w:szCs w:val="26"/>
        </w:rPr>
        <w:t xml:space="preserve">’s </w:t>
      </w:r>
      <w:r w:rsidR="00C05E9D" w:rsidRPr="00F1714B">
        <w:rPr>
          <w:rFonts w:cs="Times New Roman"/>
          <w:szCs w:val="26"/>
        </w:rPr>
        <w:t xml:space="preserve">suggested </w:t>
      </w:r>
      <w:r w:rsidR="00A945C2" w:rsidRPr="00F1714B">
        <w:rPr>
          <w:rFonts w:cs="Times New Roman"/>
          <w:szCs w:val="26"/>
        </w:rPr>
        <w:t xml:space="preserve">definitions </w:t>
      </w:r>
      <w:r w:rsidR="00C05E9D" w:rsidRPr="00F1714B">
        <w:rPr>
          <w:rFonts w:cs="Times New Roman"/>
          <w:szCs w:val="26"/>
        </w:rPr>
        <w:t xml:space="preserve">for </w:t>
      </w:r>
      <w:r w:rsidRPr="00F1714B">
        <w:rPr>
          <w:rFonts w:cs="Times New Roman"/>
          <w:szCs w:val="26"/>
        </w:rPr>
        <w:t xml:space="preserve">the terms “competitive wire center” and “noncompetitive wire center,” </w:t>
      </w:r>
      <w:r w:rsidR="00A945C2" w:rsidRPr="00F1714B">
        <w:rPr>
          <w:rFonts w:cs="Times New Roman"/>
          <w:szCs w:val="26"/>
        </w:rPr>
        <w:t xml:space="preserve">in favor of the OCA’s proposed </w:t>
      </w:r>
      <w:r w:rsidRPr="00F1714B">
        <w:rPr>
          <w:rFonts w:cs="Times New Roman"/>
          <w:szCs w:val="26"/>
        </w:rPr>
        <w:t>definitions of those terms</w:t>
      </w:r>
      <w:r w:rsidR="001114C3" w:rsidRPr="00F1714B">
        <w:rPr>
          <w:rFonts w:cs="Times New Roman"/>
          <w:szCs w:val="26"/>
        </w:rPr>
        <w:t xml:space="preserve"> in Section 53.57</w:t>
      </w:r>
      <w:r w:rsidRPr="00F1714B">
        <w:rPr>
          <w:rFonts w:cs="Times New Roman"/>
          <w:szCs w:val="26"/>
        </w:rPr>
        <w:t>.</w:t>
      </w:r>
      <w:r w:rsidR="00350992" w:rsidRPr="00F1714B">
        <w:rPr>
          <w:rFonts w:cs="Times New Roman"/>
          <w:szCs w:val="26"/>
        </w:rPr>
        <w:t xml:space="preserve">  We </w:t>
      </w:r>
      <w:r w:rsidR="002E6F17" w:rsidRPr="00F1714B">
        <w:rPr>
          <w:rFonts w:cs="Times New Roman"/>
          <w:szCs w:val="26"/>
        </w:rPr>
        <w:t xml:space="preserve">will </w:t>
      </w:r>
      <w:r w:rsidR="00350992" w:rsidRPr="00F1714B">
        <w:rPr>
          <w:rFonts w:cs="Times New Roman"/>
          <w:szCs w:val="26"/>
        </w:rPr>
        <w:t xml:space="preserve">adopt the OCA’s definitions </w:t>
      </w:r>
      <w:r w:rsidR="002E6F17" w:rsidRPr="00F1714B">
        <w:rPr>
          <w:rFonts w:cs="Times New Roman"/>
          <w:szCs w:val="26"/>
        </w:rPr>
        <w:t xml:space="preserve">in our final-form regulation </w:t>
      </w:r>
      <w:r w:rsidR="00350992" w:rsidRPr="00F1714B">
        <w:rPr>
          <w:rFonts w:cs="Times New Roman"/>
          <w:szCs w:val="26"/>
        </w:rPr>
        <w:t>as</w:t>
      </w:r>
      <w:r w:rsidR="00350992" w:rsidRPr="00F1714B">
        <w:rPr>
          <w:rFonts w:eastAsia="Times New Roman" w:cs="Times New Roman"/>
          <w:szCs w:val="26"/>
        </w:rPr>
        <w:t xml:space="preserve"> </w:t>
      </w:r>
      <w:r w:rsidR="002E6F17" w:rsidRPr="00F1714B">
        <w:rPr>
          <w:rFonts w:eastAsia="Times New Roman" w:cs="Times New Roman"/>
          <w:szCs w:val="26"/>
        </w:rPr>
        <w:t xml:space="preserve">the OCA’s definitions are </w:t>
      </w:r>
      <w:r w:rsidR="00350992" w:rsidRPr="00F1714B">
        <w:rPr>
          <w:rFonts w:eastAsia="Times New Roman" w:cs="Times New Roman"/>
          <w:szCs w:val="26"/>
        </w:rPr>
        <w:t>more inclusive than Verizon’s regarding the manner in which a retail service may become a competitive service under Section 3016 of the Code.</w:t>
      </w:r>
    </w:p>
    <w:p w14:paraId="365CD272" w14:textId="77777777" w:rsidR="00DD5FBF" w:rsidRPr="00F1714B" w:rsidRDefault="00DD5FBF" w:rsidP="00E55426">
      <w:pPr>
        <w:rPr>
          <w:rFonts w:cs="Times New Roman"/>
          <w:szCs w:val="26"/>
        </w:rPr>
      </w:pPr>
    </w:p>
    <w:p w14:paraId="6C9ADDF8" w14:textId="17237020" w:rsidR="00DD5FBF" w:rsidRPr="00F1714B" w:rsidRDefault="00A945C2" w:rsidP="005A65C6">
      <w:pPr>
        <w:ind w:firstLine="720"/>
        <w:rPr>
          <w:szCs w:val="26"/>
        </w:rPr>
      </w:pPr>
      <w:r w:rsidRPr="00F1714B">
        <w:rPr>
          <w:rFonts w:cs="Times New Roman"/>
          <w:szCs w:val="26"/>
        </w:rPr>
        <w:t xml:space="preserve">Lastly, </w:t>
      </w:r>
      <w:r w:rsidR="004A5331" w:rsidRPr="00F1714B">
        <w:rPr>
          <w:rFonts w:cs="Times New Roman"/>
          <w:szCs w:val="26"/>
        </w:rPr>
        <w:t xml:space="preserve">we reject </w:t>
      </w:r>
      <w:r w:rsidR="00DD5FBF" w:rsidRPr="00F1714B">
        <w:rPr>
          <w:rFonts w:cs="Times New Roman"/>
          <w:szCs w:val="26"/>
        </w:rPr>
        <w:t xml:space="preserve">Verizon’s proposal to eliminate the phrase “subject to the jurisdiction of the Commission and” from </w:t>
      </w:r>
      <w:r w:rsidR="004A5331" w:rsidRPr="00F1714B">
        <w:rPr>
          <w:rFonts w:cs="Times New Roman"/>
          <w:szCs w:val="26"/>
        </w:rPr>
        <w:t xml:space="preserve">our </w:t>
      </w:r>
      <w:r w:rsidR="00DD5FBF" w:rsidRPr="00F1714B">
        <w:rPr>
          <w:rFonts w:cs="Times New Roman"/>
          <w:szCs w:val="26"/>
        </w:rPr>
        <w:t xml:space="preserve">proposed definition of “competitive telecommunications carrier” because </w:t>
      </w:r>
      <w:r w:rsidR="004A5331" w:rsidRPr="00F1714B">
        <w:rPr>
          <w:rFonts w:cs="Times New Roman"/>
          <w:szCs w:val="26"/>
        </w:rPr>
        <w:t xml:space="preserve">as stated by </w:t>
      </w:r>
      <w:r w:rsidR="00AA055D" w:rsidRPr="00F1714B">
        <w:rPr>
          <w:rFonts w:cs="Times New Roman"/>
          <w:szCs w:val="26"/>
        </w:rPr>
        <w:t>the OCA, t</w:t>
      </w:r>
      <w:r w:rsidR="00DD5FBF" w:rsidRPr="00F1714B">
        <w:rPr>
          <w:rFonts w:cs="Times New Roman"/>
          <w:szCs w:val="26"/>
        </w:rPr>
        <w:t>he jurisdictional element is appropriate</w:t>
      </w:r>
      <w:r w:rsidR="00AA055D" w:rsidRPr="00F1714B">
        <w:rPr>
          <w:rFonts w:cs="Times New Roman"/>
          <w:szCs w:val="26"/>
        </w:rPr>
        <w:t xml:space="preserve"> and the reference to our jurisdiction over such entities should remain within the definition in Section 53.57</w:t>
      </w:r>
      <w:r w:rsidR="00DD5FBF" w:rsidRPr="00F1714B">
        <w:rPr>
          <w:rFonts w:cs="Times New Roman"/>
          <w:szCs w:val="26"/>
        </w:rPr>
        <w:t xml:space="preserve">.  </w:t>
      </w:r>
      <w:r w:rsidR="00AA055D" w:rsidRPr="00F1714B">
        <w:rPr>
          <w:rFonts w:cs="Times New Roman"/>
          <w:szCs w:val="26"/>
        </w:rPr>
        <w:t xml:space="preserve">We reject all </w:t>
      </w:r>
      <w:r w:rsidR="003D0438" w:rsidRPr="00F1714B">
        <w:rPr>
          <w:rFonts w:cs="Times New Roman"/>
          <w:szCs w:val="26"/>
        </w:rPr>
        <w:t xml:space="preserve">the </w:t>
      </w:r>
      <w:r w:rsidR="00AA055D" w:rsidRPr="00F1714B">
        <w:rPr>
          <w:rFonts w:cs="Times New Roman"/>
          <w:szCs w:val="26"/>
        </w:rPr>
        <w:t xml:space="preserve">other </w:t>
      </w:r>
      <w:r w:rsidR="003D0438" w:rsidRPr="00F1714B">
        <w:rPr>
          <w:rFonts w:cs="Times New Roman"/>
          <w:szCs w:val="26"/>
        </w:rPr>
        <w:t xml:space="preserve">proposed definitions </w:t>
      </w:r>
      <w:r w:rsidR="00331F70" w:rsidRPr="00F1714B">
        <w:rPr>
          <w:rFonts w:cs="Times New Roman"/>
          <w:szCs w:val="26"/>
        </w:rPr>
        <w:t>that Verizon has submitted in its comments.</w:t>
      </w:r>
      <w:r w:rsidR="00D2050B" w:rsidRPr="00F1714B">
        <w:rPr>
          <w:rFonts w:cs="Times New Roman"/>
          <w:szCs w:val="26"/>
        </w:rPr>
        <w:t xml:space="preserve">  </w:t>
      </w:r>
      <w:r w:rsidR="000D6A05" w:rsidRPr="00F1714B">
        <w:rPr>
          <w:rFonts w:cs="Times New Roman"/>
          <w:szCs w:val="26"/>
        </w:rPr>
        <w:t xml:space="preserve">Accordingly, </w:t>
      </w:r>
      <w:r w:rsidR="00A10588" w:rsidRPr="00F1714B">
        <w:rPr>
          <w:rFonts w:cs="Times New Roman"/>
          <w:szCs w:val="26"/>
        </w:rPr>
        <w:t>we will incorporate the</w:t>
      </w:r>
      <w:r w:rsidR="00B7185E" w:rsidRPr="00F1714B">
        <w:rPr>
          <w:rFonts w:cs="Times New Roman"/>
          <w:szCs w:val="26"/>
        </w:rPr>
        <w:t xml:space="preserve"> foregoing approved</w:t>
      </w:r>
      <w:r w:rsidR="001B2535" w:rsidRPr="00F1714B">
        <w:rPr>
          <w:rFonts w:cs="Times New Roman"/>
          <w:szCs w:val="26"/>
        </w:rPr>
        <w:t xml:space="preserve"> </w:t>
      </w:r>
      <w:r w:rsidR="00A10588" w:rsidRPr="00F1714B">
        <w:rPr>
          <w:rFonts w:cs="Times New Roman"/>
          <w:szCs w:val="26"/>
        </w:rPr>
        <w:t xml:space="preserve">revisions to our proposed Section </w:t>
      </w:r>
      <w:r w:rsidR="00F57830" w:rsidRPr="00F1714B">
        <w:rPr>
          <w:rFonts w:cs="Times New Roman"/>
          <w:szCs w:val="26"/>
        </w:rPr>
        <w:t>53.57</w:t>
      </w:r>
      <w:r w:rsidR="00A10588" w:rsidRPr="00F1714B">
        <w:rPr>
          <w:rFonts w:cs="Times New Roman"/>
          <w:szCs w:val="26"/>
        </w:rPr>
        <w:t xml:space="preserve"> in </w:t>
      </w:r>
      <w:r w:rsidR="000D6A05" w:rsidRPr="00F1714B">
        <w:rPr>
          <w:rFonts w:cs="Times New Roman"/>
          <w:szCs w:val="26"/>
        </w:rPr>
        <w:t>t</w:t>
      </w:r>
      <w:r w:rsidR="000D6A05" w:rsidRPr="00F1714B">
        <w:rPr>
          <w:szCs w:val="26"/>
        </w:rPr>
        <w:t>he final-form regulation</w:t>
      </w:r>
      <w:r w:rsidR="009B79C6" w:rsidRPr="00F1714B">
        <w:rPr>
          <w:szCs w:val="26"/>
        </w:rPr>
        <w:t>.</w:t>
      </w:r>
    </w:p>
    <w:p w14:paraId="41F94876" w14:textId="135DABEA" w:rsidR="00714CE9" w:rsidRPr="00F1714B" w:rsidRDefault="00714CE9" w:rsidP="005A65C6">
      <w:pPr>
        <w:ind w:firstLine="720"/>
        <w:rPr>
          <w:szCs w:val="26"/>
        </w:rPr>
      </w:pPr>
    </w:p>
    <w:p w14:paraId="0B98E9B5" w14:textId="32279AC4" w:rsidR="00714CE9" w:rsidRPr="00F1714B" w:rsidRDefault="00714CE9" w:rsidP="00E55426">
      <w:pPr>
        <w:rPr>
          <w:rFonts w:cs="Times New Roman"/>
          <w:szCs w:val="26"/>
        </w:rPr>
      </w:pPr>
      <w:r w:rsidRPr="00F1714B">
        <w:rPr>
          <w:szCs w:val="26"/>
        </w:rPr>
        <w:tab/>
      </w:r>
      <w:r w:rsidR="00496C61" w:rsidRPr="00F1714B">
        <w:rPr>
          <w:szCs w:val="26"/>
        </w:rPr>
        <w:t xml:space="preserve">We also take steps to clarify the definition of “enterprise and large business </w:t>
      </w:r>
      <w:r w:rsidR="00E50907" w:rsidRPr="00F1714B">
        <w:rPr>
          <w:szCs w:val="26"/>
        </w:rPr>
        <w:t>customer</w:t>
      </w:r>
      <w:r w:rsidR="00496C61" w:rsidRPr="00F1714B">
        <w:rPr>
          <w:szCs w:val="26"/>
        </w:rPr>
        <w:t>,” as currently proposed because it is somewhat ambiguous.  As currently proposed</w:t>
      </w:r>
      <w:r w:rsidR="00426C94" w:rsidRPr="00F1714B">
        <w:rPr>
          <w:szCs w:val="26"/>
        </w:rPr>
        <w:t xml:space="preserve">, the definition </w:t>
      </w:r>
      <w:r w:rsidR="00496C61" w:rsidRPr="00F1714B">
        <w:rPr>
          <w:szCs w:val="26"/>
        </w:rPr>
        <w:t xml:space="preserve">appears to limit its applicability to legal entities “organized by charter, agreement or other similar instrument” but then includes “schools, government agencies and correctional institutions,” which are entities typically created by statute, not </w:t>
      </w:r>
      <w:r w:rsidR="00496C61" w:rsidRPr="00F1714B">
        <w:rPr>
          <w:szCs w:val="26"/>
        </w:rPr>
        <w:lastRenderedPageBreak/>
        <w:t>charters or agreements.</w:t>
      </w:r>
      <w:r w:rsidR="00426C94" w:rsidRPr="00F1714B">
        <w:rPr>
          <w:szCs w:val="26"/>
        </w:rPr>
        <w:t xml:space="preserve">  Since it was our intent that the </w:t>
      </w:r>
      <w:r w:rsidR="00496C61" w:rsidRPr="00F1714B">
        <w:rPr>
          <w:szCs w:val="26"/>
        </w:rPr>
        <w:t xml:space="preserve">definition </w:t>
      </w:r>
      <w:r w:rsidR="00426C94" w:rsidRPr="00F1714B">
        <w:rPr>
          <w:szCs w:val="26"/>
        </w:rPr>
        <w:t>of “enterprise and la</w:t>
      </w:r>
      <w:r w:rsidR="00E50907" w:rsidRPr="00F1714B">
        <w:rPr>
          <w:szCs w:val="26"/>
        </w:rPr>
        <w:t xml:space="preserve">rge business customer” encompass both </w:t>
      </w:r>
      <w:r w:rsidR="00496C61" w:rsidRPr="00F1714B">
        <w:rPr>
          <w:szCs w:val="26"/>
        </w:rPr>
        <w:t xml:space="preserve">private business and public institutions, we </w:t>
      </w:r>
      <w:r w:rsidR="00EA5E28" w:rsidRPr="00F1714B">
        <w:rPr>
          <w:szCs w:val="26"/>
        </w:rPr>
        <w:t xml:space="preserve">will amend </w:t>
      </w:r>
      <w:r w:rsidR="00496C61" w:rsidRPr="00F1714B">
        <w:rPr>
          <w:szCs w:val="26"/>
        </w:rPr>
        <w:t xml:space="preserve">the definition to provide clear delineation between public institutions and private business. </w:t>
      </w:r>
      <w:r w:rsidR="00EA5E28" w:rsidRPr="00F1714B">
        <w:rPr>
          <w:szCs w:val="26"/>
        </w:rPr>
        <w:t xml:space="preserve"> </w:t>
      </w:r>
      <w:r w:rsidR="00496C61" w:rsidRPr="00F1714B">
        <w:rPr>
          <w:szCs w:val="26"/>
        </w:rPr>
        <w:t xml:space="preserve">Accordingly, </w:t>
      </w:r>
      <w:r w:rsidR="00EB036B" w:rsidRPr="00F1714B">
        <w:rPr>
          <w:szCs w:val="26"/>
        </w:rPr>
        <w:t xml:space="preserve">in the final-form regulation, </w:t>
      </w:r>
      <w:r w:rsidR="00496C61" w:rsidRPr="00F1714B">
        <w:rPr>
          <w:szCs w:val="26"/>
        </w:rPr>
        <w:t>w</w:t>
      </w:r>
      <w:r w:rsidRPr="00F1714B">
        <w:rPr>
          <w:szCs w:val="26"/>
        </w:rPr>
        <w:t xml:space="preserve">e </w:t>
      </w:r>
      <w:r w:rsidR="00EB036B" w:rsidRPr="00F1714B">
        <w:rPr>
          <w:szCs w:val="26"/>
        </w:rPr>
        <w:t xml:space="preserve">will </w:t>
      </w:r>
      <w:r w:rsidRPr="00F1714B">
        <w:rPr>
          <w:szCs w:val="26"/>
        </w:rPr>
        <w:t xml:space="preserve">also amend </w:t>
      </w:r>
      <w:r w:rsidR="002D0DB7" w:rsidRPr="00F1714B">
        <w:rPr>
          <w:szCs w:val="26"/>
        </w:rPr>
        <w:t xml:space="preserve">our </w:t>
      </w:r>
      <w:r w:rsidRPr="00F1714B">
        <w:rPr>
          <w:szCs w:val="26"/>
        </w:rPr>
        <w:t xml:space="preserve">proposed definition of “enterprise and large business customer” so that </w:t>
      </w:r>
      <w:r w:rsidR="002D0DB7" w:rsidRPr="00F1714B">
        <w:rPr>
          <w:szCs w:val="26"/>
        </w:rPr>
        <w:t xml:space="preserve">the regulatory definition </w:t>
      </w:r>
      <w:r w:rsidRPr="00F1714B">
        <w:rPr>
          <w:szCs w:val="26"/>
        </w:rPr>
        <w:t>includes both private business and public institutions.</w:t>
      </w:r>
    </w:p>
    <w:p w14:paraId="7227B212" w14:textId="77E73E18" w:rsidR="00C411C0" w:rsidRPr="00F1714B" w:rsidRDefault="00C411C0" w:rsidP="00E55426">
      <w:pPr>
        <w:ind w:firstLine="720"/>
        <w:rPr>
          <w:rFonts w:cs="Times New Roman"/>
          <w:b/>
          <w:bCs/>
          <w:szCs w:val="26"/>
        </w:rPr>
      </w:pPr>
    </w:p>
    <w:p w14:paraId="7D460BBC" w14:textId="141B6F27" w:rsidR="00C411C0" w:rsidRPr="00F1714B" w:rsidRDefault="00C411C0" w:rsidP="005A65C6">
      <w:pPr>
        <w:keepNext/>
        <w:keepLines/>
        <w:ind w:firstLine="720"/>
        <w:rPr>
          <w:rFonts w:cs="Times New Roman"/>
          <w:b/>
          <w:bCs/>
          <w:szCs w:val="26"/>
        </w:rPr>
      </w:pPr>
      <w:r w:rsidRPr="00F1714B">
        <w:rPr>
          <w:rFonts w:cs="Times New Roman"/>
          <w:b/>
          <w:bCs/>
          <w:szCs w:val="26"/>
        </w:rPr>
        <w:t>B.</w:t>
      </w:r>
      <w:r w:rsidRPr="00F1714B">
        <w:rPr>
          <w:rFonts w:cs="Times New Roman"/>
          <w:b/>
          <w:bCs/>
          <w:szCs w:val="26"/>
        </w:rPr>
        <w:tab/>
      </w:r>
      <w:r w:rsidR="0092378C" w:rsidRPr="00F1714B">
        <w:rPr>
          <w:rFonts w:cs="Times New Roman"/>
          <w:b/>
          <w:bCs/>
          <w:szCs w:val="26"/>
        </w:rPr>
        <w:t>52 Pa. Code § 53.58</w:t>
      </w:r>
    </w:p>
    <w:p w14:paraId="6F3A4E1C" w14:textId="5BBD6E1D" w:rsidR="000353F8" w:rsidRPr="00F1714B" w:rsidRDefault="00147D00" w:rsidP="005A65C6">
      <w:pPr>
        <w:keepNext/>
        <w:keepLines/>
        <w:ind w:firstLine="720"/>
        <w:rPr>
          <w:rFonts w:cs="Times New Roman"/>
          <w:szCs w:val="26"/>
        </w:rPr>
      </w:pPr>
      <w:r w:rsidRPr="00F1714B">
        <w:rPr>
          <w:rFonts w:cs="Times New Roman"/>
          <w:szCs w:val="26"/>
        </w:rPr>
        <w:t>In the A</w:t>
      </w:r>
      <w:r w:rsidR="0069510B" w:rsidRPr="00F1714B">
        <w:rPr>
          <w:rFonts w:cs="Times New Roman"/>
          <w:szCs w:val="26"/>
        </w:rPr>
        <w:t xml:space="preserve">nnex to the </w:t>
      </w:r>
      <w:r w:rsidR="0069510B" w:rsidRPr="00F1714B">
        <w:rPr>
          <w:rFonts w:cs="Times New Roman"/>
          <w:i/>
          <w:iCs/>
          <w:szCs w:val="26"/>
        </w:rPr>
        <w:t>NPRM Order</w:t>
      </w:r>
      <w:r w:rsidR="0069510B" w:rsidRPr="00F1714B">
        <w:rPr>
          <w:rFonts w:cs="Times New Roman"/>
          <w:szCs w:val="26"/>
        </w:rPr>
        <w:t>, the Commission propose</w:t>
      </w:r>
      <w:r w:rsidR="00A27BF2" w:rsidRPr="00F1714B">
        <w:rPr>
          <w:rFonts w:cs="Times New Roman"/>
          <w:szCs w:val="26"/>
        </w:rPr>
        <w:t>d to clarif</w:t>
      </w:r>
      <w:r w:rsidR="00112383" w:rsidRPr="00F1714B">
        <w:rPr>
          <w:rFonts w:cs="Times New Roman"/>
          <w:szCs w:val="26"/>
        </w:rPr>
        <w:t xml:space="preserve">y references to the term </w:t>
      </w:r>
      <w:r w:rsidR="0069510B" w:rsidRPr="00F1714B">
        <w:rPr>
          <w:rFonts w:cs="Times New Roman"/>
          <w:szCs w:val="26"/>
        </w:rPr>
        <w:t xml:space="preserve">“product guide” </w:t>
      </w:r>
      <w:r w:rsidR="00112383" w:rsidRPr="00F1714B">
        <w:rPr>
          <w:rFonts w:cs="Times New Roman"/>
          <w:szCs w:val="26"/>
        </w:rPr>
        <w:t xml:space="preserve">where </w:t>
      </w:r>
      <w:r w:rsidR="0069510B" w:rsidRPr="00F1714B">
        <w:rPr>
          <w:rFonts w:cs="Times New Roman"/>
          <w:szCs w:val="26"/>
        </w:rPr>
        <w:t xml:space="preserve">the reference </w:t>
      </w:r>
      <w:r w:rsidR="00112383" w:rsidRPr="00F1714B">
        <w:rPr>
          <w:rFonts w:cs="Times New Roman"/>
          <w:szCs w:val="26"/>
        </w:rPr>
        <w:t>remain</w:t>
      </w:r>
      <w:r w:rsidR="00ED4070" w:rsidRPr="00F1714B">
        <w:rPr>
          <w:rFonts w:cs="Times New Roman"/>
          <w:szCs w:val="26"/>
        </w:rPr>
        <w:t>ed</w:t>
      </w:r>
      <w:r w:rsidR="00112383" w:rsidRPr="00F1714B">
        <w:rPr>
          <w:rFonts w:cs="Times New Roman"/>
          <w:szCs w:val="26"/>
        </w:rPr>
        <w:t xml:space="preserve"> applicable.  </w:t>
      </w:r>
      <w:r w:rsidR="00D24A50" w:rsidRPr="00F1714B">
        <w:rPr>
          <w:rFonts w:cs="Times New Roman"/>
          <w:szCs w:val="26"/>
        </w:rPr>
        <w:t>T</w:t>
      </w:r>
      <w:r w:rsidR="00112383" w:rsidRPr="00F1714B">
        <w:rPr>
          <w:rFonts w:cs="Times New Roman"/>
          <w:szCs w:val="26"/>
        </w:rPr>
        <w:t xml:space="preserve">he Annex </w:t>
      </w:r>
      <w:r w:rsidR="000353F8" w:rsidRPr="00F1714B">
        <w:rPr>
          <w:rFonts w:cs="Times New Roman"/>
          <w:szCs w:val="26"/>
        </w:rPr>
        <w:t xml:space="preserve">also </w:t>
      </w:r>
      <w:r w:rsidR="00C0041B" w:rsidRPr="00F1714B">
        <w:rPr>
          <w:rFonts w:cs="Times New Roman"/>
          <w:szCs w:val="26"/>
        </w:rPr>
        <w:t xml:space="preserve">set forth proposed revisions to </w:t>
      </w:r>
      <w:r w:rsidR="00BF094C" w:rsidRPr="00F1714B">
        <w:rPr>
          <w:rFonts w:cs="Times New Roman"/>
          <w:szCs w:val="26"/>
        </w:rPr>
        <w:t>S</w:t>
      </w:r>
      <w:r w:rsidR="00C0041B" w:rsidRPr="00F1714B">
        <w:rPr>
          <w:rFonts w:cs="Times New Roman"/>
          <w:szCs w:val="26"/>
        </w:rPr>
        <w:t xml:space="preserve">ection </w:t>
      </w:r>
      <w:r w:rsidR="004004E8" w:rsidRPr="00F1714B">
        <w:rPr>
          <w:rFonts w:cs="Times New Roman"/>
          <w:szCs w:val="26"/>
        </w:rPr>
        <w:t>53.58</w:t>
      </w:r>
      <w:r w:rsidR="0069510B" w:rsidRPr="00F1714B">
        <w:rPr>
          <w:rFonts w:cs="Times New Roman"/>
          <w:iCs/>
          <w:szCs w:val="26"/>
        </w:rPr>
        <w:t>(</w:t>
      </w:r>
      <w:r w:rsidR="00B63423" w:rsidRPr="00F1714B">
        <w:rPr>
          <w:rFonts w:cs="Times New Roman"/>
          <w:iCs/>
          <w:szCs w:val="26"/>
        </w:rPr>
        <w:t>a</w:t>
      </w:r>
      <w:r w:rsidR="0069510B" w:rsidRPr="00F1714B">
        <w:rPr>
          <w:rFonts w:cs="Times New Roman"/>
          <w:iCs/>
          <w:szCs w:val="26"/>
        </w:rPr>
        <w:t xml:space="preserve">) by adding </w:t>
      </w:r>
      <w:r w:rsidR="0069510B" w:rsidRPr="00F1714B">
        <w:rPr>
          <w:rFonts w:cs="Times New Roman"/>
          <w:szCs w:val="26"/>
        </w:rPr>
        <w:t>language</w:t>
      </w:r>
      <w:r w:rsidR="0069510B" w:rsidRPr="00F1714B">
        <w:rPr>
          <w:rFonts w:cs="Times New Roman"/>
          <w:iCs/>
          <w:szCs w:val="26"/>
        </w:rPr>
        <w:t xml:space="preserve"> that permit</w:t>
      </w:r>
      <w:r w:rsidR="00C0041B" w:rsidRPr="00F1714B">
        <w:rPr>
          <w:rFonts w:cs="Times New Roman"/>
          <w:iCs/>
          <w:szCs w:val="26"/>
        </w:rPr>
        <w:t>ted</w:t>
      </w:r>
      <w:r w:rsidR="0069510B" w:rsidRPr="00F1714B">
        <w:rPr>
          <w:rFonts w:cs="Times New Roman"/>
          <w:iCs/>
          <w:szCs w:val="26"/>
        </w:rPr>
        <w:t xml:space="preserve"> a CLEC to declare any retail nonprotected services as competitive without filing a petition and demonstrating competitiveness.</w:t>
      </w:r>
      <w:r w:rsidR="0069510B" w:rsidRPr="00F1714B">
        <w:rPr>
          <w:rFonts w:cs="Times New Roman"/>
          <w:szCs w:val="26"/>
        </w:rPr>
        <w:t xml:space="preserve">  </w:t>
      </w:r>
    </w:p>
    <w:p w14:paraId="5151A7D3" w14:textId="44A0266A" w:rsidR="00760FC5" w:rsidRPr="00F1714B" w:rsidRDefault="00760FC5" w:rsidP="005A65C6">
      <w:pPr>
        <w:ind w:firstLine="720"/>
        <w:rPr>
          <w:rFonts w:cs="Times New Roman"/>
          <w:szCs w:val="26"/>
        </w:rPr>
      </w:pPr>
    </w:p>
    <w:p w14:paraId="4EEE8567" w14:textId="79DFCDD4" w:rsidR="00760FC5" w:rsidRPr="00F1714B" w:rsidRDefault="00760FC5" w:rsidP="005A65C6">
      <w:pPr>
        <w:ind w:firstLine="720"/>
        <w:rPr>
          <w:rFonts w:cs="Times New Roman"/>
          <w:szCs w:val="26"/>
        </w:rPr>
      </w:pPr>
      <w:r w:rsidRPr="00F1714B">
        <w:rPr>
          <w:rFonts w:cs="Times New Roman"/>
          <w:szCs w:val="26"/>
        </w:rPr>
        <w:t xml:space="preserve">Additionally, in the Annex to the </w:t>
      </w:r>
      <w:r w:rsidRPr="00F1714B">
        <w:rPr>
          <w:rFonts w:cs="Times New Roman"/>
          <w:i/>
          <w:iCs/>
          <w:szCs w:val="26"/>
        </w:rPr>
        <w:t>NPRM Order</w:t>
      </w:r>
      <w:r w:rsidRPr="00F1714B">
        <w:rPr>
          <w:rFonts w:cs="Times New Roman"/>
          <w:szCs w:val="26"/>
        </w:rPr>
        <w:t xml:space="preserve">, the Commission proposed revisions to Section 53.58(c) so that it would reflect that the temporary detariffing waivers the Commission had granted to </w:t>
      </w:r>
      <w:r w:rsidR="00EE22D1" w:rsidRPr="00F1714B">
        <w:rPr>
          <w:rFonts w:cs="Times New Roman"/>
          <w:szCs w:val="26"/>
        </w:rPr>
        <w:t xml:space="preserve">some </w:t>
      </w:r>
      <w:r w:rsidRPr="00F1714B">
        <w:rPr>
          <w:rFonts w:cs="Times New Roman"/>
          <w:szCs w:val="26"/>
        </w:rPr>
        <w:t>incumbent and competitive telecommunication service carriers in relation to</w:t>
      </w:r>
      <w:r w:rsidR="00EE22D1" w:rsidRPr="00F1714B">
        <w:rPr>
          <w:rFonts w:cs="Times New Roman"/>
          <w:szCs w:val="26"/>
        </w:rPr>
        <w:t xml:space="preserve"> certain </w:t>
      </w:r>
      <w:r w:rsidRPr="00F1714B">
        <w:rPr>
          <w:rFonts w:cs="Times New Roman"/>
          <w:szCs w:val="26"/>
        </w:rPr>
        <w:t xml:space="preserve">services they offer to enterprise and large business customers would be made permanent and </w:t>
      </w:r>
      <w:r w:rsidR="003B59D4" w:rsidRPr="00F1714B">
        <w:rPr>
          <w:rFonts w:cs="Times New Roman"/>
          <w:szCs w:val="26"/>
        </w:rPr>
        <w:t xml:space="preserve">such waivers would </w:t>
      </w:r>
      <w:r w:rsidRPr="00F1714B">
        <w:rPr>
          <w:rFonts w:cs="Times New Roman"/>
          <w:szCs w:val="26"/>
        </w:rPr>
        <w:t xml:space="preserve">apply on an industry-wide basis.  </w:t>
      </w:r>
    </w:p>
    <w:p w14:paraId="1020BCD4" w14:textId="77777777" w:rsidR="000353F8" w:rsidRPr="00F1714B" w:rsidRDefault="000353F8" w:rsidP="005A65C6">
      <w:pPr>
        <w:ind w:firstLine="720"/>
        <w:rPr>
          <w:rFonts w:cs="Times New Roman"/>
          <w:szCs w:val="26"/>
        </w:rPr>
      </w:pPr>
    </w:p>
    <w:p w14:paraId="5484A107" w14:textId="14EB7AF1" w:rsidR="0069510B" w:rsidRPr="00F1714B" w:rsidRDefault="00F5307F" w:rsidP="005A65C6">
      <w:pPr>
        <w:ind w:firstLine="720"/>
        <w:rPr>
          <w:rFonts w:cs="Times New Roman"/>
          <w:szCs w:val="26"/>
        </w:rPr>
      </w:pPr>
      <w:r w:rsidRPr="00F1714B">
        <w:rPr>
          <w:rFonts w:cs="Times New Roman"/>
          <w:szCs w:val="26"/>
        </w:rPr>
        <w:t>Further</w:t>
      </w:r>
      <w:r w:rsidR="000353F8" w:rsidRPr="00F1714B">
        <w:rPr>
          <w:rFonts w:cs="Times New Roman"/>
          <w:szCs w:val="26"/>
        </w:rPr>
        <w:t xml:space="preserve">, </w:t>
      </w:r>
      <w:r w:rsidR="00B94AEB" w:rsidRPr="00F1714B">
        <w:rPr>
          <w:rFonts w:cs="Times New Roman"/>
          <w:szCs w:val="26"/>
        </w:rPr>
        <w:t xml:space="preserve">the Annex set forth proposed revisions that removed language in </w:t>
      </w:r>
      <w:r w:rsidR="00BF094C" w:rsidRPr="00F1714B">
        <w:rPr>
          <w:rFonts w:cs="Times New Roman"/>
          <w:szCs w:val="26"/>
        </w:rPr>
        <w:t>S</w:t>
      </w:r>
      <w:r w:rsidR="00B94AEB" w:rsidRPr="00F1714B">
        <w:rPr>
          <w:rFonts w:cs="Times New Roman"/>
          <w:szCs w:val="26"/>
        </w:rPr>
        <w:t xml:space="preserve">ection </w:t>
      </w:r>
      <w:r w:rsidR="00BF094C" w:rsidRPr="00F1714B">
        <w:rPr>
          <w:rFonts w:cs="Times New Roman"/>
          <w:szCs w:val="26"/>
        </w:rPr>
        <w:t>53.58</w:t>
      </w:r>
      <w:r w:rsidR="00B94AEB" w:rsidRPr="00F1714B">
        <w:rPr>
          <w:rFonts w:cs="Times New Roman"/>
          <w:szCs w:val="26"/>
        </w:rPr>
        <w:t xml:space="preserve">(d) </w:t>
      </w:r>
      <w:r w:rsidR="00C41077" w:rsidRPr="00F1714B">
        <w:rPr>
          <w:rFonts w:cs="Times New Roman"/>
          <w:szCs w:val="26"/>
        </w:rPr>
        <w:t xml:space="preserve">that </w:t>
      </w:r>
      <w:r w:rsidR="0069510B" w:rsidRPr="00F1714B">
        <w:rPr>
          <w:rFonts w:cs="Times New Roman"/>
          <w:szCs w:val="26"/>
        </w:rPr>
        <w:t>require</w:t>
      </w:r>
      <w:r w:rsidR="00C41077" w:rsidRPr="00F1714B">
        <w:rPr>
          <w:rFonts w:cs="Times New Roman"/>
          <w:szCs w:val="26"/>
        </w:rPr>
        <w:t>d</w:t>
      </w:r>
      <w:r w:rsidR="0069510B" w:rsidRPr="00F1714B">
        <w:rPr>
          <w:rFonts w:cs="Times New Roman"/>
          <w:szCs w:val="26"/>
        </w:rPr>
        <w:t xml:space="preserve"> </w:t>
      </w:r>
      <w:r w:rsidR="00931BDD" w:rsidRPr="00F1714B">
        <w:rPr>
          <w:rFonts w:cs="Times New Roman"/>
          <w:szCs w:val="26"/>
        </w:rPr>
        <w:t xml:space="preserve">competitive and incumbent </w:t>
      </w:r>
      <w:r w:rsidR="00E157D6" w:rsidRPr="00F1714B">
        <w:rPr>
          <w:rFonts w:cs="Times New Roman"/>
          <w:szCs w:val="26"/>
        </w:rPr>
        <w:t xml:space="preserve">telecommunications service providers </w:t>
      </w:r>
      <w:r w:rsidR="00BF094C" w:rsidRPr="00F1714B">
        <w:rPr>
          <w:rFonts w:cs="Times New Roman"/>
          <w:szCs w:val="26"/>
        </w:rPr>
        <w:t xml:space="preserve">that are </w:t>
      </w:r>
      <w:r w:rsidR="0069510B" w:rsidRPr="00F1714B">
        <w:rPr>
          <w:rFonts w:cs="Times New Roman"/>
          <w:szCs w:val="26"/>
        </w:rPr>
        <w:t>offering competitive services to file “informational tariffs, price lists, and ministerial administrative tariff changes</w:t>
      </w:r>
      <w:r w:rsidR="00E157D6" w:rsidRPr="00F1714B">
        <w:rPr>
          <w:rFonts w:cs="Times New Roman"/>
          <w:szCs w:val="26"/>
        </w:rPr>
        <w:t xml:space="preserve">” </w:t>
      </w:r>
      <w:r w:rsidR="00BF094C" w:rsidRPr="00F1714B">
        <w:rPr>
          <w:rFonts w:cs="Times New Roman"/>
          <w:szCs w:val="26"/>
        </w:rPr>
        <w:t xml:space="preserve">with the Commission </w:t>
      </w:r>
      <w:r w:rsidR="00E157D6" w:rsidRPr="00F1714B">
        <w:rPr>
          <w:rFonts w:cs="Times New Roman"/>
          <w:szCs w:val="26"/>
        </w:rPr>
        <w:t xml:space="preserve">and proposed </w:t>
      </w:r>
      <w:r w:rsidR="0069510B" w:rsidRPr="00F1714B">
        <w:rPr>
          <w:rFonts w:cs="Times New Roman"/>
          <w:szCs w:val="26"/>
        </w:rPr>
        <w:t xml:space="preserve">to allow </w:t>
      </w:r>
      <w:r w:rsidR="00E157D6" w:rsidRPr="00F1714B">
        <w:rPr>
          <w:rFonts w:cs="Times New Roman"/>
          <w:szCs w:val="26"/>
        </w:rPr>
        <w:t xml:space="preserve">these entities </w:t>
      </w:r>
      <w:r w:rsidR="0069510B" w:rsidRPr="00F1714B">
        <w:rPr>
          <w:rFonts w:cs="Times New Roman"/>
          <w:szCs w:val="26"/>
        </w:rPr>
        <w:t xml:space="preserve">to make rates and terms of basic </w:t>
      </w:r>
      <w:r w:rsidR="007645D5" w:rsidRPr="00F1714B">
        <w:rPr>
          <w:rFonts w:cs="Times New Roman"/>
          <w:szCs w:val="26"/>
        </w:rPr>
        <w:t xml:space="preserve">local exchange </w:t>
      </w:r>
      <w:r w:rsidR="0069510B" w:rsidRPr="00F1714B">
        <w:rPr>
          <w:rFonts w:cs="Times New Roman"/>
          <w:szCs w:val="26"/>
        </w:rPr>
        <w:t xml:space="preserve">service available through a product guide or similar document on the carrier’s website </w:t>
      </w:r>
      <w:r w:rsidR="0076726B" w:rsidRPr="00F1714B">
        <w:rPr>
          <w:rFonts w:cs="Times New Roman"/>
          <w:szCs w:val="26"/>
        </w:rPr>
        <w:t xml:space="preserve">subject to </w:t>
      </w:r>
      <w:r w:rsidR="0069510B" w:rsidRPr="00F1714B">
        <w:rPr>
          <w:rFonts w:cs="Times New Roman"/>
          <w:szCs w:val="26"/>
        </w:rPr>
        <w:t>the carrier</w:t>
      </w:r>
      <w:r w:rsidR="007645D5" w:rsidRPr="00F1714B">
        <w:rPr>
          <w:rFonts w:cs="Times New Roman"/>
          <w:szCs w:val="26"/>
        </w:rPr>
        <w:t>’s</w:t>
      </w:r>
      <w:r w:rsidR="0069510B" w:rsidRPr="00F1714B">
        <w:rPr>
          <w:rFonts w:cs="Times New Roman"/>
          <w:szCs w:val="26"/>
        </w:rPr>
        <w:t xml:space="preserve"> </w:t>
      </w:r>
      <w:r w:rsidR="0076726B" w:rsidRPr="00F1714B">
        <w:rPr>
          <w:rFonts w:cs="Times New Roman"/>
          <w:szCs w:val="26"/>
        </w:rPr>
        <w:t xml:space="preserve">maintaining </w:t>
      </w:r>
      <w:r w:rsidR="0069510B" w:rsidRPr="00F1714B">
        <w:rPr>
          <w:rFonts w:cs="Times New Roman"/>
          <w:szCs w:val="26"/>
        </w:rPr>
        <w:t xml:space="preserve">an archive of </w:t>
      </w:r>
      <w:r w:rsidR="00041BC2" w:rsidRPr="00F1714B">
        <w:rPr>
          <w:rFonts w:cs="Times New Roman"/>
          <w:szCs w:val="26"/>
        </w:rPr>
        <w:t xml:space="preserve">any </w:t>
      </w:r>
      <w:r w:rsidR="0069510B" w:rsidRPr="00F1714B">
        <w:rPr>
          <w:rFonts w:cs="Times New Roman"/>
          <w:szCs w:val="26"/>
        </w:rPr>
        <w:t xml:space="preserve">outdated rates, terms, and conditions that were available in </w:t>
      </w:r>
      <w:r w:rsidR="0069510B" w:rsidRPr="00F1714B">
        <w:rPr>
          <w:rFonts w:cs="Times New Roman"/>
          <w:szCs w:val="26"/>
        </w:rPr>
        <w:lastRenderedPageBreak/>
        <w:t>a product guide or similar document for a period of four years</w:t>
      </w:r>
      <w:r w:rsidR="00041BC2" w:rsidRPr="00F1714B">
        <w:rPr>
          <w:rFonts w:cs="Times New Roman"/>
          <w:szCs w:val="26"/>
        </w:rPr>
        <w:t xml:space="preserve">.  This archived document </w:t>
      </w:r>
      <w:r w:rsidR="0036411C" w:rsidRPr="00F1714B">
        <w:rPr>
          <w:rFonts w:cs="Times New Roman"/>
          <w:szCs w:val="26"/>
        </w:rPr>
        <w:t xml:space="preserve">must be provided to the </w:t>
      </w:r>
      <w:r w:rsidR="0069510B" w:rsidRPr="00F1714B">
        <w:rPr>
          <w:rFonts w:cs="Times New Roman"/>
          <w:szCs w:val="26"/>
        </w:rPr>
        <w:t>Commission upon reasonable request.</w:t>
      </w:r>
    </w:p>
    <w:p w14:paraId="7F227D27" w14:textId="77777777" w:rsidR="0069510B" w:rsidRPr="00F1714B" w:rsidRDefault="0069510B" w:rsidP="005A65C6">
      <w:pPr>
        <w:ind w:firstLine="720"/>
        <w:rPr>
          <w:rFonts w:cs="Times New Roman"/>
          <w:szCs w:val="26"/>
        </w:rPr>
      </w:pPr>
    </w:p>
    <w:p w14:paraId="1FD54202" w14:textId="387992B8" w:rsidR="0069510B" w:rsidRPr="00F1714B" w:rsidRDefault="009D10FB" w:rsidP="005A65C6">
      <w:pPr>
        <w:ind w:firstLine="720"/>
        <w:rPr>
          <w:rFonts w:cs="Times New Roman"/>
          <w:szCs w:val="26"/>
        </w:rPr>
      </w:pPr>
      <w:r w:rsidRPr="00F1714B">
        <w:rPr>
          <w:rFonts w:cs="Times New Roman"/>
          <w:szCs w:val="26"/>
        </w:rPr>
        <w:t>I</w:t>
      </w:r>
      <w:r w:rsidR="00C84951" w:rsidRPr="00F1714B">
        <w:rPr>
          <w:rFonts w:cs="Times New Roman"/>
          <w:szCs w:val="26"/>
        </w:rPr>
        <w:t xml:space="preserve">n the Annex, the Commission proposed to </w:t>
      </w:r>
      <w:r w:rsidR="0069510B" w:rsidRPr="00F1714B">
        <w:rPr>
          <w:rFonts w:cs="Times New Roman"/>
          <w:szCs w:val="26"/>
        </w:rPr>
        <w:t xml:space="preserve">modify </w:t>
      </w:r>
      <w:r w:rsidR="00192544" w:rsidRPr="00F1714B">
        <w:rPr>
          <w:rFonts w:cs="Times New Roman"/>
          <w:szCs w:val="26"/>
        </w:rPr>
        <w:t>S</w:t>
      </w:r>
      <w:r w:rsidR="00C84951" w:rsidRPr="00F1714B">
        <w:rPr>
          <w:rFonts w:cs="Times New Roman"/>
          <w:szCs w:val="26"/>
        </w:rPr>
        <w:t xml:space="preserve">ection </w:t>
      </w:r>
      <w:r w:rsidR="00192544" w:rsidRPr="00F1714B">
        <w:rPr>
          <w:rFonts w:cs="Times New Roman"/>
          <w:szCs w:val="26"/>
        </w:rPr>
        <w:t>53.58</w:t>
      </w:r>
      <w:r w:rsidR="00C84951" w:rsidRPr="00F1714B">
        <w:rPr>
          <w:rFonts w:cs="Times New Roman"/>
          <w:szCs w:val="26"/>
        </w:rPr>
        <w:t xml:space="preserve">(e)(4) </w:t>
      </w:r>
      <w:r w:rsidR="0069510B" w:rsidRPr="00F1714B">
        <w:rPr>
          <w:rFonts w:cs="Times New Roman"/>
          <w:szCs w:val="26"/>
        </w:rPr>
        <w:t xml:space="preserve">to align with the current statutory criteria </w:t>
      </w:r>
      <w:r w:rsidR="003846CA" w:rsidRPr="00F1714B">
        <w:rPr>
          <w:rFonts w:cs="Times New Roman"/>
          <w:szCs w:val="26"/>
        </w:rPr>
        <w:t>as</w:t>
      </w:r>
      <w:r w:rsidR="0069510B" w:rsidRPr="00F1714B">
        <w:rPr>
          <w:rFonts w:cs="Times New Roman"/>
          <w:szCs w:val="26"/>
        </w:rPr>
        <w:t xml:space="preserve"> </w:t>
      </w:r>
      <w:r w:rsidR="00760FC5" w:rsidRPr="00F1714B">
        <w:rPr>
          <w:rFonts w:cs="Times New Roman"/>
          <w:szCs w:val="26"/>
        </w:rPr>
        <w:t xml:space="preserve">set forth in </w:t>
      </w:r>
      <w:r w:rsidR="0069510B" w:rsidRPr="00F1714B">
        <w:rPr>
          <w:rFonts w:cs="Times New Roman"/>
          <w:szCs w:val="26"/>
        </w:rPr>
        <w:t>Section 3016 of the Public Utility Code.</w:t>
      </w:r>
      <w:r w:rsidRPr="00F1714B">
        <w:rPr>
          <w:rFonts w:cs="Times New Roman"/>
          <w:szCs w:val="26"/>
        </w:rPr>
        <w:t xml:space="preserve">  </w:t>
      </w:r>
      <w:r w:rsidR="00326DB7" w:rsidRPr="00F1714B">
        <w:rPr>
          <w:rFonts w:cs="Times New Roman"/>
          <w:szCs w:val="26"/>
        </w:rPr>
        <w:t xml:space="preserve">In the </w:t>
      </w:r>
      <w:r w:rsidR="00326DB7" w:rsidRPr="00F1714B">
        <w:rPr>
          <w:rFonts w:cs="Times New Roman"/>
          <w:i/>
          <w:iCs/>
          <w:szCs w:val="26"/>
        </w:rPr>
        <w:t>NPRM Order</w:t>
      </w:r>
      <w:r w:rsidR="00326DB7" w:rsidRPr="00F1714B">
        <w:rPr>
          <w:rFonts w:cs="Times New Roman"/>
          <w:szCs w:val="26"/>
        </w:rPr>
        <w:t xml:space="preserve">, the Commission had determined that it would </w:t>
      </w:r>
      <w:r w:rsidR="0069510B" w:rsidRPr="00F1714B">
        <w:rPr>
          <w:rFonts w:cs="Times New Roman"/>
          <w:szCs w:val="26"/>
        </w:rPr>
        <w:t xml:space="preserve">not eliminate tariff filing requirements for </w:t>
      </w:r>
      <w:r w:rsidR="00760FC5" w:rsidRPr="00F1714B">
        <w:rPr>
          <w:rFonts w:cs="Times New Roman"/>
          <w:szCs w:val="26"/>
        </w:rPr>
        <w:t xml:space="preserve">retail </w:t>
      </w:r>
      <w:r w:rsidR="0069510B" w:rsidRPr="00F1714B">
        <w:rPr>
          <w:rFonts w:cs="Times New Roman"/>
          <w:szCs w:val="26"/>
        </w:rPr>
        <w:t xml:space="preserve">noncompetitive and protected </w:t>
      </w:r>
      <w:r w:rsidR="00EC7DF7" w:rsidRPr="00F1714B">
        <w:rPr>
          <w:rFonts w:cs="Times New Roman"/>
          <w:szCs w:val="26"/>
        </w:rPr>
        <w:t xml:space="preserve">telecommunications </w:t>
      </w:r>
      <w:r w:rsidR="0069510B" w:rsidRPr="00F1714B">
        <w:rPr>
          <w:rFonts w:cs="Times New Roman"/>
          <w:szCs w:val="26"/>
        </w:rPr>
        <w:t xml:space="preserve">services, including basic local exchange services.  </w:t>
      </w:r>
    </w:p>
    <w:p w14:paraId="7FA7B588" w14:textId="77777777" w:rsidR="003846CA" w:rsidRPr="00F1714B" w:rsidRDefault="003846CA" w:rsidP="005A65C6">
      <w:pPr>
        <w:ind w:firstLine="720"/>
        <w:rPr>
          <w:rFonts w:cs="Times New Roman"/>
          <w:szCs w:val="26"/>
        </w:rPr>
      </w:pPr>
    </w:p>
    <w:p w14:paraId="17797480" w14:textId="7C6A9192" w:rsidR="0069510B" w:rsidRPr="00F1714B" w:rsidRDefault="00D463F2" w:rsidP="005A65C6">
      <w:pPr>
        <w:ind w:left="720" w:firstLine="720"/>
        <w:rPr>
          <w:rFonts w:cs="Times New Roman"/>
          <w:b/>
          <w:bCs/>
          <w:szCs w:val="26"/>
        </w:rPr>
      </w:pPr>
      <w:r w:rsidRPr="00F1714B">
        <w:rPr>
          <w:rFonts w:cs="Times New Roman"/>
          <w:b/>
          <w:bCs/>
          <w:szCs w:val="26"/>
        </w:rPr>
        <w:t>1.</w:t>
      </w:r>
      <w:r w:rsidRPr="00F1714B">
        <w:rPr>
          <w:rFonts w:cs="Times New Roman"/>
          <w:b/>
          <w:bCs/>
          <w:szCs w:val="26"/>
        </w:rPr>
        <w:tab/>
        <w:t>Comments</w:t>
      </w:r>
      <w:r w:rsidR="0037691B" w:rsidRPr="00F1714B">
        <w:rPr>
          <w:rFonts w:cs="Times New Roman"/>
          <w:b/>
          <w:bCs/>
          <w:szCs w:val="26"/>
        </w:rPr>
        <w:t xml:space="preserve"> and Replies</w:t>
      </w:r>
    </w:p>
    <w:p w14:paraId="5B164E31" w14:textId="567F3623" w:rsidR="000366B0" w:rsidRPr="00F1714B" w:rsidRDefault="000366B0" w:rsidP="00E55426">
      <w:pPr>
        <w:ind w:firstLine="720"/>
        <w:rPr>
          <w:rFonts w:cs="Times New Roman"/>
          <w:szCs w:val="26"/>
        </w:rPr>
      </w:pPr>
      <w:bookmarkStart w:id="14" w:name="_Hlk80970101"/>
      <w:bookmarkStart w:id="15" w:name="_Hlk81295853"/>
      <w:r w:rsidRPr="00F1714B">
        <w:rPr>
          <w:rFonts w:cs="Times New Roman"/>
          <w:szCs w:val="26"/>
        </w:rPr>
        <w:t xml:space="preserve">With respect to </w:t>
      </w:r>
      <w:r w:rsidR="002E6F17" w:rsidRPr="00F1714B">
        <w:rPr>
          <w:rFonts w:cs="Times New Roman"/>
          <w:szCs w:val="26"/>
        </w:rPr>
        <w:t xml:space="preserve">proposed </w:t>
      </w:r>
      <w:r w:rsidR="00760FC5" w:rsidRPr="00F1714B">
        <w:rPr>
          <w:rFonts w:cs="Times New Roman"/>
          <w:szCs w:val="26"/>
        </w:rPr>
        <w:t xml:space="preserve">Section </w:t>
      </w:r>
      <w:r w:rsidRPr="00F1714B">
        <w:rPr>
          <w:rFonts w:cs="Times New Roman"/>
          <w:szCs w:val="26"/>
        </w:rPr>
        <w:t>53.58</w:t>
      </w:r>
      <w:r w:rsidR="00760FC5" w:rsidRPr="00F1714B">
        <w:rPr>
          <w:rFonts w:cs="Times New Roman"/>
          <w:szCs w:val="26"/>
        </w:rPr>
        <w:t>(a)</w:t>
      </w:r>
      <w:r w:rsidRPr="00F1714B">
        <w:rPr>
          <w:rFonts w:cs="Times New Roman"/>
          <w:szCs w:val="26"/>
        </w:rPr>
        <w:t xml:space="preserve">, IRRC states that </w:t>
      </w:r>
      <w:bookmarkEnd w:id="14"/>
      <w:r w:rsidRPr="00F1714B">
        <w:rPr>
          <w:rFonts w:cs="Times New Roman"/>
          <w:szCs w:val="26"/>
        </w:rPr>
        <w:t>“[p]roposed § 53.58(a) includes a local exchange telecommunications company’s ‘protected services’ that have been declared or determined to be competitive” but that “the proposed definition of “</w:t>
      </w:r>
      <w:r w:rsidRPr="00F1714B">
        <w:rPr>
          <w:rFonts w:cs="Times New Roman"/>
          <w:i/>
          <w:szCs w:val="26"/>
        </w:rPr>
        <w:t>protected service,</w:t>
      </w:r>
      <w:r w:rsidRPr="00F1714B">
        <w:rPr>
          <w:rFonts w:cs="Times New Roman"/>
          <w:szCs w:val="26"/>
        </w:rPr>
        <w:t>” under § 53.57 (relating to Definitions), states that it is a service that has not been determined to be competitive,” and recommends that the Commission “should revise this section to make it consistent with the definition of ‘</w:t>
      </w:r>
      <w:r w:rsidRPr="00F1714B">
        <w:rPr>
          <w:rFonts w:cs="Times New Roman"/>
          <w:i/>
          <w:szCs w:val="26"/>
        </w:rPr>
        <w:t>protected service</w:t>
      </w:r>
      <w:r w:rsidRPr="00F1714B">
        <w:rPr>
          <w:rFonts w:cs="Times New Roman"/>
          <w:iCs/>
          <w:szCs w:val="26"/>
        </w:rPr>
        <w:t xml:space="preserve">’ </w:t>
      </w:r>
      <w:r w:rsidRPr="00F1714B">
        <w:rPr>
          <w:rFonts w:cs="Times New Roman"/>
          <w:szCs w:val="26"/>
        </w:rPr>
        <w:t>or explain why it is unnecessary to do so.”</w:t>
      </w:r>
      <w:r w:rsidR="00DA086D" w:rsidRPr="00F1714B">
        <w:rPr>
          <w:rFonts w:cs="Times New Roman"/>
          <w:szCs w:val="26"/>
        </w:rPr>
        <w:t xml:space="preserve"> </w:t>
      </w:r>
      <w:r w:rsidRPr="00F1714B">
        <w:rPr>
          <w:rFonts w:cs="Times New Roman"/>
          <w:szCs w:val="26"/>
        </w:rPr>
        <w:t xml:space="preserve"> IRRC Comments at 4.</w:t>
      </w:r>
    </w:p>
    <w:bookmarkEnd w:id="15"/>
    <w:p w14:paraId="5C442DED" w14:textId="77777777" w:rsidR="000366B0" w:rsidRPr="00F1714B" w:rsidRDefault="000366B0" w:rsidP="00E55426">
      <w:pPr>
        <w:rPr>
          <w:rFonts w:cs="Times New Roman"/>
          <w:szCs w:val="26"/>
        </w:rPr>
      </w:pPr>
    </w:p>
    <w:p w14:paraId="01C29654" w14:textId="30F27C6E" w:rsidR="000366B0" w:rsidRPr="00F1714B" w:rsidRDefault="00DD7D4E" w:rsidP="00E55426">
      <w:pPr>
        <w:ind w:firstLine="720"/>
        <w:rPr>
          <w:rFonts w:cs="Times New Roman"/>
          <w:szCs w:val="26"/>
        </w:rPr>
      </w:pPr>
      <w:r w:rsidRPr="00F1714B">
        <w:rPr>
          <w:rFonts w:cs="Times New Roman"/>
          <w:szCs w:val="26"/>
        </w:rPr>
        <w:t>In regard to</w:t>
      </w:r>
      <w:r w:rsidR="000366B0" w:rsidRPr="00F1714B">
        <w:rPr>
          <w:rFonts w:cs="Times New Roman"/>
          <w:szCs w:val="26"/>
        </w:rPr>
        <w:t xml:space="preserve"> </w:t>
      </w:r>
      <w:r w:rsidR="002E6F17" w:rsidRPr="00F1714B">
        <w:rPr>
          <w:rFonts w:cs="Times New Roman"/>
          <w:szCs w:val="26"/>
        </w:rPr>
        <w:t xml:space="preserve">proposed </w:t>
      </w:r>
      <w:r w:rsidR="00760FC5" w:rsidRPr="00F1714B">
        <w:rPr>
          <w:rFonts w:cs="Times New Roman"/>
          <w:szCs w:val="26"/>
        </w:rPr>
        <w:t>S</w:t>
      </w:r>
      <w:r w:rsidR="000366B0" w:rsidRPr="00F1714B">
        <w:rPr>
          <w:rFonts w:cs="Times New Roman"/>
          <w:szCs w:val="26"/>
        </w:rPr>
        <w:t>ection 53.58</w:t>
      </w:r>
      <w:r w:rsidR="00760FC5" w:rsidRPr="00F1714B">
        <w:rPr>
          <w:rFonts w:cs="Times New Roman"/>
          <w:szCs w:val="26"/>
        </w:rPr>
        <w:t>(d)</w:t>
      </w:r>
      <w:r w:rsidR="000366B0" w:rsidRPr="00F1714B">
        <w:rPr>
          <w:rFonts w:cs="Times New Roman"/>
          <w:szCs w:val="26"/>
        </w:rPr>
        <w:t xml:space="preserve">, IRRC asks whether the Commission intends “for the [outdated product guide] archives to be available on carrier websites so the public has access to them” and if it does, then IRRC recommends that the Commission “should specify, in the Annex to the final rulemaking, the location of where the archive is to be housed [and] how the public will access it.” </w:t>
      </w:r>
      <w:r w:rsidR="00056847" w:rsidRPr="00F1714B">
        <w:rPr>
          <w:rFonts w:cs="Times New Roman"/>
          <w:szCs w:val="26"/>
        </w:rPr>
        <w:t xml:space="preserve"> </w:t>
      </w:r>
      <w:r w:rsidR="000366B0" w:rsidRPr="00F1714B">
        <w:rPr>
          <w:rFonts w:cs="Times New Roman"/>
          <w:szCs w:val="26"/>
        </w:rPr>
        <w:t xml:space="preserve">IRRC Comments at 5.  </w:t>
      </w:r>
    </w:p>
    <w:p w14:paraId="70E9836B" w14:textId="77777777" w:rsidR="008A6E39" w:rsidRPr="00F1714B" w:rsidRDefault="008A6E39" w:rsidP="00E55426">
      <w:pPr>
        <w:rPr>
          <w:rFonts w:cs="Times New Roman"/>
          <w:szCs w:val="26"/>
        </w:rPr>
      </w:pPr>
    </w:p>
    <w:p w14:paraId="210DD6E8" w14:textId="4A764C03" w:rsidR="000366B0" w:rsidRPr="00F1714B" w:rsidRDefault="000366B0" w:rsidP="00E55426">
      <w:pPr>
        <w:ind w:firstLine="720"/>
        <w:rPr>
          <w:rFonts w:cs="Times New Roman"/>
          <w:szCs w:val="26"/>
        </w:rPr>
      </w:pPr>
      <w:r w:rsidRPr="00F1714B">
        <w:rPr>
          <w:rFonts w:cs="Times New Roman"/>
          <w:szCs w:val="26"/>
        </w:rPr>
        <w:t>Finally, IRRC asks the Commission “to clarify in § 53.58(d), whether ‘by the Commission as competitive’ should be removed from the bracket and retained so that the amendment reads “Local exchange telecommunication companies and competitive telecommunications carriers offering services determined by the Commission as competitive or declared as competitive</w:t>
      </w:r>
      <w:r w:rsidR="00C978D8" w:rsidRPr="00F1714B">
        <w:rPr>
          <w:rFonts w:cs="Times New Roman"/>
          <w:szCs w:val="26"/>
        </w:rPr>
        <w:t>[</w:t>
      </w:r>
      <w:r w:rsidRPr="00F1714B">
        <w:rPr>
          <w:rFonts w:cs="Times New Roman"/>
          <w:szCs w:val="26"/>
        </w:rPr>
        <w:t>.</w:t>
      </w:r>
      <w:r w:rsidR="00C978D8" w:rsidRPr="00F1714B">
        <w:rPr>
          <w:rFonts w:cs="Times New Roman"/>
          <w:szCs w:val="26"/>
        </w:rPr>
        <w:t>]</w:t>
      </w:r>
      <w:r w:rsidRPr="00F1714B">
        <w:rPr>
          <w:rFonts w:cs="Times New Roman"/>
          <w:szCs w:val="26"/>
        </w:rPr>
        <w:t xml:space="preserve">” </w:t>
      </w:r>
      <w:r w:rsidR="00056847" w:rsidRPr="00F1714B">
        <w:rPr>
          <w:rFonts w:cs="Times New Roman"/>
          <w:szCs w:val="26"/>
        </w:rPr>
        <w:t xml:space="preserve"> </w:t>
      </w:r>
      <w:r w:rsidRPr="00F1714B">
        <w:rPr>
          <w:rFonts w:cs="Times New Roman"/>
          <w:szCs w:val="26"/>
        </w:rPr>
        <w:t>IRRC Comments at 10.</w:t>
      </w:r>
    </w:p>
    <w:p w14:paraId="6CF27E7A" w14:textId="3C479A06" w:rsidR="00ED1959" w:rsidRPr="00F1714B" w:rsidRDefault="000366B0" w:rsidP="00E55426">
      <w:pPr>
        <w:ind w:firstLine="720"/>
        <w:rPr>
          <w:rFonts w:cs="Times New Roman"/>
          <w:szCs w:val="26"/>
        </w:rPr>
      </w:pPr>
      <w:bookmarkStart w:id="16" w:name="_Hlk81298772"/>
      <w:r w:rsidRPr="00F1714B">
        <w:rPr>
          <w:rFonts w:cs="Times New Roman"/>
          <w:szCs w:val="26"/>
        </w:rPr>
        <w:lastRenderedPageBreak/>
        <w:t xml:space="preserve">The </w:t>
      </w:r>
      <w:r w:rsidR="00ED1959" w:rsidRPr="00F1714B">
        <w:rPr>
          <w:rFonts w:cs="Times New Roman"/>
          <w:szCs w:val="26"/>
        </w:rPr>
        <w:t>OCA opposes the Commission’s propos</w:t>
      </w:r>
      <w:r w:rsidR="0059443F" w:rsidRPr="00F1714B">
        <w:rPr>
          <w:rFonts w:cs="Times New Roman"/>
          <w:szCs w:val="26"/>
        </w:rPr>
        <w:t xml:space="preserve">ed modification to </w:t>
      </w:r>
      <w:r w:rsidR="004004E8" w:rsidRPr="00F1714B">
        <w:rPr>
          <w:rFonts w:cs="Times New Roman"/>
          <w:szCs w:val="26"/>
        </w:rPr>
        <w:t>S</w:t>
      </w:r>
      <w:r w:rsidR="00ED1959" w:rsidRPr="00F1714B">
        <w:rPr>
          <w:rFonts w:cs="Times New Roman"/>
          <w:szCs w:val="26"/>
        </w:rPr>
        <w:t>ection 53.58</w:t>
      </w:r>
      <w:r w:rsidR="0059443F" w:rsidRPr="00F1714B">
        <w:rPr>
          <w:rFonts w:cs="Times New Roman"/>
          <w:szCs w:val="26"/>
        </w:rPr>
        <w:t>(d)</w:t>
      </w:r>
      <w:r w:rsidR="00ED1959" w:rsidRPr="00F1714B">
        <w:rPr>
          <w:rFonts w:cs="Times New Roman"/>
          <w:szCs w:val="26"/>
        </w:rPr>
        <w:t xml:space="preserve"> </w:t>
      </w:r>
      <w:r w:rsidR="0059443F" w:rsidRPr="00F1714B">
        <w:rPr>
          <w:rFonts w:cs="Times New Roman"/>
          <w:szCs w:val="26"/>
        </w:rPr>
        <w:t xml:space="preserve">that eliminates the </w:t>
      </w:r>
      <w:r w:rsidR="00ED1959" w:rsidRPr="00F1714B">
        <w:rPr>
          <w:rFonts w:cs="Times New Roman"/>
          <w:szCs w:val="26"/>
        </w:rPr>
        <w:t xml:space="preserve">requirement that LECs file price lists applicable to competitive services with the Commission, and instead </w:t>
      </w:r>
      <w:r w:rsidR="00E612BE" w:rsidRPr="00F1714B">
        <w:rPr>
          <w:rFonts w:cs="Times New Roman"/>
          <w:szCs w:val="26"/>
        </w:rPr>
        <w:t xml:space="preserve">only </w:t>
      </w:r>
      <w:r w:rsidR="00ED1959" w:rsidRPr="00F1714B">
        <w:rPr>
          <w:rFonts w:cs="Times New Roman"/>
          <w:szCs w:val="26"/>
        </w:rPr>
        <w:t xml:space="preserve">require </w:t>
      </w:r>
      <w:r w:rsidR="00D626C8" w:rsidRPr="00F1714B">
        <w:rPr>
          <w:rFonts w:cs="Times New Roman"/>
          <w:szCs w:val="26"/>
        </w:rPr>
        <w:t xml:space="preserve">LECs to </w:t>
      </w:r>
      <w:r w:rsidR="00ED1959" w:rsidRPr="00F1714B">
        <w:rPr>
          <w:rFonts w:cs="Times New Roman"/>
          <w:szCs w:val="26"/>
        </w:rPr>
        <w:t xml:space="preserve">post their rates in a product guide and keep an archive of historical rates. </w:t>
      </w:r>
      <w:r w:rsidR="00403EF3" w:rsidRPr="00F1714B">
        <w:rPr>
          <w:rFonts w:cs="Times New Roman"/>
          <w:szCs w:val="26"/>
        </w:rPr>
        <w:t xml:space="preserve"> </w:t>
      </w:r>
      <w:r w:rsidR="00ED1959" w:rsidRPr="00F1714B">
        <w:rPr>
          <w:rFonts w:cs="Times New Roman"/>
          <w:szCs w:val="26"/>
        </w:rPr>
        <w:t xml:space="preserve">OCA Comments at 9. </w:t>
      </w:r>
      <w:r w:rsidR="00403EF3" w:rsidRPr="00F1714B">
        <w:rPr>
          <w:rFonts w:cs="Times New Roman"/>
          <w:szCs w:val="26"/>
        </w:rPr>
        <w:t xml:space="preserve"> The </w:t>
      </w:r>
      <w:r w:rsidR="00ED1959" w:rsidRPr="00F1714B">
        <w:rPr>
          <w:rFonts w:cs="Times New Roman"/>
          <w:szCs w:val="26"/>
        </w:rPr>
        <w:t>OCA argues that filing price lists allows “for assessment of the impact – if any – of the availability of documented competitive alternatives on the LEC’s pricing of competitive services.”</w:t>
      </w:r>
      <w:r w:rsidR="00150F83" w:rsidRPr="00F1714B">
        <w:rPr>
          <w:rFonts w:cs="Times New Roman"/>
          <w:szCs w:val="26"/>
        </w:rPr>
        <w:t xml:space="preserve"> </w:t>
      </w:r>
      <w:r w:rsidR="00ED1959" w:rsidRPr="00F1714B">
        <w:rPr>
          <w:rFonts w:cs="Times New Roman"/>
          <w:szCs w:val="26"/>
        </w:rPr>
        <w:t xml:space="preserve"> OCA Comments at 9. </w:t>
      </w:r>
      <w:r w:rsidR="00403EF3" w:rsidRPr="00F1714B">
        <w:rPr>
          <w:rFonts w:cs="Times New Roman"/>
          <w:szCs w:val="26"/>
        </w:rPr>
        <w:t xml:space="preserve"> The </w:t>
      </w:r>
      <w:r w:rsidR="00ED1959" w:rsidRPr="00F1714B">
        <w:rPr>
          <w:rFonts w:cs="Times New Roman"/>
          <w:szCs w:val="26"/>
        </w:rPr>
        <w:t>OCA expresses concern that rates posted in price guides on LEC websites “diminishes the ability to monitor the competitive marketplace.” OCA Comments at 10.</w:t>
      </w:r>
    </w:p>
    <w:p w14:paraId="5A7FC7B3" w14:textId="77777777" w:rsidR="0069510B" w:rsidRPr="00F1714B" w:rsidRDefault="0069510B" w:rsidP="00E55426">
      <w:pPr>
        <w:ind w:firstLine="720"/>
        <w:rPr>
          <w:rFonts w:cs="Times New Roman"/>
          <w:szCs w:val="26"/>
        </w:rPr>
      </w:pPr>
    </w:p>
    <w:p w14:paraId="449BAB70" w14:textId="32DBC1D1" w:rsidR="001F7A8E" w:rsidRPr="00F1714B" w:rsidRDefault="001F7A8E" w:rsidP="00E55426">
      <w:pPr>
        <w:ind w:firstLine="720"/>
        <w:rPr>
          <w:rFonts w:cs="Times New Roman"/>
          <w:szCs w:val="26"/>
        </w:rPr>
      </w:pPr>
      <w:r w:rsidRPr="00F1714B">
        <w:rPr>
          <w:rFonts w:cs="Times New Roman"/>
          <w:szCs w:val="26"/>
        </w:rPr>
        <w:t xml:space="preserve">TCC/CCL also propose modifications to the Commission’s proposed </w:t>
      </w:r>
      <w:r w:rsidR="00BE1C35" w:rsidRPr="00F1714B">
        <w:rPr>
          <w:rFonts w:cs="Times New Roman"/>
          <w:szCs w:val="26"/>
        </w:rPr>
        <w:t>S</w:t>
      </w:r>
      <w:r w:rsidRPr="00F1714B">
        <w:rPr>
          <w:rFonts w:cs="Times New Roman"/>
          <w:szCs w:val="26"/>
        </w:rPr>
        <w:t xml:space="preserve">ection 53.58 to clarify that, in TCC/CCL’s view, (1) revised Chapter 30 contains a “presumption that all services provided by a competitive local exchange carrier (CLEC) or competitive telecommunications carrier are by definition ‘competitive,’” TCC/CCL Comments at 6-7, and (2) under Chapter 30, the Commission should not specify the types of voice service offering a competitive carrier shall offer its customers to include “basic” service. </w:t>
      </w:r>
      <w:bookmarkStart w:id="17" w:name="_Hlk77082007"/>
      <w:r w:rsidRPr="00F1714B">
        <w:rPr>
          <w:rFonts w:cs="Times New Roman"/>
          <w:szCs w:val="26"/>
        </w:rPr>
        <w:t xml:space="preserve">TCC/CCL Comments at </w:t>
      </w:r>
      <w:bookmarkEnd w:id="17"/>
      <w:r w:rsidRPr="00F1714B">
        <w:rPr>
          <w:rFonts w:cs="Times New Roman"/>
          <w:szCs w:val="26"/>
        </w:rPr>
        <w:t xml:space="preserve">8.  </w:t>
      </w:r>
    </w:p>
    <w:p w14:paraId="5D71780E" w14:textId="77777777" w:rsidR="007E04B3" w:rsidRPr="00F1714B" w:rsidRDefault="007E04B3" w:rsidP="00E55426">
      <w:pPr>
        <w:ind w:firstLine="720"/>
        <w:rPr>
          <w:rFonts w:cs="Times New Roman"/>
          <w:szCs w:val="26"/>
        </w:rPr>
      </w:pPr>
    </w:p>
    <w:p w14:paraId="2250A43D" w14:textId="32537B1E" w:rsidR="00463598" w:rsidRPr="00F1714B" w:rsidRDefault="001F7A8E" w:rsidP="00E55426">
      <w:pPr>
        <w:ind w:firstLine="720"/>
        <w:rPr>
          <w:rFonts w:cs="Times New Roman"/>
          <w:szCs w:val="26"/>
        </w:rPr>
      </w:pPr>
      <w:r w:rsidRPr="00F1714B">
        <w:rPr>
          <w:rFonts w:cs="Times New Roman"/>
          <w:szCs w:val="26"/>
        </w:rPr>
        <w:t xml:space="preserve">Verizon agrees with the Commission’s proposal to revise the tariffing rules relating to telephone </w:t>
      </w:r>
      <w:r w:rsidR="00150F83" w:rsidRPr="00F1714B">
        <w:rPr>
          <w:rFonts w:cs="Times New Roman"/>
          <w:szCs w:val="26"/>
        </w:rPr>
        <w:t>service but</w:t>
      </w:r>
      <w:r w:rsidRPr="00F1714B">
        <w:rPr>
          <w:rFonts w:cs="Times New Roman"/>
          <w:szCs w:val="26"/>
        </w:rPr>
        <w:t xml:space="preserve"> argues that the Commission’s </w:t>
      </w:r>
      <w:r w:rsidR="009A7665" w:rsidRPr="00F1714B">
        <w:rPr>
          <w:rFonts w:cs="Times New Roman"/>
          <w:szCs w:val="26"/>
        </w:rPr>
        <w:t>proposed new version of Sections 53.57</w:t>
      </w:r>
      <w:r w:rsidR="00150F83" w:rsidRPr="00F1714B">
        <w:rPr>
          <w:rFonts w:cs="Times New Roman"/>
          <w:szCs w:val="26"/>
        </w:rPr>
        <w:t>—</w:t>
      </w:r>
      <w:r w:rsidR="009A7665" w:rsidRPr="00F1714B">
        <w:rPr>
          <w:rFonts w:cs="Times New Roman"/>
          <w:szCs w:val="26"/>
        </w:rPr>
        <w:t xml:space="preserve">60 is still </w:t>
      </w:r>
      <w:r w:rsidR="00707885" w:rsidRPr="00F1714B">
        <w:rPr>
          <w:rFonts w:cs="Times New Roman"/>
          <w:szCs w:val="26"/>
        </w:rPr>
        <w:t>“</w:t>
      </w:r>
      <w:r w:rsidR="009A7665" w:rsidRPr="00F1714B">
        <w:rPr>
          <w:rFonts w:cs="Times New Roman"/>
          <w:szCs w:val="26"/>
        </w:rPr>
        <w:t xml:space="preserve">unduly </w:t>
      </w:r>
      <w:r w:rsidRPr="00F1714B">
        <w:rPr>
          <w:rFonts w:cs="Times New Roman"/>
          <w:szCs w:val="26"/>
        </w:rPr>
        <w:t xml:space="preserve">and complex.” </w:t>
      </w:r>
      <w:r w:rsidR="00150F83" w:rsidRPr="00F1714B">
        <w:rPr>
          <w:rFonts w:cs="Times New Roman"/>
          <w:szCs w:val="26"/>
        </w:rPr>
        <w:t xml:space="preserve"> </w:t>
      </w:r>
      <w:r w:rsidRPr="00F1714B">
        <w:rPr>
          <w:rFonts w:cs="Times New Roman"/>
          <w:szCs w:val="26"/>
        </w:rPr>
        <w:t xml:space="preserve">Verizon Comments at 12-13. According to Verizon, the Commission’s proposal </w:t>
      </w:r>
      <w:r w:rsidR="00BE1C35" w:rsidRPr="00F1714B">
        <w:rPr>
          <w:rFonts w:cs="Times New Roman"/>
          <w:szCs w:val="26"/>
        </w:rPr>
        <w:t xml:space="preserve">for Section 53.58(e) </w:t>
      </w:r>
      <w:r w:rsidRPr="00F1714B">
        <w:rPr>
          <w:rFonts w:cs="Times New Roman"/>
          <w:szCs w:val="26"/>
        </w:rPr>
        <w:t xml:space="preserve">is flawed because it repeats or restates the statutory language of Chapter 30, when a reference to the statutory language would suffice. </w:t>
      </w:r>
      <w:bookmarkStart w:id="18" w:name="_Hlk75785491"/>
      <w:r w:rsidR="000A588E" w:rsidRPr="00F1714B">
        <w:rPr>
          <w:rFonts w:cs="Times New Roman"/>
          <w:szCs w:val="26"/>
        </w:rPr>
        <w:t xml:space="preserve"> </w:t>
      </w:r>
      <w:r w:rsidRPr="00F1714B">
        <w:rPr>
          <w:rFonts w:cs="Times New Roman"/>
          <w:szCs w:val="26"/>
        </w:rPr>
        <w:t xml:space="preserve">Verizon Comments at </w:t>
      </w:r>
      <w:bookmarkEnd w:id="18"/>
      <w:r w:rsidRPr="00F1714B">
        <w:rPr>
          <w:rFonts w:cs="Times New Roman"/>
          <w:szCs w:val="26"/>
        </w:rPr>
        <w:t>13.</w:t>
      </w:r>
      <w:r w:rsidR="004730A7" w:rsidRPr="00F1714B">
        <w:rPr>
          <w:rFonts w:cs="Times New Roman"/>
          <w:szCs w:val="26"/>
        </w:rPr>
        <w:t xml:space="preserve">  Verizon also urges further streamlining or elimination of tariffing requirements with respect to competitive local exchange carrier offerings and services provided to enterprise and large business customers. </w:t>
      </w:r>
      <w:r w:rsidR="000A588E" w:rsidRPr="00F1714B">
        <w:rPr>
          <w:rFonts w:cs="Times New Roman"/>
          <w:szCs w:val="26"/>
        </w:rPr>
        <w:t xml:space="preserve"> </w:t>
      </w:r>
      <w:r w:rsidR="004730A7" w:rsidRPr="00F1714B">
        <w:rPr>
          <w:rFonts w:cs="Times New Roman"/>
          <w:szCs w:val="26"/>
        </w:rPr>
        <w:t>Verizon Comments at 13.</w:t>
      </w:r>
    </w:p>
    <w:p w14:paraId="0AAD2C7D" w14:textId="77777777" w:rsidR="00463598" w:rsidRPr="00F1714B" w:rsidRDefault="00463598" w:rsidP="00E55426">
      <w:pPr>
        <w:ind w:firstLine="720"/>
        <w:rPr>
          <w:rFonts w:cs="Times New Roman"/>
          <w:szCs w:val="26"/>
        </w:rPr>
      </w:pPr>
    </w:p>
    <w:p w14:paraId="11376F55" w14:textId="400B22B4" w:rsidR="00463598" w:rsidRPr="00F1714B" w:rsidRDefault="00463598" w:rsidP="005A65C6">
      <w:pPr>
        <w:ind w:firstLine="720"/>
        <w:rPr>
          <w:rFonts w:cs="Times New Roman"/>
          <w:szCs w:val="26"/>
        </w:rPr>
      </w:pPr>
      <w:r w:rsidRPr="00F1714B">
        <w:rPr>
          <w:rFonts w:cs="Times New Roman"/>
          <w:szCs w:val="26"/>
        </w:rPr>
        <w:lastRenderedPageBreak/>
        <w:t xml:space="preserve">The OCA opposes Verizon’s proposed elimination of the steps for reclassification of a competitive service as noncompetitive and challenges Verizon’s statement that “[a]ll retail telecommunications services offered… in competitive wire centers are classified as competitive.” </w:t>
      </w:r>
      <w:r w:rsidR="000A588E" w:rsidRPr="00F1714B">
        <w:rPr>
          <w:rFonts w:cs="Times New Roman"/>
          <w:szCs w:val="26"/>
        </w:rPr>
        <w:t xml:space="preserve"> </w:t>
      </w:r>
      <w:r w:rsidRPr="00F1714B">
        <w:rPr>
          <w:rFonts w:cs="Times New Roman"/>
          <w:szCs w:val="26"/>
        </w:rPr>
        <w:t>OCA Reply Comments at 7.</w:t>
      </w:r>
    </w:p>
    <w:p w14:paraId="02F55575" w14:textId="7367D3E9" w:rsidR="003846CA" w:rsidRPr="00F1714B" w:rsidRDefault="00D61EFA" w:rsidP="005A65C6">
      <w:pPr>
        <w:ind w:firstLine="720"/>
        <w:rPr>
          <w:rFonts w:cs="Times New Roman"/>
          <w:b/>
          <w:bCs/>
          <w:szCs w:val="26"/>
        </w:rPr>
      </w:pPr>
      <w:r w:rsidRPr="00F1714B">
        <w:rPr>
          <w:rFonts w:cs="Times New Roman"/>
          <w:szCs w:val="26"/>
        </w:rPr>
        <w:tab/>
      </w:r>
      <w:bookmarkEnd w:id="16"/>
    </w:p>
    <w:p w14:paraId="541D33E1" w14:textId="5FEC2FDF" w:rsidR="00D61EFA" w:rsidRPr="00F1714B" w:rsidRDefault="00D61EFA" w:rsidP="005A65C6">
      <w:pPr>
        <w:ind w:left="720" w:firstLine="720"/>
        <w:rPr>
          <w:rFonts w:cs="Times New Roman"/>
          <w:b/>
          <w:bCs/>
          <w:szCs w:val="26"/>
        </w:rPr>
      </w:pPr>
      <w:r w:rsidRPr="00F1714B">
        <w:rPr>
          <w:rFonts w:cs="Times New Roman"/>
          <w:b/>
          <w:bCs/>
          <w:szCs w:val="26"/>
        </w:rPr>
        <w:t>2.</w:t>
      </w:r>
      <w:r w:rsidRPr="00F1714B">
        <w:rPr>
          <w:rFonts w:cs="Times New Roman"/>
          <w:b/>
          <w:bCs/>
          <w:szCs w:val="26"/>
        </w:rPr>
        <w:tab/>
        <w:t>Discussion</w:t>
      </w:r>
      <w:r w:rsidR="000C73DD" w:rsidRPr="00F1714B">
        <w:rPr>
          <w:rFonts w:cs="Times New Roman"/>
          <w:b/>
          <w:bCs/>
          <w:szCs w:val="26"/>
        </w:rPr>
        <w:t xml:space="preserve"> and R</w:t>
      </w:r>
      <w:r w:rsidRPr="00F1714B">
        <w:rPr>
          <w:rFonts w:cs="Times New Roman"/>
          <w:b/>
          <w:bCs/>
          <w:szCs w:val="26"/>
        </w:rPr>
        <w:t>esolution</w:t>
      </w:r>
    </w:p>
    <w:p w14:paraId="375858FF" w14:textId="3E2EE9DF" w:rsidR="006566E6" w:rsidRPr="00F1714B" w:rsidRDefault="00B3365D" w:rsidP="005A65C6">
      <w:pPr>
        <w:ind w:firstLine="720"/>
        <w:rPr>
          <w:rFonts w:cs="Times New Roman"/>
          <w:szCs w:val="26"/>
        </w:rPr>
      </w:pPr>
      <w:r w:rsidRPr="00F1714B">
        <w:rPr>
          <w:rFonts w:cs="Times New Roman"/>
          <w:szCs w:val="26"/>
        </w:rPr>
        <w:t xml:space="preserve">IRRC comments that </w:t>
      </w:r>
      <w:r w:rsidR="00274740" w:rsidRPr="00F1714B">
        <w:rPr>
          <w:rFonts w:cs="Times New Roman"/>
          <w:szCs w:val="26"/>
        </w:rPr>
        <w:t xml:space="preserve">the Commission should revise </w:t>
      </w:r>
      <w:r w:rsidR="002E6F17" w:rsidRPr="00F1714B">
        <w:rPr>
          <w:rFonts w:cs="Times New Roman"/>
          <w:szCs w:val="26"/>
        </w:rPr>
        <w:t xml:space="preserve">proposed </w:t>
      </w:r>
      <w:r w:rsidR="00A77AF9" w:rsidRPr="00F1714B">
        <w:rPr>
          <w:rFonts w:cs="Times New Roman"/>
          <w:szCs w:val="26"/>
        </w:rPr>
        <w:t>S</w:t>
      </w:r>
      <w:r w:rsidR="00274740" w:rsidRPr="00F1714B">
        <w:rPr>
          <w:rFonts w:cs="Times New Roman"/>
          <w:szCs w:val="26"/>
        </w:rPr>
        <w:t>ection</w:t>
      </w:r>
      <w:r w:rsidR="00A77AF9" w:rsidRPr="00F1714B">
        <w:rPr>
          <w:rFonts w:cs="Times New Roman"/>
          <w:szCs w:val="26"/>
        </w:rPr>
        <w:t xml:space="preserve"> 53.58(a)</w:t>
      </w:r>
      <w:r w:rsidR="00274740" w:rsidRPr="00F1714B">
        <w:rPr>
          <w:rFonts w:cs="Times New Roman"/>
          <w:szCs w:val="26"/>
        </w:rPr>
        <w:t xml:space="preserve"> to make it consistent with the definition of </w:t>
      </w:r>
      <w:r w:rsidR="00F27338" w:rsidRPr="00F1714B">
        <w:rPr>
          <w:rFonts w:cs="Times New Roman"/>
          <w:szCs w:val="26"/>
        </w:rPr>
        <w:t>“</w:t>
      </w:r>
      <w:r w:rsidR="00274740" w:rsidRPr="00F1714B">
        <w:rPr>
          <w:rFonts w:cs="Times New Roman"/>
          <w:szCs w:val="26"/>
        </w:rPr>
        <w:t>protected service</w:t>
      </w:r>
      <w:r w:rsidR="00F27338" w:rsidRPr="00F1714B">
        <w:rPr>
          <w:rFonts w:cs="Times New Roman"/>
          <w:szCs w:val="26"/>
        </w:rPr>
        <w:t>”</w:t>
      </w:r>
      <w:r w:rsidR="00274740" w:rsidRPr="00F1714B">
        <w:rPr>
          <w:rFonts w:cs="Times New Roman"/>
          <w:szCs w:val="26"/>
        </w:rPr>
        <w:t xml:space="preserve"> </w:t>
      </w:r>
      <w:r w:rsidR="00A77AF9" w:rsidRPr="00F1714B">
        <w:rPr>
          <w:rFonts w:cs="Times New Roman"/>
          <w:szCs w:val="26"/>
        </w:rPr>
        <w:t xml:space="preserve">in Section 53.57 </w:t>
      </w:r>
      <w:r w:rsidR="00274740" w:rsidRPr="00F1714B">
        <w:rPr>
          <w:rFonts w:cs="Times New Roman"/>
          <w:szCs w:val="26"/>
        </w:rPr>
        <w:t xml:space="preserve">or explain why it is unnecessary to do so. </w:t>
      </w:r>
      <w:r w:rsidR="00A77AF9" w:rsidRPr="00F1714B">
        <w:rPr>
          <w:rFonts w:cs="Times New Roman"/>
          <w:szCs w:val="26"/>
        </w:rPr>
        <w:t xml:space="preserve"> The Commission will make this</w:t>
      </w:r>
      <w:r w:rsidR="00295D7B" w:rsidRPr="00F1714B">
        <w:rPr>
          <w:rFonts w:cs="Times New Roman"/>
          <w:szCs w:val="26"/>
        </w:rPr>
        <w:t xml:space="preserve"> necessary </w:t>
      </w:r>
      <w:r w:rsidR="00707885" w:rsidRPr="00F1714B">
        <w:rPr>
          <w:rFonts w:cs="Times New Roman"/>
          <w:szCs w:val="26"/>
        </w:rPr>
        <w:t xml:space="preserve">clarification </w:t>
      </w:r>
      <w:r w:rsidR="00696715" w:rsidRPr="00F1714B">
        <w:rPr>
          <w:rFonts w:cs="Times New Roman"/>
          <w:szCs w:val="26"/>
        </w:rPr>
        <w:t xml:space="preserve">to Section 53.58 </w:t>
      </w:r>
      <w:r w:rsidR="00295D7B" w:rsidRPr="00F1714B">
        <w:rPr>
          <w:rFonts w:cs="Times New Roman"/>
          <w:szCs w:val="26"/>
        </w:rPr>
        <w:t>in the final</w:t>
      </w:r>
      <w:r w:rsidR="000A588E" w:rsidRPr="00F1714B">
        <w:rPr>
          <w:rFonts w:cs="Times New Roman"/>
          <w:szCs w:val="26"/>
        </w:rPr>
        <w:t>­</w:t>
      </w:r>
      <w:r w:rsidR="00295D7B" w:rsidRPr="00F1714B">
        <w:rPr>
          <w:rFonts w:cs="Times New Roman"/>
          <w:szCs w:val="26"/>
        </w:rPr>
        <w:t>form regulation</w:t>
      </w:r>
      <w:r w:rsidR="00295D7B" w:rsidRPr="00F1714B" w:rsidDel="00707885">
        <w:rPr>
          <w:rFonts w:cs="Times New Roman"/>
          <w:szCs w:val="26"/>
        </w:rPr>
        <w:t xml:space="preserve"> </w:t>
      </w:r>
      <w:r w:rsidR="00707885" w:rsidRPr="00F1714B">
        <w:rPr>
          <w:rFonts w:cs="Times New Roman"/>
          <w:szCs w:val="26"/>
        </w:rPr>
        <w:t>so that the reference</w:t>
      </w:r>
      <w:r w:rsidR="00CB3C00" w:rsidRPr="00F1714B">
        <w:rPr>
          <w:rFonts w:cs="Times New Roman"/>
          <w:szCs w:val="26"/>
        </w:rPr>
        <w:t xml:space="preserve"> to “</w:t>
      </w:r>
      <w:r w:rsidR="00707885" w:rsidRPr="00F1714B">
        <w:rPr>
          <w:rFonts w:cs="Times New Roman"/>
          <w:szCs w:val="26"/>
        </w:rPr>
        <w:t>protected service</w:t>
      </w:r>
      <w:r w:rsidR="00CB3C00" w:rsidRPr="00F1714B">
        <w:rPr>
          <w:rFonts w:cs="Times New Roman"/>
          <w:szCs w:val="26"/>
        </w:rPr>
        <w:t>”</w:t>
      </w:r>
      <w:r w:rsidR="00707885" w:rsidRPr="00F1714B">
        <w:rPr>
          <w:rFonts w:cs="Times New Roman"/>
          <w:szCs w:val="26"/>
        </w:rPr>
        <w:t xml:space="preserve"> in both </w:t>
      </w:r>
      <w:r w:rsidR="005F159B" w:rsidRPr="00F1714B">
        <w:rPr>
          <w:rFonts w:cs="Times New Roman"/>
          <w:szCs w:val="26"/>
        </w:rPr>
        <w:t>Section</w:t>
      </w:r>
      <w:r w:rsidR="00B440C5" w:rsidRPr="00F1714B">
        <w:rPr>
          <w:rFonts w:cs="Times New Roman"/>
          <w:szCs w:val="26"/>
        </w:rPr>
        <w:t>s</w:t>
      </w:r>
      <w:r w:rsidR="005F159B" w:rsidRPr="00F1714B">
        <w:rPr>
          <w:rFonts w:cs="Times New Roman"/>
          <w:szCs w:val="26"/>
        </w:rPr>
        <w:t xml:space="preserve"> </w:t>
      </w:r>
      <w:r w:rsidR="00B440C5" w:rsidRPr="00F1714B">
        <w:rPr>
          <w:rFonts w:cs="Times New Roman"/>
          <w:szCs w:val="26"/>
        </w:rPr>
        <w:t xml:space="preserve">53.57 and </w:t>
      </w:r>
      <w:r w:rsidR="005F159B" w:rsidRPr="00F1714B">
        <w:rPr>
          <w:rFonts w:cs="Times New Roman"/>
          <w:szCs w:val="26"/>
        </w:rPr>
        <w:t>53.58</w:t>
      </w:r>
      <w:r w:rsidR="00B440C5" w:rsidRPr="00F1714B">
        <w:rPr>
          <w:rFonts w:cs="Times New Roman"/>
          <w:szCs w:val="26"/>
        </w:rPr>
        <w:t xml:space="preserve"> </w:t>
      </w:r>
      <w:r w:rsidR="00696715" w:rsidRPr="00F1714B">
        <w:rPr>
          <w:rFonts w:cs="Times New Roman"/>
          <w:szCs w:val="26"/>
        </w:rPr>
        <w:t>is</w:t>
      </w:r>
      <w:r w:rsidR="00707885" w:rsidRPr="00F1714B">
        <w:rPr>
          <w:rFonts w:cs="Times New Roman"/>
          <w:szCs w:val="26"/>
        </w:rPr>
        <w:t xml:space="preserve"> consistent</w:t>
      </w:r>
      <w:r w:rsidR="00295D7B" w:rsidRPr="00F1714B">
        <w:rPr>
          <w:rFonts w:cs="Times New Roman"/>
          <w:szCs w:val="26"/>
        </w:rPr>
        <w:t xml:space="preserve"> with each other and the statutory language of Chapter 30 of the Code</w:t>
      </w:r>
      <w:r w:rsidR="00F67AD5" w:rsidRPr="00F1714B">
        <w:rPr>
          <w:rFonts w:cs="Times New Roman"/>
          <w:szCs w:val="26"/>
        </w:rPr>
        <w:t>.</w:t>
      </w:r>
    </w:p>
    <w:p w14:paraId="505F53D3" w14:textId="77777777" w:rsidR="002B58D9" w:rsidRPr="00F1714B" w:rsidRDefault="002B58D9" w:rsidP="005A65C6">
      <w:pPr>
        <w:ind w:firstLine="720"/>
        <w:rPr>
          <w:rFonts w:cs="Times New Roman"/>
          <w:szCs w:val="26"/>
        </w:rPr>
      </w:pPr>
    </w:p>
    <w:p w14:paraId="1E550745" w14:textId="28381D74" w:rsidR="00927051" w:rsidRPr="00F1714B" w:rsidRDefault="00696715" w:rsidP="005A65C6">
      <w:pPr>
        <w:ind w:firstLine="720"/>
        <w:rPr>
          <w:szCs w:val="26"/>
        </w:rPr>
      </w:pPr>
      <w:r w:rsidRPr="00F1714B">
        <w:rPr>
          <w:rFonts w:cs="Times New Roman"/>
          <w:szCs w:val="26"/>
        </w:rPr>
        <w:t>Next</w:t>
      </w:r>
      <w:r w:rsidR="0085258C" w:rsidRPr="00F1714B">
        <w:rPr>
          <w:rFonts w:cs="Times New Roman"/>
          <w:szCs w:val="26"/>
        </w:rPr>
        <w:t>,</w:t>
      </w:r>
      <w:r w:rsidRPr="00F1714B">
        <w:rPr>
          <w:rFonts w:cs="Times New Roman"/>
          <w:szCs w:val="26"/>
        </w:rPr>
        <w:t xml:space="preserve"> we address </w:t>
      </w:r>
      <w:r w:rsidR="000F2E3E" w:rsidRPr="00F1714B">
        <w:rPr>
          <w:rFonts w:cs="Times New Roman"/>
          <w:szCs w:val="26"/>
        </w:rPr>
        <w:t>TCC/CCL</w:t>
      </w:r>
      <w:r w:rsidRPr="00F1714B">
        <w:rPr>
          <w:rFonts w:cs="Times New Roman"/>
          <w:szCs w:val="26"/>
        </w:rPr>
        <w:t xml:space="preserve">’s </w:t>
      </w:r>
      <w:r w:rsidR="000F2E3E" w:rsidRPr="00F1714B">
        <w:rPr>
          <w:rFonts w:cs="Times New Roman"/>
          <w:szCs w:val="26"/>
        </w:rPr>
        <w:t>propose</w:t>
      </w:r>
      <w:r w:rsidRPr="00F1714B">
        <w:rPr>
          <w:rFonts w:cs="Times New Roman"/>
          <w:szCs w:val="26"/>
        </w:rPr>
        <w:t xml:space="preserve">d </w:t>
      </w:r>
      <w:r w:rsidR="000F2E3E" w:rsidRPr="00F1714B">
        <w:rPr>
          <w:rFonts w:cs="Times New Roman"/>
          <w:szCs w:val="26"/>
        </w:rPr>
        <w:t xml:space="preserve">modifications to proposed Section 53.58 based on </w:t>
      </w:r>
      <w:r w:rsidR="002E51A9" w:rsidRPr="00F1714B">
        <w:rPr>
          <w:rFonts w:cs="Times New Roman"/>
          <w:szCs w:val="26"/>
        </w:rPr>
        <w:t xml:space="preserve">their </w:t>
      </w:r>
      <w:r w:rsidR="000F2E3E" w:rsidRPr="00F1714B">
        <w:rPr>
          <w:rFonts w:cs="Times New Roman"/>
          <w:szCs w:val="26"/>
        </w:rPr>
        <w:t xml:space="preserve">premise that the revised Chapter 30 contains a presumption that all services provided by a competitive local exchange carrier or competitive telecommunications carrier are by definition “competitive’ services under Chapter 30.  </w:t>
      </w:r>
      <w:r w:rsidR="00AA49A0" w:rsidRPr="00F1714B">
        <w:rPr>
          <w:rFonts w:cs="Times New Roman"/>
          <w:szCs w:val="26"/>
        </w:rPr>
        <w:t>TCC/CCL’s statutory interpretation is inconsistent with the plain language of</w:t>
      </w:r>
      <w:r w:rsidR="003E636E" w:rsidRPr="00F1714B">
        <w:rPr>
          <w:rFonts w:cs="Times New Roman"/>
          <w:szCs w:val="26"/>
        </w:rPr>
        <w:t xml:space="preserve"> </w:t>
      </w:r>
      <w:r w:rsidR="00543322" w:rsidRPr="00F1714B">
        <w:rPr>
          <w:szCs w:val="26"/>
        </w:rPr>
        <w:t xml:space="preserve">Chapter 30 </w:t>
      </w:r>
      <w:r w:rsidR="003E636E" w:rsidRPr="00F1714B">
        <w:rPr>
          <w:szCs w:val="26"/>
        </w:rPr>
        <w:t xml:space="preserve">of the Code as it </w:t>
      </w:r>
      <w:r w:rsidR="00543322" w:rsidRPr="00F1714B">
        <w:rPr>
          <w:szCs w:val="26"/>
        </w:rPr>
        <w:t>does not establish a standalone or independent statutory mechanism for a competitive telecommunications carrier to classify its telecommunications services as “competitive</w:t>
      </w:r>
      <w:r w:rsidR="000A5D06" w:rsidRPr="00F1714B">
        <w:rPr>
          <w:szCs w:val="26"/>
        </w:rPr>
        <w:t>.</w:t>
      </w:r>
      <w:r w:rsidR="00543322" w:rsidRPr="00F1714B">
        <w:rPr>
          <w:szCs w:val="26"/>
        </w:rPr>
        <w:t xml:space="preserve">”  </w:t>
      </w:r>
      <w:r w:rsidR="00E62565" w:rsidRPr="00F1714B">
        <w:rPr>
          <w:szCs w:val="26"/>
        </w:rPr>
        <w:t xml:space="preserve">Rather, </w:t>
      </w:r>
      <w:r w:rsidR="00391FE0" w:rsidRPr="00F1714B">
        <w:rPr>
          <w:szCs w:val="26"/>
        </w:rPr>
        <w:t>Section 3016 of the Code</w:t>
      </w:r>
      <w:r w:rsidR="00697FAF" w:rsidRPr="00F1714B">
        <w:rPr>
          <w:szCs w:val="26"/>
        </w:rPr>
        <w:t xml:space="preserve"> gives </w:t>
      </w:r>
      <w:r w:rsidR="002A3317" w:rsidRPr="00F1714B">
        <w:rPr>
          <w:szCs w:val="26"/>
        </w:rPr>
        <w:t xml:space="preserve">the authority to obtain competitive classifications for their respective retail protected services to incumbent </w:t>
      </w:r>
      <w:r w:rsidR="00E62565" w:rsidRPr="00F1714B">
        <w:rPr>
          <w:szCs w:val="26"/>
        </w:rPr>
        <w:t>carrier</w:t>
      </w:r>
      <w:r w:rsidR="00667207" w:rsidRPr="00F1714B">
        <w:rPr>
          <w:szCs w:val="26"/>
        </w:rPr>
        <w:t xml:space="preserve">s </w:t>
      </w:r>
      <w:r w:rsidR="00D37AC3" w:rsidRPr="00F1714B">
        <w:rPr>
          <w:szCs w:val="26"/>
        </w:rPr>
        <w:t>only.</w:t>
      </w:r>
      <w:r w:rsidR="00BE2131" w:rsidRPr="00F1714B">
        <w:rPr>
          <w:szCs w:val="26"/>
        </w:rPr>
        <w:t xml:space="preserve">  </w:t>
      </w:r>
      <w:r w:rsidR="00D37AC3" w:rsidRPr="00F1714B">
        <w:rPr>
          <w:szCs w:val="26"/>
        </w:rPr>
        <w:t>Under 3016(a) of the Code</w:t>
      </w:r>
      <w:r w:rsidR="00383255" w:rsidRPr="00F1714B">
        <w:rPr>
          <w:szCs w:val="26"/>
        </w:rPr>
        <w:t xml:space="preserve">, the Commission </w:t>
      </w:r>
      <w:r w:rsidR="002E51A9" w:rsidRPr="00F1714B">
        <w:rPr>
          <w:szCs w:val="26"/>
        </w:rPr>
        <w:t xml:space="preserve">may </w:t>
      </w:r>
      <w:r w:rsidR="003D2ECF" w:rsidRPr="00F1714B">
        <w:rPr>
          <w:szCs w:val="26"/>
        </w:rPr>
        <w:t xml:space="preserve">determine </w:t>
      </w:r>
      <w:r w:rsidR="00D37AC3" w:rsidRPr="00F1714B">
        <w:rPr>
          <w:szCs w:val="26"/>
        </w:rPr>
        <w:t xml:space="preserve">the </w:t>
      </w:r>
      <w:r w:rsidR="00697FAF" w:rsidRPr="00F1714B">
        <w:rPr>
          <w:szCs w:val="26"/>
        </w:rPr>
        <w:t xml:space="preserve">retail </w:t>
      </w:r>
      <w:r w:rsidR="00697FAF" w:rsidRPr="00F1714B">
        <w:rPr>
          <w:i/>
          <w:iCs/>
          <w:szCs w:val="26"/>
        </w:rPr>
        <w:t>protected</w:t>
      </w:r>
      <w:r w:rsidR="00697FAF" w:rsidRPr="00F1714B">
        <w:rPr>
          <w:szCs w:val="26"/>
        </w:rPr>
        <w:t xml:space="preserve"> or retail </w:t>
      </w:r>
      <w:r w:rsidR="00383255" w:rsidRPr="00F1714B">
        <w:rPr>
          <w:i/>
          <w:iCs/>
          <w:szCs w:val="26"/>
        </w:rPr>
        <w:t>noncompetitive</w:t>
      </w:r>
      <w:r w:rsidR="00383255" w:rsidRPr="00F1714B">
        <w:rPr>
          <w:szCs w:val="26"/>
        </w:rPr>
        <w:t xml:space="preserve"> </w:t>
      </w:r>
      <w:r w:rsidR="000F2E3E" w:rsidRPr="00F1714B">
        <w:rPr>
          <w:szCs w:val="26"/>
        </w:rPr>
        <w:t xml:space="preserve">services </w:t>
      </w:r>
      <w:r w:rsidR="00D37AC3" w:rsidRPr="00F1714B">
        <w:rPr>
          <w:szCs w:val="26"/>
        </w:rPr>
        <w:t xml:space="preserve">of a </w:t>
      </w:r>
      <w:r w:rsidR="00391FE0" w:rsidRPr="00F1714B">
        <w:rPr>
          <w:szCs w:val="26"/>
        </w:rPr>
        <w:t>local exchange telecommunications company (</w:t>
      </w:r>
      <w:r w:rsidR="00DC044A" w:rsidRPr="00F1714B">
        <w:rPr>
          <w:szCs w:val="26"/>
        </w:rPr>
        <w:t>defined as an “</w:t>
      </w:r>
      <w:r w:rsidR="00391FE0" w:rsidRPr="00F1714B">
        <w:rPr>
          <w:szCs w:val="26"/>
        </w:rPr>
        <w:t>ILEC</w:t>
      </w:r>
      <w:r w:rsidR="00DC044A" w:rsidRPr="00F1714B">
        <w:rPr>
          <w:szCs w:val="26"/>
        </w:rPr>
        <w:t>”</w:t>
      </w:r>
      <w:r w:rsidR="00391FE0" w:rsidRPr="00F1714B">
        <w:rPr>
          <w:szCs w:val="26"/>
        </w:rPr>
        <w:t xml:space="preserve">) </w:t>
      </w:r>
      <w:r w:rsidR="003D2ECF" w:rsidRPr="00F1714B">
        <w:rPr>
          <w:szCs w:val="26"/>
        </w:rPr>
        <w:t xml:space="preserve">to be </w:t>
      </w:r>
      <w:r w:rsidR="00D37AC3" w:rsidRPr="00F1714B">
        <w:rPr>
          <w:szCs w:val="26"/>
        </w:rPr>
        <w:t xml:space="preserve">competitive upon the filing of petition </w:t>
      </w:r>
      <w:r w:rsidR="00520A4F" w:rsidRPr="00F1714B">
        <w:rPr>
          <w:szCs w:val="26"/>
        </w:rPr>
        <w:t xml:space="preserve">and notice and hearing thereupon </w:t>
      </w:r>
      <w:r w:rsidR="00D37AC3" w:rsidRPr="00F1714B">
        <w:rPr>
          <w:szCs w:val="26"/>
        </w:rPr>
        <w:t>as outline</w:t>
      </w:r>
      <w:r w:rsidR="00520A4F" w:rsidRPr="00F1714B">
        <w:rPr>
          <w:szCs w:val="26"/>
        </w:rPr>
        <w:t xml:space="preserve">d </w:t>
      </w:r>
      <w:r w:rsidR="00D37AC3" w:rsidRPr="00F1714B">
        <w:rPr>
          <w:szCs w:val="26"/>
        </w:rPr>
        <w:t>in the statutory</w:t>
      </w:r>
      <w:r w:rsidR="003846CA" w:rsidRPr="00F1714B">
        <w:rPr>
          <w:szCs w:val="26"/>
        </w:rPr>
        <w:t xml:space="preserve"> language</w:t>
      </w:r>
      <w:r w:rsidR="000F2E3E" w:rsidRPr="00F1714B">
        <w:rPr>
          <w:szCs w:val="26"/>
        </w:rPr>
        <w:t>.  Section 3016(</w:t>
      </w:r>
      <w:r w:rsidR="00520A4F" w:rsidRPr="00F1714B">
        <w:rPr>
          <w:szCs w:val="26"/>
        </w:rPr>
        <w:t>b</w:t>
      </w:r>
      <w:r w:rsidR="000F2E3E" w:rsidRPr="00F1714B">
        <w:rPr>
          <w:szCs w:val="26"/>
        </w:rPr>
        <w:t xml:space="preserve">) </w:t>
      </w:r>
      <w:r w:rsidR="00543322" w:rsidRPr="00F1714B">
        <w:rPr>
          <w:szCs w:val="26"/>
        </w:rPr>
        <w:t xml:space="preserve">of the Code </w:t>
      </w:r>
      <w:r w:rsidR="00724AC5" w:rsidRPr="00F1714B">
        <w:rPr>
          <w:szCs w:val="26"/>
        </w:rPr>
        <w:t xml:space="preserve">gives </w:t>
      </w:r>
      <w:r w:rsidR="00151311" w:rsidRPr="00F1714B">
        <w:rPr>
          <w:szCs w:val="26"/>
        </w:rPr>
        <w:t xml:space="preserve">a </w:t>
      </w:r>
      <w:r w:rsidR="00724AC5" w:rsidRPr="00F1714B">
        <w:rPr>
          <w:szCs w:val="26"/>
        </w:rPr>
        <w:t>local exchange telecommunications c</w:t>
      </w:r>
      <w:r w:rsidR="00151311" w:rsidRPr="00F1714B">
        <w:rPr>
          <w:szCs w:val="26"/>
        </w:rPr>
        <w:t xml:space="preserve">ompany </w:t>
      </w:r>
      <w:r w:rsidR="00391FE0" w:rsidRPr="00F1714B">
        <w:rPr>
          <w:szCs w:val="26"/>
        </w:rPr>
        <w:t xml:space="preserve">the right </w:t>
      </w:r>
      <w:r w:rsidR="009E2C6E" w:rsidRPr="00F1714B">
        <w:rPr>
          <w:szCs w:val="26"/>
        </w:rPr>
        <w:t>to</w:t>
      </w:r>
      <w:r w:rsidR="00151311" w:rsidRPr="00F1714B">
        <w:rPr>
          <w:szCs w:val="26"/>
        </w:rPr>
        <w:t xml:space="preserve"> </w:t>
      </w:r>
      <w:r w:rsidR="00391FE0" w:rsidRPr="00F1714B">
        <w:rPr>
          <w:szCs w:val="26"/>
        </w:rPr>
        <w:t xml:space="preserve">bypass the Section </w:t>
      </w:r>
      <w:r w:rsidR="00391FE0" w:rsidRPr="00F1714B">
        <w:rPr>
          <w:szCs w:val="26"/>
        </w:rPr>
        <w:lastRenderedPageBreak/>
        <w:t xml:space="preserve">3016(a) petition process and self-declare </w:t>
      </w:r>
      <w:r w:rsidR="003D44E2" w:rsidRPr="00F1714B">
        <w:rPr>
          <w:szCs w:val="26"/>
        </w:rPr>
        <w:t xml:space="preserve">its </w:t>
      </w:r>
      <w:r w:rsidR="00391FE0" w:rsidRPr="00F1714B">
        <w:rPr>
          <w:szCs w:val="26"/>
        </w:rPr>
        <w:t xml:space="preserve">retail </w:t>
      </w:r>
      <w:r w:rsidR="00543322" w:rsidRPr="00F1714B">
        <w:rPr>
          <w:i/>
          <w:iCs/>
          <w:szCs w:val="26"/>
        </w:rPr>
        <w:t>nonprotected</w:t>
      </w:r>
      <w:r w:rsidR="00543322" w:rsidRPr="00F1714B">
        <w:rPr>
          <w:szCs w:val="26"/>
        </w:rPr>
        <w:t xml:space="preserve"> </w:t>
      </w:r>
      <w:r w:rsidR="00391FE0" w:rsidRPr="00F1714B">
        <w:rPr>
          <w:szCs w:val="26"/>
        </w:rPr>
        <w:t>services “competitive</w:t>
      </w:r>
      <w:r w:rsidR="00254324" w:rsidRPr="00F1714B">
        <w:rPr>
          <w:szCs w:val="26"/>
        </w:rPr>
        <w:t>.</w:t>
      </w:r>
      <w:r w:rsidR="00391FE0" w:rsidRPr="00F1714B">
        <w:rPr>
          <w:szCs w:val="26"/>
        </w:rPr>
        <w:t>”</w:t>
      </w:r>
      <w:r w:rsidR="000756EB" w:rsidRPr="00F1714B">
        <w:rPr>
          <w:rStyle w:val="FootnoteReference"/>
          <w:szCs w:val="26"/>
        </w:rPr>
        <w:footnoteReference w:id="32"/>
      </w:r>
      <w:r w:rsidR="000756EB" w:rsidRPr="00F1714B">
        <w:rPr>
          <w:szCs w:val="26"/>
        </w:rPr>
        <w:t xml:space="preserve">  </w:t>
      </w:r>
      <w:r w:rsidR="00DC044A" w:rsidRPr="00F1714B">
        <w:rPr>
          <w:szCs w:val="26"/>
        </w:rPr>
        <w:t>C</w:t>
      </w:r>
      <w:r w:rsidR="009A16F5" w:rsidRPr="00F1714B">
        <w:rPr>
          <w:szCs w:val="26"/>
        </w:rPr>
        <w:t>ontrary to TCC/CCL’s assertion</w:t>
      </w:r>
      <w:r w:rsidR="00700C8E" w:rsidRPr="00F1714B">
        <w:rPr>
          <w:szCs w:val="26"/>
        </w:rPr>
        <w:t>,</w:t>
      </w:r>
      <w:r w:rsidR="009A16F5" w:rsidRPr="00F1714B">
        <w:rPr>
          <w:szCs w:val="26"/>
        </w:rPr>
        <w:t xml:space="preserve"> there is no </w:t>
      </w:r>
      <w:r w:rsidR="00DC044A" w:rsidRPr="00F1714B">
        <w:rPr>
          <w:szCs w:val="26"/>
        </w:rPr>
        <w:t xml:space="preserve">express </w:t>
      </w:r>
      <w:r w:rsidR="009A16F5" w:rsidRPr="00F1714B">
        <w:rPr>
          <w:szCs w:val="26"/>
        </w:rPr>
        <w:t xml:space="preserve">rebuttable presumption </w:t>
      </w:r>
      <w:r w:rsidR="007D2EA2" w:rsidRPr="00F1714B">
        <w:rPr>
          <w:szCs w:val="26"/>
        </w:rPr>
        <w:t xml:space="preserve">in Chapter 30 of the Code </w:t>
      </w:r>
      <w:r w:rsidR="009A16F5" w:rsidRPr="00F1714B">
        <w:rPr>
          <w:szCs w:val="26"/>
        </w:rPr>
        <w:t xml:space="preserve">that all services offered by competitive entrants are automatically deemed </w:t>
      </w:r>
      <w:r w:rsidR="007166B8" w:rsidRPr="00F1714B">
        <w:rPr>
          <w:szCs w:val="26"/>
        </w:rPr>
        <w:t>competitive services.</w:t>
      </w:r>
    </w:p>
    <w:p w14:paraId="30708A12" w14:textId="77777777" w:rsidR="00927051" w:rsidRPr="00F1714B" w:rsidRDefault="00927051" w:rsidP="005A65C6">
      <w:pPr>
        <w:ind w:firstLine="720"/>
        <w:rPr>
          <w:szCs w:val="26"/>
        </w:rPr>
      </w:pPr>
    </w:p>
    <w:p w14:paraId="5D915DE1" w14:textId="6ECCA712" w:rsidR="00151311" w:rsidRPr="00F1714B" w:rsidRDefault="005D7AD2" w:rsidP="005A65C6">
      <w:pPr>
        <w:ind w:firstLine="720"/>
        <w:rPr>
          <w:szCs w:val="26"/>
        </w:rPr>
      </w:pPr>
      <w:r w:rsidRPr="00F1714B">
        <w:rPr>
          <w:szCs w:val="26"/>
        </w:rPr>
        <w:t>For this same reason,</w:t>
      </w:r>
      <w:r w:rsidR="00151311" w:rsidRPr="00F1714B">
        <w:rPr>
          <w:szCs w:val="26"/>
        </w:rPr>
        <w:t xml:space="preserve"> we also reject TCC/CCL’s assertion that the Commission should not specify the types of voice service offering</w:t>
      </w:r>
      <w:r w:rsidR="006873D3" w:rsidRPr="00F1714B">
        <w:rPr>
          <w:szCs w:val="26"/>
        </w:rPr>
        <w:t>s</w:t>
      </w:r>
      <w:r w:rsidR="00151311" w:rsidRPr="00F1714B">
        <w:rPr>
          <w:szCs w:val="26"/>
        </w:rPr>
        <w:t xml:space="preserve"> a competitive carrier shall offer its customers to include “basic” voice service.  Local </w:t>
      </w:r>
      <w:r w:rsidR="00DC044A" w:rsidRPr="00F1714B">
        <w:rPr>
          <w:szCs w:val="26"/>
        </w:rPr>
        <w:t xml:space="preserve">exchange telecommunications </w:t>
      </w:r>
      <w:r w:rsidR="00151311" w:rsidRPr="00F1714B">
        <w:rPr>
          <w:szCs w:val="26"/>
        </w:rPr>
        <w:t>service is defined as a protected service in Chapter 30 of the Code.</w:t>
      </w:r>
      <w:r w:rsidR="00151311" w:rsidRPr="00F1714B">
        <w:rPr>
          <w:rStyle w:val="FootnoteReference"/>
          <w:szCs w:val="26"/>
        </w:rPr>
        <w:footnoteReference w:id="33"/>
      </w:r>
      <w:r w:rsidR="00151311" w:rsidRPr="00F1714B">
        <w:rPr>
          <w:szCs w:val="26"/>
        </w:rPr>
        <w:t xml:space="preserve">  It remains a protected service whether it is offered on a standalone basis or in a joint or bundled package</w:t>
      </w:r>
      <w:r w:rsidR="00E83497" w:rsidRPr="00F1714B">
        <w:rPr>
          <w:szCs w:val="26"/>
        </w:rPr>
        <w:t>.</w:t>
      </w:r>
      <w:r w:rsidR="00151311" w:rsidRPr="00F1714B">
        <w:rPr>
          <w:szCs w:val="26"/>
        </w:rPr>
        <w:t xml:space="preserve"> </w:t>
      </w:r>
      <w:r w:rsidR="00254324" w:rsidRPr="00F1714B">
        <w:rPr>
          <w:szCs w:val="26"/>
        </w:rPr>
        <w:t xml:space="preserve"> </w:t>
      </w:r>
      <w:r w:rsidR="00AB7D6E" w:rsidRPr="00F1714B">
        <w:rPr>
          <w:szCs w:val="26"/>
        </w:rPr>
        <w:t>In a prior rulemaking proceeding, t</w:t>
      </w:r>
      <w:r w:rsidR="00151311" w:rsidRPr="00F1714B">
        <w:rPr>
          <w:szCs w:val="26"/>
        </w:rPr>
        <w:t xml:space="preserve">he Commission </w:t>
      </w:r>
      <w:r w:rsidR="00E2242E" w:rsidRPr="00F1714B">
        <w:rPr>
          <w:szCs w:val="26"/>
        </w:rPr>
        <w:t>merely</w:t>
      </w:r>
      <w:r w:rsidR="00151311" w:rsidRPr="00F1714B">
        <w:rPr>
          <w:szCs w:val="26"/>
        </w:rPr>
        <w:t xml:space="preserve"> determined </w:t>
      </w:r>
      <w:r w:rsidR="00A84C05" w:rsidRPr="00F1714B">
        <w:rPr>
          <w:szCs w:val="26"/>
        </w:rPr>
        <w:t>to streamline filing requirements for bundled service packages</w:t>
      </w:r>
      <w:r w:rsidR="00EF348D" w:rsidRPr="00F1714B">
        <w:rPr>
          <w:szCs w:val="26"/>
        </w:rPr>
        <w:t>, not to eliminate any obligation to provide protected service</w:t>
      </w:r>
      <w:r w:rsidR="00A84C05" w:rsidRPr="00F1714B">
        <w:rPr>
          <w:szCs w:val="26"/>
        </w:rPr>
        <w:t>.</w:t>
      </w:r>
      <w:r w:rsidR="00F12F14" w:rsidRPr="00F1714B">
        <w:rPr>
          <w:rStyle w:val="FootnoteReference"/>
          <w:szCs w:val="26"/>
        </w:rPr>
        <w:footnoteReference w:id="34"/>
      </w:r>
      <w:r w:rsidR="00A84C05" w:rsidRPr="00F1714B">
        <w:rPr>
          <w:szCs w:val="26"/>
        </w:rPr>
        <w:t xml:space="preserve">  Essentially, when a LEC bundles </w:t>
      </w:r>
      <w:r w:rsidR="00151311" w:rsidRPr="00F1714B">
        <w:rPr>
          <w:szCs w:val="26"/>
        </w:rPr>
        <w:t xml:space="preserve">“basic” </w:t>
      </w:r>
      <w:r w:rsidR="00DC044A" w:rsidRPr="00F1714B">
        <w:rPr>
          <w:szCs w:val="26"/>
        </w:rPr>
        <w:t xml:space="preserve">local exchange </w:t>
      </w:r>
      <w:r w:rsidR="00151311" w:rsidRPr="00F1714B">
        <w:rPr>
          <w:szCs w:val="26"/>
        </w:rPr>
        <w:t xml:space="preserve">(or standalone) voice </w:t>
      </w:r>
      <w:r w:rsidR="00DC044A" w:rsidRPr="00F1714B">
        <w:rPr>
          <w:szCs w:val="26"/>
        </w:rPr>
        <w:t xml:space="preserve">service </w:t>
      </w:r>
      <w:r w:rsidR="00151311" w:rsidRPr="00F1714B">
        <w:rPr>
          <w:szCs w:val="26"/>
        </w:rPr>
        <w:t xml:space="preserve">with </w:t>
      </w:r>
      <w:r w:rsidR="00A84C05" w:rsidRPr="00F1714B">
        <w:rPr>
          <w:szCs w:val="26"/>
        </w:rPr>
        <w:t xml:space="preserve">other </w:t>
      </w:r>
      <w:r w:rsidR="00151311" w:rsidRPr="00F1714B">
        <w:rPr>
          <w:szCs w:val="26"/>
        </w:rPr>
        <w:t xml:space="preserve">services </w:t>
      </w:r>
      <w:r w:rsidR="00F12F14" w:rsidRPr="00F1714B">
        <w:rPr>
          <w:szCs w:val="26"/>
        </w:rPr>
        <w:t xml:space="preserve">as </w:t>
      </w:r>
      <w:r w:rsidR="00151311" w:rsidRPr="00F1714B">
        <w:rPr>
          <w:szCs w:val="26"/>
        </w:rPr>
        <w:t xml:space="preserve">a joint or bundled service package, the LEC is afforded </w:t>
      </w:r>
      <w:r w:rsidR="00FF351E" w:rsidRPr="00F1714B">
        <w:rPr>
          <w:szCs w:val="26"/>
        </w:rPr>
        <w:t xml:space="preserve">some </w:t>
      </w:r>
      <w:r w:rsidR="00151311" w:rsidRPr="00F1714B">
        <w:rPr>
          <w:szCs w:val="26"/>
        </w:rPr>
        <w:t>pricing flexibility</w:t>
      </w:r>
      <w:r w:rsidR="00F50E87" w:rsidRPr="00F1714B">
        <w:rPr>
          <w:szCs w:val="26"/>
        </w:rPr>
        <w:t xml:space="preserve"> </w:t>
      </w:r>
      <w:r w:rsidR="00F50E87" w:rsidRPr="00F1714B">
        <w:rPr>
          <w:i/>
          <w:iCs/>
          <w:szCs w:val="26"/>
        </w:rPr>
        <w:t>for the package, which includes the standalone service</w:t>
      </w:r>
      <w:r w:rsidR="00151311" w:rsidRPr="00F1714B">
        <w:rPr>
          <w:szCs w:val="26"/>
        </w:rPr>
        <w:t>.</w:t>
      </w:r>
      <w:r w:rsidR="003815D0" w:rsidRPr="00F1714B">
        <w:rPr>
          <w:rStyle w:val="FootnoteReference"/>
          <w:szCs w:val="26"/>
        </w:rPr>
        <w:footnoteReference w:id="35"/>
      </w:r>
      <w:r w:rsidR="006873D3" w:rsidRPr="00F1714B">
        <w:rPr>
          <w:szCs w:val="26"/>
        </w:rPr>
        <w:t xml:space="preserve">  However, the obligation still exists to provide the service. </w:t>
      </w:r>
    </w:p>
    <w:p w14:paraId="542E7E8B" w14:textId="77777777" w:rsidR="00151311" w:rsidRPr="00F1714B" w:rsidRDefault="00151311" w:rsidP="005A65C6">
      <w:pPr>
        <w:ind w:firstLine="720"/>
        <w:rPr>
          <w:szCs w:val="26"/>
        </w:rPr>
      </w:pPr>
    </w:p>
    <w:p w14:paraId="1AF7B6BA" w14:textId="6803863F" w:rsidR="00BF4AAA" w:rsidRPr="00F1714B" w:rsidRDefault="00FC333A" w:rsidP="0058623B">
      <w:pPr>
        <w:ind w:firstLine="720"/>
        <w:rPr>
          <w:szCs w:val="26"/>
        </w:rPr>
      </w:pPr>
      <w:r w:rsidRPr="00F1714B">
        <w:rPr>
          <w:szCs w:val="26"/>
        </w:rPr>
        <w:t>W</w:t>
      </w:r>
      <w:r w:rsidR="0062618A" w:rsidRPr="00F1714B">
        <w:rPr>
          <w:szCs w:val="26"/>
        </w:rPr>
        <w:t>e</w:t>
      </w:r>
      <w:r w:rsidR="007E508F" w:rsidRPr="00F1714B">
        <w:rPr>
          <w:szCs w:val="26"/>
        </w:rPr>
        <w:t xml:space="preserve"> </w:t>
      </w:r>
      <w:proofErr w:type="gramStart"/>
      <w:r w:rsidR="007E508F" w:rsidRPr="00F1714B">
        <w:rPr>
          <w:szCs w:val="26"/>
        </w:rPr>
        <w:t>take action</w:t>
      </w:r>
      <w:proofErr w:type="gramEnd"/>
      <w:r w:rsidR="007E508F" w:rsidRPr="00F1714B">
        <w:rPr>
          <w:szCs w:val="26"/>
        </w:rPr>
        <w:t xml:space="preserve"> </w:t>
      </w:r>
      <w:r w:rsidRPr="00F1714B">
        <w:rPr>
          <w:szCs w:val="26"/>
        </w:rPr>
        <w:t xml:space="preserve">in this final rulemaking </w:t>
      </w:r>
      <w:r w:rsidR="007E508F" w:rsidRPr="00F1714B">
        <w:rPr>
          <w:szCs w:val="26"/>
        </w:rPr>
        <w:t xml:space="preserve">to </w:t>
      </w:r>
      <w:r w:rsidR="00BC4DD2" w:rsidRPr="00F1714B">
        <w:rPr>
          <w:szCs w:val="26"/>
        </w:rPr>
        <w:t xml:space="preserve">ensure that </w:t>
      </w:r>
      <w:r w:rsidR="00C91734" w:rsidRPr="00F1714B">
        <w:rPr>
          <w:szCs w:val="26"/>
        </w:rPr>
        <w:t>S</w:t>
      </w:r>
      <w:r w:rsidR="00196A35" w:rsidRPr="00F1714B">
        <w:rPr>
          <w:szCs w:val="26"/>
        </w:rPr>
        <w:t xml:space="preserve">ection </w:t>
      </w:r>
      <w:r w:rsidR="00C91734" w:rsidRPr="00F1714B">
        <w:rPr>
          <w:szCs w:val="26"/>
        </w:rPr>
        <w:t>5</w:t>
      </w:r>
      <w:r w:rsidR="00674063" w:rsidRPr="00F1714B">
        <w:rPr>
          <w:szCs w:val="26"/>
        </w:rPr>
        <w:t>3</w:t>
      </w:r>
      <w:r w:rsidR="00C91734" w:rsidRPr="00F1714B">
        <w:rPr>
          <w:szCs w:val="26"/>
        </w:rPr>
        <w:t>.5</w:t>
      </w:r>
      <w:r w:rsidR="00674063" w:rsidRPr="00F1714B">
        <w:rPr>
          <w:szCs w:val="26"/>
        </w:rPr>
        <w:t>8</w:t>
      </w:r>
      <w:r w:rsidR="00C91734" w:rsidRPr="00F1714B">
        <w:rPr>
          <w:szCs w:val="26"/>
        </w:rPr>
        <w:t xml:space="preserve"> </w:t>
      </w:r>
      <w:r w:rsidR="00196A35" w:rsidRPr="00F1714B">
        <w:rPr>
          <w:szCs w:val="26"/>
        </w:rPr>
        <w:t>is consistent with plain language of Chapter 30 of the Code and its policy objectives.</w:t>
      </w:r>
      <w:r w:rsidR="0058623B" w:rsidRPr="00F1714B">
        <w:rPr>
          <w:szCs w:val="26"/>
        </w:rPr>
        <w:t xml:space="preserve">  </w:t>
      </w:r>
      <w:r w:rsidR="00BF4AAA" w:rsidRPr="00F1714B">
        <w:rPr>
          <w:szCs w:val="26"/>
        </w:rPr>
        <w:t>O</w:t>
      </w:r>
      <w:r w:rsidR="00D428B1" w:rsidRPr="00F1714B">
        <w:rPr>
          <w:szCs w:val="26"/>
        </w:rPr>
        <w:t xml:space="preserve">nly </w:t>
      </w:r>
      <w:r w:rsidR="007E508F" w:rsidRPr="00F1714B">
        <w:rPr>
          <w:szCs w:val="26"/>
        </w:rPr>
        <w:t>a</w:t>
      </w:r>
      <w:r w:rsidR="008E5050" w:rsidRPr="00F1714B">
        <w:rPr>
          <w:szCs w:val="26"/>
        </w:rPr>
        <w:t xml:space="preserve"> </w:t>
      </w:r>
      <w:r w:rsidR="00DD7D4E" w:rsidRPr="00F1714B">
        <w:rPr>
          <w:szCs w:val="26"/>
        </w:rPr>
        <w:t>local exchange telecommunication</w:t>
      </w:r>
      <w:r w:rsidR="00EC114F" w:rsidRPr="00F1714B">
        <w:rPr>
          <w:szCs w:val="26"/>
        </w:rPr>
        <w:t xml:space="preserve"> company has the </w:t>
      </w:r>
      <w:r w:rsidR="00261373" w:rsidRPr="00F1714B">
        <w:rPr>
          <w:szCs w:val="26"/>
        </w:rPr>
        <w:t xml:space="preserve">express </w:t>
      </w:r>
      <w:r w:rsidR="00EC114F" w:rsidRPr="00F1714B">
        <w:rPr>
          <w:szCs w:val="26"/>
        </w:rPr>
        <w:t xml:space="preserve">statutory authority </w:t>
      </w:r>
      <w:r w:rsidR="00261373" w:rsidRPr="00F1714B">
        <w:rPr>
          <w:szCs w:val="26"/>
        </w:rPr>
        <w:t xml:space="preserve">under Section 3016of the Code </w:t>
      </w:r>
      <w:r w:rsidR="00EC114F" w:rsidRPr="00F1714B">
        <w:rPr>
          <w:szCs w:val="26"/>
        </w:rPr>
        <w:t xml:space="preserve">to </w:t>
      </w:r>
      <w:r w:rsidR="003D1497" w:rsidRPr="00F1714B">
        <w:rPr>
          <w:szCs w:val="26"/>
        </w:rPr>
        <w:t xml:space="preserve">obtain a competitive classification for its retail </w:t>
      </w:r>
      <w:r w:rsidR="00CB4B82" w:rsidRPr="00F1714B">
        <w:rPr>
          <w:szCs w:val="26"/>
        </w:rPr>
        <w:t xml:space="preserve">protected </w:t>
      </w:r>
      <w:r w:rsidR="003D1497" w:rsidRPr="00F1714B">
        <w:rPr>
          <w:szCs w:val="26"/>
        </w:rPr>
        <w:t xml:space="preserve">services or </w:t>
      </w:r>
      <w:r w:rsidR="00EC114F" w:rsidRPr="00F1714B">
        <w:rPr>
          <w:szCs w:val="26"/>
        </w:rPr>
        <w:t>self</w:t>
      </w:r>
      <w:r w:rsidR="00213C65" w:rsidRPr="00F1714B">
        <w:rPr>
          <w:szCs w:val="26"/>
        </w:rPr>
        <w:t xml:space="preserve">-declare </w:t>
      </w:r>
      <w:r w:rsidR="00EC114F" w:rsidRPr="00F1714B">
        <w:rPr>
          <w:szCs w:val="26"/>
        </w:rPr>
        <w:t xml:space="preserve">any </w:t>
      </w:r>
      <w:r w:rsidR="00213C65" w:rsidRPr="00F1714B">
        <w:rPr>
          <w:szCs w:val="26"/>
        </w:rPr>
        <w:t xml:space="preserve">of its </w:t>
      </w:r>
      <w:r w:rsidR="00EC114F" w:rsidRPr="00F1714B">
        <w:rPr>
          <w:szCs w:val="26"/>
        </w:rPr>
        <w:t xml:space="preserve">retail </w:t>
      </w:r>
      <w:r w:rsidR="00EC114F" w:rsidRPr="00F1714B">
        <w:rPr>
          <w:i/>
          <w:iCs/>
          <w:szCs w:val="26"/>
        </w:rPr>
        <w:t xml:space="preserve">nonprotected </w:t>
      </w:r>
      <w:r w:rsidR="00EC114F" w:rsidRPr="00F1714B">
        <w:rPr>
          <w:szCs w:val="26"/>
        </w:rPr>
        <w:t xml:space="preserve">service as competitive by filing its declaration with the </w:t>
      </w:r>
      <w:r w:rsidR="003846CA" w:rsidRPr="00F1714B">
        <w:rPr>
          <w:szCs w:val="26"/>
        </w:rPr>
        <w:t>C</w:t>
      </w:r>
      <w:r w:rsidR="00EC114F" w:rsidRPr="00F1714B">
        <w:rPr>
          <w:szCs w:val="26"/>
        </w:rPr>
        <w:t>ommission</w:t>
      </w:r>
      <w:r w:rsidR="00213C65" w:rsidRPr="00F1714B">
        <w:rPr>
          <w:szCs w:val="26"/>
        </w:rPr>
        <w:t>.</w:t>
      </w:r>
      <w:r w:rsidR="007E508F" w:rsidRPr="00F1714B">
        <w:rPr>
          <w:rStyle w:val="FootnoteReference"/>
          <w:szCs w:val="26"/>
        </w:rPr>
        <w:footnoteReference w:id="36"/>
      </w:r>
      <w:r w:rsidR="001F64FC" w:rsidRPr="00F1714B">
        <w:rPr>
          <w:szCs w:val="26"/>
        </w:rPr>
        <w:t xml:space="preserve">  </w:t>
      </w:r>
      <w:r w:rsidR="00CB4B82" w:rsidRPr="00F1714B">
        <w:rPr>
          <w:szCs w:val="26"/>
        </w:rPr>
        <w:t>Thus, t</w:t>
      </w:r>
      <w:r w:rsidR="00A60801" w:rsidRPr="00F1714B">
        <w:rPr>
          <w:szCs w:val="26"/>
        </w:rPr>
        <w:t xml:space="preserve">he Commission will make it </w:t>
      </w:r>
      <w:r w:rsidR="001F4C8A" w:rsidRPr="00F1714B">
        <w:rPr>
          <w:szCs w:val="26"/>
        </w:rPr>
        <w:t xml:space="preserve">explicitly clear </w:t>
      </w:r>
      <w:r w:rsidR="00A60801" w:rsidRPr="00F1714B">
        <w:rPr>
          <w:szCs w:val="26"/>
        </w:rPr>
        <w:t xml:space="preserve">in </w:t>
      </w:r>
      <w:r w:rsidR="00770C43" w:rsidRPr="00F1714B">
        <w:rPr>
          <w:szCs w:val="26"/>
        </w:rPr>
        <w:t xml:space="preserve">Section 53.58 of </w:t>
      </w:r>
      <w:r w:rsidR="00A60801" w:rsidRPr="00F1714B">
        <w:rPr>
          <w:szCs w:val="26"/>
        </w:rPr>
        <w:t xml:space="preserve">the final-form regulation </w:t>
      </w:r>
      <w:r w:rsidR="001F4C8A" w:rsidRPr="00F1714B">
        <w:rPr>
          <w:szCs w:val="26"/>
        </w:rPr>
        <w:t xml:space="preserve">that only local exchange telecommunications </w:t>
      </w:r>
      <w:r w:rsidR="001F4C8A" w:rsidRPr="00F1714B">
        <w:rPr>
          <w:szCs w:val="26"/>
        </w:rPr>
        <w:lastRenderedPageBreak/>
        <w:t xml:space="preserve">companies </w:t>
      </w:r>
      <w:r w:rsidR="00E816AE" w:rsidRPr="00F1714B">
        <w:rPr>
          <w:szCs w:val="26"/>
        </w:rPr>
        <w:t xml:space="preserve">or ILECs </w:t>
      </w:r>
      <w:r w:rsidR="001F4C8A" w:rsidRPr="00F1714B">
        <w:rPr>
          <w:szCs w:val="26"/>
        </w:rPr>
        <w:t xml:space="preserve">may </w:t>
      </w:r>
      <w:r w:rsidR="006E36A9" w:rsidRPr="00F1714B">
        <w:rPr>
          <w:szCs w:val="26"/>
        </w:rPr>
        <w:t xml:space="preserve">obtain competitive classifications </w:t>
      </w:r>
      <w:r w:rsidR="00DB5BF1" w:rsidRPr="00F1714B">
        <w:rPr>
          <w:szCs w:val="26"/>
        </w:rPr>
        <w:t xml:space="preserve">for their retail services </w:t>
      </w:r>
      <w:r w:rsidR="006E36A9" w:rsidRPr="00F1714B">
        <w:rPr>
          <w:szCs w:val="26"/>
        </w:rPr>
        <w:t>under Chapter 30 of the Code.</w:t>
      </w:r>
    </w:p>
    <w:p w14:paraId="5FFDB371" w14:textId="77777777" w:rsidR="00B15941" w:rsidRPr="00F1714B" w:rsidRDefault="00B15941" w:rsidP="00B15941">
      <w:pPr>
        <w:ind w:firstLine="720"/>
        <w:rPr>
          <w:szCs w:val="26"/>
        </w:rPr>
      </w:pPr>
    </w:p>
    <w:p w14:paraId="560C1EAF" w14:textId="77777777" w:rsidR="004F7314" w:rsidRPr="00F1714B" w:rsidRDefault="00B15941" w:rsidP="00941BDC">
      <w:pPr>
        <w:ind w:firstLine="720"/>
        <w:rPr>
          <w:szCs w:val="26"/>
        </w:rPr>
      </w:pPr>
      <w:r w:rsidRPr="00F1714B">
        <w:rPr>
          <w:szCs w:val="26"/>
        </w:rPr>
        <w:t xml:space="preserve">Notwithstanding, </w:t>
      </w:r>
      <w:bookmarkStart w:id="19" w:name="_Hlk87353811"/>
      <w:r w:rsidR="004F62C7" w:rsidRPr="00F1714B">
        <w:rPr>
          <w:szCs w:val="26"/>
        </w:rPr>
        <w:t>the Commission acknowledges that one of the stated goals of Chapter 30 is to promote and encourage the provision of competitive services by a variety of service providers on equal terms throughout all geographic areas of this Commonwealth</w:t>
      </w:r>
      <w:bookmarkEnd w:id="19"/>
      <w:r w:rsidR="004F62C7" w:rsidRPr="00F1714B">
        <w:rPr>
          <w:szCs w:val="26"/>
        </w:rPr>
        <w:t>.</w:t>
      </w:r>
      <w:r w:rsidR="004F62C7" w:rsidRPr="00F1714B">
        <w:rPr>
          <w:szCs w:val="26"/>
          <w:vertAlign w:val="superscript"/>
        </w:rPr>
        <w:footnoteReference w:id="37"/>
      </w:r>
      <w:r w:rsidR="00D131B4" w:rsidRPr="00F1714B">
        <w:rPr>
          <w:szCs w:val="26"/>
        </w:rPr>
        <w:t xml:space="preserve">  </w:t>
      </w:r>
      <w:r w:rsidR="00E816AE" w:rsidRPr="00F1714B">
        <w:rPr>
          <w:szCs w:val="26"/>
        </w:rPr>
        <w:t>This is our understanding of the way in which the General Assembly intend for the Chapter 30 to operate.</w:t>
      </w:r>
      <w:r w:rsidR="00D131B4" w:rsidRPr="00F1714B">
        <w:rPr>
          <w:szCs w:val="26"/>
        </w:rPr>
        <w:t xml:space="preserve">  </w:t>
      </w:r>
      <w:r w:rsidR="004F62C7" w:rsidRPr="00F1714B">
        <w:rPr>
          <w:szCs w:val="26"/>
        </w:rPr>
        <w:t>T</w:t>
      </w:r>
      <w:r w:rsidRPr="00F1714B">
        <w:rPr>
          <w:szCs w:val="26"/>
        </w:rPr>
        <w:t xml:space="preserve">o </w:t>
      </w:r>
      <w:r w:rsidR="005F5F54" w:rsidRPr="00F1714B">
        <w:rPr>
          <w:szCs w:val="26"/>
        </w:rPr>
        <w:t xml:space="preserve">maintain </w:t>
      </w:r>
      <w:r w:rsidR="00E816AE" w:rsidRPr="00F1714B">
        <w:rPr>
          <w:szCs w:val="26"/>
        </w:rPr>
        <w:t xml:space="preserve">this objective </w:t>
      </w:r>
      <w:r w:rsidR="005F5F54" w:rsidRPr="00F1714B">
        <w:rPr>
          <w:szCs w:val="26"/>
        </w:rPr>
        <w:t xml:space="preserve">and </w:t>
      </w:r>
      <w:r w:rsidRPr="00F1714B">
        <w:rPr>
          <w:szCs w:val="26"/>
        </w:rPr>
        <w:t xml:space="preserve">ensure tariff parity amongst all local telecommunications service providers operating in Pennsylvania, the Commission will explicitly </w:t>
      </w:r>
      <w:r w:rsidR="002B687E" w:rsidRPr="00F1714B">
        <w:rPr>
          <w:szCs w:val="26"/>
        </w:rPr>
        <w:t xml:space="preserve">state </w:t>
      </w:r>
      <w:r w:rsidRPr="00F1714B">
        <w:rPr>
          <w:szCs w:val="26"/>
        </w:rPr>
        <w:t xml:space="preserve">in the final-form regulation that a competitive services classification </w:t>
      </w:r>
      <w:r w:rsidR="00150A78" w:rsidRPr="00F1714B">
        <w:rPr>
          <w:szCs w:val="26"/>
        </w:rPr>
        <w:t xml:space="preserve">obtained </w:t>
      </w:r>
      <w:r w:rsidRPr="00F1714B">
        <w:rPr>
          <w:szCs w:val="26"/>
        </w:rPr>
        <w:t xml:space="preserve">by </w:t>
      </w:r>
      <w:r w:rsidR="00150A78" w:rsidRPr="00F1714B">
        <w:rPr>
          <w:szCs w:val="26"/>
        </w:rPr>
        <w:t xml:space="preserve">a </w:t>
      </w:r>
      <w:r w:rsidRPr="00F1714B">
        <w:rPr>
          <w:szCs w:val="26"/>
        </w:rPr>
        <w:t>local exchange telephone company’s telecommunication service</w:t>
      </w:r>
      <w:r w:rsidR="00150A78" w:rsidRPr="00F1714B">
        <w:rPr>
          <w:szCs w:val="26"/>
        </w:rPr>
        <w:t xml:space="preserve"> via </w:t>
      </w:r>
      <w:r w:rsidR="00825245" w:rsidRPr="00F1714B">
        <w:rPr>
          <w:szCs w:val="26"/>
        </w:rPr>
        <w:t xml:space="preserve">a </w:t>
      </w:r>
      <w:r w:rsidR="00150A78" w:rsidRPr="00F1714B">
        <w:rPr>
          <w:szCs w:val="26"/>
        </w:rPr>
        <w:t>Commission</w:t>
      </w:r>
      <w:r w:rsidR="00825245" w:rsidRPr="00F1714B">
        <w:rPr>
          <w:szCs w:val="26"/>
        </w:rPr>
        <w:t xml:space="preserve"> reclassification proceeding </w:t>
      </w:r>
      <w:r w:rsidRPr="00F1714B">
        <w:rPr>
          <w:szCs w:val="26"/>
        </w:rPr>
        <w:t xml:space="preserve">or a self-declaration </w:t>
      </w:r>
      <w:r w:rsidR="00150A78" w:rsidRPr="00F1714B">
        <w:rPr>
          <w:szCs w:val="26"/>
        </w:rPr>
        <w:t>pr</w:t>
      </w:r>
      <w:r w:rsidR="00825245" w:rsidRPr="00F1714B">
        <w:rPr>
          <w:szCs w:val="26"/>
        </w:rPr>
        <w:t xml:space="preserve">ocess </w:t>
      </w:r>
      <w:r w:rsidRPr="00F1714B">
        <w:rPr>
          <w:szCs w:val="26"/>
        </w:rPr>
        <w:t>automatically applies to the operations of any competitive carrier operat</w:t>
      </w:r>
      <w:r w:rsidR="00825245" w:rsidRPr="00F1714B">
        <w:rPr>
          <w:szCs w:val="26"/>
        </w:rPr>
        <w:t>ing with</w:t>
      </w:r>
      <w:r w:rsidRPr="00F1714B">
        <w:rPr>
          <w:szCs w:val="26"/>
        </w:rPr>
        <w:t xml:space="preserve">in that incumbent’s service area.  </w:t>
      </w:r>
    </w:p>
    <w:p w14:paraId="5315CE4C" w14:textId="77777777" w:rsidR="004F7314" w:rsidRPr="00F1714B" w:rsidRDefault="004F7314" w:rsidP="00941BDC">
      <w:pPr>
        <w:ind w:firstLine="720"/>
        <w:rPr>
          <w:szCs w:val="26"/>
        </w:rPr>
      </w:pPr>
    </w:p>
    <w:p w14:paraId="44208B8E" w14:textId="5CC1AB1E" w:rsidR="00941BDC" w:rsidRPr="00F1714B" w:rsidRDefault="00B15941" w:rsidP="00941BDC">
      <w:pPr>
        <w:ind w:firstLine="720"/>
        <w:rPr>
          <w:szCs w:val="26"/>
        </w:rPr>
      </w:pPr>
      <w:r w:rsidRPr="00F1714B">
        <w:rPr>
          <w:szCs w:val="26"/>
        </w:rPr>
        <w:t xml:space="preserve">In other words, when a local exchange telecommunications service either receives a competitive classification in accordance with </w:t>
      </w:r>
      <w:r w:rsidR="00825245" w:rsidRPr="00F1714B">
        <w:rPr>
          <w:szCs w:val="26"/>
        </w:rPr>
        <w:t xml:space="preserve">the </w:t>
      </w:r>
      <w:r w:rsidRPr="00F1714B">
        <w:rPr>
          <w:szCs w:val="26"/>
        </w:rPr>
        <w:t>Section 3016(a) petition process for certain services, or the ILEC makes a self-declaration via Section 3016(b) for the nonprotected service, that same functionally equivalent service may then be offered by any competitive carrier without the need for any further evidentiary showing to the Commission, as a competitive service in the relevant service territory.</w:t>
      </w:r>
      <w:r w:rsidRPr="00F1714B">
        <w:rPr>
          <w:rStyle w:val="FootnoteReference"/>
          <w:szCs w:val="26"/>
        </w:rPr>
        <w:footnoteReference w:id="38"/>
      </w:r>
      <w:r w:rsidRPr="00F1714B">
        <w:rPr>
          <w:szCs w:val="26"/>
        </w:rPr>
        <w:t xml:space="preserve">  </w:t>
      </w:r>
      <w:r w:rsidR="00941BDC" w:rsidRPr="00F1714B">
        <w:rPr>
          <w:szCs w:val="26"/>
        </w:rPr>
        <w:t>In the final-form regulation</w:t>
      </w:r>
      <w:r w:rsidR="00DD356B" w:rsidRPr="00F1714B">
        <w:rPr>
          <w:szCs w:val="26"/>
        </w:rPr>
        <w:t xml:space="preserve">, </w:t>
      </w:r>
      <w:r w:rsidR="00C51F84" w:rsidRPr="00F1714B">
        <w:rPr>
          <w:szCs w:val="26"/>
        </w:rPr>
        <w:t>Section 53.58(</w:t>
      </w:r>
      <w:r w:rsidR="00325E08" w:rsidRPr="00F1714B">
        <w:rPr>
          <w:szCs w:val="26"/>
        </w:rPr>
        <w:t>a</w:t>
      </w:r>
      <w:r w:rsidR="00C51F84" w:rsidRPr="00F1714B">
        <w:rPr>
          <w:szCs w:val="26"/>
        </w:rPr>
        <w:t xml:space="preserve">) </w:t>
      </w:r>
      <w:r w:rsidR="00941BDC" w:rsidRPr="00F1714B">
        <w:rPr>
          <w:szCs w:val="26"/>
        </w:rPr>
        <w:t xml:space="preserve">will codify the concept that </w:t>
      </w:r>
      <w:r w:rsidR="00B22BB8" w:rsidRPr="00F1714B">
        <w:rPr>
          <w:szCs w:val="26"/>
        </w:rPr>
        <w:t xml:space="preserve">a competitive telecommunications carrier </w:t>
      </w:r>
      <w:r w:rsidR="00875D05" w:rsidRPr="00F1714B">
        <w:rPr>
          <w:szCs w:val="26"/>
        </w:rPr>
        <w:t xml:space="preserve">may classify its retail </w:t>
      </w:r>
      <w:r w:rsidR="004628C4" w:rsidRPr="00F1714B">
        <w:rPr>
          <w:szCs w:val="26"/>
        </w:rPr>
        <w:t xml:space="preserve">service as competitive </w:t>
      </w:r>
      <w:r w:rsidR="005D6B9C" w:rsidRPr="00F1714B">
        <w:rPr>
          <w:szCs w:val="26"/>
        </w:rPr>
        <w:t xml:space="preserve">only </w:t>
      </w:r>
      <w:r w:rsidR="001411B2" w:rsidRPr="00F1714B">
        <w:rPr>
          <w:szCs w:val="26"/>
        </w:rPr>
        <w:t xml:space="preserve">after </w:t>
      </w:r>
      <w:r w:rsidR="004628C4" w:rsidRPr="00F1714B">
        <w:rPr>
          <w:szCs w:val="26"/>
        </w:rPr>
        <w:t xml:space="preserve">the </w:t>
      </w:r>
      <w:r w:rsidR="00941BDC" w:rsidRPr="00F1714B">
        <w:rPr>
          <w:szCs w:val="26"/>
        </w:rPr>
        <w:t>local exchange telecommunication company</w:t>
      </w:r>
      <w:r w:rsidR="004628C4" w:rsidRPr="00F1714B">
        <w:rPr>
          <w:szCs w:val="26"/>
        </w:rPr>
        <w:t xml:space="preserve"> has obtained </w:t>
      </w:r>
      <w:r w:rsidR="005D6B9C" w:rsidRPr="00F1714B">
        <w:rPr>
          <w:szCs w:val="26"/>
        </w:rPr>
        <w:t>a</w:t>
      </w:r>
      <w:r w:rsidR="005D6B9C" w:rsidRPr="00F1714B">
        <w:rPr>
          <w:szCs w:val="26"/>
          <w:u w:val="single"/>
        </w:rPr>
        <w:t xml:space="preserve"> </w:t>
      </w:r>
      <w:r w:rsidR="00941BDC" w:rsidRPr="00F1714B">
        <w:rPr>
          <w:szCs w:val="26"/>
        </w:rPr>
        <w:t xml:space="preserve">competitive </w:t>
      </w:r>
      <w:r w:rsidR="004628C4" w:rsidRPr="00F1714B">
        <w:rPr>
          <w:szCs w:val="26"/>
        </w:rPr>
        <w:t>classification for a similar or functionally equivalent retail service</w:t>
      </w:r>
      <w:r w:rsidR="00941BDC" w:rsidRPr="00F1714B">
        <w:rPr>
          <w:szCs w:val="26"/>
        </w:rPr>
        <w:t>.</w:t>
      </w:r>
    </w:p>
    <w:p w14:paraId="57EC5E54" w14:textId="77777777" w:rsidR="00C51F84" w:rsidRPr="00F1714B" w:rsidRDefault="00C51F84" w:rsidP="00B15941">
      <w:pPr>
        <w:ind w:firstLine="720"/>
        <w:rPr>
          <w:szCs w:val="26"/>
        </w:rPr>
      </w:pPr>
    </w:p>
    <w:p w14:paraId="43930C33" w14:textId="395D6D77" w:rsidR="000E61E4" w:rsidRPr="00F1714B" w:rsidRDefault="00BF4AAA" w:rsidP="00E55426">
      <w:pPr>
        <w:ind w:firstLine="720"/>
        <w:rPr>
          <w:szCs w:val="26"/>
        </w:rPr>
      </w:pPr>
      <w:r w:rsidRPr="00F1714B">
        <w:rPr>
          <w:szCs w:val="26"/>
        </w:rPr>
        <w:lastRenderedPageBreak/>
        <w:t xml:space="preserve">Additionally, </w:t>
      </w:r>
      <w:r w:rsidR="006A5719" w:rsidRPr="00F1714B">
        <w:rPr>
          <w:szCs w:val="26"/>
        </w:rPr>
        <w:t xml:space="preserve">in the final-form regulation, </w:t>
      </w:r>
      <w:r w:rsidR="008D4B8A" w:rsidRPr="00F1714B">
        <w:rPr>
          <w:szCs w:val="26"/>
        </w:rPr>
        <w:t>t</w:t>
      </w:r>
      <w:r w:rsidR="0086098D" w:rsidRPr="00F1714B">
        <w:rPr>
          <w:szCs w:val="26"/>
        </w:rPr>
        <w:t xml:space="preserve">he Commission </w:t>
      </w:r>
      <w:r w:rsidR="003C6145" w:rsidRPr="00F1714B">
        <w:rPr>
          <w:szCs w:val="26"/>
        </w:rPr>
        <w:t>will amend Section 53.58</w:t>
      </w:r>
      <w:r w:rsidR="003E0723" w:rsidRPr="00F1714B">
        <w:rPr>
          <w:szCs w:val="26"/>
        </w:rPr>
        <w:t xml:space="preserve"> </w:t>
      </w:r>
      <w:r w:rsidR="003C6145" w:rsidRPr="00F1714B">
        <w:rPr>
          <w:szCs w:val="26"/>
        </w:rPr>
        <w:t xml:space="preserve">in such way </w:t>
      </w:r>
      <w:r w:rsidR="008E75C3" w:rsidRPr="00F1714B">
        <w:rPr>
          <w:szCs w:val="26"/>
        </w:rPr>
        <w:t>so as</w:t>
      </w:r>
      <w:r w:rsidR="00BA0711" w:rsidRPr="00F1714B">
        <w:rPr>
          <w:szCs w:val="26"/>
        </w:rPr>
        <w:t xml:space="preserve"> </w:t>
      </w:r>
      <w:r w:rsidR="0086098D" w:rsidRPr="00F1714B">
        <w:rPr>
          <w:szCs w:val="26"/>
        </w:rPr>
        <w:t xml:space="preserve">to </w:t>
      </w:r>
      <w:r w:rsidR="00BA0711" w:rsidRPr="00F1714B">
        <w:rPr>
          <w:szCs w:val="26"/>
        </w:rPr>
        <w:t xml:space="preserve">permit </w:t>
      </w:r>
      <w:r w:rsidR="00D11735" w:rsidRPr="00F1714B">
        <w:rPr>
          <w:szCs w:val="26"/>
        </w:rPr>
        <w:t xml:space="preserve">all </w:t>
      </w:r>
      <w:r w:rsidR="0086098D" w:rsidRPr="00F1714B">
        <w:rPr>
          <w:szCs w:val="26"/>
        </w:rPr>
        <w:t>local exchange telecommunications companies to</w:t>
      </w:r>
      <w:r w:rsidR="003E0723" w:rsidRPr="00F1714B">
        <w:rPr>
          <w:szCs w:val="26"/>
        </w:rPr>
        <w:t xml:space="preserve"> obtain detariffing relief </w:t>
      </w:r>
      <w:r w:rsidR="00BA0711" w:rsidRPr="00F1714B">
        <w:rPr>
          <w:szCs w:val="26"/>
        </w:rPr>
        <w:t xml:space="preserve">for their retail </w:t>
      </w:r>
      <w:r w:rsidR="008E19BF" w:rsidRPr="00F1714B">
        <w:rPr>
          <w:szCs w:val="26"/>
        </w:rPr>
        <w:t xml:space="preserve">protected, nonprotected and </w:t>
      </w:r>
      <w:r w:rsidR="00BA0711" w:rsidRPr="00F1714B">
        <w:rPr>
          <w:szCs w:val="26"/>
        </w:rPr>
        <w:t xml:space="preserve">noncompetitive services offered to </w:t>
      </w:r>
      <w:r w:rsidR="008A317B" w:rsidRPr="00F1714B">
        <w:rPr>
          <w:szCs w:val="26"/>
        </w:rPr>
        <w:t xml:space="preserve">enterprise and </w:t>
      </w:r>
      <w:r w:rsidR="00BA0711" w:rsidRPr="00F1714B">
        <w:rPr>
          <w:szCs w:val="26"/>
        </w:rPr>
        <w:t xml:space="preserve">large business </w:t>
      </w:r>
      <w:r w:rsidR="008A317B" w:rsidRPr="00F1714B">
        <w:rPr>
          <w:szCs w:val="26"/>
        </w:rPr>
        <w:t>customers</w:t>
      </w:r>
      <w:r w:rsidR="00E53F97" w:rsidRPr="00F1714B">
        <w:rPr>
          <w:szCs w:val="26"/>
        </w:rPr>
        <w:t>.</w:t>
      </w:r>
      <w:r w:rsidR="00EF12A8" w:rsidRPr="00F1714B">
        <w:rPr>
          <w:szCs w:val="26"/>
        </w:rPr>
        <w:t xml:space="preserve">  </w:t>
      </w:r>
      <w:r w:rsidR="008D4B8A" w:rsidRPr="00F1714B">
        <w:rPr>
          <w:szCs w:val="26"/>
        </w:rPr>
        <w:t xml:space="preserve">In 1999, </w:t>
      </w:r>
      <w:r w:rsidR="00E53F97" w:rsidRPr="00F1714B">
        <w:rPr>
          <w:szCs w:val="26"/>
        </w:rPr>
        <w:t xml:space="preserve">the </w:t>
      </w:r>
      <w:r w:rsidR="008D4B8A" w:rsidRPr="00F1714B">
        <w:rPr>
          <w:szCs w:val="26"/>
        </w:rPr>
        <w:t>Commission</w:t>
      </w:r>
      <w:r w:rsidR="009708FB" w:rsidRPr="00F1714B">
        <w:rPr>
          <w:szCs w:val="26"/>
        </w:rPr>
        <w:t xml:space="preserve"> in the </w:t>
      </w:r>
      <w:r w:rsidR="009708FB" w:rsidRPr="00F1714B">
        <w:rPr>
          <w:i/>
          <w:iCs/>
          <w:szCs w:val="26"/>
        </w:rPr>
        <w:t>Global Order</w:t>
      </w:r>
      <w:r w:rsidR="008D4B8A" w:rsidRPr="00F1714B">
        <w:rPr>
          <w:szCs w:val="26"/>
        </w:rPr>
        <w:t xml:space="preserve"> </w:t>
      </w:r>
      <w:r w:rsidR="00E53F97" w:rsidRPr="00F1714B">
        <w:rPr>
          <w:szCs w:val="26"/>
        </w:rPr>
        <w:t>determined that specific retail services offered by Verizon Pennsylvania Inc. (Verizon P</w:t>
      </w:r>
      <w:r w:rsidR="008D4B8A" w:rsidRPr="00F1714B">
        <w:rPr>
          <w:szCs w:val="26"/>
        </w:rPr>
        <w:t>A</w:t>
      </w:r>
      <w:r w:rsidR="00E53F97" w:rsidRPr="00F1714B">
        <w:rPr>
          <w:szCs w:val="26"/>
        </w:rPr>
        <w:t xml:space="preserve">) to </w:t>
      </w:r>
      <w:r w:rsidR="008D4B8A" w:rsidRPr="00F1714B">
        <w:rPr>
          <w:szCs w:val="26"/>
        </w:rPr>
        <w:t xml:space="preserve">enterprise and </w:t>
      </w:r>
      <w:r w:rsidR="00E53F97" w:rsidRPr="00F1714B">
        <w:rPr>
          <w:szCs w:val="26"/>
        </w:rPr>
        <w:t>large business</w:t>
      </w:r>
      <w:r w:rsidR="008D4B8A" w:rsidRPr="00F1714B">
        <w:rPr>
          <w:szCs w:val="26"/>
        </w:rPr>
        <w:t xml:space="preserve"> </w:t>
      </w:r>
      <w:r w:rsidR="00E53F97" w:rsidRPr="00F1714B">
        <w:rPr>
          <w:szCs w:val="26"/>
        </w:rPr>
        <w:t>customers that exceeded a certain total billed revenue (TBR) level were now competitive and could be offered under individual case basis (ICB) contracts.</w:t>
      </w:r>
      <w:r w:rsidR="00505AFD" w:rsidRPr="00F1714B">
        <w:rPr>
          <w:szCs w:val="26"/>
          <w:vertAlign w:val="superscript"/>
        </w:rPr>
        <w:t xml:space="preserve"> </w:t>
      </w:r>
      <w:r w:rsidR="00505AFD" w:rsidRPr="00F1714B">
        <w:rPr>
          <w:szCs w:val="26"/>
          <w:vertAlign w:val="superscript"/>
        </w:rPr>
        <w:footnoteReference w:id="39"/>
      </w:r>
      <w:r w:rsidR="008D4B8A" w:rsidRPr="00F1714B">
        <w:rPr>
          <w:szCs w:val="26"/>
        </w:rPr>
        <w:t xml:space="preserve">  </w:t>
      </w:r>
      <w:r w:rsidR="00E53F97" w:rsidRPr="00F1714B">
        <w:rPr>
          <w:szCs w:val="26"/>
        </w:rPr>
        <w:t xml:space="preserve">Specifically, the </w:t>
      </w:r>
      <w:r w:rsidR="006D3DA5" w:rsidRPr="00F1714B">
        <w:rPr>
          <w:szCs w:val="26"/>
        </w:rPr>
        <w:t xml:space="preserve">Commission </w:t>
      </w:r>
      <w:r w:rsidR="00E53F97" w:rsidRPr="00F1714B">
        <w:rPr>
          <w:szCs w:val="26"/>
        </w:rPr>
        <w:t xml:space="preserve">had determined that Verizon’s business services for customers with greater than $80,000 in annual TBR were competitive, and that Verizon could provide ICB pricing for business customers generating between $40,000 and $80,000 in annual TBR. </w:t>
      </w:r>
      <w:r w:rsidR="006D3DA5" w:rsidRPr="00F1714B">
        <w:rPr>
          <w:szCs w:val="26"/>
        </w:rPr>
        <w:t xml:space="preserve"> </w:t>
      </w:r>
      <w:r w:rsidR="00E53F97" w:rsidRPr="00F1714B">
        <w:rPr>
          <w:szCs w:val="26"/>
        </w:rPr>
        <w:t xml:space="preserve">Over the years, the </w:t>
      </w:r>
      <w:r w:rsidR="006D3DA5" w:rsidRPr="00F1714B">
        <w:rPr>
          <w:szCs w:val="26"/>
        </w:rPr>
        <w:t xml:space="preserve">Commission </w:t>
      </w:r>
      <w:r w:rsidR="00E53F97" w:rsidRPr="00F1714B">
        <w:rPr>
          <w:szCs w:val="26"/>
        </w:rPr>
        <w:t xml:space="preserve">has modified the established applicable TBR levels for competitive business services. Currently, $10,000 and above in annual TBR is competitive and is priced </w:t>
      </w:r>
      <w:r w:rsidR="003846CA" w:rsidRPr="00F1714B">
        <w:rPr>
          <w:szCs w:val="26"/>
        </w:rPr>
        <w:t xml:space="preserve">in </w:t>
      </w:r>
      <w:r w:rsidR="00E53F97" w:rsidRPr="00F1714B">
        <w:rPr>
          <w:szCs w:val="26"/>
        </w:rPr>
        <w:t xml:space="preserve">Tariff No. 500, and below $10,000 in annual TBR is </w:t>
      </w:r>
      <w:r w:rsidR="003D2ECF" w:rsidRPr="00F1714B">
        <w:rPr>
          <w:szCs w:val="26"/>
        </w:rPr>
        <w:t>noncompetitive</w:t>
      </w:r>
      <w:r w:rsidR="00E53F97" w:rsidRPr="00F1714B">
        <w:rPr>
          <w:szCs w:val="26"/>
        </w:rPr>
        <w:t xml:space="preserve"> and priced in Tariff No. 1.</w:t>
      </w:r>
      <w:r w:rsidR="000E61E4" w:rsidRPr="00F1714B">
        <w:rPr>
          <w:szCs w:val="26"/>
        </w:rPr>
        <w:t xml:space="preserve">  </w:t>
      </w:r>
      <w:r w:rsidR="00C955CA" w:rsidRPr="00F1714B">
        <w:rPr>
          <w:szCs w:val="26"/>
        </w:rPr>
        <w:t xml:space="preserve">In short, the manner in which we are amending Section 53.58 of the final-form regulation allows the other local exchange telecommunications companies to self-declare that their retail </w:t>
      </w:r>
      <w:r w:rsidR="00C955CA" w:rsidRPr="00F1714B">
        <w:rPr>
          <w:i/>
          <w:iCs/>
          <w:szCs w:val="26"/>
        </w:rPr>
        <w:t>nonprotected,</w:t>
      </w:r>
      <w:r w:rsidR="00C955CA" w:rsidRPr="00F1714B">
        <w:rPr>
          <w:szCs w:val="26"/>
        </w:rPr>
        <w:t xml:space="preserve"> </w:t>
      </w:r>
      <w:r w:rsidR="00C955CA" w:rsidRPr="00F1714B">
        <w:rPr>
          <w:i/>
          <w:iCs/>
          <w:szCs w:val="26"/>
        </w:rPr>
        <w:t>noncompetitive</w:t>
      </w:r>
      <w:r w:rsidR="00C955CA" w:rsidRPr="00F1714B">
        <w:rPr>
          <w:szCs w:val="26"/>
        </w:rPr>
        <w:t xml:space="preserve"> services that they offer to enterprise and large business customers are competitive.  </w:t>
      </w:r>
      <w:r w:rsidR="000E61E4" w:rsidRPr="00F1714B">
        <w:rPr>
          <w:szCs w:val="26"/>
        </w:rPr>
        <w:t xml:space="preserve">Accordingly, we </w:t>
      </w:r>
      <w:r w:rsidR="00D11735" w:rsidRPr="00F1714B">
        <w:rPr>
          <w:szCs w:val="26"/>
        </w:rPr>
        <w:t xml:space="preserve">modify </w:t>
      </w:r>
      <w:r w:rsidR="000E61E4" w:rsidRPr="00F1714B">
        <w:rPr>
          <w:szCs w:val="26"/>
        </w:rPr>
        <w:t xml:space="preserve">Section 53.58 </w:t>
      </w:r>
      <w:r w:rsidR="00872C82" w:rsidRPr="00F1714B">
        <w:rPr>
          <w:szCs w:val="26"/>
        </w:rPr>
        <w:t xml:space="preserve">in the final-form regulation </w:t>
      </w:r>
      <w:r w:rsidR="00D11735" w:rsidRPr="00F1714B">
        <w:rPr>
          <w:szCs w:val="26"/>
        </w:rPr>
        <w:t xml:space="preserve">so that the detariffing relief </w:t>
      </w:r>
      <w:r w:rsidR="000E61E4" w:rsidRPr="00F1714B">
        <w:rPr>
          <w:szCs w:val="26"/>
        </w:rPr>
        <w:t xml:space="preserve">that had been granted solely to Verizon PA via the </w:t>
      </w:r>
      <w:r w:rsidR="000E61E4" w:rsidRPr="00F1714B">
        <w:rPr>
          <w:i/>
          <w:iCs/>
          <w:szCs w:val="26"/>
        </w:rPr>
        <w:t>Global Order</w:t>
      </w:r>
      <w:r w:rsidR="000E61E4" w:rsidRPr="00F1714B">
        <w:rPr>
          <w:szCs w:val="26"/>
        </w:rPr>
        <w:t xml:space="preserve"> </w:t>
      </w:r>
      <w:r w:rsidR="00505AFD" w:rsidRPr="00F1714B">
        <w:rPr>
          <w:szCs w:val="26"/>
        </w:rPr>
        <w:t xml:space="preserve">is expanded </w:t>
      </w:r>
      <w:r w:rsidR="000E61E4" w:rsidRPr="00F1714B">
        <w:rPr>
          <w:szCs w:val="26"/>
        </w:rPr>
        <w:t xml:space="preserve">to the other Chapter 30 ILECs.  </w:t>
      </w:r>
    </w:p>
    <w:p w14:paraId="1FA59C4E" w14:textId="77777777" w:rsidR="00F3798A" w:rsidRPr="00F1714B" w:rsidRDefault="00F3798A" w:rsidP="00E55426">
      <w:pPr>
        <w:ind w:firstLine="720"/>
        <w:rPr>
          <w:szCs w:val="26"/>
        </w:rPr>
      </w:pPr>
    </w:p>
    <w:p w14:paraId="7B4B8E97" w14:textId="487C53B0" w:rsidR="000E61E4" w:rsidRPr="00F1714B" w:rsidRDefault="00C955CA" w:rsidP="0093259A">
      <w:pPr>
        <w:ind w:firstLine="720"/>
        <w:rPr>
          <w:szCs w:val="26"/>
        </w:rPr>
      </w:pPr>
      <w:r w:rsidRPr="00F1714B">
        <w:rPr>
          <w:szCs w:val="26"/>
        </w:rPr>
        <w:t>T</w:t>
      </w:r>
      <w:r w:rsidR="005F5F54" w:rsidRPr="00F1714B">
        <w:rPr>
          <w:szCs w:val="26"/>
        </w:rPr>
        <w:t>he Commission acknowledges that o</w:t>
      </w:r>
      <w:r w:rsidR="000E61E4" w:rsidRPr="00F1714B">
        <w:rPr>
          <w:szCs w:val="26"/>
        </w:rPr>
        <w:t xml:space="preserve">ver time, </w:t>
      </w:r>
      <w:r w:rsidR="00210B1B" w:rsidRPr="00F1714B">
        <w:rPr>
          <w:szCs w:val="26"/>
        </w:rPr>
        <w:t xml:space="preserve">consistent with </w:t>
      </w:r>
      <w:r w:rsidR="005F5F54" w:rsidRPr="00F1714B">
        <w:rPr>
          <w:szCs w:val="26"/>
        </w:rPr>
        <w:t xml:space="preserve">its prior </w:t>
      </w:r>
      <w:r w:rsidR="00210B1B" w:rsidRPr="00F1714B">
        <w:rPr>
          <w:szCs w:val="26"/>
        </w:rPr>
        <w:t xml:space="preserve">action in the </w:t>
      </w:r>
      <w:r w:rsidR="00210B1B" w:rsidRPr="00F1714B">
        <w:rPr>
          <w:i/>
          <w:iCs/>
          <w:szCs w:val="26"/>
        </w:rPr>
        <w:t>Global Order</w:t>
      </w:r>
      <w:r w:rsidR="00210B1B" w:rsidRPr="00F1714B">
        <w:rPr>
          <w:szCs w:val="26"/>
        </w:rPr>
        <w:t xml:space="preserve">, </w:t>
      </w:r>
      <w:r w:rsidR="005F5F54" w:rsidRPr="00F1714B">
        <w:rPr>
          <w:szCs w:val="26"/>
        </w:rPr>
        <w:t>it</w:t>
      </w:r>
      <w:r w:rsidR="000E61E4" w:rsidRPr="00F1714B">
        <w:rPr>
          <w:szCs w:val="26"/>
        </w:rPr>
        <w:t xml:space="preserve"> had granted </w:t>
      </w:r>
      <w:r w:rsidR="005F5F54" w:rsidRPr="00F1714B">
        <w:rPr>
          <w:szCs w:val="26"/>
        </w:rPr>
        <w:t xml:space="preserve">similar </w:t>
      </w:r>
      <w:r w:rsidR="000E61E4" w:rsidRPr="00F1714B">
        <w:rPr>
          <w:szCs w:val="26"/>
        </w:rPr>
        <w:t xml:space="preserve">relief to </w:t>
      </w:r>
      <w:r w:rsidR="005F5F54" w:rsidRPr="00F1714B">
        <w:rPr>
          <w:szCs w:val="26"/>
        </w:rPr>
        <w:t xml:space="preserve">additional </w:t>
      </w:r>
      <w:r w:rsidR="000E61E4" w:rsidRPr="00F1714B">
        <w:rPr>
          <w:szCs w:val="26"/>
        </w:rPr>
        <w:t>carriers, specifically, competitive local exchange companies</w:t>
      </w:r>
      <w:r w:rsidR="00586F2B" w:rsidRPr="00F1714B">
        <w:rPr>
          <w:szCs w:val="26"/>
        </w:rPr>
        <w:t xml:space="preserve">, </w:t>
      </w:r>
      <w:r w:rsidR="000E61E4" w:rsidRPr="00F1714B">
        <w:rPr>
          <w:szCs w:val="26"/>
        </w:rPr>
        <w:t xml:space="preserve">via temporary waivers.  </w:t>
      </w:r>
      <w:r w:rsidR="00586F2B" w:rsidRPr="00F1714B">
        <w:rPr>
          <w:szCs w:val="26"/>
        </w:rPr>
        <w:t xml:space="preserve">In light of </w:t>
      </w:r>
      <w:r w:rsidR="0093259A" w:rsidRPr="00F1714B">
        <w:rPr>
          <w:szCs w:val="26"/>
        </w:rPr>
        <w:t xml:space="preserve">Chapter 30’s </w:t>
      </w:r>
      <w:r w:rsidR="00586F2B" w:rsidRPr="00F1714B">
        <w:rPr>
          <w:szCs w:val="26"/>
        </w:rPr>
        <w:t>stated goal</w:t>
      </w:r>
      <w:r w:rsidR="0093259A" w:rsidRPr="00F1714B">
        <w:rPr>
          <w:szCs w:val="26"/>
        </w:rPr>
        <w:t xml:space="preserve"> of promoting and encouraging the </w:t>
      </w:r>
      <w:r w:rsidR="00586F2B" w:rsidRPr="00F1714B">
        <w:rPr>
          <w:szCs w:val="26"/>
        </w:rPr>
        <w:t xml:space="preserve">provision of competitive services by a </w:t>
      </w:r>
      <w:r w:rsidR="00586F2B" w:rsidRPr="00F1714B">
        <w:rPr>
          <w:szCs w:val="26"/>
        </w:rPr>
        <w:lastRenderedPageBreak/>
        <w:t>variety of service providers on equal terms throughout all geographic areas of this Commonwealth</w:t>
      </w:r>
      <w:r w:rsidR="0093259A" w:rsidRPr="00F1714B">
        <w:rPr>
          <w:szCs w:val="26"/>
        </w:rPr>
        <w:t xml:space="preserve">, the Commission sees </w:t>
      </w:r>
      <w:r w:rsidR="000E61E4" w:rsidRPr="00F1714B">
        <w:rPr>
          <w:szCs w:val="26"/>
        </w:rPr>
        <w:t xml:space="preserve">no reason for a competitive local exchange telecommunications company to have to file a petition with the Commission requesting a competitive designation for its retail noncompetitive services offered to enterprise and large businesses.   </w:t>
      </w:r>
      <w:r w:rsidR="000C1A1E" w:rsidRPr="00F1714B">
        <w:rPr>
          <w:szCs w:val="26"/>
        </w:rPr>
        <w:t>O</w:t>
      </w:r>
      <w:r w:rsidR="0093259A" w:rsidRPr="00F1714B">
        <w:rPr>
          <w:szCs w:val="26"/>
        </w:rPr>
        <w:t xml:space="preserve">nce a local exchange telecommunications company makes a self-declaration that the retail </w:t>
      </w:r>
      <w:r w:rsidR="0093259A" w:rsidRPr="00F1714B">
        <w:rPr>
          <w:i/>
          <w:iCs/>
          <w:szCs w:val="26"/>
        </w:rPr>
        <w:t>nonprotected,</w:t>
      </w:r>
      <w:r w:rsidR="0093259A" w:rsidRPr="00F1714B">
        <w:rPr>
          <w:szCs w:val="26"/>
        </w:rPr>
        <w:t xml:space="preserve"> </w:t>
      </w:r>
      <w:r w:rsidR="0093259A" w:rsidRPr="00F1714B">
        <w:rPr>
          <w:i/>
          <w:iCs/>
          <w:szCs w:val="26"/>
        </w:rPr>
        <w:t>noncompetitive</w:t>
      </w:r>
      <w:r w:rsidR="0093259A" w:rsidRPr="00F1714B">
        <w:rPr>
          <w:szCs w:val="26"/>
        </w:rPr>
        <w:t xml:space="preserve"> services it offers to enterprise and large business customers are competitive, this same competitive classification designation would apply to any competitive carrier operating in the service territory of the local exchange telecommunications company.  </w:t>
      </w:r>
      <w:r w:rsidR="000E61E4" w:rsidRPr="00F1714B">
        <w:rPr>
          <w:szCs w:val="26"/>
        </w:rPr>
        <w:t>Thus</w:t>
      </w:r>
      <w:r w:rsidR="000C1A1E" w:rsidRPr="00F1714B">
        <w:rPr>
          <w:szCs w:val="26"/>
        </w:rPr>
        <w:t>, in this circumstance,</w:t>
      </w:r>
      <w:r w:rsidR="000E61E4" w:rsidRPr="00F1714B">
        <w:rPr>
          <w:szCs w:val="26"/>
        </w:rPr>
        <w:t xml:space="preserve"> competitors would now be permitted to offer the same or functionally equivalent service to an enterprise or large business as a competitive service </w:t>
      </w:r>
      <w:r w:rsidR="0054456B" w:rsidRPr="00F1714B">
        <w:rPr>
          <w:szCs w:val="26"/>
        </w:rPr>
        <w:t xml:space="preserve">without first having to file a petition seeking a temporary waiver from the Commission since the </w:t>
      </w:r>
      <w:r w:rsidR="00CE2982" w:rsidRPr="00F1714B">
        <w:rPr>
          <w:szCs w:val="26"/>
        </w:rPr>
        <w:t xml:space="preserve">ILEC has obtained such detariffing relief </w:t>
      </w:r>
      <w:r w:rsidR="0054456B" w:rsidRPr="00F1714B">
        <w:rPr>
          <w:szCs w:val="26"/>
        </w:rPr>
        <w:t>in accordance with the final-form regulation</w:t>
      </w:r>
      <w:r w:rsidR="000E61E4" w:rsidRPr="00F1714B">
        <w:rPr>
          <w:szCs w:val="26"/>
        </w:rPr>
        <w:t>.</w:t>
      </w:r>
      <w:r w:rsidR="000E61E4" w:rsidRPr="00F1714B">
        <w:rPr>
          <w:szCs w:val="26"/>
          <w:vertAlign w:val="superscript"/>
        </w:rPr>
        <w:footnoteReference w:id="40"/>
      </w:r>
      <w:r w:rsidR="000E61E4" w:rsidRPr="00F1714B">
        <w:rPr>
          <w:szCs w:val="26"/>
        </w:rPr>
        <w:t xml:space="preserve">  </w:t>
      </w:r>
    </w:p>
    <w:p w14:paraId="550B57BB" w14:textId="77777777" w:rsidR="002A3317" w:rsidRPr="00F1714B" w:rsidRDefault="002A3317" w:rsidP="00E55426">
      <w:pPr>
        <w:ind w:firstLine="720"/>
        <w:rPr>
          <w:szCs w:val="26"/>
        </w:rPr>
      </w:pPr>
    </w:p>
    <w:p w14:paraId="452F5A1A" w14:textId="60CA124E" w:rsidR="00A46ACA" w:rsidRPr="00F1714B" w:rsidRDefault="00403EF3" w:rsidP="00E55426">
      <w:pPr>
        <w:ind w:firstLine="720"/>
        <w:rPr>
          <w:rFonts w:cs="Times New Roman"/>
          <w:szCs w:val="26"/>
        </w:rPr>
      </w:pPr>
      <w:r w:rsidRPr="00F1714B">
        <w:rPr>
          <w:rFonts w:cs="Times New Roman"/>
          <w:szCs w:val="26"/>
        </w:rPr>
        <w:t xml:space="preserve">The OCA opposes the Commission’s proposal </w:t>
      </w:r>
      <w:r w:rsidR="00F3798A" w:rsidRPr="00F1714B">
        <w:rPr>
          <w:rFonts w:cs="Times New Roman"/>
          <w:szCs w:val="26"/>
        </w:rPr>
        <w:t>in Section 53.5</w:t>
      </w:r>
      <w:r w:rsidR="009A3E45" w:rsidRPr="00F1714B">
        <w:rPr>
          <w:rFonts w:cs="Times New Roman"/>
          <w:szCs w:val="26"/>
        </w:rPr>
        <w:t xml:space="preserve">8 </w:t>
      </w:r>
      <w:r w:rsidRPr="00F1714B">
        <w:rPr>
          <w:rFonts w:cs="Times New Roman"/>
          <w:szCs w:val="26"/>
        </w:rPr>
        <w:t xml:space="preserve">to eliminate </w:t>
      </w:r>
      <w:r w:rsidR="00E612BE" w:rsidRPr="00F1714B">
        <w:rPr>
          <w:rFonts w:cs="Times New Roman"/>
          <w:szCs w:val="26"/>
        </w:rPr>
        <w:t xml:space="preserve">the requirement </w:t>
      </w:r>
      <w:r w:rsidRPr="00F1714B">
        <w:rPr>
          <w:rFonts w:cs="Times New Roman"/>
          <w:szCs w:val="26"/>
        </w:rPr>
        <w:t xml:space="preserve">that LECs file price lists applicable to competitive services with the Commission, and to instead </w:t>
      </w:r>
      <w:r w:rsidR="00E612BE" w:rsidRPr="00F1714B">
        <w:rPr>
          <w:rFonts w:cs="Times New Roman"/>
          <w:szCs w:val="26"/>
        </w:rPr>
        <w:t xml:space="preserve">only </w:t>
      </w:r>
      <w:r w:rsidRPr="00F1714B">
        <w:rPr>
          <w:rFonts w:cs="Times New Roman"/>
          <w:szCs w:val="26"/>
        </w:rPr>
        <w:t xml:space="preserve">require that LECs post their rates in a product guide and keep an archive of historical rates.  </w:t>
      </w:r>
      <w:r w:rsidR="00B90203" w:rsidRPr="00F1714B">
        <w:rPr>
          <w:rFonts w:cs="Times New Roman"/>
          <w:szCs w:val="26"/>
        </w:rPr>
        <w:t xml:space="preserve">OCA Comments at 8-10.  </w:t>
      </w:r>
      <w:r w:rsidR="008339BE" w:rsidRPr="00F1714B">
        <w:rPr>
          <w:rFonts w:cs="Times New Roman"/>
          <w:szCs w:val="26"/>
        </w:rPr>
        <w:t xml:space="preserve">The rationale for this opposition to our proposal is </w:t>
      </w:r>
      <w:r w:rsidRPr="00F1714B">
        <w:rPr>
          <w:rFonts w:cs="Times New Roman"/>
          <w:szCs w:val="26"/>
        </w:rPr>
        <w:t>OCA</w:t>
      </w:r>
      <w:r w:rsidR="008339BE" w:rsidRPr="00F1714B">
        <w:rPr>
          <w:rFonts w:cs="Times New Roman"/>
          <w:szCs w:val="26"/>
        </w:rPr>
        <w:t xml:space="preserve">’s </w:t>
      </w:r>
      <w:r w:rsidRPr="00F1714B">
        <w:rPr>
          <w:rFonts w:cs="Times New Roman"/>
          <w:szCs w:val="26"/>
        </w:rPr>
        <w:t xml:space="preserve">concern that </w:t>
      </w:r>
      <w:r w:rsidR="00257E26" w:rsidRPr="00F1714B">
        <w:rPr>
          <w:rFonts w:cs="Times New Roman"/>
          <w:szCs w:val="26"/>
        </w:rPr>
        <w:t xml:space="preserve">the </w:t>
      </w:r>
      <w:r w:rsidRPr="00F1714B">
        <w:rPr>
          <w:rFonts w:cs="Times New Roman"/>
          <w:szCs w:val="26"/>
        </w:rPr>
        <w:t>rates posted in price guides on LEC websites diminishes the ability to monitor the competitive marketplace.</w:t>
      </w:r>
      <w:r w:rsidR="00257E26" w:rsidRPr="00F1714B">
        <w:rPr>
          <w:rFonts w:cs="Times New Roman"/>
          <w:szCs w:val="26"/>
        </w:rPr>
        <w:t xml:space="preserve"> </w:t>
      </w:r>
      <w:r w:rsidR="00B90203" w:rsidRPr="00F1714B">
        <w:rPr>
          <w:rFonts w:cs="Times New Roman"/>
          <w:i/>
          <w:iCs/>
          <w:szCs w:val="26"/>
        </w:rPr>
        <w:t>Id.</w:t>
      </w:r>
      <w:r w:rsidR="00257E26" w:rsidRPr="00F1714B">
        <w:rPr>
          <w:rFonts w:cs="Times New Roman"/>
          <w:szCs w:val="26"/>
        </w:rPr>
        <w:t xml:space="preserve"> </w:t>
      </w:r>
      <w:r w:rsidR="00CC71A5" w:rsidRPr="00F1714B">
        <w:rPr>
          <w:rFonts w:cs="Times New Roman"/>
          <w:szCs w:val="26"/>
        </w:rPr>
        <w:t xml:space="preserve"> </w:t>
      </w:r>
      <w:r w:rsidR="00257E26" w:rsidRPr="00F1714B">
        <w:rPr>
          <w:rFonts w:cs="Times New Roman"/>
          <w:szCs w:val="26"/>
        </w:rPr>
        <w:t>We disagree with the OCA on this</w:t>
      </w:r>
      <w:r w:rsidR="008154C0" w:rsidRPr="00F1714B">
        <w:rPr>
          <w:rFonts w:cs="Times New Roman"/>
          <w:szCs w:val="26"/>
        </w:rPr>
        <w:t xml:space="preserve"> point</w:t>
      </w:r>
      <w:r w:rsidR="001020C2" w:rsidRPr="00F1714B">
        <w:rPr>
          <w:rFonts w:cs="Times New Roman"/>
          <w:szCs w:val="26"/>
        </w:rPr>
        <w:t>, particularly in light of our archival requirement</w:t>
      </w:r>
      <w:r w:rsidR="00257E26" w:rsidRPr="00F1714B">
        <w:rPr>
          <w:rFonts w:cs="Times New Roman"/>
          <w:szCs w:val="26"/>
        </w:rPr>
        <w:t>.</w:t>
      </w:r>
      <w:r w:rsidR="0077379B" w:rsidRPr="00F1714B">
        <w:rPr>
          <w:rFonts w:cs="Times New Roman"/>
          <w:szCs w:val="26"/>
        </w:rPr>
        <w:t xml:space="preserve">  </w:t>
      </w:r>
    </w:p>
    <w:p w14:paraId="0718A705" w14:textId="77777777" w:rsidR="0054456B" w:rsidRPr="00F1714B" w:rsidRDefault="0054456B" w:rsidP="00E55426">
      <w:pPr>
        <w:ind w:firstLine="720"/>
        <w:rPr>
          <w:rFonts w:cs="Times New Roman"/>
          <w:szCs w:val="26"/>
        </w:rPr>
      </w:pPr>
    </w:p>
    <w:p w14:paraId="0A865E5C" w14:textId="535FFE05" w:rsidR="009C1F43" w:rsidRPr="00F1714B" w:rsidRDefault="009C1F43" w:rsidP="009C1F43">
      <w:pPr>
        <w:ind w:firstLine="720"/>
        <w:rPr>
          <w:rFonts w:cs="Times New Roman"/>
          <w:szCs w:val="26"/>
        </w:rPr>
      </w:pPr>
      <w:r w:rsidRPr="00F1714B">
        <w:rPr>
          <w:rFonts w:cs="Times New Roman"/>
          <w:szCs w:val="26"/>
        </w:rPr>
        <w:t>Chapter 30 gives the Commission the discretion to require the filing of price lists that contain the rates, terms and conditions of service for competitive services.  66 Pa.C.S. § 3016(d)(4).</w:t>
      </w:r>
      <w:r w:rsidR="002B2B2D" w:rsidRPr="00F1714B">
        <w:rPr>
          <w:rFonts w:cs="Times New Roman"/>
          <w:szCs w:val="26"/>
        </w:rPr>
        <w:t xml:space="preserve">  </w:t>
      </w:r>
      <w:r w:rsidR="00B84A7D" w:rsidRPr="00F1714B">
        <w:rPr>
          <w:rFonts w:cs="Times New Roman"/>
          <w:szCs w:val="26"/>
        </w:rPr>
        <w:t xml:space="preserve">The overall purpose of this rulemaking is to streamline our regulations </w:t>
      </w:r>
      <w:r w:rsidR="001D5555" w:rsidRPr="00F1714B">
        <w:rPr>
          <w:rFonts w:cs="Times New Roman"/>
          <w:szCs w:val="26"/>
        </w:rPr>
        <w:t>and t</w:t>
      </w:r>
      <w:r w:rsidRPr="00F1714B">
        <w:rPr>
          <w:rFonts w:cs="Times New Roman"/>
          <w:szCs w:val="26"/>
        </w:rPr>
        <w:t>he intent of the proposed regulation was to establish that</w:t>
      </w:r>
      <w:r w:rsidR="002B2B2D" w:rsidRPr="00F1714B">
        <w:rPr>
          <w:rFonts w:cs="Times New Roman"/>
          <w:szCs w:val="26"/>
        </w:rPr>
        <w:t xml:space="preserve"> i</w:t>
      </w:r>
      <w:r w:rsidR="00B03C8A" w:rsidRPr="00F1714B">
        <w:rPr>
          <w:rFonts w:cs="Times New Roman"/>
          <w:szCs w:val="26"/>
        </w:rPr>
        <w:t xml:space="preserve">t is only </w:t>
      </w:r>
      <w:r w:rsidR="00B03C8A" w:rsidRPr="00F1714B">
        <w:rPr>
          <w:rFonts w:cs="Times New Roman"/>
          <w:szCs w:val="26"/>
        </w:rPr>
        <w:lastRenderedPageBreak/>
        <w:t xml:space="preserve">necessary for </w:t>
      </w:r>
      <w:r w:rsidRPr="00F1714B">
        <w:rPr>
          <w:rFonts w:cs="Times New Roman"/>
          <w:szCs w:val="26"/>
        </w:rPr>
        <w:t xml:space="preserve">a jurisdictional LEC to post a price list for competitive services on its website unless the Commission directs the company to do otherwise.  Thus, </w:t>
      </w:r>
      <w:r w:rsidR="009A3E45" w:rsidRPr="00F1714B">
        <w:rPr>
          <w:rFonts w:cs="Times New Roman"/>
          <w:szCs w:val="26"/>
        </w:rPr>
        <w:t>in Section 53.58(</w:t>
      </w:r>
      <w:r w:rsidR="00900380" w:rsidRPr="00F1714B">
        <w:rPr>
          <w:rFonts w:cs="Times New Roman"/>
          <w:szCs w:val="26"/>
        </w:rPr>
        <w:t>d</w:t>
      </w:r>
      <w:r w:rsidR="009A3E45" w:rsidRPr="00F1714B">
        <w:rPr>
          <w:rFonts w:cs="Times New Roman"/>
          <w:szCs w:val="26"/>
        </w:rPr>
        <w:t xml:space="preserve">) of </w:t>
      </w:r>
      <w:r w:rsidRPr="00F1714B">
        <w:rPr>
          <w:rFonts w:cs="Times New Roman"/>
          <w:szCs w:val="26"/>
        </w:rPr>
        <w:t>the final-form regulation permit</w:t>
      </w:r>
      <w:r w:rsidR="00FA6966" w:rsidRPr="00F1714B">
        <w:rPr>
          <w:rFonts w:cs="Times New Roman"/>
          <w:szCs w:val="26"/>
        </w:rPr>
        <w:t xml:space="preserve">s </w:t>
      </w:r>
      <w:r w:rsidRPr="00F1714B">
        <w:rPr>
          <w:rFonts w:cs="Times New Roman"/>
          <w:szCs w:val="26"/>
        </w:rPr>
        <w:t xml:space="preserve">jurisdictional LECs to </w:t>
      </w:r>
      <w:r w:rsidR="0054456B" w:rsidRPr="00F1714B">
        <w:rPr>
          <w:rFonts w:cs="Times New Roman"/>
          <w:szCs w:val="26"/>
        </w:rPr>
        <w:t xml:space="preserve">either </w:t>
      </w:r>
      <w:r w:rsidRPr="00F1714B">
        <w:rPr>
          <w:rFonts w:cs="Times New Roman"/>
          <w:szCs w:val="26"/>
        </w:rPr>
        <w:t>post a price list or product guide setting forth the rates, terms and conditions for their retail competitive services on their websites.</w:t>
      </w:r>
    </w:p>
    <w:p w14:paraId="5FDEAC1D" w14:textId="77777777" w:rsidR="009C1F43" w:rsidRPr="00F1714B" w:rsidRDefault="009C1F43" w:rsidP="009C1F43">
      <w:pPr>
        <w:ind w:firstLine="720"/>
        <w:rPr>
          <w:rFonts w:cs="Times New Roman"/>
          <w:szCs w:val="26"/>
        </w:rPr>
      </w:pPr>
    </w:p>
    <w:p w14:paraId="7C7DB351" w14:textId="0CA3123E" w:rsidR="009C1F43" w:rsidRPr="00F1714B" w:rsidRDefault="009C1F43" w:rsidP="009C1F43">
      <w:pPr>
        <w:ind w:firstLine="720"/>
        <w:rPr>
          <w:rFonts w:cs="Times New Roman"/>
          <w:szCs w:val="26"/>
        </w:rPr>
      </w:pPr>
      <w:r w:rsidRPr="00F1714B">
        <w:rPr>
          <w:rFonts w:cs="Times New Roman"/>
          <w:szCs w:val="26"/>
        </w:rPr>
        <w:t>However</w:t>
      </w:r>
      <w:r w:rsidR="004C35D1" w:rsidRPr="00F1714B">
        <w:rPr>
          <w:rFonts w:cs="Times New Roman"/>
          <w:szCs w:val="26"/>
        </w:rPr>
        <w:t xml:space="preserve">, </w:t>
      </w:r>
      <w:r w:rsidR="002520A6" w:rsidRPr="00F1714B">
        <w:rPr>
          <w:rFonts w:cs="Times New Roman"/>
          <w:szCs w:val="26"/>
        </w:rPr>
        <w:t xml:space="preserve">in taking such action to </w:t>
      </w:r>
      <w:r w:rsidR="004C35D1" w:rsidRPr="00F1714B">
        <w:rPr>
          <w:rFonts w:cs="Times New Roman"/>
          <w:szCs w:val="26"/>
        </w:rPr>
        <w:t>streamlin</w:t>
      </w:r>
      <w:r w:rsidR="002520A6" w:rsidRPr="00F1714B">
        <w:rPr>
          <w:rFonts w:cs="Times New Roman"/>
          <w:szCs w:val="26"/>
        </w:rPr>
        <w:t xml:space="preserve">e </w:t>
      </w:r>
      <w:r w:rsidR="004C35D1" w:rsidRPr="00F1714B">
        <w:rPr>
          <w:rFonts w:cs="Times New Roman"/>
          <w:szCs w:val="26"/>
        </w:rPr>
        <w:t>our regulations for our jurisdictional LECs</w:t>
      </w:r>
      <w:r w:rsidR="002520A6" w:rsidRPr="00F1714B">
        <w:rPr>
          <w:rFonts w:cs="Times New Roman"/>
          <w:szCs w:val="26"/>
        </w:rPr>
        <w:t xml:space="preserve">, the Commission is mindful it </w:t>
      </w:r>
      <w:r w:rsidR="001B6521" w:rsidRPr="00F1714B">
        <w:rPr>
          <w:rFonts w:cs="Times New Roman"/>
          <w:szCs w:val="26"/>
        </w:rPr>
        <w:t xml:space="preserve">may be necessary </w:t>
      </w:r>
      <w:r w:rsidRPr="00F1714B">
        <w:rPr>
          <w:rFonts w:cs="Times New Roman"/>
          <w:szCs w:val="26"/>
        </w:rPr>
        <w:t>for carriers to maintain price lists for their competitive basic dial tone service offerings to residential customers</w:t>
      </w:r>
      <w:r w:rsidR="001B6521" w:rsidRPr="00F1714B">
        <w:rPr>
          <w:rFonts w:cs="Times New Roman"/>
          <w:szCs w:val="26"/>
        </w:rPr>
        <w:t xml:space="preserve">.  First, the Commission recognizes that residential customers may not have easy access to the Internet.  Secondly, it is in the public interest for </w:t>
      </w:r>
      <w:r w:rsidR="00FA6966" w:rsidRPr="00F1714B">
        <w:rPr>
          <w:rFonts w:cs="Times New Roman"/>
          <w:szCs w:val="26"/>
        </w:rPr>
        <w:t xml:space="preserve">the Commission in order </w:t>
      </w:r>
      <w:r w:rsidRPr="00F1714B">
        <w:rPr>
          <w:rFonts w:cs="Times New Roman"/>
          <w:szCs w:val="26"/>
        </w:rPr>
        <w:t>to ensure the utility is not engaging in unlawful discrimination or any other unlawful activity.</w:t>
      </w:r>
      <w:r w:rsidR="00210B1B" w:rsidRPr="00F1714B">
        <w:rPr>
          <w:rFonts w:cs="Times New Roman"/>
          <w:szCs w:val="26"/>
        </w:rPr>
        <w:t xml:space="preserve"> </w:t>
      </w:r>
      <w:r w:rsidRPr="00F1714B">
        <w:rPr>
          <w:rFonts w:cs="Times New Roman"/>
          <w:szCs w:val="26"/>
        </w:rPr>
        <w:t xml:space="preserve"> </w:t>
      </w:r>
      <w:r w:rsidR="001B6521" w:rsidRPr="00F1714B">
        <w:rPr>
          <w:rFonts w:cs="Times New Roman"/>
          <w:szCs w:val="26"/>
        </w:rPr>
        <w:t xml:space="preserve">Acknowledging this distinction between residential customers and nonresidential customers, </w:t>
      </w:r>
      <w:r w:rsidR="00B90203" w:rsidRPr="00F1714B">
        <w:rPr>
          <w:rFonts w:cs="Times New Roman"/>
          <w:szCs w:val="26"/>
        </w:rPr>
        <w:t xml:space="preserve">the Commission determines that </w:t>
      </w:r>
      <w:r w:rsidR="00BF65CC" w:rsidRPr="00F1714B">
        <w:rPr>
          <w:rFonts w:cs="Times New Roman"/>
          <w:szCs w:val="26"/>
        </w:rPr>
        <w:t>Section 53</w:t>
      </w:r>
      <w:r w:rsidR="000937E9" w:rsidRPr="00F1714B">
        <w:rPr>
          <w:rFonts w:cs="Times New Roman"/>
          <w:szCs w:val="26"/>
        </w:rPr>
        <w:t>.58(</w:t>
      </w:r>
      <w:r w:rsidR="00900380" w:rsidRPr="00F1714B">
        <w:rPr>
          <w:rFonts w:cs="Times New Roman"/>
          <w:szCs w:val="26"/>
        </w:rPr>
        <w:t>d</w:t>
      </w:r>
      <w:r w:rsidR="000937E9" w:rsidRPr="00F1714B">
        <w:rPr>
          <w:rFonts w:cs="Times New Roman"/>
          <w:szCs w:val="26"/>
        </w:rPr>
        <w:t xml:space="preserve">) of </w:t>
      </w:r>
      <w:r w:rsidRPr="00F1714B">
        <w:rPr>
          <w:rFonts w:cs="Times New Roman"/>
          <w:szCs w:val="26"/>
        </w:rPr>
        <w:t xml:space="preserve">the final-form regulation </w:t>
      </w:r>
      <w:r w:rsidR="00B90203" w:rsidRPr="00F1714B">
        <w:rPr>
          <w:rFonts w:cs="Times New Roman"/>
          <w:szCs w:val="26"/>
        </w:rPr>
        <w:t xml:space="preserve">will </w:t>
      </w:r>
      <w:r w:rsidR="000937E9" w:rsidRPr="00F1714B">
        <w:rPr>
          <w:rFonts w:cs="Times New Roman"/>
          <w:szCs w:val="26"/>
        </w:rPr>
        <w:t xml:space="preserve">also </w:t>
      </w:r>
      <w:r w:rsidR="00B90203" w:rsidRPr="00F1714B">
        <w:rPr>
          <w:rFonts w:cs="Times New Roman"/>
          <w:szCs w:val="26"/>
        </w:rPr>
        <w:t xml:space="preserve">set forth an </w:t>
      </w:r>
      <w:r w:rsidR="00B84A7D" w:rsidRPr="00F1714B">
        <w:rPr>
          <w:rFonts w:cs="Times New Roman"/>
          <w:szCs w:val="26"/>
        </w:rPr>
        <w:t xml:space="preserve">exception to the default </w:t>
      </w:r>
      <w:r w:rsidR="008F020A" w:rsidRPr="00F1714B">
        <w:rPr>
          <w:rFonts w:cs="Times New Roman"/>
          <w:szCs w:val="26"/>
        </w:rPr>
        <w:t xml:space="preserve">detariffing </w:t>
      </w:r>
      <w:r w:rsidR="00B84A7D" w:rsidRPr="00F1714B">
        <w:rPr>
          <w:rFonts w:cs="Times New Roman"/>
          <w:szCs w:val="26"/>
        </w:rPr>
        <w:t xml:space="preserve">directive for retail competitive services by requiring </w:t>
      </w:r>
      <w:r w:rsidRPr="00F1714B">
        <w:rPr>
          <w:rFonts w:cs="Times New Roman"/>
          <w:szCs w:val="26"/>
        </w:rPr>
        <w:t>jurisdictional LECs to continue to file price lists for the</w:t>
      </w:r>
      <w:r w:rsidR="00B84A7D" w:rsidRPr="00F1714B">
        <w:rPr>
          <w:rFonts w:cs="Times New Roman"/>
          <w:szCs w:val="26"/>
        </w:rPr>
        <w:t>ir</w:t>
      </w:r>
      <w:r w:rsidRPr="00F1714B">
        <w:rPr>
          <w:rFonts w:cs="Times New Roman"/>
          <w:szCs w:val="26"/>
        </w:rPr>
        <w:t xml:space="preserve"> competitive </w:t>
      </w:r>
      <w:r w:rsidRPr="00F1714B">
        <w:rPr>
          <w:rFonts w:cs="Times New Roman"/>
          <w:i/>
          <w:iCs/>
          <w:szCs w:val="26"/>
        </w:rPr>
        <w:t>residential</w:t>
      </w:r>
      <w:r w:rsidRPr="00F1714B">
        <w:rPr>
          <w:rFonts w:cs="Times New Roman"/>
          <w:szCs w:val="26"/>
        </w:rPr>
        <w:t xml:space="preserve"> standalone basic voice service with the Commission.</w:t>
      </w:r>
    </w:p>
    <w:p w14:paraId="08B4C468" w14:textId="77777777" w:rsidR="00CC71A5" w:rsidRPr="00F1714B" w:rsidRDefault="00CC71A5" w:rsidP="009C1F43">
      <w:pPr>
        <w:ind w:firstLine="720"/>
        <w:rPr>
          <w:rFonts w:cs="Times New Roman"/>
          <w:szCs w:val="26"/>
        </w:rPr>
      </w:pPr>
    </w:p>
    <w:p w14:paraId="1235E4BA" w14:textId="2F32C470" w:rsidR="005A7641" w:rsidRPr="00F1714B" w:rsidRDefault="005A7641" w:rsidP="00E55426">
      <w:pPr>
        <w:ind w:firstLine="720"/>
        <w:rPr>
          <w:rFonts w:cs="Times New Roman"/>
          <w:szCs w:val="26"/>
        </w:rPr>
      </w:pPr>
      <w:r w:rsidRPr="00F1714B">
        <w:rPr>
          <w:rFonts w:cs="Times New Roman"/>
          <w:szCs w:val="26"/>
        </w:rPr>
        <w:t xml:space="preserve">IRRC also recommends that </w:t>
      </w:r>
      <w:r w:rsidR="008C2359" w:rsidRPr="00F1714B">
        <w:rPr>
          <w:rFonts w:cs="Times New Roman"/>
          <w:szCs w:val="26"/>
        </w:rPr>
        <w:t xml:space="preserve">proposed </w:t>
      </w:r>
      <w:r w:rsidRPr="00F1714B">
        <w:rPr>
          <w:rFonts w:cs="Times New Roman"/>
          <w:szCs w:val="26"/>
        </w:rPr>
        <w:t>Section 53.58</w:t>
      </w:r>
      <w:r w:rsidR="00364C72" w:rsidRPr="00F1714B">
        <w:rPr>
          <w:rFonts w:cs="Times New Roman"/>
          <w:szCs w:val="26"/>
        </w:rPr>
        <w:t xml:space="preserve"> </w:t>
      </w:r>
      <w:r w:rsidRPr="00F1714B">
        <w:rPr>
          <w:rFonts w:cs="Times New Roman"/>
          <w:szCs w:val="26"/>
        </w:rPr>
        <w:t xml:space="preserve">should specify the location of where the archive for the outdated product guides is to be housed and how the public will access this archive. </w:t>
      </w:r>
      <w:r w:rsidR="008C2359" w:rsidRPr="00F1714B">
        <w:rPr>
          <w:rFonts w:cs="Times New Roman"/>
          <w:szCs w:val="26"/>
        </w:rPr>
        <w:t>IRRC Comments at 5.</w:t>
      </w:r>
      <w:r w:rsidRPr="00F1714B">
        <w:rPr>
          <w:rFonts w:cs="Times New Roman"/>
          <w:szCs w:val="26"/>
        </w:rPr>
        <w:t xml:space="preserve"> We will adopt IRRC’s recommendation regarding </w:t>
      </w:r>
      <w:r w:rsidR="008C2359" w:rsidRPr="00F1714B">
        <w:rPr>
          <w:rFonts w:cs="Times New Roman"/>
          <w:szCs w:val="26"/>
        </w:rPr>
        <w:t>archived product guides</w:t>
      </w:r>
      <w:r w:rsidRPr="00F1714B">
        <w:rPr>
          <w:rFonts w:cs="Times New Roman"/>
          <w:szCs w:val="26"/>
        </w:rPr>
        <w:t xml:space="preserve"> and make this clarification in </w:t>
      </w:r>
      <w:r w:rsidR="000937E9" w:rsidRPr="00F1714B">
        <w:rPr>
          <w:rFonts w:cs="Times New Roman"/>
          <w:szCs w:val="26"/>
        </w:rPr>
        <w:t>Section 53.58(</w:t>
      </w:r>
      <w:r w:rsidR="00AE47AB" w:rsidRPr="00F1714B">
        <w:rPr>
          <w:rFonts w:cs="Times New Roman"/>
          <w:szCs w:val="26"/>
        </w:rPr>
        <w:t>d</w:t>
      </w:r>
      <w:r w:rsidR="000937E9" w:rsidRPr="00F1714B">
        <w:rPr>
          <w:rFonts w:cs="Times New Roman"/>
          <w:szCs w:val="26"/>
        </w:rPr>
        <w:t xml:space="preserve">) of </w:t>
      </w:r>
      <w:r w:rsidRPr="00F1714B">
        <w:rPr>
          <w:rFonts w:cs="Times New Roman"/>
          <w:szCs w:val="26"/>
        </w:rPr>
        <w:t xml:space="preserve">the final-form regulation </w:t>
      </w:r>
      <w:proofErr w:type="gramStart"/>
      <w:r w:rsidRPr="00F1714B">
        <w:rPr>
          <w:rFonts w:cs="Times New Roman"/>
          <w:szCs w:val="26"/>
        </w:rPr>
        <w:t>in order to</w:t>
      </w:r>
      <w:proofErr w:type="gramEnd"/>
      <w:r w:rsidRPr="00F1714B">
        <w:rPr>
          <w:rFonts w:cs="Times New Roman"/>
          <w:szCs w:val="26"/>
        </w:rPr>
        <w:t xml:space="preserve"> specify the location of the outdated price guide archive and the manner in which the public will gain access to it.</w:t>
      </w:r>
    </w:p>
    <w:p w14:paraId="51DCA184" w14:textId="77777777" w:rsidR="0054456B" w:rsidRPr="00F1714B" w:rsidRDefault="0054456B" w:rsidP="00E55426">
      <w:pPr>
        <w:ind w:firstLine="720"/>
        <w:rPr>
          <w:rFonts w:cs="Times New Roman"/>
          <w:szCs w:val="26"/>
        </w:rPr>
      </w:pPr>
    </w:p>
    <w:p w14:paraId="2FC4DDC4" w14:textId="732EBAA7" w:rsidR="00572A16" w:rsidRPr="00F1714B" w:rsidRDefault="005A7641" w:rsidP="00E55426">
      <w:pPr>
        <w:ind w:firstLine="720"/>
        <w:rPr>
          <w:rFonts w:cs="Times New Roman"/>
          <w:szCs w:val="26"/>
        </w:rPr>
      </w:pPr>
      <w:r w:rsidRPr="00F1714B">
        <w:rPr>
          <w:rFonts w:cs="Times New Roman"/>
          <w:szCs w:val="26"/>
        </w:rPr>
        <w:t xml:space="preserve">IRRC asks the Commission to clarify the placement of the bracket in </w:t>
      </w:r>
      <w:r w:rsidR="00364C72" w:rsidRPr="00F1714B">
        <w:rPr>
          <w:rFonts w:cs="Times New Roman"/>
          <w:szCs w:val="26"/>
        </w:rPr>
        <w:t xml:space="preserve">proposed </w:t>
      </w:r>
      <w:r w:rsidRPr="00F1714B">
        <w:rPr>
          <w:rFonts w:cs="Times New Roman"/>
          <w:szCs w:val="26"/>
        </w:rPr>
        <w:t xml:space="preserve">Section 53.58(d) because it causes ambiguity as to the intent of the regulation.  IRRC recommends that we remove the bracket in proposed modification to Section 53.58(d) so that it reads as follows:  “Local exchange telecommunication companies and competitive </w:t>
      </w:r>
      <w:r w:rsidRPr="00F1714B">
        <w:rPr>
          <w:rFonts w:cs="Times New Roman"/>
          <w:szCs w:val="26"/>
        </w:rPr>
        <w:lastRenderedPageBreak/>
        <w:t>telecommunications carriers offering services determined by the Commission as competitive or declared as competitive</w:t>
      </w:r>
      <w:r w:rsidR="00C978D8" w:rsidRPr="00F1714B">
        <w:rPr>
          <w:rFonts w:cs="Times New Roman"/>
          <w:szCs w:val="26"/>
        </w:rPr>
        <w:t>[</w:t>
      </w:r>
      <w:r w:rsidRPr="00F1714B">
        <w:rPr>
          <w:rFonts w:cs="Times New Roman"/>
          <w:szCs w:val="26"/>
        </w:rPr>
        <w:t>.</w:t>
      </w:r>
      <w:r w:rsidR="00C978D8" w:rsidRPr="00F1714B">
        <w:rPr>
          <w:rFonts w:cs="Times New Roman"/>
          <w:szCs w:val="26"/>
        </w:rPr>
        <w:t>]</w:t>
      </w:r>
      <w:r w:rsidRPr="00F1714B">
        <w:rPr>
          <w:rFonts w:cs="Times New Roman"/>
          <w:szCs w:val="26"/>
        </w:rPr>
        <w:t xml:space="preserve">”  </w:t>
      </w:r>
      <w:r w:rsidR="00572A16" w:rsidRPr="00F1714B">
        <w:rPr>
          <w:rFonts w:cs="Times New Roman"/>
          <w:szCs w:val="26"/>
        </w:rPr>
        <w:t xml:space="preserve">However, IRRC’s proposed construction of Section 53.58(d) </w:t>
      </w:r>
      <w:r w:rsidR="00627A89" w:rsidRPr="00F1714B">
        <w:rPr>
          <w:rFonts w:cs="Times New Roman"/>
          <w:szCs w:val="26"/>
        </w:rPr>
        <w:t>does not comport with</w:t>
      </w:r>
      <w:r w:rsidR="00572A16" w:rsidRPr="00F1714B">
        <w:rPr>
          <w:rFonts w:cs="Times New Roman"/>
          <w:szCs w:val="26"/>
        </w:rPr>
        <w:t xml:space="preserve"> the principles of the statute. </w:t>
      </w:r>
    </w:p>
    <w:p w14:paraId="431C4D0E" w14:textId="77777777" w:rsidR="00572A16" w:rsidRPr="00F1714B" w:rsidRDefault="00572A16" w:rsidP="00E55426">
      <w:pPr>
        <w:ind w:firstLine="720"/>
        <w:rPr>
          <w:rFonts w:cs="Times New Roman"/>
          <w:szCs w:val="26"/>
        </w:rPr>
      </w:pPr>
    </w:p>
    <w:p w14:paraId="61F8D810" w14:textId="56611917" w:rsidR="005A7641" w:rsidRPr="00F1714B" w:rsidRDefault="00572A16" w:rsidP="00E55426">
      <w:pPr>
        <w:ind w:firstLine="720"/>
        <w:rPr>
          <w:szCs w:val="26"/>
        </w:rPr>
      </w:pPr>
      <w:r w:rsidRPr="00F1714B">
        <w:rPr>
          <w:szCs w:val="26"/>
        </w:rPr>
        <w:t xml:space="preserve">The overall intent of the Commission’s proposed modifications to Section 53.58(d) was simply to convey that both local exchange telecommunications companies and competitive telecommunications carriers may offer competitive services and not an attempt to expand the scope of 66 Pa.C.S. § 3016.  Thus, to alleviate any confusion that might </w:t>
      </w:r>
      <w:r w:rsidR="002338E4" w:rsidRPr="00F1714B">
        <w:rPr>
          <w:szCs w:val="26"/>
        </w:rPr>
        <w:t xml:space="preserve">have </w:t>
      </w:r>
      <w:r w:rsidRPr="00F1714B">
        <w:rPr>
          <w:szCs w:val="26"/>
        </w:rPr>
        <w:t>ensue</w:t>
      </w:r>
      <w:r w:rsidR="002338E4" w:rsidRPr="00F1714B">
        <w:rPr>
          <w:szCs w:val="26"/>
        </w:rPr>
        <w:t>d</w:t>
      </w:r>
      <w:r w:rsidRPr="00F1714B">
        <w:rPr>
          <w:szCs w:val="26"/>
        </w:rPr>
        <w:t xml:space="preserve"> from </w:t>
      </w:r>
      <w:r w:rsidR="002338E4" w:rsidRPr="00F1714B">
        <w:rPr>
          <w:szCs w:val="26"/>
        </w:rPr>
        <w:t xml:space="preserve">its </w:t>
      </w:r>
      <w:r w:rsidRPr="00F1714B">
        <w:rPr>
          <w:szCs w:val="26"/>
        </w:rPr>
        <w:t xml:space="preserve">proposed </w:t>
      </w:r>
      <w:r w:rsidR="002338E4" w:rsidRPr="00F1714B">
        <w:rPr>
          <w:szCs w:val="26"/>
        </w:rPr>
        <w:t>modifications to Section 53.58</w:t>
      </w:r>
      <w:r w:rsidRPr="00F1714B">
        <w:rPr>
          <w:szCs w:val="26"/>
        </w:rPr>
        <w:t xml:space="preserve">, the Commission </w:t>
      </w:r>
      <w:r w:rsidR="002338E4" w:rsidRPr="00F1714B">
        <w:rPr>
          <w:szCs w:val="26"/>
        </w:rPr>
        <w:t xml:space="preserve">has </w:t>
      </w:r>
      <w:r w:rsidRPr="00F1714B">
        <w:rPr>
          <w:szCs w:val="26"/>
        </w:rPr>
        <w:t>delete</w:t>
      </w:r>
      <w:r w:rsidR="002338E4" w:rsidRPr="00F1714B">
        <w:rPr>
          <w:szCs w:val="26"/>
        </w:rPr>
        <w:t xml:space="preserve">d all </w:t>
      </w:r>
      <w:r w:rsidRPr="00F1714B">
        <w:rPr>
          <w:szCs w:val="26"/>
        </w:rPr>
        <w:t xml:space="preserve">extraneous references to 66 Pa.C.S. § 3016 in </w:t>
      </w:r>
      <w:r w:rsidR="00627A89" w:rsidRPr="00F1714B">
        <w:rPr>
          <w:szCs w:val="26"/>
        </w:rPr>
        <w:t>S</w:t>
      </w:r>
      <w:r w:rsidRPr="00F1714B">
        <w:rPr>
          <w:szCs w:val="26"/>
        </w:rPr>
        <w:t>ection 53.58 in the final-form regulation.</w:t>
      </w:r>
    </w:p>
    <w:p w14:paraId="00425FF3" w14:textId="77777777" w:rsidR="00EA45CB" w:rsidRPr="00F1714B" w:rsidRDefault="00EA45CB" w:rsidP="00E55426">
      <w:pPr>
        <w:ind w:firstLine="720"/>
        <w:rPr>
          <w:rFonts w:cs="Times New Roman"/>
          <w:szCs w:val="26"/>
        </w:rPr>
      </w:pPr>
    </w:p>
    <w:p w14:paraId="017926B1" w14:textId="16DA1704" w:rsidR="002A3317" w:rsidRPr="00F1714B" w:rsidRDefault="00E267EA" w:rsidP="00E55426">
      <w:pPr>
        <w:ind w:firstLine="720"/>
        <w:rPr>
          <w:rFonts w:cs="Times New Roman"/>
          <w:szCs w:val="26"/>
        </w:rPr>
      </w:pPr>
      <w:r w:rsidRPr="00F1714B">
        <w:rPr>
          <w:rFonts w:cs="Times New Roman"/>
          <w:szCs w:val="26"/>
        </w:rPr>
        <w:t>W</w:t>
      </w:r>
      <w:r w:rsidR="004C58FC" w:rsidRPr="00F1714B">
        <w:rPr>
          <w:rFonts w:cs="Times New Roman"/>
          <w:szCs w:val="26"/>
        </w:rPr>
        <w:t>e do not agree with Verizon’s characterization of our proposed modifications to Section 53.58</w:t>
      </w:r>
      <w:r w:rsidR="003213AB" w:rsidRPr="00F1714B">
        <w:rPr>
          <w:rFonts w:cs="Times New Roman"/>
          <w:szCs w:val="26"/>
        </w:rPr>
        <w:t xml:space="preserve"> as being unduly long and complex</w:t>
      </w:r>
      <w:r w:rsidRPr="00F1714B">
        <w:rPr>
          <w:rFonts w:cs="Times New Roman"/>
          <w:szCs w:val="26"/>
        </w:rPr>
        <w:t xml:space="preserve">. </w:t>
      </w:r>
      <w:r w:rsidR="003213AB" w:rsidRPr="00F1714B">
        <w:rPr>
          <w:rFonts w:cs="Times New Roman"/>
          <w:szCs w:val="26"/>
        </w:rPr>
        <w:t xml:space="preserve"> </w:t>
      </w:r>
      <w:r w:rsidRPr="00F1714B">
        <w:rPr>
          <w:rFonts w:cs="Times New Roman"/>
          <w:szCs w:val="26"/>
        </w:rPr>
        <w:t xml:space="preserve">Additionally, we </w:t>
      </w:r>
      <w:r w:rsidR="004C58FC" w:rsidRPr="00F1714B">
        <w:rPr>
          <w:rFonts w:cs="Times New Roman"/>
          <w:szCs w:val="26"/>
        </w:rPr>
        <w:t xml:space="preserve">recognize that Verizon </w:t>
      </w:r>
      <w:r w:rsidR="001213BA" w:rsidRPr="00F1714B">
        <w:rPr>
          <w:rFonts w:cs="Times New Roman"/>
          <w:szCs w:val="26"/>
        </w:rPr>
        <w:t xml:space="preserve">overreaches in proposing to eliminate </w:t>
      </w:r>
      <w:r w:rsidR="004C58FC" w:rsidRPr="00F1714B">
        <w:rPr>
          <w:rFonts w:cs="Times New Roman"/>
          <w:szCs w:val="26"/>
        </w:rPr>
        <w:t xml:space="preserve">steps for </w:t>
      </w:r>
      <w:r w:rsidR="001213BA" w:rsidRPr="00F1714B">
        <w:rPr>
          <w:rFonts w:cs="Times New Roman"/>
          <w:szCs w:val="26"/>
        </w:rPr>
        <w:t xml:space="preserve">obtaining a </w:t>
      </w:r>
      <w:r w:rsidR="004C58FC" w:rsidRPr="00F1714B">
        <w:rPr>
          <w:rFonts w:cs="Times New Roman"/>
          <w:szCs w:val="26"/>
        </w:rPr>
        <w:t xml:space="preserve">reclassification of a competitive service as noncompetitive and </w:t>
      </w:r>
      <w:r w:rsidR="00B966BE" w:rsidRPr="00F1714B">
        <w:rPr>
          <w:rFonts w:cs="Times New Roman"/>
          <w:szCs w:val="26"/>
        </w:rPr>
        <w:t xml:space="preserve">also </w:t>
      </w:r>
      <w:r w:rsidR="0053625D" w:rsidRPr="00F1714B">
        <w:rPr>
          <w:rFonts w:cs="Times New Roman"/>
          <w:szCs w:val="26"/>
        </w:rPr>
        <w:t>asserting that a</w:t>
      </w:r>
      <w:r w:rsidR="004C58FC" w:rsidRPr="00F1714B">
        <w:rPr>
          <w:rFonts w:cs="Times New Roman"/>
          <w:szCs w:val="26"/>
        </w:rPr>
        <w:t>ll retail telecommunications services offered</w:t>
      </w:r>
      <w:r w:rsidR="0053625D" w:rsidRPr="00F1714B">
        <w:rPr>
          <w:rFonts w:cs="Times New Roman"/>
          <w:szCs w:val="26"/>
        </w:rPr>
        <w:t xml:space="preserve"> </w:t>
      </w:r>
      <w:r w:rsidR="004C58FC" w:rsidRPr="00F1714B">
        <w:rPr>
          <w:rFonts w:cs="Times New Roman"/>
          <w:szCs w:val="26"/>
        </w:rPr>
        <w:t>in competitive wire centers are classified as competitive</w:t>
      </w:r>
      <w:r w:rsidR="008154C0" w:rsidRPr="00F1714B">
        <w:rPr>
          <w:rFonts w:cs="Times New Roman"/>
          <w:szCs w:val="26"/>
        </w:rPr>
        <w:t>.  These assertion</w:t>
      </w:r>
      <w:r w:rsidR="00627A89" w:rsidRPr="00F1714B">
        <w:rPr>
          <w:rFonts w:cs="Times New Roman"/>
          <w:szCs w:val="26"/>
        </w:rPr>
        <w:t>s</w:t>
      </w:r>
      <w:r w:rsidR="008154C0" w:rsidRPr="00F1714B">
        <w:rPr>
          <w:rFonts w:cs="Times New Roman"/>
          <w:szCs w:val="26"/>
        </w:rPr>
        <w:t xml:space="preserve"> are </w:t>
      </w:r>
      <w:r w:rsidR="0053625D" w:rsidRPr="00F1714B">
        <w:rPr>
          <w:rFonts w:cs="Times New Roman"/>
          <w:szCs w:val="26"/>
        </w:rPr>
        <w:t xml:space="preserve">contrary to </w:t>
      </w:r>
      <w:r w:rsidR="00A126A0" w:rsidRPr="00F1714B">
        <w:rPr>
          <w:rFonts w:cs="Times New Roman"/>
          <w:szCs w:val="26"/>
        </w:rPr>
        <w:t xml:space="preserve">Verizon’s own </w:t>
      </w:r>
      <w:r w:rsidRPr="00F1714B">
        <w:rPr>
          <w:rFonts w:cs="Times New Roman"/>
          <w:szCs w:val="26"/>
        </w:rPr>
        <w:t xml:space="preserve">verified and averred </w:t>
      </w:r>
      <w:r w:rsidR="00A126A0" w:rsidRPr="00F1714B">
        <w:rPr>
          <w:rFonts w:cs="Times New Roman"/>
          <w:szCs w:val="26"/>
        </w:rPr>
        <w:t xml:space="preserve">statements in its </w:t>
      </w:r>
      <w:r w:rsidR="00B966BE" w:rsidRPr="00F1714B">
        <w:rPr>
          <w:rFonts w:cs="Times New Roman"/>
          <w:szCs w:val="26"/>
        </w:rPr>
        <w:t xml:space="preserve">reclassification </w:t>
      </w:r>
      <w:r w:rsidR="00A126A0" w:rsidRPr="00F1714B">
        <w:rPr>
          <w:rFonts w:cs="Times New Roman"/>
          <w:szCs w:val="26"/>
        </w:rPr>
        <w:t xml:space="preserve">petition </w:t>
      </w:r>
      <w:r w:rsidR="00B966BE" w:rsidRPr="00F1714B">
        <w:rPr>
          <w:rFonts w:cs="Times New Roman"/>
          <w:szCs w:val="26"/>
        </w:rPr>
        <w:t xml:space="preserve">where it explicitly stated </w:t>
      </w:r>
      <w:r w:rsidR="003213AB" w:rsidRPr="00F1714B">
        <w:rPr>
          <w:rFonts w:cs="Times New Roman"/>
          <w:szCs w:val="26"/>
        </w:rPr>
        <w:t xml:space="preserve">that it was not seeking a competitive </w:t>
      </w:r>
      <w:r w:rsidR="00B966BE" w:rsidRPr="00F1714B">
        <w:rPr>
          <w:rFonts w:cs="Times New Roman"/>
          <w:szCs w:val="26"/>
        </w:rPr>
        <w:t xml:space="preserve">classification for </w:t>
      </w:r>
      <w:r w:rsidR="003213AB" w:rsidRPr="00F1714B">
        <w:rPr>
          <w:rFonts w:cs="Times New Roman"/>
          <w:szCs w:val="26"/>
        </w:rPr>
        <w:t>switched access</w:t>
      </w:r>
      <w:r w:rsidR="00B966BE" w:rsidRPr="00F1714B">
        <w:rPr>
          <w:rFonts w:cs="Times New Roman"/>
          <w:szCs w:val="26"/>
        </w:rPr>
        <w:t xml:space="preserve"> or special access in these requested 194 wire centers.</w:t>
      </w:r>
      <w:r w:rsidR="002A3317" w:rsidRPr="00F1714B">
        <w:rPr>
          <w:rStyle w:val="FootnoteReference"/>
          <w:rFonts w:cs="Times New Roman"/>
          <w:szCs w:val="26"/>
        </w:rPr>
        <w:footnoteReference w:id="41"/>
      </w:r>
      <w:r w:rsidR="00B966BE" w:rsidRPr="00F1714B">
        <w:rPr>
          <w:rFonts w:cs="Times New Roman"/>
          <w:szCs w:val="26"/>
        </w:rPr>
        <w:t xml:space="preserve">  </w:t>
      </w:r>
    </w:p>
    <w:p w14:paraId="6EA6B9CD" w14:textId="77777777" w:rsidR="00E027FC" w:rsidRPr="00F1714B" w:rsidRDefault="00E027FC" w:rsidP="00E55426">
      <w:pPr>
        <w:ind w:firstLine="720"/>
        <w:rPr>
          <w:rFonts w:cs="Times New Roman"/>
          <w:szCs w:val="26"/>
        </w:rPr>
      </w:pPr>
    </w:p>
    <w:p w14:paraId="380D7098" w14:textId="4D4BB42B" w:rsidR="00BD50DA" w:rsidRPr="00F1714B" w:rsidRDefault="00B966BE" w:rsidP="005A65C6">
      <w:pPr>
        <w:ind w:firstLine="720"/>
        <w:rPr>
          <w:rFonts w:cs="Times New Roman"/>
          <w:szCs w:val="26"/>
        </w:rPr>
      </w:pPr>
      <w:r w:rsidRPr="00F1714B">
        <w:rPr>
          <w:rFonts w:cs="Times New Roman"/>
          <w:szCs w:val="26"/>
        </w:rPr>
        <w:t xml:space="preserve">To date, Verizon has not </w:t>
      </w:r>
      <w:r w:rsidR="00627A89" w:rsidRPr="00F1714B">
        <w:rPr>
          <w:rFonts w:cs="Times New Roman"/>
          <w:szCs w:val="26"/>
        </w:rPr>
        <w:t xml:space="preserve">averred or demonstrated </w:t>
      </w:r>
      <w:r w:rsidRPr="00F1714B">
        <w:rPr>
          <w:rFonts w:cs="Times New Roman"/>
          <w:szCs w:val="26"/>
        </w:rPr>
        <w:t xml:space="preserve">that switched access or special access is competitive in </w:t>
      </w:r>
      <w:r w:rsidR="005626EE" w:rsidRPr="00F1714B">
        <w:rPr>
          <w:rFonts w:cs="Times New Roman"/>
          <w:szCs w:val="26"/>
        </w:rPr>
        <w:t xml:space="preserve">its 153 competitive wire centers.  Nonetheless, </w:t>
      </w:r>
      <w:r w:rsidR="00D84DA8" w:rsidRPr="00F1714B">
        <w:rPr>
          <w:rFonts w:cs="Times New Roman"/>
          <w:szCs w:val="26"/>
        </w:rPr>
        <w:t xml:space="preserve">we </w:t>
      </w:r>
      <w:r w:rsidR="00566382" w:rsidRPr="00F1714B">
        <w:rPr>
          <w:rFonts w:cs="Times New Roman"/>
          <w:szCs w:val="26"/>
        </w:rPr>
        <w:t xml:space="preserve">believe </w:t>
      </w:r>
      <w:r w:rsidR="00E267EA" w:rsidRPr="00F1714B">
        <w:rPr>
          <w:rFonts w:cs="Times New Roman"/>
          <w:szCs w:val="26"/>
        </w:rPr>
        <w:t xml:space="preserve">that </w:t>
      </w:r>
      <w:r w:rsidR="00566382" w:rsidRPr="00F1714B">
        <w:rPr>
          <w:rFonts w:cs="Times New Roman"/>
          <w:szCs w:val="26"/>
        </w:rPr>
        <w:t xml:space="preserve">our </w:t>
      </w:r>
      <w:r w:rsidR="00F024E3" w:rsidRPr="00F1714B">
        <w:rPr>
          <w:rFonts w:cs="Times New Roman"/>
          <w:szCs w:val="26"/>
        </w:rPr>
        <w:t>action</w:t>
      </w:r>
      <w:r w:rsidR="003807F7" w:rsidRPr="00F1714B">
        <w:rPr>
          <w:rFonts w:cs="Times New Roman"/>
          <w:szCs w:val="26"/>
        </w:rPr>
        <w:t>s</w:t>
      </w:r>
      <w:r w:rsidR="00F024E3" w:rsidRPr="00F1714B">
        <w:rPr>
          <w:rFonts w:cs="Times New Roman"/>
          <w:szCs w:val="26"/>
        </w:rPr>
        <w:t xml:space="preserve"> take</w:t>
      </w:r>
      <w:r w:rsidR="00566382" w:rsidRPr="00F1714B">
        <w:rPr>
          <w:rFonts w:cs="Times New Roman"/>
          <w:szCs w:val="26"/>
        </w:rPr>
        <w:t xml:space="preserve">n </w:t>
      </w:r>
      <w:r w:rsidR="00F024E3" w:rsidRPr="00F1714B">
        <w:rPr>
          <w:rFonts w:cs="Times New Roman"/>
          <w:szCs w:val="26"/>
        </w:rPr>
        <w:t xml:space="preserve">in </w:t>
      </w:r>
      <w:r w:rsidR="00DD7D4E" w:rsidRPr="00F1714B">
        <w:rPr>
          <w:rFonts w:cs="Times New Roman"/>
          <w:szCs w:val="26"/>
        </w:rPr>
        <w:t>this final rulemaking</w:t>
      </w:r>
      <w:r w:rsidR="00F024E3" w:rsidRPr="00F1714B">
        <w:rPr>
          <w:rFonts w:cs="Times New Roman"/>
          <w:szCs w:val="26"/>
        </w:rPr>
        <w:t xml:space="preserve"> </w:t>
      </w:r>
      <w:r w:rsidR="00BB67EC" w:rsidRPr="00F1714B">
        <w:rPr>
          <w:rFonts w:cs="Times New Roman"/>
          <w:szCs w:val="26"/>
        </w:rPr>
        <w:t xml:space="preserve">to modify Section 53.58 </w:t>
      </w:r>
      <w:r w:rsidR="003807F7" w:rsidRPr="00F1714B">
        <w:rPr>
          <w:rFonts w:cs="Times New Roman"/>
          <w:szCs w:val="26"/>
        </w:rPr>
        <w:t>are</w:t>
      </w:r>
      <w:r w:rsidR="00F024E3" w:rsidRPr="00F1714B">
        <w:rPr>
          <w:rFonts w:cs="Times New Roman"/>
          <w:szCs w:val="26"/>
        </w:rPr>
        <w:t xml:space="preserve"> consistent with the statutory language embedded within Chapter 30 of the Code</w:t>
      </w:r>
      <w:r w:rsidR="004E7A51" w:rsidRPr="00F1714B">
        <w:rPr>
          <w:rFonts w:cs="Times New Roman"/>
          <w:szCs w:val="26"/>
        </w:rPr>
        <w:t>,  Accordingly</w:t>
      </w:r>
      <w:r w:rsidR="0065666C" w:rsidRPr="00F1714B">
        <w:rPr>
          <w:rFonts w:cs="Times New Roman"/>
          <w:szCs w:val="26"/>
        </w:rPr>
        <w:t xml:space="preserve">, the Commission’s regulatory intent regarding the offering of retail competitive services is </w:t>
      </w:r>
      <w:r w:rsidR="00125D0F" w:rsidRPr="00F1714B">
        <w:rPr>
          <w:rFonts w:cs="Times New Roman"/>
          <w:szCs w:val="26"/>
        </w:rPr>
        <w:lastRenderedPageBreak/>
        <w:t xml:space="preserve">reflected </w:t>
      </w:r>
      <w:r w:rsidR="003228A4" w:rsidRPr="00F1714B">
        <w:rPr>
          <w:rFonts w:cs="Times New Roman"/>
          <w:szCs w:val="26"/>
        </w:rPr>
        <w:t xml:space="preserve">in the </w:t>
      </w:r>
      <w:r w:rsidR="00BD50DA" w:rsidRPr="00F1714B">
        <w:rPr>
          <w:rFonts w:cs="Times New Roman"/>
          <w:szCs w:val="26"/>
        </w:rPr>
        <w:t>final</w:t>
      </w:r>
      <w:r w:rsidR="003228A4" w:rsidRPr="00F1714B">
        <w:rPr>
          <w:rFonts w:cs="Times New Roman"/>
          <w:szCs w:val="26"/>
        </w:rPr>
        <w:t>-</w:t>
      </w:r>
      <w:r w:rsidR="00BD50DA" w:rsidRPr="00F1714B">
        <w:rPr>
          <w:rFonts w:cs="Times New Roman"/>
          <w:szCs w:val="26"/>
        </w:rPr>
        <w:t>form regulation</w:t>
      </w:r>
      <w:r w:rsidR="001C59CF" w:rsidRPr="00F1714B">
        <w:rPr>
          <w:rFonts w:cs="Times New Roman"/>
          <w:szCs w:val="26"/>
        </w:rPr>
        <w:t xml:space="preserve"> and it has largely adopted its </w:t>
      </w:r>
      <w:r w:rsidR="00440805" w:rsidRPr="00F1714B">
        <w:rPr>
          <w:rFonts w:cs="Times New Roman"/>
          <w:szCs w:val="26"/>
        </w:rPr>
        <w:t xml:space="preserve">prior </w:t>
      </w:r>
      <w:r w:rsidR="001C59CF" w:rsidRPr="00F1714B">
        <w:rPr>
          <w:rFonts w:cs="Times New Roman"/>
          <w:szCs w:val="26"/>
        </w:rPr>
        <w:t>proposed modifications to Section 53.58 in the final-form regulation subject to certain necessary revisions for clarification purposes</w:t>
      </w:r>
      <w:r w:rsidR="0065666C" w:rsidRPr="00F1714B">
        <w:rPr>
          <w:rFonts w:cs="Times New Roman"/>
          <w:szCs w:val="26"/>
        </w:rPr>
        <w:t>.</w:t>
      </w:r>
    </w:p>
    <w:p w14:paraId="3F17FEA4" w14:textId="77777777" w:rsidR="00BD50DA" w:rsidRPr="00F1714B" w:rsidRDefault="00BD50DA" w:rsidP="005A65C6">
      <w:pPr>
        <w:ind w:firstLine="720"/>
        <w:rPr>
          <w:rFonts w:cs="Times New Roman"/>
          <w:szCs w:val="26"/>
        </w:rPr>
      </w:pPr>
    </w:p>
    <w:p w14:paraId="3A7DDCBE" w14:textId="6E296C4B" w:rsidR="00D61EFA" w:rsidRPr="00F1714B" w:rsidRDefault="00D61EFA" w:rsidP="005A65C6">
      <w:pPr>
        <w:keepNext/>
        <w:keepLines/>
        <w:ind w:firstLine="720"/>
        <w:rPr>
          <w:rFonts w:cs="Times New Roman"/>
          <w:b/>
          <w:bCs/>
          <w:szCs w:val="26"/>
        </w:rPr>
      </w:pPr>
      <w:r w:rsidRPr="00F1714B">
        <w:rPr>
          <w:rFonts w:cs="Times New Roman"/>
          <w:b/>
          <w:bCs/>
          <w:szCs w:val="26"/>
        </w:rPr>
        <w:t>C.</w:t>
      </w:r>
      <w:r w:rsidR="007077CA" w:rsidRPr="00F1714B">
        <w:rPr>
          <w:rFonts w:cs="Times New Roman"/>
          <w:b/>
          <w:bCs/>
          <w:szCs w:val="26"/>
        </w:rPr>
        <w:tab/>
      </w:r>
      <w:r w:rsidRPr="00F1714B">
        <w:rPr>
          <w:rFonts w:cs="Times New Roman"/>
          <w:b/>
          <w:bCs/>
          <w:szCs w:val="26"/>
        </w:rPr>
        <w:t>52 Pa. Code § 53.59</w:t>
      </w:r>
    </w:p>
    <w:p w14:paraId="2EF14633" w14:textId="462C6BA9" w:rsidR="00D06B7A" w:rsidRPr="00F1714B" w:rsidRDefault="007A4374" w:rsidP="005A65C6">
      <w:pPr>
        <w:keepNext/>
        <w:keepLines/>
        <w:ind w:firstLine="720"/>
        <w:rPr>
          <w:rFonts w:cs="Times New Roman"/>
          <w:szCs w:val="26"/>
        </w:rPr>
      </w:pPr>
      <w:r w:rsidRPr="00F1714B">
        <w:rPr>
          <w:rFonts w:cs="Times New Roman"/>
          <w:szCs w:val="26"/>
        </w:rPr>
        <w:t xml:space="preserve">In the Annex to the </w:t>
      </w:r>
      <w:r w:rsidRPr="00F1714B">
        <w:rPr>
          <w:rFonts w:cs="Times New Roman"/>
          <w:i/>
          <w:iCs/>
          <w:szCs w:val="26"/>
        </w:rPr>
        <w:t>NPRM Order</w:t>
      </w:r>
      <w:r w:rsidRPr="00F1714B">
        <w:rPr>
          <w:rFonts w:cs="Times New Roman"/>
          <w:szCs w:val="26"/>
        </w:rPr>
        <w:t xml:space="preserve">, </w:t>
      </w:r>
      <w:r w:rsidR="00DD575C" w:rsidRPr="00F1714B">
        <w:rPr>
          <w:rFonts w:cs="Times New Roman"/>
          <w:szCs w:val="26"/>
        </w:rPr>
        <w:t>the Commission</w:t>
      </w:r>
      <w:r w:rsidR="00D06B7A" w:rsidRPr="00F1714B">
        <w:rPr>
          <w:rFonts w:cs="Times New Roman"/>
          <w:szCs w:val="26"/>
        </w:rPr>
        <w:t xml:space="preserve">, </w:t>
      </w:r>
      <w:r w:rsidR="00D06B7A" w:rsidRPr="00F1714B">
        <w:rPr>
          <w:rFonts w:cs="Times New Roman"/>
          <w:i/>
          <w:iCs/>
          <w:szCs w:val="26"/>
        </w:rPr>
        <w:t>inter alia</w:t>
      </w:r>
      <w:r w:rsidR="00D06B7A" w:rsidRPr="00F1714B">
        <w:rPr>
          <w:rFonts w:cs="Times New Roman"/>
          <w:szCs w:val="26"/>
        </w:rPr>
        <w:t xml:space="preserve">, </w:t>
      </w:r>
      <w:r w:rsidR="00DD575C" w:rsidRPr="00F1714B">
        <w:rPr>
          <w:rFonts w:cs="Times New Roman"/>
          <w:szCs w:val="26"/>
        </w:rPr>
        <w:t xml:space="preserve">proposed </w:t>
      </w:r>
      <w:r w:rsidR="00D06B7A" w:rsidRPr="00F1714B">
        <w:rPr>
          <w:rFonts w:cs="Times New Roman"/>
          <w:szCs w:val="26"/>
        </w:rPr>
        <w:t>this rule to address the tariff filing regulations therein.</w:t>
      </w:r>
    </w:p>
    <w:p w14:paraId="31E02983" w14:textId="77777777" w:rsidR="00D06B7A" w:rsidRPr="00F1714B" w:rsidRDefault="00D06B7A" w:rsidP="005A65C6">
      <w:pPr>
        <w:keepNext/>
        <w:keepLines/>
        <w:ind w:firstLine="720"/>
        <w:rPr>
          <w:rFonts w:cs="Times New Roman"/>
          <w:szCs w:val="26"/>
        </w:rPr>
      </w:pPr>
    </w:p>
    <w:p w14:paraId="49D8C559" w14:textId="2C0BFA42" w:rsidR="0051793A" w:rsidRPr="00F1714B" w:rsidRDefault="0051793A" w:rsidP="0056160E">
      <w:pPr>
        <w:ind w:firstLine="720"/>
        <w:rPr>
          <w:rFonts w:cs="Times New Roman"/>
          <w:b/>
          <w:bCs/>
          <w:szCs w:val="26"/>
        </w:rPr>
      </w:pPr>
      <w:r w:rsidRPr="00F1714B">
        <w:rPr>
          <w:rFonts w:cs="Times New Roman"/>
          <w:szCs w:val="26"/>
        </w:rPr>
        <w:tab/>
      </w:r>
      <w:r w:rsidRPr="00F1714B">
        <w:rPr>
          <w:rFonts w:cs="Times New Roman"/>
          <w:b/>
          <w:bCs/>
          <w:szCs w:val="26"/>
        </w:rPr>
        <w:t>1.</w:t>
      </w:r>
      <w:r w:rsidRPr="00F1714B">
        <w:rPr>
          <w:rFonts w:cs="Times New Roman"/>
          <w:b/>
          <w:bCs/>
          <w:szCs w:val="26"/>
        </w:rPr>
        <w:tab/>
        <w:t>Comments</w:t>
      </w:r>
      <w:r w:rsidR="0037691B" w:rsidRPr="00F1714B">
        <w:rPr>
          <w:rFonts w:cs="Times New Roman"/>
          <w:b/>
          <w:bCs/>
          <w:szCs w:val="26"/>
        </w:rPr>
        <w:t xml:space="preserve"> and Replies</w:t>
      </w:r>
    </w:p>
    <w:p w14:paraId="51EFFFA1" w14:textId="4F587591" w:rsidR="00514A3A" w:rsidRPr="00F1714B" w:rsidRDefault="00514A3A" w:rsidP="00E55426">
      <w:pPr>
        <w:ind w:firstLine="720"/>
        <w:rPr>
          <w:rFonts w:cs="Times New Roman"/>
          <w:szCs w:val="26"/>
        </w:rPr>
      </w:pPr>
      <w:r w:rsidRPr="00F1714B">
        <w:rPr>
          <w:rFonts w:cs="Times New Roman"/>
          <w:szCs w:val="26"/>
        </w:rPr>
        <w:t>Verizon posits that tariffing is a burdensome, outdated regulatory process that does not benefit consumers and does not apply to unregulated competitors.</w:t>
      </w:r>
      <w:r w:rsidR="00D06B7A" w:rsidRPr="00F1714B">
        <w:rPr>
          <w:rFonts w:cs="Times New Roman"/>
          <w:szCs w:val="26"/>
        </w:rPr>
        <w:t xml:space="preserve">  </w:t>
      </w:r>
      <w:r w:rsidRPr="00F1714B">
        <w:rPr>
          <w:rFonts w:cs="Times New Roman"/>
          <w:szCs w:val="26"/>
        </w:rPr>
        <w:t xml:space="preserve">Verizon Comments at 13. </w:t>
      </w:r>
      <w:r w:rsidR="00FC6E51" w:rsidRPr="00F1714B">
        <w:rPr>
          <w:rFonts w:cs="Times New Roman"/>
          <w:szCs w:val="26"/>
        </w:rPr>
        <w:t xml:space="preserve"> </w:t>
      </w:r>
      <w:r w:rsidRPr="00F1714B">
        <w:rPr>
          <w:rFonts w:cs="Times New Roman"/>
          <w:szCs w:val="26"/>
        </w:rPr>
        <w:t xml:space="preserve">Instead, </w:t>
      </w:r>
      <w:bookmarkStart w:id="20" w:name="_Hlk82179633"/>
      <w:r w:rsidRPr="00F1714B">
        <w:rPr>
          <w:rFonts w:cs="Times New Roman"/>
          <w:szCs w:val="26"/>
        </w:rPr>
        <w:t xml:space="preserve">Verizon proposes “a </w:t>
      </w:r>
      <w:r w:rsidR="00DD7D4E" w:rsidRPr="00F1714B">
        <w:rPr>
          <w:rFonts w:cs="Times New Roman"/>
          <w:szCs w:val="26"/>
        </w:rPr>
        <w:t>phased-out</w:t>
      </w:r>
      <w:r w:rsidRPr="00F1714B">
        <w:rPr>
          <w:rFonts w:cs="Times New Roman"/>
          <w:szCs w:val="26"/>
        </w:rPr>
        <w:t xml:space="preserve"> approach” whereby the tariffing requirement is immediately limited to standalone basic residential service in noncompetitive areas and eliminated entirely by the end of 2023</w:t>
      </w:r>
      <w:bookmarkEnd w:id="20"/>
      <w:r w:rsidRPr="00F1714B">
        <w:rPr>
          <w:rFonts w:cs="Times New Roman"/>
          <w:szCs w:val="26"/>
        </w:rPr>
        <w:t>.</w:t>
      </w:r>
      <w:r w:rsidR="00D06B7A" w:rsidRPr="00F1714B">
        <w:rPr>
          <w:rFonts w:cs="Times New Roman"/>
          <w:szCs w:val="26"/>
        </w:rPr>
        <w:t xml:space="preserve">  </w:t>
      </w:r>
      <w:r w:rsidRPr="00F1714B">
        <w:rPr>
          <w:rFonts w:cs="Times New Roman"/>
          <w:szCs w:val="26"/>
        </w:rPr>
        <w:t>Verizon Comments at 13.</w:t>
      </w:r>
      <w:r w:rsidR="0051273C" w:rsidRPr="00F1714B">
        <w:rPr>
          <w:rFonts w:cs="Times New Roman"/>
          <w:szCs w:val="26"/>
        </w:rPr>
        <w:t xml:space="preserve">  </w:t>
      </w:r>
      <w:r w:rsidRPr="00F1714B">
        <w:rPr>
          <w:rFonts w:cs="Times New Roman"/>
          <w:szCs w:val="26"/>
        </w:rPr>
        <w:t>Verizon recommends that the Commission adopt Verizon’s proposed “streamlined version of Section 53.57-60” set forth in Attachment 1 to its comments.</w:t>
      </w:r>
      <w:r w:rsidR="00D06B7A" w:rsidRPr="00F1714B">
        <w:rPr>
          <w:rFonts w:cs="Times New Roman"/>
          <w:szCs w:val="26"/>
        </w:rPr>
        <w:t xml:space="preserve">  </w:t>
      </w:r>
      <w:r w:rsidRPr="00F1714B">
        <w:rPr>
          <w:rFonts w:cs="Times New Roman"/>
          <w:szCs w:val="26"/>
        </w:rPr>
        <w:t>Verizon Comments at 13.</w:t>
      </w:r>
    </w:p>
    <w:p w14:paraId="7E7B1656" w14:textId="7FFB0536" w:rsidR="00514A3A" w:rsidRPr="00F1714B" w:rsidRDefault="00514A3A" w:rsidP="00E55426">
      <w:pPr>
        <w:ind w:firstLine="720"/>
        <w:rPr>
          <w:rFonts w:cs="Times New Roman"/>
          <w:b/>
          <w:bCs/>
          <w:szCs w:val="26"/>
        </w:rPr>
      </w:pPr>
    </w:p>
    <w:p w14:paraId="23C632A9" w14:textId="79DFBEF0" w:rsidR="00463598" w:rsidRPr="00F1714B" w:rsidRDefault="0010049A" w:rsidP="00E55426">
      <w:pPr>
        <w:ind w:firstLine="720"/>
        <w:rPr>
          <w:rFonts w:cs="Times New Roman"/>
          <w:szCs w:val="26"/>
        </w:rPr>
      </w:pPr>
      <w:r w:rsidRPr="00F1714B">
        <w:rPr>
          <w:rFonts w:cs="Times New Roman"/>
          <w:szCs w:val="26"/>
        </w:rPr>
        <w:t xml:space="preserve">With respect to Verizon’s comments regarding Section 53.59, the OCA avers that Verizon’s proposal is “confusing” because Verizon “makes no mention whether these [tariffing] provisions conform with ILEC Chapter 30 plans” and OCA opposes Verizon’s proposal insofar as it requires that the Commission “cease to exercise its authority and discretion” in this area. </w:t>
      </w:r>
      <w:r w:rsidR="00D06B7A" w:rsidRPr="00F1714B">
        <w:rPr>
          <w:rFonts w:cs="Times New Roman"/>
          <w:szCs w:val="26"/>
        </w:rPr>
        <w:t xml:space="preserve"> </w:t>
      </w:r>
      <w:r w:rsidRPr="00F1714B">
        <w:rPr>
          <w:rFonts w:cs="Times New Roman"/>
          <w:szCs w:val="26"/>
        </w:rPr>
        <w:t>OCA Reply Comments at 7-8.</w:t>
      </w:r>
      <w:r w:rsidR="00463598" w:rsidRPr="00F1714B">
        <w:rPr>
          <w:rFonts w:cs="Times New Roman"/>
          <w:szCs w:val="26"/>
        </w:rPr>
        <w:t xml:space="preserve">  Additionally, the OCA opposes Verizon’s proposal to immediately limit carriers’ obligation</w:t>
      </w:r>
      <w:r w:rsidR="00627A89" w:rsidRPr="00F1714B">
        <w:rPr>
          <w:rFonts w:cs="Times New Roman"/>
          <w:szCs w:val="26"/>
        </w:rPr>
        <w:t>s</w:t>
      </w:r>
      <w:r w:rsidR="00463598" w:rsidRPr="00F1714B">
        <w:rPr>
          <w:rFonts w:cs="Times New Roman"/>
          <w:szCs w:val="26"/>
        </w:rPr>
        <w:t xml:space="preserve"> to file price lists except where residential </w:t>
      </w:r>
      <w:r w:rsidR="00627A89" w:rsidRPr="00F1714B">
        <w:rPr>
          <w:rFonts w:cs="Times New Roman"/>
          <w:szCs w:val="26"/>
        </w:rPr>
        <w:t>standalone</w:t>
      </w:r>
      <w:r w:rsidR="00463598" w:rsidRPr="00F1714B">
        <w:rPr>
          <w:rFonts w:cs="Times New Roman"/>
          <w:szCs w:val="26"/>
        </w:rPr>
        <w:t xml:space="preserve"> basic service is offered in noncompetitive wire center</w:t>
      </w:r>
      <w:r w:rsidR="008154C0" w:rsidRPr="00F1714B">
        <w:rPr>
          <w:rFonts w:cs="Times New Roman"/>
          <w:szCs w:val="26"/>
        </w:rPr>
        <w:t>s</w:t>
      </w:r>
      <w:r w:rsidR="00463598" w:rsidRPr="00F1714B">
        <w:rPr>
          <w:rFonts w:cs="Times New Roman"/>
          <w:szCs w:val="26"/>
        </w:rPr>
        <w:t xml:space="preserve"> which is to be eliminated entirely by the end of 2023.  OCA Reply Comments at 7. </w:t>
      </w:r>
    </w:p>
    <w:p w14:paraId="28246EE0" w14:textId="77777777" w:rsidR="002A3317" w:rsidRPr="00F1714B" w:rsidRDefault="002A3317" w:rsidP="00E55426">
      <w:pPr>
        <w:ind w:firstLine="720"/>
        <w:rPr>
          <w:rFonts w:cs="Times New Roman"/>
          <w:szCs w:val="26"/>
        </w:rPr>
      </w:pPr>
    </w:p>
    <w:p w14:paraId="24915902" w14:textId="751DD865" w:rsidR="0051793A" w:rsidRPr="00F1714B" w:rsidRDefault="0051793A" w:rsidP="0056160E">
      <w:pPr>
        <w:keepNext/>
        <w:keepLines/>
        <w:ind w:firstLine="720"/>
        <w:rPr>
          <w:rFonts w:cs="Times New Roman"/>
          <w:b/>
          <w:bCs/>
          <w:szCs w:val="26"/>
        </w:rPr>
      </w:pPr>
      <w:r w:rsidRPr="00F1714B">
        <w:rPr>
          <w:rFonts w:cs="Times New Roman"/>
          <w:b/>
          <w:bCs/>
          <w:szCs w:val="26"/>
        </w:rPr>
        <w:lastRenderedPageBreak/>
        <w:tab/>
        <w:t>2.</w:t>
      </w:r>
      <w:r w:rsidRPr="00F1714B">
        <w:rPr>
          <w:rFonts w:cs="Times New Roman"/>
          <w:b/>
          <w:bCs/>
          <w:szCs w:val="26"/>
        </w:rPr>
        <w:tab/>
        <w:t>Discussion</w:t>
      </w:r>
      <w:r w:rsidR="000C73DD" w:rsidRPr="00F1714B">
        <w:rPr>
          <w:rFonts w:cs="Times New Roman"/>
          <w:b/>
          <w:bCs/>
          <w:szCs w:val="26"/>
        </w:rPr>
        <w:t xml:space="preserve"> and </w:t>
      </w:r>
      <w:r w:rsidRPr="00F1714B">
        <w:rPr>
          <w:rFonts w:cs="Times New Roman"/>
          <w:b/>
          <w:bCs/>
          <w:szCs w:val="26"/>
        </w:rPr>
        <w:t>Resolution</w:t>
      </w:r>
    </w:p>
    <w:p w14:paraId="5DDE8659" w14:textId="0500CE18" w:rsidR="009D6170" w:rsidRPr="00F1714B" w:rsidRDefault="00A94DB0" w:rsidP="0056160E">
      <w:pPr>
        <w:keepNext/>
        <w:keepLines/>
        <w:ind w:firstLine="720"/>
        <w:rPr>
          <w:rFonts w:cs="Times New Roman"/>
          <w:iCs/>
          <w:szCs w:val="26"/>
        </w:rPr>
      </w:pPr>
      <w:r w:rsidRPr="00F1714B">
        <w:rPr>
          <w:rFonts w:cs="Times New Roman"/>
          <w:szCs w:val="26"/>
        </w:rPr>
        <w:t>Verizon propose</w:t>
      </w:r>
      <w:r w:rsidR="009D6170" w:rsidRPr="00F1714B">
        <w:rPr>
          <w:rFonts w:cs="Times New Roman"/>
          <w:szCs w:val="26"/>
        </w:rPr>
        <w:t>s that the Commission adopt its</w:t>
      </w:r>
      <w:r w:rsidRPr="00F1714B">
        <w:rPr>
          <w:rFonts w:cs="Times New Roman"/>
          <w:szCs w:val="26"/>
        </w:rPr>
        <w:t xml:space="preserve"> </w:t>
      </w:r>
      <w:r w:rsidR="00283060" w:rsidRPr="00F1714B">
        <w:rPr>
          <w:rFonts w:cs="Times New Roman"/>
          <w:szCs w:val="26"/>
        </w:rPr>
        <w:t>“</w:t>
      </w:r>
      <w:r w:rsidRPr="00F1714B">
        <w:rPr>
          <w:rFonts w:cs="Times New Roman"/>
          <w:szCs w:val="26"/>
        </w:rPr>
        <w:t xml:space="preserve">phased out approach” whereby the tariffing requirement is immediately limited to standalone basic residential service in noncompetitive areas and eliminated entirely by the end of 2023.  </w:t>
      </w:r>
      <w:r w:rsidR="00CB0B92" w:rsidRPr="00F1714B">
        <w:rPr>
          <w:rFonts w:cs="Times New Roman"/>
          <w:iCs/>
          <w:szCs w:val="26"/>
        </w:rPr>
        <w:t xml:space="preserve">We </w:t>
      </w:r>
      <w:r w:rsidR="00A8734B" w:rsidRPr="00F1714B">
        <w:rPr>
          <w:rFonts w:cs="Times New Roman"/>
          <w:iCs/>
          <w:szCs w:val="26"/>
        </w:rPr>
        <w:t xml:space="preserve">affirmatively </w:t>
      </w:r>
      <w:r w:rsidR="003A4CFD" w:rsidRPr="00F1714B">
        <w:rPr>
          <w:rFonts w:cs="Times New Roman"/>
          <w:iCs/>
          <w:szCs w:val="26"/>
        </w:rPr>
        <w:t>approved a two-tiered regulatory structure for Verizon</w:t>
      </w:r>
      <w:r w:rsidR="00D42BD5" w:rsidRPr="00F1714B">
        <w:rPr>
          <w:rFonts w:cs="Times New Roman"/>
          <w:iCs/>
          <w:szCs w:val="26"/>
        </w:rPr>
        <w:t xml:space="preserve"> in the </w:t>
      </w:r>
      <w:r w:rsidR="003A4CFD" w:rsidRPr="00F1714B">
        <w:rPr>
          <w:rFonts w:cs="Times New Roman"/>
          <w:i/>
          <w:szCs w:val="26"/>
        </w:rPr>
        <w:t>Reclassification Order</w:t>
      </w:r>
      <w:r w:rsidR="003A4CFD" w:rsidRPr="00F1714B">
        <w:rPr>
          <w:rFonts w:cs="Times New Roman"/>
          <w:iCs/>
          <w:szCs w:val="26"/>
        </w:rPr>
        <w:t xml:space="preserve">, </w:t>
      </w:r>
      <w:r w:rsidR="008154C0" w:rsidRPr="00F1714B">
        <w:rPr>
          <w:rFonts w:cs="Times New Roman"/>
          <w:iCs/>
          <w:szCs w:val="26"/>
        </w:rPr>
        <w:t xml:space="preserve">where currently, </w:t>
      </w:r>
      <w:r w:rsidR="00F15308" w:rsidRPr="00F1714B">
        <w:rPr>
          <w:rFonts w:cs="Times New Roman"/>
          <w:iCs/>
          <w:szCs w:val="26"/>
        </w:rPr>
        <w:t>153</w:t>
      </w:r>
      <w:r w:rsidR="008154C0" w:rsidRPr="00F1714B">
        <w:rPr>
          <w:rFonts w:cs="Times New Roman"/>
          <w:iCs/>
          <w:szCs w:val="26"/>
        </w:rPr>
        <w:t xml:space="preserve"> </w:t>
      </w:r>
      <w:r w:rsidR="00D42BD5" w:rsidRPr="00F1714B">
        <w:rPr>
          <w:rFonts w:cs="Times New Roman"/>
          <w:iCs/>
          <w:szCs w:val="26"/>
        </w:rPr>
        <w:t>of Verizon’s wire centers are classified competitive</w:t>
      </w:r>
      <w:r w:rsidR="00A81CFA" w:rsidRPr="00F1714B">
        <w:rPr>
          <w:rFonts w:cs="Times New Roman"/>
          <w:iCs/>
          <w:szCs w:val="26"/>
        </w:rPr>
        <w:t xml:space="preserve"> while </w:t>
      </w:r>
      <w:r w:rsidR="00F15308" w:rsidRPr="00F1714B">
        <w:rPr>
          <w:rFonts w:cs="Times New Roman"/>
          <w:iCs/>
          <w:szCs w:val="26"/>
        </w:rPr>
        <w:t>351</w:t>
      </w:r>
      <w:r w:rsidR="00A81CFA" w:rsidRPr="00F1714B">
        <w:rPr>
          <w:rFonts w:cs="Times New Roman"/>
          <w:iCs/>
          <w:szCs w:val="26"/>
        </w:rPr>
        <w:t xml:space="preserve"> remain </w:t>
      </w:r>
      <w:r w:rsidR="00D42BD5" w:rsidRPr="00F1714B">
        <w:rPr>
          <w:rFonts w:cs="Times New Roman"/>
          <w:iCs/>
          <w:szCs w:val="26"/>
        </w:rPr>
        <w:t>noncompetitive</w:t>
      </w:r>
      <w:r w:rsidR="00A81CFA" w:rsidRPr="00F1714B">
        <w:rPr>
          <w:rFonts w:cs="Times New Roman"/>
          <w:iCs/>
          <w:szCs w:val="26"/>
        </w:rPr>
        <w:t xml:space="preserve">.  </w:t>
      </w:r>
      <w:r w:rsidR="00486CF4" w:rsidRPr="00F1714B">
        <w:rPr>
          <w:rFonts w:cs="Times New Roman"/>
          <w:iCs/>
          <w:szCs w:val="26"/>
        </w:rPr>
        <w:t xml:space="preserve">For these noncompetitive wire centers, basic local exchange service remains a protected service.  Moreover, </w:t>
      </w:r>
      <w:r w:rsidR="00A81CFA" w:rsidRPr="00F1714B">
        <w:rPr>
          <w:rFonts w:cs="Times New Roman"/>
          <w:iCs/>
          <w:szCs w:val="26"/>
        </w:rPr>
        <w:t xml:space="preserve">switched access and special </w:t>
      </w:r>
      <w:r w:rsidR="00706E4D" w:rsidRPr="00F1714B">
        <w:rPr>
          <w:rFonts w:cs="Times New Roman"/>
          <w:iCs/>
          <w:szCs w:val="26"/>
        </w:rPr>
        <w:t>access remain protected services subject to tariffing requirement</w:t>
      </w:r>
      <w:r w:rsidR="008F6906" w:rsidRPr="00F1714B">
        <w:rPr>
          <w:rFonts w:cs="Times New Roman"/>
          <w:iCs/>
          <w:szCs w:val="26"/>
        </w:rPr>
        <w:t>s</w:t>
      </w:r>
      <w:r w:rsidR="00706E4D" w:rsidRPr="00F1714B">
        <w:rPr>
          <w:rFonts w:cs="Times New Roman"/>
          <w:iCs/>
          <w:szCs w:val="26"/>
        </w:rPr>
        <w:t xml:space="preserve"> in </w:t>
      </w:r>
      <w:r w:rsidR="00727217" w:rsidRPr="00F1714B">
        <w:rPr>
          <w:rFonts w:cs="Times New Roman"/>
          <w:iCs/>
          <w:szCs w:val="26"/>
        </w:rPr>
        <w:t>both</w:t>
      </w:r>
      <w:r w:rsidR="002A158D" w:rsidRPr="00F1714B">
        <w:rPr>
          <w:rFonts w:cs="Times New Roman"/>
          <w:iCs/>
          <w:szCs w:val="26"/>
        </w:rPr>
        <w:t xml:space="preserve"> competitive</w:t>
      </w:r>
      <w:r w:rsidR="00727217" w:rsidRPr="00F1714B">
        <w:rPr>
          <w:rFonts w:cs="Times New Roman"/>
          <w:iCs/>
          <w:szCs w:val="26"/>
        </w:rPr>
        <w:t xml:space="preserve"> and noncompetitive</w:t>
      </w:r>
      <w:r w:rsidR="002A158D" w:rsidRPr="00F1714B">
        <w:rPr>
          <w:rFonts w:cs="Times New Roman"/>
          <w:iCs/>
          <w:szCs w:val="26"/>
        </w:rPr>
        <w:t xml:space="preserve"> wire center</w:t>
      </w:r>
      <w:r w:rsidR="00706E4D" w:rsidRPr="00F1714B">
        <w:rPr>
          <w:rFonts w:cs="Times New Roman"/>
          <w:iCs/>
          <w:szCs w:val="26"/>
        </w:rPr>
        <w:t>s</w:t>
      </w:r>
      <w:r w:rsidR="002A158D" w:rsidRPr="00F1714B">
        <w:rPr>
          <w:rFonts w:cs="Times New Roman"/>
          <w:iCs/>
          <w:szCs w:val="26"/>
        </w:rPr>
        <w:t>.</w:t>
      </w:r>
      <w:r w:rsidR="008F6906" w:rsidRPr="00F1714B">
        <w:rPr>
          <w:rFonts w:cs="Times New Roman"/>
          <w:iCs/>
          <w:szCs w:val="26"/>
        </w:rPr>
        <w:t xml:space="preserve">  Thus, </w:t>
      </w:r>
      <w:r w:rsidR="00DD7D4E" w:rsidRPr="00F1714B">
        <w:rPr>
          <w:rFonts w:cs="Times New Roman"/>
          <w:iCs/>
          <w:szCs w:val="26"/>
        </w:rPr>
        <w:t>in regard to</w:t>
      </w:r>
      <w:r w:rsidR="003D5181" w:rsidRPr="00F1714B">
        <w:rPr>
          <w:rFonts w:cs="Times New Roman"/>
          <w:iCs/>
          <w:szCs w:val="26"/>
        </w:rPr>
        <w:t xml:space="preserve"> </w:t>
      </w:r>
      <w:r w:rsidR="008F6906" w:rsidRPr="00F1714B">
        <w:rPr>
          <w:rFonts w:cs="Times New Roman"/>
          <w:iCs/>
          <w:szCs w:val="26"/>
        </w:rPr>
        <w:t xml:space="preserve">our proposed retention of </w:t>
      </w:r>
      <w:r w:rsidR="003D5181" w:rsidRPr="00F1714B">
        <w:rPr>
          <w:rFonts w:cs="Times New Roman"/>
          <w:iCs/>
          <w:szCs w:val="26"/>
        </w:rPr>
        <w:t>tariffing requirements</w:t>
      </w:r>
      <w:r w:rsidR="000F0449" w:rsidRPr="00F1714B">
        <w:rPr>
          <w:rFonts w:cs="Times New Roman"/>
          <w:iCs/>
          <w:szCs w:val="26"/>
        </w:rPr>
        <w:t xml:space="preserve"> in this rulemaking</w:t>
      </w:r>
      <w:r w:rsidR="003D5181" w:rsidRPr="00F1714B">
        <w:rPr>
          <w:rFonts w:cs="Times New Roman"/>
          <w:iCs/>
          <w:szCs w:val="26"/>
        </w:rPr>
        <w:t xml:space="preserve">, </w:t>
      </w:r>
      <w:r w:rsidR="0042309C" w:rsidRPr="00F1714B">
        <w:rPr>
          <w:rFonts w:cs="Times New Roman"/>
          <w:iCs/>
          <w:szCs w:val="26"/>
        </w:rPr>
        <w:t xml:space="preserve">we determine that it is appropriate to have </w:t>
      </w:r>
      <w:r w:rsidR="003A4CFD" w:rsidRPr="00F1714B">
        <w:rPr>
          <w:rFonts w:cs="Times New Roman"/>
          <w:iCs/>
          <w:szCs w:val="26"/>
        </w:rPr>
        <w:t xml:space="preserve">a bifurcated system of </w:t>
      </w:r>
      <w:r w:rsidR="0042309C" w:rsidRPr="00F1714B">
        <w:rPr>
          <w:rFonts w:cs="Times New Roman"/>
          <w:iCs/>
          <w:szCs w:val="26"/>
        </w:rPr>
        <w:t>tariff requirement</w:t>
      </w:r>
      <w:r w:rsidR="004329A6" w:rsidRPr="00F1714B">
        <w:rPr>
          <w:rFonts w:cs="Times New Roman"/>
          <w:iCs/>
          <w:szCs w:val="26"/>
        </w:rPr>
        <w:t xml:space="preserve">s </w:t>
      </w:r>
      <w:r w:rsidR="00D71C1D" w:rsidRPr="00F1714B">
        <w:rPr>
          <w:rFonts w:cs="Times New Roman"/>
          <w:iCs/>
          <w:szCs w:val="26"/>
        </w:rPr>
        <w:t xml:space="preserve">that may be separately applicable to </w:t>
      </w:r>
      <w:r w:rsidR="00581B25" w:rsidRPr="00F1714B">
        <w:rPr>
          <w:rFonts w:cs="Times New Roman"/>
          <w:iCs/>
          <w:szCs w:val="26"/>
        </w:rPr>
        <w:t xml:space="preserve">retail </w:t>
      </w:r>
      <w:r w:rsidR="00D71C1D" w:rsidRPr="00F1714B">
        <w:rPr>
          <w:rFonts w:cs="Times New Roman"/>
          <w:iCs/>
          <w:szCs w:val="26"/>
        </w:rPr>
        <w:t xml:space="preserve">protected and retail </w:t>
      </w:r>
      <w:r w:rsidR="004329A6" w:rsidRPr="00F1714B">
        <w:rPr>
          <w:rFonts w:cs="Times New Roman"/>
          <w:iCs/>
          <w:szCs w:val="26"/>
        </w:rPr>
        <w:t xml:space="preserve">noncompetitive </w:t>
      </w:r>
      <w:r w:rsidR="00D71C1D" w:rsidRPr="00F1714B">
        <w:rPr>
          <w:rFonts w:cs="Times New Roman"/>
          <w:iCs/>
          <w:szCs w:val="26"/>
        </w:rPr>
        <w:t>services</w:t>
      </w:r>
      <w:r w:rsidR="003A4CFD" w:rsidRPr="00F1714B">
        <w:rPr>
          <w:rFonts w:cs="Times New Roman"/>
          <w:iCs/>
          <w:szCs w:val="26"/>
        </w:rPr>
        <w:t xml:space="preserve">.  </w:t>
      </w:r>
    </w:p>
    <w:p w14:paraId="509ACA48" w14:textId="77777777" w:rsidR="009D6170" w:rsidRPr="00F1714B" w:rsidRDefault="009D6170" w:rsidP="0056160E">
      <w:pPr>
        <w:ind w:firstLine="720"/>
        <w:rPr>
          <w:rFonts w:cs="Times New Roman"/>
          <w:iCs/>
          <w:szCs w:val="26"/>
        </w:rPr>
      </w:pPr>
    </w:p>
    <w:p w14:paraId="0B539B2E" w14:textId="4071CC26" w:rsidR="001C01B9" w:rsidRPr="00F1714B" w:rsidRDefault="00366928" w:rsidP="0056160E">
      <w:pPr>
        <w:ind w:firstLine="720"/>
        <w:rPr>
          <w:rFonts w:cs="Times New Roman"/>
          <w:szCs w:val="26"/>
        </w:rPr>
      </w:pPr>
      <w:r w:rsidRPr="00F1714B">
        <w:rPr>
          <w:rFonts w:cs="Times New Roman"/>
          <w:iCs/>
          <w:szCs w:val="26"/>
        </w:rPr>
        <w:t xml:space="preserve">In addition, Chapter 30 already provides a process to obtain relief from tariffing requirements.  </w:t>
      </w:r>
      <w:r w:rsidR="00406BD0" w:rsidRPr="00F1714B">
        <w:rPr>
          <w:rFonts w:cs="Times New Roman"/>
          <w:iCs/>
          <w:szCs w:val="26"/>
        </w:rPr>
        <w:t>W</w:t>
      </w:r>
      <w:r w:rsidR="00E76617" w:rsidRPr="00F1714B">
        <w:rPr>
          <w:rFonts w:cs="Times New Roman"/>
          <w:iCs/>
          <w:szCs w:val="26"/>
        </w:rPr>
        <w:t>e note that w</w:t>
      </w:r>
      <w:r w:rsidR="00406BD0" w:rsidRPr="00F1714B">
        <w:rPr>
          <w:rFonts w:cs="Times New Roman"/>
          <w:iCs/>
          <w:szCs w:val="26"/>
        </w:rPr>
        <w:t>hen</w:t>
      </w:r>
      <w:r w:rsidR="004A5348" w:rsidRPr="00F1714B">
        <w:rPr>
          <w:rFonts w:cs="Times New Roman"/>
          <w:iCs/>
          <w:szCs w:val="26"/>
        </w:rPr>
        <w:t xml:space="preserve"> </w:t>
      </w:r>
      <w:r w:rsidR="00406BD0" w:rsidRPr="00F1714B">
        <w:rPr>
          <w:rFonts w:cs="Times New Roman"/>
          <w:iCs/>
          <w:szCs w:val="26"/>
        </w:rPr>
        <w:t>an ILEC</w:t>
      </w:r>
      <w:r w:rsidR="004A5348" w:rsidRPr="00F1714B">
        <w:rPr>
          <w:rFonts w:cs="Times New Roman"/>
          <w:iCs/>
          <w:szCs w:val="26"/>
        </w:rPr>
        <w:t xml:space="preserve"> ultimately decides to </w:t>
      </w:r>
      <w:r w:rsidR="00E76617" w:rsidRPr="00F1714B">
        <w:rPr>
          <w:rFonts w:cs="Times New Roman"/>
          <w:iCs/>
          <w:szCs w:val="26"/>
        </w:rPr>
        <w:t>undergo</w:t>
      </w:r>
      <w:r w:rsidR="004A5348" w:rsidRPr="00F1714B">
        <w:rPr>
          <w:rFonts w:cs="Times New Roman"/>
          <w:iCs/>
          <w:szCs w:val="26"/>
        </w:rPr>
        <w:t xml:space="preserve"> </w:t>
      </w:r>
      <w:r w:rsidR="00E76617" w:rsidRPr="00F1714B">
        <w:rPr>
          <w:rFonts w:cs="Times New Roman"/>
          <w:iCs/>
          <w:szCs w:val="26"/>
        </w:rPr>
        <w:t xml:space="preserve">the </w:t>
      </w:r>
      <w:r w:rsidR="00CC2FE3" w:rsidRPr="00F1714B">
        <w:rPr>
          <w:rFonts w:cs="Times New Roman"/>
          <w:iCs/>
          <w:szCs w:val="26"/>
        </w:rPr>
        <w:t xml:space="preserve">competitive classification </w:t>
      </w:r>
      <w:r w:rsidR="00E76617" w:rsidRPr="00F1714B">
        <w:rPr>
          <w:rFonts w:cs="Times New Roman"/>
          <w:iCs/>
          <w:szCs w:val="26"/>
        </w:rPr>
        <w:t xml:space="preserve">statutory process </w:t>
      </w:r>
      <w:r w:rsidR="00CC2FE3" w:rsidRPr="00F1714B">
        <w:rPr>
          <w:rFonts w:cs="Times New Roman"/>
          <w:iCs/>
          <w:szCs w:val="26"/>
        </w:rPr>
        <w:t>for its remaining retail protected or retail noncompetitive services</w:t>
      </w:r>
      <w:r w:rsidR="00AC56AD" w:rsidRPr="00F1714B">
        <w:rPr>
          <w:rFonts w:cs="Times New Roman"/>
          <w:iCs/>
          <w:szCs w:val="26"/>
        </w:rPr>
        <w:t xml:space="preserve">, </w:t>
      </w:r>
      <w:r w:rsidR="004A5348" w:rsidRPr="00F1714B">
        <w:rPr>
          <w:rFonts w:cs="Times New Roman"/>
          <w:iCs/>
          <w:szCs w:val="26"/>
        </w:rPr>
        <w:t xml:space="preserve">if it is successful, </w:t>
      </w:r>
      <w:r w:rsidR="00AC56AD" w:rsidRPr="00F1714B">
        <w:rPr>
          <w:rFonts w:cs="Times New Roman"/>
          <w:iCs/>
          <w:szCs w:val="26"/>
        </w:rPr>
        <w:t xml:space="preserve">it </w:t>
      </w:r>
      <w:r w:rsidR="004A5348" w:rsidRPr="00F1714B">
        <w:rPr>
          <w:rFonts w:cs="Times New Roman"/>
          <w:iCs/>
          <w:szCs w:val="26"/>
        </w:rPr>
        <w:t xml:space="preserve">shall </w:t>
      </w:r>
      <w:r w:rsidR="00AC56AD" w:rsidRPr="00F1714B">
        <w:rPr>
          <w:rFonts w:cs="Times New Roman"/>
          <w:iCs/>
          <w:szCs w:val="26"/>
        </w:rPr>
        <w:t xml:space="preserve">then </w:t>
      </w:r>
      <w:r w:rsidR="007A3360" w:rsidRPr="00F1714B">
        <w:rPr>
          <w:rFonts w:cs="Times New Roman"/>
          <w:iCs/>
          <w:szCs w:val="26"/>
        </w:rPr>
        <w:t xml:space="preserve">have </w:t>
      </w:r>
      <w:r w:rsidR="00AC56AD" w:rsidRPr="00F1714B">
        <w:rPr>
          <w:rFonts w:cs="Times New Roman"/>
          <w:iCs/>
          <w:szCs w:val="26"/>
        </w:rPr>
        <w:t xml:space="preserve">the </w:t>
      </w:r>
      <w:r w:rsidR="007A3360" w:rsidRPr="00F1714B">
        <w:rPr>
          <w:rFonts w:cs="Times New Roman"/>
          <w:iCs/>
          <w:szCs w:val="26"/>
        </w:rPr>
        <w:t xml:space="preserve">legal right </w:t>
      </w:r>
      <w:r w:rsidR="00AC56AD" w:rsidRPr="00F1714B">
        <w:rPr>
          <w:rFonts w:cs="Times New Roman"/>
          <w:iCs/>
          <w:szCs w:val="26"/>
        </w:rPr>
        <w:t xml:space="preserve">to </w:t>
      </w:r>
      <w:r w:rsidR="003665AC" w:rsidRPr="00F1714B">
        <w:rPr>
          <w:rFonts w:cs="Times New Roman"/>
          <w:iCs/>
          <w:szCs w:val="26"/>
        </w:rPr>
        <w:t xml:space="preserve">move from under the </w:t>
      </w:r>
      <w:r w:rsidR="00AC56AD" w:rsidRPr="00F1714B">
        <w:rPr>
          <w:rFonts w:cs="Times New Roman"/>
          <w:iCs/>
          <w:szCs w:val="26"/>
        </w:rPr>
        <w:t xml:space="preserve">tariff </w:t>
      </w:r>
      <w:r w:rsidR="003665AC" w:rsidRPr="00F1714B">
        <w:rPr>
          <w:rFonts w:cs="Times New Roman"/>
          <w:iCs/>
          <w:szCs w:val="26"/>
        </w:rPr>
        <w:t xml:space="preserve">regime </w:t>
      </w:r>
      <w:r w:rsidR="00AC56AD" w:rsidRPr="00F1714B">
        <w:rPr>
          <w:rFonts w:cs="Times New Roman"/>
          <w:iCs/>
          <w:szCs w:val="26"/>
        </w:rPr>
        <w:t xml:space="preserve">requirements and utilize price lists </w:t>
      </w:r>
      <w:r w:rsidR="008905EC" w:rsidRPr="00F1714B">
        <w:rPr>
          <w:rFonts w:cs="Times New Roman"/>
          <w:iCs/>
          <w:szCs w:val="26"/>
        </w:rPr>
        <w:t xml:space="preserve">as </w:t>
      </w:r>
      <w:r w:rsidR="00562A09" w:rsidRPr="00F1714B">
        <w:rPr>
          <w:rFonts w:cs="Times New Roman"/>
          <w:iCs/>
          <w:szCs w:val="26"/>
        </w:rPr>
        <w:t xml:space="preserve">outlined in Chapter 30 and </w:t>
      </w:r>
      <w:r w:rsidR="00AC56AD" w:rsidRPr="00F1714B">
        <w:rPr>
          <w:rFonts w:cs="Times New Roman"/>
          <w:iCs/>
          <w:szCs w:val="26"/>
        </w:rPr>
        <w:t xml:space="preserve">as set forth in </w:t>
      </w:r>
      <w:r w:rsidR="00ED3B5C" w:rsidRPr="00F1714B">
        <w:rPr>
          <w:rFonts w:cs="Times New Roman"/>
          <w:iCs/>
          <w:szCs w:val="26"/>
        </w:rPr>
        <w:t xml:space="preserve">final-form </w:t>
      </w:r>
      <w:r w:rsidR="00AC56AD" w:rsidRPr="00F1714B">
        <w:rPr>
          <w:rFonts w:cs="Times New Roman"/>
          <w:iCs/>
          <w:szCs w:val="26"/>
        </w:rPr>
        <w:t>Section 53.58</w:t>
      </w:r>
      <w:r w:rsidR="0081589A" w:rsidRPr="00F1714B">
        <w:rPr>
          <w:rFonts w:cs="Times New Roman"/>
          <w:iCs/>
          <w:szCs w:val="26"/>
        </w:rPr>
        <w:t>(d)</w:t>
      </w:r>
      <w:r w:rsidR="00AC56AD" w:rsidRPr="00F1714B">
        <w:rPr>
          <w:rFonts w:cs="Times New Roman"/>
          <w:iCs/>
          <w:szCs w:val="26"/>
        </w:rPr>
        <w:t>.</w:t>
      </w:r>
      <w:r w:rsidR="00276EF2" w:rsidRPr="00F1714B">
        <w:rPr>
          <w:rFonts w:cs="Times New Roman"/>
          <w:iCs/>
          <w:szCs w:val="26"/>
        </w:rPr>
        <w:t xml:space="preserve">  </w:t>
      </w:r>
      <w:r w:rsidR="00314352" w:rsidRPr="00F1714B">
        <w:rPr>
          <w:rFonts w:cs="Times New Roman"/>
          <w:iCs/>
          <w:szCs w:val="26"/>
        </w:rPr>
        <w:t>The ILECs</w:t>
      </w:r>
      <w:r w:rsidR="0080394E" w:rsidRPr="00F1714B">
        <w:rPr>
          <w:rFonts w:cs="Times New Roman"/>
          <w:iCs/>
          <w:szCs w:val="26"/>
        </w:rPr>
        <w:t>’ comments reflect a belief that</w:t>
      </w:r>
      <w:r w:rsidR="00314352" w:rsidRPr="00F1714B">
        <w:rPr>
          <w:rFonts w:cs="Times New Roman"/>
          <w:iCs/>
          <w:szCs w:val="26"/>
        </w:rPr>
        <w:t xml:space="preserve"> </w:t>
      </w:r>
      <w:r w:rsidR="00BF1857" w:rsidRPr="00F1714B">
        <w:rPr>
          <w:rFonts w:cs="Times New Roman"/>
          <w:iCs/>
          <w:szCs w:val="26"/>
        </w:rPr>
        <w:t>we are unilaterally preventing or prohibiting</w:t>
      </w:r>
      <w:r w:rsidR="0080394E" w:rsidRPr="00F1714B">
        <w:rPr>
          <w:rFonts w:cs="Times New Roman"/>
          <w:iCs/>
          <w:szCs w:val="26"/>
        </w:rPr>
        <w:t xml:space="preserve"> them</w:t>
      </w:r>
      <w:r w:rsidR="00BF1857" w:rsidRPr="00F1714B">
        <w:rPr>
          <w:rFonts w:cs="Times New Roman"/>
          <w:iCs/>
          <w:szCs w:val="26"/>
        </w:rPr>
        <w:t xml:space="preserve"> from seeking to obtain the statutory relief outlined in </w:t>
      </w:r>
      <w:r w:rsidR="008154C0" w:rsidRPr="00F1714B">
        <w:rPr>
          <w:rFonts w:cs="Times New Roman"/>
          <w:iCs/>
          <w:szCs w:val="26"/>
        </w:rPr>
        <w:t xml:space="preserve">Section </w:t>
      </w:r>
      <w:r w:rsidR="00BF1857" w:rsidRPr="00F1714B">
        <w:rPr>
          <w:rFonts w:cs="Times New Roman"/>
          <w:iCs/>
          <w:szCs w:val="26"/>
        </w:rPr>
        <w:t>3016</w:t>
      </w:r>
      <w:r w:rsidR="008154C0" w:rsidRPr="00F1714B">
        <w:rPr>
          <w:rFonts w:cs="Times New Roman"/>
          <w:iCs/>
          <w:szCs w:val="26"/>
        </w:rPr>
        <w:t xml:space="preserve"> of Chapter 30</w:t>
      </w:r>
      <w:r w:rsidR="00BF1857" w:rsidRPr="00F1714B">
        <w:rPr>
          <w:rFonts w:cs="Times New Roman"/>
          <w:iCs/>
          <w:szCs w:val="26"/>
        </w:rPr>
        <w:t>.  While t</w:t>
      </w:r>
      <w:r w:rsidR="00276EF2" w:rsidRPr="00F1714B">
        <w:rPr>
          <w:rFonts w:cs="Times New Roman"/>
          <w:iCs/>
          <w:szCs w:val="26"/>
        </w:rPr>
        <w:t xml:space="preserve">he main goal </w:t>
      </w:r>
      <w:r w:rsidR="00670931" w:rsidRPr="00F1714B">
        <w:rPr>
          <w:rFonts w:cs="Times New Roman"/>
          <w:iCs/>
          <w:szCs w:val="26"/>
        </w:rPr>
        <w:t xml:space="preserve">of this rulemaking exercise </w:t>
      </w:r>
      <w:r w:rsidR="00276EF2" w:rsidRPr="00F1714B">
        <w:rPr>
          <w:rFonts w:cs="Times New Roman"/>
          <w:iCs/>
          <w:szCs w:val="26"/>
        </w:rPr>
        <w:t xml:space="preserve">is </w:t>
      </w:r>
      <w:r w:rsidR="00670931" w:rsidRPr="00F1714B">
        <w:rPr>
          <w:rFonts w:cs="Times New Roman"/>
          <w:iCs/>
          <w:szCs w:val="26"/>
        </w:rPr>
        <w:t xml:space="preserve">to adopt </w:t>
      </w:r>
      <w:r w:rsidR="003A4CFD" w:rsidRPr="00F1714B">
        <w:rPr>
          <w:rFonts w:cs="Times New Roman"/>
          <w:szCs w:val="26"/>
        </w:rPr>
        <w:t xml:space="preserve">amendments that reduce </w:t>
      </w:r>
      <w:r w:rsidR="00BF1857" w:rsidRPr="00F1714B">
        <w:rPr>
          <w:rFonts w:cs="Times New Roman"/>
          <w:szCs w:val="26"/>
        </w:rPr>
        <w:t xml:space="preserve">certain </w:t>
      </w:r>
      <w:r w:rsidR="003A4CFD" w:rsidRPr="00F1714B">
        <w:rPr>
          <w:rFonts w:cs="Times New Roman"/>
          <w:szCs w:val="26"/>
        </w:rPr>
        <w:t xml:space="preserve">regulatory </w:t>
      </w:r>
      <w:r w:rsidR="00DD7D4E" w:rsidRPr="00F1714B">
        <w:rPr>
          <w:rFonts w:cs="Times New Roman"/>
          <w:szCs w:val="26"/>
        </w:rPr>
        <w:t>burdens,</w:t>
      </w:r>
      <w:r w:rsidR="003A4CFD" w:rsidRPr="00F1714B">
        <w:rPr>
          <w:rFonts w:cs="Times New Roman"/>
          <w:szCs w:val="26"/>
        </w:rPr>
        <w:t xml:space="preserve"> </w:t>
      </w:r>
      <w:r w:rsidR="00A24FFA" w:rsidRPr="00F1714B">
        <w:rPr>
          <w:rFonts w:cs="Times New Roman"/>
          <w:szCs w:val="26"/>
        </w:rPr>
        <w:t xml:space="preserve">we also remain cognizant </w:t>
      </w:r>
      <w:r w:rsidR="00025FF9" w:rsidRPr="00F1714B">
        <w:rPr>
          <w:rFonts w:cs="Times New Roman"/>
          <w:szCs w:val="26"/>
        </w:rPr>
        <w:t xml:space="preserve">that the General Assembly </w:t>
      </w:r>
      <w:r w:rsidR="00F47ABD" w:rsidRPr="00F1714B">
        <w:rPr>
          <w:rFonts w:cs="Times New Roman"/>
          <w:szCs w:val="26"/>
        </w:rPr>
        <w:t xml:space="preserve">has already </w:t>
      </w:r>
      <w:r w:rsidR="00025FF9" w:rsidRPr="00F1714B">
        <w:rPr>
          <w:rFonts w:cs="Times New Roman"/>
          <w:szCs w:val="26"/>
        </w:rPr>
        <w:t xml:space="preserve">established the means to obtain </w:t>
      </w:r>
      <w:r w:rsidR="00DC0F66" w:rsidRPr="00F1714B">
        <w:rPr>
          <w:rFonts w:cs="Times New Roman"/>
          <w:szCs w:val="26"/>
        </w:rPr>
        <w:t xml:space="preserve">wholesale </w:t>
      </w:r>
      <w:r w:rsidR="00025FF9" w:rsidRPr="00F1714B">
        <w:rPr>
          <w:rFonts w:cs="Times New Roman"/>
          <w:szCs w:val="26"/>
        </w:rPr>
        <w:t>detariffing relief</w:t>
      </w:r>
      <w:r w:rsidR="00DC0F66" w:rsidRPr="00F1714B">
        <w:rPr>
          <w:rFonts w:cs="Times New Roman"/>
          <w:szCs w:val="26"/>
        </w:rPr>
        <w:t xml:space="preserve">—the Section 3016 process.  </w:t>
      </w:r>
    </w:p>
    <w:p w14:paraId="7CF4AD29" w14:textId="77777777" w:rsidR="001C01B9" w:rsidRPr="00F1714B" w:rsidRDefault="001C01B9" w:rsidP="0056160E">
      <w:pPr>
        <w:ind w:firstLine="720"/>
        <w:rPr>
          <w:rFonts w:cs="Times New Roman"/>
          <w:szCs w:val="26"/>
        </w:rPr>
      </w:pPr>
    </w:p>
    <w:p w14:paraId="17503F51" w14:textId="455802E1" w:rsidR="00670931" w:rsidRPr="00F1714B" w:rsidRDefault="00AF5318" w:rsidP="00E55426">
      <w:pPr>
        <w:ind w:firstLine="720"/>
        <w:rPr>
          <w:rFonts w:cs="Times New Roman"/>
          <w:szCs w:val="26"/>
        </w:rPr>
      </w:pPr>
      <w:r w:rsidRPr="00F1714B">
        <w:rPr>
          <w:rFonts w:cs="Times New Roman"/>
          <w:szCs w:val="26"/>
        </w:rPr>
        <w:t>Thus, w</w:t>
      </w:r>
      <w:r w:rsidR="00FB00B8" w:rsidRPr="00F1714B">
        <w:rPr>
          <w:rFonts w:cs="Times New Roman"/>
          <w:szCs w:val="26"/>
        </w:rPr>
        <w:t xml:space="preserve">e are not persuaded </w:t>
      </w:r>
      <w:r w:rsidRPr="00F1714B">
        <w:rPr>
          <w:rFonts w:cs="Times New Roman"/>
          <w:szCs w:val="26"/>
        </w:rPr>
        <w:t xml:space="preserve">at </w:t>
      </w:r>
      <w:r w:rsidR="008154C0" w:rsidRPr="00F1714B">
        <w:rPr>
          <w:rFonts w:cs="Times New Roman"/>
          <w:szCs w:val="26"/>
        </w:rPr>
        <w:t xml:space="preserve">this time </w:t>
      </w:r>
      <w:r w:rsidRPr="00F1714B">
        <w:rPr>
          <w:rFonts w:cs="Times New Roman"/>
          <w:szCs w:val="26"/>
        </w:rPr>
        <w:t xml:space="preserve">to </w:t>
      </w:r>
      <w:r w:rsidR="00BB7786" w:rsidRPr="00F1714B">
        <w:rPr>
          <w:rFonts w:cs="Times New Roman"/>
          <w:szCs w:val="26"/>
        </w:rPr>
        <w:t xml:space="preserve">adopt a detariffing regime for all services </w:t>
      </w:r>
      <w:r w:rsidR="00673F68" w:rsidRPr="00F1714B">
        <w:rPr>
          <w:rFonts w:cs="Times New Roman"/>
          <w:szCs w:val="26"/>
        </w:rPr>
        <w:t xml:space="preserve">except basic </w:t>
      </w:r>
      <w:r w:rsidR="00F47ABD" w:rsidRPr="00F1714B">
        <w:rPr>
          <w:rFonts w:cs="Times New Roman"/>
          <w:szCs w:val="26"/>
        </w:rPr>
        <w:t xml:space="preserve">local exchange </w:t>
      </w:r>
      <w:r w:rsidR="00673F68" w:rsidRPr="00F1714B">
        <w:rPr>
          <w:rFonts w:cs="Times New Roman"/>
          <w:szCs w:val="26"/>
        </w:rPr>
        <w:t xml:space="preserve">service </w:t>
      </w:r>
      <w:r w:rsidR="00BB7786" w:rsidRPr="00F1714B">
        <w:rPr>
          <w:rFonts w:cs="Times New Roman"/>
          <w:szCs w:val="26"/>
        </w:rPr>
        <w:t xml:space="preserve">in </w:t>
      </w:r>
      <w:r w:rsidR="00673F68" w:rsidRPr="00F1714B">
        <w:rPr>
          <w:rFonts w:cs="Times New Roman"/>
          <w:szCs w:val="26"/>
        </w:rPr>
        <w:t>non</w:t>
      </w:r>
      <w:r w:rsidR="00BB7786" w:rsidRPr="00F1714B">
        <w:rPr>
          <w:rFonts w:cs="Times New Roman"/>
          <w:szCs w:val="26"/>
        </w:rPr>
        <w:t>competitive wire centers</w:t>
      </w:r>
      <w:r w:rsidR="008F0D88" w:rsidRPr="00F1714B">
        <w:rPr>
          <w:rFonts w:cs="Times New Roman"/>
          <w:szCs w:val="26"/>
        </w:rPr>
        <w:t xml:space="preserve">, especially when </w:t>
      </w:r>
      <w:r w:rsidR="008947AB" w:rsidRPr="00F1714B">
        <w:rPr>
          <w:rFonts w:cs="Times New Roman"/>
          <w:szCs w:val="26"/>
        </w:rPr>
        <w:t xml:space="preserve">Chapter 30 of the Code </w:t>
      </w:r>
      <w:r w:rsidR="008F0D88" w:rsidRPr="00F1714B">
        <w:rPr>
          <w:rFonts w:cs="Times New Roman"/>
          <w:szCs w:val="26"/>
        </w:rPr>
        <w:t xml:space="preserve">provides for the means </w:t>
      </w:r>
      <w:r w:rsidR="008154C0" w:rsidRPr="00F1714B">
        <w:rPr>
          <w:rFonts w:cs="Times New Roman"/>
          <w:szCs w:val="26"/>
        </w:rPr>
        <w:t xml:space="preserve">for </w:t>
      </w:r>
      <w:r w:rsidR="00DB0A4D" w:rsidRPr="00F1714B">
        <w:rPr>
          <w:rFonts w:cs="Times New Roman"/>
          <w:szCs w:val="26"/>
        </w:rPr>
        <w:t>a</w:t>
      </w:r>
      <w:r w:rsidR="008154C0" w:rsidRPr="00F1714B">
        <w:rPr>
          <w:rFonts w:cs="Times New Roman"/>
          <w:szCs w:val="26"/>
        </w:rPr>
        <w:t>n</w:t>
      </w:r>
      <w:r w:rsidR="00DB0A4D" w:rsidRPr="00F1714B">
        <w:rPr>
          <w:rFonts w:cs="Times New Roman"/>
          <w:szCs w:val="26"/>
        </w:rPr>
        <w:t xml:space="preserve"> </w:t>
      </w:r>
      <w:r w:rsidR="008947AB" w:rsidRPr="00F1714B">
        <w:rPr>
          <w:rFonts w:cs="Times New Roman"/>
          <w:szCs w:val="26"/>
        </w:rPr>
        <w:t xml:space="preserve">ILEC to obtain </w:t>
      </w:r>
      <w:r w:rsidR="00DB0A4D" w:rsidRPr="00F1714B">
        <w:rPr>
          <w:rFonts w:cs="Times New Roman"/>
          <w:szCs w:val="26"/>
        </w:rPr>
        <w:t xml:space="preserve">such relief </w:t>
      </w:r>
      <w:r w:rsidR="008154C0" w:rsidRPr="00F1714B">
        <w:rPr>
          <w:rFonts w:cs="Times New Roman"/>
          <w:szCs w:val="26"/>
        </w:rPr>
        <w:lastRenderedPageBreak/>
        <w:t xml:space="preserve">including the regulatory freedom to provide competitive </w:t>
      </w:r>
      <w:r w:rsidR="002D6B15" w:rsidRPr="00F1714B">
        <w:rPr>
          <w:rFonts w:cs="Times New Roman"/>
          <w:szCs w:val="26"/>
        </w:rPr>
        <w:t xml:space="preserve">services </w:t>
      </w:r>
      <w:r w:rsidR="00692F82" w:rsidRPr="00F1714B">
        <w:rPr>
          <w:rFonts w:cs="Times New Roman"/>
          <w:szCs w:val="26"/>
        </w:rPr>
        <w:t xml:space="preserve">without having to file a tariff.  Accordingly, we </w:t>
      </w:r>
      <w:r w:rsidR="00250A11" w:rsidRPr="00F1714B">
        <w:rPr>
          <w:rFonts w:cs="Times New Roman"/>
          <w:szCs w:val="26"/>
        </w:rPr>
        <w:t xml:space="preserve">reject Verizon’s phased out approach, and we </w:t>
      </w:r>
      <w:r w:rsidR="00C14965" w:rsidRPr="00F1714B">
        <w:rPr>
          <w:rFonts w:cs="Times New Roman"/>
          <w:szCs w:val="26"/>
        </w:rPr>
        <w:t>will adopt our proposed modifications to Section 53.59 in the final-form regulation</w:t>
      </w:r>
      <w:r w:rsidR="00DB0A4D" w:rsidRPr="00F1714B">
        <w:rPr>
          <w:rFonts w:cs="Times New Roman"/>
          <w:szCs w:val="26"/>
        </w:rPr>
        <w:t xml:space="preserve"> </w:t>
      </w:r>
      <w:bookmarkStart w:id="21" w:name="_Hlk87447296"/>
      <w:r w:rsidR="00546F40" w:rsidRPr="00F1714B">
        <w:rPr>
          <w:rFonts w:cs="Times New Roman"/>
          <w:szCs w:val="26"/>
        </w:rPr>
        <w:t xml:space="preserve">subject to </w:t>
      </w:r>
      <w:r w:rsidR="00DB0A4D" w:rsidRPr="00F1714B">
        <w:rPr>
          <w:rFonts w:cs="Times New Roman"/>
          <w:szCs w:val="26"/>
        </w:rPr>
        <w:t xml:space="preserve">certain </w:t>
      </w:r>
      <w:r w:rsidR="00546F40" w:rsidRPr="00F1714B">
        <w:rPr>
          <w:rFonts w:cs="Times New Roman"/>
          <w:szCs w:val="26"/>
        </w:rPr>
        <w:t xml:space="preserve">necessary </w:t>
      </w:r>
      <w:r w:rsidR="00DB0A4D" w:rsidRPr="00F1714B">
        <w:rPr>
          <w:rFonts w:cs="Times New Roman"/>
          <w:szCs w:val="26"/>
        </w:rPr>
        <w:t xml:space="preserve">revisions for clarification </w:t>
      </w:r>
      <w:r w:rsidR="004A5EF1" w:rsidRPr="00F1714B">
        <w:rPr>
          <w:rFonts w:cs="Times New Roman"/>
          <w:szCs w:val="26"/>
        </w:rPr>
        <w:t xml:space="preserve">and formatting </w:t>
      </w:r>
      <w:r w:rsidR="00DB0A4D" w:rsidRPr="00F1714B">
        <w:rPr>
          <w:rFonts w:cs="Times New Roman"/>
          <w:szCs w:val="26"/>
        </w:rPr>
        <w:t>purposes</w:t>
      </w:r>
      <w:r w:rsidR="00C14965" w:rsidRPr="00F1714B">
        <w:rPr>
          <w:rFonts w:cs="Times New Roman"/>
          <w:szCs w:val="26"/>
        </w:rPr>
        <w:t>.</w:t>
      </w:r>
      <w:bookmarkEnd w:id="21"/>
    </w:p>
    <w:p w14:paraId="59739A5C" w14:textId="77777777" w:rsidR="002A3317" w:rsidRPr="00F1714B" w:rsidRDefault="002A3317" w:rsidP="00E55426">
      <w:pPr>
        <w:ind w:firstLine="720"/>
        <w:rPr>
          <w:rFonts w:cs="Times New Roman"/>
          <w:iCs/>
          <w:szCs w:val="26"/>
        </w:rPr>
      </w:pPr>
    </w:p>
    <w:p w14:paraId="5E58DB09" w14:textId="046BA245" w:rsidR="009F627D" w:rsidRPr="00F1714B" w:rsidRDefault="002E5409" w:rsidP="0056160E">
      <w:pPr>
        <w:ind w:firstLine="720"/>
        <w:rPr>
          <w:rFonts w:cs="Times New Roman"/>
          <w:b/>
          <w:bCs/>
          <w:szCs w:val="26"/>
        </w:rPr>
      </w:pPr>
      <w:r w:rsidRPr="00F1714B">
        <w:rPr>
          <w:rFonts w:cs="Times New Roman"/>
          <w:b/>
          <w:bCs/>
          <w:szCs w:val="26"/>
        </w:rPr>
        <w:t>D.</w:t>
      </w:r>
      <w:r w:rsidRPr="00F1714B">
        <w:rPr>
          <w:rFonts w:cs="Times New Roman"/>
          <w:b/>
          <w:bCs/>
          <w:szCs w:val="26"/>
        </w:rPr>
        <w:tab/>
        <w:t>52 Pa. Code § 53.60</w:t>
      </w:r>
    </w:p>
    <w:p w14:paraId="4BDD93C1" w14:textId="72CD81BD" w:rsidR="002E5409" w:rsidRPr="00F1714B" w:rsidRDefault="00247479" w:rsidP="00E55426">
      <w:pPr>
        <w:ind w:firstLine="720"/>
        <w:rPr>
          <w:rFonts w:cs="Times New Roman"/>
          <w:szCs w:val="26"/>
        </w:rPr>
      </w:pPr>
      <w:r w:rsidRPr="00F1714B">
        <w:rPr>
          <w:rFonts w:cs="Times New Roman"/>
          <w:szCs w:val="26"/>
        </w:rPr>
        <w:t xml:space="preserve">In the Annex to the </w:t>
      </w:r>
      <w:r w:rsidRPr="00F1714B">
        <w:rPr>
          <w:rFonts w:cs="Times New Roman"/>
          <w:i/>
          <w:iCs/>
          <w:szCs w:val="26"/>
        </w:rPr>
        <w:t>NPRM Order</w:t>
      </w:r>
      <w:r w:rsidRPr="00F1714B">
        <w:rPr>
          <w:rFonts w:cs="Times New Roman"/>
          <w:szCs w:val="26"/>
        </w:rPr>
        <w:t>, the Commission propose</w:t>
      </w:r>
      <w:r w:rsidR="002D6B15" w:rsidRPr="00F1714B">
        <w:rPr>
          <w:rFonts w:cs="Times New Roman"/>
          <w:szCs w:val="26"/>
        </w:rPr>
        <w:t>d</w:t>
      </w:r>
      <w:r w:rsidRPr="00F1714B">
        <w:rPr>
          <w:rFonts w:cs="Times New Roman"/>
          <w:szCs w:val="26"/>
        </w:rPr>
        <w:t xml:space="preserve"> </w:t>
      </w:r>
      <w:r w:rsidR="008E029B" w:rsidRPr="00F1714B">
        <w:rPr>
          <w:rFonts w:cs="Times New Roman"/>
          <w:szCs w:val="26"/>
        </w:rPr>
        <w:t>some slight</w:t>
      </w:r>
      <w:r w:rsidR="006914DA" w:rsidRPr="00F1714B">
        <w:rPr>
          <w:rFonts w:cs="Times New Roman"/>
          <w:szCs w:val="26"/>
        </w:rPr>
        <w:t xml:space="preserve"> terminology </w:t>
      </w:r>
      <w:r w:rsidRPr="00F1714B">
        <w:rPr>
          <w:rFonts w:cs="Times New Roman"/>
          <w:szCs w:val="26"/>
        </w:rPr>
        <w:t xml:space="preserve">revisions to Section </w:t>
      </w:r>
      <w:r w:rsidR="00462D87" w:rsidRPr="00F1714B">
        <w:rPr>
          <w:rFonts w:cs="Times New Roman"/>
          <w:szCs w:val="26"/>
        </w:rPr>
        <w:t>53.60</w:t>
      </w:r>
      <w:r w:rsidR="004767EC" w:rsidRPr="00F1714B">
        <w:rPr>
          <w:rFonts w:cs="Times New Roman"/>
          <w:szCs w:val="26"/>
        </w:rPr>
        <w:t xml:space="preserve"> </w:t>
      </w:r>
      <w:r w:rsidR="006914DA" w:rsidRPr="00F1714B">
        <w:rPr>
          <w:rFonts w:cs="Times New Roman"/>
          <w:szCs w:val="26"/>
        </w:rPr>
        <w:t xml:space="preserve">but </w:t>
      </w:r>
      <w:r w:rsidR="004767EC" w:rsidRPr="00F1714B">
        <w:rPr>
          <w:rFonts w:cs="Times New Roman"/>
          <w:szCs w:val="26"/>
        </w:rPr>
        <w:t xml:space="preserve">did not eliminate the tariff filing requirements for noncompetitive and protected services, including basic local exchange service, in this section of </w:t>
      </w:r>
      <w:r w:rsidR="008154C0" w:rsidRPr="00F1714B">
        <w:rPr>
          <w:rFonts w:cs="Times New Roman"/>
          <w:szCs w:val="26"/>
        </w:rPr>
        <w:t xml:space="preserve">the </w:t>
      </w:r>
      <w:r w:rsidR="004767EC" w:rsidRPr="00F1714B">
        <w:rPr>
          <w:rFonts w:cs="Times New Roman"/>
          <w:szCs w:val="26"/>
        </w:rPr>
        <w:t xml:space="preserve">regulation. </w:t>
      </w:r>
    </w:p>
    <w:p w14:paraId="34896867" w14:textId="77777777" w:rsidR="002E5409" w:rsidRPr="00F1714B" w:rsidRDefault="002E5409" w:rsidP="00E55426">
      <w:pPr>
        <w:ind w:firstLine="720"/>
        <w:rPr>
          <w:rFonts w:cs="Times New Roman"/>
          <w:szCs w:val="26"/>
        </w:rPr>
      </w:pPr>
    </w:p>
    <w:p w14:paraId="6D968869" w14:textId="74B5B421" w:rsidR="002E5409" w:rsidRPr="00F1714B" w:rsidRDefault="002E5409" w:rsidP="0056160E">
      <w:pPr>
        <w:ind w:left="720" w:firstLine="720"/>
        <w:rPr>
          <w:rFonts w:cs="Times New Roman"/>
          <w:b/>
          <w:bCs/>
          <w:szCs w:val="26"/>
        </w:rPr>
      </w:pPr>
      <w:r w:rsidRPr="00F1714B">
        <w:rPr>
          <w:rFonts w:cs="Times New Roman"/>
          <w:b/>
          <w:bCs/>
          <w:szCs w:val="26"/>
        </w:rPr>
        <w:t>1.</w:t>
      </w:r>
      <w:r w:rsidRPr="00F1714B">
        <w:rPr>
          <w:rFonts w:cs="Times New Roman"/>
          <w:b/>
          <w:bCs/>
          <w:szCs w:val="26"/>
        </w:rPr>
        <w:tab/>
        <w:t>Comments</w:t>
      </w:r>
      <w:r w:rsidR="0037691B" w:rsidRPr="00F1714B">
        <w:rPr>
          <w:rFonts w:cs="Times New Roman"/>
          <w:b/>
          <w:bCs/>
          <w:szCs w:val="26"/>
        </w:rPr>
        <w:t xml:space="preserve"> and Replies</w:t>
      </w:r>
    </w:p>
    <w:p w14:paraId="5A519D5A" w14:textId="48C92BF2" w:rsidR="00E5748C" w:rsidRPr="00F1714B" w:rsidRDefault="00E5748C" w:rsidP="00E55426">
      <w:pPr>
        <w:ind w:firstLine="720"/>
        <w:rPr>
          <w:rFonts w:cs="Times New Roman"/>
          <w:szCs w:val="26"/>
        </w:rPr>
      </w:pPr>
      <w:r w:rsidRPr="00F1714B">
        <w:rPr>
          <w:rFonts w:cs="Times New Roman"/>
          <w:szCs w:val="26"/>
        </w:rPr>
        <w:t>IRRC recommends that</w:t>
      </w:r>
      <w:r w:rsidR="008154C0" w:rsidRPr="00F1714B">
        <w:rPr>
          <w:rFonts w:cs="Times New Roman"/>
          <w:szCs w:val="26"/>
        </w:rPr>
        <w:t>,</w:t>
      </w:r>
      <w:r w:rsidRPr="00F1714B">
        <w:rPr>
          <w:rFonts w:cs="Times New Roman"/>
          <w:szCs w:val="26"/>
        </w:rPr>
        <w:t xml:space="preserve"> in the Commission’s proposed language for subsection 53.60(b), the “a” after “local exchange telecommunications companies” should be “and.” </w:t>
      </w:r>
      <w:r w:rsidR="00DE2B8B" w:rsidRPr="00F1714B">
        <w:rPr>
          <w:rFonts w:cs="Times New Roman"/>
          <w:szCs w:val="26"/>
        </w:rPr>
        <w:t xml:space="preserve"> </w:t>
      </w:r>
      <w:r w:rsidRPr="00F1714B">
        <w:rPr>
          <w:rFonts w:cs="Times New Roman"/>
          <w:szCs w:val="26"/>
        </w:rPr>
        <w:t>IRRC Comments at 10.</w:t>
      </w:r>
    </w:p>
    <w:p w14:paraId="3B4301FC" w14:textId="77777777" w:rsidR="00E5748C" w:rsidRPr="00F1714B" w:rsidRDefault="00E5748C" w:rsidP="00E55426">
      <w:pPr>
        <w:ind w:firstLine="720"/>
        <w:rPr>
          <w:rFonts w:cs="Times New Roman"/>
          <w:szCs w:val="26"/>
        </w:rPr>
      </w:pPr>
    </w:p>
    <w:p w14:paraId="6534BE14" w14:textId="24616DA3" w:rsidR="009F627D" w:rsidRPr="00F1714B" w:rsidRDefault="009F627D" w:rsidP="00E55426">
      <w:pPr>
        <w:ind w:firstLine="720"/>
        <w:rPr>
          <w:rFonts w:cs="Times New Roman"/>
          <w:szCs w:val="26"/>
        </w:rPr>
      </w:pPr>
      <w:r w:rsidRPr="00F1714B">
        <w:rPr>
          <w:rFonts w:cs="Times New Roman"/>
          <w:szCs w:val="26"/>
        </w:rPr>
        <w:t xml:space="preserve">TCC/CCL propose that the Commission clarify the obligations of competitive telecommunications carriers relative to tariff filings, either by (1) modifying the Commission’s proposed subsection 53.60 (Supporting documentation) to include references to competitive services and carriers; or (2) addressing tariff filings for competitive services (whether offered by a local exchange telecommunications carrier or a competitive telecommunications carrier) in a new or repurposed subsection 63.104. </w:t>
      </w:r>
      <w:r w:rsidR="00DE2B8B" w:rsidRPr="00F1714B">
        <w:rPr>
          <w:rFonts w:cs="Times New Roman"/>
          <w:szCs w:val="26"/>
        </w:rPr>
        <w:t xml:space="preserve"> </w:t>
      </w:r>
      <w:r w:rsidRPr="00F1714B">
        <w:rPr>
          <w:rFonts w:cs="Times New Roman"/>
          <w:szCs w:val="26"/>
        </w:rPr>
        <w:t>TCC/CCL Comments at 8-11.</w:t>
      </w:r>
    </w:p>
    <w:p w14:paraId="48B7C707" w14:textId="77777777" w:rsidR="00440805" w:rsidRPr="00F1714B" w:rsidRDefault="00440805" w:rsidP="00E55426">
      <w:pPr>
        <w:ind w:firstLine="720"/>
        <w:rPr>
          <w:rFonts w:cs="Times New Roman"/>
          <w:szCs w:val="26"/>
        </w:rPr>
      </w:pPr>
    </w:p>
    <w:p w14:paraId="0F31A7E5" w14:textId="26535716" w:rsidR="00162D3D" w:rsidRPr="00F1714B" w:rsidRDefault="004767EC" w:rsidP="0056160E">
      <w:pPr>
        <w:ind w:firstLine="720"/>
        <w:rPr>
          <w:rFonts w:cs="Times New Roman"/>
          <w:b/>
          <w:bCs/>
          <w:szCs w:val="26"/>
        </w:rPr>
      </w:pPr>
      <w:r w:rsidRPr="00F1714B">
        <w:rPr>
          <w:rFonts w:cs="Times New Roman"/>
          <w:szCs w:val="26"/>
        </w:rPr>
        <w:tab/>
      </w:r>
      <w:r w:rsidRPr="00F1714B">
        <w:rPr>
          <w:rFonts w:cs="Times New Roman"/>
          <w:b/>
          <w:bCs/>
          <w:szCs w:val="26"/>
        </w:rPr>
        <w:t xml:space="preserve">2. </w:t>
      </w:r>
      <w:r w:rsidRPr="00F1714B">
        <w:rPr>
          <w:rFonts w:cs="Times New Roman"/>
          <w:b/>
          <w:bCs/>
          <w:szCs w:val="26"/>
        </w:rPr>
        <w:tab/>
        <w:t>Discussion</w:t>
      </w:r>
      <w:r w:rsidR="000C73DD" w:rsidRPr="00F1714B">
        <w:rPr>
          <w:rFonts w:cs="Times New Roman"/>
          <w:b/>
          <w:bCs/>
          <w:szCs w:val="26"/>
        </w:rPr>
        <w:t xml:space="preserve"> and </w:t>
      </w:r>
      <w:r w:rsidRPr="00F1714B">
        <w:rPr>
          <w:rFonts w:cs="Times New Roman"/>
          <w:b/>
          <w:bCs/>
          <w:szCs w:val="26"/>
        </w:rPr>
        <w:t>Resolution</w:t>
      </w:r>
    </w:p>
    <w:p w14:paraId="0EE68005" w14:textId="150871DB" w:rsidR="0020054A" w:rsidRPr="00F1714B" w:rsidRDefault="006A385A" w:rsidP="0056160E">
      <w:pPr>
        <w:ind w:firstLine="720"/>
        <w:rPr>
          <w:rFonts w:cs="Times New Roman"/>
          <w:szCs w:val="26"/>
        </w:rPr>
      </w:pPr>
      <w:r w:rsidRPr="00F1714B">
        <w:rPr>
          <w:rFonts w:cs="Times New Roman"/>
          <w:szCs w:val="26"/>
        </w:rPr>
        <w:t xml:space="preserve">Based on </w:t>
      </w:r>
      <w:r w:rsidR="00F47ABD" w:rsidRPr="00F1714B">
        <w:rPr>
          <w:rFonts w:cs="Times New Roman"/>
          <w:szCs w:val="26"/>
        </w:rPr>
        <w:t xml:space="preserve">their </w:t>
      </w:r>
      <w:r w:rsidRPr="00F1714B">
        <w:rPr>
          <w:rFonts w:cs="Times New Roman"/>
          <w:szCs w:val="26"/>
        </w:rPr>
        <w:t xml:space="preserve">comments regarding Section 53.60, it appears that </w:t>
      </w:r>
      <w:r w:rsidR="007570A9" w:rsidRPr="00F1714B">
        <w:rPr>
          <w:rFonts w:cs="Times New Roman"/>
          <w:szCs w:val="26"/>
        </w:rPr>
        <w:t xml:space="preserve">TCC/CCL </w:t>
      </w:r>
      <w:r w:rsidR="00F47ABD" w:rsidRPr="00F1714B">
        <w:rPr>
          <w:rFonts w:cs="Times New Roman"/>
          <w:szCs w:val="26"/>
        </w:rPr>
        <w:t xml:space="preserve">are </w:t>
      </w:r>
      <w:r w:rsidR="00711579" w:rsidRPr="00F1714B">
        <w:rPr>
          <w:rFonts w:cs="Times New Roman"/>
          <w:szCs w:val="26"/>
        </w:rPr>
        <w:t xml:space="preserve">working under the presupposition that a </w:t>
      </w:r>
      <w:r w:rsidR="00DD7D4E" w:rsidRPr="00F1714B">
        <w:rPr>
          <w:rFonts w:cs="Times New Roman"/>
          <w:szCs w:val="26"/>
        </w:rPr>
        <w:t>competitive telecommunications carrier</w:t>
      </w:r>
      <w:r w:rsidR="007570A9" w:rsidRPr="00F1714B">
        <w:rPr>
          <w:rFonts w:cs="Times New Roman"/>
          <w:szCs w:val="26"/>
        </w:rPr>
        <w:t xml:space="preserve"> </w:t>
      </w:r>
      <w:r w:rsidR="005029BC" w:rsidRPr="00F1714B">
        <w:rPr>
          <w:rFonts w:cs="Times New Roman"/>
          <w:szCs w:val="26"/>
        </w:rPr>
        <w:t>is</w:t>
      </w:r>
      <w:r w:rsidR="00711579" w:rsidRPr="00F1714B">
        <w:rPr>
          <w:rFonts w:cs="Times New Roman"/>
          <w:szCs w:val="26"/>
        </w:rPr>
        <w:t xml:space="preserve"> automatically deemed competitive upon </w:t>
      </w:r>
      <w:r w:rsidR="00014C0A" w:rsidRPr="00F1714B">
        <w:rPr>
          <w:rFonts w:cs="Times New Roman"/>
          <w:szCs w:val="26"/>
        </w:rPr>
        <w:t>its entry and operation in a local calling area located w</w:t>
      </w:r>
      <w:r w:rsidR="003A084F" w:rsidRPr="00F1714B">
        <w:rPr>
          <w:rFonts w:cs="Times New Roman"/>
          <w:szCs w:val="26"/>
        </w:rPr>
        <w:t xml:space="preserve">ithin an </w:t>
      </w:r>
      <w:r w:rsidR="00014C0A" w:rsidRPr="00F1714B">
        <w:rPr>
          <w:rFonts w:cs="Times New Roman"/>
          <w:szCs w:val="26"/>
        </w:rPr>
        <w:t xml:space="preserve">ILEC’s service territory.  </w:t>
      </w:r>
      <w:r w:rsidR="00F47ABD" w:rsidRPr="00F1714B">
        <w:rPr>
          <w:rFonts w:cs="Times New Roman"/>
          <w:szCs w:val="26"/>
        </w:rPr>
        <w:t>As established above, t</w:t>
      </w:r>
      <w:r w:rsidR="003A084F" w:rsidRPr="00F1714B">
        <w:rPr>
          <w:rFonts w:cs="Times New Roman"/>
          <w:szCs w:val="26"/>
        </w:rPr>
        <w:t xml:space="preserve">his presupposition is </w:t>
      </w:r>
      <w:r w:rsidR="003A084F" w:rsidRPr="00F1714B">
        <w:rPr>
          <w:rFonts w:cs="Times New Roman"/>
          <w:szCs w:val="26"/>
        </w:rPr>
        <w:lastRenderedPageBreak/>
        <w:t xml:space="preserve">incorrect.  </w:t>
      </w:r>
      <w:r w:rsidR="00926CC9" w:rsidRPr="00F1714B">
        <w:rPr>
          <w:rFonts w:cs="Times New Roman"/>
          <w:szCs w:val="26"/>
        </w:rPr>
        <w:t xml:space="preserve">While a competitive telecommunications carrier is competing against an ILEC, </w:t>
      </w:r>
      <w:r w:rsidR="0020054A" w:rsidRPr="00F1714B">
        <w:rPr>
          <w:rFonts w:cs="Times New Roman"/>
          <w:szCs w:val="26"/>
        </w:rPr>
        <w:t xml:space="preserve">it cannot </w:t>
      </w:r>
      <w:r w:rsidR="002B4BF7" w:rsidRPr="00F1714B">
        <w:rPr>
          <w:rFonts w:cs="Times New Roman"/>
          <w:szCs w:val="26"/>
        </w:rPr>
        <w:t>be deemed to be truly offering a “competitive” service</w:t>
      </w:r>
      <w:r w:rsidR="0020054A" w:rsidRPr="00F1714B">
        <w:rPr>
          <w:rFonts w:cs="Times New Roman"/>
          <w:szCs w:val="26"/>
        </w:rPr>
        <w:t xml:space="preserve"> until the ILEC has first obtained a competitive classification of is service in the service territory </w:t>
      </w:r>
      <w:r w:rsidR="005029BC" w:rsidRPr="00F1714B">
        <w:rPr>
          <w:rFonts w:cs="Times New Roman"/>
          <w:szCs w:val="26"/>
        </w:rPr>
        <w:t>(</w:t>
      </w:r>
      <w:r w:rsidR="0020054A" w:rsidRPr="00F1714B">
        <w:rPr>
          <w:rFonts w:cs="Times New Roman"/>
          <w:szCs w:val="26"/>
        </w:rPr>
        <w:t>either through self-declaration or the petition process</w:t>
      </w:r>
      <w:r w:rsidR="005029BC" w:rsidRPr="00F1714B">
        <w:rPr>
          <w:rFonts w:cs="Times New Roman"/>
          <w:szCs w:val="26"/>
        </w:rPr>
        <w:t>)</w:t>
      </w:r>
      <w:r w:rsidR="00681440" w:rsidRPr="00F1714B">
        <w:rPr>
          <w:rFonts w:cs="Times New Roman"/>
          <w:szCs w:val="26"/>
        </w:rPr>
        <w:t xml:space="preserve">.  Until that occurs, a competitive telecommunications carrier is deemed to be offering nothing more than a </w:t>
      </w:r>
      <w:r w:rsidR="00AF325F" w:rsidRPr="00F1714B">
        <w:rPr>
          <w:rFonts w:cs="Times New Roman"/>
          <w:szCs w:val="26"/>
        </w:rPr>
        <w:t>“competitive”</w:t>
      </w:r>
      <w:r w:rsidR="00776F51" w:rsidRPr="00F1714B">
        <w:rPr>
          <w:rFonts w:cs="Times New Roman"/>
          <w:szCs w:val="26"/>
        </w:rPr>
        <w:t xml:space="preserve"> version of a</w:t>
      </w:r>
      <w:r w:rsidR="00AF325F" w:rsidRPr="00F1714B">
        <w:rPr>
          <w:rFonts w:cs="Times New Roman"/>
          <w:szCs w:val="26"/>
        </w:rPr>
        <w:t xml:space="preserve"> </w:t>
      </w:r>
      <w:r w:rsidR="00681440" w:rsidRPr="00F1714B">
        <w:rPr>
          <w:rFonts w:cs="Times New Roman"/>
          <w:i/>
          <w:iCs/>
          <w:szCs w:val="26"/>
        </w:rPr>
        <w:t>noncompetitive</w:t>
      </w:r>
      <w:r w:rsidR="00AF325F" w:rsidRPr="00F1714B">
        <w:rPr>
          <w:rFonts w:cs="Times New Roman"/>
          <w:szCs w:val="26"/>
        </w:rPr>
        <w:t xml:space="preserve"> </w:t>
      </w:r>
      <w:r w:rsidR="006914DA" w:rsidRPr="00F1714B">
        <w:rPr>
          <w:rFonts w:cs="Times New Roman"/>
          <w:i/>
          <w:iCs/>
          <w:szCs w:val="26"/>
        </w:rPr>
        <w:t>or protected retail</w:t>
      </w:r>
      <w:r w:rsidR="006914DA" w:rsidRPr="00F1714B">
        <w:rPr>
          <w:rFonts w:cs="Times New Roman"/>
          <w:szCs w:val="26"/>
        </w:rPr>
        <w:t xml:space="preserve"> </w:t>
      </w:r>
      <w:r w:rsidR="00681440" w:rsidRPr="00F1714B">
        <w:rPr>
          <w:rFonts w:cs="Times New Roman"/>
          <w:i/>
          <w:iCs/>
          <w:szCs w:val="26"/>
        </w:rPr>
        <w:t>service</w:t>
      </w:r>
      <w:r w:rsidR="00681440" w:rsidRPr="00F1714B">
        <w:rPr>
          <w:rFonts w:cs="Times New Roman"/>
          <w:szCs w:val="26"/>
        </w:rPr>
        <w:t xml:space="preserve"> in the service territory of the ILEC.</w:t>
      </w:r>
      <w:r w:rsidR="00AF325F" w:rsidRPr="00F1714B">
        <w:rPr>
          <w:rFonts w:cs="Times New Roman"/>
          <w:szCs w:val="26"/>
        </w:rPr>
        <w:t xml:space="preserve">  </w:t>
      </w:r>
      <w:r w:rsidR="00BD130E" w:rsidRPr="00F1714B">
        <w:rPr>
          <w:rFonts w:cs="Times New Roman"/>
          <w:szCs w:val="26"/>
        </w:rPr>
        <w:t xml:space="preserve">Thus, a competitive telecommunications carrier is subject to the tariffing requirements </w:t>
      </w:r>
      <w:r w:rsidR="00FD051B" w:rsidRPr="00F1714B">
        <w:rPr>
          <w:rFonts w:cs="Times New Roman"/>
          <w:szCs w:val="26"/>
        </w:rPr>
        <w:t xml:space="preserve">under Section 53.58(d) unless it </w:t>
      </w:r>
      <w:r w:rsidR="00640A91" w:rsidRPr="00F1714B">
        <w:rPr>
          <w:rFonts w:cs="Times New Roman"/>
          <w:szCs w:val="26"/>
        </w:rPr>
        <w:t>is</w:t>
      </w:r>
      <w:r w:rsidR="00FD051B" w:rsidRPr="00F1714B">
        <w:rPr>
          <w:rFonts w:cs="Times New Roman"/>
          <w:szCs w:val="26"/>
        </w:rPr>
        <w:t xml:space="preserve"> </w:t>
      </w:r>
      <w:r w:rsidR="00640A91" w:rsidRPr="00F1714B">
        <w:rPr>
          <w:rFonts w:cs="Times New Roman"/>
          <w:szCs w:val="26"/>
        </w:rPr>
        <w:t xml:space="preserve">offering a </w:t>
      </w:r>
      <w:r w:rsidR="00FD051B" w:rsidRPr="00F1714B">
        <w:rPr>
          <w:rFonts w:cs="Times New Roman"/>
          <w:szCs w:val="26"/>
        </w:rPr>
        <w:t xml:space="preserve">bundled </w:t>
      </w:r>
      <w:r w:rsidR="00640A91" w:rsidRPr="00F1714B">
        <w:rPr>
          <w:rFonts w:cs="Times New Roman"/>
          <w:szCs w:val="26"/>
        </w:rPr>
        <w:t xml:space="preserve">service package, </w:t>
      </w:r>
      <w:r w:rsidR="00D676BA" w:rsidRPr="00F1714B">
        <w:rPr>
          <w:rFonts w:cs="Times New Roman"/>
          <w:szCs w:val="26"/>
        </w:rPr>
        <w:t>in which case</w:t>
      </w:r>
      <w:r w:rsidR="00FD051B" w:rsidRPr="00F1714B">
        <w:rPr>
          <w:rFonts w:cs="Times New Roman"/>
          <w:szCs w:val="26"/>
        </w:rPr>
        <w:t xml:space="preserve"> Section 53.60 would apply</w:t>
      </w:r>
      <w:r w:rsidR="00640A91" w:rsidRPr="00F1714B">
        <w:rPr>
          <w:rFonts w:cs="Times New Roman"/>
          <w:szCs w:val="26"/>
        </w:rPr>
        <w:t>.</w:t>
      </w:r>
    </w:p>
    <w:p w14:paraId="44285A5A" w14:textId="5B1EF7C0" w:rsidR="000857CF" w:rsidRPr="00F1714B" w:rsidRDefault="000857CF" w:rsidP="0056160E">
      <w:pPr>
        <w:ind w:firstLine="720"/>
        <w:rPr>
          <w:rFonts w:cs="Times New Roman"/>
          <w:szCs w:val="26"/>
        </w:rPr>
      </w:pPr>
    </w:p>
    <w:p w14:paraId="4E135E69" w14:textId="36FD4888" w:rsidR="000857CF" w:rsidRPr="00F1714B" w:rsidRDefault="000857CF" w:rsidP="0056160E">
      <w:pPr>
        <w:ind w:firstLine="720"/>
        <w:rPr>
          <w:rFonts w:cs="Times New Roman"/>
          <w:szCs w:val="26"/>
        </w:rPr>
      </w:pPr>
      <w:r w:rsidRPr="00F1714B">
        <w:rPr>
          <w:rFonts w:cs="Times New Roman"/>
          <w:szCs w:val="26"/>
        </w:rPr>
        <w:t xml:space="preserve">We adopt </w:t>
      </w:r>
      <w:r w:rsidR="000172F4" w:rsidRPr="00F1714B">
        <w:rPr>
          <w:rFonts w:cs="Times New Roman"/>
          <w:szCs w:val="26"/>
        </w:rPr>
        <w:t xml:space="preserve">our prior </w:t>
      </w:r>
      <w:r w:rsidRPr="00F1714B">
        <w:rPr>
          <w:rFonts w:cs="Times New Roman"/>
          <w:szCs w:val="26"/>
        </w:rPr>
        <w:t xml:space="preserve">proposed modifications </w:t>
      </w:r>
      <w:r w:rsidR="000E5E9F" w:rsidRPr="00F1714B">
        <w:rPr>
          <w:rFonts w:cs="Times New Roman"/>
          <w:szCs w:val="26"/>
        </w:rPr>
        <w:t xml:space="preserve">to Section 53.60 </w:t>
      </w:r>
      <w:r w:rsidR="00440805" w:rsidRPr="00F1714B">
        <w:rPr>
          <w:rFonts w:cs="Times New Roman"/>
          <w:szCs w:val="26"/>
        </w:rPr>
        <w:t xml:space="preserve">subject to certain necessary revisions for clarification purposes </w:t>
      </w:r>
      <w:r w:rsidR="001C6C05" w:rsidRPr="00F1714B">
        <w:rPr>
          <w:rFonts w:cs="Times New Roman"/>
          <w:szCs w:val="26"/>
        </w:rPr>
        <w:t xml:space="preserve">and </w:t>
      </w:r>
      <w:r w:rsidR="000E5E9F" w:rsidRPr="00F1714B">
        <w:rPr>
          <w:rFonts w:cs="Times New Roman"/>
          <w:szCs w:val="26"/>
        </w:rPr>
        <w:t>incorporate them into the final-form regulation set forth in the Annex.</w:t>
      </w:r>
    </w:p>
    <w:p w14:paraId="55DE092C" w14:textId="1F50D29A" w:rsidR="00514A3A" w:rsidRPr="00F1714B" w:rsidRDefault="00514A3A" w:rsidP="0056160E">
      <w:pPr>
        <w:ind w:firstLine="720"/>
        <w:rPr>
          <w:rFonts w:cs="Times New Roman"/>
          <w:szCs w:val="26"/>
        </w:rPr>
      </w:pPr>
    </w:p>
    <w:p w14:paraId="6BA01E9C" w14:textId="0C14A604" w:rsidR="001B3461" w:rsidRPr="00F1714B" w:rsidRDefault="001B3461" w:rsidP="0056160E">
      <w:pPr>
        <w:pStyle w:val="ListParagraph"/>
        <w:keepNext/>
        <w:keepLines/>
        <w:numPr>
          <w:ilvl w:val="0"/>
          <w:numId w:val="8"/>
        </w:numPr>
        <w:rPr>
          <w:rFonts w:cs="Times New Roman"/>
          <w:b/>
          <w:bCs/>
          <w:szCs w:val="26"/>
        </w:rPr>
      </w:pPr>
      <w:r w:rsidRPr="00F1714B">
        <w:rPr>
          <w:rFonts w:cs="Times New Roman"/>
          <w:b/>
          <w:bCs/>
          <w:szCs w:val="26"/>
        </w:rPr>
        <w:t>CHAPTER 63.  TELEPHONE SERVICE</w:t>
      </w:r>
    </w:p>
    <w:p w14:paraId="763DD439" w14:textId="34717B38" w:rsidR="001B3461" w:rsidRPr="00F1714B" w:rsidRDefault="001B3461" w:rsidP="0056160E">
      <w:pPr>
        <w:keepNext/>
        <w:keepLines/>
        <w:tabs>
          <w:tab w:val="left" w:pos="720"/>
          <w:tab w:val="left" w:pos="1440"/>
        </w:tabs>
        <w:ind w:firstLine="720"/>
        <w:rPr>
          <w:rFonts w:cs="Times New Roman"/>
          <w:bCs/>
          <w:i/>
          <w:iCs/>
          <w:szCs w:val="26"/>
        </w:rPr>
      </w:pPr>
      <w:r w:rsidRPr="00F1714B">
        <w:rPr>
          <w:rFonts w:cs="Times New Roman"/>
          <w:bCs/>
          <w:szCs w:val="26"/>
        </w:rPr>
        <w:t xml:space="preserve">In the </w:t>
      </w:r>
      <w:r w:rsidRPr="00F1714B">
        <w:rPr>
          <w:rFonts w:cs="Times New Roman"/>
          <w:bCs/>
          <w:i/>
          <w:szCs w:val="26"/>
        </w:rPr>
        <w:t>Reclassification Order</w:t>
      </w:r>
      <w:r w:rsidRPr="00F1714B">
        <w:rPr>
          <w:rFonts w:cs="Times New Roman"/>
          <w:bCs/>
          <w:szCs w:val="26"/>
        </w:rPr>
        <w:t>, we granted Verizon</w:t>
      </w:r>
      <w:r w:rsidR="00F86B94" w:rsidRPr="00F1714B">
        <w:rPr>
          <w:rFonts w:cs="Times New Roman"/>
          <w:bCs/>
          <w:szCs w:val="26"/>
        </w:rPr>
        <w:t>’s</w:t>
      </w:r>
      <w:r w:rsidRPr="00F1714B">
        <w:rPr>
          <w:rFonts w:cs="Times New Roman"/>
          <w:bCs/>
          <w:szCs w:val="26"/>
        </w:rPr>
        <w:t xml:space="preserve"> request for waiver of Chapter 63</w:t>
      </w:r>
      <w:r w:rsidR="00704623" w:rsidRPr="00F1714B">
        <w:rPr>
          <w:rFonts w:cs="Times New Roman"/>
          <w:bCs/>
          <w:szCs w:val="26"/>
        </w:rPr>
        <w:t xml:space="preserve"> </w:t>
      </w:r>
      <w:r w:rsidRPr="00F1714B">
        <w:rPr>
          <w:rFonts w:cs="Times New Roman"/>
          <w:bCs/>
          <w:szCs w:val="26"/>
        </w:rPr>
        <w:t>Subchapter</w:t>
      </w:r>
      <w:r w:rsidR="00704623" w:rsidRPr="00F1714B">
        <w:rPr>
          <w:rFonts w:cs="Times New Roman"/>
          <w:bCs/>
          <w:szCs w:val="26"/>
        </w:rPr>
        <w:t xml:space="preserve">s </w:t>
      </w:r>
      <w:r w:rsidRPr="00F1714B">
        <w:rPr>
          <w:rFonts w:cs="Times New Roman"/>
          <w:bCs/>
          <w:szCs w:val="26"/>
        </w:rPr>
        <w:t xml:space="preserve">B, C, E, F, and G </w:t>
      </w:r>
      <w:r w:rsidR="00704623" w:rsidRPr="00F1714B">
        <w:rPr>
          <w:rFonts w:cs="Times New Roman"/>
          <w:bCs/>
          <w:szCs w:val="26"/>
        </w:rPr>
        <w:t xml:space="preserve">for the wire centers that </w:t>
      </w:r>
      <w:r w:rsidR="008154C0" w:rsidRPr="00F1714B">
        <w:rPr>
          <w:rFonts w:cs="Times New Roman"/>
          <w:bCs/>
          <w:szCs w:val="26"/>
        </w:rPr>
        <w:t xml:space="preserve">the </w:t>
      </w:r>
      <w:r w:rsidR="00704623" w:rsidRPr="00F1714B">
        <w:rPr>
          <w:rFonts w:cs="Times New Roman"/>
          <w:bCs/>
          <w:szCs w:val="26"/>
        </w:rPr>
        <w:t xml:space="preserve">Commission determined </w:t>
      </w:r>
      <w:r w:rsidR="002D6B15" w:rsidRPr="00F1714B">
        <w:rPr>
          <w:rFonts w:cs="Times New Roman"/>
          <w:bCs/>
          <w:szCs w:val="26"/>
        </w:rPr>
        <w:t xml:space="preserve">may </w:t>
      </w:r>
      <w:r w:rsidR="00704623" w:rsidRPr="00F1714B">
        <w:rPr>
          <w:rFonts w:cs="Times New Roman"/>
          <w:bCs/>
          <w:szCs w:val="26"/>
        </w:rPr>
        <w:t xml:space="preserve">be reclassified as competitive under </w:t>
      </w:r>
      <w:r w:rsidR="00C50E2D" w:rsidRPr="00F1714B">
        <w:rPr>
          <w:rFonts w:cs="Times New Roman"/>
          <w:bCs/>
          <w:szCs w:val="26"/>
        </w:rPr>
        <w:t>66 Pa.C.S. § 3016(a).</w:t>
      </w:r>
      <w:r w:rsidR="00704623" w:rsidRPr="00F1714B">
        <w:rPr>
          <w:rStyle w:val="FootnoteReference"/>
          <w:rFonts w:cs="Times New Roman"/>
          <w:bCs/>
          <w:szCs w:val="26"/>
        </w:rPr>
        <w:footnoteReference w:id="42"/>
      </w:r>
      <w:r w:rsidR="00C50E2D" w:rsidRPr="00F1714B">
        <w:rPr>
          <w:rFonts w:cs="Times New Roman"/>
          <w:bCs/>
          <w:szCs w:val="26"/>
        </w:rPr>
        <w:t xml:space="preserve">  </w:t>
      </w:r>
      <w:r w:rsidRPr="00F1714B">
        <w:rPr>
          <w:rFonts w:cs="Times New Roman"/>
          <w:bCs/>
          <w:szCs w:val="26"/>
        </w:rPr>
        <w:t xml:space="preserve">However, all remaining </w:t>
      </w:r>
      <w:r w:rsidR="00704623" w:rsidRPr="00F1714B">
        <w:rPr>
          <w:rFonts w:cs="Times New Roman"/>
          <w:bCs/>
          <w:szCs w:val="26"/>
        </w:rPr>
        <w:t xml:space="preserve">Subchapters </w:t>
      </w:r>
      <w:r w:rsidRPr="00F1714B">
        <w:rPr>
          <w:rFonts w:cs="Times New Roman"/>
          <w:bCs/>
          <w:szCs w:val="26"/>
        </w:rPr>
        <w:t xml:space="preserve">of Chapter 63 remained in full force </w:t>
      </w:r>
      <w:r w:rsidR="00704623" w:rsidRPr="00F1714B">
        <w:rPr>
          <w:rFonts w:cs="Times New Roman"/>
          <w:bCs/>
          <w:szCs w:val="26"/>
        </w:rPr>
        <w:t xml:space="preserve">for </w:t>
      </w:r>
      <w:r w:rsidRPr="00F1714B">
        <w:rPr>
          <w:rFonts w:cs="Times New Roman"/>
          <w:bCs/>
          <w:szCs w:val="26"/>
        </w:rPr>
        <w:t>the</w:t>
      </w:r>
      <w:r w:rsidR="00C50E2D" w:rsidRPr="00F1714B">
        <w:rPr>
          <w:rFonts w:cs="Times New Roman"/>
          <w:bCs/>
          <w:szCs w:val="26"/>
        </w:rPr>
        <w:t xml:space="preserve">se newly-classified competitive </w:t>
      </w:r>
      <w:r w:rsidRPr="00F1714B">
        <w:rPr>
          <w:rFonts w:cs="Times New Roman"/>
          <w:bCs/>
          <w:szCs w:val="26"/>
        </w:rPr>
        <w:t>wire centers, including Subchapter D. Underground Service, Subchapter K. Competitive Safeguards, Subchapter L. Universal Service, and Subchapter M. Changing Local Service Providers.</w:t>
      </w:r>
      <w:r w:rsidR="0017477C" w:rsidRPr="00F1714B">
        <w:rPr>
          <w:rStyle w:val="FootnoteReference"/>
          <w:rFonts w:cs="Times New Roman"/>
          <w:bCs/>
          <w:szCs w:val="26"/>
        </w:rPr>
        <w:footnoteReference w:id="43"/>
      </w:r>
      <w:r w:rsidRPr="00F1714B">
        <w:rPr>
          <w:rFonts w:cs="Times New Roman"/>
          <w:bCs/>
          <w:szCs w:val="26"/>
        </w:rPr>
        <w:t xml:space="preserve"> </w:t>
      </w:r>
    </w:p>
    <w:p w14:paraId="55058D86" w14:textId="77777777" w:rsidR="0017477C" w:rsidRPr="00F1714B" w:rsidRDefault="0017477C" w:rsidP="0056160E">
      <w:pPr>
        <w:tabs>
          <w:tab w:val="left" w:pos="720"/>
          <w:tab w:val="left" w:pos="1440"/>
        </w:tabs>
        <w:ind w:firstLine="720"/>
        <w:rPr>
          <w:rFonts w:cs="Times New Roman"/>
          <w:bCs/>
          <w:i/>
          <w:iCs/>
          <w:szCs w:val="26"/>
        </w:rPr>
      </w:pPr>
    </w:p>
    <w:p w14:paraId="73EF1D63" w14:textId="4A4FCA1A" w:rsidR="001B3461" w:rsidRPr="00F1714B" w:rsidRDefault="00C50E2D" w:rsidP="0056160E">
      <w:pPr>
        <w:tabs>
          <w:tab w:val="left" w:pos="720"/>
          <w:tab w:val="left" w:pos="1440"/>
        </w:tabs>
        <w:ind w:firstLine="720"/>
        <w:rPr>
          <w:rFonts w:cs="Times New Roman"/>
          <w:bCs/>
          <w:szCs w:val="26"/>
        </w:rPr>
      </w:pPr>
      <w:r w:rsidRPr="00F1714B">
        <w:rPr>
          <w:rFonts w:cs="Times New Roman"/>
          <w:bCs/>
          <w:szCs w:val="26"/>
        </w:rPr>
        <w:t>In mak</w:t>
      </w:r>
      <w:r w:rsidR="00AF6631" w:rsidRPr="00F1714B">
        <w:rPr>
          <w:rFonts w:cs="Times New Roman"/>
          <w:bCs/>
          <w:szCs w:val="26"/>
        </w:rPr>
        <w:t xml:space="preserve">ing </w:t>
      </w:r>
      <w:r w:rsidR="0021368C" w:rsidRPr="00F1714B">
        <w:rPr>
          <w:rFonts w:cs="Times New Roman"/>
          <w:bCs/>
          <w:szCs w:val="26"/>
        </w:rPr>
        <w:t>our</w:t>
      </w:r>
      <w:r w:rsidR="00AF6631" w:rsidRPr="00F1714B">
        <w:rPr>
          <w:rFonts w:cs="Times New Roman"/>
          <w:bCs/>
          <w:szCs w:val="26"/>
        </w:rPr>
        <w:t xml:space="preserve"> propos</w:t>
      </w:r>
      <w:r w:rsidR="0017477C" w:rsidRPr="00F1714B">
        <w:rPr>
          <w:rFonts w:cs="Times New Roman"/>
          <w:bCs/>
          <w:szCs w:val="26"/>
        </w:rPr>
        <w:t xml:space="preserve">ed amendments to the regulations within </w:t>
      </w:r>
      <w:r w:rsidR="001B3461" w:rsidRPr="00F1714B">
        <w:rPr>
          <w:rFonts w:cs="Times New Roman"/>
          <w:bCs/>
          <w:szCs w:val="26"/>
        </w:rPr>
        <w:t xml:space="preserve">Chapter 63, </w:t>
      </w:r>
      <w:r w:rsidR="0021368C" w:rsidRPr="00F1714B">
        <w:rPr>
          <w:rFonts w:cs="Times New Roman"/>
          <w:bCs/>
          <w:szCs w:val="26"/>
        </w:rPr>
        <w:t>we</w:t>
      </w:r>
      <w:r w:rsidR="00AF6631" w:rsidRPr="00F1714B">
        <w:rPr>
          <w:rFonts w:cs="Times New Roman"/>
          <w:bCs/>
          <w:szCs w:val="26"/>
        </w:rPr>
        <w:t xml:space="preserve"> </w:t>
      </w:r>
      <w:r w:rsidR="001B3461" w:rsidRPr="00F1714B">
        <w:rPr>
          <w:rFonts w:cs="Times New Roman"/>
          <w:bCs/>
          <w:szCs w:val="26"/>
        </w:rPr>
        <w:t xml:space="preserve">reviewed the comments to the </w:t>
      </w:r>
      <w:r w:rsidR="001B3461" w:rsidRPr="00F1714B">
        <w:rPr>
          <w:rFonts w:cs="Times New Roman"/>
          <w:bCs/>
          <w:i/>
          <w:iCs/>
          <w:szCs w:val="26"/>
        </w:rPr>
        <w:t>ANPR</w:t>
      </w:r>
      <w:r w:rsidR="00011950" w:rsidRPr="00F1714B">
        <w:rPr>
          <w:rFonts w:cs="Times New Roman"/>
          <w:bCs/>
          <w:i/>
          <w:iCs/>
          <w:szCs w:val="26"/>
        </w:rPr>
        <w:t>M</w:t>
      </w:r>
      <w:r w:rsidR="001B3461" w:rsidRPr="00F1714B">
        <w:rPr>
          <w:rFonts w:cs="Times New Roman"/>
          <w:bCs/>
          <w:i/>
          <w:iCs/>
          <w:szCs w:val="26"/>
        </w:rPr>
        <w:t xml:space="preserve"> </w:t>
      </w:r>
      <w:r w:rsidR="001B3461" w:rsidRPr="00F1714B">
        <w:rPr>
          <w:rFonts w:cs="Times New Roman"/>
          <w:bCs/>
          <w:szCs w:val="26"/>
        </w:rPr>
        <w:t xml:space="preserve">and the </w:t>
      </w:r>
      <w:r w:rsidR="00987150" w:rsidRPr="00F1714B">
        <w:rPr>
          <w:rFonts w:cs="Times New Roman"/>
          <w:bCs/>
          <w:szCs w:val="26"/>
        </w:rPr>
        <w:t xml:space="preserve">proprietary market data </w:t>
      </w:r>
      <w:r w:rsidR="004B47A1" w:rsidRPr="00F1714B">
        <w:rPr>
          <w:rFonts w:cs="Times New Roman"/>
          <w:bCs/>
          <w:szCs w:val="26"/>
        </w:rPr>
        <w:t xml:space="preserve">related to the competitive wire centers Verizon had submitted for the </w:t>
      </w:r>
      <w:r w:rsidR="001B3461" w:rsidRPr="00F1714B">
        <w:rPr>
          <w:rFonts w:cs="Times New Roman"/>
          <w:bCs/>
          <w:szCs w:val="26"/>
        </w:rPr>
        <w:t>2015-2016</w:t>
      </w:r>
      <w:r w:rsidR="0096092E" w:rsidRPr="00F1714B">
        <w:rPr>
          <w:rFonts w:cs="Times New Roman"/>
          <w:bCs/>
          <w:szCs w:val="26"/>
        </w:rPr>
        <w:t xml:space="preserve"> period</w:t>
      </w:r>
      <w:r w:rsidR="004B47A1" w:rsidRPr="00F1714B">
        <w:rPr>
          <w:rFonts w:cs="Times New Roman"/>
          <w:bCs/>
          <w:szCs w:val="26"/>
        </w:rPr>
        <w:t xml:space="preserve">.  </w:t>
      </w:r>
      <w:r w:rsidR="00AF6975" w:rsidRPr="00F1714B">
        <w:rPr>
          <w:rFonts w:cs="Times New Roman"/>
          <w:bCs/>
          <w:szCs w:val="26"/>
        </w:rPr>
        <w:t>Based upon our review of th</w:t>
      </w:r>
      <w:r w:rsidR="0022463C" w:rsidRPr="00F1714B">
        <w:rPr>
          <w:rFonts w:cs="Times New Roman"/>
          <w:bCs/>
          <w:szCs w:val="26"/>
        </w:rPr>
        <w:t xml:space="preserve">e submitted comments and the Verizon </w:t>
      </w:r>
      <w:r w:rsidR="008E253A" w:rsidRPr="00F1714B">
        <w:rPr>
          <w:rFonts w:cs="Times New Roman"/>
          <w:bCs/>
          <w:szCs w:val="26"/>
        </w:rPr>
        <w:t xml:space="preserve">proprietary </w:t>
      </w:r>
      <w:r w:rsidR="0022463C" w:rsidRPr="00F1714B">
        <w:rPr>
          <w:rFonts w:cs="Times New Roman"/>
          <w:bCs/>
          <w:szCs w:val="26"/>
        </w:rPr>
        <w:t xml:space="preserve">market </w:t>
      </w:r>
      <w:r w:rsidR="00AF6975" w:rsidRPr="00F1714B">
        <w:rPr>
          <w:rFonts w:cs="Times New Roman"/>
          <w:bCs/>
          <w:szCs w:val="26"/>
        </w:rPr>
        <w:t>data</w:t>
      </w:r>
      <w:r w:rsidR="008E253A" w:rsidRPr="00F1714B">
        <w:rPr>
          <w:rFonts w:cs="Times New Roman"/>
          <w:bCs/>
          <w:szCs w:val="26"/>
        </w:rPr>
        <w:t>,</w:t>
      </w:r>
      <w:r w:rsidR="00AF6975" w:rsidRPr="00F1714B">
        <w:rPr>
          <w:rFonts w:cs="Times New Roman"/>
          <w:bCs/>
          <w:szCs w:val="26"/>
        </w:rPr>
        <w:t xml:space="preserve"> </w:t>
      </w:r>
      <w:r w:rsidR="00CA65AD" w:rsidRPr="00F1714B">
        <w:rPr>
          <w:rFonts w:cs="Times New Roman"/>
          <w:bCs/>
          <w:szCs w:val="26"/>
        </w:rPr>
        <w:t xml:space="preserve">the </w:t>
      </w:r>
      <w:r w:rsidR="0095058F" w:rsidRPr="00F1714B">
        <w:rPr>
          <w:rFonts w:cs="Times New Roman"/>
          <w:bCs/>
          <w:szCs w:val="26"/>
        </w:rPr>
        <w:lastRenderedPageBreak/>
        <w:t xml:space="preserve">Commission </w:t>
      </w:r>
      <w:r w:rsidR="00F62CA0" w:rsidRPr="00F1714B">
        <w:rPr>
          <w:rFonts w:cs="Times New Roman"/>
          <w:bCs/>
          <w:szCs w:val="26"/>
        </w:rPr>
        <w:t>reach</w:t>
      </w:r>
      <w:r w:rsidR="000A2C71" w:rsidRPr="00F1714B">
        <w:rPr>
          <w:rFonts w:cs="Times New Roman"/>
          <w:bCs/>
          <w:szCs w:val="26"/>
        </w:rPr>
        <w:t xml:space="preserve">ed the </w:t>
      </w:r>
      <w:r w:rsidR="00F62CA0" w:rsidRPr="00F1714B">
        <w:rPr>
          <w:rFonts w:cs="Times New Roman"/>
          <w:bCs/>
          <w:szCs w:val="26"/>
        </w:rPr>
        <w:t>determination t</w:t>
      </w:r>
      <w:r w:rsidR="000A2C71" w:rsidRPr="00F1714B">
        <w:rPr>
          <w:rFonts w:cs="Times New Roman"/>
          <w:bCs/>
          <w:szCs w:val="26"/>
        </w:rPr>
        <w:t xml:space="preserve">hat it could not </w:t>
      </w:r>
      <w:r w:rsidR="001B3461" w:rsidRPr="00F1714B">
        <w:rPr>
          <w:rFonts w:cs="Times New Roman"/>
          <w:bCs/>
          <w:szCs w:val="26"/>
        </w:rPr>
        <w:t>eliminat</w:t>
      </w:r>
      <w:r w:rsidR="00F62CA0" w:rsidRPr="00F1714B">
        <w:rPr>
          <w:rFonts w:cs="Times New Roman"/>
          <w:bCs/>
          <w:szCs w:val="26"/>
        </w:rPr>
        <w:t xml:space="preserve">e all </w:t>
      </w:r>
      <w:r w:rsidR="001B3461" w:rsidRPr="00F1714B">
        <w:rPr>
          <w:rFonts w:cs="Times New Roman"/>
          <w:bCs/>
          <w:szCs w:val="26"/>
        </w:rPr>
        <w:t xml:space="preserve">regulations </w:t>
      </w:r>
      <w:r w:rsidR="00F62CA0" w:rsidRPr="00F1714B">
        <w:rPr>
          <w:rFonts w:cs="Times New Roman"/>
          <w:bCs/>
          <w:szCs w:val="26"/>
        </w:rPr>
        <w:t>in Chapter 63</w:t>
      </w:r>
      <w:r w:rsidR="00565569" w:rsidRPr="00F1714B">
        <w:rPr>
          <w:rFonts w:cs="Times New Roman"/>
          <w:bCs/>
          <w:szCs w:val="26"/>
        </w:rPr>
        <w:t xml:space="preserve"> on  </w:t>
      </w:r>
      <w:r w:rsidR="00FD4240" w:rsidRPr="00F1714B">
        <w:rPr>
          <w:rFonts w:cs="Times New Roman"/>
          <w:bCs/>
          <w:szCs w:val="26"/>
        </w:rPr>
        <w:t xml:space="preserve">the </w:t>
      </w:r>
      <w:r w:rsidR="00565569" w:rsidRPr="00F1714B">
        <w:rPr>
          <w:rFonts w:cs="Times New Roman"/>
          <w:bCs/>
          <w:szCs w:val="26"/>
        </w:rPr>
        <w:t>wholesale basis</w:t>
      </w:r>
      <w:r w:rsidR="003E1DC3" w:rsidRPr="00F1714B">
        <w:rPr>
          <w:rFonts w:cs="Times New Roman"/>
          <w:bCs/>
          <w:szCs w:val="26"/>
        </w:rPr>
        <w:t xml:space="preserve"> </w:t>
      </w:r>
      <w:r w:rsidR="001C095C" w:rsidRPr="00F1714B">
        <w:rPr>
          <w:rFonts w:cs="Times New Roman"/>
          <w:bCs/>
          <w:szCs w:val="26"/>
        </w:rPr>
        <w:t xml:space="preserve">that </w:t>
      </w:r>
      <w:r w:rsidR="003E1DC3" w:rsidRPr="00F1714B">
        <w:rPr>
          <w:rFonts w:cs="Times New Roman"/>
          <w:bCs/>
          <w:szCs w:val="26"/>
        </w:rPr>
        <w:t>Verizon sought</w:t>
      </w:r>
      <w:r w:rsidR="003C21BB" w:rsidRPr="00F1714B">
        <w:rPr>
          <w:rFonts w:cs="Times New Roman"/>
          <w:bCs/>
          <w:szCs w:val="26"/>
        </w:rPr>
        <w:t>.</w:t>
      </w:r>
      <w:r w:rsidR="00EF5418" w:rsidRPr="00F1714B">
        <w:rPr>
          <w:rFonts w:cs="Times New Roman"/>
          <w:bCs/>
          <w:szCs w:val="26"/>
        </w:rPr>
        <w:t xml:space="preserve">  </w:t>
      </w:r>
      <w:r w:rsidR="003B3BE8" w:rsidRPr="00F1714B">
        <w:rPr>
          <w:rFonts w:cs="Times New Roman"/>
          <w:bCs/>
          <w:szCs w:val="26"/>
        </w:rPr>
        <w:t xml:space="preserve">Instead, </w:t>
      </w:r>
      <w:r w:rsidR="008A4C3F" w:rsidRPr="00F1714B">
        <w:rPr>
          <w:rFonts w:cs="Times New Roman"/>
          <w:bCs/>
          <w:szCs w:val="26"/>
        </w:rPr>
        <w:t xml:space="preserve">in the Annex to the </w:t>
      </w:r>
      <w:r w:rsidR="008A4C3F" w:rsidRPr="00F1714B">
        <w:rPr>
          <w:rFonts w:cs="Times New Roman"/>
          <w:bCs/>
          <w:i/>
          <w:iCs/>
          <w:szCs w:val="26"/>
        </w:rPr>
        <w:t>NPRM Order</w:t>
      </w:r>
      <w:r w:rsidR="008A4C3F" w:rsidRPr="00F1714B">
        <w:rPr>
          <w:rFonts w:cs="Times New Roman"/>
          <w:bCs/>
          <w:szCs w:val="26"/>
        </w:rPr>
        <w:t xml:space="preserve">, </w:t>
      </w:r>
      <w:r w:rsidR="001B3461" w:rsidRPr="00F1714B">
        <w:rPr>
          <w:rFonts w:cs="Times New Roman"/>
          <w:bCs/>
          <w:szCs w:val="26"/>
        </w:rPr>
        <w:t xml:space="preserve">the Commission </w:t>
      </w:r>
      <w:r w:rsidR="00565569" w:rsidRPr="00F1714B">
        <w:rPr>
          <w:rFonts w:cs="Times New Roman"/>
          <w:bCs/>
          <w:szCs w:val="26"/>
        </w:rPr>
        <w:t>followed a granular approach, making</w:t>
      </w:r>
      <w:r w:rsidR="008A4C3F" w:rsidRPr="00F1714B">
        <w:rPr>
          <w:rFonts w:cs="Times New Roman"/>
          <w:bCs/>
          <w:szCs w:val="26"/>
        </w:rPr>
        <w:t xml:space="preserve"> specific </w:t>
      </w:r>
      <w:r w:rsidR="001B3461" w:rsidRPr="00F1714B">
        <w:rPr>
          <w:rFonts w:cs="Times New Roman"/>
          <w:bCs/>
          <w:szCs w:val="26"/>
        </w:rPr>
        <w:t>propos</w:t>
      </w:r>
      <w:r w:rsidR="008A4C3F" w:rsidRPr="00F1714B">
        <w:rPr>
          <w:rFonts w:cs="Times New Roman"/>
          <w:bCs/>
          <w:szCs w:val="26"/>
        </w:rPr>
        <w:t xml:space="preserve">als to </w:t>
      </w:r>
      <w:r w:rsidR="005A7453" w:rsidRPr="00F1714B">
        <w:rPr>
          <w:rFonts w:cs="Times New Roman"/>
          <w:bCs/>
          <w:szCs w:val="26"/>
        </w:rPr>
        <w:t xml:space="preserve">retain those </w:t>
      </w:r>
      <w:r w:rsidR="008A4C3F" w:rsidRPr="00F1714B">
        <w:rPr>
          <w:rFonts w:cs="Times New Roman"/>
          <w:bCs/>
          <w:szCs w:val="26"/>
        </w:rPr>
        <w:t xml:space="preserve">Chapter 63 </w:t>
      </w:r>
      <w:r w:rsidR="00D5200C" w:rsidRPr="00F1714B">
        <w:rPr>
          <w:rFonts w:cs="Times New Roman"/>
          <w:bCs/>
          <w:szCs w:val="26"/>
        </w:rPr>
        <w:t>regulations</w:t>
      </w:r>
      <w:r w:rsidR="005A7453" w:rsidRPr="00F1714B">
        <w:rPr>
          <w:rFonts w:cs="Times New Roman"/>
          <w:bCs/>
          <w:szCs w:val="26"/>
        </w:rPr>
        <w:t xml:space="preserve"> that continue to serve </w:t>
      </w:r>
      <w:r w:rsidR="00073789" w:rsidRPr="00F1714B">
        <w:rPr>
          <w:rFonts w:cs="Times New Roman"/>
          <w:bCs/>
          <w:szCs w:val="26"/>
        </w:rPr>
        <w:t xml:space="preserve">a </w:t>
      </w:r>
      <w:r w:rsidR="005A7453" w:rsidRPr="00F1714B">
        <w:rPr>
          <w:rFonts w:cs="Times New Roman"/>
          <w:bCs/>
          <w:szCs w:val="26"/>
        </w:rPr>
        <w:t>purpose in today’s market</w:t>
      </w:r>
      <w:r w:rsidR="0038037B" w:rsidRPr="00F1714B">
        <w:rPr>
          <w:rFonts w:cs="Times New Roman"/>
          <w:bCs/>
          <w:szCs w:val="26"/>
        </w:rPr>
        <w:t>,</w:t>
      </w:r>
      <w:r w:rsidR="00D5200C" w:rsidRPr="00F1714B">
        <w:rPr>
          <w:rFonts w:cs="Times New Roman"/>
          <w:bCs/>
          <w:szCs w:val="26"/>
        </w:rPr>
        <w:t xml:space="preserve"> </w:t>
      </w:r>
      <w:r w:rsidR="00923528" w:rsidRPr="00F1714B">
        <w:rPr>
          <w:rFonts w:cs="Times New Roman"/>
          <w:bCs/>
          <w:szCs w:val="26"/>
        </w:rPr>
        <w:t xml:space="preserve">to eliminate those Chapter 63 regulations that are no longer necessary or appropriate in today’s market, </w:t>
      </w:r>
      <w:r w:rsidR="009853F8" w:rsidRPr="00F1714B">
        <w:rPr>
          <w:rFonts w:cs="Times New Roman"/>
          <w:bCs/>
          <w:szCs w:val="26"/>
        </w:rPr>
        <w:t xml:space="preserve">to </w:t>
      </w:r>
      <w:r w:rsidR="005A7453" w:rsidRPr="00F1714B">
        <w:rPr>
          <w:rFonts w:cs="Times New Roman"/>
          <w:bCs/>
          <w:szCs w:val="26"/>
        </w:rPr>
        <w:t>revise</w:t>
      </w:r>
      <w:r w:rsidR="00F61995" w:rsidRPr="00F1714B">
        <w:rPr>
          <w:rFonts w:cs="Times New Roman"/>
          <w:bCs/>
          <w:szCs w:val="26"/>
        </w:rPr>
        <w:t xml:space="preserve"> certain Chapter 63 regulations</w:t>
      </w:r>
      <w:r w:rsidR="00D32598" w:rsidRPr="00F1714B">
        <w:rPr>
          <w:rFonts w:cs="Times New Roman"/>
          <w:bCs/>
          <w:szCs w:val="26"/>
        </w:rPr>
        <w:t xml:space="preserve"> </w:t>
      </w:r>
      <w:r w:rsidR="00073789" w:rsidRPr="00F1714B">
        <w:rPr>
          <w:rFonts w:cs="Times New Roman"/>
          <w:bCs/>
          <w:szCs w:val="26"/>
        </w:rPr>
        <w:t>in need of modernization</w:t>
      </w:r>
      <w:r w:rsidR="00F61995" w:rsidRPr="00F1714B">
        <w:rPr>
          <w:rFonts w:cs="Times New Roman"/>
          <w:bCs/>
          <w:szCs w:val="26"/>
        </w:rPr>
        <w:t>,</w:t>
      </w:r>
      <w:r w:rsidR="009853F8" w:rsidRPr="00F1714B">
        <w:rPr>
          <w:rFonts w:cs="Times New Roman"/>
          <w:bCs/>
          <w:szCs w:val="26"/>
        </w:rPr>
        <w:t xml:space="preserve"> and </w:t>
      </w:r>
      <w:r w:rsidR="001B452D" w:rsidRPr="00F1714B">
        <w:rPr>
          <w:rFonts w:cs="Times New Roman"/>
          <w:bCs/>
          <w:szCs w:val="26"/>
        </w:rPr>
        <w:t xml:space="preserve">to </w:t>
      </w:r>
      <w:r w:rsidR="009853F8" w:rsidRPr="00F1714B">
        <w:rPr>
          <w:rFonts w:cs="Times New Roman"/>
          <w:bCs/>
          <w:szCs w:val="26"/>
        </w:rPr>
        <w:t>have</w:t>
      </w:r>
      <w:r w:rsidR="00557DF2" w:rsidRPr="00F1714B">
        <w:rPr>
          <w:rFonts w:cs="Times New Roman"/>
          <w:bCs/>
          <w:szCs w:val="26"/>
        </w:rPr>
        <w:t xml:space="preserve"> its </w:t>
      </w:r>
      <w:r w:rsidR="00F61995" w:rsidRPr="00F1714B">
        <w:rPr>
          <w:rFonts w:cs="Times New Roman"/>
          <w:bCs/>
          <w:szCs w:val="26"/>
        </w:rPr>
        <w:t>Chapter 63 regulations</w:t>
      </w:r>
      <w:r w:rsidR="009853F8" w:rsidRPr="00F1714B">
        <w:rPr>
          <w:rFonts w:cs="Times New Roman"/>
          <w:bCs/>
          <w:szCs w:val="26"/>
        </w:rPr>
        <w:t xml:space="preserve"> </w:t>
      </w:r>
      <w:r w:rsidR="00F61995" w:rsidRPr="00F1714B">
        <w:rPr>
          <w:rFonts w:cs="Times New Roman"/>
          <w:bCs/>
          <w:szCs w:val="26"/>
        </w:rPr>
        <w:t xml:space="preserve">apply </w:t>
      </w:r>
      <w:r w:rsidR="001B3461" w:rsidRPr="00F1714B">
        <w:rPr>
          <w:rFonts w:cs="Times New Roman"/>
          <w:bCs/>
          <w:szCs w:val="26"/>
        </w:rPr>
        <w:t xml:space="preserve">to </w:t>
      </w:r>
      <w:r w:rsidR="008F4CD1" w:rsidRPr="00F1714B">
        <w:rPr>
          <w:rFonts w:cs="Times New Roman"/>
          <w:bCs/>
          <w:szCs w:val="26"/>
        </w:rPr>
        <w:t xml:space="preserve">all </w:t>
      </w:r>
      <w:r w:rsidR="00D5200C" w:rsidRPr="00F1714B">
        <w:rPr>
          <w:rFonts w:cs="Times New Roman"/>
          <w:bCs/>
          <w:szCs w:val="26"/>
        </w:rPr>
        <w:t xml:space="preserve">geographic areas served by our jurisdictional </w:t>
      </w:r>
      <w:r w:rsidR="00220ADF" w:rsidRPr="00F1714B">
        <w:rPr>
          <w:rFonts w:cs="Times New Roman"/>
          <w:bCs/>
          <w:szCs w:val="26"/>
        </w:rPr>
        <w:t>LECs</w:t>
      </w:r>
      <w:r w:rsidR="001B3461" w:rsidRPr="00F1714B">
        <w:rPr>
          <w:rFonts w:cs="Times New Roman"/>
          <w:bCs/>
          <w:szCs w:val="26"/>
        </w:rPr>
        <w:t xml:space="preserve">.  </w:t>
      </w:r>
    </w:p>
    <w:p w14:paraId="0DDBEF69" w14:textId="77777777" w:rsidR="00DC10BF" w:rsidRPr="00F1714B" w:rsidRDefault="00DC10BF" w:rsidP="0056160E">
      <w:pPr>
        <w:tabs>
          <w:tab w:val="left" w:pos="720"/>
          <w:tab w:val="left" w:pos="1440"/>
        </w:tabs>
        <w:ind w:firstLine="720"/>
        <w:rPr>
          <w:rFonts w:cs="Times New Roman"/>
          <w:bCs/>
          <w:szCs w:val="26"/>
        </w:rPr>
      </w:pPr>
    </w:p>
    <w:p w14:paraId="2C2A8856" w14:textId="4D834177" w:rsidR="009214C3" w:rsidRPr="00F1714B" w:rsidRDefault="004A5FBB" w:rsidP="00F73A46">
      <w:pPr>
        <w:keepNext/>
        <w:keepLines/>
        <w:spacing w:line="240" w:lineRule="auto"/>
        <w:ind w:firstLine="720"/>
        <w:rPr>
          <w:rFonts w:cs="Times New Roman"/>
          <w:b/>
          <w:bCs/>
          <w:szCs w:val="26"/>
        </w:rPr>
      </w:pPr>
      <w:r w:rsidRPr="00F1714B">
        <w:rPr>
          <w:rFonts w:cs="Times New Roman"/>
          <w:b/>
          <w:bCs/>
          <w:szCs w:val="26"/>
        </w:rPr>
        <w:t>A</w:t>
      </w:r>
      <w:r w:rsidR="001B3461" w:rsidRPr="00F1714B">
        <w:rPr>
          <w:rFonts w:cs="Times New Roman"/>
          <w:b/>
          <w:bCs/>
          <w:szCs w:val="26"/>
        </w:rPr>
        <w:t>.</w:t>
      </w:r>
      <w:r w:rsidR="001B3461" w:rsidRPr="00F1714B">
        <w:rPr>
          <w:rFonts w:cs="Times New Roman"/>
          <w:b/>
          <w:bCs/>
          <w:szCs w:val="26"/>
        </w:rPr>
        <w:tab/>
      </w:r>
      <w:r w:rsidR="009214C3" w:rsidRPr="00F1714B">
        <w:rPr>
          <w:rFonts w:cs="Times New Roman"/>
          <w:b/>
          <w:bCs/>
          <w:szCs w:val="26"/>
        </w:rPr>
        <w:t>Subchapter A (General Provisions)</w:t>
      </w:r>
    </w:p>
    <w:p w14:paraId="25710811" w14:textId="71CE1544" w:rsidR="009214C3" w:rsidRPr="00F1714B" w:rsidRDefault="009214C3" w:rsidP="0056160E">
      <w:pPr>
        <w:keepNext/>
        <w:keepLines/>
        <w:spacing w:line="240" w:lineRule="auto"/>
        <w:ind w:left="720" w:firstLine="720"/>
        <w:rPr>
          <w:rFonts w:cs="Times New Roman"/>
          <w:b/>
          <w:bCs/>
          <w:szCs w:val="26"/>
        </w:rPr>
      </w:pPr>
      <w:r w:rsidRPr="00F1714B">
        <w:rPr>
          <w:rFonts w:cs="Times New Roman"/>
          <w:b/>
          <w:bCs/>
          <w:szCs w:val="26"/>
        </w:rPr>
        <w:t>52 Pa. Code § 63.1 (Definitions)</w:t>
      </w:r>
    </w:p>
    <w:p w14:paraId="700BDC05" w14:textId="77777777" w:rsidR="009214C3" w:rsidRPr="00F1714B" w:rsidRDefault="009214C3" w:rsidP="0056160E">
      <w:pPr>
        <w:keepNext/>
        <w:keepLines/>
        <w:spacing w:line="240" w:lineRule="auto"/>
        <w:ind w:firstLine="720"/>
        <w:rPr>
          <w:rFonts w:cs="Times New Roman"/>
          <w:b/>
          <w:bCs/>
          <w:szCs w:val="26"/>
        </w:rPr>
      </w:pPr>
    </w:p>
    <w:p w14:paraId="3F193929" w14:textId="0CA0496F" w:rsidR="007E2CB1" w:rsidRPr="00F1714B" w:rsidRDefault="00294716" w:rsidP="0056160E">
      <w:pPr>
        <w:keepNext/>
        <w:keepLines/>
        <w:ind w:firstLine="720"/>
        <w:rPr>
          <w:rFonts w:cs="Times New Roman"/>
          <w:szCs w:val="26"/>
        </w:rPr>
      </w:pPr>
      <w:r w:rsidRPr="00F1714B">
        <w:rPr>
          <w:rFonts w:cs="Times New Roman"/>
          <w:szCs w:val="26"/>
        </w:rPr>
        <w:t>T</w:t>
      </w:r>
      <w:r w:rsidR="001B3461" w:rsidRPr="00F1714B">
        <w:rPr>
          <w:rFonts w:cs="Times New Roman"/>
          <w:szCs w:val="26"/>
        </w:rPr>
        <w:t>he Commission propose</w:t>
      </w:r>
      <w:r w:rsidR="00B554CF" w:rsidRPr="00F1714B">
        <w:rPr>
          <w:rFonts w:cs="Times New Roman"/>
          <w:szCs w:val="26"/>
        </w:rPr>
        <w:t>d</w:t>
      </w:r>
      <w:r w:rsidR="001B3461" w:rsidRPr="00F1714B">
        <w:rPr>
          <w:rFonts w:cs="Times New Roman"/>
          <w:szCs w:val="26"/>
        </w:rPr>
        <w:t xml:space="preserve"> to amend this regulation consistent with </w:t>
      </w:r>
      <w:r w:rsidR="008264CA" w:rsidRPr="00F1714B">
        <w:rPr>
          <w:rFonts w:cs="Times New Roman"/>
          <w:szCs w:val="26"/>
        </w:rPr>
        <w:t xml:space="preserve">its </w:t>
      </w:r>
      <w:r w:rsidRPr="00F1714B">
        <w:rPr>
          <w:rFonts w:cs="Times New Roman"/>
          <w:szCs w:val="26"/>
        </w:rPr>
        <w:t xml:space="preserve">determinations </w:t>
      </w:r>
      <w:r w:rsidR="008264CA" w:rsidRPr="00F1714B">
        <w:rPr>
          <w:rFonts w:cs="Times New Roman"/>
          <w:szCs w:val="26"/>
        </w:rPr>
        <w:t xml:space="preserve">to eliminate </w:t>
      </w:r>
      <w:r w:rsidR="00405178" w:rsidRPr="00F1714B">
        <w:rPr>
          <w:rFonts w:cs="Times New Roman"/>
          <w:szCs w:val="26"/>
        </w:rPr>
        <w:t xml:space="preserve">all </w:t>
      </w:r>
      <w:r w:rsidR="008264CA" w:rsidRPr="00F1714B">
        <w:rPr>
          <w:rFonts w:cs="Times New Roman"/>
          <w:szCs w:val="26"/>
        </w:rPr>
        <w:t>unnecessary and obsolete regulation</w:t>
      </w:r>
      <w:r w:rsidR="00405178" w:rsidRPr="00F1714B">
        <w:rPr>
          <w:rFonts w:cs="Times New Roman"/>
          <w:szCs w:val="26"/>
        </w:rPr>
        <w:t>s set forth in Chapter 63</w:t>
      </w:r>
      <w:r w:rsidR="001B3461" w:rsidRPr="00F1714B">
        <w:rPr>
          <w:rFonts w:cs="Times New Roman"/>
          <w:szCs w:val="26"/>
        </w:rPr>
        <w:t xml:space="preserve">.  </w:t>
      </w:r>
      <w:r w:rsidR="00405178" w:rsidRPr="00F1714B">
        <w:rPr>
          <w:rFonts w:cs="Times New Roman"/>
          <w:iCs/>
          <w:szCs w:val="26"/>
        </w:rPr>
        <w:t xml:space="preserve">For example, </w:t>
      </w:r>
      <w:r w:rsidR="001B3461" w:rsidRPr="00F1714B">
        <w:rPr>
          <w:rFonts w:cs="Times New Roman"/>
          <w:szCs w:val="26"/>
        </w:rPr>
        <w:t xml:space="preserve">since </w:t>
      </w:r>
      <w:r w:rsidR="00405178" w:rsidRPr="00F1714B">
        <w:rPr>
          <w:rFonts w:cs="Times New Roman"/>
          <w:szCs w:val="26"/>
        </w:rPr>
        <w:t xml:space="preserve">the Commission proposed </w:t>
      </w:r>
      <w:r w:rsidR="001B3461" w:rsidRPr="00F1714B">
        <w:rPr>
          <w:rFonts w:cs="Times New Roman"/>
          <w:szCs w:val="26"/>
        </w:rPr>
        <w:t xml:space="preserve">to rescind Section 63.60, which relates to automatic dialing-announcing devices, we </w:t>
      </w:r>
      <w:r w:rsidR="0021368C" w:rsidRPr="00F1714B">
        <w:rPr>
          <w:rFonts w:cs="Times New Roman"/>
          <w:szCs w:val="26"/>
        </w:rPr>
        <w:t xml:space="preserve">had </w:t>
      </w:r>
      <w:r w:rsidR="00C864B4" w:rsidRPr="00F1714B">
        <w:rPr>
          <w:rFonts w:cs="Times New Roman"/>
          <w:szCs w:val="26"/>
        </w:rPr>
        <w:t xml:space="preserve">also </w:t>
      </w:r>
      <w:r w:rsidR="001B3461" w:rsidRPr="00F1714B">
        <w:rPr>
          <w:rFonts w:cs="Times New Roman"/>
          <w:szCs w:val="26"/>
        </w:rPr>
        <w:t>propose</w:t>
      </w:r>
      <w:r w:rsidR="00C864B4" w:rsidRPr="00F1714B">
        <w:rPr>
          <w:rFonts w:cs="Times New Roman"/>
          <w:szCs w:val="26"/>
        </w:rPr>
        <w:t xml:space="preserve">d </w:t>
      </w:r>
      <w:r w:rsidR="001B3461" w:rsidRPr="00F1714B">
        <w:rPr>
          <w:rFonts w:cs="Times New Roman"/>
          <w:szCs w:val="26"/>
        </w:rPr>
        <w:t>to remove the definition of automatic dialing-announcing device from Section</w:t>
      </w:r>
      <w:r w:rsidR="0056160E">
        <w:rPr>
          <w:rFonts w:cs="Times New Roman"/>
          <w:szCs w:val="26"/>
        </w:rPr>
        <w:t xml:space="preserve"> </w:t>
      </w:r>
      <w:r w:rsidR="001B3461" w:rsidRPr="00F1714B">
        <w:rPr>
          <w:rFonts w:cs="Times New Roman"/>
          <w:szCs w:val="26"/>
        </w:rPr>
        <w:t xml:space="preserve">63.1.  </w:t>
      </w:r>
    </w:p>
    <w:p w14:paraId="60EF28C5" w14:textId="77777777" w:rsidR="007A600E" w:rsidRPr="00F1714B" w:rsidRDefault="007A600E" w:rsidP="0056160E">
      <w:pPr>
        <w:ind w:firstLine="720"/>
        <w:rPr>
          <w:rFonts w:cs="Times New Roman"/>
          <w:szCs w:val="26"/>
        </w:rPr>
      </w:pPr>
    </w:p>
    <w:p w14:paraId="0549E352" w14:textId="3E2700EA" w:rsidR="004A5FBB" w:rsidRPr="00F1714B" w:rsidRDefault="005E2A95" w:rsidP="0056160E">
      <w:pPr>
        <w:ind w:left="1440" w:firstLine="720"/>
        <w:rPr>
          <w:rFonts w:cs="Times New Roman"/>
          <w:b/>
          <w:bCs/>
          <w:szCs w:val="26"/>
        </w:rPr>
      </w:pPr>
      <w:r w:rsidRPr="00F1714B">
        <w:rPr>
          <w:rFonts w:cs="Times New Roman"/>
          <w:b/>
          <w:bCs/>
          <w:szCs w:val="26"/>
        </w:rPr>
        <w:t>a</w:t>
      </w:r>
      <w:r w:rsidR="004D2B4D" w:rsidRPr="00F1714B">
        <w:rPr>
          <w:rFonts w:cs="Times New Roman"/>
          <w:b/>
          <w:bCs/>
          <w:szCs w:val="26"/>
        </w:rPr>
        <w:t>.</w:t>
      </w:r>
      <w:r w:rsidR="004D2B4D" w:rsidRPr="00F1714B">
        <w:rPr>
          <w:rFonts w:cs="Times New Roman"/>
          <w:b/>
          <w:bCs/>
          <w:szCs w:val="26"/>
        </w:rPr>
        <w:tab/>
        <w:t>Comments</w:t>
      </w:r>
      <w:r w:rsidR="0037691B" w:rsidRPr="00F1714B">
        <w:rPr>
          <w:rFonts w:cs="Times New Roman"/>
          <w:b/>
          <w:bCs/>
          <w:szCs w:val="26"/>
        </w:rPr>
        <w:t xml:space="preserve"> and Replies</w:t>
      </w:r>
    </w:p>
    <w:p w14:paraId="696E1BB0" w14:textId="38D7470A" w:rsidR="00EF4203" w:rsidRPr="00F1714B" w:rsidRDefault="00EF4203" w:rsidP="0056160E">
      <w:pPr>
        <w:ind w:firstLine="720"/>
        <w:rPr>
          <w:rFonts w:cs="Times New Roman"/>
          <w:szCs w:val="26"/>
        </w:rPr>
      </w:pPr>
      <w:bookmarkStart w:id="22" w:name="_Hlk81339124"/>
      <w:r w:rsidRPr="00F1714B">
        <w:rPr>
          <w:rFonts w:cs="Times New Roman"/>
          <w:szCs w:val="26"/>
        </w:rPr>
        <w:t>With respect to the definitions of “Competitive wire centers” and “</w:t>
      </w:r>
      <w:r w:rsidR="009853F8" w:rsidRPr="00F1714B">
        <w:rPr>
          <w:rFonts w:cs="Times New Roman"/>
          <w:szCs w:val="26"/>
        </w:rPr>
        <w:t>Noncompetitive</w:t>
      </w:r>
      <w:r w:rsidRPr="00F1714B">
        <w:rPr>
          <w:rFonts w:cs="Times New Roman"/>
          <w:szCs w:val="26"/>
        </w:rPr>
        <w:t xml:space="preserve"> wire centers,” IRRC recommends that the Commission “should make certain that the definitions for these terms are consistent with the definitions in Section 64.2.” IRRC Comments at 5.</w:t>
      </w:r>
    </w:p>
    <w:p w14:paraId="5566AF0C" w14:textId="77777777" w:rsidR="009853F8" w:rsidRPr="00F1714B" w:rsidRDefault="009853F8" w:rsidP="0056160E">
      <w:pPr>
        <w:ind w:firstLine="720"/>
        <w:rPr>
          <w:rFonts w:cs="Times New Roman"/>
          <w:szCs w:val="26"/>
        </w:rPr>
      </w:pPr>
    </w:p>
    <w:p w14:paraId="643D72F2" w14:textId="35CD0B72" w:rsidR="004B0654" w:rsidRPr="00F1714B" w:rsidRDefault="007A600E" w:rsidP="00E55426">
      <w:pPr>
        <w:ind w:firstLine="720"/>
        <w:rPr>
          <w:rFonts w:cs="Times New Roman"/>
          <w:szCs w:val="26"/>
        </w:rPr>
      </w:pPr>
      <w:r w:rsidRPr="00F1714B">
        <w:rPr>
          <w:rFonts w:cs="Times New Roman"/>
          <w:szCs w:val="26"/>
        </w:rPr>
        <w:t xml:space="preserve">The </w:t>
      </w:r>
      <w:r w:rsidR="0021368C" w:rsidRPr="00F1714B">
        <w:rPr>
          <w:rFonts w:cs="Times New Roman"/>
          <w:szCs w:val="26"/>
        </w:rPr>
        <w:t xml:space="preserve">OCA proposes edits to ensure “that the respective definitions are worded consistently.” </w:t>
      </w:r>
      <w:r w:rsidR="009A4021" w:rsidRPr="00F1714B">
        <w:rPr>
          <w:rFonts w:cs="Times New Roman"/>
          <w:szCs w:val="26"/>
        </w:rPr>
        <w:t xml:space="preserve"> </w:t>
      </w:r>
      <w:r w:rsidR="0021368C" w:rsidRPr="00F1714B">
        <w:rPr>
          <w:rFonts w:cs="Times New Roman"/>
          <w:szCs w:val="26"/>
        </w:rPr>
        <w:t xml:space="preserve">OCA Comments at 11. </w:t>
      </w:r>
      <w:r w:rsidR="009A4021" w:rsidRPr="00F1714B">
        <w:rPr>
          <w:rFonts w:cs="Times New Roman"/>
          <w:szCs w:val="26"/>
        </w:rPr>
        <w:t xml:space="preserve"> </w:t>
      </w:r>
      <w:r w:rsidR="00BC1E3E" w:rsidRPr="00F1714B">
        <w:rPr>
          <w:rFonts w:cs="Times New Roman"/>
          <w:szCs w:val="26"/>
        </w:rPr>
        <w:t xml:space="preserve">The </w:t>
      </w:r>
      <w:r w:rsidR="0021368C" w:rsidRPr="00F1714B">
        <w:rPr>
          <w:rFonts w:cs="Times New Roman"/>
          <w:szCs w:val="26"/>
        </w:rPr>
        <w:t>OCA proposes the addition of definitions of “Competitive wire center” and “Noncompetitive wire center</w:t>
      </w:r>
      <w:r w:rsidR="009853F8" w:rsidRPr="00F1714B">
        <w:rPr>
          <w:rFonts w:cs="Times New Roman"/>
          <w:szCs w:val="26"/>
        </w:rPr>
        <w:t>,</w:t>
      </w:r>
      <w:r w:rsidR="0021368C" w:rsidRPr="00F1714B">
        <w:rPr>
          <w:rFonts w:cs="Times New Roman"/>
          <w:szCs w:val="26"/>
        </w:rPr>
        <w:t xml:space="preserve">” consistent with proposed definitions of the same terms in subsection 64.2. </w:t>
      </w:r>
      <w:r w:rsidR="009A4021" w:rsidRPr="00F1714B">
        <w:rPr>
          <w:rFonts w:cs="Times New Roman"/>
          <w:szCs w:val="26"/>
        </w:rPr>
        <w:t xml:space="preserve"> </w:t>
      </w:r>
      <w:r w:rsidR="0021368C" w:rsidRPr="00F1714B">
        <w:rPr>
          <w:rFonts w:cs="Times New Roman"/>
          <w:szCs w:val="26"/>
        </w:rPr>
        <w:t>OCA Comments at 11.</w:t>
      </w:r>
      <w:r w:rsidR="004B0654" w:rsidRPr="00F1714B">
        <w:rPr>
          <w:rFonts w:cs="Times New Roman"/>
          <w:szCs w:val="26"/>
        </w:rPr>
        <w:t xml:space="preserve">  The OCA also supports the Commission’s proposal that any Chapter 63 regulation that is retained apply in all geographic areas, whether competitive or noncompetitive.  OCA Comments at 10.  </w:t>
      </w:r>
    </w:p>
    <w:p w14:paraId="7B4505C1" w14:textId="3B3C5D66" w:rsidR="004B0654" w:rsidRPr="00F1714B" w:rsidRDefault="002A3317" w:rsidP="0056160E">
      <w:pPr>
        <w:ind w:firstLine="720"/>
        <w:rPr>
          <w:rFonts w:cs="Times New Roman"/>
          <w:szCs w:val="26"/>
        </w:rPr>
      </w:pPr>
      <w:r w:rsidRPr="00F1714B">
        <w:rPr>
          <w:rFonts w:cs="Times New Roman"/>
          <w:szCs w:val="26"/>
        </w:rPr>
        <w:lastRenderedPageBreak/>
        <w:t xml:space="preserve">Verizon proposes </w:t>
      </w:r>
      <w:r w:rsidR="008E029B" w:rsidRPr="00F1714B">
        <w:rPr>
          <w:rFonts w:cs="Times New Roman"/>
          <w:szCs w:val="26"/>
        </w:rPr>
        <w:t xml:space="preserve">several </w:t>
      </w:r>
      <w:r w:rsidRPr="00F1714B">
        <w:rPr>
          <w:rFonts w:cs="Times New Roman"/>
          <w:szCs w:val="26"/>
        </w:rPr>
        <w:t xml:space="preserve">definitional terms for Section 63.1 in its Attachment </w:t>
      </w:r>
      <w:r w:rsidR="008E029B" w:rsidRPr="00F1714B">
        <w:rPr>
          <w:rFonts w:cs="Times New Roman"/>
          <w:szCs w:val="26"/>
        </w:rPr>
        <w:t xml:space="preserve">to its Comments.  </w:t>
      </w:r>
      <w:r w:rsidR="00852860" w:rsidRPr="00F1714B">
        <w:rPr>
          <w:rFonts w:cs="Times New Roman"/>
          <w:szCs w:val="26"/>
        </w:rPr>
        <w:t>T</w:t>
      </w:r>
      <w:r w:rsidR="004B0654" w:rsidRPr="00F1714B">
        <w:rPr>
          <w:rFonts w:cs="Times New Roman"/>
          <w:szCs w:val="26"/>
        </w:rPr>
        <w:t>he OCA opposes Verizon’s proposals regarding subsection 63.1 because those proposals would limit carriers’ obligations and customer</w:t>
      </w:r>
      <w:r w:rsidR="001B4DC8" w:rsidRPr="00F1714B">
        <w:rPr>
          <w:rFonts w:cs="Times New Roman"/>
          <w:szCs w:val="26"/>
        </w:rPr>
        <w:t>s</w:t>
      </w:r>
      <w:r w:rsidR="004B0654" w:rsidRPr="00F1714B">
        <w:rPr>
          <w:rFonts w:cs="Times New Roman"/>
          <w:szCs w:val="26"/>
        </w:rPr>
        <w:t xml:space="preserve">’ remedies to noncompetitive basic local service on a stand-alone basis. </w:t>
      </w:r>
      <w:r w:rsidR="009A4021" w:rsidRPr="00F1714B">
        <w:rPr>
          <w:rFonts w:cs="Times New Roman"/>
          <w:szCs w:val="26"/>
        </w:rPr>
        <w:t xml:space="preserve"> </w:t>
      </w:r>
      <w:r w:rsidR="004B0654" w:rsidRPr="00F1714B">
        <w:rPr>
          <w:rFonts w:cs="Times New Roman"/>
          <w:szCs w:val="26"/>
        </w:rPr>
        <w:t>OCA Reply Comments at 9</w:t>
      </w:r>
      <w:r w:rsidR="009A4021" w:rsidRPr="00F1714B">
        <w:rPr>
          <w:rFonts w:cs="Times New Roman"/>
          <w:szCs w:val="26"/>
        </w:rPr>
        <w:t>­</w:t>
      </w:r>
      <w:r w:rsidR="004B0654" w:rsidRPr="00F1714B">
        <w:rPr>
          <w:rFonts w:cs="Times New Roman"/>
          <w:szCs w:val="26"/>
        </w:rPr>
        <w:t>10. OCA avers that “Verizon’s proposal to limit regulatory obligations and protections for consumers and the public based upon whether the subscribed service is noncompetitive basic stand-alone service and whether the date is before or after December 31, 2023</w:t>
      </w:r>
      <w:r w:rsidR="00967AFD" w:rsidRPr="00F1714B">
        <w:rPr>
          <w:rFonts w:cs="Times New Roman"/>
          <w:szCs w:val="26"/>
        </w:rPr>
        <w:t>,</w:t>
      </w:r>
      <w:r w:rsidR="004B0654" w:rsidRPr="00F1714B">
        <w:rPr>
          <w:rFonts w:cs="Times New Roman"/>
          <w:szCs w:val="26"/>
        </w:rPr>
        <w:t xml:space="preserve"> is unworkable and not in the public interest.”</w:t>
      </w:r>
      <w:r w:rsidR="009A4021" w:rsidRPr="00F1714B">
        <w:rPr>
          <w:rFonts w:cs="Times New Roman"/>
          <w:szCs w:val="26"/>
        </w:rPr>
        <w:t xml:space="preserve"> </w:t>
      </w:r>
      <w:r w:rsidR="004B0654" w:rsidRPr="00F1714B">
        <w:rPr>
          <w:rFonts w:cs="Times New Roman"/>
          <w:szCs w:val="26"/>
        </w:rPr>
        <w:t xml:space="preserve"> OCA Reply Comments at 10.</w:t>
      </w:r>
    </w:p>
    <w:p w14:paraId="53071EFA" w14:textId="77777777" w:rsidR="004B0654" w:rsidRPr="00F1714B" w:rsidRDefault="004B0654" w:rsidP="0056160E">
      <w:pPr>
        <w:ind w:firstLine="720"/>
        <w:rPr>
          <w:rFonts w:cs="Times New Roman"/>
          <w:szCs w:val="26"/>
        </w:rPr>
      </w:pPr>
    </w:p>
    <w:bookmarkEnd w:id="22"/>
    <w:p w14:paraId="692D1E11" w14:textId="55C69311" w:rsidR="004D2B4D" w:rsidRPr="00F1714B" w:rsidRDefault="005E2A95" w:rsidP="0056160E">
      <w:pPr>
        <w:ind w:left="1440" w:firstLine="720"/>
        <w:rPr>
          <w:rFonts w:cs="Times New Roman"/>
          <w:b/>
          <w:bCs/>
          <w:color w:val="000000"/>
          <w:szCs w:val="26"/>
        </w:rPr>
      </w:pPr>
      <w:r w:rsidRPr="00F1714B">
        <w:rPr>
          <w:rFonts w:cs="Times New Roman"/>
          <w:b/>
          <w:bCs/>
          <w:szCs w:val="26"/>
        </w:rPr>
        <w:t>b</w:t>
      </w:r>
      <w:r w:rsidR="004D2B4D" w:rsidRPr="00F1714B">
        <w:rPr>
          <w:rFonts w:cs="Times New Roman"/>
          <w:b/>
          <w:bCs/>
          <w:szCs w:val="26"/>
        </w:rPr>
        <w:t>.</w:t>
      </w:r>
      <w:r w:rsidR="004D2B4D" w:rsidRPr="00F1714B">
        <w:rPr>
          <w:rFonts w:cs="Times New Roman"/>
          <w:b/>
          <w:bCs/>
          <w:szCs w:val="26"/>
        </w:rPr>
        <w:tab/>
        <w:t>Discussion</w:t>
      </w:r>
      <w:r w:rsidR="007861C4" w:rsidRPr="00F1714B">
        <w:rPr>
          <w:rFonts w:cs="Times New Roman"/>
          <w:b/>
          <w:bCs/>
          <w:szCs w:val="26"/>
        </w:rPr>
        <w:t xml:space="preserve"> and </w:t>
      </w:r>
      <w:r w:rsidR="004D2B4D" w:rsidRPr="00F1714B">
        <w:rPr>
          <w:rFonts w:cs="Times New Roman"/>
          <w:b/>
          <w:bCs/>
          <w:szCs w:val="26"/>
        </w:rPr>
        <w:t>Resolution</w:t>
      </w:r>
    </w:p>
    <w:p w14:paraId="01579A8F" w14:textId="55F0045D" w:rsidR="00330F79" w:rsidRPr="00F1714B" w:rsidRDefault="00863389" w:rsidP="0056160E">
      <w:pPr>
        <w:ind w:firstLine="720"/>
        <w:rPr>
          <w:rFonts w:cs="Times New Roman"/>
          <w:bCs/>
          <w:szCs w:val="26"/>
        </w:rPr>
      </w:pPr>
      <w:r w:rsidRPr="00F1714B">
        <w:rPr>
          <w:rFonts w:cs="Times New Roman"/>
          <w:szCs w:val="26"/>
        </w:rPr>
        <w:t xml:space="preserve">In response to IRRC’s </w:t>
      </w:r>
      <w:r w:rsidR="00DA7874" w:rsidRPr="00F1714B">
        <w:rPr>
          <w:rFonts w:cs="Times New Roman"/>
          <w:szCs w:val="26"/>
        </w:rPr>
        <w:t xml:space="preserve">and OCA’s </w:t>
      </w:r>
      <w:r w:rsidRPr="00F1714B">
        <w:rPr>
          <w:rFonts w:cs="Times New Roman"/>
          <w:szCs w:val="26"/>
        </w:rPr>
        <w:t>comments</w:t>
      </w:r>
      <w:r w:rsidR="00EB08B6" w:rsidRPr="00F1714B">
        <w:rPr>
          <w:rFonts w:cs="Times New Roman"/>
          <w:szCs w:val="26"/>
        </w:rPr>
        <w:t xml:space="preserve"> concerning </w:t>
      </w:r>
      <w:r w:rsidR="00E44AF5" w:rsidRPr="00F1714B">
        <w:rPr>
          <w:rFonts w:cs="Times New Roman"/>
          <w:szCs w:val="26"/>
        </w:rPr>
        <w:t>the definitions of “Competitive wire centers” and “</w:t>
      </w:r>
      <w:r w:rsidR="009853F8" w:rsidRPr="00F1714B">
        <w:rPr>
          <w:rFonts w:cs="Times New Roman"/>
          <w:szCs w:val="26"/>
        </w:rPr>
        <w:t>Noncompetitive</w:t>
      </w:r>
      <w:r w:rsidR="00E44AF5" w:rsidRPr="00F1714B">
        <w:rPr>
          <w:rFonts w:cs="Times New Roman"/>
          <w:szCs w:val="26"/>
        </w:rPr>
        <w:t xml:space="preserve"> wire centers,” </w:t>
      </w:r>
      <w:r w:rsidR="00CB36C0" w:rsidRPr="00F1714B">
        <w:rPr>
          <w:rFonts w:cs="Times New Roman"/>
          <w:szCs w:val="26"/>
        </w:rPr>
        <w:t xml:space="preserve">the Commission has already determined that it would adopt the OCA’s proposed definitions of these terms and </w:t>
      </w:r>
      <w:r w:rsidR="009A4708" w:rsidRPr="00F1714B">
        <w:rPr>
          <w:rFonts w:cs="Times New Roman"/>
          <w:szCs w:val="26"/>
        </w:rPr>
        <w:t>incorporate them into Section 53.57 of our regulations</w:t>
      </w:r>
      <w:r w:rsidR="00CB36C0" w:rsidRPr="00F1714B">
        <w:rPr>
          <w:rFonts w:cs="Times New Roman"/>
          <w:szCs w:val="26"/>
        </w:rPr>
        <w:t xml:space="preserve">.  Accordingly, we </w:t>
      </w:r>
      <w:r w:rsidR="009A4708" w:rsidRPr="00F1714B">
        <w:rPr>
          <w:rFonts w:cs="Times New Roman"/>
          <w:szCs w:val="26"/>
        </w:rPr>
        <w:t xml:space="preserve">also </w:t>
      </w:r>
      <w:r w:rsidR="00CB36C0" w:rsidRPr="00F1714B">
        <w:rPr>
          <w:rFonts w:cs="Times New Roman"/>
          <w:szCs w:val="26"/>
        </w:rPr>
        <w:t>will</w:t>
      </w:r>
      <w:r w:rsidR="009A4708" w:rsidRPr="00F1714B">
        <w:rPr>
          <w:rFonts w:cs="Times New Roman"/>
          <w:szCs w:val="26"/>
        </w:rPr>
        <w:t xml:space="preserve"> </w:t>
      </w:r>
      <w:r w:rsidR="00CB36C0" w:rsidRPr="00F1714B">
        <w:rPr>
          <w:rFonts w:cs="Times New Roman"/>
          <w:szCs w:val="26"/>
        </w:rPr>
        <w:t>in</w:t>
      </w:r>
      <w:r w:rsidR="009A4708" w:rsidRPr="00F1714B">
        <w:rPr>
          <w:rFonts w:cs="Times New Roman"/>
          <w:szCs w:val="26"/>
        </w:rPr>
        <w:t xml:space="preserve">corporate those definitions </w:t>
      </w:r>
      <w:r w:rsidR="00CA1066" w:rsidRPr="00F1714B">
        <w:rPr>
          <w:rFonts w:cs="Times New Roman"/>
          <w:szCs w:val="26"/>
        </w:rPr>
        <w:t xml:space="preserve">and </w:t>
      </w:r>
      <w:r w:rsidR="00396133" w:rsidRPr="00F1714B">
        <w:rPr>
          <w:rFonts w:cs="Times New Roman"/>
          <w:szCs w:val="26"/>
        </w:rPr>
        <w:t xml:space="preserve">other of the OCA’s edits to proposed </w:t>
      </w:r>
      <w:r w:rsidR="00E44AF5" w:rsidRPr="00F1714B">
        <w:rPr>
          <w:rFonts w:cs="Times New Roman"/>
          <w:szCs w:val="26"/>
        </w:rPr>
        <w:t>Section 6</w:t>
      </w:r>
      <w:r w:rsidRPr="00F1714B">
        <w:rPr>
          <w:rFonts w:cs="Times New Roman"/>
          <w:szCs w:val="26"/>
        </w:rPr>
        <w:t>3.1</w:t>
      </w:r>
      <w:r w:rsidR="00072661" w:rsidRPr="00F1714B">
        <w:rPr>
          <w:rFonts w:cs="Times New Roman"/>
          <w:szCs w:val="26"/>
        </w:rPr>
        <w:t xml:space="preserve"> in the final-form regulation.</w:t>
      </w:r>
      <w:r w:rsidR="00E44AF5" w:rsidRPr="00F1714B">
        <w:rPr>
          <w:rFonts w:cs="Times New Roman"/>
          <w:szCs w:val="26"/>
        </w:rPr>
        <w:t xml:space="preserve"> </w:t>
      </w:r>
      <w:r w:rsidR="00967AFD" w:rsidRPr="00F1714B">
        <w:rPr>
          <w:rFonts w:cs="Times New Roman"/>
          <w:szCs w:val="26"/>
        </w:rPr>
        <w:t xml:space="preserve"> </w:t>
      </w:r>
      <w:r w:rsidR="00A20D04" w:rsidRPr="00F1714B">
        <w:rPr>
          <w:rFonts w:cs="Times New Roman"/>
          <w:bCs/>
          <w:szCs w:val="26"/>
        </w:rPr>
        <w:t xml:space="preserve">We reject any other changes to Section 63.1 proposed by </w:t>
      </w:r>
      <w:r w:rsidR="00A07A6D" w:rsidRPr="00F1714B">
        <w:rPr>
          <w:rFonts w:cs="Times New Roman"/>
          <w:bCs/>
          <w:szCs w:val="26"/>
        </w:rPr>
        <w:t>commentator</w:t>
      </w:r>
      <w:r w:rsidR="00A20D04" w:rsidRPr="00F1714B">
        <w:rPr>
          <w:rFonts w:cs="Times New Roman"/>
          <w:bCs/>
          <w:szCs w:val="26"/>
        </w:rPr>
        <w:t xml:space="preserve">s as unnecessary </w:t>
      </w:r>
      <w:r w:rsidR="00B115BF" w:rsidRPr="00F1714B">
        <w:rPr>
          <w:rFonts w:cs="Times New Roman"/>
          <w:bCs/>
          <w:szCs w:val="26"/>
        </w:rPr>
        <w:t>or contrary to the public interest or applicable law.</w:t>
      </w:r>
    </w:p>
    <w:p w14:paraId="2778B30F" w14:textId="77777777" w:rsidR="00330F79" w:rsidRPr="00F1714B" w:rsidRDefault="00330F79" w:rsidP="0056160E">
      <w:pPr>
        <w:tabs>
          <w:tab w:val="left" w:pos="720"/>
          <w:tab w:val="left" w:pos="1440"/>
        </w:tabs>
        <w:rPr>
          <w:rFonts w:cs="Times New Roman"/>
          <w:b/>
          <w:szCs w:val="26"/>
        </w:rPr>
      </w:pPr>
    </w:p>
    <w:p w14:paraId="53FB12B9" w14:textId="438A5F57" w:rsidR="00146910" w:rsidRPr="00F1714B" w:rsidRDefault="00EB08B6" w:rsidP="0056160E">
      <w:pPr>
        <w:keepNext/>
        <w:keepLines/>
        <w:tabs>
          <w:tab w:val="left" w:pos="720"/>
          <w:tab w:val="left" w:pos="1440"/>
        </w:tabs>
        <w:rPr>
          <w:rFonts w:cs="Times New Roman"/>
          <w:b/>
          <w:szCs w:val="26"/>
        </w:rPr>
      </w:pPr>
      <w:r w:rsidRPr="00F1714B">
        <w:rPr>
          <w:rFonts w:cs="Times New Roman"/>
          <w:b/>
          <w:szCs w:val="26"/>
        </w:rPr>
        <w:tab/>
      </w:r>
      <w:r w:rsidR="00203432" w:rsidRPr="00F1714B">
        <w:rPr>
          <w:rFonts w:cs="Times New Roman"/>
          <w:b/>
          <w:szCs w:val="26"/>
        </w:rPr>
        <w:t>B</w:t>
      </w:r>
      <w:r w:rsidR="001B3461" w:rsidRPr="00F1714B">
        <w:rPr>
          <w:rFonts w:cs="Times New Roman"/>
          <w:b/>
          <w:szCs w:val="26"/>
        </w:rPr>
        <w:t>.</w:t>
      </w:r>
      <w:r w:rsidR="001B3461" w:rsidRPr="00F1714B">
        <w:rPr>
          <w:rFonts w:cs="Times New Roman"/>
          <w:b/>
          <w:szCs w:val="26"/>
        </w:rPr>
        <w:tab/>
      </w:r>
      <w:r w:rsidR="00146910" w:rsidRPr="00F1714B">
        <w:rPr>
          <w:rFonts w:cs="Times New Roman"/>
          <w:b/>
          <w:szCs w:val="26"/>
        </w:rPr>
        <w:t>Subchapter B (Services and Facilities)</w:t>
      </w:r>
    </w:p>
    <w:p w14:paraId="1CECB316" w14:textId="77777777" w:rsidR="00076402" w:rsidRPr="00F1714B" w:rsidRDefault="005E2A95" w:rsidP="005D56FB">
      <w:pPr>
        <w:keepNext/>
        <w:keepLines/>
        <w:tabs>
          <w:tab w:val="left" w:pos="720"/>
          <w:tab w:val="left" w:pos="1440"/>
        </w:tabs>
        <w:spacing w:line="240" w:lineRule="auto"/>
        <w:ind w:left="2160" w:hanging="1440"/>
        <w:rPr>
          <w:rFonts w:cs="Times New Roman"/>
          <w:b/>
          <w:szCs w:val="26"/>
        </w:rPr>
      </w:pPr>
      <w:r w:rsidRPr="00F1714B">
        <w:rPr>
          <w:rFonts w:cs="Times New Roman"/>
          <w:b/>
          <w:szCs w:val="26"/>
        </w:rPr>
        <w:tab/>
      </w:r>
      <w:r w:rsidR="0064085D" w:rsidRPr="00F1714B">
        <w:rPr>
          <w:rFonts w:cs="Times New Roman"/>
          <w:b/>
          <w:szCs w:val="26"/>
        </w:rPr>
        <w:t>1.</w:t>
      </w:r>
      <w:r w:rsidR="0064085D" w:rsidRPr="00F1714B">
        <w:rPr>
          <w:rFonts w:cs="Times New Roman"/>
          <w:b/>
          <w:szCs w:val="26"/>
        </w:rPr>
        <w:tab/>
      </w:r>
      <w:r w:rsidR="001B3461" w:rsidRPr="00F1714B">
        <w:rPr>
          <w:rFonts w:cs="Times New Roman"/>
          <w:b/>
          <w:szCs w:val="26"/>
        </w:rPr>
        <w:t xml:space="preserve">52 Pa. Code § 63.12 </w:t>
      </w:r>
    </w:p>
    <w:p w14:paraId="2F5D5A8C" w14:textId="571D8958" w:rsidR="001B3461" w:rsidRPr="00F1714B" w:rsidRDefault="00076402" w:rsidP="000A7B5B">
      <w:pPr>
        <w:keepNext/>
        <w:keepLines/>
        <w:tabs>
          <w:tab w:val="left" w:pos="720"/>
          <w:tab w:val="left" w:pos="1440"/>
        </w:tabs>
        <w:spacing w:line="240" w:lineRule="auto"/>
        <w:ind w:left="2160" w:hanging="1440"/>
        <w:rPr>
          <w:rFonts w:cs="Times New Roman"/>
          <w:b/>
          <w:szCs w:val="26"/>
        </w:rPr>
      </w:pPr>
      <w:r w:rsidRPr="00F1714B">
        <w:rPr>
          <w:rFonts w:cs="Times New Roman"/>
          <w:b/>
          <w:szCs w:val="26"/>
        </w:rPr>
        <w:tab/>
      </w:r>
      <w:r w:rsidRPr="00F1714B">
        <w:rPr>
          <w:rFonts w:cs="Times New Roman"/>
          <w:b/>
          <w:szCs w:val="26"/>
        </w:rPr>
        <w:tab/>
      </w:r>
      <w:r w:rsidR="001B3461" w:rsidRPr="00F1714B">
        <w:rPr>
          <w:rFonts w:cs="Times New Roman"/>
          <w:b/>
          <w:szCs w:val="26"/>
        </w:rPr>
        <w:t>(Minimizing interference and inductive effects)</w:t>
      </w:r>
    </w:p>
    <w:p w14:paraId="6C74C762" w14:textId="77777777" w:rsidR="005E2A95" w:rsidRPr="00F1714B" w:rsidRDefault="005E2A95" w:rsidP="000A7B5B">
      <w:pPr>
        <w:keepNext/>
        <w:keepLines/>
        <w:tabs>
          <w:tab w:val="left" w:pos="720"/>
          <w:tab w:val="left" w:pos="1440"/>
        </w:tabs>
        <w:spacing w:line="240" w:lineRule="auto"/>
        <w:ind w:left="2160" w:hanging="1440"/>
        <w:rPr>
          <w:rFonts w:cs="Times New Roman"/>
          <w:b/>
          <w:szCs w:val="26"/>
        </w:rPr>
      </w:pPr>
    </w:p>
    <w:p w14:paraId="254F0515" w14:textId="16D36F14" w:rsidR="001239EA" w:rsidRPr="00F1714B" w:rsidRDefault="0042595E" w:rsidP="005D56FB">
      <w:pPr>
        <w:keepNext/>
        <w:keepLines/>
        <w:tabs>
          <w:tab w:val="left" w:pos="720"/>
          <w:tab w:val="left" w:pos="1440"/>
        </w:tabs>
        <w:rPr>
          <w:rFonts w:cs="Times New Roman"/>
          <w:color w:val="000000"/>
          <w:szCs w:val="26"/>
        </w:rPr>
      </w:pPr>
      <w:r w:rsidRPr="00F1714B">
        <w:rPr>
          <w:rFonts w:cs="Times New Roman"/>
          <w:color w:val="000000"/>
          <w:szCs w:val="26"/>
        </w:rPr>
        <w:tab/>
        <w:t>As currently written in our regulations, Section 63.12 speaks to interference that is traditionally recognized in relation to the provision of analog service</w:t>
      </w:r>
      <w:r w:rsidR="00E6723E" w:rsidRPr="00F1714B">
        <w:rPr>
          <w:rFonts w:cs="Times New Roman"/>
          <w:color w:val="000000"/>
          <w:szCs w:val="26"/>
        </w:rPr>
        <w:t xml:space="preserve"> transmitted over copper transmission facilities</w:t>
      </w:r>
      <w:r w:rsidRPr="00F1714B">
        <w:rPr>
          <w:rFonts w:cs="Times New Roman"/>
          <w:color w:val="000000"/>
          <w:szCs w:val="26"/>
        </w:rPr>
        <w:t xml:space="preserve">, which </w:t>
      </w:r>
      <w:r w:rsidR="00706E3E" w:rsidRPr="00F1714B">
        <w:rPr>
          <w:rFonts w:cs="Times New Roman"/>
          <w:color w:val="000000"/>
          <w:szCs w:val="26"/>
        </w:rPr>
        <w:t xml:space="preserve">is </w:t>
      </w:r>
      <w:r w:rsidR="002804DC" w:rsidRPr="00F1714B">
        <w:rPr>
          <w:rFonts w:cs="Times New Roman"/>
          <w:color w:val="000000"/>
          <w:szCs w:val="26"/>
        </w:rPr>
        <w:t xml:space="preserve">being </w:t>
      </w:r>
      <w:r w:rsidRPr="00F1714B">
        <w:rPr>
          <w:rFonts w:cs="Times New Roman"/>
          <w:color w:val="000000"/>
          <w:szCs w:val="26"/>
        </w:rPr>
        <w:t xml:space="preserve">replaced </w:t>
      </w:r>
      <w:r w:rsidR="002804DC" w:rsidRPr="00F1714B">
        <w:rPr>
          <w:rFonts w:cs="Times New Roman"/>
          <w:color w:val="000000"/>
          <w:szCs w:val="26"/>
        </w:rPr>
        <w:t xml:space="preserve">as </w:t>
      </w:r>
      <w:r w:rsidR="00E6723E" w:rsidRPr="00F1714B">
        <w:rPr>
          <w:rFonts w:cs="Times New Roman"/>
          <w:color w:val="000000"/>
          <w:szCs w:val="26"/>
        </w:rPr>
        <w:t xml:space="preserve">providers </w:t>
      </w:r>
      <w:r w:rsidR="002804DC" w:rsidRPr="00F1714B">
        <w:rPr>
          <w:rFonts w:cs="Times New Roman"/>
          <w:color w:val="000000"/>
          <w:szCs w:val="26"/>
        </w:rPr>
        <w:t xml:space="preserve">migrate their </w:t>
      </w:r>
      <w:r w:rsidR="001239EA" w:rsidRPr="00F1714B">
        <w:rPr>
          <w:rFonts w:cs="Times New Roman"/>
          <w:color w:val="000000"/>
          <w:szCs w:val="26"/>
        </w:rPr>
        <w:t xml:space="preserve">wireline networks to </w:t>
      </w:r>
      <w:r w:rsidR="00C5496C" w:rsidRPr="00F1714B">
        <w:rPr>
          <w:rFonts w:cs="Times New Roman"/>
          <w:color w:val="000000"/>
          <w:szCs w:val="26"/>
        </w:rPr>
        <w:t>fiber optic transmission facilities</w:t>
      </w:r>
      <w:r w:rsidR="00F46695" w:rsidRPr="00F1714B">
        <w:rPr>
          <w:rFonts w:cs="Times New Roman"/>
          <w:color w:val="000000"/>
          <w:szCs w:val="26"/>
        </w:rPr>
        <w:t xml:space="preserve"> and </w:t>
      </w:r>
      <w:r w:rsidR="006F71C3" w:rsidRPr="00F1714B">
        <w:rPr>
          <w:rFonts w:cs="Times New Roman"/>
          <w:color w:val="000000"/>
          <w:szCs w:val="26"/>
        </w:rPr>
        <w:t xml:space="preserve">as a result </w:t>
      </w:r>
      <w:r w:rsidR="00F46695" w:rsidRPr="00F1714B">
        <w:rPr>
          <w:rFonts w:cs="Times New Roman"/>
          <w:color w:val="000000"/>
          <w:szCs w:val="26"/>
        </w:rPr>
        <w:t>increasingly offer digital services</w:t>
      </w:r>
      <w:r w:rsidRPr="00F1714B">
        <w:rPr>
          <w:rFonts w:cs="Times New Roman"/>
          <w:color w:val="000000"/>
          <w:szCs w:val="26"/>
        </w:rPr>
        <w:t xml:space="preserve">.  </w:t>
      </w:r>
    </w:p>
    <w:p w14:paraId="2AF1EF5F" w14:textId="1FC5318F" w:rsidR="001239EA" w:rsidRPr="00F1714B" w:rsidRDefault="001239EA" w:rsidP="00E55426">
      <w:pPr>
        <w:tabs>
          <w:tab w:val="left" w:pos="720"/>
          <w:tab w:val="left" w:pos="1440"/>
        </w:tabs>
        <w:rPr>
          <w:rFonts w:cs="Times New Roman"/>
          <w:bCs/>
          <w:szCs w:val="26"/>
        </w:rPr>
      </w:pPr>
    </w:p>
    <w:p w14:paraId="0CDA64E1" w14:textId="28BF9ABB" w:rsidR="00816726" w:rsidRPr="00F1714B" w:rsidRDefault="001239EA" w:rsidP="000A7B5B">
      <w:pPr>
        <w:rPr>
          <w:rFonts w:cs="Times New Roman"/>
          <w:szCs w:val="26"/>
        </w:rPr>
      </w:pPr>
      <w:r w:rsidRPr="00F1714B">
        <w:rPr>
          <w:rFonts w:cs="Times New Roman"/>
          <w:bCs/>
          <w:szCs w:val="26"/>
        </w:rPr>
        <w:lastRenderedPageBreak/>
        <w:tab/>
      </w:r>
      <w:r w:rsidR="00446107" w:rsidRPr="00F1714B">
        <w:rPr>
          <w:rFonts w:cs="Times New Roman"/>
          <w:bCs/>
          <w:szCs w:val="26"/>
        </w:rPr>
        <w:t xml:space="preserve">In the </w:t>
      </w:r>
      <w:r w:rsidR="00446107" w:rsidRPr="00F1714B">
        <w:rPr>
          <w:rFonts w:cs="Times New Roman"/>
          <w:bCs/>
          <w:i/>
          <w:iCs/>
          <w:szCs w:val="26"/>
        </w:rPr>
        <w:t xml:space="preserve">Reclassification Order, </w:t>
      </w:r>
      <w:r w:rsidR="00446107" w:rsidRPr="00F1714B">
        <w:rPr>
          <w:rFonts w:cs="Times New Roman"/>
          <w:bCs/>
          <w:szCs w:val="26"/>
        </w:rPr>
        <w:t>the Commission had waived the applicability of this Section of Chapter 63 for Verizon</w:t>
      </w:r>
      <w:r w:rsidR="009A6BBA" w:rsidRPr="00F1714B">
        <w:rPr>
          <w:rFonts w:cs="Times New Roman"/>
          <w:bCs/>
          <w:szCs w:val="26"/>
        </w:rPr>
        <w:t xml:space="preserve"> </w:t>
      </w:r>
      <w:r w:rsidR="00446107" w:rsidRPr="00F1714B">
        <w:rPr>
          <w:rFonts w:cs="Times New Roman"/>
          <w:bCs/>
          <w:szCs w:val="26"/>
        </w:rPr>
        <w:t xml:space="preserve">in </w:t>
      </w:r>
      <w:r w:rsidR="00174CAC" w:rsidRPr="00F1714B">
        <w:rPr>
          <w:rFonts w:cs="Times New Roman"/>
          <w:bCs/>
          <w:szCs w:val="26"/>
        </w:rPr>
        <w:t xml:space="preserve">its </w:t>
      </w:r>
      <w:r w:rsidR="00446107" w:rsidRPr="00F1714B">
        <w:rPr>
          <w:rFonts w:cs="Times New Roman"/>
          <w:bCs/>
          <w:szCs w:val="26"/>
        </w:rPr>
        <w:t>153 competitive wire centers</w:t>
      </w:r>
      <w:r w:rsidR="009A6BBA" w:rsidRPr="00F1714B">
        <w:rPr>
          <w:rFonts w:cs="Times New Roman"/>
          <w:bCs/>
          <w:szCs w:val="26"/>
        </w:rPr>
        <w:t>.</w:t>
      </w:r>
      <w:r w:rsidR="009A6BBA" w:rsidRPr="00F1714B">
        <w:rPr>
          <w:rStyle w:val="FootnoteReference"/>
          <w:rFonts w:cs="Times New Roman"/>
          <w:bCs/>
          <w:szCs w:val="26"/>
        </w:rPr>
        <w:footnoteReference w:id="44"/>
      </w:r>
      <w:r w:rsidR="00446107" w:rsidRPr="00F1714B">
        <w:rPr>
          <w:rFonts w:cs="Times New Roman"/>
          <w:bCs/>
          <w:szCs w:val="26"/>
        </w:rPr>
        <w:t xml:space="preserve"> </w:t>
      </w:r>
      <w:r w:rsidR="00AB6819" w:rsidRPr="00F1714B">
        <w:rPr>
          <w:rFonts w:cs="Times New Roman"/>
          <w:bCs/>
          <w:szCs w:val="26"/>
        </w:rPr>
        <w:t xml:space="preserve"> </w:t>
      </w:r>
      <w:r w:rsidR="00CE4ED2" w:rsidRPr="00F1714B">
        <w:rPr>
          <w:rFonts w:cs="Times New Roman"/>
          <w:bCs/>
          <w:szCs w:val="26"/>
        </w:rPr>
        <w:t xml:space="preserve">In </w:t>
      </w:r>
      <w:r w:rsidR="002262E5" w:rsidRPr="00F1714B">
        <w:rPr>
          <w:rFonts w:cs="Times New Roman"/>
          <w:bCs/>
          <w:szCs w:val="26"/>
        </w:rPr>
        <w:t xml:space="preserve">light </w:t>
      </w:r>
      <w:r w:rsidR="00C57898" w:rsidRPr="00F1714B">
        <w:rPr>
          <w:rFonts w:cs="Times New Roman"/>
          <w:bCs/>
          <w:szCs w:val="26"/>
        </w:rPr>
        <w:t>of</w:t>
      </w:r>
      <w:r w:rsidR="00CE4ED2" w:rsidRPr="00F1714B">
        <w:rPr>
          <w:rFonts w:cs="Times New Roman"/>
          <w:bCs/>
          <w:szCs w:val="26"/>
        </w:rPr>
        <w:t xml:space="preserve"> comments </w:t>
      </w:r>
      <w:r w:rsidR="002262E5" w:rsidRPr="00F1714B">
        <w:rPr>
          <w:rFonts w:cs="Times New Roman"/>
          <w:bCs/>
          <w:szCs w:val="26"/>
        </w:rPr>
        <w:t xml:space="preserve">that had been filed in response to </w:t>
      </w:r>
      <w:r w:rsidR="00C57898" w:rsidRPr="00F1714B">
        <w:rPr>
          <w:rFonts w:cs="Times New Roman"/>
          <w:bCs/>
          <w:szCs w:val="26"/>
        </w:rPr>
        <w:t>the</w:t>
      </w:r>
      <w:r w:rsidR="002262E5" w:rsidRPr="00F1714B">
        <w:rPr>
          <w:rFonts w:cs="Times New Roman"/>
          <w:bCs/>
          <w:szCs w:val="26"/>
        </w:rPr>
        <w:t xml:space="preserve"> </w:t>
      </w:r>
      <w:r w:rsidR="002262E5" w:rsidRPr="00F1714B">
        <w:rPr>
          <w:rFonts w:cs="Times New Roman"/>
          <w:bCs/>
          <w:i/>
          <w:iCs/>
          <w:szCs w:val="26"/>
        </w:rPr>
        <w:t>ANPR</w:t>
      </w:r>
      <w:r w:rsidR="00011950" w:rsidRPr="00F1714B">
        <w:rPr>
          <w:rFonts w:cs="Times New Roman"/>
          <w:bCs/>
          <w:i/>
          <w:iCs/>
          <w:szCs w:val="26"/>
        </w:rPr>
        <w:t>M</w:t>
      </w:r>
      <w:r w:rsidR="002262E5" w:rsidRPr="00F1714B">
        <w:rPr>
          <w:rFonts w:cs="Times New Roman"/>
          <w:bCs/>
          <w:i/>
          <w:iCs/>
          <w:szCs w:val="26"/>
        </w:rPr>
        <w:t xml:space="preserve"> Order</w:t>
      </w:r>
      <w:r w:rsidR="0042595E" w:rsidRPr="00F1714B">
        <w:rPr>
          <w:rFonts w:cs="Times New Roman"/>
          <w:bCs/>
          <w:i/>
          <w:iCs/>
          <w:szCs w:val="26"/>
        </w:rPr>
        <w:t xml:space="preserve"> </w:t>
      </w:r>
      <w:r w:rsidR="0042595E" w:rsidRPr="00F1714B">
        <w:rPr>
          <w:rFonts w:cs="Times New Roman"/>
          <w:bCs/>
          <w:szCs w:val="26"/>
        </w:rPr>
        <w:t>and our determination that</w:t>
      </w:r>
      <w:r w:rsidR="008828EE" w:rsidRPr="00F1714B">
        <w:rPr>
          <w:rFonts w:cs="Times New Roman"/>
          <w:bCs/>
          <w:szCs w:val="26"/>
        </w:rPr>
        <w:t xml:space="preserve"> </w:t>
      </w:r>
      <w:r w:rsidR="00EF4F33" w:rsidRPr="00F1714B">
        <w:rPr>
          <w:rFonts w:cs="Times New Roman"/>
          <w:bCs/>
          <w:szCs w:val="26"/>
        </w:rPr>
        <w:t xml:space="preserve">even after having transitioned </w:t>
      </w:r>
      <w:r w:rsidR="00B84908" w:rsidRPr="00F1714B">
        <w:rPr>
          <w:rFonts w:cs="Times New Roman"/>
          <w:bCs/>
          <w:szCs w:val="26"/>
        </w:rPr>
        <w:t xml:space="preserve">their existing networks </w:t>
      </w:r>
      <w:r w:rsidR="00EF4F33" w:rsidRPr="00F1714B">
        <w:rPr>
          <w:rFonts w:cs="Times New Roman"/>
          <w:bCs/>
          <w:szCs w:val="26"/>
        </w:rPr>
        <w:t>to a fiber optic based distribution network provision</w:t>
      </w:r>
      <w:r w:rsidR="00EB08B6" w:rsidRPr="00F1714B">
        <w:rPr>
          <w:rFonts w:cs="Times New Roman"/>
          <w:bCs/>
          <w:szCs w:val="26"/>
        </w:rPr>
        <w:t xml:space="preserve">ing </w:t>
      </w:r>
      <w:r w:rsidR="00EF4F33" w:rsidRPr="00F1714B">
        <w:rPr>
          <w:rFonts w:cs="Times New Roman"/>
          <w:bCs/>
          <w:szCs w:val="26"/>
        </w:rPr>
        <w:t>jurisdictional telecommunications service</w:t>
      </w:r>
      <w:r w:rsidR="004E7A7D" w:rsidRPr="00F1714B">
        <w:rPr>
          <w:rFonts w:cs="Times New Roman"/>
          <w:bCs/>
          <w:szCs w:val="26"/>
        </w:rPr>
        <w:t>,</w:t>
      </w:r>
      <w:r w:rsidR="00B84908" w:rsidRPr="00F1714B">
        <w:rPr>
          <w:rFonts w:cs="Times New Roman"/>
          <w:bCs/>
          <w:szCs w:val="26"/>
        </w:rPr>
        <w:t xml:space="preserve"> our </w:t>
      </w:r>
      <w:r w:rsidR="008828EE" w:rsidRPr="00F1714B">
        <w:rPr>
          <w:rFonts w:cs="Times New Roman"/>
          <w:bCs/>
          <w:szCs w:val="26"/>
        </w:rPr>
        <w:t>jurisdictional LEC</w:t>
      </w:r>
      <w:r w:rsidR="00EB08B6" w:rsidRPr="00F1714B">
        <w:rPr>
          <w:rFonts w:cs="Times New Roman"/>
          <w:bCs/>
          <w:szCs w:val="26"/>
        </w:rPr>
        <w:t>s</w:t>
      </w:r>
      <w:r w:rsidR="00B84908" w:rsidRPr="00F1714B">
        <w:rPr>
          <w:rFonts w:cs="Times New Roman"/>
          <w:bCs/>
          <w:szCs w:val="26"/>
        </w:rPr>
        <w:t xml:space="preserve"> </w:t>
      </w:r>
      <w:r w:rsidR="0042595E" w:rsidRPr="00F1714B">
        <w:rPr>
          <w:rFonts w:cs="Times New Roman"/>
          <w:bCs/>
          <w:szCs w:val="26"/>
        </w:rPr>
        <w:t>remain statutorily obligated to provide service that is reasonable, efficient, safe, adequate, and reasonably continuous without unreasonable interruption or delay under Section 1501 of the Code</w:t>
      </w:r>
      <w:r w:rsidR="00B84908" w:rsidRPr="00F1714B">
        <w:rPr>
          <w:rFonts w:cs="Times New Roman"/>
          <w:bCs/>
          <w:szCs w:val="26"/>
        </w:rPr>
        <w:t xml:space="preserve">.  Thus, </w:t>
      </w:r>
      <w:r w:rsidR="007F1ABA" w:rsidRPr="00F1714B">
        <w:rPr>
          <w:rFonts w:cs="Times New Roman"/>
          <w:bCs/>
          <w:szCs w:val="26"/>
        </w:rPr>
        <w:t>i</w:t>
      </w:r>
      <w:r w:rsidR="009A12C8" w:rsidRPr="00F1714B">
        <w:rPr>
          <w:rFonts w:cs="Times New Roman"/>
          <w:bCs/>
          <w:szCs w:val="26"/>
        </w:rPr>
        <w:t xml:space="preserve">n the </w:t>
      </w:r>
      <w:r w:rsidR="009A12C8" w:rsidRPr="00F1714B">
        <w:rPr>
          <w:rFonts w:cs="Times New Roman"/>
          <w:bCs/>
          <w:i/>
          <w:iCs/>
          <w:szCs w:val="26"/>
        </w:rPr>
        <w:t>NPRM Order</w:t>
      </w:r>
      <w:r w:rsidR="009A12C8" w:rsidRPr="00F1714B">
        <w:rPr>
          <w:rFonts w:cs="Times New Roman"/>
          <w:bCs/>
          <w:szCs w:val="26"/>
        </w:rPr>
        <w:t xml:space="preserve"> and Annex, </w:t>
      </w:r>
      <w:r w:rsidR="002262E5" w:rsidRPr="00F1714B">
        <w:rPr>
          <w:rFonts w:cs="Times New Roman"/>
          <w:bCs/>
          <w:szCs w:val="26"/>
        </w:rPr>
        <w:t xml:space="preserve">the Commission </w:t>
      </w:r>
      <w:r w:rsidR="0042595E" w:rsidRPr="00F1714B">
        <w:rPr>
          <w:rFonts w:cs="Times New Roman"/>
          <w:bCs/>
          <w:szCs w:val="26"/>
        </w:rPr>
        <w:t>had p</w:t>
      </w:r>
      <w:r w:rsidR="00FA1C09" w:rsidRPr="00F1714B">
        <w:rPr>
          <w:rFonts w:cs="Times New Roman"/>
          <w:szCs w:val="26"/>
        </w:rPr>
        <w:t>ropose</w:t>
      </w:r>
      <w:r w:rsidR="0042595E" w:rsidRPr="00F1714B">
        <w:rPr>
          <w:rFonts w:cs="Times New Roman"/>
          <w:szCs w:val="26"/>
        </w:rPr>
        <w:t>d</w:t>
      </w:r>
      <w:r w:rsidR="00FA1C09" w:rsidRPr="00F1714B">
        <w:rPr>
          <w:rFonts w:cs="Times New Roman"/>
          <w:szCs w:val="26"/>
        </w:rPr>
        <w:t xml:space="preserve"> to eliminate Section 63.12 </w:t>
      </w:r>
      <w:r w:rsidR="00374FE2" w:rsidRPr="00F1714B">
        <w:rPr>
          <w:rFonts w:cs="Times New Roman"/>
          <w:szCs w:val="26"/>
        </w:rPr>
        <w:t xml:space="preserve">as a standalone regulation </w:t>
      </w:r>
      <w:r w:rsidR="00FA1C09" w:rsidRPr="00F1714B">
        <w:rPr>
          <w:rFonts w:cs="Times New Roman"/>
          <w:szCs w:val="26"/>
        </w:rPr>
        <w:t>and address all relevant matters of interference</w:t>
      </w:r>
      <w:r w:rsidR="00374FE2" w:rsidRPr="00F1714B">
        <w:rPr>
          <w:rFonts w:cs="Times New Roman"/>
          <w:szCs w:val="26"/>
        </w:rPr>
        <w:t xml:space="preserve"> initially set forth in Section 63.12 </w:t>
      </w:r>
      <w:r w:rsidR="00FA1C09" w:rsidRPr="00F1714B">
        <w:rPr>
          <w:rFonts w:cs="Times New Roman"/>
          <w:szCs w:val="26"/>
        </w:rPr>
        <w:t>under Section 63.63</w:t>
      </w:r>
      <w:r w:rsidR="0042595E" w:rsidRPr="00F1714B">
        <w:rPr>
          <w:rFonts w:cs="Times New Roman"/>
          <w:szCs w:val="26"/>
        </w:rPr>
        <w:t xml:space="preserve"> of our regulations</w:t>
      </w:r>
      <w:r w:rsidR="00FA1C09" w:rsidRPr="00F1714B">
        <w:rPr>
          <w:rFonts w:cs="Times New Roman"/>
          <w:szCs w:val="26"/>
        </w:rPr>
        <w:t xml:space="preserve">. </w:t>
      </w:r>
    </w:p>
    <w:p w14:paraId="4FA76110" w14:textId="77777777" w:rsidR="00816726" w:rsidRPr="00F1714B" w:rsidRDefault="00816726" w:rsidP="000A7B5B">
      <w:pPr>
        <w:rPr>
          <w:rFonts w:cs="Times New Roman"/>
          <w:szCs w:val="26"/>
        </w:rPr>
      </w:pPr>
    </w:p>
    <w:p w14:paraId="63438B30" w14:textId="1EB3BE1D" w:rsidR="00816726" w:rsidRPr="00F1714B" w:rsidRDefault="005E2A95" w:rsidP="000A7B5B">
      <w:pPr>
        <w:keepNext/>
        <w:keepLines/>
        <w:ind w:left="1440" w:firstLine="720"/>
        <w:rPr>
          <w:rFonts w:cs="Times New Roman"/>
          <w:b/>
          <w:bCs/>
          <w:szCs w:val="26"/>
        </w:rPr>
      </w:pPr>
      <w:bookmarkStart w:id="23" w:name="_Hlk81145809"/>
      <w:r w:rsidRPr="00F1714B">
        <w:rPr>
          <w:rFonts w:cs="Times New Roman"/>
          <w:b/>
          <w:bCs/>
          <w:color w:val="000000"/>
          <w:szCs w:val="26"/>
        </w:rPr>
        <w:t>a.</w:t>
      </w:r>
      <w:r w:rsidR="00816726" w:rsidRPr="00F1714B">
        <w:rPr>
          <w:rFonts w:cs="Times New Roman"/>
          <w:b/>
          <w:bCs/>
          <w:szCs w:val="26"/>
        </w:rPr>
        <w:tab/>
        <w:t>Comments</w:t>
      </w:r>
      <w:r w:rsidR="0037691B" w:rsidRPr="00F1714B">
        <w:rPr>
          <w:rFonts w:cs="Times New Roman"/>
          <w:b/>
          <w:bCs/>
          <w:szCs w:val="26"/>
        </w:rPr>
        <w:t xml:space="preserve"> and Replies</w:t>
      </w:r>
    </w:p>
    <w:p w14:paraId="36806BE7" w14:textId="0D4D5117" w:rsidR="00697701" w:rsidRDefault="00697701" w:rsidP="000A7B5B">
      <w:pPr>
        <w:ind w:firstLine="720"/>
        <w:rPr>
          <w:rFonts w:cs="Times New Roman"/>
          <w:szCs w:val="26"/>
        </w:rPr>
      </w:pPr>
      <w:r w:rsidRPr="00F1714B">
        <w:rPr>
          <w:rFonts w:cs="Times New Roman"/>
          <w:szCs w:val="26"/>
        </w:rPr>
        <w:t>No party filed comments or replies to the Commission’s proposed elimination of this rule.</w:t>
      </w:r>
    </w:p>
    <w:p w14:paraId="6A2C9574" w14:textId="77777777" w:rsidR="003F6B9C" w:rsidRPr="00F1714B" w:rsidRDefault="003F6B9C" w:rsidP="000A7B5B">
      <w:pPr>
        <w:ind w:firstLine="720"/>
        <w:rPr>
          <w:rFonts w:cs="Times New Roman"/>
          <w:szCs w:val="26"/>
        </w:rPr>
      </w:pPr>
    </w:p>
    <w:p w14:paraId="6DCDF5C8" w14:textId="3B3D17C9" w:rsidR="00816726" w:rsidRPr="00F1714B" w:rsidRDefault="005E2A95" w:rsidP="000A7B5B">
      <w:pPr>
        <w:keepNext/>
        <w:keepLines/>
        <w:ind w:left="1440" w:firstLine="720"/>
        <w:rPr>
          <w:rFonts w:cs="Times New Roman"/>
          <w:b/>
          <w:bCs/>
          <w:szCs w:val="26"/>
        </w:rPr>
      </w:pPr>
      <w:r w:rsidRPr="00F1714B">
        <w:rPr>
          <w:rFonts w:cs="Times New Roman"/>
          <w:b/>
          <w:bCs/>
          <w:szCs w:val="26"/>
        </w:rPr>
        <w:t>b</w:t>
      </w:r>
      <w:r w:rsidR="00071D79" w:rsidRPr="00F1714B">
        <w:rPr>
          <w:rFonts w:cs="Times New Roman"/>
          <w:b/>
          <w:bCs/>
          <w:szCs w:val="26"/>
        </w:rPr>
        <w:t>.</w:t>
      </w:r>
      <w:r w:rsidR="00816726" w:rsidRPr="00F1714B">
        <w:rPr>
          <w:rFonts w:cs="Times New Roman"/>
          <w:b/>
          <w:bCs/>
          <w:szCs w:val="26"/>
        </w:rPr>
        <w:tab/>
        <w:t>Discussion</w:t>
      </w:r>
      <w:r w:rsidR="007861C4" w:rsidRPr="00F1714B">
        <w:rPr>
          <w:rFonts w:cs="Times New Roman"/>
          <w:b/>
          <w:bCs/>
          <w:szCs w:val="26"/>
        </w:rPr>
        <w:t xml:space="preserve"> and </w:t>
      </w:r>
      <w:r w:rsidR="00816726" w:rsidRPr="00F1714B">
        <w:rPr>
          <w:rFonts w:cs="Times New Roman"/>
          <w:b/>
          <w:bCs/>
          <w:szCs w:val="26"/>
        </w:rPr>
        <w:t>Resolution</w:t>
      </w:r>
    </w:p>
    <w:bookmarkEnd w:id="23"/>
    <w:p w14:paraId="1710A342" w14:textId="2B4360F6" w:rsidR="00950CAC" w:rsidRPr="00F1714B" w:rsidRDefault="007C25F7" w:rsidP="003F6B9C">
      <w:pPr>
        <w:keepNext/>
        <w:keepLines/>
        <w:ind w:firstLine="720"/>
        <w:rPr>
          <w:szCs w:val="26"/>
        </w:rPr>
      </w:pPr>
      <w:r w:rsidRPr="00F1714B">
        <w:rPr>
          <w:szCs w:val="26"/>
        </w:rPr>
        <w:t xml:space="preserve">Our proposal </w:t>
      </w:r>
      <w:r w:rsidR="00EB08B6" w:rsidRPr="00F1714B">
        <w:rPr>
          <w:szCs w:val="26"/>
        </w:rPr>
        <w:t xml:space="preserve">essentially </w:t>
      </w:r>
      <w:r w:rsidRPr="00F1714B">
        <w:rPr>
          <w:szCs w:val="26"/>
        </w:rPr>
        <w:t>eliminates Section 63.12 as a standalone regulation</w:t>
      </w:r>
      <w:r w:rsidR="00EA3A23" w:rsidRPr="00F1714B">
        <w:rPr>
          <w:szCs w:val="26"/>
        </w:rPr>
        <w:t xml:space="preserve"> but </w:t>
      </w:r>
      <w:r w:rsidRPr="00F1714B">
        <w:rPr>
          <w:szCs w:val="26"/>
        </w:rPr>
        <w:t xml:space="preserve">incorporates the interference standard within Section 63.63.  </w:t>
      </w:r>
      <w:r w:rsidR="00950CAC" w:rsidRPr="00F1714B">
        <w:rPr>
          <w:szCs w:val="26"/>
        </w:rPr>
        <w:t xml:space="preserve">Since no party has filed any adverse comments regarding our proposed </w:t>
      </w:r>
      <w:r w:rsidR="0092389E" w:rsidRPr="00F1714B">
        <w:rPr>
          <w:szCs w:val="26"/>
        </w:rPr>
        <w:t xml:space="preserve">elimination of </w:t>
      </w:r>
      <w:r w:rsidR="00950CAC" w:rsidRPr="00F1714B">
        <w:rPr>
          <w:szCs w:val="26"/>
        </w:rPr>
        <w:t>Section 63.</w:t>
      </w:r>
      <w:r w:rsidR="0092389E" w:rsidRPr="00F1714B">
        <w:rPr>
          <w:szCs w:val="26"/>
        </w:rPr>
        <w:t xml:space="preserve">12 as a standalone </w:t>
      </w:r>
      <w:r w:rsidR="001610DE" w:rsidRPr="00F1714B">
        <w:rPr>
          <w:szCs w:val="26"/>
        </w:rPr>
        <w:t xml:space="preserve">regulation, </w:t>
      </w:r>
      <w:r w:rsidR="00950CAC" w:rsidRPr="00F1714B">
        <w:rPr>
          <w:szCs w:val="26"/>
        </w:rPr>
        <w:t xml:space="preserve">we will adopt our proposal to </w:t>
      </w:r>
      <w:r w:rsidR="008071E0" w:rsidRPr="00F1714B">
        <w:rPr>
          <w:szCs w:val="26"/>
        </w:rPr>
        <w:t>eliminate it</w:t>
      </w:r>
      <w:r w:rsidR="00EB08B6" w:rsidRPr="00F1714B">
        <w:rPr>
          <w:szCs w:val="26"/>
        </w:rPr>
        <w:t xml:space="preserve"> from</w:t>
      </w:r>
      <w:r w:rsidR="008071E0" w:rsidRPr="00F1714B">
        <w:rPr>
          <w:szCs w:val="26"/>
        </w:rPr>
        <w:t xml:space="preserve"> </w:t>
      </w:r>
      <w:r w:rsidR="00950CAC" w:rsidRPr="00F1714B">
        <w:rPr>
          <w:szCs w:val="26"/>
        </w:rPr>
        <w:t>Chapter 63 of Title 52 of the Pa. Code.  Accordingly, the permanent rescission of Section 63</w:t>
      </w:r>
      <w:r w:rsidR="008071E0" w:rsidRPr="00F1714B">
        <w:rPr>
          <w:szCs w:val="26"/>
        </w:rPr>
        <w:t>.12</w:t>
      </w:r>
      <w:r w:rsidR="00950CAC" w:rsidRPr="00F1714B">
        <w:rPr>
          <w:szCs w:val="26"/>
        </w:rPr>
        <w:t xml:space="preserve"> from Chapter 63 will be reflected in the final-form regulation set forth in the Annex.</w:t>
      </w:r>
      <w:r w:rsidR="004243D4" w:rsidRPr="00F1714B">
        <w:rPr>
          <w:szCs w:val="26"/>
        </w:rPr>
        <w:t xml:space="preserve">  We note that the proposed incorporation of the interference standard into Section 63.63 of the Commission’s regulations is addressed elsewhere in this </w:t>
      </w:r>
      <w:r w:rsidR="00D13180" w:rsidRPr="00F1714B">
        <w:rPr>
          <w:szCs w:val="26"/>
        </w:rPr>
        <w:t>Order</w:t>
      </w:r>
      <w:r w:rsidR="004243D4" w:rsidRPr="00F1714B">
        <w:rPr>
          <w:szCs w:val="26"/>
        </w:rPr>
        <w:t>.</w:t>
      </w:r>
    </w:p>
    <w:p w14:paraId="0B1C5B88" w14:textId="77777777" w:rsidR="00F84C00" w:rsidRPr="00F1714B" w:rsidRDefault="00F84C00" w:rsidP="00F84C00">
      <w:pPr>
        <w:ind w:firstLine="720"/>
        <w:rPr>
          <w:szCs w:val="26"/>
        </w:rPr>
      </w:pPr>
    </w:p>
    <w:p w14:paraId="47DEC568" w14:textId="628C804B" w:rsidR="001B3461" w:rsidRPr="00F1714B" w:rsidRDefault="00CA1037" w:rsidP="000A7B5B">
      <w:pPr>
        <w:keepNext/>
        <w:keepLines/>
        <w:tabs>
          <w:tab w:val="left" w:pos="720"/>
          <w:tab w:val="left" w:pos="1440"/>
        </w:tabs>
        <w:spacing w:line="240" w:lineRule="auto"/>
        <w:ind w:left="2160" w:hanging="2160"/>
        <w:rPr>
          <w:rFonts w:cs="Times New Roman"/>
          <w:b/>
          <w:szCs w:val="26"/>
        </w:rPr>
      </w:pPr>
      <w:r w:rsidRPr="00F1714B">
        <w:rPr>
          <w:rFonts w:cs="Times New Roman"/>
          <w:bCs/>
          <w:szCs w:val="26"/>
        </w:rPr>
        <w:lastRenderedPageBreak/>
        <w:tab/>
      </w:r>
      <w:r w:rsidR="003C0B35" w:rsidRPr="00F1714B">
        <w:rPr>
          <w:rFonts w:cs="Times New Roman"/>
          <w:bCs/>
          <w:szCs w:val="26"/>
        </w:rPr>
        <w:tab/>
      </w:r>
      <w:r w:rsidRPr="00F1714B">
        <w:rPr>
          <w:rFonts w:cs="Times New Roman"/>
          <w:b/>
          <w:szCs w:val="26"/>
        </w:rPr>
        <w:t>2.</w:t>
      </w:r>
      <w:r w:rsidRPr="00F1714B">
        <w:rPr>
          <w:rFonts w:cs="Times New Roman"/>
          <w:b/>
          <w:szCs w:val="26"/>
        </w:rPr>
        <w:tab/>
      </w:r>
      <w:r w:rsidR="001B3461" w:rsidRPr="00F1714B">
        <w:rPr>
          <w:rFonts w:cs="Times New Roman"/>
          <w:b/>
          <w:szCs w:val="26"/>
        </w:rPr>
        <w:t>52 Pa. Code § 63.13 (Periodic Inspections) and § 63.14 (Emergency Equipment and Personnel)</w:t>
      </w:r>
    </w:p>
    <w:p w14:paraId="48480DA8" w14:textId="77777777" w:rsidR="001B3461" w:rsidRPr="00F1714B" w:rsidRDefault="001B3461" w:rsidP="000A7B5B">
      <w:pPr>
        <w:keepNext/>
        <w:keepLines/>
        <w:tabs>
          <w:tab w:val="left" w:pos="720"/>
          <w:tab w:val="left" w:pos="1440"/>
        </w:tabs>
        <w:spacing w:line="240" w:lineRule="auto"/>
        <w:rPr>
          <w:rFonts w:cs="Times New Roman"/>
          <w:szCs w:val="26"/>
        </w:rPr>
      </w:pPr>
      <w:r w:rsidRPr="00F1714B">
        <w:rPr>
          <w:rFonts w:cs="Times New Roman"/>
          <w:szCs w:val="26"/>
        </w:rPr>
        <w:tab/>
      </w:r>
    </w:p>
    <w:p w14:paraId="3AFC454C" w14:textId="56B2266C" w:rsidR="006F6ECA" w:rsidRPr="00F1714B" w:rsidRDefault="00965B9D" w:rsidP="000A7B5B">
      <w:pPr>
        <w:tabs>
          <w:tab w:val="left" w:pos="720"/>
          <w:tab w:val="left" w:pos="1440"/>
        </w:tabs>
        <w:ind w:firstLine="720"/>
        <w:rPr>
          <w:rFonts w:cs="Times New Roman"/>
          <w:bCs/>
          <w:szCs w:val="26"/>
        </w:rPr>
      </w:pPr>
      <w:r w:rsidRPr="00F1714B">
        <w:rPr>
          <w:rFonts w:cs="Times New Roman"/>
          <w:szCs w:val="26"/>
        </w:rPr>
        <w:t>As currently written in our regulations,</w:t>
      </w:r>
      <w:r w:rsidRPr="00F1714B">
        <w:rPr>
          <w:rFonts w:cs="Times New Roman"/>
          <w:b/>
          <w:bCs/>
          <w:szCs w:val="26"/>
        </w:rPr>
        <w:t xml:space="preserve"> </w:t>
      </w:r>
      <w:r w:rsidR="001B3461" w:rsidRPr="00F1714B">
        <w:rPr>
          <w:rFonts w:cs="Times New Roman"/>
          <w:bCs/>
          <w:szCs w:val="26"/>
        </w:rPr>
        <w:t xml:space="preserve">Section 63.13 </w:t>
      </w:r>
      <w:r w:rsidR="00E50FDF" w:rsidRPr="00F1714B">
        <w:rPr>
          <w:rFonts w:cs="Times New Roman"/>
          <w:bCs/>
          <w:szCs w:val="26"/>
        </w:rPr>
        <w:t xml:space="preserve">requires utilities to adopt a program of tests and </w:t>
      </w:r>
      <w:r w:rsidR="004C117E" w:rsidRPr="00F1714B">
        <w:rPr>
          <w:rFonts w:cs="Times New Roman"/>
          <w:bCs/>
          <w:szCs w:val="26"/>
        </w:rPr>
        <w:t>inspections</w:t>
      </w:r>
      <w:r w:rsidR="006F6ECA" w:rsidRPr="00F1714B">
        <w:rPr>
          <w:rFonts w:cs="Times New Roman"/>
          <w:bCs/>
          <w:szCs w:val="26"/>
        </w:rPr>
        <w:t xml:space="preserve"> and Section 63.14 addresses telecommunications network operational matters during emergencies</w:t>
      </w:r>
      <w:r w:rsidR="00E50FDF" w:rsidRPr="00F1714B">
        <w:rPr>
          <w:rFonts w:cs="Times New Roman"/>
          <w:bCs/>
          <w:szCs w:val="26"/>
        </w:rPr>
        <w:t xml:space="preserve">.  </w:t>
      </w:r>
      <w:r w:rsidR="00FF55F8" w:rsidRPr="00F1714B">
        <w:rPr>
          <w:rFonts w:cs="Times New Roman"/>
          <w:bCs/>
          <w:szCs w:val="26"/>
        </w:rPr>
        <w:t xml:space="preserve">In the </w:t>
      </w:r>
      <w:r w:rsidR="00FF55F8" w:rsidRPr="00F1714B">
        <w:rPr>
          <w:rFonts w:cs="Times New Roman"/>
          <w:bCs/>
          <w:i/>
          <w:iCs/>
          <w:szCs w:val="26"/>
        </w:rPr>
        <w:t>NPRM Order</w:t>
      </w:r>
      <w:r w:rsidR="00FF55F8" w:rsidRPr="00F1714B">
        <w:rPr>
          <w:rFonts w:cs="Times New Roman"/>
          <w:bCs/>
          <w:szCs w:val="26"/>
        </w:rPr>
        <w:t>, u</w:t>
      </w:r>
      <w:r w:rsidR="00DB5DDC" w:rsidRPr="00F1714B">
        <w:rPr>
          <w:rFonts w:cs="Times New Roman"/>
          <w:bCs/>
          <w:szCs w:val="26"/>
        </w:rPr>
        <w:t xml:space="preserve">sing the same </w:t>
      </w:r>
      <w:r w:rsidR="006F6ECA" w:rsidRPr="00F1714B">
        <w:rPr>
          <w:rFonts w:cs="Times New Roman"/>
          <w:bCs/>
          <w:szCs w:val="26"/>
        </w:rPr>
        <w:t>rationale t</w:t>
      </w:r>
      <w:r w:rsidR="00521554" w:rsidRPr="00F1714B">
        <w:rPr>
          <w:rFonts w:cs="Times New Roman"/>
          <w:bCs/>
          <w:szCs w:val="26"/>
        </w:rPr>
        <w:t xml:space="preserve">hat </w:t>
      </w:r>
      <w:r w:rsidR="00DD7D4E" w:rsidRPr="00F1714B">
        <w:rPr>
          <w:rFonts w:cs="Times New Roman"/>
          <w:bCs/>
          <w:szCs w:val="26"/>
        </w:rPr>
        <w:t>led</w:t>
      </w:r>
      <w:r w:rsidR="00EF5D09" w:rsidRPr="00F1714B">
        <w:rPr>
          <w:rFonts w:cs="Times New Roman"/>
          <w:bCs/>
          <w:szCs w:val="26"/>
        </w:rPr>
        <w:t xml:space="preserve"> to </w:t>
      </w:r>
      <w:r w:rsidR="00521554" w:rsidRPr="00F1714B">
        <w:rPr>
          <w:rFonts w:cs="Times New Roman"/>
          <w:bCs/>
          <w:szCs w:val="26"/>
        </w:rPr>
        <w:t xml:space="preserve">our proposal to </w:t>
      </w:r>
      <w:r w:rsidR="006F6ECA" w:rsidRPr="00F1714B">
        <w:rPr>
          <w:rFonts w:cs="Times New Roman"/>
          <w:bCs/>
          <w:szCs w:val="26"/>
        </w:rPr>
        <w:t>eliminat</w:t>
      </w:r>
      <w:r w:rsidR="00521554" w:rsidRPr="00F1714B">
        <w:rPr>
          <w:rFonts w:cs="Times New Roman"/>
          <w:bCs/>
          <w:szCs w:val="26"/>
        </w:rPr>
        <w:t>e</w:t>
      </w:r>
      <w:r w:rsidR="006F6ECA" w:rsidRPr="00F1714B">
        <w:rPr>
          <w:rFonts w:cs="Times New Roman"/>
          <w:bCs/>
          <w:szCs w:val="26"/>
        </w:rPr>
        <w:t xml:space="preserve"> Section 63.12</w:t>
      </w:r>
      <w:r w:rsidR="00BE0732" w:rsidRPr="00F1714B">
        <w:rPr>
          <w:rFonts w:cs="Times New Roman"/>
          <w:bCs/>
          <w:szCs w:val="26"/>
        </w:rPr>
        <w:t xml:space="preserve"> from Chapter 63 of our regulations</w:t>
      </w:r>
      <w:r w:rsidR="008E02BA" w:rsidRPr="00F1714B">
        <w:rPr>
          <w:rFonts w:cs="Times New Roman"/>
          <w:bCs/>
          <w:szCs w:val="26"/>
        </w:rPr>
        <w:t xml:space="preserve">, we proposed to eliminate </w:t>
      </w:r>
      <w:r w:rsidR="006F6ECA" w:rsidRPr="00F1714B">
        <w:rPr>
          <w:rFonts w:cs="Times New Roman"/>
          <w:bCs/>
          <w:szCs w:val="26"/>
        </w:rPr>
        <w:t xml:space="preserve">Section 63.13 </w:t>
      </w:r>
      <w:r w:rsidR="008E02BA" w:rsidRPr="00F1714B">
        <w:rPr>
          <w:rFonts w:cs="Times New Roman"/>
          <w:bCs/>
          <w:szCs w:val="26"/>
        </w:rPr>
        <w:t xml:space="preserve">because the subject matter of the regulation will be </w:t>
      </w:r>
      <w:r w:rsidR="006F6ECA" w:rsidRPr="00F1714B">
        <w:rPr>
          <w:rFonts w:cs="Times New Roman"/>
          <w:bCs/>
          <w:szCs w:val="26"/>
        </w:rPr>
        <w:t>adequately addressed through our proposed modifications to Section 63.63</w:t>
      </w:r>
      <w:r w:rsidR="008E02BA" w:rsidRPr="00F1714B">
        <w:rPr>
          <w:rFonts w:cs="Times New Roman"/>
          <w:bCs/>
          <w:szCs w:val="26"/>
        </w:rPr>
        <w:t xml:space="preserve">.  </w:t>
      </w:r>
      <w:r w:rsidR="005344C8" w:rsidRPr="00F1714B">
        <w:rPr>
          <w:rFonts w:cs="Times New Roman"/>
          <w:bCs/>
          <w:szCs w:val="26"/>
        </w:rPr>
        <w:t xml:space="preserve">Moreover, </w:t>
      </w:r>
      <w:r w:rsidR="00E57C9E" w:rsidRPr="00F1714B">
        <w:rPr>
          <w:rFonts w:cs="Times New Roman"/>
          <w:bCs/>
          <w:szCs w:val="26"/>
        </w:rPr>
        <w:t>jurisdictional LECs</w:t>
      </w:r>
      <w:r w:rsidR="00EB08B6" w:rsidRPr="00F1714B">
        <w:rPr>
          <w:rFonts w:cs="Times New Roman"/>
          <w:bCs/>
          <w:szCs w:val="26"/>
        </w:rPr>
        <w:t>’</w:t>
      </w:r>
      <w:r w:rsidR="00E57C9E" w:rsidRPr="00F1714B">
        <w:rPr>
          <w:rFonts w:cs="Times New Roman"/>
          <w:bCs/>
          <w:szCs w:val="26"/>
        </w:rPr>
        <w:t xml:space="preserve"> </w:t>
      </w:r>
      <w:r w:rsidR="006F6ECA" w:rsidRPr="00F1714B">
        <w:rPr>
          <w:rFonts w:cs="Times New Roman"/>
          <w:bCs/>
          <w:szCs w:val="26"/>
        </w:rPr>
        <w:t>plan</w:t>
      </w:r>
      <w:r w:rsidR="009853F8" w:rsidRPr="00F1714B">
        <w:rPr>
          <w:rFonts w:cs="Times New Roman"/>
          <w:bCs/>
          <w:szCs w:val="26"/>
        </w:rPr>
        <w:t>s</w:t>
      </w:r>
      <w:r w:rsidR="006F6ECA" w:rsidRPr="00F1714B">
        <w:rPr>
          <w:rFonts w:cs="Times New Roman"/>
          <w:bCs/>
          <w:szCs w:val="26"/>
        </w:rPr>
        <w:t xml:space="preserve"> of inspections likely will play a role in </w:t>
      </w:r>
      <w:r w:rsidR="009853F8" w:rsidRPr="00F1714B">
        <w:rPr>
          <w:rFonts w:cs="Times New Roman"/>
          <w:bCs/>
          <w:szCs w:val="26"/>
        </w:rPr>
        <w:t xml:space="preserve">their </w:t>
      </w:r>
      <w:r w:rsidR="006F6ECA" w:rsidRPr="00F1714B">
        <w:rPr>
          <w:rFonts w:cs="Times New Roman"/>
          <w:bCs/>
          <w:szCs w:val="26"/>
        </w:rPr>
        <w:t xml:space="preserve">ability to maintain continuous and efficient network operations, which </w:t>
      </w:r>
      <w:r w:rsidR="00E57C9E" w:rsidRPr="00F1714B">
        <w:rPr>
          <w:rFonts w:cs="Times New Roman"/>
          <w:bCs/>
          <w:szCs w:val="26"/>
        </w:rPr>
        <w:t>is</w:t>
      </w:r>
      <w:r w:rsidR="006F6ECA" w:rsidRPr="00F1714B">
        <w:rPr>
          <w:rFonts w:cs="Times New Roman"/>
          <w:bCs/>
          <w:szCs w:val="26"/>
        </w:rPr>
        <w:t xml:space="preserve"> still required</w:t>
      </w:r>
      <w:r w:rsidR="00296C17" w:rsidRPr="00F1714B">
        <w:rPr>
          <w:rFonts w:cs="Times New Roman"/>
          <w:bCs/>
          <w:szCs w:val="26"/>
        </w:rPr>
        <w:t xml:space="preserve"> under Section 63.64 of our regulations</w:t>
      </w:r>
      <w:r w:rsidR="006F6ECA" w:rsidRPr="00F1714B">
        <w:rPr>
          <w:rFonts w:cs="Times New Roman"/>
          <w:bCs/>
          <w:szCs w:val="26"/>
        </w:rPr>
        <w:t>.</w:t>
      </w:r>
    </w:p>
    <w:p w14:paraId="485F84BD" w14:textId="77777777" w:rsidR="00936A3B" w:rsidRPr="00F1714B" w:rsidRDefault="00936A3B" w:rsidP="000A7B5B">
      <w:pPr>
        <w:tabs>
          <w:tab w:val="left" w:pos="720"/>
          <w:tab w:val="left" w:pos="1440"/>
        </w:tabs>
        <w:ind w:firstLine="720"/>
        <w:rPr>
          <w:rFonts w:cs="Times New Roman"/>
          <w:bCs/>
          <w:szCs w:val="26"/>
        </w:rPr>
      </w:pPr>
    </w:p>
    <w:p w14:paraId="13628175" w14:textId="1A7887E8" w:rsidR="006F6ECA" w:rsidRPr="00F1714B" w:rsidRDefault="000312B5" w:rsidP="000A7B5B">
      <w:pPr>
        <w:tabs>
          <w:tab w:val="left" w:pos="720"/>
          <w:tab w:val="left" w:pos="1440"/>
        </w:tabs>
        <w:ind w:firstLine="720"/>
        <w:rPr>
          <w:rFonts w:cs="Times New Roman"/>
          <w:bCs/>
          <w:szCs w:val="26"/>
        </w:rPr>
      </w:pPr>
      <w:bookmarkStart w:id="24" w:name="_Hlk81391827"/>
      <w:r w:rsidRPr="00F1714B">
        <w:rPr>
          <w:rFonts w:cs="Times New Roman"/>
          <w:bCs/>
          <w:szCs w:val="26"/>
        </w:rPr>
        <w:t xml:space="preserve">However, we </w:t>
      </w:r>
      <w:r w:rsidR="006F6ECA" w:rsidRPr="00F1714B">
        <w:rPr>
          <w:rFonts w:cs="Times New Roman"/>
          <w:bCs/>
          <w:szCs w:val="26"/>
        </w:rPr>
        <w:t>propose</w:t>
      </w:r>
      <w:r w:rsidRPr="00F1714B">
        <w:rPr>
          <w:rFonts w:cs="Times New Roman"/>
          <w:bCs/>
          <w:szCs w:val="26"/>
        </w:rPr>
        <w:t xml:space="preserve">d </w:t>
      </w:r>
      <w:r w:rsidR="006F6ECA" w:rsidRPr="00F1714B">
        <w:rPr>
          <w:rFonts w:cs="Times New Roman"/>
          <w:bCs/>
          <w:szCs w:val="26"/>
        </w:rPr>
        <w:t xml:space="preserve">to retain Section 63.14 </w:t>
      </w:r>
      <w:r w:rsidR="00DF0656" w:rsidRPr="00F1714B">
        <w:rPr>
          <w:rFonts w:cs="Times New Roman"/>
          <w:bCs/>
          <w:szCs w:val="26"/>
        </w:rPr>
        <w:t xml:space="preserve">in its entirety </w:t>
      </w:r>
      <w:r w:rsidRPr="00F1714B">
        <w:rPr>
          <w:rFonts w:cs="Times New Roman"/>
          <w:bCs/>
          <w:szCs w:val="26"/>
        </w:rPr>
        <w:t xml:space="preserve">because of our belief that </w:t>
      </w:r>
      <w:r w:rsidR="00EB08B6" w:rsidRPr="00F1714B">
        <w:rPr>
          <w:rFonts w:cs="Times New Roman"/>
          <w:bCs/>
          <w:szCs w:val="26"/>
        </w:rPr>
        <w:t>this regulation</w:t>
      </w:r>
      <w:r w:rsidR="006F6ECA" w:rsidRPr="00F1714B">
        <w:rPr>
          <w:rFonts w:cs="Times New Roman"/>
          <w:bCs/>
          <w:szCs w:val="26"/>
        </w:rPr>
        <w:t xml:space="preserve"> is essential for the provision of adequate, reliable and resilient telecommunications services </w:t>
      </w:r>
      <w:r w:rsidR="00EB08B6" w:rsidRPr="00F1714B">
        <w:rPr>
          <w:rFonts w:cs="Times New Roman"/>
          <w:bCs/>
          <w:szCs w:val="26"/>
        </w:rPr>
        <w:t xml:space="preserve">during various </w:t>
      </w:r>
      <w:r w:rsidR="006F6ECA" w:rsidRPr="00F1714B">
        <w:rPr>
          <w:rFonts w:cs="Times New Roman"/>
          <w:bCs/>
          <w:szCs w:val="26"/>
        </w:rPr>
        <w:t xml:space="preserve">conditions </w:t>
      </w:r>
      <w:r w:rsidR="00EB08B6" w:rsidRPr="00F1714B">
        <w:rPr>
          <w:rFonts w:cs="Times New Roman"/>
          <w:bCs/>
          <w:szCs w:val="26"/>
        </w:rPr>
        <w:t xml:space="preserve">including </w:t>
      </w:r>
      <w:r w:rsidR="006F6ECA" w:rsidRPr="00F1714B">
        <w:rPr>
          <w:rFonts w:cs="Times New Roman"/>
          <w:bCs/>
          <w:szCs w:val="26"/>
        </w:rPr>
        <w:t xml:space="preserve">emergency situations </w:t>
      </w:r>
      <w:r w:rsidR="00EB08B6" w:rsidRPr="00F1714B">
        <w:rPr>
          <w:rFonts w:cs="Times New Roman"/>
          <w:bCs/>
          <w:szCs w:val="26"/>
        </w:rPr>
        <w:t xml:space="preserve">such as </w:t>
      </w:r>
      <w:r w:rsidR="006F6ECA" w:rsidRPr="00F1714B">
        <w:rPr>
          <w:rFonts w:cs="Times New Roman"/>
          <w:bCs/>
          <w:szCs w:val="26"/>
        </w:rPr>
        <w:t>natural disasters</w:t>
      </w:r>
      <w:r w:rsidR="00EB08B6" w:rsidRPr="00F1714B">
        <w:rPr>
          <w:rFonts w:cs="Times New Roman"/>
          <w:bCs/>
          <w:szCs w:val="26"/>
        </w:rPr>
        <w:t xml:space="preserve"> experienced by all local calling areas</w:t>
      </w:r>
      <w:r w:rsidR="006F6ECA" w:rsidRPr="00F1714B">
        <w:rPr>
          <w:rFonts w:cs="Times New Roman"/>
          <w:bCs/>
          <w:szCs w:val="26"/>
        </w:rPr>
        <w:t>,</w:t>
      </w:r>
      <w:r w:rsidR="004E0275" w:rsidRPr="00F1714B">
        <w:rPr>
          <w:rFonts w:cs="Times New Roman"/>
          <w:bCs/>
          <w:szCs w:val="26"/>
        </w:rPr>
        <w:t xml:space="preserve"> in all </w:t>
      </w:r>
      <w:r w:rsidR="006F6ECA" w:rsidRPr="00F1714B">
        <w:rPr>
          <w:rFonts w:cs="Times New Roman"/>
          <w:bCs/>
          <w:szCs w:val="26"/>
        </w:rPr>
        <w:t xml:space="preserve">geographic areas </w:t>
      </w:r>
      <w:r w:rsidR="004E0275" w:rsidRPr="00F1714B">
        <w:rPr>
          <w:rFonts w:cs="Times New Roman"/>
          <w:bCs/>
          <w:szCs w:val="26"/>
        </w:rPr>
        <w:t xml:space="preserve">in which </w:t>
      </w:r>
      <w:r w:rsidR="006F6ECA" w:rsidRPr="00F1714B">
        <w:rPr>
          <w:rFonts w:cs="Times New Roman"/>
          <w:bCs/>
          <w:szCs w:val="26"/>
        </w:rPr>
        <w:t>our jurisdictional utilities serve.</w:t>
      </w:r>
    </w:p>
    <w:bookmarkEnd w:id="24"/>
    <w:p w14:paraId="450D15AF" w14:textId="77777777" w:rsidR="006F6ECA" w:rsidRPr="00F1714B" w:rsidRDefault="006F6ECA" w:rsidP="000A7B5B">
      <w:pPr>
        <w:tabs>
          <w:tab w:val="left" w:pos="720"/>
          <w:tab w:val="left" w:pos="1440"/>
        </w:tabs>
        <w:rPr>
          <w:rFonts w:cs="Times New Roman"/>
          <w:szCs w:val="26"/>
        </w:rPr>
      </w:pPr>
    </w:p>
    <w:p w14:paraId="6ADAAC8F" w14:textId="1A80E953" w:rsidR="006F6ECA" w:rsidRPr="00F1714B" w:rsidRDefault="006F6ECA" w:rsidP="000A7B5B">
      <w:pPr>
        <w:keepNext/>
        <w:keepLines/>
        <w:tabs>
          <w:tab w:val="left" w:pos="720"/>
          <w:tab w:val="left" w:pos="1440"/>
        </w:tabs>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bookmarkStart w:id="25" w:name="_Hlk81147843"/>
      <w:r w:rsidRPr="00F1714B">
        <w:rPr>
          <w:rFonts w:cs="Times New Roman"/>
          <w:b/>
          <w:szCs w:val="26"/>
        </w:rPr>
        <w:t>a.</w:t>
      </w:r>
      <w:r w:rsidRPr="00F1714B">
        <w:rPr>
          <w:rFonts w:cs="Times New Roman"/>
          <w:b/>
          <w:szCs w:val="26"/>
        </w:rPr>
        <w:tab/>
        <w:t>Comments</w:t>
      </w:r>
      <w:r w:rsidR="0037691B" w:rsidRPr="00F1714B">
        <w:rPr>
          <w:rFonts w:cs="Times New Roman"/>
          <w:b/>
          <w:szCs w:val="26"/>
        </w:rPr>
        <w:t xml:space="preserve"> and Replies</w:t>
      </w:r>
    </w:p>
    <w:p w14:paraId="30E0F4FA" w14:textId="3123544D" w:rsidR="004311B1" w:rsidRPr="00F1714B" w:rsidRDefault="00CE5952" w:rsidP="00E55426">
      <w:pPr>
        <w:ind w:firstLine="720"/>
        <w:rPr>
          <w:szCs w:val="26"/>
        </w:rPr>
      </w:pPr>
      <w:bookmarkStart w:id="26" w:name="_Hlk76039175"/>
      <w:bookmarkStart w:id="27" w:name="_Hlk81233368"/>
      <w:r w:rsidRPr="00F1714B">
        <w:rPr>
          <w:szCs w:val="26"/>
        </w:rPr>
        <w:t xml:space="preserve">Verizon proposes that </w:t>
      </w:r>
      <w:r w:rsidR="006052D2" w:rsidRPr="00F1714B">
        <w:rPr>
          <w:szCs w:val="26"/>
        </w:rPr>
        <w:t xml:space="preserve">Section </w:t>
      </w:r>
      <w:r w:rsidR="007941D5" w:rsidRPr="00F1714B">
        <w:rPr>
          <w:szCs w:val="26"/>
        </w:rPr>
        <w:t>63</w:t>
      </w:r>
      <w:r w:rsidR="009853F8" w:rsidRPr="00F1714B">
        <w:rPr>
          <w:szCs w:val="26"/>
        </w:rPr>
        <w:t>.</w:t>
      </w:r>
      <w:r w:rsidR="007941D5" w:rsidRPr="00F1714B">
        <w:rPr>
          <w:szCs w:val="26"/>
        </w:rPr>
        <w:t xml:space="preserve">14 </w:t>
      </w:r>
      <w:r w:rsidRPr="00F1714B">
        <w:rPr>
          <w:szCs w:val="26"/>
        </w:rPr>
        <w:t>should be eliminated from Chapter 63</w:t>
      </w:r>
      <w:r w:rsidR="004E0275" w:rsidRPr="00F1714B">
        <w:rPr>
          <w:szCs w:val="26"/>
        </w:rPr>
        <w:t xml:space="preserve"> because </w:t>
      </w:r>
      <w:r w:rsidR="004311B1" w:rsidRPr="00F1714B">
        <w:rPr>
          <w:szCs w:val="26"/>
        </w:rPr>
        <w:t xml:space="preserve">the regulatory mandate for metering, testing, inspections and preventative maintenance is intrusive micro-managing that is completely unnecessary.  Verizon Comments at </w:t>
      </w:r>
      <w:r w:rsidR="00E22E2D" w:rsidRPr="00F1714B">
        <w:rPr>
          <w:szCs w:val="26"/>
        </w:rPr>
        <w:t>22.</w:t>
      </w:r>
      <w:r w:rsidR="00B657C7" w:rsidRPr="00F1714B">
        <w:rPr>
          <w:szCs w:val="26"/>
        </w:rPr>
        <w:t xml:space="preserve">  </w:t>
      </w:r>
      <w:r w:rsidR="00FB1923" w:rsidRPr="00F1714B">
        <w:rPr>
          <w:szCs w:val="26"/>
        </w:rPr>
        <w:t>Verizon argues that c</w:t>
      </w:r>
      <w:r w:rsidR="004311B1" w:rsidRPr="00F1714B">
        <w:rPr>
          <w:szCs w:val="26"/>
        </w:rPr>
        <w:t xml:space="preserve">ompetitive pressure is sufficient to require regulated providers to conduct whatever inspections and maintenance are necessary to keep service at a level that meets customer expectations without the need </w:t>
      </w:r>
      <w:r w:rsidR="004E0275" w:rsidRPr="00F1714B">
        <w:rPr>
          <w:szCs w:val="26"/>
        </w:rPr>
        <w:t xml:space="preserve">for a </w:t>
      </w:r>
      <w:r w:rsidR="004311B1" w:rsidRPr="00F1714B">
        <w:rPr>
          <w:szCs w:val="26"/>
        </w:rPr>
        <w:t>state</w:t>
      </w:r>
      <w:r w:rsidR="004E0275" w:rsidRPr="00F1714B">
        <w:rPr>
          <w:szCs w:val="26"/>
        </w:rPr>
        <w:t xml:space="preserve">d </w:t>
      </w:r>
      <w:r w:rsidR="004311B1" w:rsidRPr="00F1714B">
        <w:rPr>
          <w:szCs w:val="26"/>
        </w:rPr>
        <w:t>rule</w:t>
      </w:r>
      <w:r w:rsidR="00FB1923" w:rsidRPr="00F1714B">
        <w:rPr>
          <w:szCs w:val="26"/>
        </w:rPr>
        <w:t xml:space="preserve"> because if</w:t>
      </w:r>
      <w:r w:rsidR="004311B1" w:rsidRPr="00F1714B">
        <w:rPr>
          <w:szCs w:val="26"/>
        </w:rPr>
        <w:t xml:space="preserve"> providers do not meet the level of service that customers expect, then customers will abandon them for a competitor.</w:t>
      </w:r>
      <w:r w:rsidR="00FB1923" w:rsidRPr="00F1714B">
        <w:rPr>
          <w:szCs w:val="26"/>
        </w:rPr>
        <w:t xml:space="preserve">  </w:t>
      </w:r>
      <w:r w:rsidR="00FB1923" w:rsidRPr="00F1714B">
        <w:rPr>
          <w:i/>
          <w:iCs/>
          <w:szCs w:val="26"/>
        </w:rPr>
        <w:t>Id</w:t>
      </w:r>
      <w:r w:rsidR="00FB1923" w:rsidRPr="00F1714B">
        <w:rPr>
          <w:szCs w:val="26"/>
        </w:rPr>
        <w:t xml:space="preserve">.  </w:t>
      </w:r>
      <w:r w:rsidR="005D408D" w:rsidRPr="00F1714B">
        <w:rPr>
          <w:szCs w:val="26"/>
        </w:rPr>
        <w:t xml:space="preserve">Lastly, Verizon asserts that </w:t>
      </w:r>
      <w:r w:rsidR="004311B1" w:rsidRPr="00F1714B">
        <w:rPr>
          <w:szCs w:val="26"/>
        </w:rPr>
        <w:t>the Commission still has authority to enforce reasonable service under Section 1501 if</w:t>
      </w:r>
      <w:r w:rsidR="004E0275" w:rsidRPr="00F1714B">
        <w:rPr>
          <w:szCs w:val="26"/>
        </w:rPr>
        <w:t xml:space="preserve"> issues arise</w:t>
      </w:r>
      <w:r w:rsidR="004311B1" w:rsidRPr="00F1714B">
        <w:rPr>
          <w:szCs w:val="26"/>
        </w:rPr>
        <w:t xml:space="preserve">. </w:t>
      </w:r>
    </w:p>
    <w:p w14:paraId="38377F6A" w14:textId="4BD9F6E0" w:rsidR="004D68E1" w:rsidRPr="00F1714B" w:rsidRDefault="00B461B3" w:rsidP="000A7B5B">
      <w:pPr>
        <w:ind w:firstLine="720"/>
        <w:rPr>
          <w:rFonts w:cs="Times New Roman"/>
          <w:szCs w:val="26"/>
        </w:rPr>
      </w:pPr>
      <w:r w:rsidRPr="00F1714B">
        <w:rPr>
          <w:rFonts w:cs="Times New Roman"/>
          <w:szCs w:val="26"/>
        </w:rPr>
        <w:lastRenderedPageBreak/>
        <w:t xml:space="preserve">The </w:t>
      </w:r>
      <w:r w:rsidR="006F6ECA" w:rsidRPr="00F1714B">
        <w:rPr>
          <w:rFonts w:cs="Times New Roman"/>
          <w:szCs w:val="26"/>
        </w:rPr>
        <w:t xml:space="preserve">OCA supports the Commission’s proposal to retain </w:t>
      </w:r>
      <w:bookmarkEnd w:id="26"/>
      <w:r w:rsidR="006F6ECA" w:rsidRPr="00F1714B">
        <w:rPr>
          <w:rFonts w:cs="Times New Roman"/>
          <w:szCs w:val="26"/>
        </w:rPr>
        <w:t xml:space="preserve">subsection 63.14 </w:t>
      </w:r>
      <w:r w:rsidR="009853F8" w:rsidRPr="00F1714B">
        <w:rPr>
          <w:rFonts w:cs="Times New Roman"/>
          <w:szCs w:val="26"/>
        </w:rPr>
        <w:t xml:space="preserve">and </w:t>
      </w:r>
      <w:r w:rsidR="004E0275" w:rsidRPr="00F1714B">
        <w:rPr>
          <w:rFonts w:cs="Times New Roman"/>
          <w:szCs w:val="26"/>
        </w:rPr>
        <w:t xml:space="preserve">its applicability </w:t>
      </w:r>
      <w:r w:rsidR="006F6ECA" w:rsidRPr="00F1714B">
        <w:rPr>
          <w:rFonts w:cs="Times New Roman"/>
          <w:szCs w:val="26"/>
        </w:rPr>
        <w:t xml:space="preserve">to all </w:t>
      </w:r>
      <w:proofErr w:type="gramStart"/>
      <w:r w:rsidR="006F6ECA" w:rsidRPr="00F1714B">
        <w:rPr>
          <w:rFonts w:cs="Times New Roman"/>
          <w:szCs w:val="26"/>
        </w:rPr>
        <w:t>telecommunications</w:t>
      </w:r>
      <w:proofErr w:type="gramEnd"/>
      <w:r w:rsidR="006F6ECA" w:rsidRPr="00F1714B">
        <w:rPr>
          <w:rFonts w:cs="Times New Roman"/>
          <w:szCs w:val="26"/>
        </w:rPr>
        <w:t xml:space="preserve"> public utilities and </w:t>
      </w:r>
      <w:r w:rsidR="00AE5C8D" w:rsidRPr="00F1714B">
        <w:rPr>
          <w:rFonts w:cs="Times New Roman"/>
          <w:szCs w:val="26"/>
        </w:rPr>
        <w:t xml:space="preserve">geographic </w:t>
      </w:r>
      <w:r w:rsidR="006F6ECA" w:rsidRPr="00F1714B">
        <w:rPr>
          <w:rFonts w:cs="Times New Roman"/>
          <w:szCs w:val="26"/>
        </w:rPr>
        <w:t>areas.</w:t>
      </w:r>
      <w:r w:rsidR="00BE51C4" w:rsidRPr="00F1714B">
        <w:rPr>
          <w:rFonts w:cs="Times New Roman"/>
          <w:szCs w:val="26"/>
        </w:rPr>
        <w:t xml:space="preserve">  In opposition to Verizon’s proposal regarding Section </w:t>
      </w:r>
      <w:r w:rsidR="004D68E1" w:rsidRPr="00F1714B">
        <w:rPr>
          <w:rFonts w:cs="Times New Roman"/>
          <w:szCs w:val="26"/>
        </w:rPr>
        <w:t>63.14, the OCA s</w:t>
      </w:r>
      <w:r w:rsidR="008E57B0" w:rsidRPr="00F1714B">
        <w:rPr>
          <w:rFonts w:cs="Times New Roman"/>
          <w:szCs w:val="26"/>
        </w:rPr>
        <w:t>pecifically</w:t>
      </w:r>
      <w:r w:rsidR="004D68E1" w:rsidRPr="00F1714B">
        <w:rPr>
          <w:rFonts w:cs="Times New Roman"/>
          <w:szCs w:val="26"/>
        </w:rPr>
        <w:t xml:space="preserve"> </w:t>
      </w:r>
      <w:r w:rsidR="008E57B0" w:rsidRPr="00F1714B">
        <w:rPr>
          <w:rFonts w:cs="Times New Roman"/>
          <w:szCs w:val="26"/>
        </w:rPr>
        <w:t xml:space="preserve">urges the Commission to retain </w:t>
      </w:r>
      <w:r w:rsidR="004D68E1" w:rsidRPr="00F1714B">
        <w:rPr>
          <w:rFonts w:cs="Times New Roman"/>
          <w:szCs w:val="26"/>
        </w:rPr>
        <w:t>this rule</w:t>
      </w:r>
      <w:r w:rsidR="00632DA8" w:rsidRPr="00F1714B">
        <w:rPr>
          <w:rFonts w:cs="Times New Roman"/>
          <w:szCs w:val="26"/>
        </w:rPr>
        <w:t xml:space="preserve"> as it currently exists </w:t>
      </w:r>
      <w:r w:rsidR="004D68E1" w:rsidRPr="00F1714B">
        <w:rPr>
          <w:rFonts w:cs="Times New Roman"/>
          <w:szCs w:val="26"/>
        </w:rPr>
        <w:t xml:space="preserve">because </w:t>
      </w:r>
      <w:r w:rsidR="00632DA8" w:rsidRPr="00F1714B">
        <w:rPr>
          <w:rFonts w:cs="Times New Roman"/>
          <w:szCs w:val="26"/>
        </w:rPr>
        <w:t xml:space="preserve">it is the </w:t>
      </w:r>
      <w:r w:rsidR="00B87029" w:rsidRPr="00F1714B">
        <w:rPr>
          <w:rFonts w:cs="Times New Roman"/>
          <w:szCs w:val="26"/>
        </w:rPr>
        <w:t>OCA</w:t>
      </w:r>
      <w:r w:rsidR="00632DA8" w:rsidRPr="00F1714B">
        <w:rPr>
          <w:rFonts w:cs="Times New Roman"/>
          <w:szCs w:val="26"/>
        </w:rPr>
        <w:t xml:space="preserve">’s contention </w:t>
      </w:r>
      <w:r w:rsidR="00B87029" w:rsidRPr="00F1714B">
        <w:rPr>
          <w:rFonts w:cs="Times New Roman"/>
          <w:szCs w:val="26"/>
        </w:rPr>
        <w:t xml:space="preserve">that </w:t>
      </w:r>
      <w:r w:rsidR="004E0275" w:rsidRPr="00F1714B">
        <w:rPr>
          <w:rFonts w:cs="Times New Roman"/>
          <w:szCs w:val="26"/>
        </w:rPr>
        <w:t>“</w:t>
      </w:r>
      <w:r w:rsidR="004D68E1" w:rsidRPr="00F1714B">
        <w:rPr>
          <w:rFonts w:cs="Times New Roman"/>
          <w:szCs w:val="26"/>
        </w:rPr>
        <w:t xml:space="preserve">its elimination </w:t>
      </w:r>
      <w:r w:rsidR="00632DA8" w:rsidRPr="00F1714B">
        <w:rPr>
          <w:rFonts w:cs="Times New Roman"/>
          <w:szCs w:val="26"/>
        </w:rPr>
        <w:t xml:space="preserve">or </w:t>
      </w:r>
      <w:r w:rsidR="00505120" w:rsidRPr="00F1714B">
        <w:rPr>
          <w:rFonts w:cs="Times New Roman"/>
          <w:szCs w:val="26"/>
        </w:rPr>
        <w:t xml:space="preserve">even its </w:t>
      </w:r>
      <w:r w:rsidR="00632DA8" w:rsidRPr="00F1714B">
        <w:rPr>
          <w:rFonts w:cs="Times New Roman"/>
          <w:szCs w:val="26"/>
        </w:rPr>
        <w:t>modifi</w:t>
      </w:r>
      <w:r w:rsidR="00505120" w:rsidRPr="00F1714B">
        <w:rPr>
          <w:rFonts w:cs="Times New Roman"/>
          <w:szCs w:val="26"/>
        </w:rPr>
        <w:t xml:space="preserve">cation as proposed in the Annex to the </w:t>
      </w:r>
      <w:r w:rsidR="00505120" w:rsidRPr="00F1714B">
        <w:rPr>
          <w:rFonts w:cs="Times New Roman"/>
          <w:i/>
          <w:iCs/>
          <w:szCs w:val="26"/>
        </w:rPr>
        <w:t>N</w:t>
      </w:r>
      <w:r w:rsidR="006019F7" w:rsidRPr="00F1714B">
        <w:rPr>
          <w:rFonts w:cs="Times New Roman"/>
          <w:i/>
          <w:iCs/>
          <w:szCs w:val="26"/>
        </w:rPr>
        <w:t>PRM</w:t>
      </w:r>
      <w:r w:rsidR="00505120" w:rsidRPr="00F1714B">
        <w:rPr>
          <w:rFonts w:cs="Times New Roman"/>
          <w:i/>
          <w:iCs/>
          <w:szCs w:val="26"/>
        </w:rPr>
        <w:t xml:space="preserve"> Order</w:t>
      </w:r>
      <w:r w:rsidR="00505120" w:rsidRPr="00F1714B">
        <w:rPr>
          <w:rFonts w:cs="Times New Roman"/>
          <w:szCs w:val="26"/>
        </w:rPr>
        <w:t xml:space="preserve"> would </w:t>
      </w:r>
      <w:r w:rsidR="004D68E1" w:rsidRPr="00F1714B">
        <w:rPr>
          <w:rFonts w:cs="Times New Roman"/>
          <w:szCs w:val="26"/>
        </w:rPr>
        <w:t xml:space="preserve">remove </w:t>
      </w:r>
      <w:r w:rsidR="00505120" w:rsidRPr="00F1714B">
        <w:rPr>
          <w:rFonts w:cs="Times New Roman"/>
          <w:szCs w:val="26"/>
        </w:rPr>
        <w:t xml:space="preserve">all </w:t>
      </w:r>
      <w:r w:rsidR="004D68E1" w:rsidRPr="00F1714B">
        <w:rPr>
          <w:rFonts w:cs="Times New Roman"/>
          <w:szCs w:val="26"/>
        </w:rPr>
        <w:t>meaningful standards and regulatory guidance that is still needed to promote and protect today’s complex and important telecommunications network.” OCA Reply Comments at 10</w:t>
      </w:r>
      <w:r w:rsidR="00505120" w:rsidRPr="00F1714B">
        <w:rPr>
          <w:rFonts w:cs="Times New Roman"/>
          <w:szCs w:val="26"/>
        </w:rPr>
        <w:t>-12</w:t>
      </w:r>
      <w:r w:rsidR="004D68E1" w:rsidRPr="00F1714B">
        <w:rPr>
          <w:rFonts w:cs="Times New Roman"/>
          <w:szCs w:val="26"/>
        </w:rPr>
        <w:t>.</w:t>
      </w:r>
    </w:p>
    <w:p w14:paraId="03E0D282" w14:textId="77777777" w:rsidR="00991B18" w:rsidRPr="00F1714B" w:rsidRDefault="00991B18" w:rsidP="000A7B5B">
      <w:pPr>
        <w:ind w:firstLine="720"/>
        <w:rPr>
          <w:rFonts w:cs="Times New Roman"/>
          <w:szCs w:val="26"/>
        </w:rPr>
      </w:pPr>
    </w:p>
    <w:bookmarkEnd w:id="27"/>
    <w:p w14:paraId="553488DE" w14:textId="18E0D715" w:rsidR="006F6ECA" w:rsidRPr="00F1714B" w:rsidRDefault="003C0B35" w:rsidP="000A7B5B">
      <w:pPr>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r>
      <w:r w:rsidR="0060777C" w:rsidRPr="00F1714B">
        <w:rPr>
          <w:rFonts w:cs="Times New Roman"/>
          <w:b/>
          <w:bCs/>
          <w:szCs w:val="26"/>
        </w:rPr>
        <w:t>b.</w:t>
      </w:r>
      <w:r w:rsidR="006F6ECA" w:rsidRPr="00F1714B">
        <w:rPr>
          <w:rFonts w:cs="Times New Roman"/>
          <w:b/>
          <w:bCs/>
          <w:szCs w:val="26"/>
        </w:rPr>
        <w:tab/>
        <w:t>Discussion</w:t>
      </w:r>
      <w:r w:rsidR="007861C4" w:rsidRPr="00F1714B">
        <w:rPr>
          <w:rFonts w:cs="Times New Roman"/>
          <w:b/>
          <w:bCs/>
          <w:szCs w:val="26"/>
        </w:rPr>
        <w:t xml:space="preserve"> and </w:t>
      </w:r>
      <w:r w:rsidR="006F6ECA" w:rsidRPr="00F1714B">
        <w:rPr>
          <w:rFonts w:cs="Times New Roman"/>
          <w:b/>
          <w:bCs/>
          <w:szCs w:val="26"/>
        </w:rPr>
        <w:t>Resolution</w:t>
      </w:r>
    </w:p>
    <w:bookmarkEnd w:id="25"/>
    <w:p w14:paraId="3096B241" w14:textId="794CAC3C" w:rsidR="00F7755B" w:rsidRPr="00F1714B" w:rsidRDefault="00174CAC" w:rsidP="000A7B5B">
      <w:pPr>
        <w:ind w:firstLine="720"/>
        <w:rPr>
          <w:rFonts w:cs="Times New Roman"/>
          <w:szCs w:val="26"/>
        </w:rPr>
      </w:pPr>
      <w:r w:rsidRPr="00F1714B">
        <w:rPr>
          <w:rFonts w:cs="Times New Roman"/>
          <w:szCs w:val="26"/>
        </w:rPr>
        <w:t>T</w:t>
      </w:r>
      <w:r w:rsidR="00DC62E9" w:rsidRPr="00F1714B">
        <w:rPr>
          <w:rFonts w:cs="Times New Roman"/>
          <w:szCs w:val="26"/>
        </w:rPr>
        <w:t xml:space="preserve">he regulated community agrees that </w:t>
      </w:r>
      <w:r w:rsidR="003D3F31" w:rsidRPr="00F1714B">
        <w:rPr>
          <w:rFonts w:cs="Times New Roman"/>
          <w:szCs w:val="26"/>
        </w:rPr>
        <w:t xml:space="preserve">jurisdictional </w:t>
      </w:r>
      <w:r w:rsidR="00DC62E9" w:rsidRPr="00F1714B">
        <w:rPr>
          <w:rFonts w:eastAsia="Times New Roman" w:cs="Times New Roman"/>
          <w:szCs w:val="26"/>
        </w:rPr>
        <w:t>LECs must have the ability and capability to remain functional in emergency situations.</w:t>
      </w:r>
      <w:r w:rsidR="004E0275" w:rsidRPr="00F1714B">
        <w:rPr>
          <w:rFonts w:eastAsia="Times New Roman" w:cs="Times New Roman"/>
          <w:szCs w:val="26"/>
        </w:rPr>
        <w:t xml:space="preserve">  As the Commission, we are obligated to work with our regulated partners to ensure that critical infrastructure and services are operational at all times.  However, we are reluctant to abandon a level of specificity in our regulations to ensure critical infrastructure and services are operating at times when they are needed most.  In this docket,</w:t>
      </w:r>
      <w:r w:rsidR="002C1B71" w:rsidRPr="00F1714B">
        <w:rPr>
          <w:rFonts w:eastAsia="Times New Roman" w:cs="Times New Roman"/>
          <w:szCs w:val="26"/>
        </w:rPr>
        <w:t xml:space="preserve"> V</w:t>
      </w:r>
      <w:r w:rsidR="00267A55" w:rsidRPr="00F1714B">
        <w:rPr>
          <w:rFonts w:cs="Times New Roman"/>
          <w:szCs w:val="26"/>
        </w:rPr>
        <w:t xml:space="preserve">erizon proposes a streamlined version of Section 63.14 in Attachment 1 to its comments.  </w:t>
      </w:r>
      <w:r w:rsidR="002C1B71" w:rsidRPr="00F1714B">
        <w:rPr>
          <w:rFonts w:cs="Times New Roman"/>
          <w:szCs w:val="26"/>
        </w:rPr>
        <w:t xml:space="preserve">Verizon’s </w:t>
      </w:r>
      <w:r w:rsidR="002E150C" w:rsidRPr="00F1714B">
        <w:rPr>
          <w:rFonts w:cs="Times New Roman"/>
          <w:szCs w:val="26"/>
        </w:rPr>
        <w:t>“bare</w:t>
      </w:r>
      <w:r w:rsidR="004E0275" w:rsidRPr="00F1714B">
        <w:rPr>
          <w:rFonts w:cs="Times New Roman"/>
          <w:szCs w:val="26"/>
        </w:rPr>
        <w:t xml:space="preserve"> </w:t>
      </w:r>
      <w:r w:rsidR="002E150C" w:rsidRPr="00F1714B">
        <w:rPr>
          <w:rFonts w:cs="Times New Roman"/>
          <w:szCs w:val="26"/>
        </w:rPr>
        <w:t>bones”</w:t>
      </w:r>
      <w:r w:rsidR="002C1B71" w:rsidRPr="00F1714B">
        <w:rPr>
          <w:rFonts w:cs="Times New Roman"/>
          <w:szCs w:val="26"/>
        </w:rPr>
        <w:t xml:space="preserve"> proposal simply restates the requirement but </w:t>
      </w:r>
      <w:r w:rsidR="002E150C" w:rsidRPr="00F1714B">
        <w:rPr>
          <w:rFonts w:cs="Times New Roman"/>
          <w:szCs w:val="26"/>
        </w:rPr>
        <w:t xml:space="preserve">does not outline </w:t>
      </w:r>
      <w:r w:rsidR="002C1B71" w:rsidRPr="00F1714B">
        <w:rPr>
          <w:rFonts w:cs="Times New Roman"/>
          <w:szCs w:val="26"/>
        </w:rPr>
        <w:t xml:space="preserve">how </w:t>
      </w:r>
      <w:r w:rsidR="002E150C" w:rsidRPr="00F1714B">
        <w:rPr>
          <w:rFonts w:cs="Times New Roman"/>
          <w:szCs w:val="26"/>
        </w:rPr>
        <w:t xml:space="preserve">the requirement of continued functionality is to be </w:t>
      </w:r>
      <w:r w:rsidR="002C1B71" w:rsidRPr="00F1714B">
        <w:rPr>
          <w:rFonts w:cs="Times New Roman"/>
          <w:szCs w:val="26"/>
        </w:rPr>
        <w:t>achieved or maintained</w:t>
      </w:r>
      <w:r w:rsidR="002E150C" w:rsidRPr="00F1714B">
        <w:rPr>
          <w:rFonts w:cs="Times New Roman"/>
          <w:szCs w:val="26"/>
        </w:rPr>
        <w:t xml:space="preserve"> by the LEC.  </w:t>
      </w:r>
      <w:r w:rsidR="00B47FB5" w:rsidRPr="00F1714B">
        <w:rPr>
          <w:rFonts w:cs="Times New Roman"/>
          <w:szCs w:val="26"/>
        </w:rPr>
        <w:t xml:space="preserve">Verizon </w:t>
      </w:r>
      <w:r w:rsidR="004E0275" w:rsidRPr="00F1714B">
        <w:rPr>
          <w:rFonts w:cs="Times New Roman"/>
          <w:szCs w:val="26"/>
        </w:rPr>
        <w:t xml:space="preserve">also </w:t>
      </w:r>
      <w:r w:rsidR="00B47FB5" w:rsidRPr="00F1714B">
        <w:rPr>
          <w:rFonts w:cs="Times New Roman"/>
          <w:szCs w:val="26"/>
        </w:rPr>
        <w:t xml:space="preserve">has not presented any </w:t>
      </w:r>
      <w:r w:rsidR="008117FB" w:rsidRPr="00F1714B">
        <w:rPr>
          <w:rFonts w:cs="Times New Roman"/>
          <w:szCs w:val="26"/>
        </w:rPr>
        <w:t xml:space="preserve">substantial </w:t>
      </w:r>
      <w:r w:rsidR="00B47FB5" w:rsidRPr="00F1714B">
        <w:rPr>
          <w:rFonts w:cs="Times New Roman"/>
          <w:szCs w:val="26"/>
        </w:rPr>
        <w:t xml:space="preserve">evidence </w:t>
      </w:r>
      <w:r w:rsidR="008117FB" w:rsidRPr="00F1714B">
        <w:rPr>
          <w:rFonts w:cs="Times New Roman"/>
          <w:szCs w:val="26"/>
        </w:rPr>
        <w:t xml:space="preserve">or compelling reason as to </w:t>
      </w:r>
      <w:r w:rsidR="00963B50" w:rsidRPr="00F1714B">
        <w:rPr>
          <w:rFonts w:cs="Times New Roman"/>
          <w:szCs w:val="26"/>
        </w:rPr>
        <w:t xml:space="preserve">why </w:t>
      </w:r>
      <w:r w:rsidR="00D46B9F" w:rsidRPr="00F1714B">
        <w:rPr>
          <w:rFonts w:cs="Times New Roman"/>
          <w:szCs w:val="26"/>
        </w:rPr>
        <w:t>the C</w:t>
      </w:r>
      <w:r w:rsidR="00655E3F" w:rsidRPr="00F1714B">
        <w:rPr>
          <w:rFonts w:cs="Times New Roman"/>
          <w:szCs w:val="26"/>
        </w:rPr>
        <w:t>o</w:t>
      </w:r>
      <w:r w:rsidR="00D46B9F" w:rsidRPr="00F1714B">
        <w:rPr>
          <w:rFonts w:cs="Times New Roman"/>
          <w:szCs w:val="26"/>
        </w:rPr>
        <w:t>m</w:t>
      </w:r>
      <w:r w:rsidR="00655E3F" w:rsidRPr="00F1714B">
        <w:rPr>
          <w:rFonts w:cs="Times New Roman"/>
          <w:szCs w:val="26"/>
        </w:rPr>
        <w:t xml:space="preserve">mission </w:t>
      </w:r>
      <w:r w:rsidR="00963B50" w:rsidRPr="00F1714B">
        <w:rPr>
          <w:rFonts w:cs="Times New Roman"/>
          <w:szCs w:val="26"/>
        </w:rPr>
        <w:t xml:space="preserve">should </w:t>
      </w:r>
      <w:r w:rsidR="00655E3F" w:rsidRPr="00F1714B">
        <w:rPr>
          <w:rFonts w:cs="Times New Roman"/>
          <w:szCs w:val="26"/>
        </w:rPr>
        <w:t xml:space="preserve">not continue </w:t>
      </w:r>
      <w:r w:rsidR="004E0275" w:rsidRPr="00F1714B">
        <w:rPr>
          <w:rFonts w:cs="Times New Roman"/>
          <w:szCs w:val="26"/>
        </w:rPr>
        <w:t xml:space="preserve">its regulatory obligation </w:t>
      </w:r>
      <w:r w:rsidR="00655E3F" w:rsidRPr="00F1714B">
        <w:rPr>
          <w:rFonts w:cs="Times New Roman"/>
          <w:szCs w:val="26"/>
        </w:rPr>
        <w:t xml:space="preserve">to </w:t>
      </w:r>
      <w:r w:rsidR="00963B50" w:rsidRPr="00F1714B">
        <w:rPr>
          <w:rFonts w:cs="Times New Roman"/>
          <w:szCs w:val="26"/>
        </w:rPr>
        <w:t>specify</w:t>
      </w:r>
      <w:r w:rsidR="00655E3F" w:rsidRPr="00F1714B">
        <w:rPr>
          <w:rFonts w:cs="Times New Roman"/>
          <w:szCs w:val="26"/>
        </w:rPr>
        <w:t xml:space="preserve"> s</w:t>
      </w:r>
      <w:r w:rsidR="00963B50" w:rsidRPr="00F1714B">
        <w:rPr>
          <w:rFonts w:cs="Times New Roman"/>
          <w:szCs w:val="26"/>
        </w:rPr>
        <w:t xml:space="preserve">tandards </w:t>
      </w:r>
      <w:r w:rsidR="00655E3F" w:rsidRPr="00F1714B">
        <w:rPr>
          <w:rFonts w:cs="Times New Roman"/>
          <w:szCs w:val="26"/>
        </w:rPr>
        <w:t xml:space="preserve">to ensure </w:t>
      </w:r>
      <w:r w:rsidR="0030637C" w:rsidRPr="00F1714B">
        <w:rPr>
          <w:rFonts w:cs="Times New Roman"/>
          <w:szCs w:val="26"/>
        </w:rPr>
        <w:t xml:space="preserve">the LEC’s continued </w:t>
      </w:r>
      <w:r w:rsidR="004E0275" w:rsidRPr="00F1714B">
        <w:rPr>
          <w:rFonts w:cs="Times New Roman"/>
          <w:szCs w:val="26"/>
        </w:rPr>
        <w:t xml:space="preserve">operations and </w:t>
      </w:r>
      <w:r w:rsidR="0030637C" w:rsidRPr="00F1714B">
        <w:rPr>
          <w:rFonts w:cs="Times New Roman"/>
          <w:szCs w:val="26"/>
        </w:rPr>
        <w:t>functionality wh</w:t>
      </w:r>
      <w:r w:rsidR="000515DD" w:rsidRPr="00F1714B">
        <w:rPr>
          <w:rFonts w:cs="Times New Roman"/>
          <w:szCs w:val="26"/>
        </w:rPr>
        <w:t>en emergenc</w:t>
      </w:r>
      <w:r w:rsidR="004E0275" w:rsidRPr="00F1714B">
        <w:rPr>
          <w:rFonts w:cs="Times New Roman"/>
          <w:szCs w:val="26"/>
        </w:rPr>
        <w:t xml:space="preserve">ies </w:t>
      </w:r>
      <w:r w:rsidR="000515DD" w:rsidRPr="00F1714B">
        <w:rPr>
          <w:rFonts w:cs="Times New Roman"/>
          <w:szCs w:val="26"/>
        </w:rPr>
        <w:t xml:space="preserve">arise, such as a </w:t>
      </w:r>
      <w:r w:rsidR="003867E1" w:rsidRPr="00F1714B">
        <w:rPr>
          <w:rFonts w:cs="Times New Roman"/>
          <w:szCs w:val="26"/>
        </w:rPr>
        <w:t xml:space="preserve">severe weather </w:t>
      </w:r>
      <w:r w:rsidR="000515DD" w:rsidRPr="00F1714B">
        <w:rPr>
          <w:rFonts w:cs="Times New Roman"/>
          <w:szCs w:val="26"/>
        </w:rPr>
        <w:t xml:space="preserve">event or natural disaster, </w:t>
      </w:r>
      <w:r w:rsidR="00F7755B" w:rsidRPr="00F1714B">
        <w:rPr>
          <w:rFonts w:cs="Times New Roman"/>
          <w:szCs w:val="26"/>
        </w:rPr>
        <w:t xml:space="preserve">since </w:t>
      </w:r>
      <w:r w:rsidR="000515DD" w:rsidRPr="00F1714B">
        <w:rPr>
          <w:rFonts w:cs="Times New Roman"/>
          <w:szCs w:val="26"/>
        </w:rPr>
        <w:t xml:space="preserve">voice service may be interrupted during this event.  </w:t>
      </w:r>
    </w:p>
    <w:p w14:paraId="1CB256E0" w14:textId="77777777" w:rsidR="009853F8" w:rsidRPr="00F1714B" w:rsidRDefault="009853F8" w:rsidP="000A7B5B">
      <w:pPr>
        <w:ind w:firstLine="720"/>
        <w:rPr>
          <w:rFonts w:cs="Times New Roman"/>
          <w:szCs w:val="26"/>
        </w:rPr>
      </w:pPr>
    </w:p>
    <w:p w14:paraId="631198EF" w14:textId="77777777" w:rsidR="00DA6F52" w:rsidRPr="00F1714B" w:rsidRDefault="00D857E9" w:rsidP="000A7B5B">
      <w:pPr>
        <w:ind w:firstLine="720"/>
        <w:rPr>
          <w:rFonts w:eastAsia="Times New Roman" w:cs="Times New Roman"/>
          <w:szCs w:val="26"/>
        </w:rPr>
      </w:pPr>
      <w:r w:rsidRPr="00F1714B">
        <w:rPr>
          <w:rFonts w:eastAsia="Times New Roman" w:cs="Times New Roman"/>
          <w:szCs w:val="26"/>
        </w:rPr>
        <w:t xml:space="preserve">We acknowledge </w:t>
      </w:r>
      <w:r w:rsidR="00B907B4" w:rsidRPr="00F1714B">
        <w:rPr>
          <w:rFonts w:eastAsia="Times New Roman" w:cs="Times New Roman"/>
          <w:szCs w:val="26"/>
        </w:rPr>
        <w:t>our statutory directive and regulatory obligation to revie</w:t>
      </w:r>
      <w:r w:rsidR="009853F8" w:rsidRPr="00F1714B">
        <w:rPr>
          <w:rFonts w:eastAsia="Times New Roman" w:cs="Times New Roman"/>
          <w:szCs w:val="26"/>
        </w:rPr>
        <w:t>w</w:t>
      </w:r>
      <w:r w:rsidR="00B907B4" w:rsidRPr="00F1714B">
        <w:rPr>
          <w:rFonts w:eastAsia="Times New Roman" w:cs="Times New Roman"/>
          <w:szCs w:val="26"/>
        </w:rPr>
        <w:t xml:space="preserve"> and revise </w:t>
      </w:r>
      <w:r w:rsidRPr="00F1714B">
        <w:rPr>
          <w:rFonts w:eastAsia="Times New Roman" w:cs="Times New Roman"/>
          <w:szCs w:val="26"/>
        </w:rPr>
        <w:t xml:space="preserve">our Chapter 63 telecommunications regulations </w:t>
      </w:r>
      <w:r w:rsidR="00B907B4" w:rsidRPr="00F1714B">
        <w:rPr>
          <w:rFonts w:eastAsia="Times New Roman" w:cs="Times New Roman"/>
          <w:szCs w:val="26"/>
        </w:rPr>
        <w:t xml:space="preserve">and </w:t>
      </w:r>
      <w:r w:rsidRPr="00F1714B">
        <w:rPr>
          <w:rFonts w:eastAsia="Times New Roman" w:cs="Times New Roman"/>
          <w:szCs w:val="26"/>
        </w:rPr>
        <w:t xml:space="preserve">to streamline them </w:t>
      </w:r>
      <w:r w:rsidR="00AA59AF" w:rsidRPr="00F1714B">
        <w:rPr>
          <w:rFonts w:eastAsia="Times New Roman" w:cs="Times New Roman"/>
          <w:szCs w:val="26"/>
        </w:rPr>
        <w:t>where necessary so that we do not “</w:t>
      </w:r>
      <w:r w:rsidRPr="00F1714B">
        <w:rPr>
          <w:rFonts w:eastAsia="Times New Roman" w:cs="Times New Roman"/>
          <w:szCs w:val="26"/>
        </w:rPr>
        <w:t>micro-manage</w:t>
      </w:r>
      <w:r w:rsidR="00AA59AF" w:rsidRPr="00F1714B">
        <w:rPr>
          <w:rFonts w:eastAsia="Times New Roman" w:cs="Times New Roman"/>
          <w:szCs w:val="26"/>
        </w:rPr>
        <w:t xml:space="preserve">” </w:t>
      </w:r>
      <w:r w:rsidRPr="00F1714B">
        <w:rPr>
          <w:rFonts w:eastAsia="Times New Roman" w:cs="Times New Roman"/>
          <w:szCs w:val="26"/>
        </w:rPr>
        <w:t>LECs</w:t>
      </w:r>
      <w:r w:rsidR="009A325D" w:rsidRPr="00F1714B">
        <w:rPr>
          <w:rFonts w:eastAsia="Times New Roman" w:cs="Times New Roman"/>
          <w:szCs w:val="26"/>
        </w:rPr>
        <w:t xml:space="preserve">.  </w:t>
      </w:r>
      <w:r w:rsidR="00B907B4" w:rsidRPr="00F1714B">
        <w:rPr>
          <w:rFonts w:eastAsia="Times New Roman" w:cs="Times New Roman"/>
          <w:szCs w:val="26"/>
        </w:rPr>
        <w:t>Therefore</w:t>
      </w:r>
      <w:r w:rsidR="009A325D" w:rsidRPr="00F1714B">
        <w:rPr>
          <w:rFonts w:eastAsia="Times New Roman" w:cs="Times New Roman"/>
          <w:szCs w:val="26"/>
        </w:rPr>
        <w:t xml:space="preserve">, when we are </w:t>
      </w:r>
      <w:r w:rsidRPr="00F1714B">
        <w:rPr>
          <w:rFonts w:eastAsia="Times New Roman" w:cs="Times New Roman"/>
          <w:szCs w:val="26"/>
        </w:rPr>
        <w:t xml:space="preserve">proposing </w:t>
      </w:r>
      <w:r w:rsidR="009A325D" w:rsidRPr="00F1714B">
        <w:rPr>
          <w:rFonts w:eastAsia="Times New Roman" w:cs="Times New Roman"/>
          <w:szCs w:val="26"/>
        </w:rPr>
        <w:t xml:space="preserve">modifications to the existing </w:t>
      </w:r>
      <w:r w:rsidRPr="00F1714B">
        <w:rPr>
          <w:rFonts w:eastAsia="Times New Roman" w:cs="Times New Roman"/>
          <w:szCs w:val="26"/>
        </w:rPr>
        <w:t xml:space="preserve">regulations </w:t>
      </w:r>
      <w:r w:rsidR="009A325D" w:rsidRPr="00F1714B">
        <w:rPr>
          <w:rFonts w:eastAsia="Times New Roman" w:cs="Times New Roman"/>
          <w:szCs w:val="26"/>
        </w:rPr>
        <w:t xml:space="preserve">it is our goal </w:t>
      </w:r>
      <w:r w:rsidRPr="00F1714B">
        <w:rPr>
          <w:rFonts w:eastAsia="Times New Roman" w:cs="Times New Roman"/>
          <w:szCs w:val="26"/>
        </w:rPr>
        <w:t>to ensure that (1) there is a demonstrated need to regulate</w:t>
      </w:r>
      <w:r w:rsidR="00442D60" w:rsidRPr="00F1714B">
        <w:rPr>
          <w:rFonts w:eastAsia="Times New Roman" w:cs="Times New Roman"/>
          <w:szCs w:val="26"/>
        </w:rPr>
        <w:t>,</w:t>
      </w:r>
      <w:r w:rsidRPr="00F1714B">
        <w:rPr>
          <w:rFonts w:eastAsia="Times New Roman" w:cs="Times New Roman"/>
          <w:szCs w:val="26"/>
        </w:rPr>
        <w:t xml:space="preserve"> and (2) the most efficient measure is selected to achieve </w:t>
      </w:r>
      <w:r w:rsidRPr="00F1714B">
        <w:rPr>
          <w:rFonts w:eastAsia="Times New Roman" w:cs="Times New Roman"/>
          <w:szCs w:val="26"/>
        </w:rPr>
        <w:lastRenderedPageBreak/>
        <w:t>the regulatory objective.</w:t>
      </w:r>
      <w:r w:rsidR="00C26939" w:rsidRPr="00F1714B">
        <w:rPr>
          <w:rFonts w:eastAsia="Times New Roman" w:cs="Times New Roman"/>
          <w:szCs w:val="26"/>
        </w:rPr>
        <w:t xml:space="preserve">  </w:t>
      </w:r>
      <w:r w:rsidR="00B907B4" w:rsidRPr="00F1714B">
        <w:rPr>
          <w:rFonts w:eastAsia="Times New Roman" w:cs="Times New Roman"/>
          <w:szCs w:val="26"/>
        </w:rPr>
        <w:t xml:space="preserve">Concerning the topic of continued operation in emergencies, the Commission determines that it is reasonable to continue to specify the back-up power requirements for line-powered voice service from the LECs’ central offices to ensure their ongoing functionality and to require LECs to reroute traffic around damaged facilities and manage traffic spikes resulting from emergency situations.  </w:t>
      </w:r>
    </w:p>
    <w:p w14:paraId="64CD51C5" w14:textId="77777777" w:rsidR="00DA6F52" w:rsidRPr="00F1714B" w:rsidRDefault="00DA6F52" w:rsidP="000A7B5B">
      <w:pPr>
        <w:ind w:firstLine="720"/>
        <w:rPr>
          <w:rFonts w:eastAsia="Times New Roman" w:cs="Times New Roman"/>
          <w:szCs w:val="26"/>
        </w:rPr>
      </w:pPr>
    </w:p>
    <w:p w14:paraId="1A6FE624" w14:textId="2D4BE57D" w:rsidR="00C23692" w:rsidRPr="00F1714B" w:rsidRDefault="00E14A0B" w:rsidP="000A7B5B">
      <w:pPr>
        <w:ind w:firstLine="720"/>
        <w:rPr>
          <w:rFonts w:eastAsia="Times New Roman" w:cs="Times New Roman"/>
          <w:szCs w:val="26"/>
        </w:rPr>
      </w:pPr>
      <w:r w:rsidRPr="00F1714B">
        <w:rPr>
          <w:rFonts w:cs="Times New Roman"/>
          <w:szCs w:val="26"/>
        </w:rPr>
        <w:t>W</w:t>
      </w:r>
      <w:r w:rsidR="000A7C6A" w:rsidRPr="00F1714B">
        <w:rPr>
          <w:rFonts w:cs="Times New Roman"/>
          <w:szCs w:val="26"/>
        </w:rPr>
        <w:t xml:space="preserve">e had proposed </w:t>
      </w:r>
      <w:r w:rsidR="00C23692" w:rsidRPr="00F1714B">
        <w:rPr>
          <w:rFonts w:cs="Times New Roman"/>
          <w:bCs/>
          <w:szCs w:val="26"/>
        </w:rPr>
        <w:t xml:space="preserve">to retain Section 63.14 in its entirety </w:t>
      </w:r>
      <w:r w:rsidR="00B907B4" w:rsidRPr="00F1714B">
        <w:rPr>
          <w:rFonts w:cs="Times New Roman"/>
          <w:bCs/>
          <w:szCs w:val="26"/>
        </w:rPr>
        <w:t xml:space="preserve">because it is </w:t>
      </w:r>
      <w:r w:rsidR="00C23692" w:rsidRPr="00F1714B">
        <w:rPr>
          <w:rFonts w:cs="Times New Roman"/>
          <w:bCs/>
          <w:szCs w:val="26"/>
        </w:rPr>
        <w:t xml:space="preserve">essential for the provision of adequate, </w:t>
      </w:r>
      <w:proofErr w:type="gramStart"/>
      <w:r w:rsidR="00C23692" w:rsidRPr="00F1714B">
        <w:rPr>
          <w:rFonts w:cs="Times New Roman"/>
          <w:bCs/>
          <w:szCs w:val="26"/>
        </w:rPr>
        <w:t>reliable</w:t>
      </w:r>
      <w:proofErr w:type="gramEnd"/>
      <w:r w:rsidR="00C23692" w:rsidRPr="00F1714B">
        <w:rPr>
          <w:rFonts w:cs="Times New Roman"/>
          <w:bCs/>
          <w:szCs w:val="26"/>
        </w:rPr>
        <w:t xml:space="preserve"> and resilient telecommunications services under conditions of various emergency situations.  </w:t>
      </w:r>
      <w:r w:rsidR="00385A23" w:rsidRPr="00F1714B">
        <w:rPr>
          <w:rFonts w:cs="Times New Roman"/>
          <w:bCs/>
          <w:szCs w:val="26"/>
        </w:rPr>
        <w:t>Thus</w:t>
      </w:r>
      <w:r w:rsidR="00B907B4" w:rsidRPr="00F1714B">
        <w:rPr>
          <w:rFonts w:cs="Times New Roman"/>
          <w:bCs/>
          <w:szCs w:val="26"/>
        </w:rPr>
        <w:t xml:space="preserve">, </w:t>
      </w:r>
      <w:r w:rsidR="00E752F7" w:rsidRPr="00F1714B">
        <w:rPr>
          <w:rFonts w:cs="Times New Roman"/>
          <w:bCs/>
          <w:szCs w:val="26"/>
        </w:rPr>
        <w:t xml:space="preserve">we determine </w:t>
      </w:r>
      <w:r w:rsidR="00AF6BEE" w:rsidRPr="00F1714B">
        <w:rPr>
          <w:rFonts w:cs="Times New Roman"/>
          <w:bCs/>
          <w:szCs w:val="26"/>
        </w:rPr>
        <w:t xml:space="preserve">that </w:t>
      </w:r>
      <w:r w:rsidR="000A7C6A" w:rsidRPr="00F1714B">
        <w:rPr>
          <w:rFonts w:cs="Times New Roman"/>
          <w:bCs/>
          <w:szCs w:val="26"/>
        </w:rPr>
        <w:t>Section 63</w:t>
      </w:r>
      <w:r w:rsidR="00F50232" w:rsidRPr="00F1714B">
        <w:rPr>
          <w:rFonts w:cs="Times New Roman"/>
          <w:bCs/>
          <w:szCs w:val="26"/>
        </w:rPr>
        <w:t>.</w:t>
      </w:r>
      <w:r w:rsidR="000A7C6A" w:rsidRPr="00F1714B">
        <w:rPr>
          <w:rFonts w:cs="Times New Roman"/>
          <w:bCs/>
          <w:szCs w:val="26"/>
        </w:rPr>
        <w:t>14 should be retained</w:t>
      </w:r>
      <w:r w:rsidR="00B907B4" w:rsidRPr="00F1714B">
        <w:rPr>
          <w:rFonts w:cs="Times New Roman"/>
          <w:bCs/>
          <w:szCs w:val="26"/>
        </w:rPr>
        <w:t xml:space="preserve"> in a streamlined form </w:t>
      </w:r>
      <w:r w:rsidR="00AF6BEE" w:rsidRPr="00F1714B">
        <w:rPr>
          <w:rFonts w:cs="Times New Roman"/>
          <w:bCs/>
          <w:szCs w:val="26"/>
        </w:rPr>
        <w:t xml:space="preserve">in the final-form </w:t>
      </w:r>
      <w:r w:rsidR="000A7C6A" w:rsidRPr="00F1714B">
        <w:rPr>
          <w:rFonts w:cs="Times New Roman"/>
          <w:bCs/>
          <w:szCs w:val="26"/>
        </w:rPr>
        <w:t>regulation set forth in the Annex.</w:t>
      </w:r>
      <w:r w:rsidR="00385A23" w:rsidRPr="00F1714B">
        <w:rPr>
          <w:rFonts w:cs="Times New Roman"/>
          <w:bCs/>
          <w:szCs w:val="26"/>
        </w:rPr>
        <w:t xml:space="preserve">  </w:t>
      </w:r>
    </w:p>
    <w:p w14:paraId="38CF2CFE" w14:textId="73B55EBA" w:rsidR="00E14A0B" w:rsidRPr="00F1714B" w:rsidRDefault="00E14A0B" w:rsidP="000A7B5B">
      <w:pPr>
        <w:ind w:firstLine="720"/>
        <w:rPr>
          <w:rFonts w:cs="Times New Roman"/>
          <w:bCs/>
          <w:szCs w:val="26"/>
        </w:rPr>
      </w:pPr>
    </w:p>
    <w:p w14:paraId="0FFFE81B" w14:textId="685FB7D4" w:rsidR="00E14A0B" w:rsidRPr="00F1714B" w:rsidRDefault="00E14A0B" w:rsidP="000A7B5B">
      <w:pPr>
        <w:ind w:firstLine="720"/>
        <w:rPr>
          <w:szCs w:val="26"/>
        </w:rPr>
      </w:pPr>
      <w:r w:rsidRPr="00F1714B">
        <w:rPr>
          <w:rFonts w:cs="Times New Roman"/>
          <w:szCs w:val="26"/>
        </w:rPr>
        <w:t xml:space="preserve">However, similar to our rescission of Section 63.12, we adopt our proposal to eliminate Section 63.13 as a standalone regulation, and we note that the issue of </w:t>
      </w:r>
      <w:r w:rsidRPr="00F1714B">
        <w:rPr>
          <w:szCs w:val="26"/>
        </w:rPr>
        <w:t>whether specific inspection/maintenance standards are still needed</w:t>
      </w:r>
      <w:r w:rsidR="00581473" w:rsidRPr="00F1714B">
        <w:rPr>
          <w:szCs w:val="26"/>
        </w:rPr>
        <w:t xml:space="preserve"> in Chapter 63</w:t>
      </w:r>
      <w:r w:rsidRPr="00F1714B">
        <w:rPr>
          <w:szCs w:val="26"/>
        </w:rPr>
        <w:t xml:space="preserve"> is addressed </w:t>
      </w:r>
      <w:r w:rsidR="00581473" w:rsidRPr="00F1714B">
        <w:rPr>
          <w:szCs w:val="26"/>
        </w:rPr>
        <w:t>as part of</w:t>
      </w:r>
      <w:r w:rsidRPr="00F1714B">
        <w:rPr>
          <w:szCs w:val="26"/>
        </w:rPr>
        <w:t xml:space="preserve"> our </w:t>
      </w:r>
      <w:r w:rsidR="00581473" w:rsidRPr="00F1714B">
        <w:rPr>
          <w:szCs w:val="26"/>
        </w:rPr>
        <w:t xml:space="preserve">Section 63.64 </w:t>
      </w:r>
      <w:r w:rsidRPr="00F1714B">
        <w:rPr>
          <w:szCs w:val="26"/>
        </w:rPr>
        <w:t xml:space="preserve">discussion elsewhere in this </w:t>
      </w:r>
      <w:r w:rsidR="003D3F31" w:rsidRPr="00F1714B">
        <w:rPr>
          <w:szCs w:val="26"/>
        </w:rPr>
        <w:t>Order</w:t>
      </w:r>
      <w:r w:rsidRPr="00F1714B">
        <w:rPr>
          <w:rFonts w:cs="Times New Roman"/>
          <w:szCs w:val="26"/>
        </w:rPr>
        <w:t xml:space="preserve">.  </w:t>
      </w:r>
    </w:p>
    <w:p w14:paraId="45DF1FD8" w14:textId="51DCB3AA" w:rsidR="00193643" w:rsidRPr="00F1714B" w:rsidRDefault="00193643" w:rsidP="000A7B5B">
      <w:pPr>
        <w:tabs>
          <w:tab w:val="left" w:pos="720"/>
          <w:tab w:val="left" w:pos="1440"/>
          <w:tab w:val="left" w:pos="4808"/>
        </w:tabs>
        <w:rPr>
          <w:rFonts w:cs="Times New Roman"/>
          <w:b/>
          <w:bCs/>
          <w:szCs w:val="26"/>
        </w:rPr>
      </w:pPr>
    </w:p>
    <w:p w14:paraId="34FCF9FD" w14:textId="3F377E37" w:rsidR="001B3461" w:rsidRPr="00F1714B" w:rsidRDefault="003D64C3" w:rsidP="000A7B5B">
      <w:pPr>
        <w:rPr>
          <w:rFonts w:cs="Times New Roman"/>
          <w:b/>
          <w:bCs/>
          <w:szCs w:val="26"/>
        </w:rPr>
      </w:pPr>
      <w:r w:rsidRPr="00F1714B">
        <w:rPr>
          <w:rFonts w:cs="Times New Roman"/>
          <w:b/>
          <w:bCs/>
          <w:szCs w:val="26"/>
        </w:rPr>
        <w:tab/>
      </w:r>
      <w:r w:rsidRPr="00F1714B">
        <w:rPr>
          <w:rFonts w:cs="Times New Roman"/>
          <w:b/>
          <w:bCs/>
          <w:szCs w:val="26"/>
        </w:rPr>
        <w:tab/>
      </w:r>
      <w:r w:rsidR="001B3461" w:rsidRPr="00F1714B">
        <w:rPr>
          <w:rFonts w:cs="Times New Roman"/>
          <w:b/>
          <w:bCs/>
          <w:szCs w:val="26"/>
        </w:rPr>
        <w:t>3.</w:t>
      </w:r>
      <w:r w:rsidR="001B3461" w:rsidRPr="00F1714B">
        <w:rPr>
          <w:rFonts w:cs="Times New Roman"/>
          <w:b/>
          <w:bCs/>
          <w:szCs w:val="26"/>
        </w:rPr>
        <w:tab/>
        <w:t xml:space="preserve">52 Pa. Code § 63.15 (Complaint Procedures) </w:t>
      </w:r>
    </w:p>
    <w:p w14:paraId="033F8BD6" w14:textId="7828BC41" w:rsidR="007E4A6A" w:rsidRPr="00F1714B" w:rsidRDefault="001B3461" w:rsidP="000A7B5B">
      <w:pPr>
        <w:tabs>
          <w:tab w:val="left" w:pos="720"/>
          <w:tab w:val="left" w:pos="1440"/>
        </w:tabs>
        <w:rPr>
          <w:rFonts w:cs="Times New Roman"/>
          <w:color w:val="000000"/>
          <w:szCs w:val="26"/>
        </w:rPr>
      </w:pPr>
      <w:r w:rsidRPr="00F1714B">
        <w:rPr>
          <w:rFonts w:cs="Times New Roman"/>
          <w:szCs w:val="26"/>
        </w:rPr>
        <w:tab/>
      </w:r>
      <w:r w:rsidR="00A26775" w:rsidRPr="00F1714B">
        <w:rPr>
          <w:rFonts w:cs="Times New Roman"/>
          <w:szCs w:val="26"/>
        </w:rPr>
        <w:t>C</w:t>
      </w:r>
      <w:r w:rsidRPr="00F1714B">
        <w:rPr>
          <w:rFonts w:cs="Times New Roman"/>
          <w:szCs w:val="26"/>
        </w:rPr>
        <w:t xml:space="preserve">onsistent with our prior determination in the </w:t>
      </w:r>
      <w:r w:rsidRPr="00F1714B">
        <w:rPr>
          <w:rFonts w:cs="Times New Roman"/>
          <w:i/>
          <w:iCs/>
          <w:szCs w:val="26"/>
        </w:rPr>
        <w:t>ANPR</w:t>
      </w:r>
      <w:r w:rsidR="00011950" w:rsidRPr="00F1714B">
        <w:rPr>
          <w:rFonts w:cs="Times New Roman"/>
          <w:i/>
          <w:iCs/>
          <w:szCs w:val="26"/>
        </w:rPr>
        <w:t>M</w:t>
      </w:r>
      <w:r w:rsidRPr="00F1714B">
        <w:rPr>
          <w:rFonts w:cs="Times New Roman"/>
          <w:i/>
          <w:iCs/>
          <w:szCs w:val="26"/>
        </w:rPr>
        <w:t xml:space="preserve"> Order</w:t>
      </w:r>
      <w:r w:rsidRPr="00F1714B">
        <w:rPr>
          <w:rFonts w:cs="Times New Roman"/>
          <w:szCs w:val="26"/>
        </w:rPr>
        <w:t>, we determine</w:t>
      </w:r>
      <w:r w:rsidR="00A26775" w:rsidRPr="00F1714B">
        <w:rPr>
          <w:rFonts w:cs="Times New Roman"/>
          <w:szCs w:val="26"/>
        </w:rPr>
        <w:t>d</w:t>
      </w:r>
      <w:r w:rsidRPr="00F1714B">
        <w:rPr>
          <w:rFonts w:cs="Times New Roman"/>
          <w:szCs w:val="26"/>
        </w:rPr>
        <w:t xml:space="preserve"> that </w:t>
      </w:r>
      <w:r w:rsidR="00A26775" w:rsidRPr="00F1714B">
        <w:rPr>
          <w:rFonts w:cs="Times New Roman"/>
          <w:szCs w:val="26"/>
        </w:rPr>
        <w:t xml:space="preserve">Section 63.15 </w:t>
      </w:r>
      <w:r w:rsidR="003C5DB5" w:rsidRPr="00F1714B">
        <w:rPr>
          <w:rFonts w:cs="Times New Roman"/>
          <w:szCs w:val="26"/>
        </w:rPr>
        <w:t xml:space="preserve">continues to serve a legitimate purpose by </w:t>
      </w:r>
      <w:r w:rsidR="001C10F9" w:rsidRPr="00F1714B">
        <w:rPr>
          <w:rFonts w:cs="Times New Roman"/>
          <w:szCs w:val="26"/>
        </w:rPr>
        <w:t xml:space="preserve">giving definition to a viable </w:t>
      </w:r>
      <w:r w:rsidRPr="00F1714B">
        <w:rPr>
          <w:rFonts w:cs="Times New Roman"/>
          <w:szCs w:val="26"/>
        </w:rPr>
        <w:t>complaint process</w:t>
      </w:r>
      <w:r w:rsidR="00D465CF" w:rsidRPr="00F1714B">
        <w:rPr>
          <w:rFonts w:cs="Times New Roman"/>
          <w:szCs w:val="26"/>
        </w:rPr>
        <w:t>.</w:t>
      </w:r>
      <w:r w:rsidRPr="00F1714B">
        <w:rPr>
          <w:rFonts w:cs="Times New Roman"/>
          <w:szCs w:val="26"/>
          <w:vertAlign w:val="superscript"/>
        </w:rPr>
        <w:footnoteReference w:id="45"/>
      </w:r>
      <w:r w:rsidRPr="00F1714B">
        <w:rPr>
          <w:rFonts w:cs="Times New Roman"/>
          <w:szCs w:val="26"/>
        </w:rPr>
        <w:t xml:space="preserve">  </w:t>
      </w:r>
      <w:r w:rsidR="00EC4EF9" w:rsidRPr="00F1714B">
        <w:rPr>
          <w:rFonts w:cs="Times New Roman"/>
          <w:szCs w:val="26"/>
        </w:rPr>
        <w:t xml:space="preserve">However, </w:t>
      </w:r>
      <w:r w:rsidR="0078275F" w:rsidRPr="00F1714B">
        <w:rPr>
          <w:rFonts w:cs="Times New Roman"/>
          <w:szCs w:val="26"/>
        </w:rPr>
        <w:t xml:space="preserve">we also determined that this regulatory section could </w:t>
      </w:r>
      <w:r w:rsidR="00EC4EF9" w:rsidRPr="00F1714B">
        <w:rPr>
          <w:rFonts w:cs="Times New Roman"/>
          <w:szCs w:val="26"/>
        </w:rPr>
        <w:t>be further modernized and streamlined.</w:t>
      </w:r>
      <w:r w:rsidR="0078275F" w:rsidRPr="00F1714B">
        <w:rPr>
          <w:rFonts w:cs="Times New Roman"/>
          <w:szCs w:val="26"/>
        </w:rPr>
        <w:t xml:space="preserve">  </w:t>
      </w:r>
      <w:r w:rsidR="0066608B" w:rsidRPr="00F1714B">
        <w:rPr>
          <w:rFonts w:cs="Times New Roman"/>
          <w:szCs w:val="26"/>
        </w:rPr>
        <w:t xml:space="preserve">The Commission noted that it had established a </w:t>
      </w:r>
      <w:r w:rsidR="0066608B" w:rsidRPr="00F1714B">
        <w:rPr>
          <w:rFonts w:cs="Times New Roman"/>
          <w:color w:val="000000"/>
          <w:szCs w:val="26"/>
        </w:rPr>
        <w:t xml:space="preserve">“warm transfer” program for Verizon, by which </w:t>
      </w:r>
      <w:r w:rsidR="00C7611D" w:rsidRPr="00F1714B">
        <w:rPr>
          <w:rFonts w:cs="Times New Roman"/>
          <w:color w:val="000000"/>
          <w:szCs w:val="26"/>
        </w:rPr>
        <w:t xml:space="preserve">BCS had the option to </w:t>
      </w:r>
      <w:r w:rsidR="003A6FC2" w:rsidRPr="00F1714B">
        <w:rPr>
          <w:rFonts w:cs="Times New Roman"/>
          <w:color w:val="000000"/>
          <w:szCs w:val="26"/>
        </w:rPr>
        <w:t xml:space="preserve">transfer any </w:t>
      </w:r>
      <w:r w:rsidR="0066608B" w:rsidRPr="00F1714B">
        <w:rPr>
          <w:rFonts w:cs="Times New Roman"/>
          <w:color w:val="000000"/>
          <w:szCs w:val="26"/>
        </w:rPr>
        <w:t xml:space="preserve">customers </w:t>
      </w:r>
      <w:r w:rsidR="00CD2FF6" w:rsidRPr="00F1714B">
        <w:rPr>
          <w:rFonts w:cs="Times New Roman"/>
          <w:color w:val="000000"/>
          <w:szCs w:val="26"/>
        </w:rPr>
        <w:t>who</w:t>
      </w:r>
      <w:r w:rsidR="00132806" w:rsidRPr="00F1714B">
        <w:rPr>
          <w:rFonts w:cs="Times New Roman"/>
          <w:color w:val="000000"/>
          <w:szCs w:val="26"/>
        </w:rPr>
        <w:t xml:space="preserve"> </w:t>
      </w:r>
      <w:r w:rsidR="0066608B" w:rsidRPr="00F1714B">
        <w:rPr>
          <w:rFonts w:cs="Times New Roman"/>
          <w:color w:val="000000"/>
          <w:szCs w:val="26"/>
        </w:rPr>
        <w:t>contact</w:t>
      </w:r>
      <w:r w:rsidR="003A6FC2" w:rsidRPr="00F1714B">
        <w:rPr>
          <w:rFonts w:cs="Times New Roman"/>
          <w:color w:val="000000"/>
          <w:szCs w:val="26"/>
        </w:rPr>
        <w:t xml:space="preserve">ed </w:t>
      </w:r>
      <w:r w:rsidR="0066608B" w:rsidRPr="00F1714B">
        <w:rPr>
          <w:rFonts w:cs="Times New Roman"/>
          <w:color w:val="000000"/>
          <w:szCs w:val="26"/>
        </w:rPr>
        <w:t>BCS</w:t>
      </w:r>
      <w:r w:rsidR="00C7611D" w:rsidRPr="00F1714B">
        <w:rPr>
          <w:rFonts w:cs="Times New Roman"/>
          <w:color w:val="000000"/>
          <w:szCs w:val="26"/>
        </w:rPr>
        <w:t xml:space="preserve"> </w:t>
      </w:r>
      <w:r w:rsidR="0066608B" w:rsidRPr="00F1714B">
        <w:rPr>
          <w:rFonts w:cs="Times New Roman"/>
          <w:color w:val="000000"/>
          <w:szCs w:val="26"/>
        </w:rPr>
        <w:t xml:space="preserve">about a service </w:t>
      </w:r>
      <w:r w:rsidR="003A6FC2" w:rsidRPr="00F1714B">
        <w:rPr>
          <w:rFonts w:cs="Times New Roman"/>
          <w:color w:val="000000"/>
          <w:szCs w:val="26"/>
        </w:rPr>
        <w:t xml:space="preserve">or billing </w:t>
      </w:r>
      <w:r w:rsidR="0066608B" w:rsidRPr="00F1714B">
        <w:rPr>
          <w:rFonts w:cs="Times New Roman"/>
          <w:color w:val="000000"/>
          <w:szCs w:val="26"/>
        </w:rPr>
        <w:t xml:space="preserve">complaint </w:t>
      </w:r>
      <w:r w:rsidR="00673993" w:rsidRPr="00F1714B">
        <w:rPr>
          <w:rFonts w:cs="Times New Roman"/>
          <w:color w:val="000000"/>
          <w:szCs w:val="26"/>
        </w:rPr>
        <w:t xml:space="preserve">directly </w:t>
      </w:r>
      <w:r w:rsidR="0066608B" w:rsidRPr="00F1714B">
        <w:rPr>
          <w:rFonts w:cs="Times New Roman"/>
          <w:color w:val="000000"/>
          <w:szCs w:val="26"/>
        </w:rPr>
        <w:t xml:space="preserve">to </w:t>
      </w:r>
      <w:r w:rsidR="003A6FC2" w:rsidRPr="00F1714B">
        <w:rPr>
          <w:rFonts w:cs="Times New Roman"/>
          <w:color w:val="000000"/>
          <w:szCs w:val="26"/>
        </w:rPr>
        <w:t xml:space="preserve">the </w:t>
      </w:r>
      <w:r w:rsidR="0066608B" w:rsidRPr="00F1714B">
        <w:rPr>
          <w:rFonts w:cs="Times New Roman"/>
          <w:color w:val="000000"/>
          <w:szCs w:val="26"/>
        </w:rPr>
        <w:t>company</w:t>
      </w:r>
      <w:r w:rsidR="003A6FC2" w:rsidRPr="00F1714B">
        <w:rPr>
          <w:rFonts w:cs="Times New Roman"/>
          <w:color w:val="000000"/>
          <w:szCs w:val="26"/>
        </w:rPr>
        <w:t xml:space="preserve">’s </w:t>
      </w:r>
      <w:r w:rsidR="0066608B" w:rsidRPr="00F1714B">
        <w:rPr>
          <w:rFonts w:cs="Times New Roman"/>
          <w:color w:val="000000"/>
          <w:szCs w:val="26"/>
        </w:rPr>
        <w:t xml:space="preserve">representative in an effort to address the </w:t>
      </w:r>
      <w:r w:rsidR="001A284F" w:rsidRPr="00F1714B">
        <w:rPr>
          <w:rFonts w:cs="Times New Roman"/>
          <w:color w:val="000000"/>
          <w:szCs w:val="26"/>
        </w:rPr>
        <w:t xml:space="preserve">customer’s </w:t>
      </w:r>
      <w:r w:rsidR="0066608B" w:rsidRPr="00F1714B">
        <w:rPr>
          <w:rFonts w:cs="Times New Roman"/>
          <w:color w:val="000000"/>
          <w:szCs w:val="26"/>
        </w:rPr>
        <w:t xml:space="preserve">issues </w:t>
      </w:r>
      <w:r w:rsidR="003A6FC2" w:rsidRPr="00F1714B">
        <w:rPr>
          <w:rFonts w:cs="Times New Roman"/>
          <w:color w:val="000000"/>
          <w:szCs w:val="26"/>
        </w:rPr>
        <w:t xml:space="preserve">and </w:t>
      </w:r>
      <w:r w:rsidR="00B907B4" w:rsidRPr="00F1714B">
        <w:rPr>
          <w:rFonts w:cs="Times New Roman"/>
          <w:color w:val="000000"/>
          <w:szCs w:val="26"/>
        </w:rPr>
        <w:t xml:space="preserve">avoid </w:t>
      </w:r>
      <w:r w:rsidR="003A6FC2" w:rsidRPr="00F1714B">
        <w:rPr>
          <w:rFonts w:cs="Times New Roman"/>
          <w:color w:val="000000"/>
          <w:szCs w:val="26"/>
        </w:rPr>
        <w:t xml:space="preserve">the </w:t>
      </w:r>
      <w:r w:rsidR="00B907B4" w:rsidRPr="00F1714B">
        <w:rPr>
          <w:rFonts w:cs="Times New Roman"/>
          <w:color w:val="000000"/>
          <w:szCs w:val="26"/>
        </w:rPr>
        <w:t xml:space="preserve">filing of an </w:t>
      </w:r>
      <w:r w:rsidR="003A6FC2" w:rsidRPr="00F1714B">
        <w:rPr>
          <w:rFonts w:cs="Times New Roman"/>
          <w:color w:val="000000"/>
          <w:szCs w:val="26"/>
        </w:rPr>
        <w:t>informal complaint.  We acknowledged that</w:t>
      </w:r>
      <w:r w:rsidR="000F54CB" w:rsidRPr="00F1714B">
        <w:rPr>
          <w:rFonts w:cs="Times New Roman"/>
          <w:color w:val="000000"/>
          <w:szCs w:val="26"/>
        </w:rPr>
        <w:t xml:space="preserve"> this option promoted </w:t>
      </w:r>
      <w:r w:rsidR="0066608B" w:rsidRPr="00F1714B">
        <w:rPr>
          <w:rFonts w:cs="Times New Roman"/>
          <w:color w:val="000000"/>
          <w:szCs w:val="26"/>
        </w:rPr>
        <w:t xml:space="preserve">efficiency for both customers and LECs. </w:t>
      </w:r>
      <w:r w:rsidR="00081487" w:rsidRPr="00F1714B">
        <w:rPr>
          <w:rFonts w:cs="Times New Roman"/>
          <w:szCs w:val="26"/>
        </w:rPr>
        <w:t xml:space="preserve"> </w:t>
      </w:r>
      <w:r w:rsidR="0078275F" w:rsidRPr="00F1714B">
        <w:rPr>
          <w:rFonts w:cs="Times New Roman"/>
          <w:szCs w:val="26"/>
        </w:rPr>
        <w:t xml:space="preserve">Thus, we </w:t>
      </w:r>
      <w:r w:rsidR="00EC4EF9" w:rsidRPr="00F1714B">
        <w:rPr>
          <w:rFonts w:cs="Times New Roman"/>
          <w:color w:val="000000"/>
          <w:szCs w:val="26"/>
        </w:rPr>
        <w:t>propose</w:t>
      </w:r>
      <w:r w:rsidR="0066608B" w:rsidRPr="00F1714B">
        <w:rPr>
          <w:rFonts w:cs="Times New Roman"/>
          <w:color w:val="000000"/>
          <w:szCs w:val="26"/>
        </w:rPr>
        <w:t xml:space="preserve">d </w:t>
      </w:r>
      <w:r w:rsidR="00EC4EF9" w:rsidRPr="00F1714B">
        <w:rPr>
          <w:rFonts w:cs="Times New Roman"/>
          <w:color w:val="000000"/>
          <w:szCs w:val="26"/>
        </w:rPr>
        <w:t xml:space="preserve">to amend Section 63.15 to add new </w:t>
      </w:r>
      <w:r w:rsidR="00EC4EF9" w:rsidRPr="00F1714B">
        <w:rPr>
          <w:rFonts w:cs="Times New Roman"/>
          <w:color w:val="000000"/>
          <w:szCs w:val="26"/>
        </w:rPr>
        <w:lastRenderedPageBreak/>
        <w:t xml:space="preserve">language to provide all telecommunications public utilities, most particularly our ILECs, </w:t>
      </w:r>
      <w:r w:rsidR="0066608B" w:rsidRPr="00F1714B">
        <w:rPr>
          <w:rFonts w:cs="Times New Roman"/>
          <w:color w:val="000000"/>
          <w:szCs w:val="26"/>
        </w:rPr>
        <w:t xml:space="preserve">with </w:t>
      </w:r>
      <w:r w:rsidR="00EC4EF9" w:rsidRPr="00F1714B">
        <w:rPr>
          <w:rFonts w:cs="Times New Roman"/>
          <w:color w:val="000000"/>
          <w:szCs w:val="26"/>
        </w:rPr>
        <w:t>the option to participate in a warm transfer or similar program for service and/or billing</w:t>
      </w:r>
      <w:r w:rsidR="00163C22" w:rsidRPr="00F1714B">
        <w:rPr>
          <w:rFonts w:cs="Times New Roman"/>
          <w:color w:val="000000"/>
          <w:szCs w:val="26"/>
        </w:rPr>
        <w:t>-</w:t>
      </w:r>
      <w:r w:rsidR="00EC4EF9" w:rsidRPr="00F1714B">
        <w:rPr>
          <w:rFonts w:cs="Times New Roman"/>
          <w:color w:val="000000"/>
          <w:szCs w:val="26"/>
        </w:rPr>
        <w:t xml:space="preserve">related disputes made to the Commission’s BCS. </w:t>
      </w:r>
    </w:p>
    <w:p w14:paraId="4AEAF13E" w14:textId="7F981501" w:rsidR="00FF39CA" w:rsidRPr="00F1714B" w:rsidRDefault="00FF39CA" w:rsidP="000A7B5B">
      <w:pPr>
        <w:tabs>
          <w:tab w:val="left" w:pos="720"/>
          <w:tab w:val="left" w:pos="1440"/>
        </w:tabs>
        <w:rPr>
          <w:rFonts w:cs="Times New Roman"/>
          <w:color w:val="000000"/>
          <w:szCs w:val="26"/>
        </w:rPr>
      </w:pPr>
    </w:p>
    <w:p w14:paraId="2AD9279F" w14:textId="24F06957" w:rsidR="007E4A6A" w:rsidRPr="00F1714B" w:rsidRDefault="00E765E8" w:rsidP="000A7B5B">
      <w:pPr>
        <w:ind w:left="1440" w:firstLine="720"/>
        <w:contextualSpacing/>
        <w:rPr>
          <w:rFonts w:cs="Times New Roman"/>
          <w:b/>
          <w:color w:val="000000"/>
          <w:szCs w:val="26"/>
        </w:rPr>
      </w:pPr>
      <w:r w:rsidRPr="00F1714B">
        <w:rPr>
          <w:rFonts w:cs="Times New Roman"/>
          <w:b/>
          <w:color w:val="000000"/>
          <w:szCs w:val="26"/>
        </w:rPr>
        <w:t>a</w:t>
      </w:r>
      <w:r w:rsidR="007E4A6A" w:rsidRPr="00F1714B">
        <w:rPr>
          <w:rFonts w:cs="Times New Roman"/>
          <w:b/>
          <w:color w:val="000000"/>
          <w:szCs w:val="26"/>
        </w:rPr>
        <w:t>.</w:t>
      </w:r>
      <w:r w:rsidR="007E4A6A" w:rsidRPr="00F1714B">
        <w:rPr>
          <w:rFonts w:cs="Times New Roman"/>
          <w:b/>
          <w:color w:val="000000"/>
          <w:szCs w:val="26"/>
        </w:rPr>
        <w:tab/>
        <w:t>Comments</w:t>
      </w:r>
      <w:r w:rsidR="0069645D" w:rsidRPr="00F1714B">
        <w:rPr>
          <w:rFonts w:cs="Times New Roman"/>
          <w:b/>
          <w:color w:val="000000"/>
          <w:szCs w:val="26"/>
        </w:rPr>
        <w:t xml:space="preserve"> and Replies</w:t>
      </w:r>
    </w:p>
    <w:p w14:paraId="37614C7B" w14:textId="66712D2A" w:rsidR="00BE3001" w:rsidRPr="00F1714B" w:rsidRDefault="00BE3001" w:rsidP="00E55426">
      <w:pPr>
        <w:ind w:firstLine="720"/>
        <w:rPr>
          <w:rFonts w:cs="Times New Roman"/>
          <w:szCs w:val="26"/>
        </w:rPr>
      </w:pPr>
      <w:bookmarkStart w:id="28" w:name="_Hlk81147559"/>
      <w:r w:rsidRPr="00F1714B">
        <w:rPr>
          <w:rFonts w:cs="Times New Roman"/>
          <w:szCs w:val="26"/>
        </w:rPr>
        <w:t xml:space="preserve">With respect to the Commission’s proposed warm transfer process, IRRC opines that “[t]he description provided by the [Commission] is a general overview of the process and does not provide sufficient detail about the implementation or technical requirements needed to participate” and “does not explain how it promotes efficiency for both the customers and ILECs.” </w:t>
      </w:r>
      <w:r w:rsidR="00936A3B" w:rsidRPr="00F1714B">
        <w:rPr>
          <w:rFonts w:cs="Times New Roman"/>
          <w:szCs w:val="26"/>
        </w:rPr>
        <w:t xml:space="preserve"> </w:t>
      </w:r>
      <w:r w:rsidRPr="00F1714B">
        <w:rPr>
          <w:rFonts w:cs="Times New Roman"/>
          <w:szCs w:val="26"/>
        </w:rPr>
        <w:t xml:space="preserve">IRRC Comments at 6. </w:t>
      </w:r>
      <w:r w:rsidR="00384D76" w:rsidRPr="00F1714B">
        <w:rPr>
          <w:rFonts w:cs="Times New Roman"/>
          <w:szCs w:val="26"/>
        </w:rPr>
        <w:t xml:space="preserve"> </w:t>
      </w:r>
      <w:r w:rsidRPr="00F1714B">
        <w:rPr>
          <w:rFonts w:cs="Times New Roman"/>
          <w:szCs w:val="26"/>
        </w:rPr>
        <w:t>IRRC recommends that “[t]he [Commission</w:t>
      </w:r>
      <w:r w:rsidR="00B907B4" w:rsidRPr="00F1714B">
        <w:rPr>
          <w:rFonts w:cs="Times New Roman"/>
          <w:szCs w:val="26"/>
        </w:rPr>
        <w:t>]</w:t>
      </w:r>
      <w:r w:rsidRPr="00F1714B">
        <w:rPr>
          <w:rFonts w:cs="Times New Roman"/>
          <w:szCs w:val="26"/>
        </w:rPr>
        <w:t xml:space="preserve"> should provide greater detail pertaining to the process and technical requirements of this section” and “it should also describe how the automatic customer transfer option promotes efficiency for both customers and service providers.”</w:t>
      </w:r>
      <w:r w:rsidR="005263F4" w:rsidRPr="00F1714B">
        <w:rPr>
          <w:rFonts w:cs="Times New Roman"/>
          <w:szCs w:val="26"/>
        </w:rPr>
        <w:t xml:space="preserve"> </w:t>
      </w:r>
      <w:r w:rsidRPr="00F1714B">
        <w:rPr>
          <w:rFonts w:cs="Times New Roman"/>
          <w:szCs w:val="26"/>
        </w:rPr>
        <w:t xml:space="preserve"> IRRC Comments at 6.  </w:t>
      </w:r>
    </w:p>
    <w:p w14:paraId="548161D7" w14:textId="77777777" w:rsidR="00BE3001" w:rsidRPr="00F1714B" w:rsidRDefault="00BE3001" w:rsidP="00E55426">
      <w:pPr>
        <w:ind w:firstLine="720"/>
        <w:rPr>
          <w:rFonts w:cs="Times New Roman"/>
          <w:szCs w:val="26"/>
        </w:rPr>
      </w:pPr>
    </w:p>
    <w:p w14:paraId="3D8896CC" w14:textId="0E050236" w:rsidR="00261481" w:rsidRPr="00F1714B" w:rsidRDefault="00BE3001" w:rsidP="00E55426">
      <w:pPr>
        <w:ind w:firstLine="720"/>
        <w:rPr>
          <w:rFonts w:cs="Times New Roman"/>
          <w:szCs w:val="26"/>
        </w:rPr>
      </w:pPr>
      <w:r w:rsidRPr="00F1714B">
        <w:rPr>
          <w:rFonts w:cs="Times New Roman"/>
          <w:szCs w:val="26"/>
        </w:rPr>
        <w:t xml:space="preserve">The </w:t>
      </w:r>
      <w:r w:rsidR="00261481" w:rsidRPr="00F1714B">
        <w:rPr>
          <w:rFonts w:cs="Times New Roman"/>
          <w:szCs w:val="26"/>
        </w:rPr>
        <w:t xml:space="preserve">OCA supports the Commission’s proposal to retain subsection 63.15 and to add the warm transfer option. OCA Comments at 12. </w:t>
      </w:r>
      <w:r w:rsidR="00384D76" w:rsidRPr="00F1714B">
        <w:rPr>
          <w:rFonts w:cs="Times New Roman"/>
          <w:szCs w:val="26"/>
        </w:rPr>
        <w:t xml:space="preserve"> </w:t>
      </w:r>
      <w:r w:rsidR="00261481" w:rsidRPr="00F1714B">
        <w:rPr>
          <w:rFonts w:cs="Times New Roman"/>
          <w:szCs w:val="26"/>
        </w:rPr>
        <w:t>TCC/CCL suggest that the Commission modify its proposed warm transfer procedure for customer complaints in subsection 63.15, to be optional for the carrier as well as the customer.</w:t>
      </w:r>
      <w:r w:rsidR="005263F4" w:rsidRPr="00F1714B">
        <w:rPr>
          <w:rFonts w:cs="Times New Roman"/>
          <w:szCs w:val="26"/>
        </w:rPr>
        <w:t xml:space="preserve"> </w:t>
      </w:r>
      <w:r w:rsidR="00261481" w:rsidRPr="00F1714B">
        <w:rPr>
          <w:rFonts w:cs="Times New Roman"/>
          <w:szCs w:val="26"/>
        </w:rPr>
        <w:t xml:space="preserve"> </w:t>
      </w:r>
      <w:bookmarkStart w:id="29" w:name="_Hlk77082378"/>
      <w:r w:rsidR="00261481" w:rsidRPr="00F1714B">
        <w:rPr>
          <w:rFonts w:cs="Times New Roman"/>
          <w:szCs w:val="26"/>
        </w:rPr>
        <w:t xml:space="preserve">TCC/CCL Comments at </w:t>
      </w:r>
      <w:bookmarkEnd w:id="29"/>
      <w:r w:rsidR="00261481" w:rsidRPr="00F1714B">
        <w:rPr>
          <w:rFonts w:cs="Times New Roman"/>
          <w:szCs w:val="26"/>
        </w:rPr>
        <w:t xml:space="preserve">12-13. </w:t>
      </w:r>
    </w:p>
    <w:p w14:paraId="7132871D" w14:textId="77777777" w:rsidR="009E5DCF" w:rsidRPr="00F1714B" w:rsidRDefault="009E5DCF" w:rsidP="00E55426">
      <w:pPr>
        <w:ind w:firstLine="720"/>
        <w:rPr>
          <w:rFonts w:cs="Times New Roman"/>
          <w:szCs w:val="26"/>
        </w:rPr>
      </w:pPr>
    </w:p>
    <w:p w14:paraId="597AD7B9" w14:textId="302CE5ED" w:rsidR="002307A4" w:rsidRPr="00F1714B" w:rsidRDefault="00261481" w:rsidP="00E55426">
      <w:pPr>
        <w:ind w:firstLine="720"/>
        <w:rPr>
          <w:rFonts w:cs="Times New Roman"/>
          <w:szCs w:val="26"/>
        </w:rPr>
      </w:pPr>
      <w:r w:rsidRPr="00F1714B">
        <w:rPr>
          <w:rFonts w:cs="Times New Roman"/>
          <w:szCs w:val="26"/>
        </w:rPr>
        <w:t xml:space="preserve">With respect to subsection 63.15, Verizon argues that the existing BCS informal complaint process does not apply to competitive services and does not benefit consumers because it focuses carrier resources on generating reports instead of resolving complaints. </w:t>
      </w:r>
      <w:r w:rsidR="007751C3" w:rsidRPr="00F1714B">
        <w:rPr>
          <w:rFonts w:cs="Times New Roman"/>
          <w:szCs w:val="26"/>
        </w:rPr>
        <w:t xml:space="preserve"> </w:t>
      </w:r>
      <w:r w:rsidRPr="00F1714B">
        <w:rPr>
          <w:rFonts w:cs="Times New Roman"/>
          <w:szCs w:val="26"/>
        </w:rPr>
        <w:t xml:space="preserve">Verizon Comments at 14. </w:t>
      </w:r>
      <w:r w:rsidR="00571E1B" w:rsidRPr="00F1714B">
        <w:rPr>
          <w:rFonts w:cs="Times New Roman"/>
          <w:szCs w:val="26"/>
        </w:rPr>
        <w:t xml:space="preserve"> </w:t>
      </w:r>
      <w:r w:rsidRPr="00F1714B">
        <w:rPr>
          <w:rFonts w:cs="Times New Roman"/>
          <w:szCs w:val="26"/>
        </w:rPr>
        <w:t xml:space="preserve">Verizon posits that the Commission’s proposed warm transfer option would not significantly reduce the reporting burden or expedite complaint resolution. </w:t>
      </w:r>
      <w:r w:rsidR="00EB76C2" w:rsidRPr="00F1714B">
        <w:rPr>
          <w:rFonts w:cs="Times New Roman"/>
          <w:szCs w:val="26"/>
        </w:rPr>
        <w:t xml:space="preserve"> </w:t>
      </w:r>
      <w:r w:rsidRPr="00F1714B">
        <w:rPr>
          <w:rFonts w:cs="Times New Roman"/>
          <w:szCs w:val="26"/>
        </w:rPr>
        <w:t xml:space="preserve">Verizon Comments at 15. </w:t>
      </w:r>
    </w:p>
    <w:p w14:paraId="5B895FFC" w14:textId="77777777" w:rsidR="002307A4" w:rsidRPr="00F1714B" w:rsidRDefault="002307A4" w:rsidP="00E55426">
      <w:pPr>
        <w:ind w:firstLine="720"/>
        <w:rPr>
          <w:rFonts w:cs="Times New Roman"/>
          <w:szCs w:val="26"/>
        </w:rPr>
      </w:pPr>
    </w:p>
    <w:p w14:paraId="3C0DE993" w14:textId="26808F79" w:rsidR="00261481" w:rsidRPr="00F1714B" w:rsidRDefault="00261481" w:rsidP="00E55426">
      <w:pPr>
        <w:ind w:firstLine="720"/>
        <w:rPr>
          <w:rFonts w:cs="Times New Roman"/>
          <w:szCs w:val="26"/>
        </w:rPr>
      </w:pPr>
      <w:r w:rsidRPr="00F1714B">
        <w:rPr>
          <w:rFonts w:cs="Times New Roman"/>
          <w:szCs w:val="26"/>
        </w:rPr>
        <w:lastRenderedPageBreak/>
        <w:t xml:space="preserve">Verizon proposes an alternative complaint process whereby (a) BCS shall only accept informal complaints relating to noncompetitive standalone basic residential </w:t>
      </w:r>
      <w:r w:rsidR="00673993" w:rsidRPr="00F1714B">
        <w:rPr>
          <w:rFonts w:cs="Times New Roman"/>
          <w:szCs w:val="26"/>
        </w:rPr>
        <w:t xml:space="preserve">local exchange </w:t>
      </w:r>
      <w:r w:rsidRPr="00F1714B">
        <w:rPr>
          <w:rFonts w:cs="Times New Roman"/>
          <w:szCs w:val="26"/>
        </w:rPr>
        <w:t xml:space="preserve">service, and utilize the warm-transfer option upon agreement of the carrier; (b) BCS shall refer all complaints relating to competitive services to the carrier and shall not accept any complaint relating to </w:t>
      </w:r>
      <w:r w:rsidR="006B566C" w:rsidRPr="00F1714B">
        <w:rPr>
          <w:rFonts w:cs="Times New Roman"/>
          <w:szCs w:val="26"/>
        </w:rPr>
        <w:t xml:space="preserve">a competitive </w:t>
      </w:r>
      <w:r w:rsidRPr="00F1714B">
        <w:rPr>
          <w:rFonts w:cs="Times New Roman"/>
          <w:szCs w:val="26"/>
        </w:rPr>
        <w:t xml:space="preserve">service or service outside the Commission’s jurisdiction; and (c) after the end of 2023, BCS shall no longer accept informal complaints relating to telecommunications service and shall refer all such complaints to the carrier. </w:t>
      </w:r>
      <w:r w:rsidR="00EB76C2" w:rsidRPr="00F1714B">
        <w:rPr>
          <w:rFonts w:cs="Times New Roman"/>
          <w:szCs w:val="26"/>
        </w:rPr>
        <w:t xml:space="preserve"> </w:t>
      </w:r>
      <w:r w:rsidRPr="00F1714B">
        <w:rPr>
          <w:rFonts w:cs="Times New Roman"/>
          <w:szCs w:val="26"/>
        </w:rPr>
        <w:t>Verizon Comments at 15.</w:t>
      </w:r>
    </w:p>
    <w:p w14:paraId="2D0CCA28" w14:textId="77777777" w:rsidR="00DA4C98" w:rsidRPr="00F1714B" w:rsidRDefault="00DA4C98" w:rsidP="00E55426">
      <w:pPr>
        <w:ind w:firstLine="720"/>
        <w:rPr>
          <w:rFonts w:cs="Times New Roman"/>
          <w:szCs w:val="26"/>
        </w:rPr>
      </w:pPr>
    </w:p>
    <w:p w14:paraId="474B3800" w14:textId="2B3B5039" w:rsidR="005F67D6" w:rsidRPr="00F1714B" w:rsidRDefault="007751C3" w:rsidP="00E55426">
      <w:pPr>
        <w:ind w:firstLine="720"/>
        <w:rPr>
          <w:rFonts w:cs="Times New Roman"/>
          <w:szCs w:val="26"/>
        </w:rPr>
      </w:pPr>
      <w:r w:rsidRPr="00F1714B">
        <w:rPr>
          <w:rFonts w:cs="Times New Roman"/>
          <w:szCs w:val="26"/>
        </w:rPr>
        <w:t>T</w:t>
      </w:r>
      <w:r w:rsidR="005F67D6" w:rsidRPr="00F1714B">
        <w:rPr>
          <w:rFonts w:cs="Times New Roman"/>
          <w:szCs w:val="26"/>
        </w:rPr>
        <w:t>he OCA specifically opposes Verizon’s proposals regarding Section 63.15</w:t>
      </w:r>
      <w:r w:rsidR="006F7F57" w:rsidRPr="00F1714B">
        <w:rPr>
          <w:rFonts w:cs="Times New Roman"/>
          <w:szCs w:val="26"/>
        </w:rPr>
        <w:t>.  The OCA asserts that Verizon</w:t>
      </w:r>
      <w:r w:rsidR="000E4B0B" w:rsidRPr="00F1714B">
        <w:rPr>
          <w:rFonts w:cs="Times New Roman"/>
          <w:szCs w:val="26"/>
        </w:rPr>
        <w:t>’s</w:t>
      </w:r>
      <w:r w:rsidR="006F7F57" w:rsidRPr="00F1714B">
        <w:rPr>
          <w:rFonts w:cs="Times New Roman"/>
          <w:szCs w:val="26"/>
        </w:rPr>
        <w:t xml:space="preserve"> </w:t>
      </w:r>
      <w:r w:rsidR="005F67D6" w:rsidRPr="00F1714B">
        <w:rPr>
          <w:rFonts w:cs="Times New Roman"/>
          <w:szCs w:val="26"/>
        </w:rPr>
        <w:t>proposal</w:t>
      </w:r>
      <w:r w:rsidR="006F7F57" w:rsidRPr="00F1714B">
        <w:rPr>
          <w:rFonts w:cs="Times New Roman"/>
          <w:szCs w:val="26"/>
        </w:rPr>
        <w:t xml:space="preserve"> </w:t>
      </w:r>
      <w:r w:rsidR="005F67D6" w:rsidRPr="00F1714B">
        <w:rPr>
          <w:rFonts w:cs="Times New Roman"/>
          <w:szCs w:val="26"/>
        </w:rPr>
        <w:t>would limit carriers’ obligations and customer’s remedies to “noncompetitive basic local service on a stand-alone basis.”</w:t>
      </w:r>
      <w:r w:rsidR="00EB76C2" w:rsidRPr="00F1714B">
        <w:rPr>
          <w:rFonts w:cs="Times New Roman"/>
          <w:szCs w:val="26"/>
        </w:rPr>
        <w:t xml:space="preserve"> </w:t>
      </w:r>
      <w:r w:rsidR="005F67D6" w:rsidRPr="00F1714B">
        <w:rPr>
          <w:rFonts w:cs="Times New Roman"/>
          <w:szCs w:val="26"/>
        </w:rPr>
        <w:t xml:space="preserve"> OCA Reply Comments at 9-10. </w:t>
      </w:r>
    </w:p>
    <w:p w14:paraId="1D816C3B" w14:textId="77777777" w:rsidR="0065666C" w:rsidRPr="00F1714B" w:rsidRDefault="0065666C" w:rsidP="00E55426">
      <w:pPr>
        <w:ind w:firstLine="720"/>
        <w:rPr>
          <w:rFonts w:cs="Times New Roman"/>
          <w:szCs w:val="26"/>
        </w:rPr>
      </w:pPr>
    </w:p>
    <w:bookmarkEnd w:id="28"/>
    <w:p w14:paraId="1F036CF4" w14:textId="336D010F" w:rsidR="007E4A6A" w:rsidRPr="00F1714B" w:rsidRDefault="007E4A6A" w:rsidP="000A7B5B">
      <w:pPr>
        <w:ind w:firstLine="720"/>
        <w:contextualSpacing/>
        <w:rPr>
          <w:rFonts w:cs="Times New Roman"/>
          <w:b/>
          <w:bCs/>
          <w:color w:val="000000"/>
          <w:szCs w:val="26"/>
        </w:rPr>
      </w:pPr>
      <w:r w:rsidRPr="00F1714B">
        <w:rPr>
          <w:rFonts w:cs="Times New Roman"/>
          <w:b/>
          <w:bCs/>
          <w:color w:val="000000"/>
          <w:szCs w:val="26"/>
        </w:rPr>
        <w:tab/>
        <w:t>b</w:t>
      </w:r>
      <w:r w:rsidR="00C0523B" w:rsidRPr="00F1714B">
        <w:rPr>
          <w:rFonts w:cs="Times New Roman"/>
          <w:b/>
          <w:bCs/>
          <w:color w:val="000000"/>
          <w:szCs w:val="26"/>
        </w:rPr>
        <w:t>.</w:t>
      </w:r>
      <w:r w:rsidRPr="00F1714B">
        <w:rPr>
          <w:rFonts w:cs="Times New Roman"/>
          <w:b/>
          <w:bCs/>
          <w:color w:val="000000"/>
          <w:szCs w:val="26"/>
        </w:rPr>
        <w:tab/>
        <w:t>Discussion</w:t>
      </w:r>
      <w:r w:rsidR="007861C4" w:rsidRPr="00F1714B">
        <w:rPr>
          <w:rFonts w:cs="Times New Roman"/>
          <w:b/>
          <w:bCs/>
          <w:color w:val="000000"/>
          <w:szCs w:val="26"/>
        </w:rPr>
        <w:t xml:space="preserve"> and Resolution</w:t>
      </w:r>
    </w:p>
    <w:p w14:paraId="4DF7447D" w14:textId="03F4F433" w:rsidR="0012233C" w:rsidRPr="00F1714B" w:rsidRDefault="00F769B1" w:rsidP="000A7B5B">
      <w:pPr>
        <w:ind w:firstLine="720"/>
        <w:rPr>
          <w:rFonts w:eastAsia="Times New Roman" w:cs="Times New Roman"/>
          <w:szCs w:val="26"/>
        </w:rPr>
      </w:pPr>
      <w:r w:rsidRPr="00F1714B">
        <w:rPr>
          <w:rFonts w:eastAsia="Times New Roman" w:cs="Times New Roman"/>
          <w:szCs w:val="26"/>
        </w:rPr>
        <w:t xml:space="preserve">It is puzzling that Verizon is so highly critical of the </w:t>
      </w:r>
      <w:r w:rsidR="00FC7BA4" w:rsidRPr="00F1714B">
        <w:rPr>
          <w:rFonts w:eastAsia="Times New Roman" w:cs="Times New Roman"/>
          <w:szCs w:val="26"/>
        </w:rPr>
        <w:t xml:space="preserve">proposed </w:t>
      </w:r>
      <w:r w:rsidRPr="00F1714B">
        <w:rPr>
          <w:rFonts w:eastAsia="Times New Roman" w:cs="Times New Roman"/>
          <w:szCs w:val="26"/>
        </w:rPr>
        <w:t xml:space="preserve">warm transfer process.  </w:t>
      </w:r>
      <w:r w:rsidR="00BE28DE" w:rsidRPr="00F1714B">
        <w:rPr>
          <w:rFonts w:eastAsia="Times New Roman" w:cs="Times New Roman"/>
          <w:szCs w:val="26"/>
        </w:rPr>
        <w:t xml:space="preserve">In 2009, the Commission’s BCS initiated </w:t>
      </w:r>
      <w:r w:rsidR="00673993" w:rsidRPr="00F1714B">
        <w:rPr>
          <w:rFonts w:eastAsia="Times New Roman" w:cs="Times New Roman"/>
          <w:szCs w:val="26"/>
        </w:rPr>
        <w:t xml:space="preserve">a </w:t>
      </w:r>
      <w:r w:rsidR="00BE28DE" w:rsidRPr="00F1714B">
        <w:rPr>
          <w:rFonts w:eastAsia="Times New Roman" w:cs="Times New Roman"/>
          <w:szCs w:val="26"/>
        </w:rPr>
        <w:t xml:space="preserve">“Warm Transfer Trial” </w:t>
      </w:r>
      <w:r w:rsidRPr="00F1714B">
        <w:rPr>
          <w:rFonts w:eastAsia="Times New Roman" w:cs="Times New Roman"/>
          <w:szCs w:val="26"/>
        </w:rPr>
        <w:t xml:space="preserve">because </w:t>
      </w:r>
      <w:r w:rsidR="00BE28DE" w:rsidRPr="00F1714B">
        <w:rPr>
          <w:rFonts w:eastAsia="Times New Roman" w:cs="Times New Roman"/>
          <w:szCs w:val="26"/>
        </w:rPr>
        <w:t>Verizon</w:t>
      </w:r>
      <w:r w:rsidRPr="00F1714B">
        <w:rPr>
          <w:rFonts w:eastAsia="Times New Roman" w:cs="Times New Roman"/>
          <w:szCs w:val="26"/>
        </w:rPr>
        <w:t xml:space="preserve"> had </w:t>
      </w:r>
      <w:r w:rsidR="0038695C" w:rsidRPr="00F1714B">
        <w:rPr>
          <w:rFonts w:eastAsia="Times New Roman" w:cs="Times New Roman"/>
          <w:szCs w:val="26"/>
        </w:rPr>
        <w:t xml:space="preserve">specifically </w:t>
      </w:r>
      <w:r w:rsidRPr="00F1714B">
        <w:rPr>
          <w:rFonts w:eastAsia="Times New Roman" w:cs="Times New Roman"/>
          <w:szCs w:val="26"/>
        </w:rPr>
        <w:t>requested this option</w:t>
      </w:r>
      <w:r w:rsidR="00BE28DE" w:rsidRPr="00F1714B">
        <w:rPr>
          <w:rFonts w:eastAsia="Times New Roman" w:cs="Times New Roman"/>
          <w:szCs w:val="26"/>
        </w:rPr>
        <w:t>.</w:t>
      </w:r>
      <w:r w:rsidR="008A4A4F" w:rsidRPr="00F1714B">
        <w:rPr>
          <w:rStyle w:val="FootnoteReference"/>
          <w:rFonts w:eastAsia="Times New Roman" w:cs="Times New Roman"/>
          <w:szCs w:val="26"/>
        </w:rPr>
        <w:footnoteReference w:id="46"/>
      </w:r>
      <w:r w:rsidR="00BE28DE" w:rsidRPr="00F1714B">
        <w:rPr>
          <w:rFonts w:eastAsia="Times New Roman" w:cs="Times New Roman"/>
          <w:szCs w:val="26"/>
        </w:rPr>
        <w:t xml:space="preserve">  </w:t>
      </w:r>
      <w:r w:rsidR="0012233C" w:rsidRPr="00F1714B">
        <w:rPr>
          <w:szCs w:val="26"/>
        </w:rPr>
        <w:t xml:space="preserve">In the absence of establishing </w:t>
      </w:r>
      <w:r w:rsidR="00B822CB" w:rsidRPr="00F1714B">
        <w:rPr>
          <w:szCs w:val="26"/>
        </w:rPr>
        <w:t>an</w:t>
      </w:r>
      <w:r w:rsidR="0012233C" w:rsidRPr="00F1714B">
        <w:rPr>
          <w:szCs w:val="26"/>
        </w:rPr>
        <w:t xml:space="preserve"> industry-wide warm transfer process, a </w:t>
      </w:r>
      <w:r w:rsidR="007D3A38" w:rsidRPr="00F1714B">
        <w:rPr>
          <w:szCs w:val="26"/>
        </w:rPr>
        <w:t xml:space="preserve">jurisdictional </w:t>
      </w:r>
      <w:r w:rsidR="0012233C" w:rsidRPr="00F1714B">
        <w:rPr>
          <w:szCs w:val="26"/>
        </w:rPr>
        <w:t xml:space="preserve">LEC would be subject to the Commission’s </w:t>
      </w:r>
      <w:r w:rsidR="00983231" w:rsidRPr="00F1714B">
        <w:rPr>
          <w:szCs w:val="26"/>
        </w:rPr>
        <w:t xml:space="preserve">usual </w:t>
      </w:r>
      <w:r w:rsidR="0012233C" w:rsidRPr="00F1714B">
        <w:rPr>
          <w:szCs w:val="26"/>
        </w:rPr>
        <w:t xml:space="preserve">informal complaint process </w:t>
      </w:r>
      <w:r w:rsidR="009B469D" w:rsidRPr="00F1714B">
        <w:rPr>
          <w:szCs w:val="26"/>
        </w:rPr>
        <w:t>prescribed in Section 63.15 as well as the recordkeeping duty set forth in Section 63.22.  Typically, i</w:t>
      </w:r>
      <w:r w:rsidR="0012233C" w:rsidRPr="00F1714B">
        <w:rPr>
          <w:szCs w:val="26"/>
        </w:rPr>
        <w:t xml:space="preserve">f </w:t>
      </w:r>
      <w:r w:rsidR="00983231" w:rsidRPr="00F1714B">
        <w:rPr>
          <w:szCs w:val="26"/>
        </w:rPr>
        <w:t xml:space="preserve">a </w:t>
      </w:r>
      <w:r w:rsidR="0012233C" w:rsidRPr="00F1714B">
        <w:rPr>
          <w:szCs w:val="26"/>
        </w:rPr>
        <w:t xml:space="preserve">customer were to file </w:t>
      </w:r>
      <w:r w:rsidR="00983231" w:rsidRPr="00F1714B">
        <w:rPr>
          <w:szCs w:val="26"/>
        </w:rPr>
        <w:t xml:space="preserve">an informal </w:t>
      </w:r>
      <w:r w:rsidR="0012233C" w:rsidRPr="00F1714B">
        <w:rPr>
          <w:szCs w:val="26"/>
        </w:rPr>
        <w:t xml:space="preserve">complaint </w:t>
      </w:r>
      <w:r w:rsidR="00983231" w:rsidRPr="00F1714B">
        <w:rPr>
          <w:szCs w:val="26"/>
        </w:rPr>
        <w:t xml:space="preserve">regarding a </w:t>
      </w:r>
      <w:r w:rsidR="006B566C" w:rsidRPr="00F1714B">
        <w:rPr>
          <w:szCs w:val="26"/>
        </w:rPr>
        <w:t xml:space="preserve">jurisdictional </w:t>
      </w:r>
      <w:r w:rsidR="00983231" w:rsidRPr="00F1714B">
        <w:rPr>
          <w:szCs w:val="26"/>
        </w:rPr>
        <w:t xml:space="preserve">issue </w:t>
      </w:r>
      <w:r w:rsidR="0012233C" w:rsidRPr="00F1714B">
        <w:rPr>
          <w:szCs w:val="26"/>
        </w:rPr>
        <w:t xml:space="preserve">against </w:t>
      </w:r>
      <w:r w:rsidR="00983231" w:rsidRPr="00F1714B">
        <w:rPr>
          <w:szCs w:val="26"/>
        </w:rPr>
        <w:t xml:space="preserve">its local </w:t>
      </w:r>
      <w:r w:rsidR="006B566C" w:rsidRPr="00F1714B">
        <w:rPr>
          <w:szCs w:val="26"/>
        </w:rPr>
        <w:t>telecommunications carrier</w:t>
      </w:r>
      <w:r w:rsidR="00983231" w:rsidRPr="00F1714B">
        <w:rPr>
          <w:szCs w:val="26"/>
        </w:rPr>
        <w:t xml:space="preserve">, </w:t>
      </w:r>
      <w:r w:rsidR="0012233C" w:rsidRPr="00F1714B">
        <w:rPr>
          <w:szCs w:val="26"/>
        </w:rPr>
        <w:t xml:space="preserve">BCS </w:t>
      </w:r>
      <w:r w:rsidR="00983231" w:rsidRPr="00F1714B">
        <w:rPr>
          <w:szCs w:val="26"/>
        </w:rPr>
        <w:t xml:space="preserve">would direct the company to </w:t>
      </w:r>
      <w:r w:rsidR="0012233C" w:rsidRPr="00F1714B">
        <w:rPr>
          <w:szCs w:val="26"/>
        </w:rPr>
        <w:t xml:space="preserve">report the date, time, </w:t>
      </w:r>
      <w:r w:rsidR="006B566C" w:rsidRPr="00F1714B">
        <w:rPr>
          <w:szCs w:val="26"/>
        </w:rPr>
        <w:t xml:space="preserve">and </w:t>
      </w:r>
      <w:r w:rsidR="0012233C" w:rsidRPr="00F1714B">
        <w:rPr>
          <w:szCs w:val="26"/>
        </w:rPr>
        <w:t xml:space="preserve">service affected, and </w:t>
      </w:r>
      <w:r w:rsidR="006B566C" w:rsidRPr="00F1714B">
        <w:rPr>
          <w:szCs w:val="26"/>
        </w:rPr>
        <w:t xml:space="preserve">the </w:t>
      </w:r>
      <w:r w:rsidR="0012233C" w:rsidRPr="00F1714B">
        <w:rPr>
          <w:szCs w:val="26"/>
        </w:rPr>
        <w:t xml:space="preserve">nature of the trouble report, along with the results of the investigation, resolution, and the date and time that the trouble report was cleared.  This information is required for all </w:t>
      </w:r>
      <w:r w:rsidR="0012233C" w:rsidRPr="00F1714B">
        <w:rPr>
          <w:szCs w:val="26"/>
        </w:rPr>
        <w:lastRenderedPageBreak/>
        <w:t>trouble reports related to the complaint filed with BCS.  These reports can be long and technical.</w:t>
      </w:r>
    </w:p>
    <w:p w14:paraId="220B4AD3" w14:textId="77777777" w:rsidR="0012233C" w:rsidRPr="00F1714B" w:rsidRDefault="0012233C" w:rsidP="000A7B5B">
      <w:pPr>
        <w:ind w:firstLine="720"/>
        <w:rPr>
          <w:szCs w:val="26"/>
        </w:rPr>
      </w:pPr>
    </w:p>
    <w:p w14:paraId="62229D58" w14:textId="505B080B" w:rsidR="009B469D" w:rsidRDefault="00F67501" w:rsidP="0065666C">
      <w:pPr>
        <w:ind w:firstLine="720"/>
        <w:rPr>
          <w:szCs w:val="26"/>
        </w:rPr>
      </w:pPr>
      <w:r w:rsidRPr="00F1714B">
        <w:rPr>
          <w:rFonts w:eastAsia="Times New Roman" w:cs="Times New Roman"/>
          <w:szCs w:val="26"/>
        </w:rPr>
        <w:t xml:space="preserve">However, using the </w:t>
      </w:r>
      <w:r w:rsidR="009B469D" w:rsidRPr="00F1714B">
        <w:rPr>
          <w:rFonts w:eastAsia="Times New Roman" w:cs="Times New Roman"/>
          <w:szCs w:val="26"/>
        </w:rPr>
        <w:t>warm transfer process, the BCS utility complaint interviewer give</w:t>
      </w:r>
      <w:r w:rsidR="006B566C" w:rsidRPr="00F1714B">
        <w:rPr>
          <w:rFonts w:eastAsia="Times New Roman" w:cs="Times New Roman"/>
          <w:szCs w:val="26"/>
        </w:rPr>
        <w:t>s</w:t>
      </w:r>
      <w:r w:rsidR="009B469D" w:rsidRPr="00F1714B">
        <w:rPr>
          <w:rFonts w:eastAsia="Times New Roman" w:cs="Times New Roman"/>
          <w:szCs w:val="26"/>
        </w:rPr>
        <w:t xml:space="preserve"> the customer the option </w:t>
      </w:r>
      <w:r w:rsidR="006B566C" w:rsidRPr="00F1714B">
        <w:rPr>
          <w:rFonts w:eastAsia="Times New Roman" w:cs="Times New Roman"/>
          <w:szCs w:val="26"/>
        </w:rPr>
        <w:t xml:space="preserve">either </w:t>
      </w:r>
      <w:r w:rsidR="009B469D" w:rsidRPr="00F1714B">
        <w:rPr>
          <w:rFonts w:eastAsia="Times New Roman" w:cs="Times New Roman"/>
          <w:szCs w:val="26"/>
        </w:rPr>
        <w:t xml:space="preserve">to file an informal complaint that would normally be processed by BCS or be </w:t>
      </w:r>
      <w:r w:rsidR="006B566C" w:rsidRPr="00F1714B">
        <w:rPr>
          <w:rFonts w:eastAsia="Times New Roman" w:cs="Times New Roman"/>
          <w:szCs w:val="26"/>
        </w:rPr>
        <w:t xml:space="preserve">directly and immediately </w:t>
      </w:r>
      <w:r w:rsidR="009B469D" w:rsidRPr="00F1714B">
        <w:rPr>
          <w:rFonts w:eastAsia="Times New Roman" w:cs="Times New Roman"/>
          <w:szCs w:val="26"/>
        </w:rPr>
        <w:t>transferred to Verizon for resolution of the service issue.  If the customer chooses the latter, the BCS utility complaint interviewer log</w:t>
      </w:r>
      <w:r w:rsidR="006B566C" w:rsidRPr="00F1714B">
        <w:rPr>
          <w:rFonts w:eastAsia="Times New Roman" w:cs="Times New Roman"/>
          <w:szCs w:val="26"/>
        </w:rPr>
        <w:t>s</w:t>
      </w:r>
      <w:r w:rsidR="009B469D" w:rsidRPr="00F1714B">
        <w:rPr>
          <w:rFonts w:eastAsia="Times New Roman" w:cs="Times New Roman"/>
          <w:szCs w:val="26"/>
        </w:rPr>
        <w:t xml:space="preserve"> that call as an “informal complaint” but then transfer</w:t>
      </w:r>
      <w:r w:rsidR="006B566C" w:rsidRPr="00F1714B">
        <w:rPr>
          <w:rFonts w:eastAsia="Times New Roman" w:cs="Times New Roman"/>
          <w:szCs w:val="26"/>
        </w:rPr>
        <w:t>s</w:t>
      </w:r>
      <w:r w:rsidR="009B469D" w:rsidRPr="00F1714B">
        <w:rPr>
          <w:rFonts w:eastAsia="Times New Roman" w:cs="Times New Roman"/>
          <w:szCs w:val="26"/>
        </w:rPr>
        <w:t xml:space="preserve"> the customer to Verizon for resolution.  </w:t>
      </w:r>
      <w:r w:rsidRPr="00F1714B">
        <w:rPr>
          <w:rFonts w:eastAsia="Times New Roman" w:cs="Times New Roman"/>
          <w:szCs w:val="26"/>
        </w:rPr>
        <w:t>Also, w</w:t>
      </w:r>
      <w:r w:rsidR="0012233C" w:rsidRPr="00F1714B">
        <w:rPr>
          <w:szCs w:val="26"/>
        </w:rPr>
        <w:t xml:space="preserve">hen a LEC participates in the </w:t>
      </w:r>
      <w:r w:rsidR="006B566C" w:rsidRPr="00F1714B">
        <w:rPr>
          <w:szCs w:val="26"/>
        </w:rPr>
        <w:t>w</w:t>
      </w:r>
      <w:r w:rsidR="0012233C" w:rsidRPr="00F1714B">
        <w:rPr>
          <w:szCs w:val="26"/>
        </w:rPr>
        <w:t xml:space="preserve">arm </w:t>
      </w:r>
      <w:r w:rsidR="006B566C" w:rsidRPr="00F1714B">
        <w:rPr>
          <w:szCs w:val="26"/>
        </w:rPr>
        <w:t>t</w:t>
      </w:r>
      <w:r w:rsidR="0012233C" w:rsidRPr="00F1714B">
        <w:rPr>
          <w:szCs w:val="26"/>
        </w:rPr>
        <w:t xml:space="preserve">ransfer process, the information required in response is abbreviated.  </w:t>
      </w:r>
      <w:r w:rsidRPr="00F1714B">
        <w:rPr>
          <w:szCs w:val="26"/>
        </w:rPr>
        <w:t>While t</w:t>
      </w:r>
      <w:r w:rsidR="009B469D" w:rsidRPr="00F1714B">
        <w:rPr>
          <w:szCs w:val="26"/>
        </w:rPr>
        <w:t>he LEC is required to provide BCS with sufficient information regarding the disposition of the matter in a timely manner</w:t>
      </w:r>
      <w:r w:rsidRPr="00F1714B">
        <w:rPr>
          <w:szCs w:val="26"/>
        </w:rPr>
        <w:t xml:space="preserve">, </w:t>
      </w:r>
      <w:r w:rsidR="0012233C" w:rsidRPr="00F1714B">
        <w:rPr>
          <w:szCs w:val="26"/>
        </w:rPr>
        <w:t xml:space="preserve">BCS </w:t>
      </w:r>
      <w:r w:rsidR="009B469D" w:rsidRPr="00F1714B">
        <w:rPr>
          <w:szCs w:val="26"/>
        </w:rPr>
        <w:t>only ask</w:t>
      </w:r>
      <w:r w:rsidR="006B566C" w:rsidRPr="00F1714B">
        <w:rPr>
          <w:szCs w:val="26"/>
        </w:rPr>
        <w:t>s</w:t>
      </w:r>
      <w:r w:rsidR="009B469D" w:rsidRPr="00F1714B">
        <w:rPr>
          <w:szCs w:val="26"/>
        </w:rPr>
        <w:t xml:space="preserve"> the LEC </w:t>
      </w:r>
      <w:r w:rsidR="0012233C" w:rsidRPr="00F1714B">
        <w:rPr>
          <w:szCs w:val="26"/>
        </w:rPr>
        <w:t xml:space="preserve">to provide enough information to indicate that the trouble report or issue was cleared and that the customer was satisfied.  The LEC is not expected to provide </w:t>
      </w:r>
      <w:r w:rsidR="009B469D" w:rsidRPr="00F1714B">
        <w:rPr>
          <w:szCs w:val="26"/>
        </w:rPr>
        <w:t xml:space="preserve">any further </w:t>
      </w:r>
      <w:r w:rsidR="0012233C" w:rsidRPr="00F1714B">
        <w:rPr>
          <w:szCs w:val="26"/>
        </w:rPr>
        <w:t>detailed response.  </w:t>
      </w:r>
      <w:r w:rsidR="009B469D" w:rsidRPr="00F1714B">
        <w:rPr>
          <w:szCs w:val="26"/>
        </w:rPr>
        <w:t>Thus, t</w:t>
      </w:r>
      <w:r w:rsidR="0012233C" w:rsidRPr="00F1714B">
        <w:rPr>
          <w:szCs w:val="26"/>
        </w:rPr>
        <w:t xml:space="preserve">he </w:t>
      </w:r>
      <w:r w:rsidR="006B566C" w:rsidRPr="00F1714B">
        <w:rPr>
          <w:szCs w:val="26"/>
        </w:rPr>
        <w:t>w</w:t>
      </w:r>
      <w:r w:rsidR="0012233C" w:rsidRPr="00F1714B">
        <w:rPr>
          <w:szCs w:val="26"/>
        </w:rPr>
        <w:t xml:space="preserve">arm </w:t>
      </w:r>
      <w:r w:rsidR="006B566C" w:rsidRPr="00F1714B">
        <w:rPr>
          <w:szCs w:val="26"/>
        </w:rPr>
        <w:t>t</w:t>
      </w:r>
      <w:r w:rsidR="0012233C" w:rsidRPr="00F1714B">
        <w:rPr>
          <w:szCs w:val="26"/>
        </w:rPr>
        <w:t>ransfer process imposes no additional reporting requirements on LECs and nullifies the need for a LEC to go through the Commission’s informal complaint process</w:t>
      </w:r>
      <w:r w:rsidR="006B566C" w:rsidRPr="00F1714B">
        <w:rPr>
          <w:szCs w:val="26"/>
        </w:rPr>
        <w:t>, greatly simplifying that process</w:t>
      </w:r>
      <w:r w:rsidR="00E74F77" w:rsidRPr="00F1714B">
        <w:rPr>
          <w:szCs w:val="26"/>
        </w:rPr>
        <w:t xml:space="preserve">.  </w:t>
      </w:r>
    </w:p>
    <w:p w14:paraId="4F5064D6" w14:textId="77777777" w:rsidR="000A7B5B" w:rsidRPr="00F1714B" w:rsidRDefault="000A7B5B" w:rsidP="0065666C">
      <w:pPr>
        <w:ind w:firstLine="720"/>
        <w:rPr>
          <w:szCs w:val="26"/>
        </w:rPr>
      </w:pPr>
    </w:p>
    <w:p w14:paraId="405CF2F1" w14:textId="39D31762" w:rsidR="008540D2" w:rsidRPr="00F1714B" w:rsidRDefault="009B469D" w:rsidP="00E55426">
      <w:pPr>
        <w:ind w:firstLine="720"/>
        <w:rPr>
          <w:szCs w:val="26"/>
        </w:rPr>
      </w:pPr>
      <w:r w:rsidRPr="00F1714B">
        <w:rPr>
          <w:szCs w:val="26"/>
        </w:rPr>
        <w:t xml:space="preserve">Additionally, the warm transfer process </w:t>
      </w:r>
      <w:r w:rsidR="00E74F77" w:rsidRPr="00F1714B">
        <w:rPr>
          <w:szCs w:val="26"/>
        </w:rPr>
        <w:t xml:space="preserve">allows BCS to </w:t>
      </w:r>
      <w:r w:rsidRPr="00F1714B">
        <w:rPr>
          <w:szCs w:val="26"/>
        </w:rPr>
        <w:t xml:space="preserve">continue to </w:t>
      </w:r>
      <w:r w:rsidR="00E74F77" w:rsidRPr="00F1714B">
        <w:rPr>
          <w:szCs w:val="26"/>
        </w:rPr>
        <w:t xml:space="preserve">comply with its statutory obligation </w:t>
      </w:r>
      <w:r w:rsidRPr="00F1714B">
        <w:rPr>
          <w:szCs w:val="26"/>
        </w:rPr>
        <w:t xml:space="preserve">to take in all informal complaints from customers as set forth in </w:t>
      </w:r>
      <w:r w:rsidR="00E74F77" w:rsidRPr="00F1714B">
        <w:rPr>
          <w:szCs w:val="26"/>
        </w:rPr>
        <w:t>Section 308(d) of the Code, 66 Pa.C.S. § 308.</w:t>
      </w:r>
      <w:r w:rsidRPr="00F1714B">
        <w:rPr>
          <w:szCs w:val="26"/>
        </w:rPr>
        <w:t xml:space="preserve">  </w:t>
      </w:r>
      <w:r w:rsidR="00356FE5" w:rsidRPr="00F1714B">
        <w:rPr>
          <w:szCs w:val="26"/>
        </w:rPr>
        <w:t xml:space="preserve">Under Section 308.1(a) of the Code, the Commission is required to promulgate regulations </w:t>
      </w:r>
      <w:r w:rsidR="00C00209" w:rsidRPr="00F1714B">
        <w:rPr>
          <w:szCs w:val="26"/>
        </w:rPr>
        <w:t>allowing for a consumer to make an informal complaint</w:t>
      </w:r>
      <w:r w:rsidR="00CA2F16" w:rsidRPr="00F1714B">
        <w:rPr>
          <w:szCs w:val="26"/>
        </w:rPr>
        <w:t xml:space="preserve"> with the Commission’s BCS</w:t>
      </w:r>
      <w:r w:rsidR="00C00209" w:rsidRPr="00F1714B">
        <w:rPr>
          <w:szCs w:val="26"/>
        </w:rPr>
        <w:t>.  Moreover, u</w:t>
      </w:r>
      <w:r w:rsidR="008540D2" w:rsidRPr="00F1714B">
        <w:rPr>
          <w:szCs w:val="26"/>
        </w:rPr>
        <w:t>nder a plain reading of Section 308(d)</w:t>
      </w:r>
      <w:r w:rsidR="00C00209" w:rsidRPr="00F1714B">
        <w:rPr>
          <w:szCs w:val="26"/>
        </w:rPr>
        <w:t xml:space="preserve"> of the Code,</w:t>
      </w:r>
      <w:r w:rsidR="008540D2" w:rsidRPr="00F1714B">
        <w:rPr>
          <w:szCs w:val="26"/>
        </w:rPr>
        <w:t xml:space="preserve"> BCS is required to receive, investigate and issue final determination on “all informal complaints</w:t>
      </w:r>
      <w:r w:rsidR="000E4B0B" w:rsidRPr="00F1714B">
        <w:rPr>
          <w:szCs w:val="26"/>
        </w:rPr>
        <w:t>.</w:t>
      </w:r>
      <w:r w:rsidR="008540D2" w:rsidRPr="00F1714B">
        <w:rPr>
          <w:szCs w:val="26"/>
        </w:rPr>
        <w:t xml:space="preserve">”  </w:t>
      </w:r>
      <w:r w:rsidRPr="00F1714B">
        <w:rPr>
          <w:szCs w:val="26"/>
        </w:rPr>
        <w:t xml:space="preserve">During </w:t>
      </w:r>
      <w:r w:rsidR="008A4A4F" w:rsidRPr="00F1714B">
        <w:rPr>
          <w:szCs w:val="26"/>
        </w:rPr>
        <w:t>t</w:t>
      </w:r>
      <w:r w:rsidR="008540D2" w:rsidRPr="00F1714B">
        <w:rPr>
          <w:szCs w:val="26"/>
        </w:rPr>
        <w:t>he warm transfer process</w:t>
      </w:r>
      <w:r w:rsidR="00F67501" w:rsidRPr="00F1714B">
        <w:rPr>
          <w:szCs w:val="26"/>
        </w:rPr>
        <w:t>,</w:t>
      </w:r>
      <w:r w:rsidR="008540D2" w:rsidRPr="00F1714B">
        <w:rPr>
          <w:szCs w:val="26"/>
        </w:rPr>
        <w:t xml:space="preserve"> </w:t>
      </w:r>
      <w:r w:rsidR="00355CE6" w:rsidRPr="00F1714B">
        <w:rPr>
          <w:rFonts w:eastAsia="Times New Roman" w:cs="Times New Roman"/>
          <w:szCs w:val="26"/>
        </w:rPr>
        <w:t>the BCS utility complaint interviewer logs that call as an “informal complaint</w:t>
      </w:r>
      <w:r w:rsidR="007B1BE1" w:rsidRPr="00F1714B">
        <w:rPr>
          <w:rFonts w:eastAsia="Times New Roman" w:cs="Times New Roman"/>
          <w:szCs w:val="26"/>
        </w:rPr>
        <w:t>,</w:t>
      </w:r>
      <w:r w:rsidR="00DD7D4E" w:rsidRPr="00F1714B">
        <w:rPr>
          <w:rFonts w:eastAsia="Times New Roman" w:cs="Times New Roman"/>
          <w:szCs w:val="26"/>
        </w:rPr>
        <w:t>”</w:t>
      </w:r>
      <w:r w:rsidR="002801A7" w:rsidRPr="00F1714B">
        <w:rPr>
          <w:rFonts w:eastAsia="Times New Roman" w:cs="Times New Roman"/>
          <w:szCs w:val="26"/>
        </w:rPr>
        <w:t xml:space="preserve"> but also </w:t>
      </w:r>
      <w:r w:rsidR="008A4A4F" w:rsidRPr="00F1714B">
        <w:rPr>
          <w:szCs w:val="26"/>
        </w:rPr>
        <w:t>ha</w:t>
      </w:r>
      <w:r w:rsidR="007B1BE1" w:rsidRPr="00F1714B">
        <w:rPr>
          <w:szCs w:val="26"/>
        </w:rPr>
        <w:t>s</w:t>
      </w:r>
      <w:r w:rsidR="008A4A4F" w:rsidRPr="00F1714B">
        <w:rPr>
          <w:szCs w:val="26"/>
        </w:rPr>
        <w:t xml:space="preserve"> the </w:t>
      </w:r>
      <w:r w:rsidR="008540D2" w:rsidRPr="00F1714B">
        <w:rPr>
          <w:szCs w:val="26"/>
        </w:rPr>
        <w:t xml:space="preserve">discretion to hold the informal complaint process in abeyance and allow </w:t>
      </w:r>
      <w:r w:rsidR="008A4A4F" w:rsidRPr="00F1714B">
        <w:rPr>
          <w:szCs w:val="26"/>
        </w:rPr>
        <w:t xml:space="preserve">the LEC </w:t>
      </w:r>
      <w:r w:rsidR="008540D2" w:rsidRPr="00F1714B">
        <w:rPr>
          <w:szCs w:val="26"/>
        </w:rPr>
        <w:t>to quickly resolve the matter via the warm</w:t>
      </w:r>
      <w:r w:rsidR="007B1BE1" w:rsidRPr="00F1714B">
        <w:rPr>
          <w:szCs w:val="26"/>
        </w:rPr>
        <w:t xml:space="preserve"> </w:t>
      </w:r>
      <w:r w:rsidR="008540D2" w:rsidRPr="00F1714B">
        <w:rPr>
          <w:szCs w:val="26"/>
        </w:rPr>
        <w:t xml:space="preserve">transfer process.  </w:t>
      </w:r>
      <w:r w:rsidR="008504E1" w:rsidRPr="00F1714B">
        <w:rPr>
          <w:szCs w:val="26"/>
        </w:rPr>
        <w:t xml:space="preserve">Thus, </w:t>
      </w:r>
      <w:r w:rsidR="00F67501" w:rsidRPr="00F1714B">
        <w:rPr>
          <w:szCs w:val="26"/>
        </w:rPr>
        <w:t xml:space="preserve">the </w:t>
      </w:r>
      <w:r w:rsidR="008504E1" w:rsidRPr="00F1714B">
        <w:rPr>
          <w:szCs w:val="26"/>
        </w:rPr>
        <w:t xml:space="preserve">proposed warm </w:t>
      </w:r>
      <w:r w:rsidR="008504E1" w:rsidRPr="00F1714B">
        <w:rPr>
          <w:szCs w:val="26"/>
        </w:rPr>
        <w:lastRenderedPageBreak/>
        <w:t>transfer allows BCS to satisfy the statutory obligation set forth in Section 308(d) of the Code</w:t>
      </w:r>
      <w:r w:rsidR="007B1BE1" w:rsidRPr="00F1714B">
        <w:rPr>
          <w:szCs w:val="26"/>
        </w:rPr>
        <w:t xml:space="preserve"> but with a lesser burden on both the carrier and the customer</w:t>
      </w:r>
      <w:r w:rsidR="008504E1" w:rsidRPr="00F1714B">
        <w:rPr>
          <w:szCs w:val="26"/>
        </w:rPr>
        <w:t>.</w:t>
      </w:r>
    </w:p>
    <w:p w14:paraId="71B40FFB" w14:textId="77777777" w:rsidR="002866E2" w:rsidRPr="00F1714B" w:rsidRDefault="002866E2" w:rsidP="00E55426">
      <w:pPr>
        <w:ind w:firstLine="720"/>
        <w:rPr>
          <w:rFonts w:eastAsia="Times New Roman" w:cs="Times New Roman"/>
          <w:szCs w:val="26"/>
        </w:rPr>
      </w:pPr>
    </w:p>
    <w:p w14:paraId="75B59595" w14:textId="0AC890E5" w:rsidR="00F12507" w:rsidRPr="00F1714B" w:rsidRDefault="008504E1" w:rsidP="000A7B5B">
      <w:pPr>
        <w:ind w:firstLine="720"/>
        <w:rPr>
          <w:rFonts w:eastAsia="Times New Roman" w:cs="Times New Roman"/>
          <w:szCs w:val="26"/>
        </w:rPr>
      </w:pPr>
      <w:r w:rsidRPr="00F1714B">
        <w:rPr>
          <w:rFonts w:eastAsia="Times New Roman" w:cs="Times New Roman"/>
          <w:szCs w:val="26"/>
        </w:rPr>
        <w:t xml:space="preserve">Our primary effort in this rulemaking is to modify our regulations so that our regulatory process </w:t>
      </w:r>
      <w:r w:rsidR="00725B27" w:rsidRPr="00F1714B">
        <w:rPr>
          <w:rFonts w:eastAsia="Times New Roman" w:cs="Times New Roman"/>
          <w:szCs w:val="26"/>
        </w:rPr>
        <w:t xml:space="preserve">is </w:t>
      </w:r>
      <w:r w:rsidRPr="00F1714B">
        <w:rPr>
          <w:rFonts w:eastAsia="Times New Roman" w:cs="Times New Roman"/>
          <w:szCs w:val="26"/>
        </w:rPr>
        <w:t>more efficient and streamlined</w:t>
      </w:r>
      <w:r w:rsidR="00725B27" w:rsidRPr="00F1714B">
        <w:rPr>
          <w:rFonts w:eastAsia="Times New Roman" w:cs="Times New Roman"/>
          <w:szCs w:val="26"/>
        </w:rPr>
        <w:t xml:space="preserve"> for our regulated carriers while still maintaining necessary consumer protections</w:t>
      </w:r>
      <w:r w:rsidRPr="00F1714B">
        <w:rPr>
          <w:rFonts w:eastAsia="Times New Roman" w:cs="Times New Roman"/>
          <w:szCs w:val="26"/>
        </w:rPr>
        <w:t xml:space="preserve">.  </w:t>
      </w:r>
      <w:r w:rsidR="007B1BE1" w:rsidRPr="00F1714B">
        <w:rPr>
          <w:rFonts w:eastAsia="Times New Roman" w:cs="Times New Roman"/>
          <w:szCs w:val="26"/>
        </w:rPr>
        <w:t>C</w:t>
      </w:r>
      <w:r w:rsidR="002866E2" w:rsidRPr="00F1714B">
        <w:rPr>
          <w:rFonts w:eastAsia="Times New Roman" w:cs="Times New Roman"/>
          <w:szCs w:val="26"/>
        </w:rPr>
        <w:t>onsumer</w:t>
      </w:r>
      <w:r w:rsidR="007B1BE1" w:rsidRPr="00F1714B">
        <w:rPr>
          <w:rFonts w:eastAsia="Times New Roman" w:cs="Times New Roman"/>
          <w:szCs w:val="26"/>
        </w:rPr>
        <w:t>s</w:t>
      </w:r>
      <w:r w:rsidR="002866E2" w:rsidRPr="00F1714B">
        <w:rPr>
          <w:rFonts w:eastAsia="Times New Roman" w:cs="Times New Roman"/>
          <w:szCs w:val="26"/>
        </w:rPr>
        <w:t xml:space="preserve"> call</w:t>
      </w:r>
      <w:r w:rsidR="007B1BE1" w:rsidRPr="00F1714B">
        <w:rPr>
          <w:rFonts w:eastAsia="Times New Roman" w:cs="Times New Roman"/>
          <w:szCs w:val="26"/>
        </w:rPr>
        <w:t>ing</w:t>
      </w:r>
      <w:r w:rsidR="002866E2" w:rsidRPr="00F1714B">
        <w:rPr>
          <w:rFonts w:eastAsia="Times New Roman" w:cs="Times New Roman"/>
          <w:szCs w:val="26"/>
        </w:rPr>
        <w:t xml:space="preserve"> </w:t>
      </w:r>
      <w:r w:rsidR="00341B15" w:rsidRPr="00F1714B">
        <w:rPr>
          <w:rFonts w:eastAsia="Times New Roman" w:cs="Times New Roman"/>
          <w:szCs w:val="26"/>
        </w:rPr>
        <w:t xml:space="preserve">BCS </w:t>
      </w:r>
      <w:r w:rsidR="007B1BE1" w:rsidRPr="00F1714B">
        <w:rPr>
          <w:rFonts w:eastAsia="Times New Roman" w:cs="Times New Roman"/>
          <w:szCs w:val="26"/>
        </w:rPr>
        <w:t xml:space="preserve">are </w:t>
      </w:r>
      <w:r w:rsidR="00341B15" w:rsidRPr="00F1714B">
        <w:rPr>
          <w:rFonts w:eastAsia="Times New Roman" w:cs="Times New Roman"/>
          <w:szCs w:val="26"/>
        </w:rPr>
        <w:t xml:space="preserve">looking for </w:t>
      </w:r>
      <w:r w:rsidR="00D7779D" w:rsidRPr="00F1714B">
        <w:rPr>
          <w:rFonts w:eastAsia="Times New Roman" w:cs="Times New Roman"/>
          <w:szCs w:val="26"/>
        </w:rPr>
        <w:t xml:space="preserve">an </w:t>
      </w:r>
      <w:r w:rsidR="002866E2" w:rsidRPr="00F1714B">
        <w:rPr>
          <w:rFonts w:eastAsia="Times New Roman" w:cs="Times New Roman"/>
          <w:szCs w:val="26"/>
        </w:rPr>
        <w:t>efficient resolution to their issue</w:t>
      </w:r>
      <w:r w:rsidR="007B1BE1" w:rsidRPr="00F1714B">
        <w:rPr>
          <w:rFonts w:eastAsia="Times New Roman" w:cs="Times New Roman"/>
          <w:szCs w:val="26"/>
        </w:rPr>
        <w:t>s</w:t>
      </w:r>
      <w:r w:rsidR="002866E2" w:rsidRPr="00F1714B">
        <w:rPr>
          <w:rFonts w:eastAsia="Times New Roman" w:cs="Times New Roman"/>
          <w:szCs w:val="26"/>
        </w:rPr>
        <w:t>.</w:t>
      </w:r>
      <w:r w:rsidR="00A96496" w:rsidRPr="00F1714B">
        <w:rPr>
          <w:rFonts w:eastAsia="Times New Roman" w:cs="Times New Roman"/>
          <w:szCs w:val="26"/>
        </w:rPr>
        <w:t xml:space="preserve">  </w:t>
      </w:r>
      <w:r w:rsidR="007B1BE1" w:rsidRPr="00F1714B">
        <w:rPr>
          <w:rFonts w:eastAsia="Times New Roman" w:cs="Times New Roman"/>
          <w:szCs w:val="26"/>
        </w:rPr>
        <w:t xml:space="preserve">Our proposal to make universally available the </w:t>
      </w:r>
      <w:r w:rsidR="00A96496" w:rsidRPr="00F1714B">
        <w:rPr>
          <w:rFonts w:eastAsia="Times New Roman" w:cs="Times New Roman"/>
          <w:szCs w:val="26"/>
        </w:rPr>
        <w:t>warm transfer process facilitates this as it gives LECs the opportunity to address and resolve issue</w:t>
      </w:r>
      <w:r w:rsidR="007B1BE1" w:rsidRPr="00F1714B">
        <w:rPr>
          <w:rFonts w:eastAsia="Times New Roman" w:cs="Times New Roman"/>
          <w:szCs w:val="26"/>
        </w:rPr>
        <w:t>s</w:t>
      </w:r>
      <w:r w:rsidR="00E72F47" w:rsidRPr="00F1714B">
        <w:rPr>
          <w:rFonts w:eastAsia="Times New Roman" w:cs="Times New Roman"/>
          <w:szCs w:val="26"/>
        </w:rPr>
        <w:t xml:space="preserve"> and short-circuit the </w:t>
      </w:r>
      <w:r w:rsidR="007B1BE1" w:rsidRPr="00F1714B">
        <w:rPr>
          <w:rFonts w:eastAsia="Times New Roman" w:cs="Times New Roman"/>
          <w:szCs w:val="26"/>
        </w:rPr>
        <w:t xml:space="preserve">existing </w:t>
      </w:r>
      <w:r w:rsidR="00E72F47" w:rsidRPr="00F1714B">
        <w:rPr>
          <w:rFonts w:eastAsia="Times New Roman" w:cs="Times New Roman"/>
          <w:szCs w:val="26"/>
        </w:rPr>
        <w:t>informal complaint process</w:t>
      </w:r>
      <w:r w:rsidR="007B1BE1" w:rsidRPr="00F1714B">
        <w:rPr>
          <w:rFonts w:eastAsia="Times New Roman" w:cs="Times New Roman"/>
          <w:szCs w:val="26"/>
        </w:rPr>
        <w:t>, which can be intensive in both time and reporting</w:t>
      </w:r>
      <w:r w:rsidR="00A96496" w:rsidRPr="00F1714B">
        <w:rPr>
          <w:rFonts w:eastAsia="Times New Roman" w:cs="Times New Roman"/>
          <w:szCs w:val="26"/>
        </w:rPr>
        <w:t>.</w:t>
      </w:r>
      <w:r w:rsidR="00F67501" w:rsidRPr="00F1714B">
        <w:rPr>
          <w:rFonts w:eastAsia="Times New Roman" w:cs="Times New Roman"/>
          <w:szCs w:val="26"/>
        </w:rPr>
        <w:t xml:space="preserve">  </w:t>
      </w:r>
      <w:r w:rsidR="000E4B0B" w:rsidRPr="00F1714B">
        <w:rPr>
          <w:rFonts w:eastAsia="Times New Roman" w:cs="Times New Roman"/>
          <w:szCs w:val="26"/>
        </w:rPr>
        <w:t xml:space="preserve">The Commission submits that benefits accrue through </w:t>
      </w:r>
      <w:r w:rsidR="00646AE4" w:rsidRPr="00F1714B">
        <w:rPr>
          <w:rFonts w:eastAsia="Times New Roman" w:cs="Times New Roman"/>
          <w:szCs w:val="26"/>
        </w:rPr>
        <w:t xml:space="preserve">promptly </w:t>
      </w:r>
      <w:r w:rsidR="00ED73F1" w:rsidRPr="00F1714B">
        <w:rPr>
          <w:rFonts w:eastAsia="Times New Roman" w:cs="Times New Roman"/>
          <w:szCs w:val="26"/>
        </w:rPr>
        <w:t xml:space="preserve">addressing </w:t>
      </w:r>
      <w:r w:rsidR="00646AE4" w:rsidRPr="00F1714B">
        <w:rPr>
          <w:rFonts w:eastAsia="Times New Roman" w:cs="Times New Roman"/>
          <w:szCs w:val="26"/>
        </w:rPr>
        <w:t>a customer’s service-related issue</w:t>
      </w:r>
      <w:r w:rsidR="00F12507" w:rsidRPr="00F1714B">
        <w:rPr>
          <w:rFonts w:eastAsia="Times New Roman" w:cs="Times New Roman"/>
          <w:szCs w:val="26"/>
        </w:rPr>
        <w:t xml:space="preserve">: </w:t>
      </w:r>
    </w:p>
    <w:p w14:paraId="4990009D" w14:textId="77777777" w:rsidR="007B1BE1" w:rsidRPr="00F1714B" w:rsidRDefault="007B1BE1" w:rsidP="000A7B5B">
      <w:pPr>
        <w:ind w:firstLine="720"/>
        <w:rPr>
          <w:rFonts w:eastAsia="Times New Roman" w:cs="Times New Roman"/>
          <w:szCs w:val="26"/>
        </w:rPr>
      </w:pPr>
    </w:p>
    <w:p w14:paraId="6A46A277" w14:textId="43FC25F8" w:rsidR="00646AE4" w:rsidRPr="00F1714B" w:rsidRDefault="00646AE4" w:rsidP="00F34252">
      <w:pPr>
        <w:numPr>
          <w:ilvl w:val="0"/>
          <w:numId w:val="23"/>
        </w:numPr>
        <w:tabs>
          <w:tab w:val="clear" w:pos="720"/>
        </w:tabs>
        <w:spacing w:line="240" w:lineRule="auto"/>
        <w:ind w:left="1440" w:hanging="720"/>
        <w:rPr>
          <w:rFonts w:eastAsia="Times New Roman" w:cs="Times New Roman"/>
          <w:szCs w:val="26"/>
        </w:rPr>
      </w:pPr>
      <w:r w:rsidRPr="00F1714B">
        <w:rPr>
          <w:rFonts w:eastAsia="Times New Roman" w:cs="Times New Roman"/>
          <w:szCs w:val="26"/>
        </w:rPr>
        <w:t xml:space="preserve">Increases customer </w:t>
      </w:r>
      <w:r w:rsidR="00F12507" w:rsidRPr="00F1714B">
        <w:rPr>
          <w:rFonts w:eastAsia="Times New Roman" w:cs="Times New Roman"/>
          <w:szCs w:val="26"/>
        </w:rPr>
        <w:t xml:space="preserve">satisfaction and </w:t>
      </w:r>
      <w:r w:rsidRPr="00F1714B">
        <w:rPr>
          <w:rFonts w:eastAsia="Times New Roman" w:cs="Times New Roman"/>
          <w:szCs w:val="26"/>
        </w:rPr>
        <w:t>loyalty: when customers are satisfied, they are likely to stay with a business for long</w:t>
      </w:r>
      <w:r w:rsidR="000E4B0B" w:rsidRPr="00F1714B">
        <w:rPr>
          <w:rFonts w:eastAsia="Times New Roman" w:cs="Times New Roman"/>
          <w:szCs w:val="26"/>
        </w:rPr>
        <w:t>-term</w:t>
      </w:r>
      <w:r w:rsidRPr="00F1714B">
        <w:rPr>
          <w:rFonts w:eastAsia="Times New Roman" w:cs="Times New Roman"/>
          <w:szCs w:val="26"/>
        </w:rPr>
        <w:t xml:space="preserve">, which boost sales and profitability. </w:t>
      </w:r>
    </w:p>
    <w:p w14:paraId="00F938EF" w14:textId="77777777" w:rsidR="00692E99" w:rsidRPr="00F1714B" w:rsidRDefault="00692E99" w:rsidP="00F34252">
      <w:pPr>
        <w:spacing w:line="240" w:lineRule="auto"/>
        <w:ind w:left="1440" w:hanging="720"/>
        <w:rPr>
          <w:rFonts w:eastAsia="Times New Roman" w:cs="Times New Roman"/>
          <w:szCs w:val="26"/>
        </w:rPr>
      </w:pPr>
    </w:p>
    <w:p w14:paraId="32D3A7CB" w14:textId="239036AF" w:rsidR="00646AE4" w:rsidRPr="00F1714B" w:rsidRDefault="00646AE4" w:rsidP="00F34252">
      <w:pPr>
        <w:numPr>
          <w:ilvl w:val="0"/>
          <w:numId w:val="23"/>
        </w:numPr>
        <w:tabs>
          <w:tab w:val="clear" w:pos="720"/>
        </w:tabs>
        <w:spacing w:line="240" w:lineRule="auto"/>
        <w:ind w:left="1440" w:hanging="720"/>
        <w:rPr>
          <w:rFonts w:eastAsia="Times New Roman" w:cs="Times New Roman"/>
          <w:szCs w:val="26"/>
        </w:rPr>
      </w:pPr>
      <w:r w:rsidRPr="00F1714B">
        <w:rPr>
          <w:rFonts w:eastAsia="Times New Roman" w:cs="Times New Roman"/>
          <w:szCs w:val="26"/>
        </w:rPr>
        <w:t>Gives competitive advantage: customer satisfaction helps telecommunication operators achieve competitiveness because their customers are </w:t>
      </w:r>
      <w:r w:rsidR="00F769B1" w:rsidRPr="00F1714B">
        <w:rPr>
          <w:rFonts w:eastAsia="Times New Roman" w:cs="Times New Roman"/>
          <w:szCs w:val="26"/>
        </w:rPr>
        <w:t>less interested in a competitor. </w:t>
      </w:r>
    </w:p>
    <w:p w14:paraId="6E8E9443" w14:textId="77777777" w:rsidR="00692E99" w:rsidRPr="00F1714B" w:rsidRDefault="00692E99" w:rsidP="00F34252">
      <w:pPr>
        <w:spacing w:line="240" w:lineRule="auto"/>
        <w:ind w:left="1440" w:hanging="720"/>
        <w:rPr>
          <w:rFonts w:eastAsia="Times New Roman" w:cs="Times New Roman"/>
          <w:szCs w:val="26"/>
        </w:rPr>
      </w:pPr>
    </w:p>
    <w:p w14:paraId="7CD8D42F" w14:textId="70C40878" w:rsidR="00646AE4" w:rsidRPr="00F1714B" w:rsidRDefault="00646AE4" w:rsidP="00F34252">
      <w:pPr>
        <w:numPr>
          <w:ilvl w:val="0"/>
          <w:numId w:val="23"/>
        </w:numPr>
        <w:tabs>
          <w:tab w:val="clear" w:pos="720"/>
        </w:tabs>
        <w:spacing w:line="240" w:lineRule="auto"/>
        <w:ind w:left="1440" w:hanging="720"/>
        <w:rPr>
          <w:rFonts w:eastAsia="Times New Roman" w:cs="Times New Roman"/>
          <w:szCs w:val="26"/>
        </w:rPr>
      </w:pPr>
      <w:r w:rsidRPr="00F1714B">
        <w:rPr>
          <w:rFonts w:eastAsia="Times New Roman" w:cs="Times New Roman"/>
          <w:szCs w:val="26"/>
        </w:rPr>
        <w:t>Increases word of mouth awareness</w:t>
      </w:r>
      <w:r w:rsidR="0031661A" w:rsidRPr="00F1714B">
        <w:rPr>
          <w:rFonts w:eastAsia="Times New Roman" w:cs="Times New Roman"/>
          <w:szCs w:val="26"/>
        </w:rPr>
        <w:t xml:space="preserve"> and reduces marketing expense</w:t>
      </w:r>
      <w:r w:rsidR="006F79D8" w:rsidRPr="00F1714B">
        <w:rPr>
          <w:rFonts w:eastAsia="Times New Roman" w:cs="Times New Roman"/>
          <w:szCs w:val="26"/>
        </w:rPr>
        <w:t>s</w:t>
      </w:r>
      <w:r w:rsidRPr="00F1714B">
        <w:rPr>
          <w:rFonts w:eastAsia="Times New Roman" w:cs="Times New Roman"/>
          <w:szCs w:val="26"/>
        </w:rPr>
        <w:t xml:space="preserve">: </w:t>
      </w:r>
      <w:r w:rsidR="00255EBC" w:rsidRPr="00F1714B">
        <w:rPr>
          <w:rFonts w:eastAsia="Times New Roman" w:cs="Times New Roman"/>
          <w:szCs w:val="26"/>
        </w:rPr>
        <w:t xml:space="preserve">Satisfied customers </w:t>
      </w:r>
      <w:r w:rsidR="003F198D" w:rsidRPr="00F1714B">
        <w:rPr>
          <w:rFonts w:eastAsia="Times New Roman" w:cs="Times New Roman"/>
          <w:szCs w:val="26"/>
        </w:rPr>
        <w:t xml:space="preserve">are likely to recommend the business and products to their personal connections including friends and families, thus, </w:t>
      </w:r>
      <w:r w:rsidR="00255EBC" w:rsidRPr="00F1714B">
        <w:rPr>
          <w:rFonts w:eastAsia="Times New Roman" w:cs="Times New Roman"/>
          <w:szCs w:val="26"/>
        </w:rPr>
        <w:t>become advocates and “unofficial” brand amb</w:t>
      </w:r>
      <w:r w:rsidR="003F198D" w:rsidRPr="00F1714B">
        <w:rPr>
          <w:rFonts w:eastAsia="Times New Roman" w:cs="Times New Roman"/>
          <w:szCs w:val="26"/>
        </w:rPr>
        <w:t>assadors</w:t>
      </w:r>
      <w:r w:rsidR="000E4B0B" w:rsidRPr="00F1714B">
        <w:rPr>
          <w:rFonts w:eastAsia="Times New Roman" w:cs="Times New Roman"/>
          <w:szCs w:val="26"/>
        </w:rPr>
        <w:t>.</w:t>
      </w:r>
      <w:r w:rsidR="003F198D" w:rsidRPr="00F1714B">
        <w:rPr>
          <w:rFonts w:eastAsia="Times New Roman" w:cs="Times New Roman"/>
          <w:szCs w:val="26"/>
        </w:rPr>
        <w:t xml:space="preserve">  Th</w:t>
      </w:r>
      <w:r w:rsidR="006F79D8" w:rsidRPr="00F1714B">
        <w:rPr>
          <w:rFonts w:eastAsia="Times New Roman" w:cs="Times New Roman"/>
          <w:szCs w:val="26"/>
        </w:rPr>
        <w:t>is “</w:t>
      </w:r>
      <w:r w:rsidRPr="00F1714B">
        <w:rPr>
          <w:rFonts w:eastAsia="Times New Roman" w:cs="Times New Roman"/>
          <w:szCs w:val="26"/>
        </w:rPr>
        <w:t>word of mouth</w:t>
      </w:r>
      <w:r w:rsidR="006F79D8" w:rsidRPr="00F1714B">
        <w:rPr>
          <w:rFonts w:eastAsia="Times New Roman" w:cs="Times New Roman"/>
          <w:szCs w:val="26"/>
        </w:rPr>
        <w:t xml:space="preserve">” advertising can </w:t>
      </w:r>
      <w:r w:rsidR="003F198D" w:rsidRPr="00F1714B">
        <w:rPr>
          <w:rFonts w:eastAsia="Times New Roman" w:cs="Times New Roman"/>
          <w:szCs w:val="26"/>
        </w:rPr>
        <w:t>help</w:t>
      </w:r>
      <w:r w:rsidR="006F79D8" w:rsidRPr="00F1714B">
        <w:rPr>
          <w:rFonts w:eastAsia="Times New Roman" w:cs="Times New Roman"/>
          <w:szCs w:val="26"/>
        </w:rPr>
        <w:t xml:space="preserve"> </w:t>
      </w:r>
      <w:r w:rsidR="003F198D" w:rsidRPr="00F1714B">
        <w:rPr>
          <w:rFonts w:eastAsia="Times New Roman" w:cs="Times New Roman"/>
          <w:szCs w:val="26"/>
        </w:rPr>
        <w:t>generate new customers</w:t>
      </w:r>
      <w:r w:rsidRPr="00F1714B">
        <w:rPr>
          <w:rFonts w:eastAsia="Times New Roman" w:cs="Times New Roman"/>
          <w:szCs w:val="26"/>
        </w:rPr>
        <w:t xml:space="preserve">. </w:t>
      </w:r>
    </w:p>
    <w:p w14:paraId="7A56D375" w14:textId="77777777" w:rsidR="00692E99" w:rsidRPr="00F1714B" w:rsidRDefault="00692E99" w:rsidP="00F34252">
      <w:pPr>
        <w:spacing w:line="240" w:lineRule="auto"/>
        <w:ind w:left="1440" w:hanging="720"/>
        <w:rPr>
          <w:rFonts w:eastAsia="Times New Roman" w:cs="Times New Roman"/>
          <w:szCs w:val="26"/>
        </w:rPr>
      </w:pPr>
    </w:p>
    <w:p w14:paraId="31736C29" w14:textId="1F29E29E" w:rsidR="00646AE4" w:rsidRPr="00F1714B" w:rsidRDefault="00646AE4" w:rsidP="007E04B3">
      <w:pPr>
        <w:numPr>
          <w:ilvl w:val="0"/>
          <w:numId w:val="23"/>
        </w:numPr>
        <w:tabs>
          <w:tab w:val="clear" w:pos="720"/>
        </w:tabs>
        <w:spacing w:line="240" w:lineRule="auto"/>
        <w:ind w:left="1440" w:hanging="720"/>
        <w:rPr>
          <w:rFonts w:eastAsia="Times New Roman" w:cs="Times New Roman"/>
          <w:szCs w:val="26"/>
        </w:rPr>
      </w:pPr>
      <w:r w:rsidRPr="00F1714B">
        <w:rPr>
          <w:rFonts w:eastAsia="Times New Roman" w:cs="Times New Roman"/>
          <w:szCs w:val="26"/>
        </w:rPr>
        <w:t>Increases sales</w:t>
      </w:r>
      <w:r w:rsidR="001D6360" w:rsidRPr="00F1714B">
        <w:rPr>
          <w:rFonts w:eastAsia="Times New Roman" w:cs="Times New Roman"/>
          <w:szCs w:val="26"/>
        </w:rPr>
        <w:t xml:space="preserve"> and ensures success with new product when your customers are satisfied, they repeat business and reduce churn and look forward to new products and services, </w:t>
      </w:r>
      <w:r w:rsidRPr="00F1714B">
        <w:rPr>
          <w:rFonts w:eastAsia="Times New Roman" w:cs="Times New Roman"/>
          <w:szCs w:val="26"/>
        </w:rPr>
        <w:t>which</w:t>
      </w:r>
      <w:r w:rsidR="001D6360" w:rsidRPr="00F1714B">
        <w:rPr>
          <w:rFonts w:eastAsia="Times New Roman" w:cs="Times New Roman"/>
          <w:szCs w:val="26"/>
        </w:rPr>
        <w:t xml:space="preserve">, in turn, </w:t>
      </w:r>
      <w:r w:rsidRPr="00F1714B">
        <w:rPr>
          <w:rFonts w:eastAsia="Times New Roman" w:cs="Times New Roman"/>
          <w:szCs w:val="26"/>
        </w:rPr>
        <w:t>increases your sales.</w:t>
      </w:r>
    </w:p>
    <w:p w14:paraId="11155885" w14:textId="77777777" w:rsidR="00692E99" w:rsidRPr="00F1714B" w:rsidRDefault="00692E99" w:rsidP="00F84C00">
      <w:pPr>
        <w:ind w:left="720"/>
        <w:rPr>
          <w:rFonts w:eastAsia="Times New Roman" w:cs="Times New Roman"/>
          <w:szCs w:val="26"/>
        </w:rPr>
      </w:pPr>
    </w:p>
    <w:p w14:paraId="442A9185" w14:textId="7DFB05F6" w:rsidR="00E74F77" w:rsidRPr="00F1714B" w:rsidRDefault="008504E1" w:rsidP="000A7B5B">
      <w:pPr>
        <w:ind w:firstLine="720"/>
        <w:rPr>
          <w:szCs w:val="26"/>
        </w:rPr>
      </w:pPr>
      <w:r w:rsidRPr="00F1714B">
        <w:rPr>
          <w:rFonts w:eastAsia="Times New Roman" w:cs="Times New Roman"/>
          <w:szCs w:val="26"/>
        </w:rPr>
        <w:t>We note IRRC’s observations regarding the perceived absence of the necessary technical requirements and sufficient details pertaining to the process</w:t>
      </w:r>
      <w:r w:rsidRPr="00F1714B">
        <w:rPr>
          <w:szCs w:val="26"/>
        </w:rPr>
        <w:t xml:space="preserve">.  </w:t>
      </w:r>
      <w:r w:rsidR="00E74F77" w:rsidRPr="00F1714B">
        <w:rPr>
          <w:szCs w:val="26"/>
        </w:rPr>
        <w:t>As to the technical requirements of the proposed 63.15</w:t>
      </w:r>
      <w:r w:rsidRPr="00F1714B">
        <w:rPr>
          <w:szCs w:val="26"/>
        </w:rPr>
        <w:t xml:space="preserve">, </w:t>
      </w:r>
      <w:r w:rsidR="00E74F77" w:rsidRPr="00F1714B">
        <w:rPr>
          <w:szCs w:val="26"/>
        </w:rPr>
        <w:t xml:space="preserve">it is important to note that currently almost </w:t>
      </w:r>
      <w:proofErr w:type="gramStart"/>
      <w:r w:rsidR="00E74F77" w:rsidRPr="00F1714B">
        <w:rPr>
          <w:szCs w:val="26"/>
        </w:rPr>
        <w:t>all of</w:t>
      </w:r>
      <w:proofErr w:type="gramEnd"/>
      <w:r w:rsidR="00E74F77" w:rsidRPr="00F1714B">
        <w:rPr>
          <w:szCs w:val="26"/>
        </w:rPr>
        <w:t xml:space="preserve"> </w:t>
      </w:r>
      <w:r w:rsidR="007B1BE1" w:rsidRPr="00F1714B">
        <w:rPr>
          <w:szCs w:val="26"/>
        </w:rPr>
        <w:t xml:space="preserve">our </w:t>
      </w:r>
      <w:r w:rsidR="00E74F77" w:rsidRPr="00F1714B">
        <w:rPr>
          <w:szCs w:val="26"/>
        </w:rPr>
        <w:t xml:space="preserve">ILECs and larger CLECs already participate in </w:t>
      </w:r>
      <w:r w:rsidR="008C2359" w:rsidRPr="00F1714B">
        <w:rPr>
          <w:szCs w:val="26"/>
        </w:rPr>
        <w:t>the Commission’s d</w:t>
      </w:r>
      <w:r w:rsidR="00E74F77" w:rsidRPr="00F1714B">
        <w:rPr>
          <w:szCs w:val="26"/>
        </w:rPr>
        <w:t>ata</w:t>
      </w:r>
      <w:r w:rsidR="008C2359" w:rsidRPr="00F1714B">
        <w:rPr>
          <w:szCs w:val="26"/>
        </w:rPr>
        <w:t xml:space="preserve"> and web</w:t>
      </w:r>
      <w:r w:rsidR="00E74F77" w:rsidRPr="00F1714B">
        <w:rPr>
          <w:szCs w:val="26"/>
        </w:rPr>
        <w:t xml:space="preserve"> </w:t>
      </w:r>
      <w:r w:rsidR="008C2359" w:rsidRPr="00F1714B">
        <w:rPr>
          <w:szCs w:val="26"/>
        </w:rPr>
        <w:t>e</w:t>
      </w:r>
      <w:r w:rsidR="00E74F77" w:rsidRPr="00F1714B">
        <w:rPr>
          <w:szCs w:val="26"/>
        </w:rPr>
        <w:t>xchange</w:t>
      </w:r>
      <w:r w:rsidR="008C2359" w:rsidRPr="00F1714B">
        <w:rPr>
          <w:szCs w:val="26"/>
        </w:rPr>
        <w:t xml:space="preserve"> </w:t>
      </w:r>
      <w:r w:rsidR="008C2359" w:rsidRPr="00F1714B">
        <w:rPr>
          <w:szCs w:val="26"/>
        </w:rPr>
        <w:lastRenderedPageBreak/>
        <w:t>programs</w:t>
      </w:r>
      <w:r w:rsidR="00E74F77" w:rsidRPr="00F1714B">
        <w:rPr>
          <w:szCs w:val="26"/>
        </w:rPr>
        <w:t>.</w:t>
      </w:r>
      <w:r w:rsidR="000A7B5B">
        <w:rPr>
          <w:szCs w:val="26"/>
        </w:rPr>
        <w:t xml:space="preserve"> </w:t>
      </w:r>
      <w:r w:rsidR="00E74F77" w:rsidRPr="00F1714B">
        <w:rPr>
          <w:szCs w:val="26"/>
        </w:rPr>
        <w:t xml:space="preserve"> BCS and the LECs already use electronic communication to share case information, informal utility reports, and closing information.  The most challenging requirement for the LEC’s will be providing a dedicated telephone number to receive calls from BCS and having the staff available to answer BCS calls.  Since the </w:t>
      </w:r>
      <w:r w:rsidR="007B1BE1" w:rsidRPr="00F1714B">
        <w:rPr>
          <w:szCs w:val="26"/>
        </w:rPr>
        <w:t>w</w:t>
      </w:r>
      <w:r w:rsidR="00E74F77" w:rsidRPr="00F1714B">
        <w:rPr>
          <w:szCs w:val="26"/>
        </w:rPr>
        <w:t xml:space="preserve">arm </w:t>
      </w:r>
      <w:r w:rsidR="007B1BE1" w:rsidRPr="00F1714B">
        <w:rPr>
          <w:szCs w:val="26"/>
        </w:rPr>
        <w:t>transfer p</w:t>
      </w:r>
      <w:r w:rsidR="00E74F77" w:rsidRPr="00F1714B">
        <w:rPr>
          <w:szCs w:val="26"/>
        </w:rPr>
        <w:t>rocess is voluntary, any provider that found those requirements too burdensome would not be required to participate in the program.</w:t>
      </w:r>
      <w:r w:rsidRPr="00F1714B">
        <w:rPr>
          <w:szCs w:val="26"/>
        </w:rPr>
        <w:t xml:space="preserve">  </w:t>
      </w:r>
      <w:r w:rsidR="007B1BE1" w:rsidRPr="00F1714B">
        <w:rPr>
          <w:szCs w:val="26"/>
        </w:rPr>
        <w:t xml:space="preserve">No further detail or </w:t>
      </w:r>
      <w:r w:rsidRPr="00F1714B">
        <w:rPr>
          <w:szCs w:val="26"/>
        </w:rPr>
        <w:t>technical specificity about the warm transfer process</w:t>
      </w:r>
      <w:r w:rsidR="007B1BE1" w:rsidRPr="00F1714B">
        <w:rPr>
          <w:szCs w:val="26"/>
        </w:rPr>
        <w:t xml:space="preserve"> is necessary</w:t>
      </w:r>
      <w:r w:rsidRPr="00F1714B">
        <w:rPr>
          <w:szCs w:val="26"/>
        </w:rPr>
        <w:t>.</w:t>
      </w:r>
    </w:p>
    <w:p w14:paraId="016C3D63" w14:textId="77777777" w:rsidR="008504E1" w:rsidRPr="00F1714B" w:rsidRDefault="008504E1" w:rsidP="000A7B5B">
      <w:pPr>
        <w:ind w:firstLine="720"/>
        <w:rPr>
          <w:rFonts w:eastAsia="Times New Roman" w:cs="Times New Roman"/>
          <w:szCs w:val="26"/>
        </w:rPr>
      </w:pPr>
    </w:p>
    <w:p w14:paraId="05867B8A" w14:textId="584E05B3" w:rsidR="007B6870" w:rsidRPr="00F1714B" w:rsidRDefault="007B1BE1" w:rsidP="000A7B5B">
      <w:pPr>
        <w:ind w:firstLine="720"/>
        <w:rPr>
          <w:rFonts w:eastAsia="Times New Roman" w:cs="Times New Roman"/>
          <w:bCs/>
          <w:szCs w:val="26"/>
        </w:rPr>
      </w:pPr>
      <w:r w:rsidRPr="00F1714B">
        <w:rPr>
          <w:rFonts w:eastAsia="Times New Roman" w:cs="Times New Roman"/>
          <w:bCs/>
          <w:szCs w:val="26"/>
        </w:rPr>
        <w:t>C</w:t>
      </w:r>
      <w:r w:rsidR="008504E1" w:rsidRPr="00F1714B">
        <w:rPr>
          <w:rFonts w:eastAsia="Times New Roman" w:cs="Times New Roman"/>
          <w:bCs/>
          <w:szCs w:val="26"/>
        </w:rPr>
        <w:t xml:space="preserve">onsumers </w:t>
      </w:r>
      <w:r w:rsidRPr="00F1714B">
        <w:rPr>
          <w:rFonts w:eastAsia="Times New Roman" w:cs="Times New Roman"/>
          <w:bCs/>
          <w:szCs w:val="26"/>
        </w:rPr>
        <w:t>require</w:t>
      </w:r>
      <w:r w:rsidR="008504E1" w:rsidRPr="00F1714B">
        <w:rPr>
          <w:rFonts w:eastAsia="Times New Roman" w:cs="Times New Roman"/>
          <w:bCs/>
          <w:szCs w:val="26"/>
        </w:rPr>
        <w:t xml:space="preserve"> a means to have their service-related complaints addressed</w:t>
      </w:r>
      <w:r w:rsidRPr="00F1714B">
        <w:rPr>
          <w:rFonts w:eastAsia="Times New Roman" w:cs="Times New Roman"/>
          <w:bCs/>
          <w:szCs w:val="26"/>
        </w:rPr>
        <w:t>,</w:t>
      </w:r>
      <w:r w:rsidR="008504E1" w:rsidRPr="00F1714B">
        <w:rPr>
          <w:rFonts w:eastAsia="Times New Roman" w:cs="Times New Roman"/>
          <w:bCs/>
          <w:szCs w:val="26"/>
        </w:rPr>
        <w:t xml:space="preserve"> and we have determined that our proposed warm transfer process is the most efficient measure to meet this specific regulatory objective.  Accordingly, we will incorporate our proposed Section 63.15 </w:t>
      </w:r>
      <w:r w:rsidR="0015793C" w:rsidRPr="00F1714B">
        <w:rPr>
          <w:rFonts w:eastAsia="Times New Roman" w:cs="Times New Roman"/>
          <w:bCs/>
          <w:szCs w:val="26"/>
        </w:rPr>
        <w:t>in the final</w:t>
      </w:r>
      <w:r w:rsidR="00F34252" w:rsidRPr="00F1714B">
        <w:rPr>
          <w:rFonts w:eastAsia="Times New Roman" w:cs="Times New Roman"/>
          <w:bCs/>
          <w:szCs w:val="26"/>
        </w:rPr>
        <w:t>­</w:t>
      </w:r>
      <w:r w:rsidR="0015793C" w:rsidRPr="00F1714B">
        <w:rPr>
          <w:rFonts w:eastAsia="Times New Roman" w:cs="Times New Roman"/>
          <w:bCs/>
          <w:szCs w:val="26"/>
        </w:rPr>
        <w:t>form regulation</w:t>
      </w:r>
      <w:r w:rsidR="008504E1" w:rsidRPr="00F1714B">
        <w:rPr>
          <w:rFonts w:eastAsia="Times New Roman" w:cs="Times New Roman"/>
          <w:bCs/>
          <w:szCs w:val="26"/>
        </w:rPr>
        <w:t xml:space="preserve"> set forth in the Annex.</w:t>
      </w:r>
      <w:r w:rsidR="0015793C" w:rsidRPr="00F1714B">
        <w:rPr>
          <w:rFonts w:eastAsia="Times New Roman" w:cs="Times New Roman"/>
          <w:bCs/>
          <w:szCs w:val="26"/>
        </w:rPr>
        <w:t xml:space="preserve"> </w:t>
      </w:r>
      <w:r w:rsidR="00A96496" w:rsidRPr="00F1714B">
        <w:rPr>
          <w:rFonts w:eastAsia="Times New Roman" w:cs="Times New Roman"/>
          <w:bCs/>
          <w:szCs w:val="26"/>
        </w:rPr>
        <w:t xml:space="preserve"> </w:t>
      </w:r>
    </w:p>
    <w:p w14:paraId="5E316B18" w14:textId="77777777" w:rsidR="002801A7" w:rsidRPr="00F1714B" w:rsidRDefault="002801A7" w:rsidP="000A7B5B">
      <w:pPr>
        <w:ind w:firstLine="720"/>
        <w:rPr>
          <w:rFonts w:eastAsia="Times New Roman" w:cs="Times New Roman"/>
          <w:szCs w:val="26"/>
        </w:rPr>
      </w:pPr>
    </w:p>
    <w:p w14:paraId="05E79DA0" w14:textId="77777777" w:rsidR="008B5EE5" w:rsidRPr="00F1714B" w:rsidRDefault="001B3461" w:rsidP="00C86B45">
      <w:pPr>
        <w:tabs>
          <w:tab w:val="left" w:pos="720"/>
          <w:tab w:val="left" w:pos="1440"/>
        </w:tabs>
        <w:spacing w:line="240" w:lineRule="auto"/>
        <w:ind w:left="2160" w:hanging="2160"/>
        <w:rPr>
          <w:rFonts w:cs="Times New Roman"/>
          <w:b/>
          <w:bCs/>
          <w:szCs w:val="26"/>
        </w:rPr>
      </w:pPr>
      <w:r w:rsidRPr="00F1714B">
        <w:rPr>
          <w:rFonts w:cs="Times New Roman"/>
          <w:b/>
          <w:bCs/>
          <w:szCs w:val="26"/>
        </w:rPr>
        <w:tab/>
      </w:r>
      <w:r w:rsidRPr="00F1714B">
        <w:rPr>
          <w:rFonts w:cs="Times New Roman"/>
          <w:b/>
          <w:bCs/>
          <w:szCs w:val="26"/>
        </w:rPr>
        <w:tab/>
        <w:t>4.</w:t>
      </w:r>
      <w:r w:rsidRPr="00F1714B">
        <w:rPr>
          <w:rFonts w:cs="Times New Roman"/>
          <w:b/>
          <w:bCs/>
          <w:szCs w:val="26"/>
        </w:rPr>
        <w:tab/>
        <w:t xml:space="preserve">52 Pa. Code § 63.16 (Traffic measurements), </w:t>
      </w:r>
    </w:p>
    <w:p w14:paraId="5B7C4CB4" w14:textId="5017EA7F" w:rsidR="008B5EE5" w:rsidRPr="00F1714B" w:rsidRDefault="008B5EE5" w:rsidP="00C86B45">
      <w:pPr>
        <w:tabs>
          <w:tab w:val="left" w:pos="720"/>
          <w:tab w:val="left" w:pos="1440"/>
        </w:tabs>
        <w:spacing w:line="240" w:lineRule="auto"/>
        <w:ind w:left="2160" w:hanging="2160"/>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r>
      <w:r w:rsidR="006E2558" w:rsidRPr="00F1714B">
        <w:rPr>
          <w:rFonts w:cs="Times New Roman"/>
          <w:b/>
          <w:bCs/>
          <w:szCs w:val="26"/>
        </w:rPr>
        <w:t xml:space="preserve">52 Pa. Code </w:t>
      </w:r>
      <w:r w:rsidR="001B3461" w:rsidRPr="00F1714B">
        <w:rPr>
          <w:rFonts w:cs="Times New Roman"/>
          <w:b/>
          <w:bCs/>
          <w:szCs w:val="26"/>
        </w:rPr>
        <w:t xml:space="preserve">§ 63.18 (Multiparty line subscribers), and </w:t>
      </w:r>
    </w:p>
    <w:p w14:paraId="4B30D412" w14:textId="5A26405E" w:rsidR="001B3461" w:rsidRPr="00F1714B" w:rsidRDefault="008B5EE5" w:rsidP="000A7B5B">
      <w:pPr>
        <w:tabs>
          <w:tab w:val="left" w:pos="720"/>
          <w:tab w:val="left" w:pos="1440"/>
        </w:tabs>
        <w:spacing w:line="240" w:lineRule="auto"/>
        <w:ind w:left="2160" w:hanging="2160"/>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r>
      <w:r w:rsidR="006E2558" w:rsidRPr="00F1714B">
        <w:rPr>
          <w:rFonts w:cs="Times New Roman"/>
          <w:b/>
          <w:bCs/>
          <w:szCs w:val="26"/>
        </w:rPr>
        <w:t xml:space="preserve">52 Pa. Code </w:t>
      </w:r>
      <w:r w:rsidR="001B3461" w:rsidRPr="00F1714B">
        <w:rPr>
          <w:rFonts w:cs="Times New Roman"/>
          <w:b/>
          <w:bCs/>
          <w:szCs w:val="26"/>
        </w:rPr>
        <w:t>§ 63.19 (Interoffice lines)</w:t>
      </w:r>
    </w:p>
    <w:p w14:paraId="2B44813F" w14:textId="77777777" w:rsidR="001B3461" w:rsidRPr="00F1714B" w:rsidRDefault="001B3461" w:rsidP="000A7B5B">
      <w:pPr>
        <w:tabs>
          <w:tab w:val="left" w:pos="720"/>
          <w:tab w:val="left" w:pos="1440"/>
        </w:tabs>
        <w:spacing w:line="240" w:lineRule="auto"/>
        <w:rPr>
          <w:rFonts w:cs="Times New Roman"/>
          <w:b/>
          <w:bCs/>
          <w:szCs w:val="26"/>
        </w:rPr>
      </w:pPr>
    </w:p>
    <w:p w14:paraId="310B8C9D" w14:textId="677D10A4" w:rsidR="001B3461" w:rsidRPr="00F1714B" w:rsidRDefault="001B3461" w:rsidP="000A7B5B">
      <w:pPr>
        <w:tabs>
          <w:tab w:val="left" w:pos="720"/>
          <w:tab w:val="left" w:pos="1440"/>
        </w:tabs>
        <w:rPr>
          <w:rFonts w:cs="Times New Roman"/>
          <w:bCs/>
          <w:szCs w:val="26"/>
        </w:rPr>
      </w:pPr>
      <w:r w:rsidRPr="00F1714B">
        <w:rPr>
          <w:rFonts w:cs="Times New Roman"/>
          <w:bCs/>
          <w:szCs w:val="26"/>
        </w:rPr>
        <w:tab/>
        <w:t xml:space="preserve">We recognized in our </w:t>
      </w:r>
      <w:r w:rsidRPr="00F1714B">
        <w:rPr>
          <w:rFonts w:cs="Times New Roman"/>
          <w:bCs/>
          <w:i/>
          <w:szCs w:val="26"/>
        </w:rPr>
        <w:t>ANPR</w:t>
      </w:r>
      <w:r w:rsidR="00011950" w:rsidRPr="00F1714B">
        <w:rPr>
          <w:rFonts w:cs="Times New Roman"/>
          <w:bCs/>
          <w:i/>
          <w:szCs w:val="26"/>
        </w:rPr>
        <w:t>M</w:t>
      </w:r>
      <w:r w:rsidR="00AC22B4" w:rsidRPr="00F1714B">
        <w:rPr>
          <w:rFonts w:cs="Times New Roman"/>
          <w:bCs/>
          <w:i/>
          <w:szCs w:val="26"/>
        </w:rPr>
        <w:t xml:space="preserve"> Order</w:t>
      </w:r>
      <w:r w:rsidRPr="00F1714B">
        <w:rPr>
          <w:rFonts w:cs="Times New Roman"/>
          <w:bCs/>
          <w:szCs w:val="26"/>
        </w:rPr>
        <w:t xml:space="preserve"> and </w:t>
      </w:r>
      <w:r w:rsidRPr="00F1714B">
        <w:rPr>
          <w:rFonts w:cs="Times New Roman"/>
          <w:bCs/>
          <w:i/>
          <w:szCs w:val="26"/>
        </w:rPr>
        <w:t>Reclassification Order</w:t>
      </w:r>
      <w:r w:rsidRPr="00F1714B">
        <w:rPr>
          <w:rFonts w:cs="Times New Roman"/>
          <w:bCs/>
          <w:szCs w:val="26"/>
        </w:rPr>
        <w:t xml:space="preserve"> that Subchapter B includes </w:t>
      </w:r>
      <w:r w:rsidR="00241FDF" w:rsidRPr="00F1714B">
        <w:rPr>
          <w:rFonts w:cs="Times New Roman"/>
          <w:bCs/>
          <w:szCs w:val="26"/>
        </w:rPr>
        <w:t xml:space="preserve">a few </w:t>
      </w:r>
      <w:r w:rsidRPr="00F1714B">
        <w:rPr>
          <w:rFonts w:cs="Times New Roman"/>
          <w:bCs/>
          <w:szCs w:val="26"/>
        </w:rPr>
        <w:t>provisions that relate to services that essentially no longer exist, including multiparty lines</w:t>
      </w:r>
      <w:r w:rsidR="00701970" w:rsidRPr="00F1714B">
        <w:rPr>
          <w:rFonts w:cs="Times New Roman"/>
          <w:bCs/>
          <w:szCs w:val="26"/>
        </w:rPr>
        <w:t>,</w:t>
      </w:r>
      <w:r w:rsidRPr="00F1714B">
        <w:rPr>
          <w:rFonts w:cs="Times New Roman"/>
          <w:bCs/>
          <w:szCs w:val="26"/>
        </w:rPr>
        <w:t xml:space="preserve"> and also provisions relating to traffic measurements and recordkeeping that are largely manual in nature and predate the use of computers</w:t>
      </w:r>
      <w:r w:rsidR="00305FB6" w:rsidRPr="00F1714B">
        <w:rPr>
          <w:rFonts w:cs="Times New Roman"/>
          <w:bCs/>
          <w:szCs w:val="26"/>
        </w:rPr>
        <w:t>.  A</w:t>
      </w:r>
      <w:r w:rsidR="00717F19" w:rsidRPr="00F1714B">
        <w:rPr>
          <w:rFonts w:cs="Times New Roman"/>
          <w:bCs/>
          <w:szCs w:val="26"/>
        </w:rPr>
        <w:t xml:space="preserve">ccordingly, in the </w:t>
      </w:r>
      <w:r w:rsidR="007105F0" w:rsidRPr="00F1714B">
        <w:rPr>
          <w:rFonts w:cs="Times New Roman"/>
          <w:bCs/>
          <w:szCs w:val="26"/>
        </w:rPr>
        <w:t xml:space="preserve">Annex to the </w:t>
      </w:r>
      <w:r w:rsidR="00717F19" w:rsidRPr="00F1714B">
        <w:rPr>
          <w:rFonts w:cs="Times New Roman"/>
          <w:bCs/>
          <w:i/>
          <w:iCs/>
          <w:szCs w:val="26"/>
        </w:rPr>
        <w:t>N</w:t>
      </w:r>
      <w:r w:rsidR="006019F7" w:rsidRPr="00F1714B">
        <w:rPr>
          <w:rFonts w:cs="Times New Roman"/>
          <w:bCs/>
          <w:i/>
          <w:iCs/>
          <w:szCs w:val="26"/>
        </w:rPr>
        <w:t>PRM</w:t>
      </w:r>
      <w:r w:rsidR="00717F19" w:rsidRPr="00F1714B">
        <w:rPr>
          <w:rFonts w:cs="Times New Roman"/>
          <w:bCs/>
          <w:i/>
          <w:iCs/>
          <w:szCs w:val="26"/>
        </w:rPr>
        <w:t xml:space="preserve"> Order</w:t>
      </w:r>
      <w:r w:rsidR="00717F19" w:rsidRPr="00F1714B">
        <w:rPr>
          <w:rFonts w:cs="Times New Roman"/>
          <w:bCs/>
          <w:szCs w:val="26"/>
        </w:rPr>
        <w:t xml:space="preserve">, </w:t>
      </w:r>
      <w:r w:rsidR="007105F0" w:rsidRPr="00F1714B">
        <w:rPr>
          <w:rFonts w:cs="Times New Roman"/>
          <w:bCs/>
          <w:szCs w:val="26"/>
        </w:rPr>
        <w:t xml:space="preserve">we proposed </w:t>
      </w:r>
      <w:r w:rsidRPr="00F1714B">
        <w:rPr>
          <w:rFonts w:cs="Times New Roman"/>
          <w:bCs/>
          <w:szCs w:val="26"/>
        </w:rPr>
        <w:t>to permanently rescind Sections 63.16, 63.18, and 63.19 from Chapter 63 of our regulations</w:t>
      </w:r>
      <w:r w:rsidR="00305FB6" w:rsidRPr="00F1714B">
        <w:rPr>
          <w:rFonts w:cs="Times New Roman"/>
          <w:bCs/>
          <w:szCs w:val="26"/>
        </w:rPr>
        <w:t xml:space="preserve"> since they are outdated and obsolete</w:t>
      </w:r>
      <w:r w:rsidRPr="00F1714B">
        <w:rPr>
          <w:rFonts w:cs="Times New Roman"/>
          <w:bCs/>
          <w:szCs w:val="26"/>
        </w:rPr>
        <w:t>.</w:t>
      </w:r>
    </w:p>
    <w:p w14:paraId="29A6EE44" w14:textId="040F62CD" w:rsidR="00717F19" w:rsidRPr="00F1714B" w:rsidRDefault="00717F19" w:rsidP="000A7B5B">
      <w:pPr>
        <w:tabs>
          <w:tab w:val="left" w:pos="720"/>
          <w:tab w:val="left" w:pos="1440"/>
        </w:tabs>
        <w:rPr>
          <w:rFonts w:cs="Times New Roman"/>
          <w:bCs/>
          <w:szCs w:val="26"/>
        </w:rPr>
      </w:pPr>
    </w:p>
    <w:p w14:paraId="56BAAF77" w14:textId="7D0CDB18" w:rsidR="00717F19" w:rsidRPr="00F1714B" w:rsidRDefault="00717F19" w:rsidP="000A7B5B">
      <w:pPr>
        <w:tabs>
          <w:tab w:val="left" w:pos="720"/>
          <w:tab w:val="left" w:pos="1440"/>
        </w:tabs>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bookmarkStart w:id="30" w:name="_Hlk81148902"/>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0159EE2E" w14:textId="5C421A8D" w:rsidR="00717F19" w:rsidRPr="00F1714B" w:rsidRDefault="0060777C" w:rsidP="00E55426">
      <w:pPr>
        <w:ind w:firstLine="720"/>
        <w:rPr>
          <w:rFonts w:cs="Times New Roman"/>
          <w:szCs w:val="26"/>
        </w:rPr>
      </w:pPr>
      <w:bookmarkStart w:id="31" w:name="_Hlk81434152"/>
      <w:r w:rsidRPr="00F1714B">
        <w:rPr>
          <w:rFonts w:cs="Times New Roman"/>
          <w:szCs w:val="26"/>
        </w:rPr>
        <w:t>No party filed comments or replies to the Commission</w:t>
      </w:r>
      <w:r w:rsidR="00452F7A" w:rsidRPr="00F1714B">
        <w:rPr>
          <w:rFonts w:cs="Times New Roman"/>
          <w:szCs w:val="26"/>
        </w:rPr>
        <w:t>’s</w:t>
      </w:r>
      <w:r w:rsidRPr="00F1714B">
        <w:rPr>
          <w:rFonts w:cs="Times New Roman"/>
          <w:szCs w:val="26"/>
        </w:rPr>
        <w:t xml:space="preserve"> proposed modification to this rule</w:t>
      </w:r>
      <w:r w:rsidR="00452F7A" w:rsidRPr="00F1714B">
        <w:rPr>
          <w:rFonts w:cs="Times New Roman"/>
          <w:szCs w:val="26"/>
        </w:rPr>
        <w:t>.</w:t>
      </w:r>
    </w:p>
    <w:p w14:paraId="6F01692A" w14:textId="77777777" w:rsidR="007E04B3" w:rsidRPr="00F1714B" w:rsidRDefault="007E04B3" w:rsidP="00E55426">
      <w:pPr>
        <w:ind w:firstLine="720"/>
        <w:rPr>
          <w:rFonts w:cs="Times New Roman"/>
          <w:szCs w:val="26"/>
        </w:rPr>
      </w:pPr>
    </w:p>
    <w:bookmarkEnd w:id="31"/>
    <w:p w14:paraId="72130172" w14:textId="795C5711" w:rsidR="00717F19" w:rsidRPr="00F1714B" w:rsidRDefault="00717F19" w:rsidP="000A7B5B">
      <w:pPr>
        <w:keepNext/>
        <w:keepLines/>
        <w:tabs>
          <w:tab w:val="left" w:pos="720"/>
          <w:tab w:val="left" w:pos="1440"/>
        </w:tabs>
        <w:rPr>
          <w:rFonts w:cs="Times New Roman"/>
          <w:b/>
          <w:bCs/>
          <w:szCs w:val="26"/>
        </w:rPr>
      </w:pPr>
      <w:r w:rsidRPr="00F1714B">
        <w:rPr>
          <w:rFonts w:cs="Times New Roman"/>
          <w:b/>
          <w:bCs/>
          <w:szCs w:val="26"/>
        </w:rPr>
        <w:lastRenderedPageBreak/>
        <w:tab/>
      </w:r>
      <w:r w:rsidRPr="00F1714B">
        <w:rPr>
          <w:rFonts w:cs="Times New Roman"/>
          <w:b/>
          <w:bCs/>
          <w:szCs w:val="26"/>
        </w:rPr>
        <w:tab/>
      </w:r>
      <w:r w:rsidRPr="00F1714B">
        <w:rPr>
          <w:rFonts w:cs="Times New Roman"/>
          <w:b/>
          <w:bCs/>
          <w:szCs w:val="26"/>
        </w:rPr>
        <w:tab/>
        <w:t>b</w:t>
      </w:r>
      <w:r w:rsidR="00E11CCC" w:rsidRPr="00F1714B">
        <w:rPr>
          <w:rFonts w:cs="Times New Roman"/>
          <w:b/>
          <w:bCs/>
          <w:szCs w:val="26"/>
        </w:rPr>
        <w:t>.</w:t>
      </w:r>
      <w:r w:rsidRPr="00F1714B">
        <w:rPr>
          <w:rFonts w:cs="Times New Roman"/>
          <w:b/>
          <w:bCs/>
          <w:szCs w:val="26"/>
        </w:rPr>
        <w:tab/>
        <w:t>Discussion</w:t>
      </w:r>
      <w:r w:rsidR="003B16DF" w:rsidRPr="00F1714B">
        <w:rPr>
          <w:rFonts w:cs="Times New Roman"/>
          <w:b/>
          <w:bCs/>
          <w:szCs w:val="26"/>
        </w:rPr>
        <w:t xml:space="preserve"> and Resolution</w:t>
      </w:r>
    </w:p>
    <w:p w14:paraId="4351DAB0" w14:textId="480A7AC5" w:rsidR="00717F19" w:rsidRPr="00F1714B" w:rsidRDefault="0060777C" w:rsidP="00E55426">
      <w:pPr>
        <w:keepNext/>
        <w:keepLines/>
        <w:tabs>
          <w:tab w:val="left" w:pos="720"/>
          <w:tab w:val="left" w:pos="1440"/>
        </w:tabs>
        <w:rPr>
          <w:rFonts w:cs="Times New Roman"/>
          <w:szCs w:val="26"/>
        </w:rPr>
      </w:pPr>
      <w:r w:rsidRPr="00F1714B">
        <w:rPr>
          <w:rFonts w:cs="Times New Roman"/>
          <w:b/>
          <w:bCs/>
          <w:szCs w:val="26"/>
        </w:rPr>
        <w:tab/>
      </w:r>
      <w:bookmarkStart w:id="32" w:name="_Hlk81271246"/>
      <w:r w:rsidR="003B16DF" w:rsidRPr="00F1714B">
        <w:rPr>
          <w:rFonts w:cs="Times New Roman"/>
          <w:szCs w:val="26"/>
        </w:rPr>
        <w:t xml:space="preserve">Since no party has </w:t>
      </w:r>
      <w:r w:rsidR="008304A0" w:rsidRPr="00F1714B">
        <w:rPr>
          <w:rFonts w:cs="Times New Roman"/>
          <w:szCs w:val="26"/>
        </w:rPr>
        <w:t xml:space="preserve">filed any adverse comments regarding our </w:t>
      </w:r>
      <w:r w:rsidR="00FA35D9" w:rsidRPr="00F1714B">
        <w:rPr>
          <w:rFonts w:cs="Times New Roman"/>
          <w:szCs w:val="26"/>
        </w:rPr>
        <w:t>proposed recission on these regulations</w:t>
      </w:r>
      <w:r w:rsidR="008133DB" w:rsidRPr="00F1714B">
        <w:rPr>
          <w:rFonts w:cs="Times New Roman"/>
          <w:szCs w:val="26"/>
        </w:rPr>
        <w:t xml:space="preserve">, we </w:t>
      </w:r>
      <w:r w:rsidR="008304A0" w:rsidRPr="00F1714B">
        <w:rPr>
          <w:rFonts w:cs="Times New Roman"/>
          <w:szCs w:val="26"/>
        </w:rPr>
        <w:t>permanent</w:t>
      </w:r>
      <w:r w:rsidR="008133DB" w:rsidRPr="00F1714B">
        <w:rPr>
          <w:rFonts w:cs="Times New Roman"/>
          <w:szCs w:val="26"/>
        </w:rPr>
        <w:t xml:space="preserve">ly rescind </w:t>
      </w:r>
      <w:r w:rsidR="00FA35D9" w:rsidRPr="00F1714B">
        <w:rPr>
          <w:rFonts w:cs="Times New Roman"/>
          <w:szCs w:val="26"/>
        </w:rPr>
        <w:t>Sections 63.16, 63.18 and 63.19</w:t>
      </w:r>
      <w:r w:rsidR="008304A0" w:rsidRPr="00F1714B">
        <w:rPr>
          <w:rFonts w:cs="Times New Roman"/>
          <w:szCs w:val="26"/>
        </w:rPr>
        <w:t xml:space="preserve"> from Chapter 63 of Title 52 of the Pa. Code</w:t>
      </w:r>
      <w:r w:rsidR="00812FAF" w:rsidRPr="00F1714B">
        <w:rPr>
          <w:rFonts w:cs="Times New Roman"/>
          <w:szCs w:val="26"/>
        </w:rPr>
        <w:t xml:space="preserve"> in the </w:t>
      </w:r>
      <w:r w:rsidR="007D2184" w:rsidRPr="00F1714B">
        <w:rPr>
          <w:rFonts w:cs="Times New Roman"/>
          <w:szCs w:val="26"/>
        </w:rPr>
        <w:t>final-form regulation set forth in the Annex</w:t>
      </w:r>
      <w:r w:rsidR="008304A0" w:rsidRPr="00F1714B">
        <w:rPr>
          <w:rFonts w:cs="Times New Roman"/>
          <w:szCs w:val="26"/>
        </w:rPr>
        <w:t>.</w:t>
      </w:r>
    </w:p>
    <w:bookmarkEnd w:id="30"/>
    <w:bookmarkEnd w:id="32"/>
    <w:p w14:paraId="5EC3417B" w14:textId="77777777" w:rsidR="00163EAA" w:rsidRPr="00F1714B" w:rsidRDefault="00163EAA" w:rsidP="00E55426">
      <w:pPr>
        <w:tabs>
          <w:tab w:val="left" w:pos="720"/>
          <w:tab w:val="left" w:pos="1440"/>
        </w:tabs>
        <w:rPr>
          <w:rFonts w:cs="Times New Roman"/>
          <w:bCs/>
          <w:szCs w:val="26"/>
        </w:rPr>
      </w:pPr>
    </w:p>
    <w:p w14:paraId="231E243A" w14:textId="77777777" w:rsidR="001B3461" w:rsidRPr="00F1714B" w:rsidRDefault="001B3461" w:rsidP="000A7B5B">
      <w:pPr>
        <w:keepNext/>
        <w:keepLines/>
        <w:tabs>
          <w:tab w:val="left" w:pos="720"/>
          <w:tab w:val="left" w:pos="1440"/>
          <w:tab w:val="left" w:pos="2115"/>
        </w:tabs>
        <w:rPr>
          <w:rFonts w:cs="Times New Roman"/>
          <w:b/>
          <w:bCs/>
          <w:szCs w:val="26"/>
        </w:rPr>
      </w:pPr>
      <w:r w:rsidRPr="00F1714B">
        <w:rPr>
          <w:rFonts w:cs="Times New Roman"/>
          <w:b/>
          <w:bCs/>
          <w:szCs w:val="26"/>
        </w:rPr>
        <w:tab/>
      </w:r>
      <w:r w:rsidRPr="00F1714B">
        <w:rPr>
          <w:rFonts w:cs="Times New Roman"/>
          <w:b/>
          <w:bCs/>
          <w:szCs w:val="26"/>
        </w:rPr>
        <w:tab/>
        <w:t>5.</w:t>
      </w:r>
      <w:r w:rsidRPr="00F1714B">
        <w:rPr>
          <w:rFonts w:cs="Times New Roman"/>
          <w:b/>
          <w:bCs/>
          <w:szCs w:val="26"/>
        </w:rPr>
        <w:tab/>
        <w:t>52 Pa. Code § 63.20 (Line Extensions)</w:t>
      </w:r>
    </w:p>
    <w:p w14:paraId="4E25A2B8" w14:textId="19A0A504" w:rsidR="001B3461" w:rsidRPr="00F1714B" w:rsidRDefault="001B3461" w:rsidP="000A7B5B">
      <w:pPr>
        <w:keepNext/>
        <w:keepLines/>
        <w:tabs>
          <w:tab w:val="left" w:pos="720"/>
          <w:tab w:val="left" w:pos="1440"/>
        </w:tabs>
        <w:rPr>
          <w:rFonts w:cs="Times New Roman"/>
          <w:bCs/>
          <w:szCs w:val="26"/>
        </w:rPr>
      </w:pPr>
      <w:r w:rsidRPr="00F1714B">
        <w:rPr>
          <w:rFonts w:cs="Times New Roman"/>
          <w:bCs/>
          <w:szCs w:val="26"/>
        </w:rPr>
        <w:tab/>
      </w:r>
      <w:r w:rsidR="007F5E31" w:rsidRPr="00F1714B">
        <w:rPr>
          <w:rFonts w:cs="Times New Roman"/>
          <w:bCs/>
          <w:szCs w:val="26"/>
        </w:rPr>
        <w:t xml:space="preserve">In the </w:t>
      </w:r>
      <w:r w:rsidR="007F5E31" w:rsidRPr="00F1714B">
        <w:rPr>
          <w:rFonts w:cs="Times New Roman"/>
          <w:bCs/>
          <w:i/>
          <w:iCs/>
          <w:szCs w:val="26"/>
        </w:rPr>
        <w:t xml:space="preserve">NPRM Order, </w:t>
      </w:r>
      <w:r w:rsidR="007F5E31" w:rsidRPr="00F1714B">
        <w:rPr>
          <w:rFonts w:cs="Times New Roman"/>
          <w:bCs/>
          <w:szCs w:val="26"/>
        </w:rPr>
        <w:t>t</w:t>
      </w:r>
      <w:r w:rsidR="003576AF" w:rsidRPr="00F1714B">
        <w:rPr>
          <w:rFonts w:cs="Times New Roman"/>
          <w:bCs/>
          <w:szCs w:val="26"/>
        </w:rPr>
        <w:t xml:space="preserve">he Commission </w:t>
      </w:r>
      <w:r w:rsidR="008C7659" w:rsidRPr="00F1714B">
        <w:rPr>
          <w:rFonts w:cs="Times New Roman"/>
          <w:bCs/>
          <w:szCs w:val="26"/>
        </w:rPr>
        <w:t>retained</w:t>
      </w:r>
      <w:r w:rsidR="003576AF" w:rsidRPr="00F1714B">
        <w:rPr>
          <w:rFonts w:cs="Times New Roman"/>
          <w:bCs/>
          <w:szCs w:val="26"/>
        </w:rPr>
        <w:t xml:space="preserve"> Section 63.20 (Line extensions) because of continued relevance to </w:t>
      </w:r>
      <w:r w:rsidR="00422F5E" w:rsidRPr="00F1714B">
        <w:rPr>
          <w:rFonts w:cs="Times New Roman"/>
          <w:bCs/>
          <w:szCs w:val="26"/>
        </w:rPr>
        <w:t xml:space="preserve">the </w:t>
      </w:r>
      <w:r w:rsidR="003576AF" w:rsidRPr="00F1714B">
        <w:rPr>
          <w:rFonts w:cs="Times New Roman"/>
          <w:bCs/>
          <w:szCs w:val="26"/>
        </w:rPr>
        <w:t>carrier of last resort (COLR) obligation that remain</w:t>
      </w:r>
      <w:r w:rsidR="005E1E58" w:rsidRPr="00F1714B">
        <w:rPr>
          <w:rFonts w:cs="Times New Roman"/>
          <w:bCs/>
          <w:szCs w:val="26"/>
        </w:rPr>
        <w:t>s in effect</w:t>
      </w:r>
      <w:r w:rsidR="001F4BBC" w:rsidRPr="00F1714B">
        <w:rPr>
          <w:rFonts w:cs="Times New Roman"/>
          <w:bCs/>
          <w:szCs w:val="26"/>
        </w:rPr>
        <w:t>, including</w:t>
      </w:r>
      <w:r w:rsidR="003576AF" w:rsidRPr="00F1714B">
        <w:rPr>
          <w:rFonts w:cs="Times New Roman"/>
          <w:bCs/>
          <w:szCs w:val="26"/>
        </w:rPr>
        <w:t xml:space="preserve"> in competitive wire centers.  </w:t>
      </w:r>
      <w:r w:rsidR="003576AF" w:rsidRPr="00F1714B">
        <w:rPr>
          <w:rFonts w:cs="Times New Roman"/>
          <w:bCs/>
          <w:i/>
          <w:szCs w:val="26"/>
        </w:rPr>
        <w:t>Reclassification Order</w:t>
      </w:r>
      <w:r w:rsidR="003576AF" w:rsidRPr="00F1714B">
        <w:rPr>
          <w:rFonts w:cs="Times New Roman"/>
          <w:bCs/>
          <w:szCs w:val="26"/>
        </w:rPr>
        <w:t xml:space="preserve"> at 80-81.  For this same reason, </w:t>
      </w:r>
      <w:r w:rsidRPr="00F1714B">
        <w:rPr>
          <w:rFonts w:cs="Times New Roman"/>
          <w:bCs/>
          <w:szCs w:val="26"/>
        </w:rPr>
        <w:t>we propose</w:t>
      </w:r>
      <w:r w:rsidR="00703FD0" w:rsidRPr="00F1714B">
        <w:rPr>
          <w:rFonts w:cs="Times New Roman"/>
          <w:bCs/>
          <w:szCs w:val="26"/>
        </w:rPr>
        <w:t>d</w:t>
      </w:r>
      <w:r w:rsidRPr="00F1714B">
        <w:rPr>
          <w:rFonts w:cs="Times New Roman"/>
          <w:bCs/>
          <w:szCs w:val="26"/>
        </w:rPr>
        <w:t xml:space="preserve"> to retain Section 63.20</w:t>
      </w:r>
      <w:r w:rsidR="003576AF" w:rsidRPr="00F1714B">
        <w:rPr>
          <w:rFonts w:cs="Times New Roman"/>
          <w:bCs/>
          <w:szCs w:val="26"/>
        </w:rPr>
        <w:t xml:space="preserve"> and made it </w:t>
      </w:r>
      <w:r w:rsidRPr="00F1714B">
        <w:rPr>
          <w:rFonts w:cs="Times New Roman"/>
          <w:bCs/>
          <w:szCs w:val="26"/>
        </w:rPr>
        <w:t>apply</w:t>
      </w:r>
      <w:r w:rsidR="003F4B9E" w:rsidRPr="00F1714B">
        <w:rPr>
          <w:rFonts w:cs="Times New Roman"/>
          <w:bCs/>
          <w:szCs w:val="26"/>
        </w:rPr>
        <w:t xml:space="preserve"> throughout </w:t>
      </w:r>
      <w:r w:rsidR="009C477A" w:rsidRPr="00F1714B">
        <w:rPr>
          <w:rFonts w:cs="Times New Roman"/>
          <w:bCs/>
          <w:szCs w:val="26"/>
        </w:rPr>
        <w:t xml:space="preserve">a </w:t>
      </w:r>
      <w:r w:rsidR="00422F5E" w:rsidRPr="00F1714B">
        <w:rPr>
          <w:rFonts w:cs="Times New Roman"/>
          <w:bCs/>
          <w:szCs w:val="26"/>
        </w:rPr>
        <w:t xml:space="preserve">jurisdictional </w:t>
      </w:r>
      <w:r w:rsidR="009C477A" w:rsidRPr="00F1714B">
        <w:rPr>
          <w:rFonts w:cs="Times New Roman"/>
          <w:bCs/>
          <w:szCs w:val="26"/>
        </w:rPr>
        <w:t xml:space="preserve">LEC’s </w:t>
      </w:r>
      <w:r w:rsidR="003F4B9E" w:rsidRPr="00F1714B">
        <w:rPr>
          <w:rFonts w:cs="Times New Roman"/>
          <w:bCs/>
          <w:szCs w:val="26"/>
        </w:rPr>
        <w:t xml:space="preserve">geographic </w:t>
      </w:r>
      <w:r w:rsidR="009C477A" w:rsidRPr="00F1714B">
        <w:rPr>
          <w:rFonts w:cs="Times New Roman"/>
          <w:bCs/>
          <w:szCs w:val="26"/>
        </w:rPr>
        <w:t xml:space="preserve">service </w:t>
      </w:r>
      <w:r w:rsidR="003F4B9E" w:rsidRPr="00F1714B">
        <w:rPr>
          <w:rFonts w:cs="Times New Roman"/>
          <w:bCs/>
          <w:szCs w:val="26"/>
        </w:rPr>
        <w:t>area</w:t>
      </w:r>
      <w:r w:rsidRPr="00F1714B">
        <w:rPr>
          <w:rFonts w:cs="Times New Roman"/>
          <w:bCs/>
          <w:szCs w:val="26"/>
        </w:rPr>
        <w:t>.</w:t>
      </w:r>
    </w:p>
    <w:p w14:paraId="671646D3" w14:textId="77777777" w:rsidR="00712CFC" w:rsidRPr="00F1714B" w:rsidRDefault="00712CFC" w:rsidP="000A7B5B">
      <w:pPr>
        <w:tabs>
          <w:tab w:val="left" w:pos="720"/>
          <w:tab w:val="left" w:pos="1440"/>
        </w:tabs>
        <w:rPr>
          <w:rFonts w:cs="Times New Roman"/>
          <w:bCs/>
          <w:szCs w:val="26"/>
        </w:rPr>
      </w:pPr>
    </w:p>
    <w:p w14:paraId="4AC863E5" w14:textId="66E3F32C" w:rsidR="00712CFC" w:rsidRPr="00F1714B" w:rsidRDefault="00712CFC" w:rsidP="000A7B5B">
      <w:pPr>
        <w:keepNext/>
        <w:keepLines/>
        <w:tabs>
          <w:tab w:val="left" w:pos="720"/>
          <w:tab w:val="left" w:pos="1440"/>
        </w:tabs>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6C746845" w14:textId="0FBED129" w:rsidR="00B9027A" w:rsidRPr="00F1714B" w:rsidRDefault="00B9027A" w:rsidP="00E55426">
      <w:pPr>
        <w:ind w:firstLine="720"/>
        <w:rPr>
          <w:rFonts w:cs="Times New Roman"/>
          <w:szCs w:val="26"/>
        </w:rPr>
      </w:pPr>
      <w:r w:rsidRPr="00F1714B">
        <w:rPr>
          <w:rFonts w:cs="Times New Roman"/>
          <w:szCs w:val="26"/>
        </w:rPr>
        <w:t xml:space="preserve">OCA supports the Commission’s proposal to retain this rule, for the same reasons the Commission denied Verizon’s request for a waiver thereof in the </w:t>
      </w:r>
      <w:r w:rsidRPr="00F1714B">
        <w:rPr>
          <w:rFonts w:cs="Times New Roman"/>
          <w:i/>
          <w:iCs/>
          <w:szCs w:val="26"/>
        </w:rPr>
        <w:t>Reclassification Order</w:t>
      </w:r>
      <w:r w:rsidRPr="00F1714B">
        <w:rPr>
          <w:rFonts w:cs="Times New Roman"/>
          <w:szCs w:val="26"/>
        </w:rPr>
        <w:t>. OCA Comments at 13.</w:t>
      </w:r>
    </w:p>
    <w:p w14:paraId="266AC898" w14:textId="77777777" w:rsidR="00FB52EA" w:rsidRPr="00F1714B" w:rsidRDefault="00FB52EA" w:rsidP="00E55426">
      <w:pPr>
        <w:ind w:firstLine="720"/>
        <w:rPr>
          <w:rFonts w:cs="Times New Roman"/>
          <w:szCs w:val="26"/>
        </w:rPr>
      </w:pPr>
    </w:p>
    <w:p w14:paraId="48D10DE3" w14:textId="60D18453" w:rsidR="00B9027A" w:rsidRDefault="00B9027A" w:rsidP="00A2092E">
      <w:pPr>
        <w:ind w:firstLine="720"/>
        <w:rPr>
          <w:rFonts w:cs="Times New Roman"/>
          <w:szCs w:val="26"/>
        </w:rPr>
      </w:pPr>
      <w:r w:rsidRPr="00F1714B">
        <w:rPr>
          <w:rFonts w:cs="Times New Roman"/>
          <w:szCs w:val="26"/>
        </w:rPr>
        <w:t>TCC/CCL suggest that the Commission add a reference to product guides to this rule, in recognition that the substance of the rule could be addressed in a tariff or in a product guide, in the case of a competitive, detariffed service. TCC/CCL Comments at 13.</w:t>
      </w:r>
    </w:p>
    <w:p w14:paraId="60CE3F57" w14:textId="77777777" w:rsidR="00A2092E" w:rsidRPr="00F1714B" w:rsidRDefault="00A2092E" w:rsidP="00A2092E">
      <w:pPr>
        <w:ind w:firstLine="720"/>
        <w:rPr>
          <w:rFonts w:cs="Times New Roman"/>
          <w:szCs w:val="26"/>
        </w:rPr>
      </w:pPr>
    </w:p>
    <w:p w14:paraId="660432AB" w14:textId="02FCC29B" w:rsidR="00A2521C" w:rsidRPr="00F1714B" w:rsidRDefault="00B9027A" w:rsidP="00E55426">
      <w:pPr>
        <w:ind w:firstLine="720"/>
        <w:rPr>
          <w:rFonts w:cs="Times New Roman"/>
          <w:szCs w:val="26"/>
        </w:rPr>
      </w:pPr>
      <w:r w:rsidRPr="00F1714B">
        <w:rPr>
          <w:rFonts w:cs="Times New Roman"/>
          <w:szCs w:val="26"/>
        </w:rPr>
        <w:t>Verizon urges the Commission to eliminate this rule because COLR obligations derive from the Public Utility Code and the rule is therefore superfluous and/or lacking statutory support. Verizon Comments at 20.</w:t>
      </w:r>
      <w:r w:rsidR="00B87029" w:rsidRPr="00F1714B">
        <w:rPr>
          <w:rFonts w:cs="Times New Roman"/>
          <w:szCs w:val="26"/>
        </w:rPr>
        <w:t xml:space="preserve">  </w:t>
      </w:r>
    </w:p>
    <w:p w14:paraId="0702424F" w14:textId="77777777" w:rsidR="001862DC" w:rsidRPr="00F1714B" w:rsidRDefault="001862DC" w:rsidP="00E55426">
      <w:pPr>
        <w:ind w:firstLine="720"/>
        <w:rPr>
          <w:rFonts w:cs="Times New Roman"/>
          <w:szCs w:val="26"/>
        </w:rPr>
      </w:pPr>
    </w:p>
    <w:p w14:paraId="5E8857B4" w14:textId="06E001AF" w:rsidR="00B87029" w:rsidRPr="00F1714B" w:rsidRDefault="00361FC0" w:rsidP="00E55426">
      <w:pPr>
        <w:ind w:firstLine="720"/>
        <w:rPr>
          <w:rFonts w:cs="Times New Roman"/>
          <w:szCs w:val="26"/>
        </w:rPr>
      </w:pPr>
      <w:bookmarkStart w:id="33" w:name="_Hlk83298412"/>
      <w:r w:rsidRPr="00F1714B">
        <w:rPr>
          <w:rFonts w:cs="Times New Roman"/>
          <w:szCs w:val="26"/>
        </w:rPr>
        <w:t xml:space="preserve">The OCA opposes Verizon’s proposal regarding this rule </w:t>
      </w:r>
      <w:r w:rsidR="00B87029" w:rsidRPr="00F1714B">
        <w:rPr>
          <w:rFonts w:cs="Times New Roman"/>
          <w:szCs w:val="26"/>
        </w:rPr>
        <w:t xml:space="preserve">because </w:t>
      </w:r>
      <w:r w:rsidRPr="00F1714B">
        <w:rPr>
          <w:rFonts w:cs="Times New Roman"/>
          <w:szCs w:val="26"/>
        </w:rPr>
        <w:t xml:space="preserve">it </w:t>
      </w:r>
      <w:r w:rsidR="00B87029" w:rsidRPr="00F1714B">
        <w:rPr>
          <w:rFonts w:cs="Times New Roman"/>
          <w:szCs w:val="26"/>
        </w:rPr>
        <w:t>asse</w:t>
      </w:r>
      <w:r w:rsidRPr="00F1714B">
        <w:rPr>
          <w:rFonts w:cs="Times New Roman"/>
          <w:szCs w:val="26"/>
        </w:rPr>
        <w:t>r</w:t>
      </w:r>
      <w:r w:rsidR="00B87029" w:rsidRPr="00F1714B">
        <w:rPr>
          <w:rFonts w:cs="Times New Roman"/>
          <w:szCs w:val="26"/>
        </w:rPr>
        <w:t xml:space="preserve">ts that its elimination would remove meaningful standards and regulatory guidance that is still </w:t>
      </w:r>
      <w:r w:rsidR="00B87029" w:rsidRPr="00F1714B">
        <w:rPr>
          <w:rFonts w:cs="Times New Roman"/>
          <w:szCs w:val="26"/>
        </w:rPr>
        <w:lastRenderedPageBreak/>
        <w:t xml:space="preserve">needed to promote and protect today’s complex and important telecommunications network.” </w:t>
      </w:r>
      <w:r w:rsidR="001862DC" w:rsidRPr="00F1714B">
        <w:rPr>
          <w:rFonts w:cs="Times New Roman"/>
          <w:szCs w:val="26"/>
        </w:rPr>
        <w:t xml:space="preserve"> </w:t>
      </w:r>
      <w:r w:rsidR="00B87029" w:rsidRPr="00F1714B">
        <w:rPr>
          <w:rFonts w:cs="Times New Roman"/>
          <w:szCs w:val="26"/>
        </w:rPr>
        <w:t>OCA Reply Comments at 10</w:t>
      </w:r>
      <w:r w:rsidR="00224B44" w:rsidRPr="00F1714B">
        <w:rPr>
          <w:rFonts w:cs="Times New Roman"/>
          <w:szCs w:val="26"/>
        </w:rPr>
        <w:t>-12</w:t>
      </w:r>
      <w:r w:rsidR="00B87029" w:rsidRPr="00F1714B">
        <w:rPr>
          <w:rFonts w:cs="Times New Roman"/>
          <w:szCs w:val="26"/>
        </w:rPr>
        <w:t>.</w:t>
      </w:r>
    </w:p>
    <w:bookmarkEnd w:id="33"/>
    <w:p w14:paraId="71AC3DBC" w14:textId="77777777" w:rsidR="00361FC0" w:rsidRPr="00F1714B" w:rsidRDefault="00361FC0" w:rsidP="00E55426">
      <w:pPr>
        <w:ind w:firstLine="720"/>
        <w:rPr>
          <w:rFonts w:cs="Times New Roman"/>
          <w:szCs w:val="26"/>
        </w:rPr>
      </w:pPr>
    </w:p>
    <w:p w14:paraId="2A8589D0" w14:textId="09A7A607" w:rsidR="00712CFC" w:rsidRPr="00F1714B" w:rsidRDefault="00712CFC" w:rsidP="00E55426">
      <w:pPr>
        <w:keepNext/>
        <w:keepLines/>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A12BD7" w:rsidRPr="00F1714B">
        <w:rPr>
          <w:rFonts w:cs="Times New Roman"/>
          <w:b/>
          <w:bCs/>
          <w:szCs w:val="26"/>
        </w:rPr>
        <w:t>.</w:t>
      </w:r>
      <w:r w:rsidRPr="00F1714B">
        <w:rPr>
          <w:rFonts w:cs="Times New Roman"/>
          <w:b/>
          <w:bCs/>
          <w:szCs w:val="26"/>
        </w:rPr>
        <w:tab/>
        <w:t>Discussion</w:t>
      </w:r>
      <w:r w:rsidR="00A12BD7" w:rsidRPr="00F1714B">
        <w:rPr>
          <w:rFonts w:cs="Times New Roman"/>
          <w:b/>
          <w:bCs/>
          <w:szCs w:val="26"/>
        </w:rPr>
        <w:t xml:space="preserve"> and </w:t>
      </w:r>
      <w:r w:rsidRPr="00F1714B">
        <w:rPr>
          <w:rFonts w:cs="Times New Roman"/>
          <w:b/>
          <w:bCs/>
          <w:szCs w:val="26"/>
        </w:rPr>
        <w:t>Resolution</w:t>
      </w:r>
    </w:p>
    <w:p w14:paraId="45E79DBD" w14:textId="77777777" w:rsidR="009410FF" w:rsidRPr="00F1714B" w:rsidRDefault="00153FD3" w:rsidP="00A2092E">
      <w:pPr>
        <w:tabs>
          <w:tab w:val="left" w:pos="720"/>
          <w:tab w:val="left" w:pos="1440"/>
        </w:tabs>
        <w:rPr>
          <w:szCs w:val="26"/>
        </w:rPr>
      </w:pPr>
      <w:r w:rsidRPr="00F1714B">
        <w:rPr>
          <w:szCs w:val="26"/>
        </w:rPr>
        <w:tab/>
        <w:t>This regulation was adopted in 1946 and last amended in 1969.</w:t>
      </w:r>
      <w:r w:rsidR="00382B28" w:rsidRPr="00F1714B">
        <w:rPr>
          <w:szCs w:val="26"/>
        </w:rPr>
        <w:t xml:space="preserve">  As we have st</w:t>
      </w:r>
      <w:r w:rsidR="00D46965" w:rsidRPr="00F1714B">
        <w:rPr>
          <w:szCs w:val="26"/>
        </w:rPr>
        <w:t>ated</w:t>
      </w:r>
      <w:r w:rsidR="00382B28" w:rsidRPr="00F1714B">
        <w:rPr>
          <w:szCs w:val="26"/>
        </w:rPr>
        <w:t xml:space="preserve"> previously, </w:t>
      </w:r>
      <w:r w:rsidR="004745BE" w:rsidRPr="00F1714B">
        <w:rPr>
          <w:szCs w:val="26"/>
        </w:rPr>
        <w:t xml:space="preserve">our </w:t>
      </w:r>
      <w:r w:rsidR="00A6608A" w:rsidRPr="00F1714B">
        <w:rPr>
          <w:bCs/>
          <w:szCs w:val="26"/>
        </w:rPr>
        <w:t>prevailing goal of this proceeding is to propose regulations that set forth the most efficient measure to achieve the regulatory objective</w:t>
      </w:r>
      <w:r w:rsidR="004745BE" w:rsidRPr="00F1714B">
        <w:rPr>
          <w:szCs w:val="26"/>
        </w:rPr>
        <w:t>.</w:t>
      </w:r>
      <w:r w:rsidR="00AC60EF" w:rsidRPr="00F1714B">
        <w:rPr>
          <w:szCs w:val="26"/>
        </w:rPr>
        <w:t xml:space="preserve">  Thus, w</w:t>
      </w:r>
      <w:r w:rsidR="00A3106B" w:rsidRPr="00F1714B">
        <w:rPr>
          <w:szCs w:val="26"/>
        </w:rPr>
        <w:t xml:space="preserve">e agree with Verizon that COLR obligations derive from the Public Utility Code and the rule is therefore </w:t>
      </w:r>
      <w:r w:rsidR="000E4B0B" w:rsidRPr="00F1714B">
        <w:rPr>
          <w:szCs w:val="26"/>
        </w:rPr>
        <w:t>not necessary</w:t>
      </w:r>
      <w:r w:rsidR="00A3106B" w:rsidRPr="00F1714B">
        <w:rPr>
          <w:szCs w:val="26"/>
        </w:rPr>
        <w:t>.</w:t>
      </w:r>
      <w:r w:rsidR="00E759E5" w:rsidRPr="00F1714B">
        <w:rPr>
          <w:rStyle w:val="FootnoteReference"/>
          <w:szCs w:val="26"/>
        </w:rPr>
        <w:footnoteReference w:id="47"/>
      </w:r>
      <w:r w:rsidR="00A3106B" w:rsidRPr="00F1714B">
        <w:rPr>
          <w:szCs w:val="26"/>
        </w:rPr>
        <w:t xml:space="preserve">  </w:t>
      </w:r>
      <w:r w:rsidR="00847659" w:rsidRPr="00F1714B">
        <w:rPr>
          <w:szCs w:val="26"/>
        </w:rPr>
        <w:t xml:space="preserve">Even in the absence of this </w:t>
      </w:r>
      <w:r w:rsidR="0037796C" w:rsidRPr="00F1714B">
        <w:rPr>
          <w:szCs w:val="26"/>
        </w:rPr>
        <w:t>regulation</w:t>
      </w:r>
      <w:r w:rsidR="00847659" w:rsidRPr="00F1714B">
        <w:rPr>
          <w:szCs w:val="26"/>
        </w:rPr>
        <w:t xml:space="preserve">, </w:t>
      </w:r>
      <w:r w:rsidR="0037796C" w:rsidRPr="00F1714B">
        <w:rPr>
          <w:szCs w:val="26"/>
        </w:rPr>
        <w:t xml:space="preserve">a </w:t>
      </w:r>
      <w:r w:rsidR="00A16146" w:rsidRPr="00F1714B">
        <w:rPr>
          <w:szCs w:val="26"/>
        </w:rPr>
        <w:t>statutory obligation exists</w:t>
      </w:r>
      <w:r w:rsidR="00AB2B54" w:rsidRPr="00F1714B">
        <w:rPr>
          <w:szCs w:val="26"/>
        </w:rPr>
        <w:t xml:space="preserve"> </w:t>
      </w:r>
      <w:r w:rsidR="005C6BC4" w:rsidRPr="00F1714B">
        <w:rPr>
          <w:szCs w:val="26"/>
        </w:rPr>
        <w:t xml:space="preserve">under Section 1501 of the Code </w:t>
      </w:r>
      <w:r w:rsidR="0037796C" w:rsidRPr="00F1714B">
        <w:rPr>
          <w:szCs w:val="26"/>
        </w:rPr>
        <w:t>to make reasonable line extensions</w:t>
      </w:r>
      <w:r w:rsidR="00910588" w:rsidRPr="00F1714B">
        <w:rPr>
          <w:szCs w:val="26"/>
        </w:rPr>
        <w:t>,</w:t>
      </w:r>
      <w:r w:rsidR="0037796C" w:rsidRPr="00F1714B">
        <w:rPr>
          <w:szCs w:val="26"/>
        </w:rPr>
        <w:t xml:space="preserve"> </w:t>
      </w:r>
      <w:r w:rsidR="00A16146" w:rsidRPr="00F1714B">
        <w:rPr>
          <w:szCs w:val="26"/>
        </w:rPr>
        <w:t xml:space="preserve">and </w:t>
      </w:r>
      <w:r w:rsidR="00910588" w:rsidRPr="00F1714B">
        <w:rPr>
          <w:szCs w:val="26"/>
        </w:rPr>
        <w:t xml:space="preserve">this obligation </w:t>
      </w:r>
      <w:r w:rsidR="00A16146" w:rsidRPr="00F1714B">
        <w:rPr>
          <w:szCs w:val="26"/>
        </w:rPr>
        <w:t>applies to all LECs.</w:t>
      </w:r>
      <w:r w:rsidR="004D69C2" w:rsidRPr="00F1714B">
        <w:rPr>
          <w:szCs w:val="26"/>
        </w:rPr>
        <w:t xml:space="preserve">  Thus, </w:t>
      </w:r>
      <w:r w:rsidR="00A16146" w:rsidRPr="00F1714B">
        <w:rPr>
          <w:szCs w:val="26"/>
        </w:rPr>
        <w:t>t</w:t>
      </w:r>
      <w:r w:rsidR="00847659" w:rsidRPr="00F1714B">
        <w:rPr>
          <w:szCs w:val="26"/>
        </w:rPr>
        <w:t xml:space="preserve">he Commission has the ability </w:t>
      </w:r>
      <w:r w:rsidR="004D69C2" w:rsidRPr="00F1714B">
        <w:rPr>
          <w:szCs w:val="26"/>
        </w:rPr>
        <w:t xml:space="preserve">under the Code </w:t>
      </w:r>
      <w:r w:rsidR="00847659" w:rsidRPr="00F1714B">
        <w:rPr>
          <w:szCs w:val="26"/>
        </w:rPr>
        <w:t>to</w:t>
      </w:r>
      <w:r w:rsidR="003553DE" w:rsidRPr="00F1714B">
        <w:rPr>
          <w:szCs w:val="26"/>
        </w:rPr>
        <w:t xml:space="preserve"> ensure that </w:t>
      </w:r>
      <w:r w:rsidR="000779D4" w:rsidRPr="00F1714B">
        <w:rPr>
          <w:szCs w:val="26"/>
        </w:rPr>
        <w:t xml:space="preserve">a </w:t>
      </w:r>
      <w:r w:rsidR="003553DE" w:rsidRPr="00F1714B">
        <w:rPr>
          <w:szCs w:val="26"/>
        </w:rPr>
        <w:t>LEC readily make</w:t>
      </w:r>
      <w:r w:rsidR="000779D4" w:rsidRPr="00F1714B">
        <w:rPr>
          <w:szCs w:val="26"/>
        </w:rPr>
        <w:t>s</w:t>
      </w:r>
      <w:r w:rsidR="003553DE" w:rsidRPr="00F1714B">
        <w:rPr>
          <w:szCs w:val="26"/>
        </w:rPr>
        <w:t xml:space="preserve"> line extensions servicing applicants within its </w:t>
      </w:r>
      <w:r w:rsidR="000E4B0B" w:rsidRPr="00F1714B">
        <w:rPr>
          <w:szCs w:val="26"/>
        </w:rPr>
        <w:t xml:space="preserve">certificated </w:t>
      </w:r>
      <w:r w:rsidR="003553DE" w:rsidRPr="00F1714B">
        <w:rPr>
          <w:szCs w:val="26"/>
        </w:rPr>
        <w:t>territory.</w:t>
      </w:r>
      <w:r w:rsidR="00036EFF" w:rsidRPr="00F1714B">
        <w:rPr>
          <w:szCs w:val="26"/>
        </w:rPr>
        <w:t xml:space="preserve">  </w:t>
      </w:r>
    </w:p>
    <w:p w14:paraId="1CE14456" w14:textId="77777777" w:rsidR="009410FF" w:rsidRPr="00F1714B" w:rsidRDefault="009410FF" w:rsidP="00A2092E">
      <w:pPr>
        <w:tabs>
          <w:tab w:val="left" w:pos="720"/>
          <w:tab w:val="left" w:pos="1440"/>
        </w:tabs>
        <w:rPr>
          <w:szCs w:val="26"/>
        </w:rPr>
      </w:pPr>
    </w:p>
    <w:p w14:paraId="35C68157" w14:textId="09074BFF" w:rsidR="007E7491" w:rsidRPr="00F1714B" w:rsidRDefault="009410FF" w:rsidP="00AC60EF">
      <w:pPr>
        <w:tabs>
          <w:tab w:val="left" w:pos="720"/>
          <w:tab w:val="left" w:pos="1440"/>
        </w:tabs>
        <w:rPr>
          <w:szCs w:val="26"/>
        </w:rPr>
      </w:pPr>
      <w:r w:rsidRPr="00F1714B">
        <w:rPr>
          <w:szCs w:val="26"/>
        </w:rPr>
        <w:tab/>
      </w:r>
      <w:r w:rsidR="00CC604A" w:rsidRPr="00F1714B">
        <w:rPr>
          <w:szCs w:val="26"/>
        </w:rPr>
        <w:t xml:space="preserve">Additionally, the LEC must include a section in their </w:t>
      </w:r>
      <w:r w:rsidR="00036EFF" w:rsidRPr="00F1714B">
        <w:rPr>
          <w:szCs w:val="26"/>
        </w:rPr>
        <w:t>tariff</w:t>
      </w:r>
      <w:r w:rsidR="00CC604A" w:rsidRPr="00F1714B">
        <w:rPr>
          <w:szCs w:val="26"/>
        </w:rPr>
        <w:t xml:space="preserve"> or price guide </w:t>
      </w:r>
      <w:r w:rsidR="0009054E" w:rsidRPr="00F1714B">
        <w:rPr>
          <w:szCs w:val="26"/>
        </w:rPr>
        <w:t xml:space="preserve">that details their duty and </w:t>
      </w:r>
      <w:r w:rsidR="00CC604A" w:rsidRPr="00F1714B">
        <w:rPr>
          <w:szCs w:val="26"/>
        </w:rPr>
        <w:t xml:space="preserve">statutory </w:t>
      </w:r>
      <w:r w:rsidR="0009054E" w:rsidRPr="00F1714B">
        <w:rPr>
          <w:szCs w:val="26"/>
        </w:rPr>
        <w:t xml:space="preserve">obligation to make reasonable line extensions within the territory in which it is </w:t>
      </w:r>
      <w:r w:rsidR="000E4B0B" w:rsidRPr="00F1714B">
        <w:rPr>
          <w:szCs w:val="26"/>
        </w:rPr>
        <w:t xml:space="preserve">authorized </w:t>
      </w:r>
      <w:r w:rsidR="0009054E" w:rsidRPr="00F1714B">
        <w:rPr>
          <w:szCs w:val="26"/>
        </w:rPr>
        <w:t>to operate</w:t>
      </w:r>
      <w:r w:rsidR="007E7491" w:rsidRPr="00F1714B">
        <w:rPr>
          <w:szCs w:val="26"/>
        </w:rPr>
        <w:t xml:space="preserve"> </w:t>
      </w:r>
      <w:proofErr w:type="gramStart"/>
      <w:r w:rsidR="007E7491" w:rsidRPr="00F1714B">
        <w:rPr>
          <w:szCs w:val="26"/>
        </w:rPr>
        <w:t>and also</w:t>
      </w:r>
      <w:proofErr w:type="gramEnd"/>
      <w:r w:rsidR="007E7491" w:rsidRPr="00F1714B">
        <w:rPr>
          <w:szCs w:val="26"/>
        </w:rPr>
        <w:t xml:space="preserve"> the conditions under which it will make line extensions servicing applicants within its charter territory.</w:t>
      </w:r>
      <w:r w:rsidR="00A16146" w:rsidRPr="00F1714B">
        <w:rPr>
          <w:szCs w:val="26"/>
        </w:rPr>
        <w:t xml:space="preserve">  Accordingly, we agree that it is unnecessary to attempt to restate the </w:t>
      </w:r>
      <w:r w:rsidR="00CA75C7" w:rsidRPr="00F1714B">
        <w:rPr>
          <w:szCs w:val="26"/>
        </w:rPr>
        <w:t>Section 1501 obligation to make reasonable line extensions</w:t>
      </w:r>
      <w:r w:rsidR="00A16146" w:rsidRPr="00F1714B">
        <w:rPr>
          <w:szCs w:val="26"/>
        </w:rPr>
        <w:t xml:space="preserve"> in our regulation</w:t>
      </w:r>
      <w:r w:rsidR="000E4B0B" w:rsidRPr="00F1714B">
        <w:rPr>
          <w:szCs w:val="26"/>
        </w:rPr>
        <w:t xml:space="preserve">, and thus, </w:t>
      </w:r>
      <w:r w:rsidR="00A16146" w:rsidRPr="00F1714B">
        <w:rPr>
          <w:szCs w:val="26"/>
        </w:rPr>
        <w:t>we will delete Section 63.20 from Chapter 63 in the final-form regulation.</w:t>
      </w:r>
    </w:p>
    <w:p w14:paraId="502D28A3" w14:textId="74C184E2" w:rsidR="007E7491" w:rsidRPr="00F1714B" w:rsidRDefault="007E7491" w:rsidP="00E55426">
      <w:pPr>
        <w:tabs>
          <w:tab w:val="left" w:pos="720"/>
          <w:tab w:val="left" w:pos="1440"/>
        </w:tabs>
        <w:rPr>
          <w:szCs w:val="26"/>
        </w:rPr>
      </w:pPr>
    </w:p>
    <w:p w14:paraId="7DCD592B" w14:textId="4FD4F3E6" w:rsidR="001B3461" w:rsidRPr="00F1714B" w:rsidRDefault="001B3461" w:rsidP="00A2092E">
      <w:pPr>
        <w:keepNext/>
        <w:keepLines/>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t>6.</w:t>
      </w:r>
      <w:r w:rsidRPr="00F1714B">
        <w:rPr>
          <w:rFonts w:cs="Times New Roman"/>
          <w:b/>
          <w:bCs/>
          <w:szCs w:val="26"/>
        </w:rPr>
        <w:tab/>
        <w:t>52 Pa. Code § 63.21 (Directories)</w:t>
      </w:r>
    </w:p>
    <w:p w14:paraId="1DF20762" w14:textId="190A80DB" w:rsidR="001B3461" w:rsidRPr="00F1714B" w:rsidRDefault="001B3461" w:rsidP="00A2092E">
      <w:pPr>
        <w:tabs>
          <w:tab w:val="left" w:pos="720"/>
          <w:tab w:val="left" w:pos="1440"/>
        </w:tabs>
        <w:rPr>
          <w:rFonts w:cs="Times New Roman"/>
          <w:bCs/>
          <w:szCs w:val="26"/>
        </w:rPr>
      </w:pPr>
      <w:r w:rsidRPr="00F1714B">
        <w:rPr>
          <w:rFonts w:cs="Times New Roman"/>
          <w:bCs/>
          <w:szCs w:val="26"/>
        </w:rPr>
        <w:tab/>
        <w:t xml:space="preserve">We noted in the </w:t>
      </w:r>
      <w:r w:rsidRPr="00F1714B">
        <w:rPr>
          <w:rFonts w:cs="Times New Roman"/>
          <w:bCs/>
          <w:i/>
          <w:szCs w:val="26"/>
        </w:rPr>
        <w:t>Reclassification Order</w:t>
      </w:r>
      <w:r w:rsidRPr="00F1714B">
        <w:rPr>
          <w:rFonts w:cs="Times New Roman"/>
          <w:bCs/>
          <w:szCs w:val="26"/>
        </w:rPr>
        <w:t xml:space="preserve"> that Verizon no longer provides a residential White Pages directory in paper form automatically.</w:t>
      </w:r>
      <w:r w:rsidR="00B9027A" w:rsidRPr="00F1714B">
        <w:rPr>
          <w:rStyle w:val="FootnoteReference"/>
          <w:rFonts w:cs="Times New Roman"/>
          <w:bCs/>
          <w:szCs w:val="26"/>
        </w:rPr>
        <w:footnoteReference w:id="48"/>
      </w:r>
      <w:r w:rsidRPr="00F1714B">
        <w:rPr>
          <w:rFonts w:cs="Times New Roman"/>
          <w:bCs/>
          <w:szCs w:val="26"/>
        </w:rPr>
        <w:t xml:space="preserve">  </w:t>
      </w:r>
      <w:r w:rsidR="00223E86" w:rsidRPr="00F1714B">
        <w:rPr>
          <w:rFonts w:cs="Times New Roman"/>
          <w:bCs/>
          <w:szCs w:val="26"/>
        </w:rPr>
        <w:t xml:space="preserve">We also noted in the </w:t>
      </w:r>
      <w:r w:rsidR="00223E86" w:rsidRPr="00F1714B">
        <w:rPr>
          <w:rFonts w:cs="Times New Roman"/>
          <w:bCs/>
          <w:i/>
          <w:iCs/>
          <w:szCs w:val="26"/>
        </w:rPr>
        <w:t>ANPR</w:t>
      </w:r>
      <w:r w:rsidR="00011950" w:rsidRPr="00F1714B">
        <w:rPr>
          <w:rFonts w:cs="Times New Roman"/>
          <w:bCs/>
          <w:i/>
          <w:iCs/>
          <w:szCs w:val="26"/>
        </w:rPr>
        <w:t>M</w:t>
      </w:r>
      <w:r w:rsidR="00223E86" w:rsidRPr="00F1714B">
        <w:rPr>
          <w:rFonts w:cs="Times New Roman"/>
          <w:bCs/>
          <w:i/>
          <w:iCs/>
          <w:szCs w:val="26"/>
        </w:rPr>
        <w:t xml:space="preserve"> Order</w:t>
      </w:r>
      <w:r w:rsidR="00223E86" w:rsidRPr="00F1714B">
        <w:rPr>
          <w:rFonts w:cs="Times New Roman"/>
          <w:bCs/>
          <w:szCs w:val="26"/>
        </w:rPr>
        <w:t xml:space="preserve"> that </w:t>
      </w:r>
      <w:r w:rsidRPr="00F1714B">
        <w:rPr>
          <w:rFonts w:cs="Times New Roman"/>
          <w:bCs/>
          <w:szCs w:val="26"/>
        </w:rPr>
        <w:t xml:space="preserve">both Verizon and CenturyLink were </w:t>
      </w:r>
      <w:r w:rsidR="00223E86" w:rsidRPr="00F1714B">
        <w:rPr>
          <w:rFonts w:cs="Times New Roman"/>
          <w:bCs/>
          <w:szCs w:val="26"/>
        </w:rPr>
        <w:t xml:space="preserve">specifically </w:t>
      </w:r>
      <w:r w:rsidRPr="00F1714B">
        <w:rPr>
          <w:rFonts w:cs="Times New Roman"/>
          <w:bCs/>
          <w:szCs w:val="26"/>
        </w:rPr>
        <w:t xml:space="preserve">granted relief to end saturation delivery of paper copies of residential and business White Pages and business </w:t>
      </w:r>
      <w:r w:rsidRPr="00F1714B">
        <w:rPr>
          <w:rFonts w:cs="Times New Roman"/>
          <w:bCs/>
          <w:szCs w:val="26"/>
        </w:rPr>
        <w:lastRenderedPageBreak/>
        <w:t>Yellow Pages directories, except for those customers likely to use or specifically request the directories.</w:t>
      </w:r>
      <w:r w:rsidRPr="00F1714B">
        <w:rPr>
          <w:rFonts w:cs="Times New Roman"/>
          <w:bCs/>
          <w:szCs w:val="26"/>
          <w:vertAlign w:val="superscript"/>
        </w:rPr>
        <w:footnoteReference w:id="49"/>
      </w:r>
    </w:p>
    <w:p w14:paraId="4ADAE773" w14:textId="77777777" w:rsidR="00B56A77" w:rsidRPr="00F1714B" w:rsidRDefault="00B56A77" w:rsidP="00A2092E">
      <w:pPr>
        <w:tabs>
          <w:tab w:val="left" w:pos="720"/>
          <w:tab w:val="left" w:pos="1440"/>
        </w:tabs>
        <w:rPr>
          <w:rFonts w:cs="Times New Roman"/>
          <w:bCs/>
          <w:szCs w:val="26"/>
        </w:rPr>
      </w:pPr>
    </w:p>
    <w:p w14:paraId="31E5A084" w14:textId="7B8E964B" w:rsidR="00EC32CF" w:rsidRPr="00F1714B" w:rsidRDefault="001B3461" w:rsidP="00A2092E">
      <w:pPr>
        <w:tabs>
          <w:tab w:val="left" w:pos="720"/>
          <w:tab w:val="left" w:pos="1440"/>
        </w:tabs>
        <w:rPr>
          <w:rFonts w:cs="Times New Roman"/>
          <w:bCs/>
          <w:szCs w:val="26"/>
        </w:rPr>
      </w:pPr>
      <w:r w:rsidRPr="00F1714B">
        <w:rPr>
          <w:rFonts w:cs="Times New Roman"/>
          <w:bCs/>
          <w:szCs w:val="26"/>
        </w:rPr>
        <w:tab/>
      </w:r>
      <w:r w:rsidR="00FA791E" w:rsidRPr="00F1714B">
        <w:rPr>
          <w:rFonts w:cs="Times New Roman"/>
          <w:bCs/>
          <w:szCs w:val="26"/>
        </w:rPr>
        <w:t xml:space="preserve">Additionally, the Commission recently </w:t>
      </w:r>
      <w:r w:rsidR="00074678" w:rsidRPr="00F1714B">
        <w:rPr>
          <w:rFonts w:cs="Times New Roman"/>
          <w:bCs/>
          <w:szCs w:val="26"/>
        </w:rPr>
        <w:t>grant</w:t>
      </w:r>
      <w:r w:rsidR="00FA791E" w:rsidRPr="00F1714B">
        <w:rPr>
          <w:rFonts w:cs="Times New Roman"/>
          <w:bCs/>
          <w:szCs w:val="26"/>
        </w:rPr>
        <w:t xml:space="preserve">ed </w:t>
      </w:r>
      <w:r w:rsidR="00074678" w:rsidRPr="00F1714B">
        <w:rPr>
          <w:rFonts w:cs="Times New Roman"/>
          <w:bCs/>
          <w:szCs w:val="26"/>
        </w:rPr>
        <w:t>our thirty-five RLECs a t</w:t>
      </w:r>
      <w:r w:rsidR="009F5E7B" w:rsidRPr="00F1714B">
        <w:rPr>
          <w:rFonts w:cs="Times New Roman"/>
          <w:bCs/>
          <w:szCs w:val="26"/>
        </w:rPr>
        <w:t xml:space="preserve">emporary </w:t>
      </w:r>
      <w:r w:rsidR="00074678" w:rsidRPr="00F1714B">
        <w:rPr>
          <w:rFonts w:cs="Times New Roman"/>
          <w:bCs/>
          <w:szCs w:val="26"/>
        </w:rPr>
        <w:t>w</w:t>
      </w:r>
      <w:r w:rsidR="009F5E7B" w:rsidRPr="00F1714B">
        <w:rPr>
          <w:rFonts w:cs="Times New Roman"/>
          <w:bCs/>
          <w:szCs w:val="26"/>
        </w:rPr>
        <w:t xml:space="preserve">aiver of 52 Pa. Code Section 63.21 regarding directories </w:t>
      </w:r>
      <w:r w:rsidR="00074678" w:rsidRPr="00F1714B">
        <w:rPr>
          <w:rFonts w:cs="Times New Roman"/>
          <w:bCs/>
          <w:szCs w:val="26"/>
        </w:rPr>
        <w:t xml:space="preserve">that is </w:t>
      </w:r>
      <w:r w:rsidR="009F5E7B" w:rsidRPr="00F1714B">
        <w:rPr>
          <w:rFonts w:cs="Times New Roman"/>
          <w:bCs/>
          <w:szCs w:val="26"/>
        </w:rPr>
        <w:t xml:space="preserve">subject to the same conditions, terms, limitations, and requirements attached to prior Commission waivers granted </w:t>
      </w:r>
      <w:r w:rsidR="000E4B0B" w:rsidRPr="00F1714B">
        <w:rPr>
          <w:rFonts w:cs="Times New Roman"/>
          <w:bCs/>
          <w:szCs w:val="26"/>
        </w:rPr>
        <w:t xml:space="preserve">under </w:t>
      </w:r>
      <w:r w:rsidR="009F5E7B" w:rsidRPr="00F1714B">
        <w:rPr>
          <w:rFonts w:cs="Times New Roman"/>
          <w:bCs/>
          <w:szCs w:val="26"/>
        </w:rPr>
        <w:t>this regulation</w:t>
      </w:r>
      <w:r w:rsidR="00FA791E" w:rsidRPr="00F1714B">
        <w:rPr>
          <w:rFonts w:cs="Times New Roman"/>
          <w:bCs/>
          <w:szCs w:val="26"/>
        </w:rPr>
        <w:t>.</w:t>
      </w:r>
      <w:r w:rsidR="00317793" w:rsidRPr="00F1714B">
        <w:rPr>
          <w:rStyle w:val="FootnoteReference"/>
          <w:rFonts w:cs="Times New Roman"/>
          <w:bCs/>
          <w:szCs w:val="26"/>
        </w:rPr>
        <w:footnoteReference w:id="50"/>
      </w:r>
      <w:r w:rsidR="00317793" w:rsidRPr="00F1714B">
        <w:rPr>
          <w:rFonts w:cs="Times New Roman"/>
          <w:bCs/>
          <w:szCs w:val="26"/>
        </w:rPr>
        <w:t xml:space="preserve"> </w:t>
      </w:r>
      <w:r w:rsidR="00EC32CF" w:rsidRPr="00F1714B">
        <w:rPr>
          <w:rFonts w:cs="Times New Roman"/>
          <w:bCs/>
          <w:szCs w:val="26"/>
        </w:rPr>
        <w:t xml:space="preserve"> In granting this temporary waiver during the pendency of this rulemaking process, </w:t>
      </w:r>
      <w:r w:rsidR="00317793" w:rsidRPr="00F1714B">
        <w:rPr>
          <w:rFonts w:cs="Times New Roman"/>
          <w:bCs/>
          <w:szCs w:val="26"/>
        </w:rPr>
        <w:t xml:space="preserve">we determined that this regulation may be obsolete for end-user consumers that receive retail services, including protected basic local exchange services in all geographic areas.  </w:t>
      </w:r>
    </w:p>
    <w:p w14:paraId="629B5750" w14:textId="77777777" w:rsidR="00EC32CF" w:rsidRPr="00F1714B" w:rsidRDefault="00EC32CF" w:rsidP="00A2092E">
      <w:pPr>
        <w:tabs>
          <w:tab w:val="left" w:pos="720"/>
          <w:tab w:val="left" w:pos="1440"/>
        </w:tabs>
        <w:rPr>
          <w:rFonts w:cs="Times New Roman"/>
          <w:bCs/>
          <w:szCs w:val="26"/>
        </w:rPr>
      </w:pPr>
    </w:p>
    <w:p w14:paraId="32E8196F" w14:textId="39D1072D" w:rsidR="00317793" w:rsidRPr="00F1714B" w:rsidRDefault="00EC32CF" w:rsidP="00A2092E">
      <w:pPr>
        <w:tabs>
          <w:tab w:val="left" w:pos="720"/>
          <w:tab w:val="left" w:pos="1440"/>
        </w:tabs>
        <w:rPr>
          <w:rFonts w:cs="Times New Roman"/>
          <w:color w:val="000000"/>
          <w:szCs w:val="26"/>
        </w:rPr>
      </w:pPr>
      <w:r w:rsidRPr="00F1714B">
        <w:rPr>
          <w:rFonts w:cs="Times New Roman"/>
          <w:bCs/>
          <w:szCs w:val="26"/>
        </w:rPr>
        <w:tab/>
      </w:r>
      <w:r w:rsidR="00317793" w:rsidRPr="00F1714B">
        <w:rPr>
          <w:rFonts w:cs="Times New Roman"/>
          <w:bCs/>
          <w:szCs w:val="26"/>
        </w:rPr>
        <w:t xml:space="preserve">However, we are also cognizant of the fact that not all end-user consumers of regulated telecommunications services may simultaneously have broadband access to electronic directory information.  Therefore, we proposed to </w:t>
      </w:r>
      <w:r w:rsidR="00317793" w:rsidRPr="00F1714B">
        <w:rPr>
          <w:rFonts w:cs="Times New Roman"/>
          <w:color w:val="000000"/>
          <w:szCs w:val="26"/>
        </w:rPr>
        <w:t>amend Section 63.21 to comport with and codify the temporary waivers of directory distribution and availability that were granted to Verizon, CenturyLink, and Frontier ILECs,</w:t>
      </w:r>
      <w:r w:rsidR="00317793" w:rsidRPr="00F1714B">
        <w:rPr>
          <w:rStyle w:val="FootnoteReference"/>
          <w:rFonts w:cs="Times New Roman"/>
          <w:color w:val="000000"/>
          <w:szCs w:val="26"/>
        </w:rPr>
        <w:footnoteReference w:id="51"/>
      </w:r>
      <w:r w:rsidR="00317793" w:rsidRPr="00F1714B">
        <w:rPr>
          <w:rFonts w:cs="Times New Roman"/>
          <w:color w:val="000000"/>
          <w:szCs w:val="26"/>
        </w:rPr>
        <w:t xml:space="preserve"> which by virtue of our order entered July 28, </w:t>
      </w:r>
      <w:r w:rsidR="00DD7D4E" w:rsidRPr="00F1714B">
        <w:rPr>
          <w:rFonts w:cs="Times New Roman"/>
          <w:color w:val="000000"/>
          <w:szCs w:val="26"/>
        </w:rPr>
        <w:t>2020,</w:t>
      </w:r>
      <w:r w:rsidR="00317793" w:rsidRPr="00F1714B">
        <w:rPr>
          <w:rFonts w:cs="Times New Roman"/>
          <w:color w:val="000000"/>
          <w:szCs w:val="26"/>
        </w:rPr>
        <w:t xml:space="preserve"> at Docket No. </w:t>
      </w:r>
      <w:r w:rsidR="00317793" w:rsidRPr="00F1714B">
        <w:rPr>
          <w:rFonts w:cs="Times New Roman"/>
          <w:szCs w:val="26"/>
        </w:rPr>
        <w:t>P-2018-3005224</w:t>
      </w:r>
      <w:r w:rsidR="00317793" w:rsidRPr="00F1714B">
        <w:rPr>
          <w:rFonts w:cs="Times New Roman"/>
          <w:color w:val="000000"/>
          <w:szCs w:val="26"/>
        </w:rPr>
        <w:t xml:space="preserve">, were also extended to the remaining Pennsylvania RLECs. </w:t>
      </w:r>
    </w:p>
    <w:p w14:paraId="230D1C98" w14:textId="77777777" w:rsidR="00F469E8" w:rsidRPr="00F1714B" w:rsidRDefault="00F469E8" w:rsidP="00A2092E">
      <w:pPr>
        <w:tabs>
          <w:tab w:val="left" w:pos="720"/>
          <w:tab w:val="left" w:pos="1440"/>
        </w:tabs>
        <w:rPr>
          <w:rFonts w:cs="Times New Roman"/>
          <w:color w:val="000000"/>
          <w:szCs w:val="26"/>
        </w:rPr>
      </w:pPr>
    </w:p>
    <w:p w14:paraId="31FBFE53" w14:textId="0C0DA069" w:rsidR="00317793" w:rsidRPr="00F1714B" w:rsidRDefault="00317793" w:rsidP="00A2092E">
      <w:pPr>
        <w:keepNext/>
        <w:keepLines/>
        <w:tabs>
          <w:tab w:val="left" w:pos="720"/>
          <w:tab w:val="left" w:pos="1440"/>
        </w:tabs>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3A14D66C" w14:textId="3D3315DE" w:rsidR="000516E0" w:rsidRPr="00F1714B" w:rsidRDefault="000516E0" w:rsidP="00A2092E">
      <w:pPr>
        <w:ind w:firstLine="720"/>
        <w:rPr>
          <w:rFonts w:cs="Times New Roman"/>
          <w:szCs w:val="26"/>
        </w:rPr>
      </w:pPr>
      <w:r w:rsidRPr="00F1714B">
        <w:rPr>
          <w:rFonts w:cs="Times New Roman"/>
          <w:szCs w:val="26"/>
        </w:rPr>
        <w:t xml:space="preserve">With respect to the Commission’s proposed modified subsection 63.21, IRRC recommends that the Commission should explain how the benefits of the regulation outweigh any cost and adverse effects. </w:t>
      </w:r>
      <w:bookmarkStart w:id="34" w:name="_Hlk80971816"/>
      <w:r w:rsidR="00F50D93" w:rsidRPr="00F1714B">
        <w:rPr>
          <w:rFonts w:cs="Times New Roman"/>
          <w:szCs w:val="26"/>
        </w:rPr>
        <w:t xml:space="preserve"> </w:t>
      </w:r>
      <w:r w:rsidRPr="00F1714B">
        <w:rPr>
          <w:rFonts w:cs="Times New Roman"/>
          <w:szCs w:val="26"/>
        </w:rPr>
        <w:t xml:space="preserve">IRRC Comments at 6. </w:t>
      </w:r>
      <w:bookmarkEnd w:id="34"/>
      <w:r w:rsidR="00EC32CF" w:rsidRPr="00F1714B">
        <w:rPr>
          <w:rFonts w:cs="Times New Roman"/>
          <w:szCs w:val="26"/>
        </w:rPr>
        <w:t xml:space="preserve"> </w:t>
      </w:r>
      <w:r w:rsidRPr="00F1714B">
        <w:rPr>
          <w:rFonts w:cs="Times New Roman"/>
          <w:szCs w:val="26"/>
        </w:rPr>
        <w:t xml:space="preserve">IRRC also notes that “paragraph (3) reads ‘print directories shall be distributed to consumers who are more </w:t>
      </w:r>
      <w:r w:rsidRPr="00F1714B">
        <w:rPr>
          <w:rFonts w:cs="Times New Roman"/>
          <w:szCs w:val="26"/>
        </w:rPr>
        <w:lastRenderedPageBreak/>
        <w:t>likely to use them’” and avers that “[t]his is nonregulatory language and it should be replaced with a clear, enforceable standard.”</w:t>
      </w:r>
      <w:r w:rsidR="006E2278" w:rsidRPr="00F1714B">
        <w:rPr>
          <w:rFonts w:cs="Times New Roman"/>
          <w:szCs w:val="26"/>
        </w:rPr>
        <w:t xml:space="preserve"> </w:t>
      </w:r>
      <w:r w:rsidRPr="00F1714B">
        <w:rPr>
          <w:rFonts w:cs="Times New Roman"/>
          <w:szCs w:val="26"/>
        </w:rPr>
        <w:t xml:space="preserve"> IRRC Comments at 6.</w:t>
      </w:r>
    </w:p>
    <w:p w14:paraId="1CFCA94C" w14:textId="77777777" w:rsidR="00E11CCC" w:rsidRPr="00F1714B" w:rsidRDefault="00E11CCC" w:rsidP="00A2092E">
      <w:pPr>
        <w:ind w:firstLine="720"/>
        <w:rPr>
          <w:rFonts w:cs="Times New Roman"/>
          <w:szCs w:val="26"/>
        </w:rPr>
      </w:pPr>
    </w:p>
    <w:p w14:paraId="6F7C404A" w14:textId="59EC9D27" w:rsidR="008E3D3D" w:rsidRPr="00F1714B" w:rsidRDefault="000516E0" w:rsidP="00A2092E">
      <w:pPr>
        <w:ind w:firstLine="720"/>
        <w:rPr>
          <w:rFonts w:cs="Times New Roman"/>
          <w:szCs w:val="26"/>
        </w:rPr>
      </w:pPr>
      <w:r w:rsidRPr="00F1714B">
        <w:rPr>
          <w:rFonts w:cs="Times New Roman"/>
          <w:szCs w:val="26"/>
        </w:rPr>
        <w:t xml:space="preserve">The </w:t>
      </w:r>
      <w:r w:rsidR="00735290" w:rsidRPr="00F1714B">
        <w:rPr>
          <w:rFonts w:cs="Times New Roman"/>
          <w:szCs w:val="26"/>
        </w:rPr>
        <w:t>OCA supports the continuing availability and distribution of updated directory information “in a way that meets the needs of consumers.”</w:t>
      </w:r>
      <w:r w:rsidR="00CE4158" w:rsidRPr="00F1714B">
        <w:rPr>
          <w:rFonts w:cs="Times New Roman"/>
          <w:szCs w:val="26"/>
        </w:rPr>
        <w:t xml:space="preserve"> </w:t>
      </w:r>
      <w:r w:rsidR="00735290" w:rsidRPr="00F1714B">
        <w:rPr>
          <w:rFonts w:cs="Times New Roman"/>
          <w:szCs w:val="26"/>
        </w:rPr>
        <w:t xml:space="preserve"> OCA Comments at 13.</w:t>
      </w:r>
      <w:r w:rsidR="00402215" w:rsidRPr="00F1714B">
        <w:rPr>
          <w:rFonts w:cs="Times New Roman"/>
          <w:szCs w:val="26"/>
        </w:rPr>
        <w:t xml:space="preserve">  </w:t>
      </w:r>
      <w:r w:rsidR="008E3D3D" w:rsidRPr="00F1714B">
        <w:rPr>
          <w:rFonts w:cs="Times New Roman"/>
          <w:szCs w:val="26"/>
        </w:rPr>
        <w:t>However, with respect to subsection 63.21, the OCA does support elimination of the requirement to distribute directories to subscribers, as required by subpart 63.21(b).</w:t>
      </w:r>
    </w:p>
    <w:p w14:paraId="6555D7DA" w14:textId="77777777" w:rsidR="00944C00" w:rsidRPr="00F1714B" w:rsidRDefault="00944C00" w:rsidP="00A2092E">
      <w:pPr>
        <w:ind w:firstLine="720"/>
        <w:rPr>
          <w:rFonts w:cs="Times New Roman"/>
          <w:szCs w:val="26"/>
        </w:rPr>
      </w:pPr>
    </w:p>
    <w:p w14:paraId="5FED2759" w14:textId="2E8CBA72" w:rsidR="00735290" w:rsidRPr="00F1714B" w:rsidRDefault="00735290" w:rsidP="00A2092E">
      <w:pPr>
        <w:ind w:firstLine="720"/>
        <w:rPr>
          <w:rFonts w:cs="Times New Roman"/>
          <w:szCs w:val="26"/>
        </w:rPr>
      </w:pPr>
      <w:r w:rsidRPr="00F1714B">
        <w:rPr>
          <w:rFonts w:cs="Times New Roman"/>
          <w:szCs w:val="26"/>
        </w:rPr>
        <w:t xml:space="preserve">According to Thryv, “[t]he traditional directory market is now small enough, and competitive options ubiquitous enough, that no further regulation of any sort is in the public interest.” </w:t>
      </w:r>
      <w:r w:rsidR="00CE4158" w:rsidRPr="00F1714B">
        <w:rPr>
          <w:rFonts w:cs="Times New Roman"/>
          <w:szCs w:val="26"/>
        </w:rPr>
        <w:t xml:space="preserve"> </w:t>
      </w:r>
      <w:r w:rsidRPr="00F1714B">
        <w:rPr>
          <w:rFonts w:cs="Times New Roman"/>
          <w:szCs w:val="26"/>
        </w:rPr>
        <w:t>Thryv Comments at 2.</w:t>
      </w:r>
      <w:r w:rsidR="00833A0B" w:rsidRPr="00F1714B">
        <w:rPr>
          <w:rFonts w:cs="Times New Roman"/>
          <w:szCs w:val="26"/>
        </w:rPr>
        <w:t xml:space="preserve">  </w:t>
      </w:r>
      <w:r w:rsidRPr="00F1714B">
        <w:rPr>
          <w:rFonts w:cs="Times New Roman"/>
          <w:szCs w:val="26"/>
        </w:rPr>
        <w:t>Thryv points to comments it submitted to the Commission in 2018 and states “[t]he trends discussed in 2018 have continued unabated.”</w:t>
      </w:r>
      <w:r w:rsidR="00CE4158" w:rsidRPr="00F1714B">
        <w:rPr>
          <w:rFonts w:cs="Times New Roman"/>
          <w:szCs w:val="26"/>
        </w:rPr>
        <w:t xml:space="preserve"> </w:t>
      </w:r>
      <w:r w:rsidRPr="00F1714B">
        <w:rPr>
          <w:rFonts w:cs="Times New Roman"/>
          <w:szCs w:val="26"/>
        </w:rPr>
        <w:t xml:space="preserve"> Thryv Comments at 2.</w:t>
      </w:r>
      <w:r w:rsidR="00833A0B" w:rsidRPr="00F1714B">
        <w:rPr>
          <w:rFonts w:cs="Times New Roman"/>
          <w:szCs w:val="26"/>
        </w:rPr>
        <w:t xml:space="preserve">  </w:t>
      </w:r>
      <w:r w:rsidRPr="00F1714B">
        <w:rPr>
          <w:rFonts w:cs="Times New Roman"/>
          <w:szCs w:val="26"/>
        </w:rPr>
        <w:t>Thryv argues that “the only impact of regulations has been to drive up [its] costs” and “[a]dvertising revenues from paper directories continue to decline and no regulations can stop or slow those trends.”</w:t>
      </w:r>
      <w:r w:rsidR="00CE4158" w:rsidRPr="00F1714B">
        <w:rPr>
          <w:rFonts w:cs="Times New Roman"/>
          <w:szCs w:val="26"/>
        </w:rPr>
        <w:t xml:space="preserve"> </w:t>
      </w:r>
      <w:r w:rsidRPr="00F1714B">
        <w:rPr>
          <w:rFonts w:cs="Times New Roman"/>
          <w:szCs w:val="26"/>
        </w:rPr>
        <w:t xml:space="preserve"> Thryv Comments at 2. </w:t>
      </w:r>
      <w:r w:rsidR="00CE4158" w:rsidRPr="00F1714B">
        <w:rPr>
          <w:rFonts w:cs="Times New Roman"/>
          <w:szCs w:val="26"/>
        </w:rPr>
        <w:t xml:space="preserve"> </w:t>
      </w:r>
      <w:r w:rsidRPr="00F1714B">
        <w:rPr>
          <w:rFonts w:cs="Times New Roman"/>
          <w:szCs w:val="26"/>
        </w:rPr>
        <w:t xml:space="preserve">Thryv posits that the Commission’s prior regulatory waivers have permitted it to target communities which want to receive directories with great success, but also that the Commission should completely eliminate regulation of directories in order to facilitate further targeting as the market for directories continues to shrink. </w:t>
      </w:r>
      <w:r w:rsidR="00833A0B" w:rsidRPr="00F1714B">
        <w:rPr>
          <w:rFonts w:cs="Times New Roman"/>
          <w:szCs w:val="26"/>
        </w:rPr>
        <w:t xml:space="preserve"> </w:t>
      </w:r>
      <w:r w:rsidRPr="00F1714B">
        <w:rPr>
          <w:rFonts w:cs="Times New Roman"/>
          <w:szCs w:val="26"/>
        </w:rPr>
        <w:t>Thryv Comments at 3</w:t>
      </w:r>
      <w:r w:rsidR="00CE4158" w:rsidRPr="00F1714B">
        <w:rPr>
          <w:rFonts w:cs="Times New Roman"/>
          <w:szCs w:val="26"/>
        </w:rPr>
        <w:t>­</w:t>
      </w:r>
      <w:r w:rsidRPr="00F1714B">
        <w:rPr>
          <w:rFonts w:cs="Times New Roman"/>
          <w:szCs w:val="26"/>
        </w:rPr>
        <w:t>4.</w:t>
      </w:r>
    </w:p>
    <w:p w14:paraId="41D2D2B4" w14:textId="77777777" w:rsidR="00402215" w:rsidRPr="00F1714B" w:rsidRDefault="00402215" w:rsidP="00A2092E">
      <w:pPr>
        <w:ind w:firstLine="720"/>
        <w:rPr>
          <w:rFonts w:cs="Times New Roman"/>
          <w:szCs w:val="26"/>
        </w:rPr>
      </w:pPr>
    </w:p>
    <w:p w14:paraId="280B7CAA" w14:textId="4BF3D739" w:rsidR="00735290" w:rsidRPr="00F1714B" w:rsidRDefault="00735290" w:rsidP="00A2092E">
      <w:pPr>
        <w:ind w:firstLine="720"/>
        <w:rPr>
          <w:rFonts w:cs="Times New Roman"/>
          <w:szCs w:val="26"/>
        </w:rPr>
      </w:pPr>
      <w:r w:rsidRPr="00F1714B">
        <w:rPr>
          <w:rFonts w:cs="Times New Roman"/>
          <w:szCs w:val="26"/>
        </w:rPr>
        <w:t xml:space="preserve">Verizon opposes the Commission’s proposal to codify its previous waiver conditions relating to provision of white pages directories and urges the Commission instead to eliminate any requirement for ILECs to provide directories. </w:t>
      </w:r>
      <w:r w:rsidR="0021047D" w:rsidRPr="00F1714B">
        <w:rPr>
          <w:rFonts w:cs="Times New Roman"/>
          <w:szCs w:val="26"/>
        </w:rPr>
        <w:t xml:space="preserve"> </w:t>
      </w:r>
      <w:r w:rsidRPr="00F1714B">
        <w:rPr>
          <w:rFonts w:cs="Times New Roman"/>
          <w:szCs w:val="26"/>
        </w:rPr>
        <w:t xml:space="preserve">Verizon Comments at 15-16. </w:t>
      </w:r>
      <w:r w:rsidR="0021047D" w:rsidRPr="00F1714B">
        <w:rPr>
          <w:rFonts w:cs="Times New Roman"/>
          <w:szCs w:val="26"/>
        </w:rPr>
        <w:t xml:space="preserve"> </w:t>
      </w:r>
      <w:r w:rsidRPr="00F1714B">
        <w:rPr>
          <w:rFonts w:cs="Times New Roman"/>
          <w:szCs w:val="26"/>
        </w:rPr>
        <w:t xml:space="preserve">Verizon posits that there is no public demand for directories, that continuing publication of directory information on an opt-out basis creates privacy concerns, that directories are obsolete because the same information can be obtained online and by calling toll-free directory services, that the current requirement to provide directories is anti-competitive because unregulated carriers have no obligation to provide </w:t>
      </w:r>
      <w:r w:rsidRPr="00F1714B">
        <w:rPr>
          <w:rFonts w:cs="Times New Roman"/>
          <w:szCs w:val="26"/>
        </w:rPr>
        <w:lastRenderedPageBreak/>
        <w:t xml:space="preserve">them, whereas ILECs do, and that producing directories creates unnecessary environmental issues. </w:t>
      </w:r>
      <w:r w:rsidR="0021047D" w:rsidRPr="00F1714B">
        <w:rPr>
          <w:rFonts w:cs="Times New Roman"/>
          <w:szCs w:val="26"/>
        </w:rPr>
        <w:t xml:space="preserve"> </w:t>
      </w:r>
      <w:r w:rsidRPr="00F1714B">
        <w:rPr>
          <w:rFonts w:cs="Times New Roman"/>
          <w:szCs w:val="26"/>
        </w:rPr>
        <w:t>Verizon Comments at 16-17.</w:t>
      </w:r>
    </w:p>
    <w:p w14:paraId="2B587DEF" w14:textId="77777777" w:rsidR="00317793" w:rsidRPr="00F1714B" w:rsidRDefault="00317793" w:rsidP="00A2092E">
      <w:pPr>
        <w:ind w:firstLine="720"/>
        <w:rPr>
          <w:rFonts w:cs="Times New Roman"/>
          <w:szCs w:val="26"/>
        </w:rPr>
      </w:pPr>
    </w:p>
    <w:p w14:paraId="5AE8FAB1" w14:textId="386D2FFD" w:rsidR="00317793" w:rsidRPr="00F1714B" w:rsidRDefault="00317793" w:rsidP="00A2092E">
      <w:pPr>
        <w:keepNext/>
        <w:keepLines/>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A12BD7" w:rsidRPr="00F1714B">
        <w:rPr>
          <w:rFonts w:cs="Times New Roman"/>
          <w:b/>
          <w:bCs/>
          <w:szCs w:val="26"/>
        </w:rPr>
        <w:t>.</w:t>
      </w:r>
      <w:r w:rsidRPr="00F1714B">
        <w:rPr>
          <w:rFonts w:cs="Times New Roman"/>
          <w:b/>
          <w:bCs/>
          <w:szCs w:val="26"/>
        </w:rPr>
        <w:tab/>
        <w:t>Discussion</w:t>
      </w:r>
      <w:r w:rsidR="00A12BD7" w:rsidRPr="00F1714B">
        <w:rPr>
          <w:rFonts w:cs="Times New Roman"/>
          <w:b/>
          <w:bCs/>
          <w:szCs w:val="26"/>
        </w:rPr>
        <w:t xml:space="preserve"> and </w:t>
      </w:r>
      <w:r w:rsidRPr="00F1714B">
        <w:rPr>
          <w:rFonts w:cs="Times New Roman"/>
          <w:b/>
          <w:bCs/>
          <w:szCs w:val="26"/>
        </w:rPr>
        <w:t>Resolution</w:t>
      </w:r>
    </w:p>
    <w:p w14:paraId="2668BFD8" w14:textId="4A1937BA" w:rsidR="00747862" w:rsidRPr="00F1714B" w:rsidRDefault="00D914AA" w:rsidP="00A2092E">
      <w:pPr>
        <w:tabs>
          <w:tab w:val="left" w:pos="720"/>
          <w:tab w:val="left" w:pos="1440"/>
        </w:tabs>
        <w:rPr>
          <w:rFonts w:cs="Times New Roman"/>
          <w:b/>
          <w:bCs/>
          <w:color w:val="5F6368"/>
          <w:szCs w:val="26"/>
          <w:shd w:val="clear" w:color="auto" w:fill="FFFFFF"/>
        </w:rPr>
      </w:pPr>
      <w:r w:rsidRPr="00F1714B">
        <w:rPr>
          <w:rFonts w:cs="Times New Roman"/>
          <w:bCs/>
          <w:szCs w:val="26"/>
        </w:rPr>
        <w:tab/>
      </w:r>
      <w:r w:rsidR="00747862" w:rsidRPr="00F1714B">
        <w:rPr>
          <w:rFonts w:cs="Times New Roman"/>
          <w:bCs/>
          <w:color w:val="5F6368"/>
          <w:szCs w:val="26"/>
          <w:shd w:val="clear" w:color="auto" w:fill="FFFFFF"/>
        </w:rPr>
        <w:t xml:space="preserve">The Commission agrees with OCA that we should not rescind this regulation at this time.  As noted in the </w:t>
      </w:r>
      <w:r w:rsidR="00747862" w:rsidRPr="00F1714B">
        <w:rPr>
          <w:rFonts w:cs="Times New Roman"/>
          <w:bCs/>
          <w:i/>
          <w:iCs/>
          <w:color w:val="5F6368"/>
          <w:szCs w:val="26"/>
          <w:shd w:val="clear" w:color="auto" w:fill="FFFFFF"/>
        </w:rPr>
        <w:t>NPRM</w:t>
      </w:r>
      <w:r w:rsidR="00D759E0" w:rsidRPr="00F1714B">
        <w:rPr>
          <w:rFonts w:cs="Times New Roman"/>
          <w:bCs/>
          <w:i/>
          <w:iCs/>
          <w:color w:val="5F6368"/>
          <w:szCs w:val="26"/>
          <w:shd w:val="clear" w:color="auto" w:fill="FFFFFF"/>
        </w:rPr>
        <w:t xml:space="preserve"> Order</w:t>
      </w:r>
      <w:r w:rsidR="00747862" w:rsidRPr="00F1714B">
        <w:rPr>
          <w:rFonts w:cs="Times New Roman"/>
          <w:bCs/>
          <w:color w:val="5F6368"/>
          <w:szCs w:val="26"/>
          <w:shd w:val="clear" w:color="auto" w:fill="FFFFFF"/>
        </w:rPr>
        <w:t xml:space="preserve">, not all end-user consumers of regulated telecommunications services may simultaneously have broadband access to electronic directory information.  The Commission also agrees with </w:t>
      </w:r>
      <w:r w:rsidR="000D05C3" w:rsidRPr="00F1714B">
        <w:rPr>
          <w:rFonts w:cs="Times New Roman"/>
          <w:bCs/>
          <w:color w:val="5F6368"/>
          <w:szCs w:val="26"/>
          <w:shd w:val="clear" w:color="auto" w:fill="FFFFFF"/>
        </w:rPr>
        <w:t>IRRC</w:t>
      </w:r>
      <w:r w:rsidR="00D759E0" w:rsidRPr="00F1714B">
        <w:rPr>
          <w:rFonts w:cs="Times New Roman"/>
          <w:bCs/>
          <w:color w:val="5F6368"/>
          <w:szCs w:val="26"/>
          <w:shd w:val="clear" w:color="auto" w:fill="FFFFFF"/>
        </w:rPr>
        <w:t xml:space="preserve">’s </w:t>
      </w:r>
      <w:r w:rsidR="00747862" w:rsidRPr="00F1714B">
        <w:rPr>
          <w:rFonts w:cs="Times New Roman"/>
          <w:bCs/>
          <w:color w:val="5F6368"/>
          <w:szCs w:val="26"/>
          <w:shd w:val="clear" w:color="auto" w:fill="FFFFFF"/>
        </w:rPr>
        <w:t xml:space="preserve">comments that we need to have an enforceable standard for directory distribution.  However, we believe this regulation is on the path to obsolescence.  As noted in comments, print requests statewide have declined almost by half since 2017 despite the 50% reduction in automatic deliveries.  And, at the current trend, requests for print would be near zero in another four years.  </w:t>
      </w:r>
      <w:r w:rsidR="00422F5E" w:rsidRPr="00F1714B">
        <w:rPr>
          <w:rFonts w:cs="Times New Roman"/>
          <w:bCs/>
          <w:color w:val="5F6368"/>
          <w:szCs w:val="26"/>
          <w:shd w:val="clear" w:color="auto" w:fill="FFFFFF"/>
        </w:rPr>
        <w:t xml:space="preserve">Thryv Comments at 4.  </w:t>
      </w:r>
      <w:r w:rsidR="00747862" w:rsidRPr="00F1714B">
        <w:rPr>
          <w:rFonts w:cs="Times New Roman"/>
          <w:bCs/>
          <w:color w:val="5F6368"/>
          <w:szCs w:val="26"/>
          <w:shd w:val="clear" w:color="auto" w:fill="FFFFFF"/>
        </w:rPr>
        <w:t xml:space="preserve">Therefore, to address these issues raised in comments, </w:t>
      </w:r>
      <w:r w:rsidR="00202C47" w:rsidRPr="00F1714B">
        <w:rPr>
          <w:rFonts w:cs="Times New Roman"/>
          <w:bCs/>
          <w:color w:val="5F6368"/>
          <w:szCs w:val="26"/>
          <w:shd w:val="clear" w:color="auto" w:fill="FFFFFF"/>
        </w:rPr>
        <w:t xml:space="preserve">we shall </w:t>
      </w:r>
      <w:r w:rsidR="00251A9A" w:rsidRPr="00F1714B">
        <w:rPr>
          <w:rFonts w:cs="Times New Roman"/>
          <w:bCs/>
          <w:color w:val="5F6368"/>
          <w:szCs w:val="26"/>
          <w:shd w:val="clear" w:color="auto" w:fill="FFFFFF"/>
        </w:rPr>
        <w:t>revise</w:t>
      </w:r>
      <w:r w:rsidR="00202C47" w:rsidRPr="00F1714B">
        <w:rPr>
          <w:rFonts w:cs="Times New Roman"/>
          <w:bCs/>
          <w:color w:val="5F6368"/>
          <w:szCs w:val="26"/>
          <w:shd w:val="clear" w:color="auto" w:fill="FFFFFF"/>
        </w:rPr>
        <w:t xml:space="preserve"> </w:t>
      </w:r>
      <w:r w:rsidR="00747862" w:rsidRPr="00F1714B">
        <w:rPr>
          <w:rFonts w:cs="Times New Roman"/>
          <w:bCs/>
          <w:color w:val="5F6368"/>
          <w:szCs w:val="26"/>
          <w:shd w:val="clear" w:color="auto" w:fill="FFFFFF"/>
        </w:rPr>
        <w:t>Section 63.21</w:t>
      </w:r>
      <w:r w:rsidR="00B70707" w:rsidRPr="00F1714B">
        <w:rPr>
          <w:rFonts w:cs="Times New Roman"/>
          <w:bCs/>
          <w:color w:val="5F6368"/>
          <w:szCs w:val="26"/>
          <w:shd w:val="clear" w:color="auto" w:fill="FFFFFF"/>
        </w:rPr>
        <w:t>(b</w:t>
      </w:r>
      <w:r w:rsidR="00646FC1" w:rsidRPr="00F1714B">
        <w:rPr>
          <w:rFonts w:cs="Times New Roman"/>
          <w:bCs/>
          <w:color w:val="5F6368"/>
          <w:szCs w:val="26"/>
          <w:shd w:val="clear" w:color="auto" w:fill="FFFFFF"/>
        </w:rPr>
        <w:t>)(3)</w:t>
      </w:r>
      <w:r w:rsidR="00747862" w:rsidRPr="00F1714B">
        <w:rPr>
          <w:rFonts w:cs="Times New Roman"/>
          <w:bCs/>
          <w:color w:val="5F6368"/>
          <w:szCs w:val="26"/>
          <w:shd w:val="clear" w:color="auto" w:fill="FFFFFF"/>
        </w:rPr>
        <w:t xml:space="preserve"> </w:t>
      </w:r>
      <w:r w:rsidR="00D759E0" w:rsidRPr="00F1714B">
        <w:rPr>
          <w:rFonts w:cs="Times New Roman"/>
          <w:bCs/>
          <w:color w:val="5F6368"/>
          <w:szCs w:val="26"/>
          <w:shd w:val="clear" w:color="auto" w:fill="FFFFFF"/>
        </w:rPr>
        <w:t xml:space="preserve">in the final-form regulation </w:t>
      </w:r>
      <w:r w:rsidR="00646FC1" w:rsidRPr="00F1714B">
        <w:rPr>
          <w:rFonts w:cs="Times New Roman"/>
          <w:bCs/>
          <w:color w:val="5F6368"/>
          <w:szCs w:val="26"/>
          <w:shd w:val="clear" w:color="auto" w:fill="FFFFFF"/>
        </w:rPr>
        <w:t xml:space="preserve">to state </w:t>
      </w:r>
      <w:r w:rsidR="002740A6" w:rsidRPr="00F1714B">
        <w:rPr>
          <w:rFonts w:cs="Times New Roman"/>
          <w:bCs/>
          <w:color w:val="5F6368"/>
          <w:szCs w:val="26"/>
          <w:shd w:val="clear" w:color="auto" w:fill="FFFFFF"/>
        </w:rPr>
        <w:t xml:space="preserve">that </w:t>
      </w:r>
      <w:bookmarkStart w:id="35" w:name="_Hlk86925299"/>
      <w:r w:rsidR="002740A6" w:rsidRPr="00F1714B">
        <w:rPr>
          <w:rFonts w:cs="Times New Roman"/>
          <w:color w:val="5F6368"/>
          <w:szCs w:val="26"/>
          <w:shd w:val="clear" w:color="auto" w:fill="FFFFFF"/>
        </w:rPr>
        <w:t>distribution of directories beyond an “upon request” basis shall be at the discretion of the public utility</w:t>
      </w:r>
      <w:r w:rsidR="00D31076" w:rsidRPr="00F1714B">
        <w:rPr>
          <w:rFonts w:cs="Times New Roman"/>
          <w:color w:val="5F6368"/>
          <w:szCs w:val="26"/>
          <w:u w:val="single"/>
          <w:shd w:val="clear" w:color="auto" w:fill="FFFFFF"/>
        </w:rPr>
        <w:t xml:space="preserve"> and add </w:t>
      </w:r>
      <w:r w:rsidR="00B672FD" w:rsidRPr="00F1714B">
        <w:rPr>
          <w:rFonts w:cs="Times New Roman"/>
          <w:color w:val="5F6368"/>
          <w:szCs w:val="26"/>
          <w:u w:val="single"/>
          <w:shd w:val="clear" w:color="auto" w:fill="FFFFFF"/>
        </w:rPr>
        <w:t xml:space="preserve">a </w:t>
      </w:r>
      <w:bookmarkEnd w:id="35"/>
      <w:r w:rsidR="00747862" w:rsidRPr="00F1714B">
        <w:rPr>
          <w:rFonts w:cs="Times New Roman"/>
          <w:color w:val="5F6368"/>
          <w:szCs w:val="26"/>
          <w:shd w:val="clear" w:color="auto" w:fill="FFFFFF"/>
        </w:rPr>
        <w:t xml:space="preserve">new Section 63.21(f) that </w:t>
      </w:r>
      <w:r w:rsidR="00B672FD" w:rsidRPr="00F1714B">
        <w:rPr>
          <w:rFonts w:cs="Times New Roman"/>
          <w:color w:val="5F6368"/>
          <w:szCs w:val="26"/>
          <w:shd w:val="clear" w:color="auto" w:fill="FFFFFF"/>
        </w:rPr>
        <w:t xml:space="preserve">sets forth a sunset provision </w:t>
      </w:r>
      <w:r w:rsidR="001B535C" w:rsidRPr="00F1714B">
        <w:rPr>
          <w:rFonts w:cs="Times New Roman"/>
          <w:color w:val="5F6368"/>
          <w:szCs w:val="26"/>
          <w:shd w:val="clear" w:color="auto" w:fill="FFFFFF"/>
        </w:rPr>
        <w:t xml:space="preserve">of </w:t>
      </w:r>
      <w:bookmarkStart w:id="36" w:name="_Hlk86925337"/>
      <w:r w:rsidR="001B535C" w:rsidRPr="00F1714B">
        <w:rPr>
          <w:rFonts w:cs="Times New Roman"/>
          <w:color w:val="5F6368"/>
          <w:szCs w:val="26"/>
          <w:shd w:val="clear" w:color="auto" w:fill="FFFFFF"/>
        </w:rPr>
        <w:t xml:space="preserve">January 1, </w:t>
      </w:r>
      <w:proofErr w:type="gramStart"/>
      <w:r w:rsidR="001B535C" w:rsidRPr="00F1714B">
        <w:rPr>
          <w:rFonts w:cs="Times New Roman"/>
          <w:color w:val="5F6368"/>
          <w:szCs w:val="26"/>
          <w:shd w:val="clear" w:color="auto" w:fill="FFFFFF"/>
        </w:rPr>
        <w:t>2026</w:t>
      </w:r>
      <w:proofErr w:type="gramEnd"/>
      <w:r w:rsidR="001B535C" w:rsidRPr="00F1714B">
        <w:rPr>
          <w:rFonts w:cs="Times New Roman"/>
          <w:color w:val="5F6368"/>
          <w:szCs w:val="26"/>
          <w:shd w:val="clear" w:color="auto" w:fill="FFFFFF"/>
        </w:rPr>
        <w:t xml:space="preserve"> for the directory distribution </w:t>
      </w:r>
      <w:r w:rsidR="00D35B6F" w:rsidRPr="00F1714B">
        <w:rPr>
          <w:rFonts w:cs="Times New Roman"/>
          <w:color w:val="5F6368"/>
          <w:szCs w:val="26"/>
          <w:shd w:val="clear" w:color="auto" w:fill="FFFFFF"/>
        </w:rPr>
        <w:t>requirement</w:t>
      </w:r>
      <w:r w:rsidR="001B535C" w:rsidRPr="00F1714B">
        <w:rPr>
          <w:rFonts w:cs="Times New Roman"/>
          <w:color w:val="5F6368"/>
          <w:szCs w:val="26"/>
          <w:shd w:val="clear" w:color="auto" w:fill="FFFFFF"/>
        </w:rPr>
        <w:t>.</w:t>
      </w:r>
      <w:bookmarkEnd w:id="36"/>
    </w:p>
    <w:p w14:paraId="4A58CBB9" w14:textId="77777777" w:rsidR="00D35B6F" w:rsidRPr="00F1714B" w:rsidRDefault="00D35B6F" w:rsidP="00A2092E">
      <w:pPr>
        <w:tabs>
          <w:tab w:val="left" w:pos="720"/>
          <w:tab w:val="left" w:pos="1440"/>
        </w:tabs>
        <w:rPr>
          <w:rFonts w:cs="Times New Roman"/>
          <w:b/>
          <w:bCs/>
          <w:color w:val="5F6368"/>
          <w:szCs w:val="26"/>
          <w:shd w:val="clear" w:color="auto" w:fill="FFFFFF"/>
        </w:rPr>
      </w:pPr>
    </w:p>
    <w:p w14:paraId="1E9F512B" w14:textId="77777777" w:rsidR="000F54CB" w:rsidRPr="00F1714B" w:rsidRDefault="001B3461" w:rsidP="00A2092E">
      <w:pPr>
        <w:keepNext/>
        <w:keepLines/>
        <w:tabs>
          <w:tab w:val="left" w:pos="720"/>
          <w:tab w:val="left" w:pos="1440"/>
        </w:tabs>
        <w:ind w:left="2160" w:hanging="2160"/>
        <w:rPr>
          <w:rFonts w:cs="Times New Roman"/>
          <w:b/>
          <w:bCs/>
          <w:szCs w:val="26"/>
        </w:rPr>
      </w:pPr>
      <w:r w:rsidRPr="00F1714B">
        <w:rPr>
          <w:rFonts w:cs="Times New Roman"/>
          <w:b/>
          <w:bCs/>
          <w:szCs w:val="26"/>
        </w:rPr>
        <w:tab/>
      </w:r>
      <w:r w:rsidRPr="00F1714B">
        <w:rPr>
          <w:rFonts w:cs="Times New Roman"/>
          <w:b/>
          <w:bCs/>
          <w:szCs w:val="26"/>
        </w:rPr>
        <w:tab/>
        <w:t>7.</w:t>
      </w:r>
      <w:r w:rsidRPr="00F1714B">
        <w:rPr>
          <w:rFonts w:cs="Times New Roman"/>
          <w:b/>
          <w:bCs/>
          <w:szCs w:val="26"/>
        </w:rPr>
        <w:tab/>
      </w:r>
      <w:r w:rsidR="000F54CB" w:rsidRPr="00F1714B">
        <w:rPr>
          <w:rFonts w:cs="Times New Roman"/>
          <w:b/>
          <w:bCs/>
          <w:szCs w:val="26"/>
        </w:rPr>
        <w:t>52 Pa. Code § 63.22 (Service Records)</w:t>
      </w:r>
    </w:p>
    <w:p w14:paraId="3C156A57" w14:textId="668D8754" w:rsidR="00D24621" w:rsidRPr="00F1714B" w:rsidRDefault="000F54CB" w:rsidP="006D5CCF">
      <w:pPr>
        <w:keepNext/>
        <w:keepLines/>
        <w:tabs>
          <w:tab w:val="left" w:pos="720"/>
          <w:tab w:val="left" w:pos="1440"/>
        </w:tabs>
        <w:ind w:hanging="2160"/>
        <w:rPr>
          <w:rFonts w:cs="Times New Roman"/>
          <w:szCs w:val="26"/>
        </w:rPr>
      </w:pPr>
      <w:r w:rsidRPr="00F1714B">
        <w:rPr>
          <w:rFonts w:cs="Times New Roman"/>
          <w:b/>
          <w:bCs/>
          <w:szCs w:val="26"/>
        </w:rPr>
        <w:tab/>
      </w:r>
      <w:r w:rsidR="00A07A6D" w:rsidRPr="00F1714B">
        <w:rPr>
          <w:rFonts w:cs="Times New Roman"/>
          <w:b/>
          <w:bCs/>
          <w:szCs w:val="26"/>
        </w:rPr>
        <w:tab/>
      </w:r>
      <w:r w:rsidR="00735290" w:rsidRPr="00F1714B">
        <w:rPr>
          <w:rFonts w:cs="Times New Roman"/>
          <w:szCs w:val="26"/>
        </w:rPr>
        <w:t xml:space="preserve">In the </w:t>
      </w:r>
      <w:r w:rsidR="00735290" w:rsidRPr="00F1714B">
        <w:rPr>
          <w:rFonts w:cs="Times New Roman"/>
          <w:i/>
          <w:iCs/>
          <w:szCs w:val="26"/>
        </w:rPr>
        <w:t>N</w:t>
      </w:r>
      <w:r w:rsidR="006019F7" w:rsidRPr="00F1714B">
        <w:rPr>
          <w:rFonts w:cs="Times New Roman"/>
          <w:i/>
          <w:iCs/>
          <w:szCs w:val="26"/>
        </w:rPr>
        <w:t xml:space="preserve">PRM </w:t>
      </w:r>
      <w:r w:rsidR="00735290" w:rsidRPr="00F1714B">
        <w:rPr>
          <w:rFonts w:cs="Times New Roman"/>
          <w:i/>
          <w:iCs/>
          <w:szCs w:val="26"/>
        </w:rPr>
        <w:t>Order</w:t>
      </w:r>
      <w:r w:rsidR="00735290" w:rsidRPr="00F1714B">
        <w:rPr>
          <w:rFonts w:cs="Times New Roman"/>
          <w:szCs w:val="26"/>
        </w:rPr>
        <w:t>, we</w:t>
      </w:r>
      <w:r w:rsidR="00735290" w:rsidRPr="00F1714B">
        <w:rPr>
          <w:rFonts w:cs="Times New Roman"/>
          <w:b/>
          <w:bCs/>
          <w:szCs w:val="26"/>
        </w:rPr>
        <w:t xml:space="preserve"> </w:t>
      </w:r>
      <w:r w:rsidRPr="00F1714B">
        <w:rPr>
          <w:rFonts w:cs="Times New Roman"/>
          <w:szCs w:val="26"/>
        </w:rPr>
        <w:t>proposed to eliminate Sections 63.22(a)(1) and (a)(4),</w:t>
      </w:r>
      <w:r w:rsidR="000B7D22" w:rsidRPr="00F1714B">
        <w:rPr>
          <w:rFonts w:cs="Times New Roman"/>
          <w:szCs w:val="26"/>
        </w:rPr>
        <w:t xml:space="preserve"> </w:t>
      </w:r>
      <w:r w:rsidRPr="00F1714B">
        <w:rPr>
          <w:rFonts w:cs="Times New Roman"/>
          <w:szCs w:val="26"/>
        </w:rPr>
        <w:t>63.22(b), and</w:t>
      </w:r>
      <w:r w:rsidR="00735290" w:rsidRPr="00F1714B">
        <w:rPr>
          <w:rFonts w:cs="Times New Roman"/>
          <w:szCs w:val="26"/>
        </w:rPr>
        <w:t xml:space="preserve"> </w:t>
      </w:r>
      <w:r w:rsidRPr="00F1714B">
        <w:rPr>
          <w:rFonts w:cs="Times New Roman"/>
          <w:szCs w:val="26"/>
        </w:rPr>
        <w:t>63.22(c) of this regulation on the same bases we have set forth addressing Sections 63.12, 63.13, and 63.63.</w:t>
      </w:r>
      <w:r w:rsidR="00D24621" w:rsidRPr="00F1714B">
        <w:rPr>
          <w:rFonts w:cs="Times New Roman"/>
          <w:szCs w:val="26"/>
        </w:rPr>
        <w:t xml:space="preserve">  </w:t>
      </w:r>
      <w:r w:rsidRPr="00F1714B">
        <w:rPr>
          <w:rFonts w:cs="Times New Roman"/>
          <w:szCs w:val="26"/>
        </w:rPr>
        <w:t xml:space="preserve">However, we </w:t>
      </w:r>
      <w:r w:rsidR="00D24621" w:rsidRPr="00F1714B">
        <w:rPr>
          <w:rFonts w:cs="Times New Roman"/>
          <w:szCs w:val="26"/>
        </w:rPr>
        <w:t xml:space="preserve">also </w:t>
      </w:r>
      <w:r w:rsidRPr="00F1714B">
        <w:rPr>
          <w:rFonts w:cs="Times New Roman"/>
          <w:szCs w:val="26"/>
        </w:rPr>
        <w:t>propose</w:t>
      </w:r>
      <w:r w:rsidR="00D24621" w:rsidRPr="00F1714B">
        <w:rPr>
          <w:rFonts w:cs="Times New Roman"/>
          <w:szCs w:val="26"/>
        </w:rPr>
        <w:t xml:space="preserve">d </w:t>
      </w:r>
      <w:r w:rsidRPr="00F1714B">
        <w:rPr>
          <w:rFonts w:cs="Times New Roman"/>
          <w:szCs w:val="26"/>
        </w:rPr>
        <w:t>to retain Sections</w:t>
      </w:r>
      <w:r w:rsidR="000B7D22" w:rsidRPr="00F1714B">
        <w:rPr>
          <w:rFonts w:cs="Times New Roman"/>
          <w:szCs w:val="26"/>
        </w:rPr>
        <w:t xml:space="preserve"> </w:t>
      </w:r>
    </w:p>
    <w:p w14:paraId="65E746E4" w14:textId="05586787" w:rsidR="000F54CB" w:rsidRPr="00F1714B" w:rsidRDefault="000F54CB" w:rsidP="00422F5E">
      <w:pPr>
        <w:tabs>
          <w:tab w:val="left" w:pos="720"/>
          <w:tab w:val="left" w:pos="1440"/>
        </w:tabs>
        <w:rPr>
          <w:rFonts w:cs="Times New Roman"/>
          <w:szCs w:val="26"/>
        </w:rPr>
      </w:pPr>
      <w:r w:rsidRPr="00F1714B">
        <w:rPr>
          <w:rFonts w:cs="Times New Roman"/>
          <w:szCs w:val="26"/>
        </w:rPr>
        <w:t xml:space="preserve">63.22(a)(2) and (3). </w:t>
      </w:r>
      <w:r w:rsidR="00422F5E" w:rsidRPr="00F1714B">
        <w:rPr>
          <w:rFonts w:cs="Times New Roman"/>
          <w:szCs w:val="26"/>
        </w:rPr>
        <w:t xml:space="preserve"> </w:t>
      </w:r>
      <w:r w:rsidRPr="00F1714B">
        <w:rPr>
          <w:rFonts w:cs="Times New Roman"/>
          <w:szCs w:val="26"/>
        </w:rPr>
        <w:t>Complaints involving service generally and outages specifically cut to the core of our regulatory oversight over consumer protections, especially when safety is involved. Retention of records required to be made under this and other service-related sections is</w:t>
      </w:r>
      <w:r w:rsidR="00D24621" w:rsidRPr="00F1714B">
        <w:rPr>
          <w:rFonts w:cs="Times New Roman"/>
          <w:szCs w:val="26"/>
        </w:rPr>
        <w:t xml:space="preserve"> </w:t>
      </w:r>
      <w:r w:rsidRPr="00F1714B">
        <w:rPr>
          <w:rFonts w:cs="Times New Roman"/>
          <w:szCs w:val="26"/>
        </w:rPr>
        <w:t>further addressed in our discussion of Section 63.54</w:t>
      </w:r>
      <w:r w:rsidR="004E1747" w:rsidRPr="00F1714B">
        <w:rPr>
          <w:rFonts w:cs="Times New Roman"/>
          <w:szCs w:val="26"/>
        </w:rPr>
        <w:t>,</w:t>
      </w:r>
      <w:r w:rsidRPr="00F1714B">
        <w:rPr>
          <w:rFonts w:cs="Times New Roman"/>
          <w:szCs w:val="26"/>
        </w:rPr>
        <w:t xml:space="preserve"> below.</w:t>
      </w:r>
    </w:p>
    <w:p w14:paraId="38717DAE" w14:textId="74EF5FDD" w:rsidR="00D24621" w:rsidRPr="00F1714B" w:rsidRDefault="00D24621" w:rsidP="00E55426">
      <w:pPr>
        <w:tabs>
          <w:tab w:val="left" w:pos="720"/>
          <w:tab w:val="left" w:pos="1440"/>
        </w:tabs>
        <w:jc w:val="both"/>
        <w:rPr>
          <w:rFonts w:cs="Times New Roman"/>
          <w:szCs w:val="26"/>
        </w:rPr>
      </w:pPr>
    </w:p>
    <w:p w14:paraId="27EB603A" w14:textId="5C88D77A" w:rsidR="00D24621" w:rsidRPr="00F1714B" w:rsidRDefault="00D24621" w:rsidP="00A2092E">
      <w:pPr>
        <w:keepNext/>
        <w:keepLines/>
        <w:tabs>
          <w:tab w:val="left" w:pos="720"/>
          <w:tab w:val="left" w:pos="1440"/>
        </w:tabs>
        <w:jc w:val="both"/>
        <w:rPr>
          <w:rFonts w:cs="Times New Roman"/>
          <w:b/>
          <w:szCs w:val="26"/>
        </w:rPr>
      </w:pPr>
      <w:r w:rsidRPr="00F1714B">
        <w:rPr>
          <w:rFonts w:cs="Times New Roman"/>
          <w:bCs/>
          <w:szCs w:val="26"/>
        </w:rPr>
        <w:lastRenderedPageBreak/>
        <w:tab/>
      </w:r>
      <w:r w:rsidRPr="00F1714B">
        <w:rPr>
          <w:rFonts w:cs="Times New Roman"/>
          <w:bCs/>
          <w:szCs w:val="26"/>
        </w:rPr>
        <w:tab/>
      </w:r>
      <w:r w:rsidRPr="00F1714B">
        <w:rPr>
          <w:rFonts w:cs="Times New Roman"/>
          <w:bCs/>
          <w:szCs w:val="26"/>
        </w:rPr>
        <w:tab/>
      </w:r>
      <w:bookmarkStart w:id="37" w:name="_Hlk81149910"/>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3EA7D171" w14:textId="61621C54" w:rsidR="007751C3" w:rsidRPr="00F1714B" w:rsidRDefault="00D24621" w:rsidP="00A2092E">
      <w:pPr>
        <w:keepNext/>
        <w:keepLines/>
        <w:rPr>
          <w:rFonts w:cs="Times New Roman"/>
          <w:szCs w:val="26"/>
        </w:rPr>
      </w:pPr>
      <w:r w:rsidRPr="00F1714B">
        <w:rPr>
          <w:rFonts w:cs="Times New Roman"/>
          <w:szCs w:val="26"/>
        </w:rPr>
        <w:tab/>
      </w:r>
      <w:r w:rsidR="00C17923" w:rsidRPr="00F1714B">
        <w:rPr>
          <w:rFonts w:cs="Times New Roman"/>
          <w:szCs w:val="26"/>
        </w:rPr>
        <w:t>With respect to subsection 63.22, Verizon urges the Commission to eliminate this rule as unnecessary and obsolete in today’s competitive environment. Verizon Comment at 23.</w:t>
      </w:r>
      <w:r w:rsidR="007751C3" w:rsidRPr="00F1714B">
        <w:rPr>
          <w:rFonts w:cs="Times New Roman"/>
          <w:szCs w:val="26"/>
        </w:rPr>
        <w:t xml:space="preserve">  </w:t>
      </w:r>
    </w:p>
    <w:p w14:paraId="0BE5BD40" w14:textId="77777777" w:rsidR="00B56A77" w:rsidRPr="00F1714B" w:rsidRDefault="00B56A77" w:rsidP="00A2092E">
      <w:pPr>
        <w:rPr>
          <w:rFonts w:cs="Times New Roman"/>
          <w:szCs w:val="26"/>
        </w:rPr>
      </w:pPr>
    </w:p>
    <w:p w14:paraId="6D2AFCD6" w14:textId="58B32677" w:rsidR="007751C3" w:rsidRPr="00F1714B" w:rsidRDefault="007751C3" w:rsidP="00A2092E">
      <w:pPr>
        <w:ind w:firstLine="720"/>
        <w:rPr>
          <w:rFonts w:cs="Times New Roman"/>
          <w:szCs w:val="26"/>
        </w:rPr>
      </w:pPr>
      <w:r w:rsidRPr="00F1714B">
        <w:rPr>
          <w:rFonts w:cs="Times New Roman"/>
          <w:szCs w:val="26"/>
        </w:rPr>
        <w:t xml:space="preserve">The OCA supports the Commission’s proposal to retain </w:t>
      </w:r>
      <w:r w:rsidR="009D5897" w:rsidRPr="00F1714B">
        <w:rPr>
          <w:rFonts w:cs="Times New Roman"/>
          <w:szCs w:val="26"/>
        </w:rPr>
        <w:t>S</w:t>
      </w:r>
      <w:r w:rsidRPr="00F1714B">
        <w:rPr>
          <w:rFonts w:cs="Times New Roman"/>
          <w:szCs w:val="26"/>
        </w:rPr>
        <w:t xml:space="preserve">ection </w:t>
      </w:r>
      <w:r w:rsidR="009D5897" w:rsidRPr="00F1714B">
        <w:rPr>
          <w:rFonts w:cs="Times New Roman"/>
          <w:szCs w:val="26"/>
        </w:rPr>
        <w:t>63.</w:t>
      </w:r>
      <w:r w:rsidRPr="00F1714B">
        <w:rPr>
          <w:rFonts w:cs="Times New Roman"/>
          <w:szCs w:val="26"/>
        </w:rPr>
        <w:t>22.  OCA Comments at 12.</w:t>
      </w:r>
    </w:p>
    <w:p w14:paraId="0BD75EC6" w14:textId="42B7DBAA" w:rsidR="00D24621" w:rsidRPr="00F1714B" w:rsidRDefault="00D24621" w:rsidP="00A2092E">
      <w:pPr>
        <w:tabs>
          <w:tab w:val="left" w:pos="720"/>
          <w:tab w:val="left" w:pos="1440"/>
        </w:tabs>
        <w:jc w:val="both"/>
        <w:rPr>
          <w:rFonts w:cs="Times New Roman"/>
          <w:szCs w:val="26"/>
        </w:rPr>
      </w:pPr>
    </w:p>
    <w:p w14:paraId="50A8994D" w14:textId="3218BE91" w:rsidR="00D24621" w:rsidRPr="00F1714B" w:rsidRDefault="00D24621" w:rsidP="00A2092E">
      <w:pPr>
        <w:keepNext/>
        <w:keepLines/>
        <w:tabs>
          <w:tab w:val="left" w:pos="720"/>
          <w:tab w:val="left" w:pos="1440"/>
        </w:tabs>
        <w:jc w:val="both"/>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A12BD7" w:rsidRPr="00F1714B">
        <w:rPr>
          <w:rFonts w:cs="Times New Roman"/>
          <w:b/>
          <w:bCs/>
          <w:szCs w:val="26"/>
        </w:rPr>
        <w:t>.</w:t>
      </w:r>
      <w:r w:rsidRPr="00F1714B">
        <w:rPr>
          <w:rFonts w:cs="Times New Roman"/>
          <w:b/>
          <w:bCs/>
          <w:szCs w:val="26"/>
        </w:rPr>
        <w:tab/>
        <w:t>Discussion</w:t>
      </w:r>
      <w:r w:rsidR="00A12BD7" w:rsidRPr="00F1714B">
        <w:rPr>
          <w:rFonts w:cs="Times New Roman"/>
          <w:b/>
          <w:bCs/>
          <w:szCs w:val="26"/>
        </w:rPr>
        <w:t xml:space="preserve"> and </w:t>
      </w:r>
      <w:r w:rsidRPr="00F1714B">
        <w:rPr>
          <w:rFonts w:cs="Times New Roman"/>
          <w:b/>
          <w:bCs/>
          <w:szCs w:val="26"/>
        </w:rPr>
        <w:t>Resolution</w:t>
      </w:r>
    </w:p>
    <w:bookmarkEnd w:id="37"/>
    <w:p w14:paraId="1E3D9175" w14:textId="2CA45768" w:rsidR="00D24621" w:rsidRPr="00F1714B" w:rsidRDefault="009D5897" w:rsidP="003F6B9C">
      <w:pPr>
        <w:keepNext/>
        <w:keepLines/>
        <w:tabs>
          <w:tab w:val="left" w:pos="720"/>
          <w:tab w:val="left" w:pos="1440"/>
        </w:tabs>
        <w:rPr>
          <w:rFonts w:cs="Times New Roman"/>
          <w:szCs w:val="26"/>
        </w:rPr>
      </w:pPr>
      <w:r w:rsidRPr="00F1714B">
        <w:rPr>
          <w:rFonts w:cs="Times New Roman"/>
          <w:szCs w:val="26"/>
        </w:rPr>
        <w:tab/>
      </w:r>
      <w:r w:rsidR="0019558E" w:rsidRPr="00F1714B">
        <w:rPr>
          <w:rFonts w:cs="Times New Roman"/>
          <w:szCs w:val="26"/>
        </w:rPr>
        <w:t xml:space="preserve">The gravamen of Verizon’s </w:t>
      </w:r>
      <w:r w:rsidR="008E4C9B" w:rsidRPr="00F1714B">
        <w:rPr>
          <w:rFonts w:cs="Times New Roman"/>
          <w:szCs w:val="26"/>
        </w:rPr>
        <w:t>request for the Commission to</w:t>
      </w:r>
      <w:r w:rsidR="0019558E" w:rsidRPr="00F1714B">
        <w:rPr>
          <w:szCs w:val="26"/>
        </w:rPr>
        <w:t xml:space="preserve"> eliminate this rule</w:t>
      </w:r>
      <w:r w:rsidR="008E4C9B" w:rsidRPr="00F1714B">
        <w:rPr>
          <w:szCs w:val="26"/>
        </w:rPr>
        <w:t xml:space="preserve"> is its contention that </w:t>
      </w:r>
      <w:r w:rsidR="00721E67" w:rsidRPr="00F1714B">
        <w:rPr>
          <w:szCs w:val="26"/>
        </w:rPr>
        <w:t>t</w:t>
      </w:r>
      <w:r w:rsidR="00FA6BFA" w:rsidRPr="00F1714B">
        <w:rPr>
          <w:szCs w:val="26"/>
        </w:rPr>
        <w:t xml:space="preserve">heir competitors are not </w:t>
      </w:r>
      <w:r w:rsidR="0019558E" w:rsidRPr="00F1714B">
        <w:rPr>
          <w:szCs w:val="26"/>
        </w:rPr>
        <w:t>require</w:t>
      </w:r>
      <w:r w:rsidR="00FA6BFA" w:rsidRPr="00F1714B">
        <w:rPr>
          <w:szCs w:val="26"/>
        </w:rPr>
        <w:t xml:space="preserve">d </w:t>
      </w:r>
      <w:r w:rsidR="0019558E" w:rsidRPr="00F1714B">
        <w:rPr>
          <w:szCs w:val="26"/>
        </w:rPr>
        <w:t xml:space="preserve">to keep </w:t>
      </w:r>
      <w:r w:rsidR="00FA6BFA" w:rsidRPr="00F1714B">
        <w:rPr>
          <w:szCs w:val="26"/>
        </w:rPr>
        <w:t xml:space="preserve">such </w:t>
      </w:r>
      <w:r w:rsidR="0019558E" w:rsidRPr="00F1714B">
        <w:rPr>
          <w:szCs w:val="26"/>
        </w:rPr>
        <w:t>records</w:t>
      </w:r>
      <w:r w:rsidR="00FA6BFA" w:rsidRPr="00F1714B">
        <w:rPr>
          <w:szCs w:val="26"/>
        </w:rPr>
        <w:t xml:space="preserve"> and there is no evidence that competitive providers are failing to keep records sufficient to meet their customers’ </w:t>
      </w:r>
      <w:r w:rsidR="00721E67" w:rsidRPr="00F1714B">
        <w:rPr>
          <w:szCs w:val="26"/>
        </w:rPr>
        <w:t xml:space="preserve">need.  </w:t>
      </w:r>
      <w:r w:rsidR="00721E67" w:rsidRPr="00F1714B">
        <w:rPr>
          <w:i/>
          <w:iCs/>
          <w:szCs w:val="26"/>
        </w:rPr>
        <w:t>Ipso facto</w:t>
      </w:r>
      <w:r w:rsidR="00721E67" w:rsidRPr="00F1714B">
        <w:rPr>
          <w:szCs w:val="26"/>
        </w:rPr>
        <w:t xml:space="preserve">, jurisdictional LECs </w:t>
      </w:r>
      <w:r w:rsidR="0019558E" w:rsidRPr="00F1714B">
        <w:rPr>
          <w:szCs w:val="26"/>
        </w:rPr>
        <w:t xml:space="preserve">should be on the same footing as their unregulated competitors in this regard. </w:t>
      </w:r>
    </w:p>
    <w:p w14:paraId="524F2D35" w14:textId="525707F2" w:rsidR="000F54CB" w:rsidRPr="00F1714B" w:rsidRDefault="000F54CB" w:rsidP="003F6B9C">
      <w:pPr>
        <w:tabs>
          <w:tab w:val="left" w:pos="720"/>
          <w:tab w:val="left" w:pos="1440"/>
        </w:tabs>
        <w:ind w:left="2160" w:hanging="2160"/>
        <w:jc w:val="both"/>
        <w:rPr>
          <w:rFonts w:cs="Times New Roman"/>
          <w:szCs w:val="26"/>
        </w:rPr>
      </w:pPr>
    </w:p>
    <w:p w14:paraId="4F6B26C9" w14:textId="3D360DE4" w:rsidR="00AC1309" w:rsidRPr="00F1714B" w:rsidRDefault="00E56065" w:rsidP="00A2092E">
      <w:pPr>
        <w:tabs>
          <w:tab w:val="left" w:pos="720"/>
          <w:tab w:val="left" w:pos="1440"/>
        </w:tabs>
        <w:rPr>
          <w:rFonts w:cs="Times New Roman"/>
          <w:szCs w:val="26"/>
        </w:rPr>
      </w:pPr>
      <w:r w:rsidRPr="00F1714B">
        <w:rPr>
          <w:rFonts w:cs="Times New Roman"/>
          <w:szCs w:val="26"/>
        </w:rPr>
        <w:tab/>
      </w:r>
      <w:r w:rsidR="002E5C6C" w:rsidRPr="00F1714B">
        <w:rPr>
          <w:rFonts w:cs="Times New Roman"/>
          <w:szCs w:val="26"/>
        </w:rPr>
        <w:t>To be clear, t</w:t>
      </w:r>
      <w:r w:rsidRPr="00F1714B">
        <w:rPr>
          <w:rFonts w:cs="Times New Roman"/>
          <w:szCs w:val="26"/>
        </w:rPr>
        <w:t xml:space="preserve">he </w:t>
      </w:r>
      <w:r w:rsidR="00372A67" w:rsidRPr="00F1714B">
        <w:rPr>
          <w:rFonts w:cs="Times New Roman"/>
          <w:szCs w:val="26"/>
        </w:rPr>
        <w:t xml:space="preserve">primary goal here is </w:t>
      </w:r>
      <w:r w:rsidR="00513803" w:rsidRPr="00F1714B">
        <w:rPr>
          <w:rFonts w:cs="Times New Roman"/>
          <w:szCs w:val="26"/>
        </w:rPr>
        <w:t>to</w:t>
      </w:r>
      <w:r w:rsidR="006830B0" w:rsidRPr="00F1714B">
        <w:rPr>
          <w:rFonts w:cs="Times New Roman"/>
          <w:szCs w:val="26"/>
        </w:rPr>
        <w:t xml:space="preserve"> </w:t>
      </w:r>
      <w:r w:rsidR="00372A67" w:rsidRPr="00F1714B">
        <w:rPr>
          <w:rFonts w:cs="Times New Roman"/>
          <w:szCs w:val="26"/>
        </w:rPr>
        <w:t xml:space="preserve">eliminate </w:t>
      </w:r>
      <w:r w:rsidR="006830B0" w:rsidRPr="00F1714B">
        <w:rPr>
          <w:rFonts w:cs="Times New Roman"/>
          <w:szCs w:val="26"/>
        </w:rPr>
        <w:t xml:space="preserve">all </w:t>
      </w:r>
      <w:r w:rsidR="00372A67" w:rsidRPr="00F1714B">
        <w:rPr>
          <w:rFonts w:cs="Times New Roman"/>
          <w:szCs w:val="26"/>
        </w:rPr>
        <w:t>obsolete and unnecessary regulation</w:t>
      </w:r>
      <w:r w:rsidR="006830B0" w:rsidRPr="00F1714B">
        <w:rPr>
          <w:rFonts w:cs="Times New Roman"/>
          <w:szCs w:val="26"/>
        </w:rPr>
        <w:t>s and retain those that protect the public interest but</w:t>
      </w:r>
      <w:r w:rsidR="0072086B" w:rsidRPr="00F1714B">
        <w:rPr>
          <w:rFonts w:cs="Times New Roman"/>
          <w:szCs w:val="26"/>
        </w:rPr>
        <w:t xml:space="preserve"> at the same time do not overburden </w:t>
      </w:r>
      <w:r w:rsidR="00AC1309" w:rsidRPr="00F1714B">
        <w:rPr>
          <w:rFonts w:cs="Times New Roman"/>
          <w:szCs w:val="26"/>
        </w:rPr>
        <w:t xml:space="preserve">or “micro-manage” </w:t>
      </w:r>
      <w:r w:rsidR="0072086B" w:rsidRPr="00F1714B">
        <w:rPr>
          <w:rFonts w:cs="Times New Roman"/>
          <w:szCs w:val="26"/>
        </w:rPr>
        <w:t xml:space="preserve">the regulated </w:t>
      </w:r>
      <w:r w:rsidR="00AC1309" w:rsidRPr="00F1714B">
        <w:rPr>
          <w:rFonts w:cs="Times New Roman"/>
          <w:szCs w:val="26"/>
        </w:rPr>
        <w:t xml:space="preserve">telecommunications </w:t>
      </w:r>
      <w:r w:rsidR="0072086B" w:rsidRPr="00F1714B">
        <w:rPr>
          <w:rFonts w:cs="Times New Roman"/>
          <w:szCs w:val="26"/>
        </w:rPr>
        <w:t>community</w:t>
      </w:r>
      <w:r w:rsidR="00AC1309" w:rsidRPr="00F1714B">
        <w:rPr>
          <w:rFonts w:cs="Times New Roman"/>
          <w:szCs w:val="26"/>
        </w:rPr>
        <w:t xml:space="preserve">.  We disagree with Verizon about eliminating this record retention </w:t>
      </w:r>
      <w:r w:rsidR="005A4EB5" w:rsidRPr="00F1714B">
        <w:rPr>
          <w:rFonts w:cs="Times New Roman"/>
          <w:szCs w:val="26"/>
        </w:rPr>
        <w:t>regulation, especially as we are retaining regulations that require LECs to keep certain records involving service generally and outages specifically, especially when safety is involved.  Accordingly, since some recordkeeping is still necessary, the Commission will adopt its proposal regarding Section 63.22 in the final-form regulation set forth in the Annex.</w:t>
      </w:r>
    </w:p>
    <w:p w14:paraId="4A0A0109" w14:textId="77777777" w:rsidR="00174CAC" w:rsidRPr="00F1714B" w:rsidRDefault="00174CAC" w:rsidP="00A2092E">
      <w:pPr>
        <w:tabs>
          <w:tab w:val="left" w:pos="720"/>
          <w:tab w:val="left" w:pos="1440"/>
        </w:tabs>
        <w:rPr>
          <w:rFonts w:cs="Times New Roman"/>
          <w:szCs w:val="26"/>
        </w:rPr>
      </w:pPr>
    </w:p>
    <w:p w14:paraId="185F3772" w14:textId="77777777" w:rsidR="000746E5" w:rsidRPr="00F1714B" w:rsidRDefault="000F54CB" w:rsidP="00422F5E">
      <w:pPr>
        <w:tabs>
          <w:tab w:val="left" w:pos="720"/>
          <w:tab w:val="left" w:pos="1440"/>
        </w:tabs>
        <w:spacing w:line="240" w:lineRule="auto"/>
        <w:ind w:left="2160" w:hanging="2160"/>
        <w:rPr>
          <w:rFonts w:cs="Times New Roman"/>
          <w:b/>
          <w:bCs/>
          <w:szCs w:val="26"/>
        </w:rPr>
      </w:pPr>
      <w:r w:rsidRPr="00F1714B">
        <w:rPr>
          <w:rFonts w:cs="Times New Roman"/>
          <w:b/>
          <w:bCs/>
          <w:szCs w:val="26"/>
        </w:rPr>
        <w:tab/>
      </w:r>
      <w:r w:rsidRPr="00F1714B">
        <w:rPr>
          <w:rFonts w:cs="Times New Roman"/>
          <w:b/>
          <w:bCs/>
          <w:szCs w:val="26"/>
        </w:rPr>
        <w:tab/>
        <w:t>8.</w:t>
      </w:r>
      <w:r w:rsidRPr="00F1714B">
        <w:rPr>
          <w:rFonts w:cs="Times New Roman"/>
          <w:b/>
          <w:bCs/>
          <w:szCs w:val="26"/>
        </w:rPr>
        <w:tab/>
      </w:r>
      <w:r w:rsidR="001B3461" w:rsidRPr="00F1714B">
        <w:rPr>
          <w:rFonts w:cs="Times New Roman"/>
          <w:b/>
          <w:bCs/>
          <w:szCs w:val="26"/>
        </w:rPr>
        <w:t xml:space="preserve">52 Pa. Code § 63.23 </w:t>
      </w:r>
    </w:p>
    <w:p w14:paraId="21ED69F7" w14:textId="2F7697A3" w:rsidR="001B3461" w:rsidRPr="00F1714B" w:rsidRDefault="000746E5" w:rsidP="00A2092E">
      <w:pPr>
        <w:tabs>
          <w:tab w:val="left" w:pos="720"/>
          <w:tab w:val="left" w:pos="1440"/>
        </w:tabs>
        <w:spacing w:line="240" w:lineRule="auto"/>
        <w:ind w:left="2160" w:hanging="2160"/>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r>
      <w:r w:rsidR="001B3461" w:rsidRPr="00F1714B">
        <w:rPr>
          <w:rFonts w:cs="Times New Roman"/>
          <w:b/>
          <w:bCs/>
          <w:szCs w:val="26"/>
        </w:rPr>
        <w:t>(Construction and maintenance safety standards for facilities)</w:t>
      </w:r>
    </w:p>
    <w:p w14:paraId="2C06EC8B" w14:textId="77777777" w:rsidR="001B3461" w:rsidRPr="00F1714B" w:rsidRDefault="001B3461" w:rsidP="00A2092E">
      <w:pPr>
        <w:tabs>
          <w:tab w:val="left" w:pos="720"/>
          <w:tab w:val="left" w:pos="1440"/>
        </w:tabs>
        <w:spacing w:line="240" w:lineRule="auto"/>
        <w:ind w:left="2160" w:hanging="2160"/>
        <w:rPr>
          <w:rFonts w:cs="Times New Roman"/>
          <w:szCs w:val="26"/>
        </w:rPr>
      </w:pPr>
    </w:p>
    <w:p w14:paraId="20AD52BC" w14:textId="5DBFBD4B" w:rsidR="001B3461" w:rsidRPr="00F1714B" w:rsidRDefault="001B3461" w:rsidP="00422F5E">
      <w:pPr>
        <w:tabs>
          <w:tab w:val="left" w:pos="720"/>
          <w:tab w:val="left" w:pos="1440"/>
        </w:tabs>
        <w:rPr>
          <w:rFonts w:cs="Times New Roman"/>
          <w:bCs/>
          <w:szCs w:val="26"/>
        </w:rPr>
      </w:pPr>
      <w:r w:rsidRPr="00F1714B">
        <w:rPr>
          <w:rFonts w:cs="Times New Roman"/>
          <w:bCs/>
          <w:szCs w:val="26"/>
        </w:rPr>
        <w:tab/>
        <w:t xml:space="preserve">We concluded in the </w:t>
      </w:r>
      <w:r w:rsidRPr="00F1714B">
        <w:rPr>
          <w:rFonts w:cs="Times New Roman"/>
          <w:bCs/>
          <w:i/>
          <w:szCs w:val="26"/>
        </w:rPr>
        <w:t>Reclassification Order</w:t>
      </w:r>
      <w:r w:rsidRPr="00F1714B">
        <w:rPr>
          <w:rFonts w:cs="Times New Roman"/>
          <w:bCs/>
          <w:szCs w:val="26"/>
        </w:rPr>
        <w:t xml:space="preserve"> that some of </w:t>
      </w:r>
      <w:r w:rsidR="002805CF" w:rsidRPr="00F1714B">
        <w:rPr>
          <w:rFonts w:cs="Times New Roman"/>
          <w:bCs/>
          <w:szCs w:val="26"/>
        </w:rPr>
        <w:t>our regulations</w:t>
      </w:r>
      <w:r w:rsidRPr="00F1714B">
        <w:rPr>
          <w:rFonts w:cs="Times New Roman"/>
          <w:bCs/>
          <w:szCs w:val="26"/>
        </w:rPr>
        <w:t xml:space="preserve"> are outdated</w:t>
      </w:r>
      <w:r w:rsidR="00924FEE" w:rsidRPr="00F1714B">
        <w:rPr>
          <w:rFonts w:cs="Times New Roman"/>
          <w:bCs/>
          <w:szCs w:val="26"/>
        </w:rPr>
        <w:t>,</w:t>
      </w:r>
      <w:r w:rsidRPr="00F1714B">
        <w:rPr>
          <w:rFonts w:cs="Times New Roman"/>
          <w:bCs/>
          <w:szCs w:val="26"/>
        </w:rPr>
        <w:t xml:space="preserve"> such as Section 63.23 requiring compliance with the 1981 National Electrical Safety Code</w:t>
      </w:r>
      <w:r w:rsidR="00B75CCB" w:rsidRPr="00F1714B">
        <w:rPr>
          <w:rFonts w:cs="Times New Roman"/>
          <w:bCs/>
          <w:szCs w:val="26"/>
        </w:rPr>
        <w:t xml:space="preserve"> (NESC)</w:t>
      </w:r>
      <w:r w:rsidRPr="00F1714B">
        <w:rPr>
          <w:rFonts w:cs="Times New Roman"/>
          <w:bCs/>
          <w:szCs w:val="26"/>
        </w:rPr>
        <w:t xml:space="preserve">.  </w:t>
      </w:r>
      <w:r w:rsidRPr="00F1714B">
        <w:rPr>
          <w:rFonts w:cs="Times New Roman"/>
          <w:bCs/>
          <w:i/>
          <w:szCs w:val="26"/>
        </w:rPr>
        <w:t>Reclassification Order</w:t>
      </w:r>
      <w:r w:rsidRPr="00F1714B">
        <w:rPr>
          <w:rFonts w:cs="Times New Roman"/>
          <w:bCs/>
          <w:szCs w:val="26"/>
        </w:rPr>
        <w:t xml:space="preserve"> at 77.  </w:t>
      </w:r>
      <w:r w:rsidR="0053549A" w:rsidRPr="00F1714B">
        <w:rPr>
          <w:rFonts w:cs="Times New Roman"/>
          <w:bCs/>
          <w:szCs w:val="26"/>
        </w:rPr>
        <w:t xml:space="preserve">We agreed with the </w:t>
      </w:r>
      <w:r w:rsidR="0053549A" w:rsidRPr="00F1714B">
        <w:rPr>
          <w:rFonts w:cs="Times New Roman"/>
          <w:bCs/>
          <w:szCs w:val="26"/>
        </w:rPr>
        <w:lastRenderedPageBreak/>
        <w:t>C</w:t>
      </w:r>
      <w:r w:rsidR="00417460" w:rsidRPr="00F1714B">
        <w:rPr>
          <w:rFonts w:cs="Times New Roman"/>
          <w:bCs/>
          <w:szCs w:val="26"/>
        </w:rPr>
        <w:t xml:space="preserve">ommunications Workers </w:t>
      </w:r>
      <w:r w:rsidR="00747A79" w:rsidRPr="00F1714B">
        <w:rPr>
          <w:rFonts w:cs="Times New Roman"/>
          <w:bCs/>
          <w:szCs w:val="26"/>
        </w:rPr>
        <w:t xml:space="preserve">of America </w:t>
      </w:r>
      <w:r w:rsidR="00417460" w:rsidRPr="00F1714B">
        <w:rPr>
          <w:rFonts w:cs="Times New Roman"/>
          <w:bCs/>
          <w:szCs w:val="26"/>
        </w:rPr>
        <w:t>(C</w:t>
      </w:r>
      <w:r w:rsidR="0053549A" w:rsidRPr="00F1714B">
        <w:rPr>
          <w:rFonts w:cs="Times New Roman"/>
          <w:bCs/>
          <w:szCs w:val="26"/>
        </w:rPr>
        <w:t>WA</w:t>
      </w:r>
      <w:r w:rsidR="00417460" w:rsidRPr="00F1714B">
        <w:rPr>
          <w:rFonts w:cs="Times New Roman"/>
          <w:bCs/>
          <w:szCs w:val="26"/>
        </w:rPr>
        <w:t>)</w:t>
      </w:r>
      <w:r w:rsidR="0053549A" w:rsidRPr="00F1714B">
        <w:rPr>
          <w:rFonts w:cs="Times New Roman"/>
          <w:bCs/>
          <w:szCs w:val="26"/>
        </w:rPr>
        <w:t xml:space="preserve"> that the regulation addresses safety and is intended to protect workers and the public, and we decided to condition the </w:t>
      </w:r>
      <w:r w:rsidR="00747A79" w:rsidRPr="00F1714B">
        <w:rPr>
          <w:rFonts w:cs="Times New Roman"/>
          <w:bCs/>
          <w:szCs w:val="26"/>
        </w:rPr>
        <w:t xml:space="preserve">temporary </w:t>
      </w:r>
      <w:r w:rsidR="0053549A" w:rsidRPr="00F1714B">
        <w:rPr>
          <w:rFonts w:cs="Times New Roman"/>
          <w:bCs/>
          <w:szCs w:val="26"/>
        </w:rPr>
        <w:t>waiver upon the requirement that Verizon construct and maintain equipment and facilities, and wire or cable crossings, in compliance with the safety standards provided in the current version of the NESC</w:t>
      </w:r>
      <w:r w:rsidR="00747A79" w:rsidRPr="00F1714B">
        <w:rPr>
          <w:rStyle w:val="FootnoteReference"/>
          <w:rFonts w:cs="Times New Roman"/>
          <w:bCs/>
          <w:szCs w:val="26"/>
        </w:rPr>
        <w:footnoteReference w:id="52"/>
      </w:r>
      <w:r w:rsidR="0053549A" w:rsidRPr="00F1714B">
        <w:rPr>
          <w:rFonts w:cs="Times New Roman"/>
          <w:bCs/>
          <w:szCs w:val="26"/>
        </w:rPr>
        <w:t xml:space="preserve">.  </w:t>
      </w:r>
      <w:r w:rsidR="00282368" w:rsidRPr="00F1714B">
        <w:rPr>
          <w:rFonts w:cs="Times New Roman"/>
          <w:bCs/>
          <w:szCs w:val="26"/>
        </w:rPr>
        <w:t xml:space="preserve">We </w:t>
      </w:r>
      <w:r w:rsidR="00747A79" w:rsidRPr="00F1714B">
        <w:rPr>
          <w:rFonts w:cs="Times New Roman"/>
          <w:bCs/>
          <w:szCs w:val="26"/>
        </w:rPr>
        <w:t xml:space="preserve">also </w:t>
      </w:r>
      <w:r w:rsidR="00282368" w:rsidRPr="00F1714B">
        <w:rPr>
          <w:rFonts w:cs="Times New Roman"/>
          <w:bCs/>
          <w:szCs w:val="26"/>
        </w:rPr>
        <w:t>noted that t</w:t>
      </w:r>
      <w:r w:rsidRPr="00F1714B">
        <w:rPr>
          <w:rFonts w:cs="Times New Roman"/>
          <w:bCs/>
          <w:szCs w:val="26"/>
        </w:rPr>
        <w:t>he OCA supported such an amendment to Section 63.23</w:t>
      </w:r>
      <w:r w:rsidR="00747A79" w:rsidRPr="00F1714B">
        <w:rPr>
          <w:rFonts w:cs="Times New Roman"/>
          <w:bCs/>
          <w:szCs w:val="26"/>
        </w:rPr>
        <w:t>.</w:t>
      </w:r>
      <w:r w:rsidR="00747A79" w:rsidRPr="00F1714B">
        <w:rPr>
          <w:rStyle w:val="FootnoteReference"/>
          <w:rFonts w:cs="Times New Roman"/>
          <w:bCs/>
          <w:szCs w:val="26"/>
        </w:rPr>
        <w:footnoteReference w:id="53"/>
      </w:r>
      <w:r w:rsidR="00747A79" w:rsidRPr="00F1714B">
        <w:rPr>
          <w:rFonts w:cs="Times New Roman"/>
          <w:bCs/>
          <w:szCs w:val="26"/>
        </w:rPr>
        <w:t xml:space="preserve">  </w:t>
      </w:r>
    </w:p>
    <w:p w14:paraId="344BBFA7" w14:textId="77777777" w:rsidR="001B3461" w:rsidRPr="00F1714B" w:rsidRDefault="001B3461" w:rsidP="00422F5E">
      <w:pPr>
        <w:tabs>
          <w:tab w:val="left" w:pos="720"/>
          <w:tab w:val="left" w:pos="1440"/>
        </w:tabs>
        <w:rPr>
          <w:rFonts w:cs="Times New Roman"/>
          <w:bCs/>
          <w:szCs w:val="26"/>
        </w:rPr>
      </w:pPr>
      <w:r w:rsidRPr="00F1714B">
        <w:rPr>
          <w:rFonts w:cs="Times New Roman"/>
          <w:bCs/>
          <w:szCs w:val="26"/>
        </w:rPr>
        <w:tab/>
      </w:r>
    </w:p>
    <w:p w14:paraId="73D033EC" w14:textId="7CFDF35B" w:rsidR="009153DF" w:rsidRPr="00F1714B" w:rsidRDefault="001B3461" w:rsidP="00422F5E">
      <w:pPr>
        <w:tabs>
          <w:tab w:val="left" w:pos="720"/>
          <w:tab w:val="left" w:pos="1440"/>
        </w:tabs>
        <w:rPr>
          <w:rFonts w:cs="Times New Roman"/>
          <w:bCs/>
          <w:szCs w:val="26"/>
        </w:rPr>
      </w:pPr>
      <w:r w:rsidRPr="00F1714B">
        <w:rPr>
          <w:rFonts w:cs="Times New Roman"/>
          <w:bCs/>
          <w:szCs w:val="26"/>
        </w:rPr>
        <w:tab/>
      </w:r>
      <w:r w:rsidR="009153DF" w:rsidRPr="00F1714B">
        <w:rPr>
          <w:rFonts w:cs="Times New Roman"/>
          <w:bCs/>
          <w:szCs w:val="26"/>
        </w:rPr>
        <w:t>The Commission agreed with the OCA that instead of just granting the temporary waiver of Section 63.23 conditionally upon Verizon’s construction and maintenance standards conforming with the current and most up-to-date version of the NESC, we proposed to revise the section to reflect that the most up-to-date safety standards will apply to all jurisdictional</w:t>
      </w:r>
      <w:r w:rsidR="00D03BE6" w:rsidRPr="00F1714B">
        <w:rPr>
          <w:rFonts w:cs="Times New Roman"/>
          <w:bCs/>
          <w:szCs w:val="26"/>
        </w:rPr>
        <w:t xml:space="preserve"> LECs </w:t>
      </w:r>
      <w:r w:rsidR="009153DF" w:rsidRPr="00F1714B">
        <w:rPr>
          <w:rFonts w:cs="Times New Roman"/>
          <w:bCs/>
          <w:szCs w:val="26"/>
        </w:rPr>
        <w:t xml:space="preserve">in all areas throughout the Commonwealth.  </w:t>
      </w:r>
    </w:p>
    <w:p w14:paraId="620C5F5F" w14:textId="77777777" w:rsidR="002C1F15" w:rsidRPr="00F1714B" w:rsidRDefault="002C1F15" w:rsidP="00E55426">
      <w:pPr>
        <w:tabs>
          <w:tab w:val="left" w:pos="720"/>
          <w:tab w:val="left" w:pos="1440"/>
        </w:tabs>
        <w:rPr>
          <w:rFonts w:cs="Times New Roman"/>
          <w:bCs/>
          <w:szCs w:val="26"/>
        </w:rPr>
      </w:pPr>
    </w:p>
    <w:p w14:paraId="5393CA14" w14:textId="1B975245" w:rsidR="009153DF" w:rsidRPr="00F1714B" w:rsidRDefault="009153DF" w:rsidP="00A2092E">
      <w:pPr>
        <w:tabs>
          <w:tab w:val="left" w:pos="720"/>
          <w:tab w:val="left" w:pos="1440"/>
        </w:tabs>
        <w:jc w:val="both"/>
        <w:rPr>
          <w:rFonts w:cs="Times New Roman"/>
          <w:b/>
          <w:bCs/>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69645D" w:rsidRPr="00F1714B">
        <w:rPr>
          <w:rFonts w:cs="Times New Roman"/>
          <w:b/>
          <w:bCs/>
          <w:szCs w:val="26"/>
        </w:rPr>
        <w:t xml:space="preserve"> and Replies </w:t>
      </w:r>
    </w:p>
    <w:p w14:paraId="0B5023AA" w14:textId="0FEFFE6F" w:rsidR="0079157D" w:rsidRPr="00F1714B" w:rsidRDefault="009153DF" w:rsidP="00E55426">
      <w:pPr>
        <w:rPr>
          <w:rFonts w:cs="Times New Roman"/>
          <w:szCs w:val="26"/>
        </w:rPr>
      </w:pPr>
      <w:r w:rsidRPr="00F1714B">
        <w:rPr>
          <w:rFonts w:cs="Times New Roman"/>
          <w:szCs w:val="26"/>
        </w:rPr>
        <w:tab/>
      </w:r>
      <w:r w:rsidR="0079157D" w:rsidRPr="00F1714B">
        <w:rPr>
          <w:rFonts w:cs="Times New Roman"/>
          <w:szCs w:val="26"/>
        </w:rPr>
        <w:t>IRRC recommends that the Commission clarify this subsection by referring to “the most recent IEEE National Electric Safety Code” instead of “safe and reasonable standards.”</w:t>
      </w:r>
      <w:r w:rsidR="00A04ED2" w:rsidRPr="00F1714B">
        <w:rPr>
          <w:rFonts w:cs="Times New Roman"/>
          <w:szCs w:val="26"/>
        </w:rPr>
        <w:t xml:space="preserve"> </w:t>
      </w:r>
      <w:r w:rsidR="0079157D" w:rsidRPr="00F1714B">
        <w:rPr>
          <w:rFonts w:cs="Times New Roman"/>
          <w:szCs w:val="26"/>
        </w:rPr>
        <w:t xml:space="preserve"> IRRC Comments at 7.</w:t>
      </w:r>
    </w:p>
    <w:p w14:paraId="778CDC18" w14:textId="1C74D879" w:rsidR="0079157D" w:rsidRPr="00F1714B" w:rsidRDefault="0079157D" w:rsidP="00E55426">
      <w:pPr>
        <w:rPr>
          <w:rFonts w:cs="Times New Roman"/>
          <w:szCs w:val="26"/>
        </w:rPr>
      </w:pPr>
    </w:p>
    <w:p w14:paraId="3F6BDEE9" w14:textId="4FAB98A9" w:rsidR="002C1F15" w:rsidRPr="00F1714B" w:rsidRDefault="0079157D" w:rsidP="00E55426">
      <w:pPr>
        <w:ind w:firstLine="720"/>
        <w:rPr>
          <w:rFonts w:cs="Times New Roman"/>
          <w:szCs w:val="26"/>
        </w:rPr>
      </w:pPr>
      <w:r w:rsidRPr="00F1714B">
        <w:rPr>
          <w:rFonts w:cs="Times New Roman"/>
          <w:szCs w:val="26"/>
        </w:rPr>
        <w:t xml:space="preserve">The </w:t>
      </w:r>
      <w:r w:rsidR="002C1F15" w:rsidRPr="00F1714B">
        <w:rPr>
          <w:rFonts w:cs="Times New Roman"/>
          <w:szCs w:val="26"/>
        </w:rPr>
        <w:t xml:space="preserve">OCA supports the Commission’s proposal to retain this rule, modified to ensure that public utilities construct and maintain facilities in accordance with the most recent IEEE National Electric Safety Code. </w:t>
      </w:r>
      <w:r w:rsidR="00A04ED2" w:rsidRPr="00F1714B">
        <w:rPr>
          <w:rFonts w:cs="Times New Roman"/>
          <w:szCs w:val="26"/>
        </w:rPr>
        <w:t xml:space="preserve"> </w:t>
      </w:r>
      <w:r w:rsidR="002C1F15" w:rsidRPr="00F1714B">
        <w:rPr>
          <w:rFonts w:cs="Times New Roman"/>
          <w:szCs w:val="26"/>
        </w:rPr>
        <w:t xml:space="preserve">OCA Comments at 14. </w:t>
      </w:r>
      <w:r w:rsidR="00A04ED2" w:rsidRPr="00F1714B">
        <w:rPr>
          <w:rFonts w:cs="Times New Roman"/>
          <w:szCs w:val="26"/>
        </w:rPr>
        <w:t xml:space="preserve"> </w:t>
      </w:r>
      <w:r w:rsidR="002C1F15" w:rsidRPr="00F1714B">
        <w:rPr>
          <w:rFonts w:cs="Times New Roman"/>
          <w:szCs w:val="26"/>
        </w:rPr>
        <w:t xml:space="preserve">OCA argues that this clarification is necessary in light of recent regulatory developments at the FCC and the Commission which are designed to enable carriers and third parties to attach facilities to existing public utility poles. </w:t>
      </w:r>
      <w:r w:rsidR="00A04ED2" w:rsidRPr="00F1714B">
        <w:rPr>
          <w:rFonts w:cs="Times New Roman"/>
          <w:szCs w:val="26"/>
        </w:rPr>
        <w:t xml:space="preserve"> </w:t>
      </w:r>
      <w:r w:rsidR="002C1F15" w:rsidRPr="00F1714B">
        <w:rPr>
          <w:rFonts w:cs="Times New Roman"/>
          <w:szCs w:val="26"/>
        </w:rPr>
        <w:t>OCA Comments at 14.</w:t>
      </w:r>
    </w:p>
    <w:p w14:paraId="67BC4285" w14:textId="28536338" w:rsidR="009153DF" w:rsidRPr="00F1714B" w:rsidRDefault="009153DF" w:rsidP="00E55426">
      <w:pPr>
        <w:rPr>
          <w:rFonts w:cs="Times New Roman"/>
          <w:szCs w:val="26"/>
        </w:rPr>
      </w:pPr>
    </w:p>
    <w:p w14:paraId="05A1D741" w14:textId="1AE4F28A" w:rsidR="009153DF" w:rsidRPr="00F1714B" w:rsidRDefault="009153DF" w:rsidP="00A2092E">
      <w:pPr>
        <w:keepNext/>
        <w:keepLines/>
        <w:tabs>
          <w:tab w:val="left" w:pos="720"/>
          <w:tab w:val="left" w:pos="1440"/>
        </w:tabs>
        <w:jc w:val="both"/>
        <w:rPr>
          <w:rFonts w:cs="Times New Roman"/>
          <w:b/>
          <w:bCs/>
          <w:szCs w:val="26"/>
        </w:rPr>
      </w:pPr>
      <w:r w:rsidRPr="00F1714B">
        <w:rPr>
          <w:rFonts w:cs="Times New Roman"/>
          <w:b/>
          <w:bCs/>
          <w:szCs w:val="26"/>
        </w:rPr>
        <w:lastRenderedPageBreak/>
        <w:tab/>
      </w:r>
      <w:r w:rsidRPr="00F1714B">
        <w:rPr>
          <w:rFonts w:cs="Times New Roman"/>
          <w:b/>
          <w:bCs/>
          <w:szCs w:val="26"/>
        </w:rPr>
        <w:tab/>
      </w:r>
      <w:r w:rsidRPr="00F1714B">
        <w:rPr>
          <w:rFonts w:cs="Times New Roman"/>
          <w:b/>
          <w:bCs/>
          <w:szCs w:val="26"/>
        </w:rPr>
        <w:tab/>
        <w:t>b</w:t>
      </w:r>
      <w:r w:rsidR="00A12BD7" w:rsidRPr="00F1714B">
        <w:rPr>
          <w:rFonts w:cs="Times New Roman"/>
          <w:b/>
          <w:bCs/>
          <w:szCs w:val="26"/>
        </w:rPr>
        <w:t>.</w:t>
      </w:r>
      <w:r w:rsidRPr="00F1714B">
        <w:rPr>
          <w:rFonts w:cs="Times New Roman"/>
          <w:b/>
          <w:bCs/>
          <w:szCs w:val="26"/>
        </w:rPr>
        <w:tab/>
        <w:t>Discussion</w:t>
      </w:r>
      <w:r w:rsidR="00A12BD7" w:rsidRPr="00F1714B">
        <w:rPr>
          <w:rFonts w:cs="Times New Roman"/>
          <w:b/>
          <w:bCs/>
          <w:szCs w:val="26"/>
        </w:rPr>
        <w:t xml:space="preserve"> and Resolution</w:t>
      </w:r>
    </w:p>
    <w:p w14:paraId="57833E49" w14:textId="0D22AD20" w:rsidR="002F1AD1" w:rsidRPr="00F1714B" w:rsidRDefault="00D36E88" w:rsidP="00A2092E">
      <w:pPr>
        <w:keepNext/>
        <w:keepLines/>
        <w:tabs>
          <w:tab w:val="left" w:pos="720"/>
          <w:tab w:val="left" w:pos="1440"/>
        </w:tabs>
        <w:ind w:firstLine="720"/>
        <w:rPr>
          <w:rFonts w:cs="Times New Roman"/>
          <w:bCs/>
          <w:szCs w:val="26"/>
        </w:rPr>
      </w:pPr>
      <w:r w:rsidRPr="00F1714B">
        <w:rPr>
          <w:rFonts w:cs="Times New Roman"/>
          <w:bCs/>
          <w:szCs w:val="26"/>
        </w:rPr>
        <w:t xml:space="preserve">The need for safety and consistent standards should apply to all </w:t>
      </w:r>
      <w:r w:rsidR="00D03BE6" w:rsidRPr="00F1714B">
        <w:rPr>
          <w:rFonts w:cs="Times New Roman"/>
          <w:bCs/>
          <w:szCs w:val="26"/>
        </w:rPr>
        <w:t xml:space="preserve">jurisdictional </w:t>
      </w:r>
      <w:r w:rsidRPr="00F1714B">
        <w:rPr>
          <w:rFonts w:cs="Times New Roman"/>
          <w:bCs/>
          <w:szCs w:val="26"/>
        </w:rPr>
        <w:t xml:space="preserve">LECs.  </w:t>
      </w:r>
      <w:r w:rsidR="002C1F15" w:rsidRPr="00F1714B">
        <w:rPr>
          <w:rFonts w:cs="Times New Roman"/>
          <w:bCs/>
          <w:szCs w:val="26"/>
        </w:rPr>
        <w:t>Since the goal of this provision is maintaining safety and reliability, the regulation remains relevant</w:t>
      </w:r>
      <w:r w:rsidRPr="00F1714B">
        <w:rPr>
          <w:rFonts w:cs="Times New Roman"/>
          <w:bCs/>
          <w:szCs w:val="26"/>
        </w:rPr>
        <w:t xml:space="preserve"> to ensure that the most up-to-date safety standards will apply to all jurisdictional</w:t>
      </w:r>
      <w:r w:rsidR="00D03BE6" w:rsidRPr="00F1714B">
        <w:rPr>
          <w:rFonts w:cs="Times New Roman"/>
          <w:bCs/>
          <w:szCs w:val="26"/>
        </w:rPr>
        <w:t xml:space="preserve"> LECs </w:t>
      </w:r>
      <w:r w:rsidRPr="00F1714B">
        <w:rPr>
          <w:rFonts w:cs="Times New Roman"/>
          <w:bCs/>
          <w:szCs w:val="26"/>
        </w:rPr>
        <w:t>in all areas throughout the Commonwealth</w:t>
      </w:r>
      <w:r w:rsidR="002C1F15" w:rsidRPr="00F1714B">
        <w:rPr>
          <w:rFonts w:cs="Times New Roman"/>
          <w:bCs/>
          <w:szCs w:val="26"/>
        </w:rPr>
        <w:t xml:space="preserve">.  However, we agree with the recommendation </w:t>
      </w:r>
      <w:r w:rsidR="002F1AD1" w:rsidRPr="00F1714B">
        <w:rPr>
          <w:rFonts w:cs="Times New Roman"/>
          <w:bCs/>
          <w:szCs w:val="26"/>
        </w:rPr>
        <w:t xml:space="preserve">from IRRC and will clarify this </w:t>
      </w:r>
      <w:r w:rsidR="00F002D2" w:rsidRPr="00F1714B">
        <w:rPr>
          <w:rFonts w:cs="Times New Roman"/>
          <w:bCs/>
          <w:szCs w:val="26"/>
        </w:rPr>
        <w:t xml:space="preserve">rule </w:t>
      </w:r>
      <w:r w:rsidR="002F1AD1" w:rsidRPr="00F1714B">
        <w:rPr>
          <w:rFonts w:cs="Times New Roman"/>
          <w:bCs/>
          <w:szCs w:val="26"/>
        </w:rPr>
        <w:t>by referring to “the most recent IEEE National Electric Safety Code” instead of “safe and reasonable standards.</w:t>
      </w:r>
      <w:r w:rsidR="00F002D2" w:rsidRPr="00F1714B">
        <w:rPr>
          <w:rFonts w:cs="Times New Roman"/>
          <w:bCs/>
          <w:szCs w:val="26"/>
        </w:rPr>
        <w:t>” in the final-form regulation set forth in the Annex</w:t>
      </w:r>
      <w:r w:rsidR="002F1AD1" w:rsidRPr="00F1714B">
        <w:rPr>
          <w:rFonts w:cs="Times New Roman"/>
          <w:bCs/>
          <w:szCs w:val="26"/>
        </w:rPr>
        <w:t>.</w:t>
      </w:r>
    </w:p>
    <w:p w14:paraId="1B714B35" w14:textId="60F94EB5" w:rsidR="002F1AD1" w:rsidRPr="00F1714B" w:rsidRDefault="002F1AD1" w:rsidP="00E55426">
      <w:pPr>
        <w:tabs>
          <w:tab w:val="left" w:pos="720"/>
          <w:tab w:val="left" w:pos="1440"/>
        </w:tabs>
        <w:ind w:firstLine="720"/>
        <w:rPr>
          <w:rFonts w:cs="Times New Roman"/>
          <w:bCs/>
          <w:szCs w:val="26"/>
        </w:rPr>
      </w:pPr>
    </w:p>
    <w:p w14:paraId="174DDA11" w14:textId="3888DA34" w:rsidR="001B3461" w:rsidRPr="00F1714B" w:rsidRDefault="009153DF" w:rsidP="00A2092E">
      <w:pPr>
        <w:keepNext/>
        <w:keepLines/>
        <w:tabs>
          <w:tab w:val="left" w:pos="720"/>
          <w:tab w:val="left" w:pos="1440"/>
        </w:tabs>
        <w:jc w:val="both"/>
        <w:rPr>
          <w:rFonts w:cs="Times New Roman"/>
          <w:b/>
          <w:bCs/>
          <w:szCs w:val="26"/>
        </w:rPr>
      </w:pPr>
      <w:r w:rsidRPr="00F1714B">
        <w:rPr>
          <w:rFonts w:cs="Times New Roman"/>
          <w:b/>
          <w:bCs/>
          <w:szCs w:val="26"/>
        </w:rPr>
        <w:tab/>
      </w:r>
      <w:r w:rsidRPr="00F1714B">
        <w:rPr>
          <w:rFonts w:cs="Times New Roman"/>
          <w:b/>
          <w:bCs/>
          <w:szCs w:val="26"/>
        </w:rPr>
        <w:tab/>
      </w:r>
      <w:r w:rsidR="007F7760" w:rsidRPr="00F1714B">
        <w:rPr>
          <w:rFonts w:cs="Times New Roman"/>
          <w:b/>
          <w:bCs/>
          <w:szCs w:val="26"/>
        </w:rPr>
        <w:t>9</w:t>
      </w:r>
      <w:r w:rsidR="001B3461" w:rsidRPr="00F1714B">
        <w:rPr>
          <w:rFonts w:cs="Times New Roman"/>
          <w:b/>
          <w:bCs/>
          <w:szCs w:val="26"/>
        </w:rPr>
        <w:t>.</w:t>
      </w:r>
      <w:r w:rsidR="001B3461" w:rsidRPr="00F1714B">
        <w:rPr>
          <w:rFonts w:cs="Times New Roman"/>
          <w:b/>
          <w:bCs/>
          <w:szCs w:val="26"/>
        </w:rPr>
        <w:tab/>
        <w:t>52 Pa. Code § 63.24 (Service interruptions)</w:t>
      </w:r>
    </w:p>
    <w:p w14:paraId="22B3BBF5" w14:textId="47A3C902" w:rsidR="001B3461" w:rsidRPr="00F1714B" w:rsidRDefault="001B3461" w:rsidP="00A2092E">
      <w:pPr>
        <w:keepNext/>
        <w:keepLines/>
        <w:tabs>
          <w:tab w:val="left" w:pos="720"/>
          <w:tab w:val="left" w:pos="1440"/>
        </w:tabs>
        <w:rPr>
          <w:rFonts w:cs="Times New Roman"/>
          <w:bCs/>
          <w:szCs w:val="26"/>
        </w:rPr>
      </w:pPr>
      <w:r w:rsidRPr="00F1714B">
        <w:rPr>
          <w:rFonts w:cs="Times New Roman"/>
          <w:bCs/>
          <w:szCs w:val="26"/>
        </w:rPr>
        <w:tab/>
      </w:r>
      <w:r w:rsidR="000B4A75" w:rsidRPr="00F1714B">
        <w:rPr>
          <w:rFonts w:cs="Times New Roman"/>
          <w:bCs/>
          <w:szCs w:val="26"/>
        </w:rPr>
        <w:t xml:space="preserve">As </w:t>
      </w:r>
      <w:r w:rsidR="00765854" w:rsidRPr="00F1714B">
        <w:rPr>
          <w:rFonts w:cs="Times New Roman"/>
          <w:bCs/>
          <w:szCs w:val="26"/>
        </w:rPr>
        <w:t xml:space="preserve">a result of our </w:t>
      </w:r>
      <w:r w:rsidR="000B4A75" w:rsidRPr="00F1714B">
        <w:rPr>
          <w:rFonts w:cs="Times New Roman"/>
          <w:bCs/>
          <w:szCs w:val="26"/>
        </w:rPr>
        <w:t>conclusion that a competitive market can offer a dissatisfied customer an alternative service from another provider and a satisfactory financial remedy</w:t>
      </w:r>
      <w:r w:rsidR="001E2F24" w:rsidRPr="00F1714B">
        <w:rPr>
          <w:rFonts w:cs="Times New Roman"/>
          <w:bCs/>
          <w:szCs w:val="26"/>
        </w:rPr>
        <w:t xml:space="preserve">, </w:t>
      </w:r>
      <w:r w:rsidR="00765854" w:rsidRPr="00F1714B">
        <w:rPr>
          <w:rFonts w:cs="Times New Roman"/>
          <w:bCs/>
          <w:szCs w:val="26"/>
        </w:rPr>
        <w:t>t</w:t>
      </w:r>
      <w:r w:rsidRPr="00F1714B">
        <w:rPr>
          <w:rFonts w:cs="Times New Roman"/>
          <w:bCs/>
          <w:szCs w:val="26"/>
        </w:rPr>
        <w:t xml:space="preserve">he Commission granted a temporary waiver of this regulation that allows a credit on a customer’s bill when </w:t>
      </w:r>
      <w:r w:rsidR="005A40C0" w:rsidRPr="00F1714B">
        <w:rPr>
          <w:rFonts w:cs="Times New Roman"/>
          <w:szCs w:val="26"/>
        </w:rPr>
        <w:t>telecommunications</w:t>
      </w:r>
      <w:r w:rsidR="005A40C0" w:rsidRPr="00F1714B">
        <w:rPr>
          <w:szCs w:val="26"/>
        </w:rPr>
        <w:t xml:space="preserve"> </w:t>
      </w:r>
      <w:r w:rsidRPr="00F1714B">
        <w:rPr>
          <w:rFonts w:cs="Times New Roman"/>
          <w:bCs/>
          <w:szCs w:val="26"/>
        </w:rPr>
        <w:t>service is interrupted for at least twenty-four hours.</w:t>
      </w:r>
      <w:r w:rsidR="00765854" w:rsidRPr="00F1714B">
        <w:rPr>
          <w:rStyle w:val="FootnoteReference"/>
          <w:rFonts w:cs="Times New Roman"/>
          <w:bCs/>
          <w:szCs w:val="26"/>
        </w:rPr>
        <w:footnoteReference w:id="54"/>
      </w:r>
      <w:r w:rsidR="00765854" w:rsidRPr="00F1714B">
        <w:rPr>
          <w:rFonts w:cs="Times New Roman"/>
          <w:bCs/>
          <w:szCs w:val="26"/>
        </w:rPr>
        <w:t xml:space="preserve">  </w:t>
      </w:r>
      <w:r w:rsidRPr="00F1714B">
        <w:rPr>
          <w:rFonts w:cs="Times New Roman"/>
          <w:bCs/>
          <w:szCs w:val="26"/>
        </w:rPr>
        <w:t xml:space="preserve">Moreover, we noted in the </w:t>
      </w:r>
      <w:r w:rsidRPr="00F1714B">
        <w:rPr>
          <w:rFonts w:cs="Times New Roman"/>
          <w:bCs/>
          <w:i/>
          <w:szCs w:val="26"/>
        </w:rPr>
        <w:t>Reclassification Order</w:t>
      </w:r>
      <w:r w:rsidRPr="00F1714B">
        <w:rPr>
          <w:rFonts w:cs="Times New Roman"/>
          <w:bCs/>
          <w:szCs w:val="26"/>
        </w:rPr>
        <w:t xml:space="preserve"> that Verizon’s Product Guide, Section 1, Original Sheet 6 addresses the issue </w:t>
      </w:r>
      <w:r w:rsidR="00883823" w:rsidRPr="00F1714B">
        <w:rPr>
          <w:rFonts w:cs="Times New Roman"/>
          <w:bCs/>
          <w:szCs w:val="26"/>
        </w:rPr>
        <w:t>by</w:t>
      </w:r>
      <w:r w:rsidR="00ED27A3" w:rsidRPr="00F1714B">
        <w:rPr>
          <w:rFonts w:cs="Times New Roman"/>
          <w:bCs/>
          <w:szCs w:val="26"/>
        </w:rPr>
        <w:t xml:space="preserve"> </w:t>
      </w:r>
      <w:r w:rsidRPr="00F1714B">
        <w:rPr>
          <w:rFonts w:cs="Times New Roman"/>
          <w:bCs/>
          <w:szCs w:val="26"/>
        </w:rPr>
        <w:t>providing credits.</w:t>
      </w:r>
      <w:r w:rsidR="00E80A63" w:rsidRPr="00F1714B">
        <w:rPr>
          <w:rStyle w:val="FootnoteReference"/>
          <w:rFonts w:cs="Times New Roman"/>
          <w:bCs/>
          <w:szCs w:val="26"/>
        </w:rPr>
        <w:footnoteReference w:id="55"/>
      </w:r>
      <w:r w:rsidRPr="00F1714B">
        <w:rPr>
          <w:rFonts w:cs="Times New Roman"/>
          <w:bCs/>
          <w:szCs w:val="26"/>
        </w:rPr>
        <w:t xml:space="preserve">  </w:t>
      </w:r>
    </w:p>
    <w:p w14:paraId="643E7101" w14:textId="77777777" w:rsidR="001B3461" w:rsidRPr="00F1714B" w:rsidRDefault="001B3461" w:rsidP="00A2092E">
      <w:pPr>
        <w:tabs>
          <w:tab w:val="left" w:pos="720"/>
          <w:tab w:val="left" w:pos="1440"/>
        </w:tabs>
        <w:rPr>
          <w:rFonts w:cs="Times New Roman"/>
          <w:bCs/>
          <w:szCs w:val="26"/>
        </w:rPr>
      </w:pPr>
    </w:p>
    <w:p w14:paraId="761065DA" w14:textId="1FAC3785" w:rsidR="002B5F31" w:rsidRPr="00F1714B" w:rsidRDefault="001B3461" w:rsidP="00E55426">
      <w:pPr>
        <w:tabs>
          <w:tab w:val="left" w:pos="720"/>
          <w:tab w:val="left" w:pos="1440"/>
        </w:tabs>
        <w:rPr>
          <w:rFonts w:cs="Times New Roman"/>
          <w:bCs/>
          <w:szCs w:val="26"/>
        </w:rPr>
      </w:pPr>
      <w:r w:rsidRPr="00F1714B">
        <w:rPr>
          <w:rFonts w:cs="Times New Roman"/>
          <w:bCs/>
          <w:szCs w:val="26"/>
        </w:rPr>
        <w:tab/>
      </w:r>
      <w:r w:rsidR="007C0485" w:rsidRPr="00F1714B">
        <w:rPr>
          <w:rFonts w:cs="Times New Roman"/>
          <w:bCs/>
          <w:szCs w:val="26"/>
        </w:rPr>
        <w:t xml:space="preserve">In the </w:t>
      </w:r>
      <w:r w:rsidR="007C0485" w:rsidRPr="00F1714B">
        <w:rPr>
          <w:rFonts w:cs="Times New Roman"/>
          <w:bCs/>
          <w:i/>
          <w:iCs/>
          <w:szCs w:val="26"/>
        </w:rPr>
        <w:t>N</w:t>
      </w:r>
      <w:r w:rsidR="006019F7" w:rsidRPr="00F1714B">
        <w:rPr>
          <w:rFonts w:cs="Times New Roman"/>
          <w:bCs/>
          <w:i/>
          <w:iCs/>
          <w:szCs w:val="26"/>
        </w:rPr>
        <w:t xml:space="preserve">PRM </w:t>
      </w:r>
      <w:r w:rsidR="007C0485" w:rsidRPr="00F1714B">
        <w:rPr>
          <w:rFonts w:cs="Times New Roman"/>
          <w:bCs/>
          <w:i/>
          <w:iCs/>
          <w:szCs w:val="26"/>
        </w:rPr>
        <w:t>Order</w:t>
      </w:r>
      <w:r w:rsidR="007C0485" w:rsidRPr="00F1714B">
        <w:rPr>
          <w:rFonts w:cs="Times New Roman"/>
          <w:bCs/>
          <w:szCs w:val="26"/>
        </w:rPr>
        <w:t xml:space="preserve">, </w:t>
      </w:r>
      <w:r w:rsidR="00804AF9" w:rsidRPr="00F1714B">
        <w:rPr>
          <w:rFonts w:cs="Times New Roman"/>
          <w:bCs/>
          <w:szCs w:val="26"/>
        </w:rPr>
        <w:t>we determined that s</w:t>
      </w:r>
      <w:r w:rsidR="007C0485" w:rsidRPr="00F1714B">
        <w:rPr>
          <w:rFonts w:cs="Times New Roman"/>
          <w:bCs/>
          <w:szCs w:val="26"/>
        </w:rPr>
        <w:t xml:space="preserve">ince </w:t>
      </w:r>
      <w:r w:rsidR="002B5F31" w:rsidRPr="00F1714B">
        <w:rPr>
          <w:rFonts w:cs="Times New Roman"/>
          <w:bCs/>
          <w:szCs w:val="26"/>
        </w:rPr>
        <w:t xml:space="preserve">we </w:t>
      </w:r>
      <w:r w:rsidR="007C0485" w:rsidRPr="00F1714B">
        <w:rPr>
          <w:rFonts w:cs="Times New Roman"/>
          <w:bCs/>
          <w:szCs w:val="26"/>
        </w:rPr>
        <w:t>we</w:t>
      </w:r>
      <w:r w:rsidR="002B5F31" w:rsidRPr="00F1714B">
        <w:rPr>
          <w:rFonts w:cs="Times New Roman"/>
          <w:bCs/>
          <w:szCs w:val="26"/>
        </w:rPr>
        <w:t xml:space="preserve">re not persuaded that Section 63.24 </w:t>
      </w:r>
      <w:r w:rsidR="007C0485" w:rsidRPr="00F1714B">
        <w:rPr>
          <w:rFonts w:cs="Times New Roman"/>
          <w:bCs/>
          <w:szCs w:val="26"/>
        </w:rPr>
        <w:t xml:space="preserve">has become </w:t>
      </w:r>
      <w:r w:rsidR="002B5F31" w:rsidRPr="00F1714B">
        <w:rPr>
          <w:rFonts w:cs="Times New Roman"/>
          <w:bCs/>
          <w:szCs w:val="26"/>
        </w:rPr>
        <w:t>irrelevant for the provision of service to end-user consumers that receive retail services, including basic local exchange services</w:t>
      </w:r>
      <w:r w:rsidR="00804AF9" w:rsidRPr="00F1714B">
        <w:rPr>
          <w:rFonts w:cs="Times New Roman"/>
          <w:bCs/>
          <w:szCs w:val="26"/>
        </w:rPr>
        <w:t>,</w:t>
      </w:r>
      <w:r w:rsidR="002B5F31" w:rsidRPr="00F1714B">
        <w:rPr>
          <w:rFonts w:cs="Times New Roman"/>
          <w:bCs/>
          <w:szCs w:val="26"/>
        </w:rPr>
        <w:t xml:space="preserve"> we propose</w:t>
      </w:r>
      <w:r w:rsidR="00804AF9" w:rsidRPr="00F1714B">
        <w:rPr>
          <w:rFonts w:cs="Times New Roman"/>
          <w:bCs/>
          <w:szCs w:val="26"/>
        </w:rPr>
        <w:t>d</w:t>
      </w:r>
      <w:r w:rsidR="002B5F31" w:rsidRPr="00F1714B">
        <w:rPr>
          <w:rFonts w:cs="Times New Roman"/>
          <w:bCs/>
          <w:szCs w:val="26"/>
        </w:rPr>
        <w:t xml:space="preserve"> to retain Section 63.24.  </w:t>
      </w:r>
    </w:p>
    <w:p w14:paraId="114FFAD4" w14:textId="02116B6B" w:rsidR="00804AF9" w:rsidRPr="00F1714B" w:rsidRDefault="00804AF9" w:rsidP="00E55426">
      <w:pPr>
        <w:tabs>
          <w:tab w:val="left" w:pos="720"/>
          <w:tab w:val="left" w:pos="1440"/>
        </w:tabs>
        <w:rPr>
          <w:rFonts w:cs="Times New Roman"/>
          <w:bCs/>
          <w:szCs w:val="26"/>
        </w:rPr>
      </w:pPr>
    </w:p>
    <w:p w14:paraId="16B89AE0" w14:textId="0294E041" w:rsidR="001A7AF9" w:rsidRPr="00F1714B" w:rsidRDefault="001A7AF9" w:rsidP="00BB6C62">
      <w:pPr>
        <w:tabs>
          <w:tab w:val="left" w:pos="720"/>
          <w:tab w:val="left" w:pos="1440"/>
        </w:tabs>
        <w:jc w:val="both"/>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2B06A1DF" w14:textId="21224151" w:rsidR="00DF717C" w:rsidRPr="00F1714B" w:rsidRDefault="00DF717C" w:rsidP="00BB6C62">
      <w:pPr>
        <w:ind w:firstLine="720"/>
        <w:rPr>
          <w:rFonts w:cs="Times New Roman"/>
          <w:szCs w:val="26"/>
        </w:rPr>
      </w:pPr>
      <w:r w:rsidRPr="00F1714B">
        <w:rPr>
          <w:rFonts w:cs="Times New Roman"/>
          <w:szCs w:val="26"/>
        </w:rPr>
        <w:t>TCC/CCL suggest that the Commission add a reference to product guides to this rule, in recognition that the substance of the rule could be addressed in a tariff or in a product guide, in the case of a competitive, detariffed service.</w:t>
      </w:r>
      <w:r w:rsidR="001E2F24" w:rsidRPr="00F1714B">
        <w:rPr>
          <w:rFonts w:cs="Times New Roman"/>
          <w:szCs w:val="26"/>
        </w:rPr>
        <w:t xml:space="preserve"> </w:t>
      </w:r>
      <w:r w:rsidRPr="00F1714B">
        <w:rPr>
          <w:rFonts w:cs="Times New Roman"/>
          <w:szCs w:val="26"/>
        </w:rPr>
        <w:t xml:space="preserve"> TCC/CCL Comments at 13.</w:t>
      </w:r>
    </w:p>
    <w:p w14:paraId="71972521" w14:textId="09084EE6" w:rsidR="000746E5" w:rsidRPr="00F1714B" w:rsidRDefault="00BD029A" w:rsidP="00E55426">
      <w:pPr>
        <w:ind w:firstLine="720"/>
        <w:rPr>
          <w:rFonts w:cs="Times New Roman"/>
          <w:szCs w:val="26"/>
        </w:rPr>
      </w:pPr>
      <w:r w:rsidRPr="00F1714B">
        <w:rPr>
          <w:rFonts w:cs="Times New Roman"/>
          <w:szCs w:val="26"/>
        </w:rPr>
        <w:lastRenderedPageBreak/>
        <w:t xml:space="preserve">Verizon opposes the Commission’s proposal to continue this </w:t>
      </w:r>
      <w:r w:rsidR="000E4B0B" w:rsidRPr="00F1714B">
        <w:rPr>
          <w:rFonts w:cs="Times New Roman"/>
          <w:szCs w:val="26"/>
        </w:rPr>
        <w:t xml:space="preserve">regulation </w:t>
      </w:r>
      <w:r w:rsidRPr="00F1714B">
        <w:rPr>
          <w:rFonts w:cs="Times New Roman"/>
          <w:szCs w:val="26"/>
        </w:rPr>
        <w:t xml:space="preserve">and to reinstate it in competitive areas. </w:t>
      </w:r>
      <w:r w:rsidR="001E2F24" w:rsidRPr="00F1714B">
        <w:rPr>
          <w:rFonts w:cs="Times New Roman"/>
          <w:szCs w:val="26"/>
        </w:rPr>
        <w:t xml:space="preserve"> </w:t>
      </w:r>
      <w:r w:rsidRPr="00F1714B">
        <w:rPr>
          <w:rFonts w:cs="Times New Roman"/>
          <w:szCs w:val="26"/>
        </w:rPr>
        <w:t xml:space="preserve">Verizon Comments at 20-21. </w:t>
      </w:r>
      <w:r w:rsidR="00DF717C" w:rsidRPr="00F1714B">
        <w:rPr>
          <w:rFonts w:cs="Times New Roman"/>
          <w:szCs w:val="26"/>
        </w:rPr>
        <w:t xml:space="preserve"> </w:t>
      </w:r>
      <w:r w:rsidRPr="00F1714B">
        <w:rPr>
          <w:rFonts w:cs="Times New Roman"/>
          <w:szCs w:val="26"/>
        </w:rPr>
        <w:t xml:space="preserve">Verizon argues that competition renders this rule obsolete and that it does not meet “the Chapter 30 regulatory standard.” </w:t>
      </w:r>
      <w:r w:rsidR="001E2F24" w:rsidRPr="00F1714B">
        <w:rPr>
          <w:rFonts w:cs="Times New Roman"/>
          <w:szCs w:val="26"/>
        </w:rPr>
        <w:t xml:space="preserve"> </w:t>
      </w:r>
      <w:r w:rsidRPr="00F1714B">
        <w:rPr>
          <w:rFonts w:cs="Times New Roman"/>
          <w:szCs w:val="26"/>
        </w:rPr>
        <w:t>Verizon Comments at 21.</w:t>
      </w:r>
      <w:r w:rsidR="00DF717C" w:rsidRPr="00F1714B">
        <w:rPr>
          <w:rFonts w:cs="Times New Roman"/>
          <w:szCs w:val="26"/>
        </w:rPr>
        <w:t xml:space="preserve">  </w:t>
      </w:r>
    </w:p>
    <w:p w14:paraId="78C79FE5" w14:textId="77777777" w:rsidR="000746E5" w:rsidRPr="00F1714B" w:rsidRDefault="000746E5" w:rsidP="00E55426">
      <w:pPr>
        <w:ind w:firstLine="720"/>
        <w:rPr>
          <w:rFonts w:cs="Times New Roman"/>
          <w:szCs w:val="26"/>
        </w:rPr>
      </w:pPr>
    </w:p>
    <w:p w14:paraId="321E71CE" w14:textId="7484D196" w:rsidR="00361FC0" w:rsidRPr="00F1714B" w:rsidRDefault="00361FC0" w:rsidP="00E55426">
      <w:pPr>
        <w:ind w:firstLine="720"/>
        <w:rPr>
          <w:rFonts w:cs="Times New Roman"/>
          <w:szCs w:val="26"/>
        </w:rPr>
      </w:pPr>
      <w:r w:rsidRPr="00F1714B">
        <w:rPr>
          <w:rFonts w:cs="Times New Roman"/>
          <w:szCs w:val="26"/>
        </w:rPr>
        <w:t xml:space="preserve">The OCA opposes Verizon’s proposal regarding this rule because it asserts that its elimination </w:t>
      </w:r>
      <w:r w:rsidR="00B20C5B" w:rsidRPr="00F1714B">
        <w:rPr>
          <w:rFonts w:cs="Times New Roman"/>
          <w:szCs w:val="26"/>
        </w:rPr>
        <w:t>or even its proposed modification as set for</w:t>
      </w:r>
      <w:r w:rsidR="009724E2" w:rsidRPr="00F1714B">
        <w:rPr>
          <w:rFonts w:cs="Times New Roman"/>
          <w:szCs w:val="26"/>
        </w:rPr>
        <w:t xml:space="preserve">th in the Annex to the </w:t>
      </w:r>
      <w:r w:rsidR="009724E2" w:rsidRPr="00F1714B">
        <w:rPr>
          <w:rFonts w:cs="Times New Roman"/>
          <w:i/>
          <w:iCs/>
          <w:szCs w:val="26"/>
        </w:rPr>
        <w:t>N</w:t>
      </w:r>
      <w:r w:rsidR="006019F7" w:rsidRPr="00F1714B">
        <w:rPr>
          <w:rFonts w:cs="Times New Roman"/>
          <w:i/>
          <w:iCs/>
          <w:szCs w:val="26"/>
        </w:rPr>
        <w:t xml:space="preserve">PRM </w:t>
      </w:r>
      <w:r w:rsidR="009724E2" w:rsidRPr="00F1714B">
        <w:rPr>
          <w:rFonts w:cs="Times New Roman"/>
          <w:i/>
          <w:iCs/>
          <w:szCs w:val="26"/>
        </w:rPr>
        <w:t xml:space="preserve">Order </w:t>
      </w:r>
      <w:r w:rsidR="009724E2" w:rsidRPr="00F1714B">
        <w:rPr>
          <w:rFonts w:cs="Times New Roman"/>
          <w:szCs w:val="26"/>
        </w:rPr>
        <w:t>w</w:t>
      </w:r>
      <w:r w:rsidRPr="00F1714B">
        <w:rPr>
          <w:rFonts w:cs="Times New Roman"/>
          <w:szCs w:val="26"/>
        </w:rPr>
        <w:t xml:space="preserve">ould remove meaningful standards and regulatory guidance that is still needed to promote and protect today’s complex and important telecommunications network.” </w:t>
      </w:r>
      <w:r w:rsidR="001E2F24" w:rsidRPr="00F1714B">
        <w:rPr>
          <w:rFonts w:cs="Times New Roman"/>
          <w:szCs w:val="26"/>
        </w:rPr>
        <w:t xml:space="preserve"> </w:t>
      </w:r>
      <w:r w:rsidRPr="00F1714B">
        <w:rPr>
          <w:rFonts w:cs="Times New Roman"/>
          <w:szCs w:val="26"/>
        </w:rPr>
        <w:t>OCA Reply Comments at 10</w:t>
      </w:r>
      <w:r w:rsidR="009724E2" w:rsidRPr="00F1714B">
        <w:rPr>
          <w:rFonts w:cs="Times New Roman"/>
          <w:szCs w:val="26"/>
        </w:rPr>
        <w:t>-12</w:t>
      </w:r>
      <w:r w:rsidRPr="00F1714B">
        <w:rPr>
          <w:rFonts w:cs="Times New Roman"/>
          <w:szCs w:val="26"/>
        </w:rPr>
        <w:t>.</w:t>
      </w:r>
    </w:p>
    <w:p w14:paraId="5500B411" w14:textId="77777777" w:rsidR="00361FC0" w:rsidRPr="00F1714B" w:rsidRDefault="00361FC0" w:rsidP="00E55426">
      <w:pPr>
        <w:ind w:firstLine="720"/>
        <w:rPr>
          <w:rFonts w:cs="Times New Roman"/>
          <w:szCs w:val="26"/>
        </w:rPr>
      </w:pPr>
    </w:p>
    <w:p w14:paraId="0E121B9D" w14:textId="435E3314" w:rsidR="001A7AF9" w:rsidRPr="00F1714B" w:rsidRDefault="001A7AF9" w:rsidP="0099181C">
      <w:pPr>
        <w:tabs>
          <w:tab w:val="left" w:pos="720"/>
          <w:tab w:val="left" w:pos="1440"/>
        </w:tabs>
        <w:jc w:val="both"/>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452F7A" w:rsidRPr="00F1714B">
        <w:rPr>
          <w:rFonts w:cs="Times New Roman"/>
          <w:b/>
          <w:bCs/>
          <w:szCs w:val="26"/>
        </w:rPr>
        <w:t>.</w:t>
      </w:r>
      <w:r w:rsidRPr="00F1714B">
        <w:rPr>
          <w:rFonts w:cs="Times New Roman"/>
          <w:b/>
          <w:bCs/>
          <w:szCs w:val="26"/>
        </w:rPr>
        <w:tab/>
        <w:t>Discussion</w:t>
      </w:r>
      <w:r w:rsidR="00452F7A" w:rsidRPr="00F1714B">
        <w:rPr>
          <w:rFonts w:cs="Times New Roman"/>
          <w:b/>
          <w:bCs/>
          <w:szCs w:val="26"/>
        </w:rPr>
        <w:t xml:space="preserve"> and Resolution</w:t>
      </w:r>
    </w:p>
    <w:p w14:paraId="1B42F5E3" w14:textId="4B003E37" w:rsidR="00AD1879" w:rsidRPr="00F1714B" w:rsidRDefault="00BD029A" w:rsidP="00931025">
      <w:pPr>
        <w:tabs>
          <w:tab w:val="left" w:pos="720"/>
          <w:tab w:val="left" w:pos="1440"/>
        </w:tabs>
        <w:rPr>
          <w:rFonts w:cs="Times New Roman"/>
          <w:bCs/>
          <w:szCs w:val="26"/>
        </w:rPr>
      </w:pPr>
      <w:r w:rsidRPr="00F1714B">
        <w:rPr>
          <w:rFonts w:cs="Times New Roman"/>
          <w:bCs/>
          <w:szCs w:val="26"/>
        </w:rPr>
        <w:tab/>
      </w:r>
      <w:r w:rsidR="00CA786D" w:rsidRPr="00F1714B">
        <w:rPr>
          <w:rFonts w:cs="Times New Roman"/>
          <w:bCs/>
          <w:szCs w:val="26"/>
        </w:rPr>
        <w:t>Section 63.</w:t>
      </w:r>
      <w:r w:rsidR="00E20770" w:rsidRPr="00F1714B">
        <w:rPr>
          <w:rFonts w:cs="Times New Roman"/>
          <w:bCs/>
          <w:szCs w:val="26"/>
        </w:rPr>
        <w:t>2</w:t>
      </w:r>
      <w:r w:rsidR="00CA786D" w:rsidRPr="00F1714B">
        <w:rPr>
          <w:rFonts w:cs="Times New Roman"/>
          <w:bCs/>
          <w:szCs w:val="26"/>
        </w:rPr>
        <w:t xml:space="preserve">4 </w:t>
      </w:r>
      <w:r w:rsidR="00D759E0" w:rsidRPr="00F1714B">
        <w:rPr>
          <w:rFonts w:cs="Times New Roman"/>
          <w:bCs/>
          <w:szCs w:val="26"/>
        </w:rPr>
        <w:t xml:space="preserve">of our regulations </w:t>
      </w:r>
      <w:r w:rsidR="00CA786D" w:rsidRPr="00F1714B">
        <w:rPr>
          <w:rFonts w:cs="Times New Roman"/>
          <w:bCs/>
          <w:szCs w:val="26"/>
        </w:rPr>
        <w:t xml:space="preserve">provides a schedule of mandatory credits for service outages.  In the </w:t>
      </w:r>
      <w:r w:rsidR="00CA786D" w:rsidRPr="00F1714B">
        <w:rPr>
          <w:rFonts w:cs="Times New Roman"/>
          <w:bCs/>
          <w:i/>
          <w:iCs/>
          <w:szCs w:val="26"/>
        </w:rPr>
        <w:t>NPRM</w:t>
      </w:r>
      <w:r w:rsidR="00D759E0" w:rsidRPr="00F1714B">
        <w:rPr>
          <w:rFonts w:cs="Times New Roman"/>
          <w:bCs/>
          <w:i/>
          <w:iCs/>
          <w:szCs w:val="26"/>
        </w:rPr>
        <w:t xml:space="preserve"> Order</w:t>
      </w:r>
      <w:r w:rsidR="00CA786D" w:rsidRPr="00F1714B">
        <w:rPr>
          <w:rFonts w:cs="Times New Roman"/>
          <w:bCs/>
          <w:szCs w:val="26"/>
        </w:rPr>
        <w:t>, we</w:t>
      </w:r>
      <w:r w:rsidR="00D759E0" w:rsidRPr="00F1714B">
        <w:rPr>
          <w:rFonts w:cs="Times New Roman"/>
          <w:bCs/>
          <w:szCs w:val="26"/>
        </w:rPr>
        <w:t xml:space="preserve"> had</w:t>
      </w:r>
      <w:r w:rsidR="00CA786D" w:rsidRPr="00F1714B">
        <w:rPr>
          <w:rFonts w:cs="Times New Roman"/>
          <w:bCs/>
          <w:szCs w:val="26"/>
        </w:rPr>
        <w:t xml:space="preserve"> proposed to retain this regulation.  However, upon further review, we agree with Verizon that this regulation is no longer necessary in today’s environment and should be rescinded.  As noted by Verizon, a dissatisfied customer can obtain service from other carriers if the carrier does not adequately address the customer’s concerns by fixing the problem and/or by providing appropriate financial compensation for any resulting service interruption.</w:t>
      </w:r>
      <w:r w:rsidR="00747E17" w:rsidRPr="00F1714B">
        <w:rPr>
          <w:rFonts w:cs="Times New Roman"/>
          <w:bCs/>
          <w:szCs w:val="26"/>
        </w:rPr>
        <w:t xml:space="preserve">  </w:t>
      </w:r>
      <w:r w:rsidR="00CA786D" w:rsidRPr="00F1714B">
        <w:rPr>
          <w:rFonts w:cs="Times New Roman"/>
          <w:bCs/>
          <w:szCs w:val="26"/>
        </w:rPr>
        <w:t>Verizon Comments at 20-21.  Moreover, Section 1501 provides sufficient regulatory coverage here.  If an outage occurs and a customer is not reimbursed for service that is not received, the customer can pursue a Section 1501 action, which could result in the telephone utility being directed to issue a credit/refund to the customer for providing unreasonable service.</w:t>
      </w:r>
      <w:r w:rsidR="00CA786D" w:rsidRPr="00F1714B">
        <w:rPr>
          <w:rFonts w:cs="Times New Roman"/>
          <w:bCs/>
          <w:szCs w:val="26"/>
          <w:vertAlign w:val="superscript"/>
        </w:rPr>
        <w:footnoteReference w:id="56"/>
      </w:r>
      <w:r w:rsidR="0011067C" w:rsidRPr="00F1714B">
        <w:rPr>
          <w:rFonts w:cs="Times New Roman"/>
          <w:bCs/>
          <w:szCs w:val="26"/>
        </w:rPr>
        <w:t xml:space="preserve">  </w:t>
      </w:r>
      <w:r w:rsidR="00D759E0" w:rsidRPr="00F1714B">
        <w:rPr>
          <w:rFonts w:cs="Times New Roman"/>
          <w:bCs/>
          <w:szCs w:val="26"/>
        </w:rPr>
        <w:t>Therefore</w:t>
      </w:r>
      <w:r w:rsidR="00202C47" w:rsidRPr="00F1714B">
        <w:rPr>
          <w:rFonts w:cs="Times New Roman"/>
          <w:bCs/>
          <w:szCs w:val="26"/>
        </w:rPr>
        <w:t xml:space="preserve">, </w:t>
      </w:r>
      <w:r w:rsidR="00D759E0" w:rsidRPr="00F1714B">
        <w:rPr>
          <w:rFonts w:cs="Times New Roman"/>
          <w:bCs/>
          <w:szCs w:val="26"/>
        </w:rPr>
        <w:t xml:space="preserve">we </w:t>
      </w:r>
      <w:r w:rsidR="00202C47" w:rsidRPr="00F1714B">
        <w:rPr>
          <w:rFonts w:cs="Times New Roman"/>
          <w:bCs/>
          <w:szCs w:val="26"/>
        </w:rPr>
        <w:t>shall rescind</w:t>
      </w:r>
      <w:r w:rsidR="00D759E0" w:rsidRPr="00F1714B">
        <w:rPr>
          <w:rFonts w:cs="Times New Roman"/>
          <w:bCs/>
          <w:szCs w:val="26"/>
        </w:rPr>
        <w:t xml:space="preserve"> Section 63.2</w:t>
      </w:r>
      <w:r w:rsidR="00747E17" w:rsidRPr="00F1714B">
        <w:rPr>
          <w:rFonts w:cs="Times New Roman"/>
          <w:bCs/>
          <w:szCs w:val="26"/>
        </w:rPr>
        <w:t>4</w:t>
      </w:r>
      <w:r w:rsidR="00D759E0" w:rsidRPr="00F1714B">
        <w:rPr>
          <w:rFonts w:cs="Times New Roman"/>
          <w:bCs/>
          <w:szCs w:val="26"/>
        </w:rPr>
        <w:t xml:space="preserve"> in the final-form regulation.</w:t>
      </w:r>
    </w:p>
    <w:p w14:paraId="6643757B" w14:textId="77777777" w:rsidR="00B142F3" w:rsidRPr="00F1714B" w:rsidRDefault="00B142F3" w:rsidP="00DB69E7">
      <w:pPr>
        <w:tabs>
          <w:tab w:val="left" w:pos="720"/>
          <w:tab w:val="left" w:pos="1440"/>
        </w:tabs>
        <w:rPr>
          <w:rFonts w:cs="Times New Roman"/>
          <w:b/>
          <w:bCs/>
          <w:szCs w:val="26"/>
        </w:rPr>
      </w:pPr>
    </w:p>
    <w:p w14:paraId="58FD33C1" w14:textId="73370CDE" w:rsidR="001B3461" w:rsidRDefault="001A7AF9" w:rsidP="007E1C61">
      <w:pPr>
        <w:keepNext/>
        <w:keepLines/>
        <w:tabs>
          <w:tab w:val="left" w:pos="720"/>
          <w:tab w:val="left" w:pos="1440"/>
        </w:tabs>
        <w:jc w:val="both"/>
        <w:rPr>
          <w:rFonts w:cs="Times New Roman"/>
          <w:b/>
          <w:bCs/>
          <w:szCs w:val="26"/>
        </w:rPr>
      </w:pPr>
      <w:r w:rsidRPr="00F1714B">
        <w:rPr>
          <w:rFonts w:cs="Times New Roman"/>
          <w:b/>
          <w:bCs/>
          <w:szCs w:val="26"/>
        </w:rPr>
        <w:lastRenderedPageBreak/>
        <w:tab/>
      </w:r>
      <w:r w:rsidR="0045015A" w:rsidRPr="00F1714B">
        <w:rPr>
          <w:rFonts w:cs="Times New Roman"/>
          <w:b/>
          <w:bCs/>
          <w:szCs w:val="26"/>
        </w:rPr>
        <w:t>C.</w:t>
      </w:r>
      <w:r w:rsidR="0045015A" w:rsidRPr="00F1714B">
        <w:rPr>
          <w:rFonts w:cs="Times New Roman"/>
          <w:b/>
          <w:bCs/>
          <w:szCs w:val="26"/>
        </w:rPr>
        <w:tab/>
      </w:r>
      <w:r w:rsidR="001B3461" w:rsidRPr="00F1714B">
        <w:rPr>
          <w:rFonts w:cs="Times New Roman"/>
          <w:b/>
          <w:bCs/>
          <w:szCs w:val="26"/>
        </w:rPr>
        <w:t>Subchapter C (Accounts and Records)</w:t>
      </w:r>
    </w:p>
    <w:p w14:paraId="099F60D4" w14:textId="05C945B3" w:rsidR="001B3461" w:rsidRPr="00F1714B" w:rsidRDefault="001B3461" w:rsidP="007E1C61">
      <w:pPr>
        <w:keepNext/>
        <w:keepLines/>
        <w:ind w:left="720" w:firstLine="720"/>
        <w:rPr>
          <w:rFonts w:cs="Times New Roman"/>
          <w:b/>
          <w:bCs/>
          <w:szCs w:val="26"/>
        </w:rPr>
      </w:pPr>
      <w:r w:rsidRPr="00F1714B">
        <w:rPr>
          <w:rFonts w:cs="Times New Roman"/>
          <w:b/>
          <w:bCs/>
          <w:szCs w:val="26"/>
        </w:rPr>
        <w:t>1.</w:t>
      </w:r>
      <w:r w:rsidRPr="00F1714B">
        <w:rPr>
          <w:rFonts w:cs="Times New Roman"/>
          <w:b/>
          <w:bCs/>
          <w:szCs w:val="26"/>
        </w:rPr>
        <w:tab/>
        <w:t>52 Pa. Code §</w:t>
      </w:r>
      <w:r w:rsidR="00225CC2" w:rsidRPr="00F1714B">
        <w:rPr>
          <w:rFonts w:cs="Times New Roman"/>
          <w:b/>
          <w:bCs/>
          <w:szCs w:val="26"/>
        </w:rPr>
        <w:t>§</w:t>
      </w:r>
      <w:r w:rsidRPr="00F1714B">
        <w:rPr>
          <w:rFonts w:cs="Times New Roman"/>
          <w:b/>
          <w:bCs/>
          <w:szCs w:val="26"/>
        </w:rPr>
        <w:t xml:space="preserve"> 63.31—63.3</w:t>
      </w:r>
      <w:r w:rsidR="00454926" w:rsidRPr="00F1714B">
        <w:rPr>
          <w:rFonts w:cs="Times New Roman"/>
          <w:b/>
          <w:bCs/>
          <w:szCs w:val="26"/>
        </w:rPr>
        <w:t>5</w:t>
      </w:r>
    </w:p>
    <w:p w14:paraId="205E2A25" w14:textId="243AFF18" w:rsidR="00A86D58" w:rsidRPr="00F1714B" w:rsidRDefault="001B3461" w:rsidP="007E1C61">
      <w:pPr>
        <w:keepNext/>
        <w:keepLines/>
        <w:tabs>
          <w:tab w:val="left" w:pos="720"/>
          <w:tab w:val="left" w:pos="1440"/>
        </w:tabs>
        <w:rPr>
          <w:rFonts w:cs="Times New Roman"/>
          <w:bCs/>
          <w:szCs w:val="26"/>
        </w:rPr>
      </w:pPr>
      <w:r w:rsidRPr="00F1714B">
        <w:rPr>
          <w:rFonts w:cs="Times New Roman"/>
          <w:bCs/>
          <w:szCs w:val="26"/>
        </w:rPr>
        <w:tab/>
        <w:t xml:space="preserve">In the </w:t>
      </w:r>
      <w:r w:rsidRPr="00F1714B">
        <w:rPr>
          <w:rFonts w:cs="Times New Roman"/>
          <w:bCs/>
          <w:i/>
          <w:szCs w:val="26"/>
        </w:rPr>
        <w:t>Reclassification Order</w:t>
      </w:r>
      <w:r w:rsidRPr="00F1714B">
        <w:rPr>
          <w:rFonts w:cs="Times New Roman"/>
          <w:bCs/>
          <w:szCs w:val="26"/>
        </w:rPr>
        <w:t xml:space="preserve">, </w:t>
      </w:r>
      <w:r w:rsidR="00DE2C46" w:rsidRPr="00F1714B">
        <w:rPr>
          <w:rFonts w:cs="Times New Roman"/>
          <w:bCs/>
          <w:szCs w:val="26"/>
        </w:rPr>
        <w:t>w</w:t>
      </w:r>
      <w:r w:rsidRPr="00F1714B">
        <w:rPr>
          <w:rFonts w:cs="Times New Roman"/>
          <w:bCs/>
          <w:szCs w:val="26"/>
        </w:rPr>
        <w:t>e temporarily waived Section 63.31 (Classification of public utilities); Section 63.32 (System of accounts); Section 63.33 (Integrity of reserve accounts to be preserved); Section 63.34 (Reclassification of telephone plant to original cost); and Section 63.35 (Preservation of records)</w:t>
      </w:r>
      <w:r w:rsidR="00A86D58" w:rsidRPr="00F1714B">
        <w:rPr>
          <w:rFonts w:cs="Times New Roman"/>
          <w:bCs/>
          <w:szCs w:val="26"/>
        </w:rPr>
        <w:t xml:space="preserve"> in Verizon’s 153 competitive wire centers</w:t>
      </w:r>
      <w:r w:rsidRPr="00F1714B">
        <w:rPr>
          <w:rFonts w:cs="Times New Roman"/>
          <w:bCs/>
          <w:szCs w:val="26"/>
        </w:rPr>
        <w:t>.</w:t>
      </w:r>
      <w:r w:rsidR="00A86D58" w:rsidRPr="00F1714B">
        <w:rPr>
          <w:rStyle w:val="FootnoteReference"/>
          <w:rFonts w:cs="Times New Roman"/>
          <w:bCs/>
          <w:szCs w:val="26"/>
        </w:rPr>
        <w:footnoteReference w:id="57"/>
      </w:r>
      <w:r w:rsidRPr="00F1714B">
        <w:rPr>
          <w:rFonts w:cs="Times New Roman"/>
          <w:bCs/>
          <w:szCs w:val="26"/>
        </w:rPr>
        <w:t xml:space="preserve"> </w:t>
      </w:r>
    </w:p>
    <w:p w14:paraId="5F3B3525" w14:textId="77777777" w:rsidR="00813087" w:rsidRPr="00F1714B" w:rsidRDefault="00813087" w:rsidP="00E55426">
      <w:pPr>
        <w:tabs>
          <w:tab w:val="left" w:pos="720"/>
          <w:tab w:val="left" w:pos="1440"/>
        </w:tabs>
        <w:rPr>
          <w:rFonts w:cs="Times New Roman"/>
          <w:bCs/>
          <w:szCs w:val="26"/>
        </w:rPr>
      </w:pPr>
    </w:p>
    <w:p w14:paraId="4A6DB19C" w14:textId="39A997A9" w:rsidR="00756A96" w:rsidRPr="00F1714B" w:rsidRDefault="00A86D58" w:rsidP="00E55426">
      <w:pPr>
        <w:tabs>
          <w:tab w:val="left" w:pos="720"/>
          <w:tab w:val="left" w:pos="1440"/>
        </w:tabs>
        <w:rPr>
          <w:rFonts w:cs="Times New Roman"/>
          <w:bCs/>
          <w:szCs w:val="26"/>
        </w:rPr>
      </w:pPr>
      <w:r w:rsidRPr="00F1714B">
        <w:rPr>
          <w:rFonts w:cs="Times New Roman"/>
          <w:bCs/>
          <w:szCs w:val="26"/>
        </w:rPr>
        <w:tab/>
      </w:r>
      <w:r w:rsidR="00BA3D01" w:rsidRPr="00F1714B">
        <w:rPr>
          <w:rFonts w:cs="Times New Roman"/>
          <w:bCs/>
          <w:szCs w:val="26"/>
        </w:rPr>
        <w:t xml:space="preserve">Although the majority of the </w:t>
      </w:r>
      <w:r w:rsidR="00813087" w:rsidRPr="00F1714B">
        <w:rPr>
          <w:rFonts w:cs="Times New Roman"/>
          <w:bCs/>
          <w:szCs w:val="26"/>
        </w:rPr>
        <w:t>I</w:t>
      </w:r>
      <w:r w:rsidR="00BA3D01" w:rsidRPr="00F1714B">
        <w:rPr>
          <w:rFonts w:cs="Times New Roman"/>
          <w:bCs/>
          <w:szCs w:val="26"/>
        </w:rPr>
        <w:t xml:space="preserve">LECs operate in Pennsylvania under alternative regulation </w:t>
      </w:r>
      <w:r w:rsidR="00F27712" w:rsidRPr="00F1714B">
        <w:rPr>
          <w:rFonts w:cs="Times New Roman"/>
          <w:bCs/>
          <w:szCs w:val="26"/>
        </w:rPr>
        <w:t xml:space="preserve">with price cap formulas </w:t>
      </w:r>
      <w:r w:rsidR="005856F7" w:rsidRPr="00F1714B">
        <w:rPr>
          <w:rFonts w:cs="Times New Roman"/>
          <w:bCs/>
          <w:szCs w:val="26"/>
        </w:rPr>
        <w:t xml:space="preserve">that are tied to changes in the rate of inflation </w:t>
      </w:r>
      <w:r w:rsidR="00F27712" w:rsidRPr="00F1714B">
        <w:rPr>
          <w:rFonts w:cs="Times New Roman"/>
          <w:bCs/>
          <w:szCs w:val="26"/>
        </w:rPr>
        <w:t>(Chapter 30 Plan)</w:t>
      </w:r>
      <w:r w:rsidR="00BA3D01" w:rsidRPr="00F1714B">
        <w:rPr>
          <w:rFonts w:cs="Times New Roman"/>
          <w:bCs/>
          <w:szCs w:val="26"/>
        </w:rPr>
        <w:t xml:space="preserve">, </w:t>
      </w:r>
      <w:r w:rsidR="00756A96" w:rsidRPr="00F1714B">
        <w:rPr>
          <w:rFonts w:cs="Times New Roman"/>
          <w:bCs/>
          <w:szCs w:val="26"/>
        </w:rPr>
        <w:t xml:space="preserve">the </w:t>
      </w:r>
      <w:r w:rsidR="00756A96" w:rsidRPr="00F1714B">
        <w:rPr>
          <w:rFonts w:cs="Times New Roman"/>
          <w:bCs/>
          <w:i/>
          <w:iCs/>
          <w:szCs w:val="26"/>
        </w:rPr>
        <w:t>interstate</w:t>
      </w:r>
      <w:r w:rsidR="00756A96" w:rsidRPr="00F1714B">
        <w:rPr>
          <w:rFonts w:cs="Times New Roman"/>
          <w:bCs/>
          <w:szCs w:val="26"/>
        </w:rPr>
        <w:t xml:space="preserve"> operations </w:t>
      </w:r>
      <w:r w:rsidR="005856F7" w:rsidRPr="00F1714B">
        <w:rPr>
          <w:rFonts w:cs="Times New Roman"/>
          <w:bCs/>
          <w:szCs w:val="26"/>
        </w:rPr>
        <w:t xml:space="preserve">for some </w:t>
      </w:r>
      <w:r w:rsidR="00756A96" w:rsidRPr="00F1714B">
        <w:rPr>
          <w:rFonts w:cs="Times New Roman"/>
          <w:bCs/>
          <w:szCs w:val="26"/>
        </w:rPr>
        <w:t>of the</w:t>
      </w:r>
      <w:r w:rsidR="005856F7" w:rsidRPr="00F1714B">
        <w:rPr>
          <w:rFonts w:cs="Times New Roman"/>
          <w:bCs/>
          <w:szCs w:val="26"/>
        </w:rPr>
        <w:t>se</w:t>
      </w:r>
      <w:r w:rsidR="00756A96" w:rsidRPr="00F1714B">
        <w:rPr>
          <w:rFonts w:cs="Times New Roman"/>
          <w:bCs/>
          <w:szCs w:val="26"/>
        </w:rPr>
        <w:t xml:space="preserve"> same </w:t>
      </w:r>
      <w:r w:rsidR="005856F7" w:rsidRPr="00F1714B">
        <w:rPr>
          <w:rFonts w:cs="Times New Roman"/>
          <w:bCs/>
          <w:szCs w:val="26"/>
        </w:rPr>
        <w:t xml:space="preserve">state price cap </w:t>
      </w:r>
      <w:r w:rsidR="00756A96" w:rsidRPr="00F1714B">
        <w:rPr>
          <w:rFonts w:cs="Times New Roman"/>
          <w:bCs/>
          <w:szCs w:val="26"/>
        </w:rPr>
        <w:t>companies</w:t>
      </w:r>
      <w:r w:rsidR="005856F7" w:rsidRPr="00F1714B">
        <w:rPr>
          <w:rFonts w:cs="Times New Roman"/>
          <w:bCs/>
          <w:szCs w:val="26"/>
        </w:rPr>
        <w:t>, all RLECs,</w:t>
      </w:r>
      <w:r w:rsidR="00756A96" w:rsidRPr="00F1714B">
        <w:rPr>
          <w:rFonts w:cs="Times New Roman"/>
          <w:bCs/>
          <w:szCs w:val="26"/>
        </w:rPr>
        <w:t xml:space="preserve"> are subject to an overall method of rate base (RB) and rate of return (ROR) regulation (i.e., they are “federal ROR” RLECs).</w:t>
      </w:r>
      <w:r w:rsidR="00756A96" w:rsidRPr="00F1714B">
        <w:rPr>
          <w:rStyle w:val="FootnoteReference"/>
          <w:rFonts w:cs="Times New Roman"/>
          <w:bCs/>
          <w:szCs w:val="26"/>
        </w:rPr>
        <w:footnoteReference w:id="58"/>
      </w:r>
      <w:r w:rsidR="00756A96" w:rsidRPr="00F1714B">
        <w:rPr>
          <w:rFonts w:cs="Times New Roman"/>
          <w:bCs/>
          <w:szCs w:val="26"/>
        </w:rPr>
        <w:t xml:space="preserve">   Furthermore, </w:t>
      </w:r>
      <w:r w:rsidR="005856F7" w:rsidRPr="00F1714B">
        <w:rPr>
          <w:rFonts w:cs="Times New Roman"/>
          <w:bCs/>
          <w:szCs w:val="26"/>
        </w:rPr>
        <w:t>many</w:t>
      </w:r>
      <w:r w:rsidR="00756A96" w:rsidRPr="00F1714B">
        <w:rPr>
          <w:rFonts w:cs="Times New Roman"/>
          <w:bCs/>
          <w:szCs w:val="26"/>
        </w:rPr>
        <w:t xml:space="preserve"> Chapter 30 NMPs and price stability mechanisms contain provisions that may trigger certain exogenous event revenue adjustments that may be attributable to federal </w:t>
      </w:r>
      <w:r w:rsidR="005856F7" w:rsidRPr="00F1714B">
        <w:rPr>
          <w:rFonts w:cs="Times New Roman"/>
          <w:bCs/>
          <w:szCs w:val="26"/>
        </w:rPr>
        <w:t xml:space="preserve">or state </w:t>
      </w:r>
      <w:r w:rsidR="00756A96" w:rsidRPr="00F1714B">
        <w:rPr>
          <w:rFonts w:cs="Times New Roman"/>
          <w:bCs/>
          <w:szCs w:val="26"/>
        </w:rPr>
        <w:t xml:space="preserve">regulatory </w:t>
      </w:r>
      <w:r w:rsidR="005856F7" w:rsidRPr="00F1714B">
        <w:rPr>
          <w:rFonts w:cs="Times New Roman"/>
          <w:bCs/>
          <w:szCs w:val="26"/>
        </w:rPr>
        <w:t xml:space="preserve">changes </w:t>
      </w:r>
      <w:r w:rsidR="00756A96" w:rsidRPr="00F1714B">
        <w:rPr>
          <w:rFonts w:cs="Times New Roman"/>
          <w:bCs/>
          <w:szCs w:val="26"/>
        </w:rPr>
        <w:t>or other actions</w:t>
      </w:r>
      <w:r w:rsidR="005856F7" w:rsidRPr="00F1714B">
        <w:rPr>
          <w:rFonts w:cs="Times New Roman"/>
          <w:bCs/>
          <w:szCs w:val="26"/>
        </w:rPr>
        <w:t xml:space="preserve"> outside the ILECs’ control</w:t>
      </w:r>
      <w:r w:rsidR="00756A96" w:rsidRPr="00F1714B">
        <w:rPr>
          <w:rFonts w:cs="Times New Roman"/>
          <w:bCs/>
          <w:szCs w:val="26"/>
        </w:rPr>
        <w:t xml:space="preserve">.  It </w:t>
      </w:r>
      <w:r w:rsidR="00C42B86" w:rsidRPr="00F1714B">
        <w:rPr>
          <w:rFonts w:cs="Times New Roman"/>
          <w:bCs/>
          <w:szCs w:val="26"/>
        </w:rPr>
        <w:t xml:space="preserve">was </w:t>
      </w:r>
      <w:r w:rsidR="00756A96" w:rsidRPr="00F1714B">
        <w:rPr>
          <w:rFonts w:cs="Times New Roman"/>
          <w:bCs/>
          <w:szCs w:val="26"/>
        </w:rPr>
        <w:t xml:space="preserve">unclear </w:t>
      </w:r>
      <w:r w:rsidR="00C42B86" w:rsidRPr="00F1714B">
        <w:rPr>
          <w:rFonts w:cs="Times New Roman"/>
          <w:bCs/>
          <w:szCs w:val="26"/>
        </w:rPr>
        <w:t xml:space="preserve">to us </w:t>
      </w:r>
      <w:r w:rsidR="00756A96" w:rsidRPr="00F1714B">
        <w:rPr>
          <w:rFonts w:cs="Times New Roman"/>
          <w:bCs/>
          <w:szCs w:val="26"/>
        </w:rPr>
        <w:t>how such effects can be correctly tracked in the absence of a</w:t>
      </w:r>
      <w:r w:rsidR="005856F7" w:rsidRPr="00F1714B">
        <w:rPr>
          <w:rFonts w:cs="Times New Roman"/>
          <w:bCs/>
          <w:szCs w:val="26"/>
        </w:rPr>
        <w:t>n identifiable, consistent, and</w:t>
      </w:r>
      <w:r w:rsidR="00756A96" w:rsidRPr="00F1714B">
        <w:rPr>
          <w:rFonts w:cs="Times New Roman"/>
          <w:bCs/>
          <w:szCs w:val="26"/>
        </w:rPr>
        <w:t xml:space="preserve"> proper uniform system of accounts that can </w:t>
      </w:r>
      <w:r w:rsidR="005856F7" w:rsidRPr="00F1714B">
        <w:rPr>
          <w:rFonts w:cs="Times New Roman"/>
          <w:bCs/>
          <w:szCs w:val="26"/>
        </w:rPr>
        <w:t>consistently and correctly address</w:t>
      </w:r>
      <w:r w:rsidR="00756A96" w:rsidRPr="00F1714B">
        <w:rPr>
          <w:rFonts w:cs="Times New Roman"/>
          <w:bCs/>
          <w:szCs w:val="26"/>
        </w:rPr>
        <w:t xml:space="preserve"> issues of jurisdictional separations. </w:t>
      </w:r>
    </w:p>
    <w:p w14:paraId="52848055" w14:textId="77777777" w:rsidR="00756A96" w:rsidRPr="00F1714B" w:rsidRDefault="00756A96" w:rsidP="00E55426">
      <w:pPr>
        <w:tabs>
          <w:tab w:val="left" w:pos="720"/>
          <w:tab w:val="left" w:pos="1440"/>
        </w:tabs>
        <w:rPr>
          <w:rFonts w:cs="Times New Roman"/>
          <w:bCs/>
          <w:szCs w:val="26"/>
        </w:rPr>
      </w:pPr>
    </w:p>
    <w:p w14:paraId="2DAF2ECA" w14:textId="6AA3935A" w:rsidR="00CE689B" w:rsidRPr="00F1714B" w:rsidRDefault="00756A96" w:rsidP="00E55426">
      <w:pPr>
        <w:tabs>
          <w:tab w:val="left" w:pos="720"/>
          <w:tab w:val="left" w:pos="1440"/>
        </w:tabs>
        <w:rPr>
          <w:rFonts w:cs="Times New Roman"/>
          <w:bCs/>
          <w:szCs w:val="26"/>
        </w:rPr>
      </w:pPr>
      <w:r w:rsidRPr="00F1714B">
        <w:rPr>
          <w:rFonts w:cs="Times New Roman"/>
          <w:bCs/>
          <w:szCs w:val="26"/>
        </w:rPr>
        <w:tab/>
        <w:t xml:space="preserve">In the </w:t>
      </w:r>
      <w:r w:rsidRPr="00F1714B">
        <w:rPr>
          <w:rFonts w:cs="Times New Roman"/>
          <w:bCs/>
          <w:i/>
          <w:iCs/>
          <w:szCs w:val="26"/>
        </w:rPr>
        <w:t>N</w:t>
      </w:r>
      <w:r w:rsidR="006019F7" w:rsidRPr="00F1714B">
        <w:rPr>
          <w:rFonts w:cs="Times New Roman"/>
          <w:bCs/>
          <w:i/>
          <w:iCs/>
          <w:szCs w:val="26"/>
        </w:rPr>
        <w:t xml:space="preserve">PRM </w:t>
      </w:r>
      <w:r w:rsidRPr="00F1714B">
        <w:rPr>
          <w:rFonts w:cs="Times New Roman"/>
          <w:bCs/>
          <w:i/>
          <w:iCs/>
          <w:szCs w:val="26"/>
        </w:rPr>
        <w:t>Order</w:t>
      </w:r>
      <w:r w:rsidRPr="00F1714B">
        <w:rPr>
          <w:rFonts w:cs="Times New Roman"/>
          <w:bCs/>
          <w:szCs w:val="26"/>
        </w:rPr>
        <w:t xml:space="preserve">, we determined that maintenance of </w:t>
      </w:r>
      <w:r w:rsidR="00BA3D01" w:rsidRPr="00F1714B">
        <w:rPr>
          <w:rFonts w:cs="Times New Roman"/>
          <w:bCs/>
          <w:szCs w:val="26"/>
        </w:rPr>
        <w:t xml:space="preserve">accounting information on revenues, expenses, and capital investment under a uniform system and being able to perform relevant and necessary accounting separations </w:t>
      </w:r>
      <w:r w:rsidR="00C42B86" w:rsidRPr="00F1714B">
        <w:rPr>
          <w:rFonts w:cs="Times New Roman"/>
          <w:bCs/>
          <w:szCs w:val="26"/>
        </w:rPr>
        <w:t>was</w:t>
      </w:r>
      <w:r w:rsidR="00BA3D01" w:rsidRPr="00F1714B">
        <w:rPr>
          <w:rFonts w:cs="Times New Roman"/>
          <w:bCs/>
          <w:szCs w:val="26"/>
        </w:rPr>
        <w:t xml:space="preserve"> still relevant and necessary.  </w:t>
      </w:r>
      <w:r w:rsidRPr="00F1714B">
        <w:rPr>
          <w:rFonts w:cs="Times New Roman"/>
          <w:bCs/>
          <w:szCs w:val="26"/>
        </w:rPr>
        <w:t>Thu</w:t>
      </w:r>
      <w:r w:rsidR="005E2C7D" w:rsidRPr="00F1714B">
        <w:rPr>
          <w:rFonts w:cs="Times New Roman"/>
          <w:bCs/>
          <w:szCs w:val="26"/>
        </w:rPr>
        <w:t xml:space="preserve">s, we proposed to retain and update Section 63.32 </w:t>
      </w:r>
      <w:r w:rsidR="00E67177" w:rsidRPr="00F1714B">
        <w:rPr>
          <w:rFonts w:cs="Times New Roman"/>
          <w:bCs/>
          <w:szCs w:val="26"/>
        </w:rPr>
        <w:t xml:space="preserve">so that </w:t>
      </w:r>
      <w:r w:rsidR="00B07CF2" w:rsidRPr="00F1714B">
        <w:rPr>
          <w:rFonts w:cs="Times New Roman"/>
          <w:bCs/>
          <w:szCs w:val="26"/>
        </w:rPr>
        <w:t xml:space="preserve">it </w:t>
      </w:r>
      <w:r w:rsidRPr="00F1714B">
        <w:rPr>
          <w:rFonts w:cs="Times New Roman"/>
          <w:bCs/>
          <w:szCs w:val="26"/>
        </w:rPr>
        <w:t>explicitly detail</w:t>
      </w:r>
      <w:r w:rsidR="00B07CF2" w:rsidRPr="00F1714B">
        <w:rPr>
          <w:rFonts w:cs="Times New Roman"/>
          <w:bCs/>
          <w:szCs w:val="26"/>
        </w:rPr>
        <w:t>ed</w:t>
      </w:r>
      <w:r w:rsidRPr="00F1714B">
        <w:rPr>
          <w:rFonts w:cs="Times New Roman"/>
          <w:bCs/>
          <w:szCs w:val="26"/>
        </w:rPr>
        <w:t xml:space="preserve"> the use of any other accounting methods that would accurately preserve the accounting </w:t>
      </w:r>
      <w:r w:rsidRPr="00F1714B">
        <w:rPr>
          <w:rFonts w:cs="Times New Roman"/>
          <w:bCs/>
          <w:szCs w:val="26"/>
        </w:rPr>
        <w:lastRenderedPageBreak/>
        <w:t>separations between the regulated and unregulated operations of a telecommunications utility, as well as the jurisdictional separation of its regulated operations in terms of appropriately classified categories of revenues, expenses and capital investments</w:t>
      </w:r>
      <w:r w:rsidR="00B07CF2" w:rsidRPr="00F1714B">
        <w:rPr>
          <w:rFonts w:cs="Times New Roman"/>
          <w:bCs/>
          <w:szCs w:val="26"/>
        </w:rPr>
        <w:t>.</w:t>
      </w:r>
      <w:r w:rsidRPr="00F1714B">
        <w:rPr>
          <w:rFonts w:cs="Times New Roman"/>
          <w:bCs/>
          <w:szCs w:val="26"/>
        </w:rPr>
        <w:t xml:space="preserve"> </w:t>
      </w:r>
    </w:p>
    <w:p w14:paraId="155689AC" w14:textId="33EC4242" w:rsidR="00B07CF2" w:rsidRPr="00F1714B" w:rsidRDefault="00B07CF2" w:rsidP="00E55426">
      <w:pPr>
        <w:tabs>
          <w:tab w:val="left" w:pos="720"/>
          <w:tab w:val="left" w:pos="1440"/>
        </w:tabs>
        <w:rPr>
          <w:rFonts w:cs="Times New Roman"/>
          <w:bCs/>
          <w:szCs w:val="26"/>
        </w:rPr>
      </w:pPr>
    </w:p>
    <w:p w14:paraId="1EEDB3C6" w14:textId="567EB5FE" w:rsidR="00B07CF2" w:rsidRPr="00F1714B" w:rsidRDefault="00B07CF2" w:rsidP="00E55426">
      <w:pPr>
        <w:keepNext/>
        <w:keepLines/>
        <w:tabs>
          <w:tab w:val="left" w:pos="720"/>
          <w:tab w:val="left" w:pos="1440"/>
        </w:tabs>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69645D" w:rsidRPr="00F1714B">
        <w:rPr>
          <w:rFonts w:cs="Times New Roman"/>
          <w:b/>
          <w:szCs w:val="26"/>
        </w:rPr>
        <w:t xml:space="preserve"> and Replies</w:t>
      </w:r>
    </w:p>
    <w:p w14:paraId="3BA6B205" w14:textId="72F0AD68" w:rsidR="00EF78A1" w:rsidRPr="00F1714B" w:rsidRDefault="00EF78A1" w:rsidP="00E55426">
      <w:pPr>
        <w:ind w:firstLine="720"/>
        <w:rPr>
          <w:rFonts w:cs="Times New Roman"/>
          <w:szCs w:val="26"/>
        </w:rPr>
      </w:pPr>
      <w:r w:rsidRPr="00F1714B">
        <w:rPr>
          <w:rFonts w:cs="Times New Roman"/>
          <w:szCs w:val="26"/>
        </w:rPr>
        <w:t xml:space="preserve">Verizon opposes the Commission’s proposed continuance of </w:t>
      </w:r>
      <w:r w:rsidR="00FD0F8B" w:rsidRPr="00F1714B">
        <w:rPr>
          <w:rFonts w:cs="Times New Roman"/>
          <w:szCs w:val="26"/>
        </w:rPr>
        <w:t>S</w:t>
      </w:r>
      <w:r w:rsidRPr="00F1714B">
        <w:rPr>
          <w:rFonts w:cs="Times New Roman"/>
          <w:szCs w:val="26"/>
        </w:rPr>
        <w:t>ections 63.31</w:t>
      </w:r>
      <w:r w:rsidR="00FD0F8B" w:rsidRPr="00F1714B">
        <w:rPr>
          <w:rFonts w:cs="Times New Roman"/>
          <w:szCs w:val="26"/>
        </w:rPr>
        <w:t xml:space="preserve"> </w:t>
      </w:r>
      <w:r w:rsidRPr="00F1714B">
        <w:rPr>
          <w:rFonts w:cs="Times New Roman"/>
          <w:szCs w:val="26"/>
        </w:rPr>
        <w:t xml:space="preserve">and 63.32 because in Verizon’s view, these rules perpetuate the FCC’s traditional Universal System of Accounts (USOA), a system which does not apply to price-cap carriers like Verizon and which the FCC has itself concluded is no longer justified. </w:t>
      </w:r>
      <w:r w:rsidR="00FD79A7" w:rsidRPr="00F1714B">
        <w:rPr>
          <w:rFonts w:cs="Times New Roman"/>
          <w:szCs w:val="26"/>
        </w:rPr>
        <w:t xml:space="preserve"> </w:t>
      </w:r>
      <w:r w:rsidRPr="00F1714B">
        <w:rPr>
          <w:rFonts w:cs="Times New Roman"/>
          <w:szCs w:val="26"/>
        </w:rPr>
        <w:t>Verizon Comments at 23.</w:t>
      </w:r>
      <w:r w:rsidR="00FD0F8B" w:rsidRPr="00F1714B">
        <w:rPr>
          <w:rFonts w:cs="Times New Roman"/>
          <w:szCs w:val="26"/>
        </w:rPr>
        <w:t xml:space="preserve">  </w:t>
      </w:r>
      <w:r w:rsidRPr="00F1714B">
        <w:rPr>
          <w:rFonts w:cs="Times New Roman"/>
          <w:szCs w:val="26"/>
        </w:rPr>
        <w:t>With respect to subsection 63.35</w:t>
      </w:r>
      <w:r w:rsidR="00FD0F8B" w:rsidRPr="00F1714B">
        <w:rPr>
          <w:rFonts w:cs="Times New Roman"/>
          <w:szCs w:val="26"/>
        </w:rPr>
        <w:t xml:space="preserve">, </w:t>
      </w:r>
      <w:r w:rsidRPr="00F1714B">
        <w:rPr>
          <w:rFonts w:cs="Times New Roman"/>
          <w:szCs w:val="26"/>
        </w:rPr>
        <w:t xml:space="preserve">Verizon opposes reinstatement of this rule because in Verizon’s view it merely restates FCC rules and has no legal consequence, other than creating a potential conflict in </w:t>
      </w:r>
      <w:r w:rsidR="00D7733C" w:rsidRPr="00F1714B">
        <w:rPr>
          <w:rFonts w:cs="Times New Roman"/>
          <w:szCs w:val="26"/>
        </w:rPr>
        <w:t xml:space="preserve">the event </w:t>
      </w:r>
      <w:r w:rsidRPr="00F1714B">
        <w:rPr>
          <w:rFonts w:cs="Times New Roman"/>
          <w:szCs w:val="26"/>
        </w:rPr>
        <w:t xml:space="preserve">the FCC waives or otherwise decides to not apply those rules. </w:t>
      </w:r>
      <w:bookmarkStart w:id="38" w:name="_Hlk75952190"/>
      <w:r w:rsidR="00FD79A7" w:rsidRPr="00F1714B">
        <w:rPr>
          <w:rFonts w:cs="Times New Roman"/>
          <w:szCs w:val="26"/>
        </w:rPr>
        <w:t xml:space="preserve"> </w:t>
      </w:r>
      <w:r w:rsidRPr="00F1714B">
        <w:rPr>
          <w:rFonts w:cs="Times New Roman"/>
          <w:szCs w:val="26"/>
        </w:rPr>
        <w:t>Verizon Comments at 23.</w:t>
      </w:r>
    </w:p>
    <w:p w14:paraId="1639677E" w14:textId="77777777" w:rsidR="005856F7" w:rsidRPr="00F1714B" w:rsidRDefault="005856F7" w:rsidP="00E55426">
      <w:pPr>
        <w:ind w:firstLine="720"/>
        <w:rPr>
          <w:rFonts w:cs="Times New Roman"/>
          <w:szCs w:val="26"/>
        </w:rPr>
      </w:pPr>
    </w:p>
    <w:bookmarkEnd w:id="38"/>
    <w:p w14:paraId="166C1511" w14:textId="022D0E90" w:rsidR="00B07CF2" w:rsidRPr="00F1714B" w:rsidRDefault="00B07CF2" w:rsidP="00E55426">
      <w:pPr>
        <w:keepNext/>
        <w:keepLines/>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452F7A" w:rsidRPr="00F1714B">
        <w:rPr>
          <w:rFonts w:cs="Times New Roman"/>
          <w:b/>
          <w:bCs/>
          <w:szCs w:val="26"/>
        </w:rPr>
        <w:t>.</w:t>
      </w:r>
      <w:r w:rsidRPr="00F1714B">
        <w:rPr>
          <w:rFonts w:cs="Times New Roman"/>
          <w:b/>
          <w:bCs/>
          <w:szCs w:val="26"/>
        </w:rPr>
        <w:tab/>
        <w:t>Discussion</w:t>
      </w:r>
      <w:r w:rsidR="00452F7A" w:rsidRPr="00F1714B">
        <w:rPr>
          <w:rFonts w:cs="Times New Roman"/>
          <w:b/>
          <w:bCs/>
          <w:szCs w:val="26"/>
        </w:rPr>
        <w:t xml:space="preserve"> and Resolution</w:t>
      </w:r>
    </w:p>
    <w:p w14:paraId="5A300768" w14:textId="4A1C5CBF" w:rsidR="00F124D5" w:rsidRPr="00F1714B" w:rsidRDefault="000C5CB2" w:rsidP="00E55426">
      <w:pPr>
        <w:tabs>
          <w:tab w:val="left" w:pos="720"/>
          <w:tab w:val="left" w:pos="1440"/>
        </w:tabs>
        <w:ind w:firstLine="720"/>
        <w:rPr>
          <w:rFonts w:cs="Times New Roman"/>
          <w:bCs/>
          <w:szCs w:val="26"/>
        </w:rPr>
      </w:pPr>
      <w:r w:rsidRPr="00F1714B">
        <w:rPr>
          <w:rFonts w:cs="Times New Roman"/>
          <w:bCs/>
          <w:szCs w:val="26"/>
        </w:rPr>
        <w:t>The Commission is persuaded by Verizon’s contention that Section 63.3</w:t>
      </w:r>
      <w:r w:rsidR="00034A0E" w:rsidRPr="00F1714B">
        <w:rPr>
          <w:rFonts w:cs="Times New Roman"/>
          <w:bCs/>
          <w:szCs w:val="26"/>
        </w:rPr>
        <w:t xml:space="preserve">2 </w:t>
      </w:r>
      <w:r w:rsidRPr="00F1714B">
        <w:rPr>
          <w:rFonts w:cs="Times New Roman"/>
          <w:bCs/>
          <w:szCs w:val="26"/>
        </w:rPr>
        <w:t xml:space="preserve">is no longer relevant to the regulation of </w:t>
      </w:r>
      <w:r w:rsidR="002A2AEE" w:rsidRPr="00F1714B">
        <w:rPr>
          <w:rFonts w:cs="Times New Roman"/>
          <w:bCs/>
          <w:szCs w:val="26"/>
        </w:rPr>
        <w:t xml:space="preserve">jurisdictional </w:t>
      </w:r>
      <w:r w:rsidR="00D03BE6" w:rsidRPr="00F1714B">
        <w:rPr>
          <w:rFonts w:cs="Times New Roman"/>
          <w:bCs/>
          <w:szCs w:val="26"/>
        </w:rPr>
        <w:t xml:space="preserve">LECs </w:t>
      </w:r>
      <w:r w:rsidRPr="00F1714B">
        <w:rPr>
          <w:rFonts w:cs="Times New Roman"/>
          <w:bCs/>
          <w:szCs w:val="26"/>
        </w:rPr>
        <w:t xml:space="preserve">under Chapter 30 of the Code and </w:t>
      </w:r>
      <w:r w:rsidR="00306F51" w:rsidRPr="00F1714B">
        <w:rPr>
          <w:rFonts w:cs="Times New Roman"/>
          <w:bCs/>
          <w:szCs w:val="26"/>
        </w:rPr>
        <w:t xml:space="preserve">its elimination would not </w:t>
      </w:r>
      <w:r w:rsidR="002A2AEE" w:rsidRPr="00F1714B">
        <w:rPr>
          <w:rFonts w:cs="Times New Roman"/>
          <w:bCs/>
          <w:szCs w:val="26"/>
        </w:rPr>
        <w:t>impede</w:t>
      </w:r>
      <w:r w:rsidRPr="00F1714B">
        <w:rPr>
          <w:rFonts w:cs="Times New Roman"/>
          <w:bCs/>
          <w:szCs w:val="26"/>
        </w:rPr>
        <w:t xml:space="preserve"> the Commission</w:t>
      </w:r>
      <w:r w:rsidR="00306F51" w:rsidRPr="00F1714B">
        <w:rPr>
          <w:rFonts w:cs="Times New Roman"/>
          <w:bCs/>
          <w:szCs w:val="26"/>
        </w:rPr>
        <w:t xml:space="preserve">’s </w:t>
      </w:r>
      <w:r w:rsidR="0047635C" w:rsidRPr="00F1714B">
        <w:rPr>
          <w:rFonts w:cs="Times New Roman"/>
          <w:bCs/>
          <w:szCs w:val="26"/>
        </w:rPr>
        <w:t xml:space="preserve">ability to regulate </w:t>
      </w:r>
      <w:r w:rsidR="002A2AEE" w:rsidRPr="00F1714B">
        <w:rPr>
          <w:rFonts w:cs="Times New Roman"/>
          <w:bCs/>
          <w:szCs w:val="26"/>
        </w:rPr>
        <w:t>those</w:t>
      </w:r>
      <w:r w:rsidR="00824387" w:rsidRPr="00F1714B">
        <w:rPr>
          <w:rFonts w:cs="Times New Roman"/>
          <w:bCs/>
          <w:szCs w:val="26"/>
        </w:rPr>
        <w:t xml:space="preserve"> </w:t>
      </w:r>
      <w:r w:rsidRPr="00F1714B">
        <w:rPr>
          <w:rFonts w:cs="Times New Roman"/>
          <w:bCs/>
          <w:szCs w:val="26"/>
        </w:rPr>
        <w:t xml:space="preserve">companies.  </w:t>
      </w:r>
      <w:r w:rsidR="003E736B" w:rsidRPr="00F1714B">
        <w:rPr>
          <w:rFonts w:cs="Times New Roman"/>
          <w:bCs/>
          <w:szCs w:val="26"/>
        </w:rPr>
        <w:t>Generally accepted accounting principles</w:t>
      </w:r>
      <w:r w:rsidR="00297EB1" w:rsidRPr="00F1714B">
        <w:rPr>
          <w:rFonts w:cs="Times New Roman"/>
          <w:bCs/>
          <w:szCs w:val="26"/>
        </w:rPr>
        <w:t xml:space="preserve"> or “</w:t>
      </w:r>
      <w:r w:rsidR="003E736B" w:rsidRPr="00F1714B">
        <w:rPr>
          <w:rFonts w:cs="Times New Roman"/>
          <w:bCs/>
          <w:szCs w:val="26"/>
        </w:rPr>
        <w:t>GAAP</w:t>
      </w:r>
      <w:r w:rsidR="00297EB1" w:rsidRPr="00F1714B">
        <w:rPr>
          <w:rFonts w:cs="Times New Roman"/>
          <w:bCs/>
          <w:szCs w:val="26"/>
        </w:rPr>
        <w:t>”</w:t>
      </w:r>
      <w:r w:rsidR="003E736B" w:rsidRPr="00F1714B">
        <w:rPr>
          <w:rFonts w:cs="Times New Roman"/>
          <w:bCs/>
          <w:szCs w:val="26"/>
        </w:rPr>
        <w:t xml:space="preserve"> </w:t>
      </w:r>
      <w:r w:rsidR="002A2AEE" w:rsidRPr="00F1714B">
        <w:rPr>
          <w:rFonts w:cs="Times New Roman"/>
          <w:bCs/>
          <w:szCs w:val="26"/>
        </w:rPr>
        <w:t xml:space="preserve">are </w:t>
      </w:r>
      <w:r w:rsidR="003E736B" w:rsidRPr="00F1714B">
        <w:rPr>
          <w:rFonts w:cs="Times New Roman"/>
          <w:bCs/>
          <w:szCs w:val="26"/>
        </w:rPr>
        <w:t>th</w:t>
      </w:r>
      <w:r w:rsidR="00D7733C" w:rsidRPr="00F1714B">
        <w:rPr>
          <w:rFonts w:cs="Times New Roman"/>
          <w:bCs/>
          <w:szCs w:val="26"/>
        </w:rPr>
        <w:t>e</w:t>
      </w:r>
      <w:r w:rsidR="003E736B" w:rsidRPr="00F1714B">
        <w:rPr>
          <w:rFonts w:cs="Times New Roman"/>
          <w:bCs/>
          <w:szCs w:val="26"/>
        </w:rPr>
        <w:t xml:space="preserve"> common set of accounting concepts, standards, procedures and conventions which are recognized by the accounting profession as a whole and upon which most nonregulated enterprises base their external financial statements and reports. </w:t>
      </w:r>
      <w:r w:rsidR="0038021C" w:rsidRPr="00F1714B">
        <w:rPr>
          <w:rFonts w:cs="Times New Roman"/>
          <w:bCs/>
          <w:szCs w:val="26"/>
        </w:rPr>
        <w:t xml:space="preserve"> </w:t>
      </w:r>
      <w:r w:rsidR="002A2AEE" w:rsidRPr="00F1714B">
        <w:rPr>
          <w:rFonts w:cs="Times New Roman"/>
          <w:bCs/>
          <w:szCs w:val="26"/>
        </w:rPr>
        <w:t xml:space="preserve">GAAP </w:t>
      </w:r>
      <w:r w:rsidR="003E736B" w:rsidRPr="00F1714B">
        <w:rPr>
          <w:rFonts w:cs="Times New Roman"/>
          <w:bCs/>
          <w:szCs w:val="26"/>
        </w:rPr>
        <w:t>directs the recording of financial events and transactions and relates to how assets, liabilities, revenues and expenses are to be identified, measured, and reported.</w:t>
      </w:r>
      <w:r w:rsidR="00297EB1" w:rsidRPr="00F1714B">
        <w:rPr>
          <w:rFonts w:cs="Times New Roman"/>
          <w:bCs/>
          <w:szCs w:val="26"/>
        </w:rPr>
        <w:t xml:space="preserve">  </w:t>
      </w:r>
      <w:r w:rsidR="00D4357E" w:rsidRPr="00F1714B">
        <w:rPr>
          <w:rFonts w:cs="Times New Roman"/>
          <w:bCs/>
          <w:szCs w:val="26"/>
        </w:rPr>
        <w:t xml:space="preserve">Thus, GAAP allows companies to determine their own system of accounts subject to certain principles.  </w:t>
      </w:r>
    </w:p>
    <w:p w14:paraId="2F850160" w14:textId="77777777" w:rsidR="00F124D5" w:rsidRPr="00F1714B" w:rsidRDefault="00F124D5" w:rsidP="00E55426">
      <w:pPr>
        <w:tabs>
          <w:tab w:val="left" w:pos="720"/>
          <w:tab w:val="left" w:pos="1440"/>
        </w:tabs>
        <w:ind w:firstLine="720"/>
        <w:rPr>
          <w:rFonts w:cs="Times New Roman"/>
          <w:bCs/>
          <w:szCs w:val="26"/>
        </w:rPr>
      </w:pPr>
    </w:p>
    <w:p w14:paraId="0570CDF5" w14:textId="5A64B27E" w:rsidR="00297EB1" w:rsidRPr="00F1714B" w:rsidRDefault="00F124D5" w:rsidP="00E55426">
      <w:pPr>
        <w:tabs>
          <w:tab w:val="left" w:pos="720"/>
          <w:tab w:val="left" w:pos="1440"/>
        </w:tabs>
        <w:ind w:firstLine="720"/>
        <w:rPr>
          <w:rFonts w:cs="Times New Roman"/>
          <w:bCs/>
          <w:szCs w:val="26"/>
        </w:rPr>
      </w:pPr>
      <w:r w:rsidRPr="00F1714B">
        <w:rPr>
          <w:rFonts w:cs="Times New Roman"/>
          <w:bCs/>
          <w:szCs w:val="26"/>
        </w:rPr>
        <w:t>We note that t</w:t>
      </w:r>
      <w:r w:rsidR="00297EB1" w:rsidRPr="00F1714B">
        <w:rPr>
          <w:rFonts w:cs="Times New Roman"/>
          <w:bCs/>
          <w:szCs w:val="26"/>
        </w:rPr>
        <w:t>he FCC had intended the U</w:t>
      </w:r>
      <w:r w:rsidR="0038021C" w:rsidRPr="00F1714B">
        <w:rPr>
          <w:rFonts w:cs="Times New Roman"/>
          <w:bCs/>
          <w:szCs w:val="26"/>
        </w:rPr>
        <w:t>niform System of Accounts (U</w:t>
      </w:r>
      <w:r w:rsidR="00297EB1" w:rsidRPr="00F1714B">
        <w:rPr>
          <w:rFonts w:cs="Times New Roman"/>
          <w:bCs/>
          <w:szCs w:val="26"/>
        </w:rPr>
        <w:t>SOA</w:t>
      </w:r>
      <w:r w:rsidR="0038021C" w:rsidRPr="00F1714B">
        <w:rPr>
          <w:rFonts w:cs="Times New Roman"/>
          <w:bCs/>
          <w:szCs w:val="26"/>
        </w:rPr>
        <w:t>)</w:t>
      </w:r>
      <w:r w:rsidR="00BE2A59" w:rsidRPr="00F1714B">
        <w:rPr>
          <w:rFonts w:cs="Times New Roman"/>
          <w:bCs/>
          <w:szCs w:val="26"/>
        </w:rPr>
        <w:t>,</w:t>
      </w:r>
      <w:r w:rsidR="00297EB1" w:rsidRPr="00F1714B">
        <w:rPr>
          <w:rFonts w:cs="Times New Roman"/>
          <w:bCs/>
          <w:szCs w:val="26"/>
        </w:rPr>
        <w:t xml:space="preserve"> which was codified in Part 32 of its regulations, 47 C.F.R. Part 32</w:t>
      </w:r>
      <w:r w:rsidR="00BE2A59" w:rsidRPr="00F1714B">
        <w:rPr>
          <w:rFonts w:cs="Times New Roman"/>
          <w:bCs/>
          <w:szCs w:val="26"/>
        </w:rPr>
        <w:t>,</w:t>
      </w:r>
      <w:r w:rsidR="00297EB1" w:rsidRPr="00F1714B">
        <w:rPr>
          <w:rFonts w:cs="Times New Roman"/>
          <w:bCs/>
          <w:szCs w:val="26"/>
        </w:rPr>
        <w:t xml:space="preserve"> to </w:t>
      </w:r>
      <w:r w:rsidR="0038021C" w:rsidRPr="00F1714B">
        <w:rPr>
          <w:rFonts w:cs="Times New Roman"/>
          <w:bCs/>
          <w:szCs w:val="26"/>
        </w:rPr>
        <w:t xml:space="preserve">complement </w:t>
      </w:r>
      <w:r w:rsidR="00297EB1" w:rsidRPr="00F1714B">
        <w:rPr>
          <w:rFonts w:cs="Times New Roman"/>
          <w:bCs/>
          <w:szCs w:val="26"/>
        </w:rPr>
        <w:t xml:space="preserve">GAAP to the extent regulatory considerations permit and Part 32 specified a chart of accounts </w:t>
      </w:r>
      <w:r w:rsidR="00297EB1" w:rsidRPr="00F1714B">
        <w:rPr>
          <w:rFonts w:cs="Times New Roman"/>
          <w:bCs/>
          <w:szCs w:val="26"/>
        </w:rPr>
        <w:lastRenderedPageBreak/>
        <w:t xml:space="preserve">and the types of transactions to be maintained in each account.  </w:t>
      </w:r>
      <w:r w:rsidR="0038021C" w:rsidRPr="00F1714B">
        <w:rPr>
          <w:rFonts w:cs="Times New Roman"/>
          <w:bCs/>
          <w:szCs w:val="26"/>
        </w:rPr>
        <w:t>In essence, the USOA was designed to complement rate-of-return regulation and the system of tariffed interstate access charges that incumbent LECs were required to follow at that time.</w:t>
      </w:r>
      <w:r w:rsidR="0038021C" w:rsidRPr="00F1714B">
        <w:rPr>
          <w:rStyle w:val="FootnoteReference"/>
          <w:rFonts w:cs="Times New Roman"/>
          <w:bCs/>
          <w:szCs w:val="26"/>
        </w:rPr>
        <w:footnoteReference w:id="59"/>
      </w:r>
    </w:p>
    <w:p w14:paraId="79C82778" w14:textId="5399E5A7" w:rsidR="003E736B" w:rsidRPr="00F1714B" w:rsidRDefault="003E736B" w:rsidP="00E55426">
      <w:pPr>
        <w:tabs>
          <w:tab w:val="left" w:pos="720"/>
          <w:tab w:val="left" w:pos="1440"/>
        </w:tabs>
        <w:ind w:firstLine="720"/>
        <w:rPr>
          <w:rFonts w:cs="Times New Roman"/>
          <w:bCs/>
          <w:szCs w:val="26"/>
        </w:rPr>
      </w:pPr>
    </w:p>
    <w:p w14:paraId="6D88D3E5" w14:textId="508155FF" w:rsidR="00555C06" w:rsidRPr="00F1714B" w:rsidRDefault="00297EB1" w:rsidP="00E55426">
      <w:pPr>
        <w:tabs>
          <w:tab w:val="left" w:pos="720"/>
          <w:tab w:val="left" w:pos="1440"/>
        </w:tabs>
        <w:ind w:firstLine="720"/>
        <w:rPr>
          <w:rFonts w:cs="Times New Roman"/>
          <w:bCs/>
          <w:szCs w:val="26"/>
        </w:rPr>
      </w:pPr>
      <w:r w:rsidRPr="00F1714B">
        <w:rPr>
          <w:rFonts w:cs="Times New Roman"/>
          <w:bCs/>
          <w:szCs w:val="26"/>
        </w:rPr>
        <w:t xml:space="preserve">In 2017, </w:t>
      </w:r>
      <w:r w:rsidR="00C77E7B" w:rsidRPr="00F1714B">
        <w:rPr>
          <w:rFonts w:cs="Times New Roman"/>
          <w:bCs/>
          <w:szCs w:val="26"/>
        </w:rPr>
        <w:t xml:space="preserve">the FCC took steps to streamline </w:t>
      </w:r>
      <w:r w:rsidR="00D4357E" w:rsidRPr="00F1714B">
        <w:rPr>
          <w:rFonts w:cs="Times New Roman"/>
          <w:bCs/>
          <w:szCs w:val="26"/>
        </w:rPr>
        <w:t xml:space="preserve">the </w:t>
      </w:r>
      <w:r w:rsidR="00C77E7B" w:rsidRPr="00F1714B">
        <w:rPr>
          <w:rFonts w:cs="Times New Roman"/>
          <w:bCs/>
          <w:szCs w:val="26"/>
        </w:rPr>
        <w:t>various accounting</w:t>
      </w:r>
      <w:r w:rsidR="00877046" w:rsidRPr="00F1714B">
        <w:rPr>
          <w:rFonts w:cs="Times New Roman"/>
          <w:bCs/>
          <w:szCs w:val="26"/>
        </w:rPr>
        <w:t xml:space="preserve"> </w:t>
      </w:r>
      <w:r w:rsidR="00C77E7B" w:rsidRPr="00F1714B">
        <w:rPr>
          <w:rFonts w:cs="Times New Roman"/>
          <w:bCs/>
          <w:szCs w:val="26"/>
        </w:rPr>
        <w:t xml:space="preserve">requirements for all carriers and eliminated certain accounting requirements for </w:t>
      </w:r>
      <w:r w:rsidR="0038336D" w:rsidRPr="00F1714B">
        <w:rPr>
          <w:rFonts w:cs="Times New Roman"/>
          <w:bCs/>
          <w:szCs w:val="26"/>
        </w:rPr>
        <w:t>its price cap carriers.</w:t>
      </w:r>
      <w:r w:rsidR="00526792" w:rsidRPr="00F1714B">
        <w:rPr>
          <w:rStyle w:val="FootnoteReference"/>
          <w:rFonts w:cs="Times New Roman"/>
          <w:bCs/>
          <w:szCs w:val="26"/>
        </w:rPr>
        <w:footnoteReference w:id="60"/>
      </w:r>
      <w:r w:rsidR="0038336D" w:rsidRPr="00F1714B">
        <w:rPr>
          <w:rFonts w:cs="Times New Roman"/>
          <w:bCs/>
          <w:szCs w:val="26"/>
        </w:rPr>
        <w:t xml:space="preserve">  </w:t>
      </w:r>
      <w:r w:rsidR="0021222A" w:rsidRPr="00F1714B">
        <w:rPr>
          <w:rFonts w:cs="Times New Roman"/>
          <w:bCs/>
          <w:szCs w:val="26"/>
        </w:rPr>
        <w:t xml:space="preserve">Specifically, the FCC eliminated the requirement that large carriers keep a separate set of regulatory accounting books in addition to their financial accounting books. Additionally, the FCC reduced the extent of FCC-specific accounts that must be maintained by all carriers.  Lastly, the FCC gave </w:t>
      </w:r>
      <w:r w:rsidR="00A11E90" w:rsidRPr="00F1714B">
        <w:rPr>
          <w:rFonts w:cs="Times New Roman"/>
          <w:bCs/>
          <w:szCs w:val="26"/>
        </w:rPr>
        <w:t>price cap carriers the option to elect generally accepted accounting principles, or GAAP, subject to certain conditions under its rules</w:t>
      </w:r>
      <w:r w:rsidR="0032423A" w:rsidRPr="00F1714B">
        <w:rPr>
          <w:rFonts w:cs="Times New Roman"/>
          <w:bCs/>
          <w:szCs w:val="26"/>
        </w:rPr>
        <w:t xml:space="preserve">. </w:t>
      </w:r>
      <w:r w:rsidR="00023B32" w:rsidRPr="00F1714B">
        <w:rPr>
          <w:rFonts w:cs="Times New Roman"/>
          <w:bCs/>
          <w:szCs w:val="26"/>
        </w:rPr>
        <w:t xml:space="preserve">GAAP allows companies to determine their own system of accounts subject to certain principles in the form of an overarching system of broad accounting guidelines that address the recording of assets, liabilities, and stockholders’ equity.  </w:t>
      </w:r>
    </w:p>
    <w:p w14:paraId="0CCD03C3" w14:textId="77777777" w:rsidR="00D7733C" w:rsidRPr="00F1714B" w:rsidRDefault="00D7733C" w:rsidP="00E55426">
      <w:pPr>
        <w:tabs>
          <w:tab w:val="left" w:pos="720"/>
          <w:tab w:val="left" w:pos="1440"/>
        </w:tabs>
        <w:ind w:firstLine="720"/>
        <w:rPr>
          <w:rFonts w:cs="Times New Roman"/>
          <w:bCs/>
          <w:szCs w:val="26"/>
        </w:rPr>
      </w:pPr>
    </w:p>
    <w:p w14:paraId="6F1C150A" w14:textId="2B6B19C2" w:rsidR="00EF78A1" w:rsidRPr="00F1714B" w:rsidRDefault="00C42B86" w:rsidP="00E55426">
      <w:pPr>
        <w:tabs>
          <w:tab w:val="left" w:pos="720"/>
          <w:tab w:val="left" w:pos="1440"/>
        </w:tabs>
        <w:ind w:firstLine="720"/>
        <w:rPr>
          <w:rFonts w:cs="Times New Roman"/>
          <w:bCs/>
          <w:szCs w:val="26"/>
        </w:rPr>
      </w:pPr>
      <w:r w:rsidRPr="00F1714B">
        <w:rPr>
          <w:rFonts w:cs="Times New Roman"/>
          <w:bCs/>
          <w:szCs w:val="26"/>
        </w:rPr>
        <w:t xml:space="preserve">In </w:t>
      </w:r>
      <w:r w:rsidR="000B4BD6" w:rsidRPr="00F1714B">
        <w:rPr>
          <w:rFonts w:cs="Times New Roman"/>
          <w:bCs/>
          <w:szCs w:val="26"/>
        </w:rPr>
        <w:t xml:space="preserve">the </w:t>
      </w:r>
      <w:r w:rsidR="000B4BD6" w:rsidRPr="00F1714B">
        <w:rPr>
          <w:rFonts w:cs="Times New Roman"/>
          <w:bCs/>
          <w:i/>
          <w:iCs/>
          <w:szCs w:val="26"/>
        </w:rPr>
        <w:t>NPRM Order</w:t>
      </w:r>
      <w:r w:rsidRPr="00F1714B">
        <w:rPr>
          <w:rFonts w:cs="Times New Roman"/>
          <w:bCs/>
          <w:szCs w:val="26"/>
        </w:rPr>
        <w:t xml:space="preserve">, we stated that absent information that explicitly details the use of any other accounting methods that would accurately preserve the accounting separations between the regulated and unregulated operations of a telecommunications utility, as well as the jurisdictional separation of its regulated operations in terms of appropriately classified categories of revenues, expenses and capital investments, we would retain Section 63.32.  </w:t>
      </w:r>
      <w:r w:rsidR="00AE1BCF" w:rsidRPr="00F1714B">
        <w:rPr>
          <w:rFonts w:cs="Times New Roman"/>
          <w:bCs/>
          <w:szCs w:val="26"/>
        </w:rPr>
        <w:t>However, we</w:t>
      </w:r>
      <w:r w:rsidR="00D4357E" w:rsidRPr="00F1714B">
        <w:rPr>
          <w:rFonts w:cs="Times New Roman"/>
          <w:bCs/>
          <w:szCs w:val="26"/>
        </w:rPr>
        <w:t xml:space="preserve"> </w:t>
      </w:r>
      <w:r w:rsidR="00AE1BCF" w:rsidRPr="00F1714B">
        <w:rPr>
          <w:rFonts w:cs="Times New Roman"/>
          <w:bCs/>
          <w:szCs w:val="26"/>
        </w:rPr>
        <w:t xml:space="preserve">now </w:t>
      </w:r>
      <w:r w:rsidR="00406049" w:rsidRPr="00F1714B">
        <w:rPr>
          <w:rFonts w:cs="Times New Roman"/>
          <w:bCs/>
          <w:szCs w:val="26"/>
        </w:rPr>
        <w:t xml:space="preserve">determine </w:t>
      </w:r>
      <w:r w:rsidRPr="00F1714B">
        <w:rPr>
          <w:rFonts w:cs="Times New Roman"/>
          <w:bCs/>
          <w:szCs w:val="26"/>
        </w:rPr>
        <w:t xml:space="preserve">here </w:t>
      </w:r>
      <w:r w:rsidR="00406049" w:rsidRPr="00F1714B">
        <w:rPr>
          <w:rFonts w:cs="Times New Roman"/>
          <w:bCs/>
          <w:szCs w:val="26"/>
        </w:rPr>
        <w:t>that f</w:t>
      </w:r>
      <w:r w:rsidR="00A11E90" w:rsidRPr="00F1714B">
        <w:rPr>
          <w:rFonts w:cs="Times New Roman"/>
          <w:bCs/>
          <w:szCs w:val="26"/>
        </w:rPr>
        <w:t xml:space="preserve">inancial accounting that conforms to GAAP will still provide </w:t>
      </w:r>
      <w:r w:rsidR="00555C06" w:rsidRPr="00F1714B">
        <w:rPr>
          <w:rFonts w:cs="Times New Roman"/>
          <w:bCs/>
          <w:szCs w:val="26"/>
        </w:rPr>
        <w:t xml:space="preserve">us </w:t>
      </w:r>
      <w:r w:rsidR="0032423A" w:rsidRPr="00F1714B">
        <w:rPr>
          <w:rFonts w:cs="Times New Roman"/>
          <w:bCs/>
          <w:szCs w:val="26"/>
        </w:rPr>
        <w:t xml:space="preserve">with the requisite </w:t>
      </w:r>
      <w:r w:rsidR="00A11E90" w:rsidRPr="00F1714B">
        <w:rPr>
          <w:rFonts w:cs="Times New Roman"/>
          <w:bCs/>
          <w:szCs w:val="26"/>
        </w:rPr>
        <w:t xml:space="preserve">data required for </w:t>
      </w:r>
      <w:r w:rsidR="008E5882" w:rsidRPr="00F1714B">
        <w:rPr>
          <w:rFonts w:cs="Times New Roman"/>
          <w:bCs/>
          <w:szCs w:val="26"/>
        </w:rPr>
        <w:t xml:space="preserve">all </w:t>
      </w:r>
      <w:r w:rsidR="00A11E90" w:rsidRPr="00F1714B">
        <w:rPr>
          <w:rFonts w:cs="Times New Roman"/>
          <w:bCs/>
          <w:szCs w:val="26"/>
        </w:rPr>
        <w:t>regulatory purpose</w:t>
      </w:r>
      <w:r w:rsidR="008E5882" w:rsidRPr="00F1714B">
        <w:rPr>
          <w:rFonts w:cs="Times New Roman"/>
          <w:bCs/>
          <w:szCs w:val="26"/>
        </w:rPr>
        <w:t xml:space="preserve">, including the </w:t>
      </w:r>
      <w:r w:rsidR="00EF78A1" w:rsidRPr="00F1714B">
        <w:rPr>
          <w:rFonts w:cs="Times New Roman"/>
          <w:bCs/>
          <w:szCs w:val="26"/>
        </w:rPr>
        <w:t>revenue, expense and capital investment classification that governs the submission of annual financial reports under Section 63.36.</w:t>
      </w:r>
      <w:r w:rsidR="00827806" w:rsidRPr="00F1714B">
        <w:rPr>
          <w:rFonts w:cs="Times New Roman"/>
          <w:bCs/>
          <w:szCs w:val="26"/>
        </w:rPr>
        <w:t xml:space="preserve">  Accordingly, we will eliminate</w:t>
      </w:r>
      <w:r w:rsidR="00E96DFA" w:rsidRPr="00F1714B">
        <w:rPr>
          <w:rFonts w:cs="Times New Roman"/>
          <w:bCs/>
          <w:szCs w:val="26"/>
        </w:rPr>
        <w:t xml:space="preserve"> Section 63.32 from Chapter 63</w:t>
      </w:r>
      <w:r w:rsidR="005705A2" w:rsidRPr="00F1714B">
        <w:rPr>
          <w:rFonts w:cs="Times New Roman"/>
          <w:bCs/>
          <w:szCs w:val="26"/>
        </w:rPr>
        <w:t xml:space="preserve"> of our regulations</w:t>
      </w:r>
      <w:r w:rsidR="00E96DFA" w:rsidRPr="00F1714B">
        <w:rPr>
          <w:rFonts w:cs="Times New Roman"/>
          <w:bCs/>
          <w:szCs w:val="26"/>
        </w:rPr>
        <w:t xml:space="preserve"> in the final-form regulation.</w:t>
      </w:r>
      <w:r w:rsidR="00BE2A59" w:rsidRPr="00F1714B">
        <w:rPr>
          <w:rFonts w:cs="Times New Roman"/>
          <w:bCs/>
          <w:szCs w:val="26"/>
        </w:rPr>
        <w:t xml:space="preserve">  </w:t>
      </w:r>
    </w:p>
    <w:p w14:paraId="3654C9B4" w14:textId="0733CAC0" w:rsidR="00FD0F8B" w:rsidRPr="00F1714B" w:rsidRDefault="00FD0F8B" w:rsidP="00E55426">
      <w:pPr>
        <w:ind w:firstLine="720"/>
        <w:contextualSpacing/>
        <w:rPr>
          <w:rFonts w:cs="Times New Roman"/>
          <w:bCs/>
          <w:szCs w:val="26"/>
        </w:rPr>
      </w:pPr>
      <w:r w:rsidRPr="00F1714B">
        <w:rPr>
          <w:rFonts w:cs="Times New Roman"/>
          <w:bCs/>
          <w:szCs w:val="26"/>
        </w:rPr>
        <w:lastRenderedPageBreak/>
        <w:t xml:space="preserve">We previously temporarily waived Sections 63.33 and 63.34 in the </w:t>
      </w:r>
      <w:r w:rsidRPr="00F1714B">
        <w:rPr>
          <w:rFonts w:cs="Times New Roman"/>
          <w:bCs/>
          <w:i/>
          <w:iCs/>
          <w:szCs w:val="26"/>
        </w:rPr>
        <w:t>Reclassification</w:t>
      </w:r>
      <w:r w:rsidRPr="00F1714B">
        <w:rPr>
          <w:rFonts w:cs="Times New Roman"/>
          <w:bCs/>
          <w:szCs w:val="26"/>
        </w:rPr>
        <w:t xml:space="preserve"> </w:t>
      </w:r>
      <w:r w:rsidRPr="00F1714B">
        <w:rPr>
          <w:rFonts w:cs="Times New Roman"/>
          <w:bCs/>
          <w:i/>
          <w:iCs/>
          <w:szCs w:val="26"/>
        </w:rPr>
        <w:t>Order</w:t>
      </w:r>
      <w:r w:rsidRPr="00F1714B">
        <w:rPr>
          <w:rFonts w:cs="Times New Roman"/>
          <w:bCs/>
          <w:szCs w:val="26"/>
        </w:rPr>
        <w:t xml:space="preserve"> and see no further purpose for their reinstatement in Chapter 63.  Therefore, we will permanently rescind </w:t>
      </w:r>
      <w:r w:rsidR="0006666D" w:rsidRPr="00F1714B">
        <w:rPr>
          <w:rFonts w:cs="Times New Roman"/>
          <w:bCs/>
          <w:szCs w:val="26"/>
        </w:rPr>
        <w:t>Sections 63.33 and 63.</w:t>
      </w:r>
      <w:r w:rsidR="00641D8B" w:rsidRPr="00F1714B">
        <w:rPr>
          <w:rFonts w:cs="Times New Roman"/>
          <w:bCs/>
          <w:szCs w:val="26"/>
        </w:rPr>
        <w:t>3</w:t>
      </w:r>
      <w:r w:rsidR="0006666D" w:rsidRPr="00F1714B">
        <w:rPr>
          <w:rFonts w:cs="Times New Roman"/>
          <w:bCs/>
          <w:szCs w:val="26"/>
        </w:rPr>
        <w:t xml:space="preserve">4 </w:t>
      </w:r>
      <w:r w:rsidRPr="00F1714B">
        <w:rPr>
          <w:rFonts w:cs="Times New Roman"/>
          <w:bCs/>
          <w:szCs w:val="26"/>
        </w:rPr>
        <w:t xml:space="preserve">from Chapter 63 </w:t>
      </w:r>
      <w:r w:rsidR="0006666D" w:rsidRPr="00F1714B">
        <w:rPr>
          <w:rFonts w:cs="Times New Roman"/>
          <w:bCs/>
          <w:szCs w:val="26"/>
        </w:rPr>
        <w:t>of ou</w:t>
      </w:r>
      <w:r w:rsidR="003F3EAA" w:rsidRPr="00F1714B">
        <w:rPr>
          <w:rFonts w:cs="Times New Roman"/>
          <w:bCs/>
          <w:szCs w:val="26"/>
        </w:rPr>
        <w:t>r</w:t>
      </w:r>
      <w:r w:rsidR="0006666D" w:rsidRPr="00F1714B">
        <w:rPr>
          <w:rFonts w:cs="Times New Roman"/>
          <w:bCs/>
          <w:szCs w:val="26"/>
        </w:rPr>
        <w:t xml:space="preserve"> regulations </w:t>
      </w:r>
      <w:r w:rsidRPr="00F1714B">
        <w:rPr>
          <w:rFonts w:cs="Times New Roman"/>
          <w:bCs/>
          <w:szCs w:val="26"/>
        </w:rPr>
        <w:t xml:space="preserve">in the final-form regulation.  </w:t>
      </w:r>
    </w:p>
    <w:p w14:paraId="166F284B" w14:textId="77777777" w:rsidR="00FD0F8B" w:rsidRPr="00F1714B" w:rsidRDefault="00FD0F8B" w:rsidP="00E55426">
      <w:pPr>
        <w:ind w:firstLine="720"/>
        <w:contextualSpacing/>
        <w:rPr>
          <w:rFonts w:cs="Times New Roman"/>
          <w:bCs/>
          <w:szCs w:val="26"/>
        </w:rPr>
      </w:pPr>
    </w:p>
    <w:p w14:paraId="49C46A25" w14:textId="0FFB0297" w:rsidR="00827806" w:rsidRPr="00F1714B" w:rsidRDefault="00FD0F8B" w:rsidP="002873B4">
      <w:pPr>
        <w:ind w:firstLine="720"/>
        <w:contextualSpacing/>
        <w:rPr>
          <w:rFonts w:cs="Times New Roman"/>
          <w:color w:val="000000"/>
          <w:szCs w:val="26"/>
        </w:rPr>
      </w:pPr>
      <w:r w:rsidRPr="00F1714B">
        <w:rPr>
          <w:rFonts w:cs="Times New Roman"/>
          <w:color w:val="000000"/>
          <w:szCs w:val="26"/>
        </w:rPr>
        <w:t xml:space="preserve">In the </w:t>
      </w:r>
      <w:r w:rsidRPr="00F1714B">
        <w:rPr>
          <w:rFonts w:cs="Times New Roman"/>
          <w:i/>
          <w:iCs/>
          <w:color w:val="000000"/>
          <w:szCs w:val="26"/>
        </w:rPr>
        <w:t>NPRM Order</w:t>
      </w:r>
      <w:r w:rsidRPr="00F1714B">
        <w:rPr>
          <w:rFonts w:cs="Times New Roman"/>
          <w:color w:val="000000"/>
          <w:szCs w:val="26"/>
        </w:rPr>
        <w:t>, we contemplated that Section 63.35 ha</w:t>
      </w:r>
      <w:r w:rsidR="002A2AEE" w:rsidRPr="00F1714B">
        <w:rPr>
          <w:rFonts w:cs="Times New Roman"/>
          <w:color w:val="000000"/>
          <w:szCs w:val="26"/>
        </w:rPr>
        <w:t>d</w:t>
      </w:r>
      <w:r w:rsidRPr="00F1714B">
        <w:rPr>
          <w:rFonts w:cs="Times New Roman"/>
          <w:color w:val="000000"/>
          <w:szCs w:val="26"/>
        </w:rPr>
        <w:t xml:space="preserve"> room for modernization though not full repeal.  We </w:t>
      </w:r>
      <w:r w:rsidR="00DD7D4E" w:rsidRPr="00F1714B">
        <w:rPr>
          <w:rFonts w:cs="Times New Roman"/>
          <w:color w:val="000000"/>
          <w:szCs w:val="26"/>
        </w:rPr>
        <w:t>proposed</w:t>
      </w:r>
      <w:r w:rsidRPr="00F1714B">
        <w:rPr>
          <w:rFonts w:cs="Times New Roman"/>
          <w:color w:val="000000"/>
          <w:szCs w:val="26"/>
        </w:rPr>
        <w:t xml:space="preserve"> to retain Section 63.35(a) while amending it to reflect the requirement that records be maintained per the requirements of the FCC and applicable Code of Federal Regulations (CFR) sections “as amended from time to time” or an equivalent.</w:t>
      </w:r>
      <w:r w:rsidR="00B448B5" w:rsidRPr="00F1714B">
        <w:rPr>
          <w:rFonts w:cs="Times New Roman"/>
          <w:color w:val="000000"/>
          <w:szCs w:val="26"/>
        </w:rPr>
        <w:t xml:space="preserve">  </w:t>
      </w:r>
      <w:r w:rsidR="0013597C" w:rsidRPr="00F1714B">
        <w:rPr>
          <w:rFonts w:cs="Times New Roman"/>
          <w:color w:val="000000"/>
          <w:szCs w:val="26"/>
        </w:rPr>
        <w:t xml:space="preserve">However, after reviewing comments and reply comments, we no longer see a need for this regulation.  </w:t>
      </w:r>
      <w:r w:rsidR="00E96DFA" w:rsidRPr="00F1714B">
        <w:rPr>
          <w:rFonts w:cs="Times New Roman"/>
          <w:color w:val="000000"/>
          <w:szCs w:val="26"/>
        </w:rPr>
        <w:t>A</w:t>
      </w:r>
      <w:r w:rsidR="00CC0E13" w:rsidRPr="00F1714B">
        <w:rPr>
          <w:rFonts w:cs="Times New Roman"/>
          <w:color w:val="000000"/>
          <w:szCs w:val="26"/>
        </w:rPr>
        <w:t>s Verizon has indicated</w:t>
      </w:r>
      <w:r w:rsidR="00EA0588" w:rsidRPr="00F1714B">
        <w:rPr>
          <w:rFonts w:cs="Times New Roman"/>
          <w:color w:val="000000"/>
          <w:szCs w:val="26"/>
        </w:rPr>
        <w:t xml:space="preserve">, </w:t>
      </w:r>
      <w:r w:rsidR="00CC0E13" w:rsidRPr="00F1714B">
        <w:rPr>
          <w:rFonts w:cs="Times New Roman"/>
          <w:color w:val="000000"/>
          <w:szCs w:val="26"/>
        </w:rPr>
        <w:t>t</w:t>
      </w:r>
      <w:r w:rsidR="00B448B5" w:rsidRPr="00F1714B">
        <w:rPr>
          <w:rFonts w:cs="Times New Roman"/>
          <w:color w:val="000000"/>
          <w:szCs w:val="26"/>
        </w:rPr>
        <w:t xml:space="preserve">o the extent </w:t>
      </w:r>
      <w:r w:rsidR="00EA0588" w:rsidRPr="00F1714B">
        <w:rPr>
          <w:rFonts w:cs="Times New Roman"/>
          <w:color w:val="000000"/>
          <w:szCs w:val="26"/>
        </w:rPr>
        <w:t>the</w:t>
      </w:r>
      <w:r w:rsidR="00B34FEA" w:rsidRPr="00F1714B">
        <w:rPr>
          <w:rFonts w:cs="Times New Roman"/>
          <w:color w:val="000000"/>
          <w:szCs w:val="26"/>
        </w:rPr>
        <w:t xml:space="preserve"> </w:t>
      </w:r>
      <w:r w:rsidR="00B448B5" w:rsidRPr="00F1714B">
        <w:rPr>
          <w:rFonts w:cs="Times New Roman"/>
          <w:color w:val="000000"/>
          <w:szCs w:val="26"/>
        </w:rPr>
        <w:t>FCC rules apply</w:t>
      </w:r>
      <w:r w:rsidR="00B34FEA" w:rsidRPr="00F1714B">
        <w:rPr>
          <w:rFonts w:cs="Times New Roman"/>
          <w:color w:val="000000"/>
          <w:szCs w:val="26"/>
        </w:rPr>
        <w:t xml:space="preserve">, </w:t>
      </w:r>
      <w:r w:rsidR="00B448B5" w:rsidRPr="00F1714B">
        <w:rPr>
          <w:rFonts w:cs="Times New Roman"/>
          <w:color w:val="000000"/>
          <w:szCs w:val="26"/>
        </w:rPr>
        <w:t xml:space="preserve">then companies are required to comply with them whether or not </w:t>
      </w:r>
      <w:r w:rsidR="00D7733C" w:rsidRPr="00F1714B">
        <w:rPr>
          <w:rFonts w:cs="Times New Roman"/>
          <w:color w:val="000000"/>
          <w:szCs w:val="26"/>
        </w:rPr>
        <w:t xml:space="preserve">states have their </w:t>
      </w:r>
      <w:r w:rsidR="00CC0E13" w:rsidRPr="00F1714B">
        <w:rPr>
          <w:rFonts w:cs="Times New Roman"/>
          <w:color w:val="000000"/>
          <w:szCs w:val="26"/>
        </w:rPr>
        <w:t xml:space="preserve">own </w:t>
      </w:r>
      <w:r w:rsidR="00B448B5" w:rsidRPr="00F1714B">
        <w:rPr>
          <w:rFonts w:cs="Times New Roman"/>
          <w:color w:val="000000"/>
          <w:szCs w:val="26"/>
        </w:rPr>
        <w:t>regulation.</w:t>
      </w:r>
      <w:r w:rsidR="00CC0E13" w:rsidRPr="00F1714B">
        <w:rPr>
          <w:rFonts w:cs="Times New Roman"/>
          <w:color w:val="000000"/>
          <w:szCs w:val="26"/>
        </w:rPr>
        <w:t xml:space="preserve">  </w:t>
      </w:r>
      <w:r w:rsidR="00B34FEA" w:rsidRPr="00F1714B">
        <w:rPr>
          <w:rFonts w:cs="Times New Roman"/>
          <w:color w:val="000000"/>
          <w:szCs w:val="26"/>
        </w:rPr>
        <w:t>Moreover, i</w:t>
      </w:r>
      <w:r w:rsidR="00CC0E13" w:rsidRPr="00F1714B">
        <w:rPr>
          <w:rFonts w:cs="Times New Roman"/>
          <w:color w:val="000000"/>
          <w:szCs w:val="26"/>
        </w:rPr>
        <w:t>f</w:t>
      </w:r>
      <w:r w:rsidR="00A82C7E" w:rsidRPr="00F1714B">
        <w:rPr>
          <w:rFonts w:cs="Times New Roman"/>
          <w:color w:val="000000"/>
          <w:szCs w:val="26"/>
        </w:rPr>
        <w:t xml:space="preserve"> the Commission chooses to request </w:t>
      </w:r>
      <w:r w:rsidR="006F20CC" w:rsidRPr="00F1714B">
        <w:rPr>
          <w:rFonts w:cs="Times New Roman"/>
          <w:color w:val="000000"/>
          <w:szCs w:val="26"/>
        </w:rPr>
        <w:t xml:space="preserve">a copy of </w:t>
      </w:r>
      <w:r w:rsidR="007415F4" w:rsidRPr="00F1714B">
        <w:rPr>
          <w:rFonts w:cs="Times New Roman"/>
          <w:color w:val="000000"/>
          <w:szCs w:val="26"/>
        </w:rPr>
        <w:t xml:space="preserve">any of </w:t>
      </w:r>
      <w:r w:rsidR="00D7733C" w:rsidRPr="00F1714B">
        <w:rPr>
          <w:rFonts w:cs="Times New Roman"/>
          <w:color w:val="000000"/>
          <w:szCs w:val="26"/>
        </w:rPr>
        <w:t xml:space="preserve">the </w:t>
      </w:r>
      <w:r w:rsidR="006F20CC" w:rsidRPr="00F1714B">
        <w:rPr>
          <w:rFonts w:cs="Times New Roman"/>
          <w:color w:val="000000"/>
          <w:szCs w:val="26"/>
        </w:rPr>
        <w:t>reports</w:t>
      </w:r>
      <w:r w:rsidR="007415F4" w:rsidRPr="00F1714B">
        <w:rPr>
          <w:rFonts w:cs="Times New Roman"/>
          <w:color w:val="000000"/>
          <w:szCs w:val="26"/>
        </w:rPr>
        <w:t xml:space="preserve"> requested by the FCC, it has statutory authority under Sections 504 and 506 of the Code, 66 Pa.C.S. §§ 504, 506</w:t>
      </w:r>
      <w:r w:rsidR="00EA0588" w:rsidRPr="00F1714B">
        <w:rPr>
          <w:rFonts w:cs="Times New Roman"/>
          <w:color w:val="000000"/>
          <w:szCs w:val="26"/>
        </w:rPr>
        <w:t>, to obtain them</w:t>
      </w:r>
      <w:r w:rsidR="00B448B5" w:rsidRPr="00F1714B">
        <w:rPr>
          <w:rFonts w:cs="Times New Roman"/>
          <w:color w:val="000000"/>
          <w:szCs w:val="26"/>
        </w:rPr>
        <w:t>.</w:t>
      </w:r>
      <w:r w:rsidR="00B34FEA" w:rsidRPr="00F1714B">
        <w:rPr>
          <w:rFonts w:cs="Times New Roman"/>
          <w:color w:val="000000"/>
          <w:szCs w:val="26"/>
        </w:rPr>
        <w:t xml:space="preserve">  We now deem Section 63</w:t>
      </w:r>
      <w:r w:rsidR="00B70389" w:rsidRPr="00F1714B">
        <w:rPr>
          <w:rFonts w:cs="Times New Roman"/>
          <w:color w:val="000000"/>
          <w:szCs w:val="26"/>
        </w:rPr>
        <w:t>.</w:t>
      </w:r>
      <w:r w:rsidR="00433157" w:rsidRPr="00F1714B">
        <w:rPr>
          <w:rFonts w:cs="Times New Roman"/>
          <w:color w:val="000000"/>
          <w:szCs w:val="26"/>
        </w:rPr>
        <w:t>3</w:t>
      </w:r>
      <w:r w:rsidR="00B34FEA" w:rsidRPr="00F1714B">
        <w:rPr>
          <w:rFonts w:cs="Times New Roman"/>
          <w:color w:val="000000"/>
          <w:szCs w:val="26"/>
        </w:rPr>
        <w:t xml:space="preserve">5(a) to be </w:t>
      </w:r>
      <w:r w:rsidR="00EA0588" w:rsidRPr="00F1714B">
        <w:rPr>
          <w:rFonts w:cs="Times New Roman"/>
          <w:color w:val="000000"/>
          <w:szCs w:val="26"/>
        </w:rPr>
        <w:t>unnecessary</w:t>
      </w:r>
      <w:r w:rsidR="00B34FEA" w:rsidRPr="00F1714B">
        <w:rPr>
          <w:rFonts w:cs="Times New Roman"/>
          <w:color w:val="000000"/>
          <w:szCs w:val="26"/>
        </w:rPr>
        <w:t xml:space="preserve"> and superfluous and will eliminate it from Chapter 63 in the final-form regulation.</w:t>
      </w:r>
      <w:r w:rsidR="00A01483" w:rsidRPr="00F1714B">
        <w:rPr>
          <w:rFonts w:cs="Times New Roman"/>
          <w:color w:val="000000"/>
          <w:szCs w:val="26"/>
        </w:rPr>
        <w:t xml:space="preserve">  </w:t>
      </w:r>
    </w:p>
    <w:p w14:paraId="124B9568" w14:textId="77777777" w:rsidR="00C42B86" w:rsidRPr="00F1714B" w:rsidRDefault="00C42B86" w:rsidP="00E55426">
      <w:pPr>
        <w:ind w:firstLine="720"/>
        <w:contextualSpacing/>
        <w:rPr>
          <w:rFonts w:cs="Times New Roman"/>
          <w:color w:val="000000"/>
          <w:szCs w:val="26"/>
        </w:rPr>
      </w:pPr>
    </w:p>
    <w:p w14:paraId="708BE926" w14:textId="43453D61" w:rsidR="00FD0F8B" w:rsidRPr="00F1714B" w:rsidRDefault="00B34FEA" w:rsidP="00E55426">
      <w:pPr>
        <w:ind w:firstLine="720"/>
        <w:contextualSpacing/>
        <w:rPr>
          <w:rFonts w:cs="Times New Roman"/>
          <w:color w:val="000000"/>
          <w:szCs w:val="26"/>
        </w:rPr>
      </w:pPr>
      <w:r w:rsidRPr="00F1714B">
        <w:rPr>
          <w:rFonts w:cs="Times New Roman"/>
          <w:color w:val="000000"/>
          <w:szCs w:val="26"/>
        </w:rPr>
        <w:t xml:space="preserve">However, </w:t>
      </w:r>
      <w:r w:rsidR="00E96DFA" w:rsidRPr="00F1714B">
        <w:rPr>
          <w:rFonts w:cs="Times New Roman"/>
          <w:bCs/>
          <w:color w:val="000000"/>
          <w:szCs w:val="26"/>
        </w:rPr>
        <w:t xml:space="preserve">to be clear, we are not eliminating all of the Subchapter C regulations. </w:t>
      </w:r>
      <w:r w:rsidR="00827806" w:rsidRPr="00F1714B">
        <w:rPr>
          <w:rFonts w:cs="Times New Roman"/>
          <w:color w:val="000000"/>
          <w:szCs w:val="26"/>
        </w:rPr>
        <w:t xml:space="preserve">As we stated in the </w:t>
      </w:r>
      <w:r w:rsidR="00827806" w:rsidRPr="00F1714B">
        <w:rPr>
          <w:rFonts w:cs="Times New Roman"/>
          <w:i/>
          <w:iCs/>
          <w:color w:val="000000"/>
          <w:szCs w:val="26"/>
        </w:rPr>
        <w:t>NPRM Order</w:t>
      </w:r>
      <w:r w:rsidR="00827806" w:rsidRPr="00F1714B">
        <w:rPr>
          <w:rFonts w:cs="Times New Roman"/>
          <w:color w:val="000000"/>
          <w:szCs w:val="26"/>
        </w:rPr>
        <w:t xml:space="preserve">, telecommunications public utilities may continue to have a need for these or similar records for other regulatory purposes.  </w:t>
      </w:r>
      <w:r w:rsidR="00886519" w:rsidRPr="00F1714B">
        <w:rPr>
          <w:rFonts w:cs="Times New Roman"/>
          <w:color w:val="000000"/>
          <w:szCs w:val="26"/>
        </w:rPr>
        <w:t xml:space="preserve">Therefore, </w:t>
      </w:r>
      <w:r w:rsidR="00A01483" w:rsidRPr="00F1714B">
        <w:rPr>
          <w:rFonts w:cs="Times New Roman"/>
          <w:color w:val="000000"/>
          <w:szCs w:val="26"/>
        </w:rPr>
        <w:t xml:space="preserve">we are </w:t>
      </w:r>
      <w:r w:rsidR="00886519" w:rsidRPr="00F1714B">
        <w:rPr>
          <w:rFonts w:cs="Times New Roman"/>
          <w:color w:val="000000"/>
          <w:szCs w:val="26"/>
        </w:rPr>
        <w:t xml:space="preserve">retaining our </w:t>
      </w:r>
      <w:r w:rsidR="00A01483" w:rsidRPr="00F1714B">
        <w:rPr>
          <w:rFonts w:cs="Times New Roman"/>
          <w:color w:val="000000"/>
          <w:szCs w:val="26"/>
        </w:rPr>
        <w:t>modified version of 63.</w:t>
      </w:r>
      <w:r w:rsidR="00433157" w:rsidRPr="00F1714B">
        <w:rPr>
          <w:rFonts w:cs="Times New Roman"/>
          <w:color w:val="000000"/>
          <w:szCs w:val="26"/>
        </w:rPr>
        <w:t>3</w:t>
      </w:r>
      <w:r w:rsidR="00A01483" w:rsidRPr="00F1714B">
        <w:rPr>
          <w:rFonts w:cs="Times New Roman"/>
          <w:color w:val="000000"/>
          <w:szCs w:val="26"/>
        </w:rPr>
        <w:t>5</w:t>
      </w:r>
      <w:r w:rsidR="00886519" w:rsidRPr="00F1714B">
        <w:rPr>
          <w:rFonts w:cs="Times New Roman"/>
          <w:color w:val="000000"/>
          <w:szCs w:val="26"/>
        </w:rPr>
        <w:t xml:space="preserve">(b) </w:t>
      </w:r>
      <w:r w:rsidR="00A01483" w:rsidRPr="00F1714B">
        <w:rPr>
          <w:rFonts w:cs="Times New Roman"/>
          <w:color w:val="000000"/>
          <w:szCs w:val="26"/>
        </w:rPr>
        <w:t>in the final-form regulation</w:t>
      </w:r>
      <w:r w:rsidR="00CE3C1D" w:rsidRPr="00F1714B">
        <w:rPr>
          <w:rFonts w:cs="Times New Roman"/>
          <w:color w:val="000000"/>
          <w:szCs w:val="26"/>
        </w:rPr>
        <w:t xml:space="preserve"> subject to certain necessary revisions for clarification purposes.</w:t>
      </w:r>
    </w:p>
    <w:p w14:paraId="22928036" w14:textId="77777777" w:rsidR="00E33DB9" w:rsidRPr="00F1714B" w:rsidRDefault="00E33DB9" w:rsidP="00E55426">
      <w:pPr>
        <w:ind w:firstLine="720"/>
        <w:contextualSpacing/>
        <w:rPr>
          <w:rFonts w:cs="Times New Roman"/>
          <w:color w:val="000000"/>
          <w:szCs w:val="26"/>
        </w:rPr>
      </w:pPr>
    </w:p>
    <w:p w14:paraId="3C477AD0" w14:textId="087B6B04" w:rsidR="00DE2C46" w:rsidRPr="00F1714B" w:rsidRDefault="00827806" w:rsidP="00E55426">
      <w:pPr>
        <w:tabs>
          <w:tab w:val="left" w:pos="720"/>
          <w:tab w:val="left" w:pos="1440"/>
        </w:tabs>
        <w:rPr>
          <w:rFonts w:cs="Times New Roman"/>
          <w:b/>
          <w:szCs w:val="26"/>
        </w:rPr>
      </w:pPr>
      <w:r w:rsidRPr="00F1714B">
        <w:rPr>
          <w:rFonts w:cs="Times New Roman"/>
          <w:bCs/>
          <w:szCs w:val="26"/>
        </w:rPr>
        <w:tab/>
      </w:r>
      <w:r w:rsidR="00216B0A" w:rsidRPr="00F1714B">
        <w:rPr>
          <w:rFonts w:cs="Times New Roman"/>
          <w:bCs/>
          <w:szCs w:val="26"/>
        </w:rPr>
        <w:t xml:space="preserve">  </w:t>
      </w:r>
      <w:r w:rsidR="00EF78A1" w:rsidRPr="00F1714B">
        <w:rPr>
          <w:rFonts w:cs="Times New Roman"/>
          <w:bCs/>
          <w:szCs w:val="26"/>
        </w:rPr>
        <w:t xml:space="preserve"> </w:t>
      </w:r>
      <w:r w:rsidR="00B07CF2" w:rsidRPr="00F1714B">
        <w:rPr>
          <w:rFonts w:cs="Times New Roman"/>
          <w:b/>
          <w:bCs/>
          <w:szCs w:val="26"/>
        </w:rPr>
        <w:tab/>
      </w:r>
      <w:r w:rsidR="00DE2C46" w:rsidRPr="00F1714B">
        <w:rPr>
          <w:rFonts w:cs="Times New Roman"/>
          <w:b/>
          <w:szCs w:val="26"/>
        </w:rPr>
        <w:t>2.</w:t>
      </w:r>
      <w:r w:rsidR="00DE2C46" w:rsidRPr="00F1714B">
        <w:rPr>
          <w:rFonts w:cs="Times New Roman"/>
          <w:b/>
          <w:szCs w:val="26"/>
        </w:rPr>
        <w:tab/>
        <w:t>52 Pa. Code § 63.36—63.37</w:t>
      </w:r>
    </w:p>
    <w:p w14:paraId="610EA108" w14:textId="2563F885" w:rsidR="001B3461" w:rsidRPr="00F1714B" w:rsidRDefault="00DE2C46" w:rsidP="00E55426">
      <w:pPr>
        <w:tabs>
          <w:tab w:val="left" w:pos="720"/>
          <w:tab w:val="left" w:pos="1440"/>
        </w:tabs>
        <w:rPr>
          <w:rFonts w:cs="Times New Roman"/>
          <w:bCs/>
          <w:szCs w:val="26"/>
        </w:rPr>
      </w:pPr>
      <w:r w:rsidRPr="00F1714B">
        <w:rPr>
          <w:rFonts w:cs="Times New Roman"/>
          <w:bCs/>
          <w:szCs w:val="26"/>
        </w:rPr>
        <w:tab/>
      </w:r>
      <w:r w:rsidR="00BE050B" w:rsidRPr="00F1714B">
        <w:rPr>
          <w:rFonts w:cs="Times New Roman"/>
          <w:bCs/>
          <w:szCs w:val="26"/>
        </w:rPr>
        <w:t>W</w:t>
      </w:r>
      <w:r w:rsidR="001B3461" w:rsidRPr="00F1714B">
        <w:rPr>
          <w:rFonts w:cs="Times New Roman"/>
          <w:bCs/>
          <w:szCs w:val="26"/>
        </w:rPr>
        <w:t xml:space="preserve">e still consider Section 63.36 (Filing of annual financial reports) necessary since there are statutory reporting mandates under 66 Pa.C.S. § 3015(e) including requiring LECs to file an annual financial report.  </w:t>
      </w:r>
      <w:r w:rsidR="00B54D6F" w:rsidRPr="00F1714B">
        <w:rPr>
          <w:rFonts w:cs="Times New Roman"/>
          <w:bCs/>
          <w:szCs w:val="26"/>
        </w:rPr>
        <w:t xml:space="preserve">Additionally, we noted that </w:t>
      </w:r>
      <w:r w:rsidR="001B3461" w:rsidRPr="00F1714B">
        <w:rPr>
          <w:rFonts w:cs="Times New Roman"/>
          <w:bCs/>
          <w:szCs w:val="26"/>
        </w:rPr>
        <w:t xml:space="preserve">there </w:t>
      </w:r>
      <w:r w:rsidR="00596AC0" w:rsidRPr="00F1714B">
        <w:rPr>
          <w:rFonts w:cs="Times New Roman"/>
          <w:bCs/>
          <w:szCs w:val="26"/>
        </w:rPr>
        <w:t xml:space="preserve">were </w:t>
      </w:r>
      <w:r w:rsidR="001B3461" w:rsidRPr="00F1714B">
        <w:rPr>
          <w:rFonts w:cs="Times New Roman"/>
          <w:bCs/>
          <w:szCs w:val="26"/>
        </w:rPr>
        <w:t xml:space="preserve">no objections to retaining Section 63.37 (Operation of the Telecommunications Relay </w:t>
      </w:r>
      <w:r w:rsidR="001B3461" w:rsidRPr="00F1714B">
        <w:rPr>
          <w:rFonts w:cs="Times New Roman"/>
          <w:bCs/>
          <w:szCs w:val="26"/>
        </w:rPr>
        <w:lastRenderedPageBreak/>
        <w:t>Service System and Relay Service Fund)</w:t>
      </w:r>
      <w:r w:rsidR="00596AC0" w:rsidRPr="00F1714B">
        <w:rPr>
          <w:rFonts w:cs="Times New Roman"/>
          <w:bCs/>
          <w:szCs w:val="26"/>
        </w:rPr>
        <w:t xml:space="preserve"> as t</w:t>
      </w:r>
      <w:r w:rsidR="001B3461" w:rsidRPr="00F1714B">
        <w:rPr>
          <w:rFonts w:cs="Times New Roman"/>
          <w:bCs/>
          <w:szCs w:val="26"/>
        </w:rPr>
        <w:t>he information required by the regulation is necessary to calculate the annual surcharge to support the relay service programs and, therefore, remains relevant.</w:t>
      </w:r>
      <w:r w:rsidR="007007B9" w:rsidRPr="00F1714B">
        <w:rPr>
          <w:rFonts w:cs="Times New Roman"/>
          <w:bCs/>
          <w:szCs w:val="26"/>
        </w:rPr>
        <w:t xml:space="preserve">  For these reasons, the Commission proposed to retain Sections 63.36 and 63.37.  </w:t>
      </w:r>
    </w:p>
    <w:p w14:paraId="09448D1F" w14:textId="77777777" w:rsidR="001B3461" w:rsidRPr="00F1714B" w:rsidRDefault="001B3461" w:rsidP="00E55426">
      <w:pPr>
        <w:tabs>
          <w:tab w:val="left" w:pos="720"/>
          <w:tab w:val="left" w:pos="1440"/>
        </w:tabs>
        <w:ind w:firstLine="720"/>
        <w:rPr>
          <w:rFonts w:cs="Times New Roman"/>
          <w:bCs/>
          <w:szCs w:val="26"/>
        </w:rPr>
      </w:pPr>
    </w:p>
    <w:p w14:paraId="3B85B382" w14:textId="01C53D2B" w:rsidR="00A833C0" w:rsidRPr="00F1714B" w:rsidRDefault="00A833C0" w:rsidP="00E55426">
      <w:pPr>
        <w:tabs>
          <w:tab w:val="left" w:pos="720"/>
          <w:tab w:val="left" w:pos="1440"/>
        </w:tabs>
        <w:jc w:val="both"/>
        <w:rPr>
          <w:rFonts w:cs="Times New Roman"/>
          <w:b/>
          <w:bCs/>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bCs/>
          <w:szCs w:val="26"/>
        </w:rPr>
        <w:t>.</w:t>
      </w:r>
      <w:r w:rsidRPr="00F1714B">
        <w:rPr>
          <w:rFonts w:cs="Times New Roman"/>
          <w:b/>
          <w:bCs/>
          <w:szCs w:val="26"/>
        </w:rPr>
        <w:tab/>
        <w:t>Comments</w:t>
      </w:r>
      <w:r w:rsidR="005566C0" w:rsidRPr="00F1714B">
        <w:rPr>
          <w:rFonts w:cs="Times New Roman"/>
          <w:b/>
          <w:bCs/>
          <w:szCs w:val="26"/>
        </w:rPr>
        <w:t xml:space="preserve"> and Replies</w:t>
      </w:r>
    </w:p>
    <w:p w14:paraId="40928997" w14:textId="06772DC2" w:rsidR="00A833C0" w:rsidRPr="00F1714B" w:rsidRDefault="00A833C0" w:rsidP="00E55426">
      <w:pPr>
        <w:rPr>
          <w:rFonts w:cs="Times New Roman"/>
          <w:szCs w:val="26"/>
        </w:rPr>
      </w:pPr>
      <w:r w:rsidRPr="00F1714B">
        <w:rPr>
          <w:rFonts w:cs="Times New Roman"/>
          <w:szCs w:val="26"/>
        </w:rPr>
        <w:tab/>
      </w:r>
      <w:r w:rsidR="00452F7A" w:rsidRPr="00F1714B">
        <w:rPr>
          <w:rFonts w:cs="Times New Roman"/>
          <w:szCs w:val="26"/>
        </w:rPr>
        <w:t>No party has filed comments or replies regarding our proposed modification to this rule.</w:t>
      </w:r>
    </w:p>
    <w:p w14:paraId="252325C6" w14:textId="77777777" w:rsidR="00452F7A" w:rsidRPr="00F1714B" w:rsidRDefault="00452F7A" w:rsidP="00E55426">
      <w:pPr>
        <w:rPr>
          <w:rFonts w:cs="Times New Roman"/>
          <w:szCs w:val="26"/>
        </w:rPr>
      </w:pPr>
    </w:p>
    <w:p w14:paraId="4F8DE87F" w14:textId="7EE561D2" w:rsidR="00C31EFD" w:rsidRPr="00F1714B" w:rsidRDefault="00A833C0" w:rsidP="00E55426">
      <w:pPr>
        <w:tabs>
          <w:tab w:val="left" w:pos="720"/>
          <w:tab w:val="left" w:pos="1440"/>
        </w:tabs>
        <w:jc w:val="both"/>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855967" w:rsidRPr="00F1714B">
        <w:rPr>
          <w:rFonts w:cs="Times New Roman"/>
          <w:b/>
          <w:bCs/>
          <w:szCs w:val="26"/>
        </w:rPr>
        <w:t>.</w:t>
      </w:r>
      <w:r w:rsidRPr="00F1714B">
        <w:rPr>
          <w:rFonts w:cs="Times New Roman"/>
          <w:b/>
          <w:bCs/>
          <w:szCs w:val="26"/>
        </w:rPr>
        <w:tab/>
        <w:t>Discussion</w:t>
      </w:r>
      <w:r w:rsidR="00452F7A" w:rsidRPr="00F1714B">
        <w:rPr>
          <w:rFonts w:cs="Times New Roman"/>
          <w:b/>
          <w:bCs/>
          <w:szCs w:val="26"/>
        </w:rPr>
        <w:t xml:space="preserve"> and </w:t>
      </w:r>
      <w:r w:rsidRPr="00F1714B">
        <w:rPr>
          <w:rFonts w:cs="Times New Roman"/>
          <w:b/>
          <w:bCs/>
          <w:szCs w:val="26"/>
        </w:rPr>
        <w:t>Resolution</w:t>
      </w:r>
    </w:p>
    <w:p w14:paraId="1C768631" w14:textId="365C4FB7" w:rsidR="00452F7A" w:rsidRPr="00F1714B" w:rsidRDefault="00452F7A" w:rsidP="002A5F6D">
      <w:pPr>
        <w:keepNext/>
        <w:keepLines/>
        <w:tabs>
          <w:tab w:val="left" w:pos="720"/>
          <w:tab w:val="left" w:pos="1440"/>
        </w:tabs>
        <w:rPr>
          <w:rFonts w:cs="Times New Roman"/>
          <w:szCs w:val="26"/>
        </w:rPr>
      </w:pPr>
      <w:r w:rsidRPr="00F1714B">
        <w:rPr>
          <w:rFonts w:cs="Times New Roman"/>
          <w:szCs w:val="26"/>
        </w:rPr>
        <w:tab/>
        <w:t xml:space="preserve">Since no party has filed any adverse comments regarding our proposed retention of Sections 63.36 and 63.37 </w:t>
      </w:r>
      <w:r w:rsidR="00FC0D84" w:rsidRPr="00F1714B">
        <w:rPr>
          <w:rFonts w:cs="Times New Roman"/>
          <w:szCs w:val="26"/>
        </w:rPr>
        <w:t>in Chapter 63 of Title 52 of the Pa. Code</w:t>
      </w:r>
      <w:r w:rsidR="008135C3" w:rsidRPr="00F1714B">
        <w:rPr>
          <w:rFonts w:cs="Times New Roman"/>
          <w:szCs w:val="26"/>
        </w:rPr>
        <w:t>,</w:t>
      </w:r>
      <w:r w:rsidR="00FC0D84" w:rsidRPr="00F1714B">
        <w:rPr>
          <w:rFonts w:cs="Times New Roman"/>
          <w:szCs w:val="26"/>
        </w:rPr>
        <w:t xml:space="preserve"> we </w:t>
      </w:r>
      <w:r w:rsidR="0066236A" w:rsidRPr="00F1714B">
        <w:rPr>
          <w:rFonts w:cs="Times New Roman"/>
          <w:szCs w:val="26"/>
        </w:rPr>
        <w:t>will</w:t>
      </w:r>
      <w:r w:rsidR="00E94454" w:rsidRPr="00F1714B">
        <w:rPr>
          <w:rFonts w:cs="Times New Roman"/>
          <w:szCs w:val="26"/>
        </w:rPr>
        <w:t xml:space="preserve"> retain them “as is” and not incorporate them within </w:t>
      </w:r>
      <w:r w:rsidR="00F847CC" w:rsidRPr="00F1714B">
        <w:rPr>
          <w:rFonts w:cs="Times New Roman"/>
          <w:szCs w:val="26"/>
        </w:rPr>
        <w:t xml:space="preserve">the final-form regulation set forth in </w:t>
      </w:r>
      <w:r w:rsidR="005226FB" w:rsidRPr="00F1714B">
        <w:rPr>
          <w:rFonts w:cs="Times New Roman"/>
          <w:szCs w:val="26"/>
        </w:rPr>
        <w:t>the Annex</w:t>
      </w:r>
      <w:r w:rsidRPr="00F1714B">
        <w:rPr>
          <w:rFonts w:cs="Times New Roman"/>
          <w:szCs w:val="26"/>
        </w:rPr>
        <w:t>.</w:t>
      </w:r>
    </w:p>
    <w:p w14:paraId="116AE59C" w14:textId="77777777" w:rsidR="00F603BF" w:rsidRPr="00F1714B" w:rsidRDefault="00F603BF" w:rsidP="002A5F6D">
      <w:pPr>
        <w:ind w:left="720"/>
        <w:rPr>
          <w:rFonts w:cs="Times New Roman"/>
          <w:b/>
          <w:bCs/>
          <w:szCs w:val="26"/>
        </w:rPr>
      </w:pPr>
    </w:p>
    <w:p w14:paraId="20F83D75" w14:textId="4D24A215" w:rsidR="001B3461" w:rsidRPr="00F1714B" w:rsidRDefault="00A123B8" w:rsidP="0099181C">
      <w:pPr>
        <w:ind w:left="720"/>
        <w:rPr>
          <w:rFonts w:cs="Times New Roman"/>
          <w:b/>
          <w:bCs/>
          <w:szCs w:val="26"/>
        </w:rPr>
      </w:pPr>
      <w:r w:rsidRPr="00F1714B">
        <w:rPr>
          <w:rFonts w:cs="Times New Roman"/>
          <w:b/>
          <w:bCs/>
          <w:szCs w:val="26"/>
        </w:rPr>
        <w:t>D.</w:t>
      </w:r>
      <w:r w:rsidRPr="00F1714B">
        <w:rPr>
          <w:rFonts w:cs="Times New Roman"/>
          <w:b/>
          <w:bCs/>
          <w:szCs w:val="26"/>
        </w:rPr>
        <w:tab/>
      </w:r>
      <w:r w:rsidR="001B3461" w:rsidRPr="00F1714B">
        <w:rPr>
          <w:rFonts w:cs="Times New Roman"/>
          <w:b/>
          <w:bCs/>
          <w:szCs w:val="26"/>
        </w:rPr>
        <w:t>Subchapter D (Underground Service)</w:t>
      </w:r>
    </w:p>
    <w:p w14:paraId="1FC3819F" w14:textId="77777777" w:rsidR="001B3461" w:rsidRPr="00F1714B" w:rsidRDefault="001B3461" w:rsidP="0099181C">
      <w:pPr>
        <w:ind w:left="720" w:firstLine="720"/>
        <w:rPr>
          <w:rFonts w:cs="Times New Roman"/>
          <w:b/>
          <w:bCs/>
          <w:szCs w:val="26"/>
        </w:rPr>
      </w:pPr>
      <w:r w:rsidRPr="00F1714B">
        <w:rPr>
          <w:rFonts w:cs="Times New Roman"/>
          <w:b/>
          <w:bCs/>
          <w:szCs w:val="26"/>
        </w:rPr>
        <w:t>1.</w:t>
      </w:r>
      <w:r w:rsidRPr="00F1714B">
        <w:rPr>
          <w:rFonts w:cs="Times New Roman"/>
          <w:b/>
          <w:bCs/>
          <w:szCs w:val="26"/>
        </w:rPr>
        <w:tab/>
        <w:t>52 Pa. Code § 63.41(a)–(l)</w:t>
      </w:r>
    </w:p>
    <w:p w14:paraId="33F18534" w14:textId="4A387634" w:rsidR="0052225C" w:rsidRPr="00F1714B" w:rsidRDefault="001B3461" w:rsidP="0099181C">
      <w:pPr>
        <w:tabs>
          <w:tab w:val="left" w:pos="720"/>
          <w:tab w:val="left" w:pos="1440"/>
        </w:tabs>
        <w:rPr>
          <w:rFonts w:cs="Times New Roman"/>
          <w:bCs/>
          <w:szCs w:val="26"/>
        </w:rPr>
      </w:pPr>
      <w:r w:rsidRPr="00F1714B">
        <w:rPr>
          <w:rFonts w:cs="Times New Roman"/>
          <w:b/>
          <w:bCs/>
          <w:caps/>
          <w:szCs w:val="26"/>
        </w:rPr>
        <w:tab/>
      </w:r>
      <w:r w:rsidR="0052225C" w:rsidRPr="00F1714B">
        <w:rPr>
          <w:rFonts w:cs="Times New Roman"/>
          <w:bCs/>
          <w:szCs w:val="26"/>
        </w:rPr>
        <w:t xml:space="preserve">This regulation was not waived in the </w:t>
      </w:r>
      <w:r w:rsidR="0052225C" w:rsidRPr="00F1714B">
        <w:rPr>
          <w:rFonts w:cs="Times New Roman"/>
          <w:bCs/>
          <w:i/>
          <w:iCs/>
          <w:szCs w:val="26"/>
        </w:rPr>
        <w:t>Reclassification</w:t>
      </w:r>
      <w:r w:rsidR="0052225C" w:rsidRPr="00F1714B">
        <w:rPr>
          <w:rFonts w:cs="Times New Roman"/>
          <w:bCs/>
          <w:szCs w:val="26"/>
        </w:rPr>
        <w:t xml:space="preserve"> </w:t>
      </w:r>
      <w:r w:rsidR="0052225C" w:rsidRPr="00F1714B">
        <w:rPr>
          <w:rFonts w:cs="Times New Roman"/>
          <w:bCs/>
          <w:i/>
          <w:iCs/>
          <w:szCs w:val="26"/>
        </w:rPr>
        <w:t>Order</w:t>
      </w:r>
      <w:r w:rsidR="0052225C" w:rsidRPr="00F1714B">
        <w:rPr>
          <w:rFonts w:cs="Times New Roman"/>
          <w:bCs/>
          <w:szCs w:val="26"/>
        </w:rPr>
        <w:t xml:space="preserve">.  However, in the </w:t>
      </w:r>
      <w:r w:rsidR="0052225C" w:rsidRPr="00F1714B">
        <w:rPr>
          <w:rFonts w:cs="Times New Roman"/>
          <w:bCs/>
          <w:i/>
          <w:iCs/>
          <w:szCs w:val="26"/>
        </w:rPr>
        <w:t>N</w:t>
      </w:r>
      <w:r w:rsidR="006019F7" w:rsidRPr="00F1714B">
        <w:rPr>
          <w:rFonts w:cs="Times New Roman"/>
          <w:bCs/>
          <w:i/>
          <w:iCs/>
          <w:szCs w:val="26"/>
        </w:rPr>
        <w:t xml:space="preserve">PRM </w:t>
      </w:r>
      <w:r w:rsidR="0052225C" w:rsidRPr="00F1714B">
        <w:rPr>
          <w:rFonts w:cs="Times New Roman"/>
          <w:bCs/>
          <w:i/>
          <w:iCs/>
          <w:szCs w:val="26"/>
        </w:rPr>
        <w:t>Order</w:t>
      </w:r>
      <w:r w:rsidR="0052225C" w:rsidRPr="00F1714B">
        <w:rPr>
          <w:rFonts w:cs="Times New Roman"/>
          <w:bCs/>
          <w:szCs w:val="26"/>
        </w:rPr>
        <w:t xml:space="preserve">, we determined </w:t>
      </w:r>
      <w:r w:rsidR="003D11F0" w:rsidRPr="00F1714B">
        <w:rPr>
          <w:rFonts w:cs="Times New Roman"/>
          <w:bCs/>
          <w:szCs w:val="26"/>
        </w:rPr>
        <w:t>that Act 50 of 2017 authorizes the Commission to enforce provisions of the state’s Underground Utility Line Protection Law, Act 287, also known as the “One Call Law.”</w:t>
      </w:r>
      <w:r w:rsidR="003D11F0" w:rsidRPr="00F1714B">
        <w:rPr>
          <w:rStyle w:val="FootnoteReference"/>
          <w:rFonts w:cs="Times New Roman"/>
          <w:bCs/>
          <w:szCs w:val="26"/>
        </w:rPr>
        <w:footnoteReference w:id="61"/>
      </w:r>
      <w:r w:rsidR="003D11F0" w:rsidRPr="00F1714B">
        <w:rPr>
          <w:rFonts w:cs="Times New Roman"/>
          <w:bCs/>
          <w:szCs w:val="26"/>
        </w:rPr>
        <w:t>  </w:t>
      </w:r>
      <w:r w:rsidR="00EB18A6" w:rsidRPr="00F1714B">
        <w:rPr>
          <w:rFonts w:cs="Times New Roman"/>
          <w:bCs/>
          <w:szCs w:val="26"/>
        </w:rPr>
        <w:t>We noted that t</w:t>
      </w:r>
      <w:r w:rsidR="003D11F0" w:rsidRPr="00F1714B">
        <w:rPr>
          <w:rFonts w:cs="Times New Roman"/>
          <w:bCs/>
          <w:szCs w:val="26"/>
        </w:rPr>
        <w:t>hese laws and applicable contractual agreements will govern the interactions and any potential disputes between the developer and the LEC that is being requested to place its facilities underground in order to provision</w:t>
      </w:r>
      <w:r w:rsidR="003D11F0" w:rsidRPr="00F1714B">
        <w:rPr>
          <w:rFonts w:cs="Times New Roman"/>
          <w:szCs w:val="26"/>
        </w:rPr>
        <w:t xml:space="preserve"> telecommunications</w:t>
      </w:r>
      <w:r w:rsidR="003D11F0" w:rsidRPr="00F1714B">
        <w:rPr>
          <w:szCs w:val="26"/>
        </w:rPr>
        <w:t xml:space="preserve"> </w:t>
      </w:r>
      <w:r w:rsidR="003D11F0" w:rsidRPr="00F1714B">
        <w:rPr>
          <w:rFonts w:cs="Times New Roman"/>
          <w:bCs/>
          <w:szCs w:val="26"/>
        </w:rPr>
        <w:t xml:space="preserve">service within the development. Accordingly, </w:t>
      </w:r>
      <w:r w:rsidR="00EB18A6" w:rsidRPr="00F1714B">
        <w:rPr>
          <w:rFonts w:cs="Times New Roman"/>
          <w:bCs/>
          <w:szCs w:val="26"/>
        </w:rPr>
        <w:t xml:space="preserve">in the Annex to the </w:t>
      </w:r>
      <w:r w:rsidR="00EB18A6" w:rsidRPr="00F1714B">
        <w:rPr>
          <w:rFonts w:cs="Times New Roman"/>
          <w:bCs/>
          <w:i/>
          <w:iCs/>
          <w:szCs w:val="26"/>
        </w:rPr>
        <w:t>N</w:t>
      </w:r>
      <w:r w:rsidR="006019F7" w:rsidRPr="00F1714B">
        <w:rPr>
          <w:rFonts w:cs="Times New Roman"/>
          <w:bCs/>
          <w:i/>
          <w:iCs/>
          <w:szCs w:val="26"/>
        </w:rPr>
        <w:t xml:space="preserve">PRM </w:t>
      </w:r>
      <w:r w:rsidR="00EB18A6" w:rsidRPr="00F1714B">
        <w:rPr>
          <w:rFonts w:cs="Times New Roman"/>
          <w:bCs/>
          <w:i/>
          <w:iCs/>
          <w:szCs w:val="26"/>
        </w:rPr>
        <w:t>Order</w:t>
      </w:r>
      <w:r w:rsidR="00EB18A6" w:rsidRPr="00F1714B">
        <w:rPr>
          <w:rFonts w:cs="Times New Roman"/>
          <w:bCs/>
          <w:szCs w:val="26"/>
        </w:rPr>
        <w:t xml:space="preserve"> </w:t>
      </w:r>
      <w:r w:rsidR="003D11F0" w:rsidRPr="00F1714B">
        <w:rPr>
          <w:rFonts w:cs="Times New Roman"/>
          <w:bCs/>
          <w:szCs w:val="26"/>
        </w:rPr>
        <w:t>we propose</w:t>
      </w:r>
      <w:r w:rsidR="00EB18A6" w:rsidRPr="00F1714B">
        <w:rPr>
          <w:rFonts w:cs="Times New Roman"/>
          <w:bCs/>
          <w:szCs w:val="26"/>
        </w:rPr>
        <w:t xml:space="preserve">d </w:t>
      </w:r>
      <w:r w:rsidR="003D11F0" w:rsidRPr="00F1714B">
        <w:rPr>
          <w:rFonts w:cs="Times New Roman"/>
          <w:bCs/>
          <w:szCs w:val="26"/>
        </w:rPr>
        <w:t xml:space="preserve">to rescind </w:t>
      </w:r>
      <w:r w:rsidR="007A70B8" w:rsidRPr="00F1714B">
        <w:rPr>
          <w:rFonts w:cs="Times New Roman"/>
          <w:bCs/>
          <w:szCs w:val="26"/>
        </w:rPr>
        <w:t>Section</w:t>
      </w:r>
      <w:r w:rsidR="003D11F0" w:rsidRPr="00F1714B">
        <w:rPr>
          <w:rFonts w:cs="Times New Roman"/>
          <w:bCs/>
          <w:szCs w:val="26"/>
        </w:rPr>
        <w:t xml:space="preserve"> 63.41. </w:t>
      </w:r>
      <w:r w:rsidR="003561DF" w:rsidRPr="00F1714B">
        <w:rPr>
          <w:rFonts w:cs="Times New Roman"/>
          <w:bCs/>
          <w:szCs w:val="26"/>
        </w:rPr>
        <w:t xml:space="preserve"> </w:t>
      </w:r>
    </w:p>
    <w:p w14:paraId="54D5B87A" w14:textId="77777777" w:rsidR="0052225C" w:rsidRPr="00F1714B" w:rsidRDefault="0052225C" w:rsidP="0099181C">
      <w:pPr>
        <w:tabs>
          <w:tab w:val="left" w:pos="720"/>
          <w:tab w:val="left" w:pos="1440"/>
        </w:tabs>
        <w:rPr>
          <w:rFonts w:cs="Times New Roman"/>
          <w:bCs/>
          <w:szCs w:val="26"/>
        </w:rPr>
      </w:pPr>
    </w:p>
    <w:p w14:paraId="08DE554C" w14:textId="06C83D64" w:rsidR="004F48A5" w:rsidRPr="00F1714B" w:rsidRDefault="004F48A5" w:rsidP="0099181C">
      <w:pPr>
        <w:keepNext/>
        <w:keepLines/>
        <w:tabs>
          <w:tab w:val="left" w:pos="720"/>
          <w:tab w:val="left" w:pos="1440"/>
        </w:tabs>
        <w:jc w:val="both"/>
        <w:rPr>
          <w:rFonts w:cs="Times New Roman"/>
          <w:b/>
          <w:bCs/>
          <w:szCs w:val="26"/>
        </w:rPr>
      </w:pPr>
      <w:r w:rsidRPr="00F1714B">
        <w:rPr>
          <w:rFonts w:cs="Times New Roman"/>
          <w:bCs/>
          <w:szCs w:val="26"/>
        </w:rPr>
        <w:lastRenderedPageBreak/>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w:t>
      </w:r>
      <w:r w:rsidR="005566C0" w:rsidRPr="00F1714B">
        <w:rPr>
          <w:rFonts w:cs="Times New Roman"/>
          <w:b/>
          <w:bCs/>
          <w:szCs w:val="26"/>
        </w:rPr>
        <w:t xml:space="preserve"> Replies</w:t>
      </w:r>
    </w:p>
    <w:p w14:paraId="547B0306" w14:textId="46E1CCC9" w:rsidR="004F48A5" w:rsidRPr="00F1714B" w:rsidRDefault="004F48A5" w:rsidP="002C696E">
      <w:pPr>
        <w:keepNext/>
        <w:keepLines/>
        <w:rPr>
          <w:rFonts w:cs="Times New Roman"/>
          <w:szCs w:val="26"/>
        </w:rPr>
      </w:pPr>
      <w:r w:rsidRPr="00F1714B">
        <w:rPr>
          <w:rFonts w:cs="Times New Roman"/>
          <w:szCs w:val="26"/>
        </w:rPr>
        <w:tab/>
      </w:r>
      <w:r w:rsidR="005226FB" w:rsidRPr="00F1714B">
        <w:rPr>
          <w:rFonts w:cs="Times New Roman"/>
          <w:szCs w:val="26"/>
        </w:rPr>
        <w:t xml:space="preserve">No party has filed comments or replies regarding the Commission’s proposed modification to this rule.  </w:t>
      </w:r>
    </w:p>
    <w:p w14:paraId="5F7A06B2" w14:textId="77777777" w:rsidR="005226FB" w:rsidRPr="00F1714B" w:rsidRDefault="005226FB" w:rsidP="00E55426">
      <w:pPr>
        <w:rPr>
          <w:rFonts w:cs="Times New Roman"/>
          <w:szCs w:val="26"/>
        </w:rPr>
      </w:pPr>
    </w:p>
    <w:p w14:paraId="51605C56" w14:textId="3B9DB664" w:rsidR="001B3461" w:rsidRPr="00F1714B" w:rsidRDefault="004F48A5" w:rsidP="0099181C">
      <w:pPr>
        <w:tabs>
          <w:tab w:val="left" w:pos="720"/>
          <w:tab w:val="left" w:pos="1440"/>
        </w:tabs>
        <w:jc w:val="both"/>
        <w:rPr>
          <w:rFonts w:cs="Times New Roman"/>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Pr="00F1714B">
        <w:rPr>
          <w:rFonts w:cs="Times New Roman"/>
          <w:b/>
          <w:bCs/>
          <w:szCs w:val="26"/>
        </w:rPr>
        <w:tab/>
        <w:t>Discussion</w:t>
      </w:r>
      <w:r w:rsidR="005226FB" w:rsidRPr="00F1714B">
        <w:rPr>
          <w:rFonts w:cs="Times New Roman"/>
          <w:b/>
          <w:bCs/>
          <w:szCs w:val="26"/>
        </w:rPr>
        <w:t xml:space="preserve"> and </w:t>
      </w:r>
      <w:r w:rsidRPr="00F1714B">
        <w:rPr>
          <w:rFonts w:cs="Times New Roman"/>
          <w:b/>
          <w:bCs/>
          <w:szCs w:val="26"/>
        </w:rPr>
        <w:t>Resolution</w:t>
      </w:r>
    </w:p>
    <w:p w14:paraId="274D372B" w14:textId="070A7378" w:rsidR="005226FB" w:rsidRPr="00F1714B" w:rsidRDefault="001B3461" w:rsidP="0099181C">
      <w:pPr>
        <w:tabs>
          <w:tab w:val="left" w:pos="720"/>
          <w:tab w:val="left" w:pos="1440"/>
        </w:tabs>
        <w:rPr>
          <w:rFonts w:cs="Times New Roman"/>
          <w:szCs w:val="26"/>
        </w:rPr>
      </w:pPr>
      <w:r w:rsidRPr="00F1714B">
        <w:rPr>
          <w:rFonts w:cs="Times New Roman"/>
          <w:szCs w:val="26"/>
        </w:rPr>
        <w:tab/>
      </w:r>
      <w:r w:rsidR="005226FB" w:rsidRPr="00F1714B">
        <w:rPr>
          <w:rFonts w:cs="Times New Roman"/>
          <w:szCs w:val="26"/>
        </w:rPr>
        <w:t xml:space="preserve">Since no party has filed any adverse comments regarding our proposed recission on this regulation, </w:t>
      </w:r>
      <w:r w:rsidR="0066236A" w:rsidRPr="00F1714B">
        <w:rPr>
          <w:rFonts w:cs="Times New Roman"/>
          <w:szCs w:val="26"/>
        </w:rPr>
        <w:t xml:space="preserve">we will adopt </w:t>
      </w:r>
      <w:r w:rsidR="00C43D82" w:rsidRPr="00F1714B">
        <w:rPr>
          <w:rFonts w:cs="Times New Roman"/>
          <w:szCs w:val="26"/>
        </w:rPr>
        <w:t>our proposal to permanently rescind Section 63.41 from Chapter 63 of Title 52 of the Pa. Code.  Accordingly, the permanent rescission of this rule will be reflected in the final-form regulation set fo</w:t>
      </w:r>
      <w:r w:rsidR="007E2F45" w:rsidRPr="00F1714B">
        <w:rPr>
          <w:rFonts w:cs="Times New Roman"/>
          <w:szCs w:val="26"/>
        </w:rPr>
        <w:t xml:space="preserve">rth in </w:t>
      </w:r>
      <w:r w:rsidR="005226FB" w:rsidRPr="00F1714B">
        <w:rPr>
          <w:rFonts w:cs="Times New Roman"/>
          <w:szCs w:val="26"/>
        </w:rPr>
        <w:t>the Annex</w:t>
      </w:r>
      <w:r w:rsidR="007E2F45" w:rsidRPr="00F1714B">
        <w:rPr>
          <w:rFonts w:cs="Times New Roman"/>
          <w:szCs w:val="26"/>
        </w:rPr>
        <w:t>.</w:t>
      </w:r>
    </w:p>
    <w:p w14:paraId="78C3409B" w14:textId="584A359A" w:rsidR="001B3461" w:rsidRPr="00F1714B" w:rsidRDefault="001B3461" w:rsidP="0099181C">
      <w:pPr>
        <w:tabs>
          <w:tab w:val="left" w:pos="720"/>
          <w:tab w:val="left" w:pos="1440"/>
        </w:tabs>
        <w:rPr>
          <w:rFonts w:cs="Times New Roman"/>
          <w:szCs w:val="26"/>
        </w:rPr>
      </w:pPr>
    </w:p>
    <w:p w14:paraId="0E6D3109" w14:textId="4D2F04C9" w:rsidR="001B3461" w:rsidRPr="00F1714B" w:rsidRDefault="005255F0" w:rsidP="00E55426">
      <w:pPr>
        <w:spacing w:line="240" w:lineRule="auto"/>
        <w:ind w:left="720"/>
        <w:rPr>
          <w:rFonts w:cs="Times New Roman"/>
          <w:b/>
          <w:bCs/>
          <w:szCs w:val="26"/>
        </w:rPr>
      </w:pPr>
      <w:r w:rsidRPr="00F1714B">
        <w:rPr>
          <w:rFonts w:cs="Times New Roman"/>
          <w:b/>
          <w:bCs/>
          <w:szCs w:val="26"/>
        </w:rPr>
        <w:t>E.</w:t>
      </w:r>
      <w:r w:rsidRPr="00F1714B">
        <w:rPr>
          <w:rFonts w:cs="Times New Roman"/>
          <w:b/>
          <w:bCs/>
          <w:szCs w:val="26"/>
        </w:rPr>
        <w:tab/>
      </w:r>
      <w:r w:rsidR="001B3461" w:rsidRPr="00F1714B">
        <w:rPr>
          <w:rFonts w:cs="Times New Roman"/>
          <w:b/>
          <w:bCs/>
          <w:szCs w:val="26"/>
        </w:rPr>
        <w:t xml:space="preserve">Subchapter E (Telephone Quality of Service Standards) </w:t>
      </w:r>
    </w:p>
    <w:p w14:paraId="0DFED0C2" w14:textId="77777777" w:rsidR="001B3461" w:rsidRPr="00F1714B" w:rsidRDefault="001B3461" w:rsidP="0099181C">
      <w:pPr>
        <w:spacing w:line="240" w:lineRule="auto"/>
        <w:ind w:left="720" w:firstLine="720"/>
        <w:rPr>
          <w:rFonts w:cs="Times New Roman"/>
          <w:b/>
          <w:bCs/>
          <w:szCs w:val="26"/>
        </w:rPr>
      </w:pPr>
      <w:r w:rsidRPr="00F1714B">
        <w:rPr>
          <w:rFonts w:cs="Times New Roman"/>
          <w:b/>
          <w:bCs/>
          <w:szCs w:val="26"/>
        </w:rPr>
        <w:t>52 Pa. Code §§ 63.51—63.65</w:t>
      </w:r>
    </w:p>
    <w:p w14:paraId="039B5595" w14:textId="77777777" w:rsidR="001B3461" w:rsidRPr="00F1714B" w:rsidRDefault="001B3461" w:rsidP="0099181C">
      <w:pPr>
        <w:spacing w:line="240" w:lineRule="auto"/>
        <w:rPr>
          <w:rFonts w:cs="Times New Roman"/>
          <w:szCs w:val="26"/>
        </w:rPr>
      </w:pPr>
    </w:p>
    <w:p w14:paraId="787747FD" w14:textId="77777777" w:rsidR="00AB74E0" w:rsidRPr="00F1714B" w:rsidRDefault="002B2759" w:rsidP="00E55426">
      <w:pPr>
        <w:ind w:left="720"/>
        <w:rPr>
          <w:rFonts w:cs="Times New Roman"/>
          <w:szCs w:val="26"/>
        </w:rPr>
      </w:pPr>
      <w:r w:rsidRPr="00F1714B">
        <w:rPr>
          <w:rFonts w:cs="Times New Roman"/>
          <w:szCs w:val="26"/>
        </w:rPr>
        <w:t xml:space="preserve">As currently constructed, </w:t>
      </w:r>
      <w:r w:rsidR="001B3461" w:rsidRPr="00F1714B">
        <w:rPr>
          <w:rFonts w:cs="Times New Roman"/>
          <w:szCs w:val="26"/>
        </w:rPr>
        <w:t xml:space="preserve">Subchapter E contains the provisions related to quality </w:t>
      </w:r>
    </w:p>
    <w:p w14:paraId="0F85E2ED" w14:textId="467A5739" w:rsidR="00661A0F" w:rsidRPr="00F1714B" w:rsidRDefault="001B3461" w:rsidP="00E55426">
      <w:pPr>
        <w:rPr>
          <w:rFonts w:cs="Times New Roman"/>
          <w:szCs w:val="26"/>
        </w:rPr>
      </w:pPr>
      <w:r w:rsidRPr="00F1714B">
        <w:rPr>
          <w:rFonts w:cs="Times New Roman"/>
          <w:szCs w:val="26"/>
        </w:rPr>
        <w:t>of service</w:t>
      </w:r>
      <w:r w:rsidRPr="00F1714B">
        <w:rPr>
          <w:rFonts w:cs="Times New Roman"/>
          <w:i/>
          <w:iCs/>
          <w:szCs w:val="26"/>
        </w:rPr>
        <w:t>, i.e.,</w:t>
      </w:r>
      <w:r w:rsidRPr="00F1714B">
        <w:rPr>
          <w:rFonts w:cs="Times New Roman"/>
          <w:szCs w:val="26"/>
        </w:rPr>
        <w:t xml:space="preserve"> the performance standards for trouble reports, service installations, operator calls, dial tone connection, completion of correctly dialed calls, as well as a safety program for its employees.  </w:t>
      </w:r>
      <w:r w:rsidR="00AB74E0" w:rsidRPr="00F1714B">
        <w:rPr>
          <w:rFonts w:cs="Times New Roman"/>
          <w:szCs w:val="26"/>
        </w:rPr>
        <w:t xml:space="preserve">Our rationale for temporarily waiving </w:t>
      </w:r>
      <w:r w:rsidR="002A34FF" w:rsidRPr="00F1714B">
        <w:rPr>
          <w:rFonts w:cs="Times New Roman"/>
          <w:szCs w:val="26"/>
        </w:rPr>
        <w:t xml:space="preserve">many of </w:t>
      </w:r>
      <w:r w:rsidR="00AB74E0" w:rsidRPr="00F1714B">
        <w:rPr>
          <w:rFonts w:cs="Times New Roman"/>
          <w:szCs w:val="26"/>
        </w:rPr>
        <w:t>the</w:t>
      </w:r>
      <w:r w:rsidR="004A4FED" w:rsidRPr="00F1714B">
        <w:rPr>
          <w:rFonts w:cs="Times New Roman"/>
          <w:szCs w:val="26"/>
        </w:rPr>
        <w:t xml:space="preserve"> Chapter 63, Subchapter E </w:t>
      </w:r>
      <w:r w:rsidR="00AB74E0" w:rsidRPr="00F1714B">
        <w:rPr>
          <w:rFonts w:cs="Times New Roman"/>
          <w:szCs w:val="26"/>
        </w:rPr>
        <w:t xml:space="preserve">regulations </w:t>
      </w:r>
      <w:r w:rsidR="00993E26" w:rsidRPr="00F1714B">
        <w:rPr>
          <w:rFonts w:cs="Times New Roman"/>
          <w:szCs w:val="26"/>
        </w:rPr>
        <w:t xml:space="preserve">in the </w:t>
      </w:r>
      <w:r w:rsidR="00993E26" w:rsidRPr="00F1714B">
        <w:rPr>
          <w:rFonts w:cs="Times New Roman"/>
          <w:i/>
          <w:iCs/>
          <w:szCs w:val="26"/>
        </w:rPr>
        <w:t>R</w:t>
      </w:r>
      <w:r w:rsidR="00E8585C" w:rsidRPr="00F1714B">
        <w:rPr>
          <w:rFonts w:cs="Times New Roman"/>
          <w:i/>
          <w:iCs/>
          <w:szCs w:val="26"/>
        </w:rPr>
        <w:t>eclassification Order</w:t>
      </w:r>
      <w:r w:rsidR="00E8585C" w:rsidRPr="00F1714B">
        <w:rPr>
          <w:rFonts w:cs="Times New Roman"/>
          <w:szCs w:val="26"/>
        </w:rPr>
        <w:t xml:space="preserve"> </w:t>
      </w:r>
      <w:r w:rsidR="00AB74E0" w:rsidRPr="00F1714B">
        <w:rPr>
          <w:rFonts w:cs="Times New Roman"/>
          <w:szCs w:val="26"/>
        </w:rPr>
        <w:t>was the fact that customers can switch to an alternate service provider or “vote with their feet,” if Verizon</w:t>
      </w:r>
      <w:r w:rsidR="00F86B94" w:rsidRPr="00F1714B">
        <w:rPr>
          <w:rFonts w:cs="Times New Roman"/>
          <w:szCs w:val="26"/>
        </w:rPr>
        <w:t xml:space="preserve">’s </w:t>
      </w:r>
      <w:r w:rsidR="00AB74E0" w:rsidRPr="00F1714B">
        <w:rPr>
          <w:rFonts w:cs="Times New Roman"/>
          <w:szCs w:val="26"/>
        </w:rPr>
        <w:t>service quality becomes unacceptable.</w:t>
      </w:r>
      <w:r w:rsidR="00AB74E0" w:rsidRPr="00F1714B">
        <w:rPr>
          <w:rStyle w:val="FootnoteReference"/>
          <w:rFonts w:cs="Times New Roman"/>
          <w:szCs w:val="26"/>
        </w:rPr>
        <w:footnoteReference w:id="62"/>
      </w:r>
      <w:r w:rsidR="00AB74E0" w:rsidRPr="00F1714B">
        <w:rPr>
          <w:rFonts w:cs="Times New Roman"/>
          <w:szCs w:val="26"/>
        </w:rPr>
        <w:t xml:space="preserve">  </w:t>
      </w:r>
      <w:r w:rsidR="00661A0F" w:rsidRPr="00F1714B">
        <w:rPr>
          <w:rFonts w:cs="Times New Roman"/>
          <w:szCs w:val="26"/>
        </w:rPr>
        <w:t>We also further recognized that Verizon’s Section 1501 statutory obligation to provide certain standards of service was confirmed in Verizon’s Chapter 30 plan and the record developed in the reclassification proceeding.</w:t>
      </w:r>
      <w:r w:rsidR="00661A0F" w:rsidRPr="00F1714B">
        <w:rPr>
          <w:rStyle w:val="FootnoteReference"/>
          <w:rFonts w:cs="Times New Roman"/>
          <w:szCs w:val="26"/>
        </w:rPr>
        <w:footnoteReference w:id="63"/>
      </w:r>
    </w:p>
    <w:p w14:paraId="4B4A74BF" w14:textId="026D8DA5" w:rsidR="00661A0F" w:rsidRPr="00F1714B" w:rsidRDefault="00661A0F" w:rsidP="00E55426">
      <w:pPr>
        <w:rPr>
          <w:rFonts w:cs="Times New Roman"/>
          <w:szCs w:val="26"/>
        </w:rPr>
      </w:pPr>
      <w:r w:rsidRPr="00F1714B">
        <w:rPr>
          <w:rFonts w:cs="Times New Roman"/>
          <w:szCs w:val="26"/>
        </w:rPr>
        <w:tab/>
      </w:r>
    </w:p>
    <w:p w14:paraId="27696C75" w14:textId="49A07A2A" w:rsidR="001B3461" w:rsidRPr="00F1714B" w:rsidRDefault="00AB74E0" w:rsidP="0099181C">
      <w:pPr>
        <w:ind w:firstLine="720"/>
        <w:rPr>
          <w:rFonts w:cs="Times New Roman"/>
          <w:szCs w:val="26"/>
        </w:rPr>
      </w:pPr>
      <w:r w:rsidRPr="00F1714B">
        <w:rPr>
          <w:rFonts w:cs="Times New Roman"/>
          <w:szCs w:val="26"/>
        </w:rPr>
        <w:t>Moreover, we considered Verizon</w:t>
      </w:r>
      <w:r w:rsidR="00F86B94" w:rsidRPr="00F1714B">
        <w:rPr>
          <w:rFonts w:cs="Times New Roman"/>
          <w:szCs w:val="26"/>
        </w:rPr>
        <w:t xml:space="preserve">’s </w:t>
      </w:r>
      <w:r w:rsidRPr="00F1714B">
        <w:rPr>
          <w:rFonts w:cs="Times New Roman"/>
          <w:szCs w:val="26"/>
        </w:rPr>
        <w:t xml:space="preserve">obligation to comply with the reasonable and adequate service requirements of Section 1501 as a “regulatory back-stop of quality </w:t>
      </w:r>
      <w:r w:rsidRPr="00F1714B">
        <w:rPr>
          <w:rFonts w:cs="Times New Roman"/>
          <w:szCs w:val="26"/>
        </w:rPr>
        <w:lastRenderedPageBreak/>
        <w:t>service”</w:t>
      </w:r>
      <w:r w:rsidR="009B206B" w:rsidRPr="00F1714B">
        <w:rPr>
          <w:rFonts w:cs="Times New Roman"/>
          <w:szCs w:val="26"/>
        </w:rPr>
        <w:t xml:space="preserve"> and that c</w:t>
      </w:r>
      <w:r w:rsidRPr="00F1714B">
        <w:rPr>
          <w:rFonts w:cs="Times New Roman"/>
          <w:szCs w:val="26"/>
        </w:rPr>
        <w:t>ustomers can still file quality of service complaints as the Code still requires Verizon to provide reasonable service in competitive areas.</w:t>
      </w:r>
      <w:r w:rsidR="009B206B" w:rsidRPr="00F1714B">
        <w:rPr>
          <w:rStyle w:val="FootnoteReference"/>
          <w:rFonts w:cs="Times New Roman"/>
          <w:szCs w:val="26"/>
        </w:rPr>
        <w:footnoteReference w:id="64"/>
      </w:r>
      <w:r w:rsidR="009B206B" w:rsidRPr="00F1714B">
        <w:rPr>
          <w:rFonts w:cs="Times New Roman"/>
          <w:szCs w:val="26"/>
        </w:rPr>
        <w:t xml:space="preserve">  </w:t>
      </w:r>
    </w:p>
    <w:p w14:paraId="12727F40" w14:textId="77777777" w:rsidR="001B3461" w:rsidRPr="00F1714B" w:rsidRDefault="001B3461" w:rsidP="0099181C">
      <w:pPr>
        <w:ind w:hanging="90"/>
        <w:rPr>
          <w:rFonts w:cs="Times New Roman"/>
          <w:szCs w:val="26"/>
        </w:rPr>
      </w:pPr>
    </w:p>
    <w:p w14:paraId="720BB924" w14:textId="04BA4CB1" w:rsidR="0032009E" w:rsidRPr="00F1714B" w:rsidRDefault="001B3461" w:rsidP="00F469E8">
      <w:pPr>
        <w:keepNext/>
        <w:keepLines/>
        <w:spacing w:line="240" w:lineRule="auto"/>
        <w:ind w:left="2160" w:hanging="720"/>
        <w:rPr>
          <w:rFonts w:cs="Times New Roman"/>
          <w:b/>
          <w:bCs/>
          <w:szCs w:val="26"/>
        </w:rPr>
      </w:pPr>
      <w:r w:rsidRPr="00F1714B">
        <w:rPr>
          <w:rFonts w:cs="Times New Roman"/>
          <w:b/>
          <w:bCs/>
          <w:szCs w:val="26"/>
        </w:rPr>
        <w:t>1.</w:t>
      </w:r>
      <w:r w:rsidRPr="00F1714B">
        <w:rPr>
          <w:rFonts w:cs="Times New Roman"/>
          <w:b/>
          <w:bCs/>
          <w:szCs w:val="26"/>
        </w:rPr>
        <w:tab/>
      </w:r>
      <w:r w:rsidR="0032009E" w:rsidRPr="00F1714B">
        <w:rPr>
          <w:rFonts w:cs="Times New Roman"/>
          <w:b/>
          <w:bCs/>
          <w:szCs w:val="26"/>
        </w:rPr>
        <w:t xml:space="preserve">52 Pa. Code </w:t>
      </w:r>
      <w:r w:rsidRPr="00F1714B">
        <w:rPr>
          <w:rFonts w:cs="Times New Roman"/>
          <w:b/>
          <w:bCs/>
          <w:szCs w:val="26"/>
        </w:rPr>
        <w:t>§ 63.51 (Purpose)</w:t>
      </w:r>
      <w:r w:rsidR="00EC4CEE" w:rsidRPr="00F1714B">
        <w:rPr>
          <w:rFonts w:cs="Times New Roman"/>
          <w:b/>
          <w:bCs/>
          <w:szCs w:val="26"/>
        </w:rPr>
        <w:t xml:space="preserve">, </w:t>
      </w:r>
    </w:p>
    <w:p w14:paraId="2808A66A" w14:textId="6E2CE5BA" w:rsidR="0032009E" w:rsidRPr="00F1714B" w:rsidRDefault="0032009E" w:rsidP="0099181C">
      <w:pPr>
        <w:keepNext/>
        <w:keepLines/>
        <w:spacing w:line="240" w:lineRule="auto"/>
        <w:ind w:left="2160"/>
        <w:rPr>
          <w:rFonts w:cs="Times New Roman"/>
          <w:b/>
          <w:bCs/>
          <w:szCs w:val="26"/>
        </w:rPr>
      </w:pPr>
      <w:r w:rsidRPr="00F1714B">
        <w:rPr>
          <w:rFonts w:cs="Times New Roman"/>
          <w:b/>
          <w:bCs/>
          <w:szCs w:val="26"/>
        </w:rPr>
        <w:t xml:space="preserve">52 Pa. Code </w:t>
      </w:r>
      <w:r w:rsidR="001B3461" w:rsidRPr="00F1714B">
        <w:rPr>
          <w:rFonts w:cs="Times New Roman"/>
          <w:b/>
          <w:bCs/>
          <w:szCs w:val="26"/>
        </w:rPr>
        <w:t>§ 63.52 (Exceptions)</w:t>
      </w:r>
    </w:p>
    <w:p w14:paraId="26FB5980" w14:textId="77777777" w:rsidR="0031370E" w:rsidRPr="00F1714B" w:rsidRDefault="0031370E" w:rsidP="0099181C">
      <w:pPr>
        <w:keepNext/>
        <w:keepLines/>
        <w:spacing w:line="240" w:lineRule="auto"/>
        <w:ind w:left="2160"/>
        <w:rPr>
          <w:rFonts w:cs="Times New Roman"/>
          <w:b/>
          <w:bCs/>
          <w:szCs w:val="26"/>
        </w:rPr>
      </w:pPr>
    </w:p>
    <w:p w14:paraId="608897FD" w14:textId="77777777" w:rsidR="005D2F22" w:rsidRPr="00F1714B" w:rsidRDefault="0031370E" w:rsidP="0099181C">
      <w:pPr>
        <w:keepNext/>
        <w:keepLines/>
        <w:ind w:firstLine="720"/>
        <w:rPr>
          <w:rFonts w:cs="Times New Roman"/>
          <w:szCs w:val="26"/>
        </w:rPr>
      </w:pPr>
      <w:r w:rsidRPr="00F1714B">
        <w:rPr>
          <w:rFonts w:cs="Times New Roman"/>
          <w:szCs w:val="26"/>
        </w:rPr>
        <w:t xml:space="preserve">In the </w:t>
      </w:r>
      <w:r w:rsidRPr="00F1714B">
        <w:rPr>
          <w:rFonts w:cs="Times New Roman"/>
          <w:i/>
          <w:iCs/>
          <w:szCs w:val="26"/>
        </w:rPr>
        <w:t>Reclassification Order</w:t>
      </w:r>
      <w:r w:rsidRPr="00F1714B">
        <w:rPr>
          <w:rFonts w:cs="Times New Roman"/>
          <w:szCs w:val="26"/>
        </w:rPr>
        <w:t>, the Commission temporarily waived Sections 63.51  and 63.52</w:t>
      </w:r>
      <w:r w:rsidR="005D2F22" w:rsidRPr="00F1714B">
        <w:rPr>
          <w:rFonts w:cs="Times New Roman"/>
          <w:szCs w:val="26"/>
        </w:rPr>
        <w:t xml:space="preserve"> </w:t>
      </w:r>
      <w:r w:rsidRPr="00F1714B">
        <w:rPr>
          <w:rFonts w:cs="Times New Roman"/>
          <w:szCs w:val="26"/>
        </w:rPr>
        <w:t xml:space="preserve">of this Subchapter </w:t>
      </w:r>
      <w:r w:rsidR="005D2F22" w:rsidRPr="00F1714B">
        <w:rPr>
          <w:rFonts w:cs="Times New Roman"/>
          <w:szCs w:val="26"/>
        </w:rPr>
        <w:t xml:space="preserve">E of its regulations </w:t>
      </w:r>
      <w:r w:rsidRPr="00F1714B">
        <w:rPr>
          <w:rFonts w:cs="Times New Roman"/>
          <w:szCs w:val="26"/>
        </w:rPr>
        <w:t>for Verizon in the 153 competitive wire centers.</w:t>
      </w:r>
      <w:r w:rsidRPr="00F1714B">
        <w:rPr>
          <w:rFonts w:cs="Times New Roman"/>
          <w:szCs w:val="26"/>
          <w:vertAlign w:val="superscript"/>
        </w:rPr>
        <w:footnoteReference w:id="65"/>
      </w:r>
      <w:r w:rsidR="005D2F22" w:rsidRPr="00F1714B">
        <w:rPr>
          <w:rFonts w:cs="Times New Roman"/>
          <w:szCs w:val="26"/>
        </w:rPr>
        <w:t xml:space="preserve">  Based on our determination regarding Chapter 64 of our regulations in the</w:t>
      </w:r>
      <w:r w:rsidR="005D2F22" w:rsidRPr="00F1714B">
        <w:rPr>
          <w:rFonts w:cs="Times New Roman"/>
          <w:i/>
          <w:iCs/>
          <w:szCs w:val="26"/>
        </w:rPr>
        <w:t xml:space="preserve"> NPRM Order</w:t>
      </w:r>
      <w:r w:rsidR="005D2F22" w:rsidRPr="00F1714B">
        <w:rPr>
          <w:rFonts w:cs="Times New Roman"/>
          <w:szCs w:val="26"/>
        </w:rPr>
        <w:t xml:space="preserve">, and because Section 63.51 operates in conjunction with our Chapter 64 regulations, we proposed in the </w:t>
      </w:r>
      <w:r w:rsidR="005D2F22" w:rsidRPr="00F1714B">
        <w:rPr>
          <w:rFonts w:cs="Times New Roman"/>
          <w:i/>
          <w:iCs/>
          <w:szCs w:val="26"/>
        </w:rPr>
        <w:t>NPRM Order</w:t>
      </w:r>
      <w:r w:rsidR="005D2F22" w:rsidRPr="00F1714B">
        <w:rPr>
          <w:rFonts w:cs="Times New Roman"/>
          <w:szCs w:val="26"/>
        </w:rPr>
        <w:t xml:space="preserve"> to retain it.</w:t>
      </w:r>
      <w:r w:rsidR="005D2F22" w:rsidRPr="00F1714B">
        <w:rPr>
          <w:rFonts w:cs="Times New Roman"/>
          <w:bCs/>
          <w:szCs w:val="26"/>
        </w:rPr>
        <w:t xml:space="preserve">  We also </w:t>
      </w:r>
      <w:r w:rsidR="005D2F22" w:rsidRPr="00F1714B">
        <w:rPr>
          <w:rFonts w:cs="Times New Roman"/>
          <w:szCs w:val="26"/>
        </w:rPr>
        <w:t>determined that Section 63.52 covering interexchange carriers is no longer relevant as that service is adequately addressed under Chapter 30.  Therefore, we also proposed to rescind Section 63.52.</w:t>
      </w:r>
    </w:p>
    <w:p w14:paraId="2D83363C" w14:textId="733BB4A0" w:rsidR="0031370E" w:rsidRPr="00F1714B" w:rsidRDefault="0031370E" w:rsidP="0099181C">
      <w:pPr>
        <w:keepNext/>
        <w:keepLines/>
        <w:ind w:firstLine="720"/>
        <w:rPr>
          <w:rFonts w:cs="Times New Roman"/>
          <w:szCs w:val="26"/>
        </w:rPr>
      </w:pPr>
    </w:p>
    <w:p w14:paraId="03025519" w14:textId="05B5BA1D" w:rsidR="0031370E" w:rsidRPr="002A5F6D" w:rsidRDefault="0031370E" w:rsidP="0099181C">
      <w:pPr>
        <w:pStyle w:val="ListParagraph"/>
        <w:numPr>
          <w:ilvl w:val="0"/>
          <w:numId w:val="25"/>
        </w:numPr>
        <w:jc w:val="both"/>
        <w:rPr>
          <w:rFonts w:cs="Times New Roman"/>
          <w:b/>
          <w:bCs/>
          <w:szCs w:val="26"/>
        </w:rPr>
      </w:pPr>
      <w:r w:rsidRPr="002A5F6D">
        <w:rPr>
          <w:rFonts w:cs="Times New Roman"/>
          <w:b/>
          <w:bCs/>
          <w:szCs w:val="26"/>
        </w:rPr>
        <w:t>Comments and Replies</w:t>
      </w:r>
    </w:p>
    <w:p w14:paraId="044B5006" w14:textId="65DE95EB" w:rsidR="009041C4" w:rsidRPr="00F1714B" w:rsidRDefault="0031370E" w:rsidP="002A5F6D">
      <w:pPr>
        <w:rPr>
          <w:rFonts w:cs="Times New Roman"/>
          <w:szCs w:val="26"/>
        </w:rPr>
      </w:pPr>
      <w:r w:rsidRPr="00F1714B">
        <w:rPr>
          <w:rFonts w:cs="Times New Roman"/>
          <w:b/>
          <w:bCs/>
          <w:szCs w:val="26"/>
        </w:rPr>
        <w:tab/>
      </w:r>
      <w:r w:rsidR="009041C4" w:rsidRPr="00F1714B">
        <w:rPr>
          <w:rFonts w:cs="Times New Roman"/>
          <w:szCs w:val="26"/>
        </w:rPr>
        <w:t>TCC/CCL suggest that the Commission modify subsection 63.51 to eliminate reference to “regulated simple residential or business voice grade services” as that term is not actually defined in the Commission’s rules.  TCC/CCL Comments at 14.</w:t>
      </w:r>
    </w:p>
    <w:p w14:paraId="5849B63E" w14:textId="77777777" w:rsidR="009041C4" w:rsidRPr="00F1714B" w:rsidRDefault="009041C4" w:rsidP="009041C4">
      <w:pPr>
        <w:rPr>
          <w:rFonts w:cs="Times New Roman"/>
          <w:szCs w:val="26"/>
        </w:rPr>
      </w:pPr>
    </w:p>
    <w:p w14:paraId="5AF57514" w14:textId="1EE14DFB" w:rsidR="0031370E" w:rsidRPr="00F1714B" w:rsidRDefault="009041C4" w:rsidP="00813E72">
      <w:pPr>
        <w:ind w:firstLine="720"/>
        <w:jc w:val="both"/>
        <w:rPr>
          <w:rFonts w:cs="Times New Roman"/>
          <w:b/>
          <w:bCs/>
          <w:szCs w:val="26"/>
        </w:rPr>
      </w:pPr>
      <w:r w:rsidRPr="00F1714B">
        <w:rPr>
          <w:rFonts w:cs="Times New Roman"/>
          <w:szCs w:val="26"/>
        </w:rPr>
        <w:t xml:space="preserve">Verizon opposes the Commission’s proposed continuance of subsection 63.51 (Purpose) because in Verizon’s view it “establishes no standard or requirement” and is “outdated” and “not necessary.”  Verizon Comments at 21.  </w:t>
      </w:r>
    </w:p>
    <w:p w14:paraId="35FD7245" w14:textId="77777777" w:rsidR="009E16AA" w:rsidRPr="00F1714B" w:rsidRDefault="009E16AA" w:rsidP="00813E72">
      <w:pPr>
        <w:ind w:left="2160"/>
        <w:jc w:val="both"/>
        <w:rPr>
          <w:rFonts w:cs="Times New Roman"/>
          <w:b/>
          <w:bCs/>
          <w:szCs w:val="26"/>
        </w:rPr>
      </w:pPr>
    </w:p>
    <w:p w14:paraId="37A109CA" w14:textId="69C7A186" w:rsidR="0031370E" w:rsidRPr="00F1714B" w:rsidRDefault="0031370E" w:rsidP="00813E72">
      <w:pPr>
        <w:widowControl w:val="0"/>
        <w:ind w:left="2160"/>
        <w:jc w:val="both"/>
        <w:rPr>
          <w:rFonts w:cs="Times New Roman"/>
          <w:b/>
          <w:bCs/>
          <w:szCs w:val="26"/>
        </w:rPr>
      </w:pPr>
      <w:r w:rsidRPr="00F1714B">
        <w:rPr>
          <w:rFonts w:cs="Times New Roman"/>
          <w:b/>
          <w:bCs/>
          <w:szCs w:val="26"/>
        </w:rPr>
        <w:t>b.</w:t>
      </w:r>
      <w:r w:rsidRPr="00F1714B">
        <w:rPr>
          <w:rFonts w:cs="Times New Roman"/>
          <w:b/>
          <w:bCs/>
          <w:szCs w:val="26"/>
        </w:rPr>
        <w:tab/>
        <w:t>Discussion and Resolution</w:t>
      </w:r>
    </w:p>
    <w:p w14:paraId="60BBB915" w14:textId="50FB3EE3" w:rsidR="009041C4" w:rsidRDefault="009041C4" w:rsidP="00813E72">
      <w:pPr>
        <w:widowControl w:val="0"/>
        <w:ind w:firstLine="720"/>
        <w:rPr>
          <w:rFonts w:cs="Times New Roman"/>
          <w:szCs w:val="26"/>
        </w:rPr>
      </w:pPr>
      <w:r w:rsidRPr="00F1714B">
        <w:rPr>
          <w:rFonts w:cs="Times New Roman"/>
          <w:szCs w:val="26"/>
        </w:rPr>
        <w:t xml:space="preserve">We agree with Verizon that Section 63.51 is simply a general statement about the purpose of the Subchapter E.  The Commission determines that the rule is of no substantive or regulatory value and unnecessary.  We also have not changed our opinion </w:t>
      </w:r>
      <w:r w:rsidRPr="00F1714B">
        <w:rPr>
          <w:rFonts w:cs="Times New Roman"/>
          <w:szCs w:val="26"/>
        </w:rPr>
        <w:lastRenderedPageBreak/>
        <w:t>regarding Section 63.52 and no party offered adverse comment to our proposal to rescind.  Therefore, we propose to rescind Sections 63.51 and 63.52</w:t>
      </w:r>
      <w:r w:rsidR="00372227" w:rsidRPr="00F1714B">
        <w:rPr>
          <w:rFonts w:cs="Times New Roman"/>
          <w:szCs w:val="26"/>
        </w:rPr>
        <w:t xml:space="preserve"> for Chapter 63 of our regulations</w:t>
      </w:r>
      <w:r w:rsidRPr="00F1714B">
        <w:rPr>
          <w:rFonts w:cs="Times New Roman"/>
          <w:szCs w:val="26"/>
        </w:rPr>
        <w:t xml:space="preserve"> in the final-form regulation.</w:t>
      </w:r>
    </w:p>
    <w:p w14:paraId="51A868B9" w14:textId="77777777" w:rsidR="002A5F6D" w:rsidRPr="00F1714B" w:rsidRDefault="002A5F6D" w:rsidP="00813E72">
      <w:pPr>
        <w:widowControl w:val="0"/>
        <w:ind w:firstLine="720"/>
        <w:rPr>
          <w:rFonts w:cs="Times New Roman"/>
          <w:szCs w:val="26"/>
        </w:rPr>
      </w:pPr>
    </w:p>
    <w:p w14:paraId="51BA451B" w14:textId="3F5E3C90" w:rsidR="00EC4CEE" w:rsidRPr="00F1714B" w:rsidRDefault="00576427" w:rsidP="00813E72">
      <w:pPr>
        <w:ind w:left="2160" w:hanging="720"/>
        <w:rPr>
          <w:rFonts w:cs="Times New Roman"/>
          <w:b/>
          <w:bCs/>
          <w:szCs w:val="26"/>
        </w:rPr>
      </w:pPr>
      <w:r w:rsidRPr="00F1714B">
        <w:rPr>
          <w:rFonts w:cs="Times New Roman"/>
          <w:b/>
          <w:bCs/>
          <w:szCs w:val="26"/>
        </w:rPr>
        <w:t>2.</w:t>
      </w:r>
      <w:r w:rsidRPr="00F1714B">
        <w:rPr>
          <w:rFonts w:cs="Times New Roman"/>
          <w:b/>
          <w:bCs/>
          <w:szCs w:val="26"/>
        </w:rPr>
        <w:tab/>
      </w:r>
      <w:r w:rsidR="0032009E" w:rsidRPr="00F1714B">
        <w:rPr>
          <w:rFonts w:cs="Times New Roman"/>
          <w:b/>
          <w:bCs/>
          <w:szCs w:val="26"/>
        </w:rPr>
        <w:t>52 Pa. Code</w:t>
      </w:r>
      <w:r w:rsidR="001B3461" w:rsidRPr="00F1714B">
        <w:rPr>
          <w:rFonts w:cs="Times New Roman"/>
          <w:b/>
          <w:bCs/>
          <w:szCs w:val="26"/>
        </w:rPr>
        <w:t xml:space="preserve"> § 63.53 (General provisions)</w:t>
      </w:r>
    </w:p>
    <w:p w14:paraId="21F5BE6B" w14:textId="68AA1F04" w:rsidR="00AA3B46" w:rsidRPr="00F1714B" w:rsidRDefault="00191966" w:rsidP="00E55426">
      <w:pPr>
        <w:ind w:firstLine="720"/>
        <w:rPr>
          <w:rFonts w:cs="Times New Roman"/>
          <w:color w:val="000000"/>
          <w:szCs w:val="26"/>
        </w:rPr>
      </w:pPr>
      <w:r w:rsidRPr="00F1714B">
        <w:rPr>
          <w:rFonts w:cs="Times New Roman"/>
          <w:szCs w:val="26"/>
        </w:rPr>
        <w:t xml:space="preserve">In the </w:t>
      </w:r>
      <w:r w:rsidRPr="00F1714B">
        <w:rPr>
          <w:rFonts w:cs="Times New Roman"/>
          <w:i/>
          <w:iCs/>
          <w:szCs w:val="26"/>
        </w:rPr>
        <w:t>Reclassification Order</w:t>
      </w:r>
      <w:r w:rsidRPr="00F1714B">
        <w:rPr>
          <w:rFonts w:cs="Times New Roman"/>
          <w:szCs w:val="26"/>
        </w:rPr>
        <w:t>, we temporarily waived Sections 63.5</w:t>
      </w:r>
      <w:r w:rsidR="007A4BF7" w:rsidRPr="00F1714B">
        <w:rPr>
          <w:rFonts w:cs="Times New Roman"/>
          <w:szCs w:val="26"/>
        </w:rPr>
        <w:t>3</w:t>
      </w:r>
      <w:r w:rsidR="00576427" w:rsidRPr="00F1714B">
        <w:rPr>
          <w:rFonts w:cs="Times New Roman"/>
          <w:szCs w:val="26"/>
        </w:rPr>
        <w:t xml:space="preserve"> </w:t>
      </w:r>
      <w:r w:rsidR="00357ECB" w:rsidRPr="00F1714B">
        <w:rPr>
          <w:rFonts w:cs="Times New Roman"/>
          <w:szCs w:val="26"/>
        </w:rPr>
        <w:t xml:space="preserve">of Subchapter </w:t>
      </w:r>
      <w:r w:rsidR="00787F27" w:rsidRPr="00F1714B">
        <w:rPr>
          <w:rFonts w:cs="Times New Roman"/>
          <w:szCs w:val="26"/>
        </w:rPr>
        <w:t xml:space="preserve">E of our regulations </w:t>
      </w:r>
      <w:r w:rsidR="007E196E" w:rsidRPr="00F1714B">
        <w:rPr>
          <w:rFonts w:cs="Times New Roman"/>
          <w:szCs w:val="26"/>
        </w:rPr>
        <w:t>for Verizon in the 153 competitive wire centers</w:t>
      </w:r>
      <w:r w:rsidR="00926084" w:rsidRPr="00F1714B">
        <w:rPr>
          <w:rFonts w:cs="Times New Roman"/>
          <w:szCs w:val="26"/>
        </w:rPr>
        <w:t>.</w:t>
      </w:r>
      <w:r w:rsidR="007E196E" w:rsidRPr="00F1714B">
        <w:rPr>
          <w:rFonts w:cs="Times New Roman"/>
          <w:szCs w:val="26"/>
          <w:vertAlign w:val="superscript"/>
        </w:rPr>
        <w:footnoteReference w:id="66"/>
      </w:r>
      <w:r w:rsidR="007E196E" w:rsidRPr="00F1714B">
        <w:rPr>
          <w:rFonts w:cs="Times New Roman"/>
          <w:szCs w:val="26"/>
        </w:rPr>
        <w:t xml:space="preserve">  </w:t>
      </w:r>
      <w:bookmarkStart w:id="39" w:name="_Hlk87369051"/>
      <w:r w:rsidR="007347AE" w:rsidRPr="00F1714B">
        <w:rPr>
          <w:rFonts w:cs="Times New Roman"/>
          <w:szCs w:val="26"/>
        </w:rPr>
        <w:t>I</w:t>
      </w:r>
      <w:r w:rsidR="00153FD0" w:rsidRPr="00F1714B">
        <w:rPr>
          <w:rFonts w:cs="Times New Roman"/>
          <w:szCs w:val="26"/>
        </w:rPr>
        <w:t xml:space="preserve">n the </w:t>
      </w:r>
      <w:r w:rsidR="00A468B2" w:rsidRPr="00F1714B">
        <w:rPr>
          <w:rFonts w:cs="Times New Roman"/>
          <w:i/>
          <w:iCs/>
          <w:szCs w:val="26"/>
        </w:rPr>
        <w:t>NPRM Order</w:t>
      </w:r>
      <w:r w:rsidR="00A468B2" w:rsidRPr="00F1714B">
        <w:rPr>
          <w:rFonts w:cs="Times New Roman"/>
          <w:szCs w:val="26"/>
        </w:rPr>
        <w:t xml:space="preserve"> </w:t>
      </w:r>
      <w:r w:rsidR="00886BAE" w:rsidRPr="00F1714B">
        <w:rPr>
          <w:rFonts w:cs="Times New Roman"/>
          <w:szCs w:val="26"/>
        </w:rPr>
        <w:t xml:space="preserve">we </w:t>
      </w:r>
      <w:r w:rsidR="001B3461" w:rsidRPr="00F1714B">
        <w:rPr>
          <w:rFonts w:cs="Times New Roman"/>
          <w:szCs w:val="26"/>
        </w:rPr>
        <w:t>propose</w:t>
      </w:r>
      <w:r w:rsidR="00886BAE" w:rsidRPr="00F1714B">
        <w:rPr>
          <w:rFonts w:cs="Times New Roman"/>
          <w:szCs w:val="26"/>
        </w:rPr>
        <w:t>d</w:t>
      </w:r>
      <w:r w:rsidR="001B3461" w:rsidRPr="00F1714B">
        <w:rPr>
          <w:rFonts w:cs="Times New Roman"/>
          <w:szCs w:val="26"/>
        </w:rPr>
        <w:t xml:space="preserve"> to retain </w:t>
      </w:r>
      <w:r w:rsidR="00FE3AEE" w:rsidRPr="00F1714B">
        <w:rPr>
          <w:rFonts w:cs="Times New Roman"/>
          <w:szCs w:val="26"/>
        </w:rPr>
        <w:t xml:space="preserve">certain portions of </w:t>
      </w:r>
      <w:r w:rsidR="001B3461" w:rsidRPr="00F1714B">
        <w:rPr>
          <w:rFonts w:cs="Times New Roman"/>
          <w:szCs w:val="26"/>
        </w:rPr>
        <w:t>Section 63.53</w:t>
      </w:r>
      <w:r w:rsidR="0002118F" w:rsidRPr="00F1714B">
        <w:rPr>
          <w:rFonts w:cs="Times New Roman"/>
          <w:szCs w:val="26"/>
        </w:rPr>
        <w:t xml:space="preserve">.  Specifically, </w:t>
      </w:r>
      <w:r w:rsidR="00FC0139" w:rsidRPr="00F1714B">
        <w:rPr>
          <w:rFonts w:cs="Times New Roman"/>
          <w:szCs w:val="26"/>
        </w:rPr>
        <w:t>we proposed to retain Section 63.53</w:t>
      </w:r>
      <w:r w:rsidR="001B3461" w:rsidRPr="00F1714B">
        <w:rPr>
          <w:rFonts w:cs="Times New Roman"/>
          <w:szCs w:val="26"/>
        </w:rPr>
        <w:t>(a) and (e) because of ongoing surveillance obligation and the availability of relief from unreasonable hardship provided under Section 63.53(e)</w:t>
      </w:r>
      <w:r w:rsidR="00153FD0" w:rsidRPr="00F1714B">
        <w:rPr>
          <w:rFonts w:cs="Times New Roman"/>
          <w:szCs w:val="26"/>
        </w:rPr>
        <w:t>,</w:t>
      </w:r>
      <w:r w:rsidR="008F672F" w:rsidRPr="00F1714B">
        <w:rPr>
          <w:rFonts w:cs="Times New Roman"/>
          <w:szCs w:val="26"/>
        </w:rPr>
        <w:t xml:space="preserve"> but </w:t>
      </w:r>
      <w:r w:rsidR="00FC0139" w:rsidRPr="00F1714B">
        <w:rPr>
          <w:rFonts w:cs="Times New Roman"/>
          <w:szCs w:val="26"/>
        </w:rPr>
        <w:t xml:space="preserve">we </w:t>
      </w:r>
      <w:r w:rsidR="009447EA" w:rsidRPr="00F1714B">
        <w:rPr>
          <w:rFonts w:cs="Times New Roman"/>
          <w:szCs w:val="26"/>
        </w:rPr>
        <w:t xml:space="preserve">proposed the </w:t>
      </w:r>
      <w:r w:rsidR="001B3461" w:rsidRPr="00F1714B">
        <w:rPr>
          <w:rFonts w:cs="Times New Roman"/>
          <w:szCs w:val="26"/>
        </w:rPr>
        <w:t xml:space="preserve">rescission of Section 63.53(c) that requires maintenance of operator services and </w:t>
      </w:r>
      <w:r w:rsidR="00FD7899" w:rsidRPr="00F1714B">
        <w:rPr>
          <w:rFonts w:cs="Times New Roman"/>
          <w:szCs w:val="26"/>
        </w:rPr>
        <w:t>S</w:t>
      </w:r>
      <w:r w:rsidR="001B3461" w:rsidRPr="00F1714B">
        <w:rPr>
          <w:rFonts w:cs="Times New Roman"/>
          <w:szCs w:val="26"/>
        </w:rPr>
        <w:t xml:space="preserve">ection </w:t>
      </w:r>
      <w:r w:rsidR="00FD7899" w:rsidRPr="00F1714B">
        <w:rPr>
          <w:rFonts w:cs="Times New Roman"/>
          <w:szCs w:val="26"/>
        </w:rPr>
        <w:t>63.53</w:t>
      </w:r>
      <w:r w:rsidR="001B3461" w:rsidRPr="00F1714B">
        <w:rPr>
          <w:rFonts w:cs="Times New Roman"/>
          <w:szCs w:val="26"/>
        </w:rPr>
        <w:t xml:space="preserve">(d) that requires forecasting customer demand.  </w:t>
      </w:r>
      <w:r w:rsidR="00701AE6" w:rsidRPr="00F1714B">
        <w:rPr>
          <w:rFonts w:cs="Times New Roman"/>
          <w:szCs w:val="26"/>
        </w:rPr>
        <w:t>Also, in our continual balancing of burdens and benefits, w</w:t>
      </w:r>
      <w:r w:rsidR="00B837C4" w:rsidRPr="00F1714B">
        <w:rPr>
          <w:rFonts w:cs="Times New Roman"/>
          <w:color w:val="000000"/>
          <w:szCs w:val="26"/>
        </w:rPr>
        <w:t xml:space="preserve">e </w:t>
      </w:r>
      <w:r w:rsidR="00FE0AE6" w:rsidRPr="00F1714B">
        <w:rPr>
          <w:rFonts w:cs="Times New Roman"/>
          <w:color w:val="000000"/>
          <w:szCs w:val="26"/>
        </w:rPr>
        <w:t xml:space="preserve">proposed to </w:t>
      </w:r>
      <w:r w:rsidR="00B837C4" w:rsidRPr="00F1714B">
        <w:rPr>
          <w:rFonts w:cs="Times New Roman"/>
          <w:color w:val="000000"/>
          <w:szCs w:val="26"/>
        </w:rPr>
        <w:t>rescind the reporting requirement in Section 63.53(b) as unnecessary</w:t>
      </w:r>
      <w:r w:rsidR="00EB6D2B" w:rsidRPr="00F1714B">
        <w:rPr>
          <w:rFonts w:cs="Times New Roman"/>
          <w:color w:val="000000"/>
          <w:szCs w:val="26"/>
        </w:rPr>
        <w:t xml:space="preserve"> in light of other protections</w:t>
      </w:r>
      <w:r w:rsidR="00FE0AE6" w:rsidRPr="00F1714B">
        <w:rPr>
          <w:rFonts w:cs="Times New Roman"/>
          <w:color w:val="000000"/>
          <w:szCs w:val="26"/>
        </w:rPr>
        <w:t xml:space="preserve"> since we had determined to retain reporting requirements regarding service levels in </w:t>
      </w:r>
      <w:r w:rsidR="00B837C4" w:rsidRPr="00F1714B">
        <w:rPr>
          <w:rFonts w:cs="Times New Roman"/>
          <w:color w:val="000000"/>
          <w:szCs w:val="26"/>
        </w:rPr>
        <w:t xml:space="preserve">other sections </w:t>
      </w:r>
      <w:r w:rsidR="00FE0AE6" w:rsidRPr="00F1714B">
        <w:rPr>
          <w:rFonts w:cs="Times New Roman"/>
          <w:color w:val="000000"/>
          <w:szCs w:val="26"/>
        </w:rPr>
        <w:t>of Chapter</w:t>
      </w:r>
      <w:r w:rsidR="00AA3B46" w:rsidRPr="00F1714B">
        <w:rPr>
          <w:rFonts w:cs="Times New Roman"/>
          <w:color w:val="000000"/>
          <w:szCs w:val="26"/>
        </w:rPr>
        <w:t xml:space="preserve"> 63</w:t>
      </w:r>
      <w:r w:rsidR="00B837C4" w:rsidRPr="00F1714B">
        <w:rPr>
          <w:rFonts w:cs="Times New Roman"/>
          <w:color w:val="000000"/>
          <w:szCs w:val="26"/>
        </w:rPr>
        <w:t xml:space="preserve">.  </w:t>
      </w:r>
    </w:p>
    <w:bookmarkEnd w:id="39"/>
    <w:p w14:paraId="0BB04190" w14:textId="03CFF37A" w:rsidR="0092776E" w:rsidRPr="00F1714B" w:rsidRDefault="0092776E" w:rsidP="00E55426">
      <w:pPr>
        <w:ind w:firstLine="720"/>
        <w:contextualSpacing/>
        <w:rPr>
          <w:rFonts w:cs="Times New Roman"/>
          <w:color w:val="000000"/>
          <w:szCs w:val="26"/>
        </w:rPr>
      </w:pPr>
    </w:p>
    <w:p w14:paraId="6297640B" w14:textId="4AE7E398" w:rsidR="0092776E" w:rsidRPr="00F1714B" w:rsidRDefault="0092776E" w:rsidP="002A5F6D">
      <w:pPr>
        <w:keepNext/>
        <w:keepLines/>
        <w:tabs>
          <w:tab w:val="left" w:pos="720"/>
          <w:tab w:val="left" w:pos="1440"/>
        </w:tabs>
        <w:jc w:val="both"/>
        <w:rPr>
          <w:rFonts w:cs="Times New Roman"/>
          <w:b/>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09452784" w14:textId="7C57655A" w:rsidR="001343CD" w:rsidRPr="00F1714B" w:rsidRDefault="0092776E" w:rsidP="00813E72">
      <w:pPr>
        <w:keepNext/>
        <w:keepLines/>
        <w:rPr>
          <w:rFonts w:cs="Times New Roman"/>
          <w:szCs w:val="26"/>
        </w:rPr>
      </w:pPr>
      <w:r w:rsidRPr="00F1714B">
        <w:rPr>
          <w:rFonts w:cs="Times New Roman"/>
          <w:szCs w:val="26"/>
        </w:rPr>
        <w:tab/>
      </w:r>
      <w:r w:rsidR="001343CD" w:rsidRPr="00F1714B">
        <w:rPr>
          <w:rFonts w:cs="Times New Roman"/>
          <w:szCs w:val="26"/>
        </w:rPr>
        <w:t>Verizon opposes the Commission’s proposed continuance of subsection 63.53 (General provisions) in modified form because in Verizon’s view it is not “necessary</w:t>
      </w:r>
      <w:r w:rsidR="00DD7D4E" w:rsidRPr="00F1714B">
        <w:rPr>
          <w:rFonts w:cs="Times New Roman"/>
          <w:szCs w:val="26"/>
        </w:rPr>
        <w:t>,</w:t>
      </w:r>
      <w:r w:rsidR="00A468B2" w:rsidRPr="00F1714B">
        <w:rPr>
          <w:rFonts w:cs="Times New Roman"/>
          <w:szCs w:val="26"/>
        </w:rPr>
        <w:t>”</w:t>
      </w:r>
      <w:r w:rsidR="001343CD" w:rsidRPr="00F1714B">
        <w:rPr>
          <w:rFonts w:cs="Times New Roman"/>
          <w:szCs w:val="26"/>
        </w:rPr>
        <w:t xml:space="preserve"> and Verizon believes its proposed modified rule is preferable </w:t>
      </w:r>
      <w:r w:rsidR="00D7733C" w:rsidRPr="00F1714B">
        <w:rPr>
          <w:rFonts w:cs="Times New Roman"/>
          <w:szCs w:val="26"/>
        </w:rPr>
        <w:t>because s</w:t>
      </w:r>
      <w:r w:rsidR="001343CD" w:rsidRPr="00F1714B">
        <w:rPr>
          <w:rFonts w:cs="Times New Roman"/>
          <w:szCs w:val="26"/>
        </w:rPr>
        <w:t xml:space="preserve">ervice quality is subject to Section 1501 and because it preserves the “unreasonable hardship” section. </w:t>
      </w:r>
      <w:r w:rsidR="00D06F41" w:rsidRPr="00F1714B">
        <w:rPr>
          <w:rFonts w:cs="Times New Roman"/>
          <w:szCs w:val="26"/>
        </w:rPr>
        <w:t xml:space="preserve"> </w:t>
      </w:r>
      <w:r w:rsidR="001343CD" w:rsidRPr="00F1714B">
        <w:rPr>
          <w:rFonts w:cs="Times New Roman"/>
          <w:szCs w:val="26"/>
        </w:rPr>
        <w:t xml:space="preserve">Verizon Comments at 21. </w:t>
      </w:r>
      <w:r w:rsidR="00D06F41" w:rsidRPr="00F1714B">
        <w:rPr>
          <w:rFonts w:cs="Times New Roman"/>
          <w:szCs w:val="26"/>
        </w:rPr>
        <w:t xml:space="preserve"> </w:t>
      </w:r>
    </w:p>
    <w:p w14:paraId="3FD832C5" w14:textId="77777777" w:rsidR="00E33DB9" w:rsidRPr="00F1714B" w:rsidRDefault="00E33DB9" w:rsidP="00813E72">
      <w:pPr>
        <w:keepNext/>
        <w:keepLines/>
        <w:rPr>
          <w:rFonts w:cs="Times New Roman"/>
          <w:szCs w:val="26"/>
        </w:rPr>
      </w:pPr>
    </w:p>
    <w:p w14:paraId="638041EF" w14:textId="6F7D0B6D" w:rsidR="0092776E" w:rsidRPr="00F1714B" w:rsidRDefault="0092776E" w:rsidP="00813E72">
      <w:pPr>
        <w:tabs>
          <w:tab w:val="left" w:pos="720"/>
          <w:tab w:val="left" w:pos="1440"/>
        </w:tabs>
        <w:jc w:val="both"/>
        <w:rPr>
          <w:rFonts w:cs="Times New Roman"/>
          <w:b/>
          <w:bCs/>
          <w:szCs w:val="26"/>
        </w:rPr>
      </w:pPr>
      <w:r w:rsidRPr="00F1714B">
        <w:rPr>
          <w:rFonts w:cs="Times New Roman"/>
          <w:b/>
          <w:bCs/>
          <w:szCs w:val="26"/>
        </w:rPr>
        <w:tab/>
      </w:r>
      <w:r w:rsidRPr="00F1714B">
        <w:rPr>
          <w:rFonts w:cs="Times New Roman"/>
          <w:b/>
          <w:bCs/>
          <w:szCs w:val="26"/>
        </w:rPr>
        <w:tab/>
      </w:r>
      <w:r w:rsidRPr="00F1714B">
        <w:rPr>
          <w:rFonts w:cs="Times New Roman"/>
          <w:b/>
          <w:bCs/>
          <w:szCs w:val="26"/>
        </w:rPr>
        <w:tab/>
        <w:t>b</w:t>
      </w:r>
      <w:r w:rsidR="004315BE" w:rsidRPr="00F1714B">
        <w:rPr>
          <w:rFonts w:cs="Times New Roman"/>
          <w:b/>
          <w:bCs/>
          <w:szCs w:val="26"/>
        </w:rPr>
        <w:t>.</w:t>
      </w:r>
      <w:r w:rsidRPr="00F1714B">
        <w:rPr>
          <w:rFonts w:cs="Times New Roman"/>
          <w:b/>
          <w:bCs/>
          <w:szCs w:val="26"/>
        </w:rPr>
        <w:tab/>
        <w:t>Discussion</w:t>
      </w:r>
      <w:r w:rsidR="004315BE" w:rsidRPr="00F1714B">
        <w:rPr>
          <w:rFonts w:cs="Times New Roman"/>
          <w:b/>
          <w:bCs/>
          <w:szCs w:val="26"/>
        </w:rPr>
        <w:t xml:space="preserve"> and Resolution</w:t>
      </w:r>
    </w:p>
    <w:p w14:paraId="3E95049A" w14:textId="2809D18B" w:rsidR="00572A02" w:rsidRPr="00F1714B" w:rsidRDefault="00714B6B" w:rsidP="00572A02">
      <w:pPr>
        <w:ind w:firstLine="720"/>
        <w:contextualSpacing/>
        <w:rPr>
          <w:rFonts w:cs="Times New Roman"/>
          <w:color w:val="000000"/>
          <w:szCs w:val="26"/>
        </w:rPr>
      </w:pPr>
      <w:r w:rsidRPr="00F1714B">
        <w:rPr>
          <w:rFonts w:cs="Times New Roman"/>
          <w:color w:val="000000"/>
          <w:szCs w:val="26"/>
        </w:rPr>
        <w:t xml:space="preserve">Section 63.53 </w:t>
      </w:r>
      <w:r w:rsidR="00202C47" w:rsidRPr="00F1714B">
        <w:rPr>
          <w:rFonts w:cs="Times New Roman"/>
          <w:color w:val="000000"/>
          <w:szCs w:val="26"/>
        </w:rPr>
        <w:t xml:space="preserve">of our regulations </w:t>
      </w:r>
      <w:r w:rsidRPr="00F1714B">
        <w:rPr>
          <w:rFonts w:cs="Times New Roman"/>
          <w:color w:val="000000"/>
          <w:szCs w:val="26"/>
        </w:rPr>
        <w:t xml:space="preserve">contains various provisions related to quality of service.  In the </w:t>
      </w:r>
      <w:r w:rsidRPr="00F1714B">
        <w:rPr>
          <w:rFonts w:cs="Times New Roman"/>
          <w:i/>
          <w:iCs/>
          <w:color w:val="000000"/>
          <w:szCs w:val="26"/>
        </w:rPr>
        <w:t>NPRM</w:t>
      </w:r>
      <w:r w:rsidR="00202C47" w:rsidRPr="00F1714B">
        <w:rPr>
          <w:rFonts w:cs="Times New Roman"/>
          <w:i/>
          <w:iCs/>
          <w:color w:val="000000"/>
          <w:szCs w:val="26"/>
        </w:rPr>
        <w:t xml:space="preserve"> Order</w:t>
      </w:r>
      <w:r w:rsidRPr="00F1714B">
        <w:rPr>
          <w:rFonts w:cs="Times New Roman"/>
          <w:color w:val="000000"/>
          <w:szCs w:val="26"/>
        </w:rPr>
        <w:t xml:space="preserve">, we proposed to retain parts of this section, including </w:t>
      </w:r>
      <w:r w:rsidRPr="00F1714B">
        <w:rPr>
          <w:rFonts w:cs="Times New Roman"/>
          <w:color w:val="000000"/>
          <w:szCs w:val="26"/>
        </w:rPr>
        <w:lastRenderedPageBreak/>
        <w:t>Section 63.53(a) requiring telephone utilities to provide service in accordance with their tariffs</w:t>
      </w:r>
      <w:r w:rsidR="008E3EDF" w:rsidRPr="00F1714B">
        <w:rPr>
          <w:rFonts w:cs="Times New Roman"/>
          <w:color w:val="000000"/>
          <w:szCs w:val="26"/>
        </w:rPr>
        <w:t xml:space="preserve"> or product guide</w:t>
      </w:r>
      <w:r w:rsidRPr="00F1714B">
        <w:rPr>
          <w:rFonts w:cs="Times New Roman"/>
          <w:color w:val="000000"/>
          <w:szCs w:val="26"/>
        </w:rPr>
        <w:t xml:space="preserve">.  </w:t>
      </w:r>
      <w:r w:rsidR="00572A02" w:rsidRPr="00F1714B">
        <w:rPr>
          <w:rFonts w:cs="Times New Roman"/>
          <w:color w:val="000000"/>
          <w:szCs w:val="26"/>
        </w:rPr>
        <w:t>Upon review, the Commission shall instead rescind Section 63.53(a) from our regulations.  Current Section 63.53(a) essentially restates an already-existing legal obligation</w:t>
      </w:r>
      <w:r w:rsidR="00E761AB" w:rsidRPr="00F1714B">
        <w:rPr>
          <w:rFonts w:cs="Times New Roman"/>
          <w:color w:val="000000"/>
          <w:szCs w:val="26"/>
        </w:rPr>
        <w:t>,</w:t>
      </w:r>
      <w:r w:rsidR="00572A02" w:rsidRPr="00F1714B">
        <w:rPr>
          <w:rFonts w:cs="Times New Roman"/>
          <w:color w:val="000000"/>
          <w:szCs w:val="26"/>
        </w:rPr>
        <w:t xml:space="preserve"> and there is no need to repeat it in a regulation. </w:t>
      </w:r>
    </w:p>
    <w:p w14:paraId="2720C0E0" w14:textId="77777777" w:rsidR="00334EC2" w:rsidRPr="00F1714B" w:rsidRDefault="00EA0CFA" w:rsidP="00334EC2">
      <w:pPr>
        <w:tabs>
          <w:tab w:val="left" w:pos="720"/>
          <w:tab w:val="left" w:pos="1440"/>
        </w:tabs>
        <w:rPr>
          <w:rFonts w:cs="Times New Roman"/>
          <w:color w:val="000000"/>
          <w:szCs w:val="26"/>
        </w:rPr>
      </w:pPr>
      <w:r w:rsidRPr="00F1714B">
        <w:rPr>
          <w:rFonts w:cs="Times New Roman"/>
          <w:color w:val="000000"/>
          <w:szCs w:val="26"/>
        </w:rPr>
        <w:tab/>
      </w:r>
    </w:p>
    <w:p w14:paraId="72AE44D7" w14:textId="792CDE57" w:rsidR="00334EC2" w:rsidRPr="00F1714B" w:rsidRDefault="00334EC2" w:rsidP="002A5F6D">
      <w:pPr>
        <w:tabs>
          <w:tab w:val="left" w:pos="720"/>
          <w:tab w:val="left" w:pos="1440"/>
        </w:tabs>
        <w:rPr>
          <w:rFonts w:cs="Times New Roman"/>
          <w:color w:val="000000"/>
          <w:szCs w:val="26"/>
        </w:rPr>
      </w:pPr>
      <w:r w:rsidRPr="00F1714B">
        <w:rPr>
          <w:rFonts w:cs="Times New Roman"/>
          <w:color w:val="000000"/>
          <w:szCs w:val="26"/>
        </w:rPr>
        <w:tab/>
        <w:t>No party filed comment or replies regarding the Commission’s additional propos</w:t>
      </w:r>
      <w:r w:rsidR="00FA643B" w:rsidRPr="00F1714B">
        <w:rPr>
          <w:rFonts w:cs="Times New Roman"/>
          <w:color w:val="000000"/>
          <w:szCs w:val="26"/>
        </w:rPr>
        <w:t xml:space="preserve">als </w:t>
      </w:r>
      <w:r w:rsidRPr="00F1714B">
        <w:rPr>
          <w:rFonts w:cs="Times New Roman"/>
          <w:color w:val="000000"/>
          <w:szCs w:val="26"/>
        </w:rPr>
        <w:t>to this rule.</w:t>
      </w:r>
      <w:r w:rsidR="00FA643B" w:rsidRPr="00F1714B">
        <w:rPr>
          <w:rFonts w:cs="Times New Roman"/>
          <w:szCs w:val="26"/>
        </w:rPr>
        <w:t xml:space="preserve"> Therefore, </w:t>
      </w:r>
      <w:r w:rsidR="00DE4A62" w:rsidRPr="00F1714B">
        <w:rPr>
          <w:rFonts w:cs="Times New Roman"/>
          <w:color w:val="000000"/>
          <w:szCs w:val="26"/>
        </w:rPr>
        <w:t xml:space="preserve">we shall rescind </w:t>
      </w:r>
      <w:r w:rsidR="00FA643B" w:rsidRPr="00F1714B">
        <w:rPr>
          <w:rFonts w:cs="Times New Roman"/>
          <w:color w:val="000000"/>
          <w:szCs w:val="26"/>
        </w:rPr>
        <w:t>Section</w:t>
      </w:r>
      <w:r w:rsidR="0062677C" w:rsidRPr="00F1714B">
        <w:rPr>
          <w:rFonts w:cs="Times New Roman"/>
          <w:color w:val="000000"/>
          <w:szCs w:val="26"/>
        </w:rPr>
        <w:t>s</w:t>
      </w:r>
      <w:r w:rsidR="00FA643B" w:rsidRPr="00F1714B">
        <w:rPr>
          <w:rFonts w:cs="Times New Roman"/>
          <w:color w:val="000000"/>
          <w:szCs w:val="26"/>
        </w:rPr>
        <w:t xml:space="preserve"> 63.53</w:t>
      </w:r>
      <w:r w:rsidR="0062677C" w:rsidRPr="00F1714B">
        <w:rPr>
          <w:rFonts w:cs="Times New Roman"/>
          <w:color w:val="000000"/>
          <w:szCs w:val="26"/>
        </w:rPr>
        <w:t xml:space="preserve">(b), </w:t>
      </w:r>
      <w:r w:rsidR="00FA643B" w:rsidRPr="00F1714B">
        <w:rPr>
          <w:rFonts w:cs="Times New Roman"/>
          <w:color w:val="000000"/>
          <w:szCs w:val="26"/>
        </w:rPr>
        <w:t xml:space="preserve">(c) and (d) </w:t>
      </w:r>
      <w:r w:rsidR="0062677C" w:rsidRPr="00F1714B">
        <w:rPr>
          <w:rFonts w:cs="Times New Roman"/>
          <w:color w:val="000000"/>
          <w:szCs w:val="26"/>
        </w:rPr>
        <w:t xml:space="preserve">from Chapter 63 in </w:t>
      </w:r>
      <w:r w:rsidR="00DE4A62" w:rsidRPr="00F1714B">
        <w:rPr>
          <w:rFonts w:cs="Times New Roman"/>
          <w:color w:val="000000"/>
          <w:szCs w:val="26"/>
        </w:rPr>
        <w:t>the final-form regulation</w:t>
      </w:r>
      <w:r w:rsidR="00FA643B" w:rsidRPr="00F1714B">
        <w:rPr>
          <w:rFonts w:cs="Times New Roman"/>
          <w:color w:val="000000"/>
          <w:szCs w:val="26"/>
        </w:rPr>
        <w:t xml:space="preserve">.  Also, </w:t>
      </w:r>
      <w:r w:rsidR="0062677C" w:rsidRPr="00F1714B">
        <w:rPr>
          <w:rFonts w:cs="Times New Roman"/>
          <w:color w:val="000000"/>
          <w:szCs w:val="26"/>
        </w:rPr>
        <w:t xml:space="preserve">we shall retain Section 63.53(e) because of ongoing surveillance obligation and the availability of relief from </w:t>
      </w:r>
      <w:r w:rsidR="005B7334" w:rsidRPr="00F1714B">
        <w:rPr>
          <w:rFonts w:cs="Times New Roman"/>
          <w:color w:val="000000"/>
          <w:szCs w:val="26"/>
        </w:rPr>
        <w:t>an</w:t>
      </w:r>
      <w:r w:rsidR="00C05454" w:rsidRPr="00F1714B">
        <w:rPr>
          <w:rFonts w:cs="Times New Roman"/>
          <w:color w:val="000000"/>
          <w:szCs w:val="26"/>
        </w:rPr>
        <w:t xml:space="preserve">y </w:t>
      </w:r>
      <w:r w:rsidR="0062677C" w:rsidRPr="00F1714B">
        <w:rPr>
          <w:rFonts w:cs="Times New Roman"/>
          <w:color w:val="000000"/>
          <w:szCs w:val="26"/>
        </w:rPr>
        <w:t>unreasonable hardship</w:t>
      </w:r>
      <w:r w:rsidR="00C05454" w:rsidRPr="00F1714B">
        <w:rPr>
          <w:rFonts w:cs="Times New Roman"/>
          <w:color w:val="000000"/>
          <w:szCs w:val="26"/>
        </w:rPr>
        <w:t xml:space="preserve"> to comply with </w:t>
      </w:r>
      <w:r w:rsidR="00384BB1" w:rsidRPr="00F1714B">
        <w:rPr>
          <w:rFonts w:cs="Times New Roman"/>
          <w:color w:val="000000"/>
          <w:szCs w:val="26"/>
        </w:rPr>
        <w:t>the Commission’s Subchapter E quality of service regulations</w:t>
      </w:r>
      <w:r w:rsidR="00C05454" w:rsidRPr="00F1714B">
        <w:rPr>
          <w:rFonts w:cs="Times New Roman"/>
          <w:color w:val="000000"/>
          <w:szCs w:val="26"/>
        </w:rPr>
        <w:t xml:space="preserve">. </w:t>
      </w:r>
    </w:p>
    <w:p w14:paraId="30A5488B" w14:textId="2293D023" w:rsidR="00202C47" w:rsidRPr="00F1714B" w:rsidRDefault="00202C47" w:rsidP="002A5F6D">
      <w:pPr>
        <w:tabs>
          <w:tab w:val="left" w:pos="720"/>
          <w:tab w:val="left" w:pos="1440"/>
        </w:tabs>
        <w:rPr>
          <w:rFonts w:cs="Times New Roman"/>
          <w:color w:val="000000"/>
          <w:szCs w:val="26"/>
        </w:rPr>
      </w:pPr>
    </w:p>
    <w:p w14:paraId="401BD6A4" w14:textId="0A319412" w:rsidR="001B3461" w:rsidRPr="00F1714B" w:rsidRDefault="0092776E" w:rsidP="002A5F6D">
      <w:pPr>
        <w:ind w:firstLine="720"/>
        <w:contextualSpacing/>
        <w:rPr>
          <w:rFonts w:cs="Times New Roman"/>
          <w:b/>
          <w:bCs/>
          <w:szCs w:val="26"/>
        </w:rPr>
      </w:pPr>
      <w:r w:rsidRPr="00F1714B">
        <w:rPr>
          <w:rFonts w:cs="Times New Roman"/>
          <w:b/>
          <w:bCs/>
          <w:szCs w:val="26"/>
        </w:rPr>
        <w:tab/>
      </w:r>
      <w:r w:rsidR="00576427" w:rsidRPr="00F1714B">
        <w:rPr>
          <w:rFonts w:cs="Times New Roman"/>
          <w:b/>
          <w:bCs/>
          <w:szCs w:val="26"/>
        </w:rPr>
        <w:t>3</w:t>
      </w:r>
      <w:r w:rsidR="001B3461" w:rsidRPr="00F1714B">
        <w:rPr>
          <w:rFonts w:cs="Times New Roman"/>
          <w:b/>
          <w:bCs/>
          <w:szCs w:val="26"/>
        </w:rPr>
        <w:t>.</w:t>
      </w:r>
      <w:r w:rsidR="001B3461" w:rsidRPr="00F1714B">
        <w:rPr>
          <w:rFonts w:cs="Times New Roman"/>
          <w:b/>
          <w:bCs/>
          <w:szCs w:val="26"/>
        </w:rPr>
        <w:tab/>
        <w:t>52 Pa. Code § 63.54 (Record Retention)</w:t>
      </w:r>
    </w:p>
    <w:p w14:paraId="5E7F4CCB" w14:textId="24234049" w:rsidR="00E25786" w:rsidRPr="00F1714B" w:rsidRDefault="00E25786" w:rsidP="00E55426">
      <w:pPr>
        <w:ind w:firstLine="720"/>
        <w:contextualSpacing/>
        <w:rPr>
          <w:rFonts w:cs="Times New Roman"/>
          <w:color w:val="000000"/>
          <w:szCs w:val="26"/>
        </w:rPr>
      </w:pPr>
      <w:r w:rsidRPr="00F1714B">
        <w:rPr>
          <w:rFonts w:cs="Times New Roman"/>
          <w:color w:val="000000"/>
          <w:szCs w:val="26"/>
        </w:rPr>
        <w:t xml:space="preserve">In light of the </w:t>
      </w:r>
      <w:r w:rsidR="0041425D" w:rsidRPr="00F1714B">
        <w:rPr>
          <w:rFonts w:cs="Times New Roman"/>
          <w:color w:val="000000"/>
          <w:szCs w:val="26"/>
        </w:rPr>
        <w:t xml:space="preserve">several other </w:t>
      </w:r>
      <w:r w:rsidRPr="00F1714B">
        <w:rPr>
          <w:rFonts w:cs="Times New Roman"/>
          <w:color w:val="000000"/>
          <w:szCs w:val="26"/>
        </w:rPr>
        <w:t xml:space="preserve">changes that we </w:t>
      </w:r>
      <w:r w:rsidR="0041425D" w:rsidRPr="00F1714B">
        <w:rPr>
          <w:rFonts w:cs="Times New Roman"/>
          <w:color w:val="000000"/>
          <w:szCs w:val="26"/>
        </w:rPr>
        <w:t xml:space="preserve">had </w:t>
      </w:r>
      <w:r w:rsidRPr="00F1714B">
        <w:rPr>
          <w:rFonts w:cs="Times New Roman"/>
          <w:color w:val="000000"/>
          <w:szCs w:val="26"/>
        </w:rPr>
        <w:t>propose</w:t>
      </w:r>
      <w:r w:rsidR="0041425D" w:rsidRPr="00F1714B">
        <w:rPr>
          <w:rFonts w:cs="Times New Roman"/>
          <w:color w:val="000000"/>
          <w:szCs w:val="26"/>
        </w:rPr>
        <w:t xml:space="preserve">d in our regulations </w:t>
      </w:r>
      <w:r w:rsidRPr="00F1714B">
        <w:rPr>
          <w:rFonts w:cs="Times New Roman"/>
          <w:color w:val="000000"/>
          <w:szCs w:val="26"/>
        </w:rPr>
        <w:t>with respect to reports and record keeping, we propose</w:t>
      </w:r>
      <w:r w:rsidR="0041425D" w:rsidRPr="00F1714B">
        <w:rPr>
          <w:rFonts w:cs="Times New Roman"/>
          <w:color w:val="000000"/>
          <w:szCs w:val="26"/>
        </w:rPr>
        <w:t xml:space="preserve">d </w:t>
      </w:r>
      <w:r w:rsidRPr="00F1714B">
        <w:rPr>
          <w:rFonts w:cs="Times New Roman"/>
          <w:color w:val="000000"/>
          <w:szCs w:val="26"/>
        </w:rPr>
        <w:t xml:space="preserve">to amend Section 63.54 to retain the language that currently exists and incorporate it as a new Section 63.54(a). </w:t>
      </w:r>
      <w:r w:rsidR="000731FB" w:rsidRPr="00F1714B">
        <w:rPr>
          <w:rFonts w:cs="Times New Roman"/>
          <w:color w:val="000000"/>
          <w:szCs w:val="26"/>
        </w:rPr>
        <w:t xml:space="preserve"> </w:t>
      </w:r>
      <w:r w:rsidRPr="00F1714B">
        <w:rPr>
          <w:rFonts w:cs="Times New Roman"/>
          <w:color w:val="000000"/>
          <w:szCs w:val="26"/>
        </w:rPr>
        <w:t>Thus Section 63.54(a) retain</w:t>
      </w:r>
      <w:r w:rsidR="0041425D" w:rsidRPr="00F1714B">
        <w:rPr>
          <w:rFonts w:cs="Times New Roman"/>
          <w:color w:val="000000"/>
          <w:szCs w:val="26"/>
        </w:rPr>
        <w:t>s</w:t>
      </w:r>
      <w:r w:rsidRPr="00F1714B">
        <w:rPr>
          <w:rFonts w:cs="Times New Roman"/>
          <w:color w:val="000000"/>
          <w:szCs w:val="26"/>
        </w:rPr>
        <w:t xml:space="preserve"> the current 90-day retention period for undisputed billing records and a retention of records related to bills disputed until the dispute is resolved.</w:t>
      </w:r>
    </w:p>
    <w:p w14:paraId="545D4963" w14:textId="77777777" w:rsidR="00C65936" w:rsidRPr="00F1714B" w:rsidRDefault="00C65936" w:rsidP="00E55426">
      <w:pPr>
        <w:ind w:firstLine="720"/>
        <w:contextualSpacing/>
        <w:rPr>
          <w:rFonts w:cs="Times New Roman"/>
          <w:color w:val="000000"/>
          <w:szCs w:val="26"/>
        </w:rPr>
      </w:pPr>
    </w:p>
    <w:p w14:paraId="7FEABC83" w14:textId="44EAD162" w:rsidR="00090F2D" w:rsidRPr="00F1714B" w:rsidRDefault="0041425D" w:rsidP="00E55426">
      <w:pPr>
        <w:ind w:firstLine="720"/>
        <w:contextualSpacing/>
        <w:rPr>
          <w:rFonts w:cs="Times New Roman"/>
          <w:color w:val="000000"/>
          <w:szCs w:val="26"/>
        </w:rPr>
      </w:pPr>
      <w:r w:rsidRPr="00F1714B">
        <w:rPr>
          <w:rFonts w:cs="Times New Roman"/>
          <w:color w:val="000000"/>
          <w:szCs w:val="26"/>
        </w:rPr>
        <w:t xml:space="preserve">In the Annex to the </w:t>
      </w:r>
      <w:r w:rsidRPr="00F1714B">
        <w:rPr>
          <w:rFonts w:cs="Times New Roman"/>
          <w:i/>
          <w:iCs/>
          <w:color w:val="000000"/>
          <w:szCs w:val="26"/>
        </w:rPr>
        <w:t>N</w:t>
      </w:r>
      <w:r w:rsidR="006019F7" w:rsidRPr="00F1714B">
        <w:rPr>
          <w:rFonts w:cs="Times New Roman"/>
          <w:i/>
          <w:iCs/>
          <w:color w:val="000000"/>
          <w:szCs w:val="26"/>
        </w:rPr>
        <w:t xml:space="preserve">PRM </w:t>
      </w:r>
      <w:r w:rsidRPr="00F1714B">
        <w:rPr>
          <w:rFonts w:cs="Times New Roman"/>
          <w:i/>
          <w:iCs/>
          <w:color w:val="000000"/>
          <w:szCs w:val="26"/>
        </w:rPr>
        <w:t>Order</w:t>
      </w:r>
      <w:r w:rsidRPr="00F1714B">
        <w:rPr>
          <w:rFonts w:cs="Times New Roman"/>
          <w:color w:val="000000"/>
          <w:szCs w:val="26"/>
        </w:rPr>
        <w:t xml:space="preserve">, we also proposed </w:t>
      </w:r>
      <w:r w:rsidR="00E25786" w:rsidRPr="00F1714B">
        <w:rPr>
          <w:rFonts w:cs="Times New Roman"/>
          <w:color w:val="000000"/>
          <w:szCs w:val="26"/>
        </w:rPr>
        <w:t xml:space="preserve">a new Section 63.54(b) </w:t>
      </w:r>
      <w:r w:rsidRPr="00F1714B">
        <w:rPr>
          <w:rFonts w:cs="Times New Roman"/>
          <w:color w:val="000000"/>
          <w:szCs w:val="26"/>
        </w:rPr>
        <w:t xml:space="preserve">that </w:t>
      </w:r>
      <w:r w:rsidR="00E25786" w:rsidRPr="00F1714B">
        <w:rPr>
          <w:rFonts w:cs="Times New Roman"/>
          <w:color w:val="000000"/>
          <w:szCs w:val="26"/>
        </w:rPr>
        <w:t>establish</w:t>
      </w:r>
      <w:r w:rsidRPr="00F1714B">
        <w:rPr>
          <w:rFonts w:cs="Times New Roman"/>
          <w:color w:val="000000"/>
          <w:szCs w:val="26"/>
        </w:rPr>
        <w:t xml:space="preserve">es </w:t>
      </w:r>
      <w:r w:rsidR="00E25786" w:rsidRPr="00F1714B">
        <w:rPr>
          <w:rFonts w:cs="Times New Roman"/>
          <w:color w:val="000000"/>
          <w:szCs w:val="26"/>
        </w:rPr>
        <w:t>a five-year record retention period for the following specific service records: (1) records related to call answering times, a subject currently addressed under Section 63.56 of our regulations and proposed to be amended in proposed Section 63.59 below; (2) records related to service complaints and trouble reports under Section 63.22 as proposed to be amended below; (3) records related to surveillance level investigations under Section 63.55 as proposed to be amended below; and (4) records related to service outages addressed under Sections 63.22 and 6</w:t>
      </w:r>
      <w:r w:rsidR="00585BB0" w:rsidRPr="00F1714B">
        <w:rPr>
          <w:rFonts w:cs="Times New Roman"/>
          <w:color w:val="000000"/>
          <w:szCs w:val="26"/>
        </w:rPr>
        <w:t>3</w:t>
      </w:r>
      <w:r w:rsidR="00E25786" w:rsidRPr="00F1714B">
        <w:rPr>
          <w:rFonts w:cs="Times New Roman"/>
          <w:color w:val="000000"/>
          <w:szCs w:val="26"/>
        </w:rPr>
        <w:t xml:space="preserve">.57. </w:t>
      </w:r>
      <w:r w:rsidRPr="00F1714B">
        <w:rPr>
          <w:rFonts w:cs="Times New Roman"/>
          <w:color w:val="000000"/>
          <w:szCs w:val="26"/>
        </w:rPr>
        <w:t xml:space="preserve"> </w:t>
      </w:r>
    </w:p>
    <w:p w14:paraId="4F138A56" w14:textId="77777777" w:rsidR="00090F2D" w:rsidRPr="00F1714B" w:rsidRDefault="00090F2D" w:rsidP="00E55426">
      <w:pPr>
        <w:ind w:firstLine="720"/>
        <w:contextualSpacing/>
        <w:rPr>
          <w:rFonts w:cs="Times New Roman"/>
          <w:color w:val="000000"/>
          <w:szCs w:val="26"/>
        </w:rPr>
      </w:pPr>
    </w:p>
    <w:p w14:paraId="46EE8BC0" w14:textId="6B4EF4D5" w:rsidR="00E25786" w:rsidRPr="00F1714B" w:rsidRDefault="0041425D" w:rsidP="00813E72">
      <w:pPr>
        <w:ind w:firstLine="720"/>
        <w:contextualSpacing/>
        <w:rPr>
          <w:rFonts w:cs="Times New Roman"/>
          <w:color w:val="000000"/>
          <w:szCs w:val="26"/>
        </w:rPr>
      </w:pPr>
      <w:r w:rsidRPr="00F1714B">
        <w:rPr>
          <w:rFonts w:cs="Times New Roman"/>
          <w:color w:val="000000"/>
          <w:szCs w:val="26"/>
        </w:rPr>
        <w:t xml:space="preserve">In the </w:t>
      </w:r>
      <w:r w:rsidRPr="00F1714B">
        <w:rPr>
          <w:rFonts w:cs="Times New Roman"/>
          <w:i/>
          <w:iCs/>
          <w:color w:val="000000"/>
          <w:szCs w:val="26"/>
        </w:rPr>
        <w:t>N</w:t>
      </w:r>
      <w:r w:rsidR="006019F7" w:rsidRPr="00F1714B">
        <w:rPr>
          <w:rFonts w:cs="Times New Roman"/>
          <w:i/>
          <w:iCs/>
          <w:color w:val="000000"/>
          <w:szCs w:val="26"/>
        </w:rPr>
        <w:t xml:space="preserve">PRM </w:t>
      </w:r>
      <w:r w:rsidRPr="00F1714B">
        <w:rPr>
          <w:rFonts w:cs="Times New Roman"/>
          <w:i/>
          <w:iCs/>
          <w:color w:val="000000"/>
          <w:szCs w:val="26"/>
        </w:rPr>
        <w:t>Order</w:t>
      </w:r>
      <w:r w:rsidRPr="00F1714B">
        <w:rPr>
          <w:rFonts w:cs="Times New Roman"/>
          <w:color w:val="000000"/>
          <w:szCs w:val="26"/>
        </w:rPr>
        <w:t xml:space="preserve">, we had determined that </w:t>
      </w:r>
      <w:r w:rsidR="00E25786" w:rsidRPr="00F1714B">
        <w:rPr>
          <w:rFonts w:cs="Times New Roman"/>
          <w:color w:val="000000"/>
          <w:szCs w:val="26"/>
        </w:rPr>
        <w:t>these amendments, in concert with the</w:t>
      </w:r>
      <w:r w:rsidRPr="00F1714B">
        <w:rPr>
          <w:rFonts w:cs="Times New Roman"/>
          <w:color w:val="000000"/>
          <w:szCs w:val="26"/>
        </w:rPr>
        <w:t xml:space="preserve"> other </w:t>
      </w:r>
      <w:r w:rsidR="00E25786" w:rsidRPr="00F1714B">
        <w:rPr>
          <w:rFonts w:cs="Times New Roman"/>
          <w:color w:val="000000"/>
          <w:szCs w:val="26"/>
        </w:rPr>
        <w:t xml:space="preserve">proposed amendments to Sections 63.22, 63.55, and 64.57, </w:t>
      </w:r>
      <w:r w:rsidRPr="00F1714B">
        <w:rPr>
          <w:rFonts w:cs="Times New Roman"/>
          <w:color w:val="000000"/>
          <w:szCs w:val="26"/>
        </w:rPr>
        <w:t xml:space="preserve">would allow us to </w:t>
      </w:r>
      <w:r w:rsidR="00E25786" w:rsidRPr="00F1714B">
        <w:rPr>
          <w:rFonts w:cs="Times New Roman"/>
          <w:color w:val="000000"/>
          <w:szCs w:val="26"/>
        </w:rPr>
        <w:lastRenderedPageBreak/>
        <w:t xml:space="preserve">retain sufficient guidelines on the types of records related to service that utilities should continue to keep, thereby continuing consumer protections in core service-related matters, while at the same time also providing relief from what are multiple mandatory reporting requirements under our regulations as they currently exist. </w:t>
      </w:r>
    </w:p>
    <w:p w14:paraId="00787FF5" w14:textId="29D188B0" w:rsidR="0041425D" w:rsidRPr="00F1714B" w:rsidRDefault="0041425D" w:rsidP="00813E72">
      <w:pPr>
        <w:ind w:firstLine="720"/>
        <w:contextualSpacing/>
        <w:rPr>
          <w:rFonts w:cs="Times New Roman"/>
          <w:color w:val="000000"/>
          <w:szCs w:val="26"/>
        </w:rPr>
      </w:pPr>
    </w:p>
    <w:p w14:paraId="33027440" w14:textId="4F709D28" w:rsidR="00BD6B95" w:rsidRPr="00F1714B" w:rsidRDefault="00BD6B95" w:rsidP="00813E72">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 </w:t>
      </w:r>
    </w:p>
    <w:p w14:paraId="776E70E7" w14:textId="77777777" w:rsidR="00DC1AA2" w:rsidRPr="00F1714B" w:rsidRDefault="00DC1AA2" w:rsidP="00E55426">
      <w:pPr>
        <w:ind w:firstLine="720"/>
        <w:rPr>
          <w:rFonts w:cs="Times New Roman"/>
          <w:szCs w:val="26"/>
        </w:rPr>
      </w:pPr>
      <w:bookmarkStart w:id="40" w:name="_Hlk77083135"/>
      <w:r w:rsidRPr="00F1714B">
        <w:rPr>
          <w:rFonts w:cs="Times New Roman"/>
          <w:szCs w:val="26"/>
        </w:rPr>
        <w:t>IRRC notes that “[a] commentator suggests that rather than a five-year period requirement, the PUC should adopt a three-year time frame for retaining records,” and recommends that the Commission “should explain its rationale for the time period contained in this section and explain why it is reasonable.” IRRC Comments at 7.</w:t>
      </w:r>
    </w:p>
    <w:p w14:paraId="59FA6E83" w14:textId="77777777" w:rsidR="00DC1AA2" w:rsidRPr="00F1714B" w:rsidRDefault="00DC1AA2" w:rsidP="00E55426">
      <w:pPr>
        <w:ind w:firstLine="720"/>
        <w:rPr>
          <w:rFonts w:cs="Times New Roman"/>
          <w:szCs w:val="26"/>
        </w:rPr>
      </w:pPr>
    </w:p>
    <w:p w14:paraId="1F39FBEF" w14:textId="020407B5" w:rsidR="00B5332F" w:rsidRPr="00F1714B" w:rsidRDefault="00B5332F" w:rsidP="00E55426">
      <w:pPr>
        <w:ind w:firstLine="720"/>
        <w:rPr>
          <w:rFonts w:cs="Times New Roman"/>
          <w:szCs w:val="26"/>
        </w:rPr>
      </w:pPr>
      <w:r w:rsidRPr="00F1714B">
        <w:rPr>
          <w:rFonts w:cs="Times New Roman"/>
          <w:szCs w:val="26"/>
        </w:rPr>
        <w:t xml:space="preserve">TCC/CCL challenge the Commission’s proposed reliance on Section 1509 of the Public Utility Code to supports </w:t>
      </w:r>
      <w:r w:rsidR="00797004" w:rsidRPr="00F1714B">
        <w:rPr>
          <w:rFonts w:cs="Times New Roman"/>
          <w:szCs w:val="26"/>
        </w:rPr>
        <w:t xml:space="preserve">their </w:t>
      </w:r>
      <w:r w:rsidRPr="00F1714B">
        <w:rPr>
          <w:rFonts w:cs="Times New Roman"/>
          <w:szCs w:val="26"/>
        </w:rPr>
        <w:t xml:space="preserve">proposed new record retention requirements. TCC/CCL Comments at 14. </w:t>
      </w:r>
      <w:r w:rsidR="006F770E" w:rsidRPr="00F1714B">
        <w:rPr>
          <w:rFonts w:cs="Times New Roman"/>
          <w:szCs w:val="26"/>
        </w:rPr>
        <w:t xml:space="preserve"> </w:t>
      </w:r>
      <w:r w:rsidRPr="00F1714B">
        <w:rPr>
          <w:rFonts w:cs="Times New Roman"/>
          <w:szCs w:val="26"/>
        </w:rPr>
        <w:t>TCC/CCL urge the Commission to adopt a three</w:t>
      </w:r>
      <w:r w:rsidR="00797004" w:rsidRPr="00F1714B">
        <w:rPr>
          <w:rFonts w:cs="Times New Roman"/>
          <w:szCs w:val="26"/>
        </w:rPr>
        <w:t>-</w:t>
      </w:r>
      <w:r w:rsidR="001E361D" w:rsidRPr="00F1714B">
        <w:rPr>
          <w:rFonts w:cs="Times New Roman"/>
          <w:szCs w:val="26"/>
        </w:rPr>
        <w:t>year retention</w:t>
      </w:r>
      <w:r w:rsidRPr="00F1714B">
        <w:rPr>
          <w:rFonts w:cs="Times New Roman"/>
          <w:szCs w:val="26"/>
        </w:rPr>
        <w:t xml:space="preserve"> period in lieu of the proposed five</w:t>
      </w:r>
      <w:r w:rsidR="00797004" w:rsidRPr="00F1714B">
        <w:rPr>
          <w:rFonts w:cs="Times New Roman"/>
          <w:szCs w:val="26"/>
        </w:rPr>
        <w:t>-year</w:t>
      </w:r>
      <w:r w:rsidRPr="00F1714B">
        <w:rPr>
          <w:rFonts w:cs="Times New Roman"/>
          <w:szCs w:val="26"/>
        </w:rPr>
        <w:t xml:space="preserve"> period. TCC/CCL Comments at 14-15.</w:t>
      </w:r>
    </w:p>
    <w:bookmarkEnd w:id="40"/>
    <w:p w14:paraId="00328F79" w14:textId="0A25F8F9" w:rsidR="00BD6B95" w:rsidRPr="00F1714B" w:rsidRDefault="00BD6B95" w:rsidP="00E55426">
      <w:pPr>
        <w:spacing w:after="200" w:line="276" w:lineRule="auto"/>
        <w:rPr>
          <w:rFonts w:cs="Times New Roman"/>
          <w:b/>
          <w:szCs w:val="26"/>
        </w:rPr>
      </w:pPr>
    </w:p>
    <w:p w14:paraId="5A3DAC3A" w14:textId="67F94126" w:rsidR="00BD6B95" w:rsidRPr="00F1714B" w:rsidRDefault="00BD6B95" w:rsidP="00813E72">
      <w:pPr>
        <w:keepNext/>
        <w:keepLines/>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r>
      <w:r w:rsidR="00706C43" w:rsidRPr="00F1714B">
        <w:rPr>
          <w:rFonts w:cs="Times New Roman"/>
          <w:b/>
          <w:szCs w:val="26"/>
        </w:rPr>
        <w:t>b.</w:t>
      </w:r>
      <w:r w:rsidRPr="00F1714B">
        <w:rPr>
          <w:rFonts w:cs="Times New Roman"/>
          <w:b/>
          <w:szCs w:val="26"/>
        </w:rPr>
        <w:tab/>
        <w:t>Discussion</w:t>
      </w:r>
      <w:r w:rsidR="00706C43" w:rsidRPr="00F1714B">
        <w:rPr>
          <w:rFonts w:cs="Times New Roman"/>
          <w:b/>
          <w:szCs w:val="26"/>
        </w:rPr>
        <w:t xml:space="preserve"> and </w:t>
      </w:r>
      <w:r w:rsidRPr="00F1714B">
        <w:rPr>
          <w:rFonts w:cs="Times New Roman"/>
          <w:b/>
          <w:szCs w:val="26"/>
        </w:rPr>
        <w:t>Resolution</w:t>
      </w:r>
    </w:p>
    <w:p w14:paraId="667581A2" w14:textId="0509F093" w:rsidR="0041425D" w:rsidRPr="00F1714B" w:rsidRDefault="000C6A8C" w:rsidP="00813E72">
      <w:pPr>
        <w:keepNext/>
        <w:keepLines/>
        <w:ind w:firstLine="720"/>
        <w:contextualSpacing/>
        <w:rPr>
          <w:rFonts w:cs="Times New Roman"/>
          <w:color w:val="000000"/>
          <w:szCs w:val="26"/>
        </w:rPr>
      </w:pPr>
      <w:r w:rsidRPr="00F1714B">
        <w:rPr>
          <w:rFonts w:cs="Times New Roman"/>
          <w:color w:val="000000"/>
          <w:szCs w:val="26"/>
        </w:rPr>
        <w:t xml:space="preserve">In light of the comments from IRRC and TCC/CCL the Commission modifies the record retention </w:t>
      </w:r>
      <w:r w:rsidR="00216C2D" w:rsidRPr="00F1714B">
        <w:rPr>
          <w:rFonts w:cs="Times New Roman"/>
          <w:color w:val="000000"/>
          <w:szCs w:val="26"/>
        </w:rPr>
        <w:t xml:space="preserve">period </w:t>
      </w:r>
      <w:r w:rsidR="00624F62" w:rsidRPr="00F1714B">
        <w:rPr>
          <w:rFonts w:cs="Times New Roman"/>
          <w:color w:val="000000"/>
          <w:szCs w:val="26"/>
        </w:rPr>
        <w:t xml:space="preserve">in this rule </w:t>
      </w:r>
      <w:r w:rsidR="00216C2D" w:rsidRPr="00F1714B">
        <w:rPr>
          <w:rFonts w:cs="Times New Roman"/>
          <w:color w:val="000000"/>
          <w:szCs w:val="26"/>
        </w:rPr>
        <w:t xml:space="preserve">to a </w:t>
      </w:r>
      <w:r w:rsidRPr="00F1714B">
        <w:rPr>
          <w:rFonts w:cs="Times New Roman"/>
          <w:color w:val="000000"/>
          <w:szCs w:val="26"/>
        </w:rPr>
        <w:t>three-year time frame</w:t>
      </w:r>
      <w:r w:rsidR="00A261E4" w:rsidRPr="00F1714B">
        <w:rPr>
          <w:rFonts w:cs="Times New Roman"/>
          <w:color w:val="000000"/>
          <w:szCs w:val="26"/>
        </w:rPr>
        <w:t>.</w:t>
      </w:r>
      <w:r w:rsidR="00624F62" w:rsidRPr="00F1714B">
        <w:rPr>
          <w:rFonts w:cs="Times New Roman"/>
          <w:color w:val="000000"/>
          <w:szCs w:val="26"/>
        </w:rPr>
        <w:t xml:space="preserve">  The Commission will incorporate </w:t>
      </w:r>
      <w:r w:rsidR="00091214" w:rsidRPr="00F1714B">
        <w:rPr>
          <w:rFonts w:cs="Times New Roman"/>
          <w:color w:val="000000"/>
          <w:szCs w:val="26"/>
        </w:rPr>
        <w:t>an</w:t>
      </w:r>
      <w:r w:rsidR="00624F62" w:rsidRPr="00F1714B">
        <w:rPr>
          <w:rFonts w:cs="Times New Roman"/>
          <w:color w:val="000000"/>
          <w:szCs w:val="26"/>
        </w:rPr>
        <w:t xml:space="preserve"> amended version of Section 63.54 in the final-form regulation.</w:t>
      </w:r>
      <w:r w:rsidR="00A261E4" w:rsidRPr="00F1714B">
        <w:rPr>
          <w:rFonts w:cs="Times New Roman"/>
          <w:color w:val="000000"/>
          <w:szCs w:val="26"/>
        </w:rPr>
        <w:t xml:space="preserve">  </w:t>
      </w:r>
    </w:p>
    <w:p w14:paraId="0F9B6548" w14:textId="77777777" w:rsidR="00E25786" w:rsidRPr="00F1714B" w:rsidRDefault="00E25786" w:rsidP="00813E72">
      <w:pPr>
        <w:rPr>
          <w:rFonts w:cs="Times New Roman"/>
          <w:szCs w:val="26"/>
        </w:rPr>
      </w:pPr>
    </w:p>
    <w:p w14:paraId="1FDD77F9" w14:textId="4EA932B9" w:rsidR="00BB1824" w:rsidRPr="00F1714B" w:rsidRDefault="00BB1824" w:rsidP="00813E72">
      <w:pPr>
        <w:ind w:left="720" w:firstLine="720"/>
        <w:rPr>
          <w:rFonts w:cs="Times New Roman"/>
          <w:b/>
          <w:bCs/>
          <w:szCs w:val="26"/>
        </w:rPr>
      </w:pPr>
      <w:r w:rsidRPr="00F1714B">
        <w:rPr>
          <w:rFonts w:cs="Times New Roman"/>
          <w:b/>
          <w:bCs/>
          <w:szCs w:val="26"/>
        </w:rPr>
        <w:t>4</w:t>
      </w:r>
      <w:r w:rsidR="00995B06" w:rsidRPr="00F1714B">
        <w:rPr>
          <w:rFonts w:cs="Times New Roman"/>
          <w:b/>
          <w:bCs/>
          <w:szCs w:val="26"/>
        </w:rPr>
        <w:t>.</w:t>
      </w:r>
      <w:r w:rsidRPr="00F1714B">
        <w:rPr>
          <w:rFonts w:cs="Times New Roman"/>
          <w:b/>
          <w:bCs/>
          <w:szCs w:val="26"/>
        </w:rPr>
        <w:tab/>
        <w:t>52 Pa. Code § 63.55 (Surveillance levels)</w:t>
      </w:r>
    </w:p>
    <w:p w14:paraId="787D45C7" w14:textId="70D40355" w:rsidR="00BB1824" w:rsidRPr="00F1714B" w:rsidRDefault="00BB1824" w:rsidP="00813E72">
      <w:pPr>
        <w:ind w:firstLine="720"/>
        <w:rPr>
          <w:rFonts w:cs="Times New Roman"/>
          <w:szCs w:val="26"/>
        </w:rPr>
      </w:pPr>
      <w:r w:rsidRPr="00F1714B">
        <w:rPr>
          <w:rFonts w:cs="Times New Roman"/>
          <w:szCs w:val="26"/>
        </w:rPr>
        <w:t>The Commission did not waive Section 63.55 of this Subchapter in the Verizon reclassification proceeding.</w:t>
      </w:r>
      <w:r w:rsidRPr="00F1714B">
        <w:rPr>
          <w:rFonts w:cs="Times New Roman"/>
          <w:szCs w:val="26"/>
          <w:vertAlign w:val="superscript"/>
        </w:rPr>
        <w:footnoteReference w:id="67"/>
      </w:r>
      <w:r w:rsidRPr="00F1714B">
        <w:rPr>
          <w:rFonts w:cs="Times New Roman"/>
          <w:szCs w:val="26"/>
        </w:rPr>
        <w:t xml:space="preserve">  In the </w:t>
      </w:r>
      <w:r w:rsidRPr="00F1714B">
        <w:rPr>
          <w:rFonts w:cs="Times New Roman"/>
          <w:i/>
          <w:iCs/>
          <w:szCs w:val="26"/>
        </w:rPr>
        <w:t>NPRM Order</w:t>
      </w:r>
      <w:r w:rsidRPr="00F1714B">
        <w:rPr>
          <w:rFonts w:cs="Times New Roman"/>
          <w:szCs w:val="26"/>
        </w:rPr>
        <w:t xml:space="preserve">, the Commission proposed to retain Section 63.55(a) addressing surveillance levels and amended it so that we may always request a service report.  However, in lieu of requiring a carrier to file reports to the Commission as set forth in Sections 63.55(b) and 63.55(c), we proposed to rescind those </w:t>
      </w:r>
      <w:r w:rsidRPr="00F1714B">
        <w:rPr>
          <w:rFonts w:cs="Times New Roman"/>
          <w:szCs w:val="26"/>
        </w:rPr>
        <w:lastRenderedPageBreak/>
        <w:t xml:space="preserve">provisions and amend Section 63.55(a) to provide that a report of the investigation into a breach of a surveillance level shall be provided to the Commission upon request.  </w:t>
      </w:r>
    </w:p>
    <w:p w14:paraId="1090BEA8" w14:textId="77777777" w:rsidR="00F65824" w:rsidRPr="00F1714B" w:rsidRDefault="00F65824" w:rsidP="00813E72">
      <w:pPr>
        <w:ind w:firstLine="720"/>
        <w:rPr>
          <w:rFonts w:cs="Times New Roman"/>
          <w:szCs w:val="26"/>
        </w:rPr>
      </w:pPr>
    </w:p>
    <w:p w14:paraId="6F5E6703" w14:textId="1089DDEF" w:rsidR="00334EC2" w:rsidRPr="00F1714B" w:rsidRDefault="00302A41" w:rsidP="00813E72">
      <w:pPr>
        <w:ind w:left="1440" w:firstLine="720"/>
        <w:rPr>
          <w:rFonts w:cs="Times New Roman"/>
          <w:b/>
          <w:bCs/>
          <w:szCs w:val="26"/>
        </w:rPr>
      </w:pPr>
      <w:r w:rsidRPr="00F1714B">
        <w:rPr>
          <w:rFonts w:cs="Times New Roman"/>
          <w:b/>
          <w:bCs/>
          <w:szCs w:val="26"/>
        </w:rPr>
        <w:t>a.</w:t>
      </w:r>
      <w:r w:rsidRPr="00F1714B">
        <w:rPr>
          <w:rFonts w:cs="Times New Roman"/>
          <w:b/>
          <w:bCs/>
          <w:szCs w:val="26"/>
        </w:rPr>
        <w:tab/>
        <w:t>Comments and Replies</w:t>
      </w:r>
    </w:p>
    <w:p w14:paraId="6F545482" w14:textId="77777777" w:rsidR="00795487" w:rsidRPr="00F1714B" w:rsidRDefault="00795487" w:rsidP="00813E72">
      <w:pPr>
        <w:ind w:firstLine="720"/>
        <w:rPr>
          <w:rFonts w:cs="Times New Roman"/>
          <w:szCs w:val="26"/>
        </w:rPr>
      </w:pPr>
      <w:r w:rsidRPr="00F1714B">
        <w:rPr>
          <w:rFonts w:cs="Times New Roman"/>
          <w:szCs w:val="26"/>
        </w:rPr>
        <w:t>Verizon opposes the Commission’s proposed continuance of subsection 63.55 (Surveillance levels) because in Verizon’s view the rule is obsolete and does not meet customer expectations.  Verizon Comments at 21.  Verizon proposes an alternative rule which it says preserves the Commission’s Section 1501 authority and ability to investigate failures to meet the Section 1501 standard. Verizon Comments at 21.</w:t>
      </w:r>
    </w:p>
    <w:p w14:paraId="1413E61B" w14:textId="77777777" w:rsidR="00F65824" w:rsidRPr="00F1714B" w:rsidRDefault="00F65824" w:rsidP="00813E72">
      <w:pPr>
        <w:rPr>
          <w:rFonts w:cs="Times New Roman"/>
          <w:szCs w:val="26"/>
        </w:rPr>
      </w:pPr>
    </w:p>
    <w:p w14:paraId="0FDE6AA1" w14:textId="77777777" w:rsidR="00F65824" w:rsidRPr="00F1714B" w:rsidRDefault="00F65824" w:rsidP="00813E72">
      <w:pPr>
        <w:ind w:left="1440" w:firstLine="720"/>
        <w:rPr>
          <w:rFonts w:cs="Times New Roman"/>
          <w:b/>
          <w:bCs/>
          <w:szCs w:val="26"/>
        </w:rPr>
      </w:pPr>
      <w:r w:rsidRPr="00F1714B">
        <w:rPr>
          <w:rFonts w:cs="Times New Roman"/>
          <w:b/>
          <w:bCs/>
          <w:szCs w:val="26"/>
        </w:rPr>
        <w:t>b.</w:t>
      </w:r>
      <w:r w:rsidRPr="00F1714B">
        <w:rPr>
          <w:rFonts w:cs="Times New Roman"/>
          <w:b/>
          <w:bCs/>
          <w:szCs w:val="26"/>
        </w:rPr>
        <w:tab/>
        <w:t>Discussion and Resolution</w:t>
      </w:r>
    </w:p>
    <w:p w14:paraId="16F06151" w14:textId="77777777" w:rsidR="00C86B45" w:rsidRPr="00F1714B" w:rsidRDefault="00C86B45" w:rsidP="00813E72">
      <w:pPr>
        <w:ind w:firstLine="720"/>
        <w:rPr>
          <w:rFonts w:cs="Times New Roman"/>
          <w:szCs w:val="26"/>
        </w:rPr>
      </w:pPr>
      <w:r w:rsidRPr="00F1714B">
        <w:rPr>
          <w:rFonts w:cs="Times New Roman"/>
          <w:szCs w:val="26"/>
        </w:rPr>
        <w:t xml:space="preserve">In response to comments and reply comments to the </w:t>
      </w:r>
      <w:r w:rsidRPr="00F1714B">
        <w:rPr>
          <w:rFonts w:cs="Times New Roman"/>
          <w:i/>
          <w:iCs/>
          <w:szCs w:val="26"/>
        </w:rPr>
        <w:t>NPRM Order</w:t>
      </w:r>
      <w:r w:rsidRPr="00F1714B">
        <w:rPr>
          <w:rFonts w:cs="Times New Roman"/>
          <w:szCs w:val="26"/>
        </w:rPr>
        <w:t xml:space="preserve"> and accompanying Annex, the Commission will further amend Section 63.55(a) so that the trigger for the reporting requirement shall be violations of Chapter 15 of the Code and violations of Subchapter E of Chapter 63 of the Commission’s regulations.  That way, it is clear the Commission retains the authority to request investigative reports for violations of important quality of service regulations like service outage trouble reports.  </w:t>
      </w:r>
    </w:p>
    <w:p w14:paraId="5928E477" w14:textId="5B285CA4" w:rsidR="00334EC2" w:rsidRPr="00F1714B" w:rsidRDefault="00334EC2" w:rsidP="00813E72">
      <w:pPr>
        <w:ind w:left="1440" w:firstLine="720"/>
        <w:rPr>
          <w:rFonts w:cs="Times New Roman"/>
          <w:b/>
          <w:bCs/>
          <w:szCs w:val="26"/>
        </w:rPr>
      </w:pPr>
    </w:p>
    <w:p w14:paraId="27972929" w14:textId="4DCDC95F" w:rsidR="001B3461" w:rsidRPr="00F1714B" w:rsidRDefault="00334EC2" w:rsidP="00813E72">
      <w:pPr>
        <w:keepNext/>
        <w:keepLines/>
        <w:ind w:firstLine="720"/>
        <w:rPr>
          <w:rFonts w:cs="Times New Roman"/>
          <w:b/>
          <w:bCs/>
          <w:szCs w:val="26"/>
        </w:rPr>
      </w:pPr>
      <w:r w:rsidRPr="00F1714B">
        <w:rPr>
          <w:rFonts w:cs="Times New Roman"/>
          <w:b/>
          <w:bCs/>
          <w:szCs w:val="26"/>
        </w:rPr>
        <w:tab/>
      </w:r>
      <w:r w:rsidR="00BB1824" w:rsidRPr="00F1714B">
        <w:rPr>
          <w:rFonts w:cs="Times New Roman"/>
          <w:b/>
          <w:bCs/>
          <w:szCs w:val="26"/>
        </w:rPr>
        <w:t>5</w:t>
      </w:r>
      <w:r w:rsidR="001B3461" w:rsidRPr="00F1714B">
        <w:rPr>
          <w:rFonts w:cs="Times New Roman"/>
          <w:b/>
          <w:bCs/>
          <w:szCs w:val="26"/>
        </w:rPr>
        <w:t>.</w:t>
      </w:r>
      <w:r w:rsidR="001B3461" w:rsidRPr="00F1714B">
        <w:rPr>
          <w:rFonts w:cs="Times New Roman"/>
          <w:b/>
          <w:bCs/>
          <w:szCs w:val="26"/>
        </w:rPr>
        <w:tab/>
        <w:t>52 Pa. Code § 63.56 (Measurements)</w:t>
      </w:r>
    </w:p>
    <w:p w14:paraId="717770A0" w14:textId="1617441F" w:rsidR="004C54E0" w:rsidRPr="00F1714B" w:rsidRDefault="00F133E9" w:rsidP="00813E72">
      <w:pPr>
        <w:keepNext/>
        <w:keepLines/>
        <w:ind w:firstLine="810"/>
        <w:contextualSpacing/>
        <w:rPr>
          <w:rFonts w:cs="Times New Roman"/>
          <w:color w:val="000000"/>
          <w:szCs w:val="26"/>
        </w:rPr>
      </w:pPr>
      <w:r w:rsidRPr="00F1714B">
        <w:rPr>
          <w:rFonts w:cs="Times New Roman"/>
          <w:color w:val="000000"/>
          <w:szCs w:val="26"/>
        </w:rPr>
        <w:t xml:space="preserve">In the </w:t>
      </w:r>
      <w:r w:rsidRPr="00F1714B">
        <w:rPr>
          <w:rFonts w:cs="Times New Roman"/>
          <w:i/>
          <w:iCs/>
          <w:color w:val="000000"/>
          <w:szCs w:val="26"/>
        </w:rPr>
        <w:t>NPRM Order</w:t>
      </w:r>
      <w:r w:rsidRPr="00F1714B">
        <w:rPr>
          <w:rFonts w:cs="Times New Roman"/>
          <w:color w:val="000000"/>
          <w:szCs w:val="26"/>
        </w:rPr>
        <w:t>, we noted that b</w:t>
      </w:r>
      <w:r w:rsidR="004C54E0" w:rsidRPr="00F1714B">
        <w:rPr>
          <w:rFonts w:cs="Times New Roman"/>
          <w:color w:val="000000"/>
          <w:szCs w:val="26"/>
        </w:rPr>
        <w:t>ecause of amendments that we</w:t>
      </w:r>
      <w:r w:rsidR="00FE68EE" w:rsidRPr="00F1714B">
        <w:rPr>
          <w:rFonts w:cs="Times New Roman"/>
          <w:color w:val="000000"/>
          <w:szCs w:val="26"/>
        </w:rPr>
        <w:t xml:space="preserve"> had</w:t>
      </w:r>
      <w:r w:rsidR="004C54E0" w:rsidRPr="00F1714B">
        <w:rPr>
          <w:rFonts w:cs="Times New Roman"/>
          <w:color w:val="000000"/>
          <w:szCs w:val="26"/>
        </w:rPr>
        <w:t xml:space="preserve"> propose to Sections 63.54 and 63.59, we </w:t>
      </w:r>
      <w:r w:rsidR="00FE68EE" w:rsidRPr="00F1714B">
        <w:rPr>
          <w:rFonts w:cs="Times New Roman"/>
          <w:color w:val="000000"/>
          <w:szCs w:val="26"/>
        </w:rPr>
        <w:t xml:space="preserve">had also </w:t>
      </w:r>
      <w:r w:rsidR="004C54E0" w:rsidRPr="00F1714B">
        <w:rPr>
          <w:rFonts w:cs="Times New Roman"/>
          <w:color w:val="000000"/>
          <w:szCs w:val="26"/>
        </w:rPr>
        <w:t>propose</w:t>
      </w:r>
      <w:r w:rsidR="00FE68EE" w:rsidRPr="00F1714B">
        <w:rPr>
          <w:rFonts w:cs="Times New Roman"/>
          <w:color w:val="000000"/>
          <w:szCs w:val="26"/>
        </w:rPr>
        <w:t>d</w:t>
      </w:r>
      <w:r w:rsidR="004C54E0" w:rsidRPr="00F1714B">
        <w:rPr>
          <w:rFonts w:cs="Times New Roman"/>
          <w:color w:val="000000"/>
          <w:szCs w:val="26"/>
        </w:rPr>
        <w:t xml:space="preserve"> to delete this regulation as it currently exists.</w:t>
      </w:r>
    </w:p>
    <w:p w14:paraId="53CFAFD2" w14:textId="61CF75C9" w:rsidR="004C54E0" w:rsidRPr="00F1714B" w:rsidRDefault="004C54E0" w:rsidP="00813E72">
      <w:pPr>
        <w:keepNext/>
        <w:keepLines/>
        <w:rPr>
          <w:rFonts w:cs="Times New Roman"/>
          <w:szCs w:val="26"/>
        </w:rPr>
      </w:pPr>
    </w:p>
    <w:p w14:paraId="476A6CDB" w14:textId="20F3FD40" w:rsidR="00323CFF" w:rsidRPr="00F1714B" w:rsidRDefault="00323CFF" w:rsidP="00813E72">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58DEEC0B" w14:textId="4AF1F57F" w:rsidR="00323CFF" w:rsidRPr="00F1714B" w:rsidRDefault="004121A3" w:rsidP="00813E72">
      <w:pPr>
        <w:rPr>
          <w:rFonts w:cs="Times New Roman"/>
          <w:bCs/>
          <w:szCs w:val="26"/>
        </w:rPr>
      </w:pPr>
      <w:r w:rsidRPr="00F1714B">
        <w:rPr>
          <w:rFonts w:cs="Times New Roman"/>
          <w:b/>
          <w:szCs w:val="26"/>
        </w:rPr>
        <w:tab/>
      </w:r>
      <w:r w:rsidRPr="00F1714B">
        <w:rPr>
          <w:rFonts w:cs="Times New Roman"/>
          <w:bCs/>
          <w:szCs w:val="26"/>
        </w:rPr>
        <w:t>No party filed comment or replies regarding the Commission’s proposed modification to this rule.</w:t>
      </w:r>
    </w:p>
    <w:p w14:paraId="3F63EAC5" w14:textId="77777777" w:rsidR="00002F87" w:rsidRPr="00F1714B" w:rsidRDefault="00002F87" w:rsidP="00813E72">
      <w:pPr>
        <w:rPr>
          <w:rFonts w:cs="Times New Roman"/>
          <w:bCs/>
          <w:szCs w:val="26"/>
        </w:rPr>
      </w:pPr>
    </w:p>
    <w:p w14:paraId="04DCDD3E" w14:textId="21B9AFC9" w:rsidR="00323CFF" w:rsidRPr="00F1714B" w:rsidRDefault="00323CFF" w:rsidP="00813E72">
      <w:pPr>
        <w:keepNext/>
        <w:keepLines/>
        <w:rPr>
          <w:rFonts w:cs="Times New Roman"/>
          <w:b/>
          <w:szCs w:val="26"/>
        </w:rPr>
      </w:pPr>
      <w:r w:rsidRPr="00F1714B">
        <w:rPr>
          <w:rFonts w:cs="Times New Roman"/>
          <w:b/>
          <w:szCs w:val="26"/>
        </w:rPr>
        <w:lastRenderedPageBreak/>
        <w:tab/>
      </w:r>
      <w:r w:rsidRPr="00F1714B">
        <w:rPr>
          <w:rFonts w:cs="Times New Roman"/>
          <w:b/>
          <w:szCs w:val="26"/>
        </w:rPr>
        <w:tab/>
      </w:r>
      <w:r w:rsidRPr="00F1714B">
        <w:rPr>
          <w:rFonts w:cs="Times New Roman"/>
          <w:b/>
          <w:szCs w:val="26"/>
        </w:rPr>
        <w:tab/>
        <w:t>b</w:t>
      </w:r>
      <w:r w:rsidR="00AE5762" w:rsidRPr="00F1714B">
        <w:rPr>
          <w:rFonts w:cs="Times New Roman"/>
          <w:b/>
          <w:szCs w:val="26"/>
        </w:rPr>
        <w:t>.</w:t>
      </w:r>
      <w:r w:rsidRPr="00F1714B">
        <w:rPr>
          <w:rFonts w:cs="Times New Roman"/>
          <w:b/>
          <w:szCs w:val="26"/>
        </w:rPr>
        <w:tab/>
        <w:t>Discussion</w:t>
      </w:r>
      <w:r w:rsidR="00706C43" w:rsidRPr="00F1714B">
        <w:rPr>
          <w:rFonts w:cs="Times New Roman"/>
          <w:b/>
          <w:szCs w:val="26"/>
        </w:rPr>
        <w:t xml:space="preserve"> and </w:t>
      </w:r>
      <w:r w:rsidRPr="00F1714B">
        <w:rPr>
          <w:rFonts w:cs="Times New Roman"/>
          <w:b/>
          <w:szCs w:val="26"/>
        </w:rPr>
        <w:t>Resolution</w:t>
      </w:r>
    </w:p>
    <w:p w14:paraId="520B8C5B" w14:textId="461A0432" w:rsidR="00706C43" w:rsidRPr="00F1714B" w:rsidRDefault="00706C43" w:rsidP="00813E72">
      <w:pPr>
        <w:keepNext/>
        <w:keepLines/>
        <w:tabs>
          <w:tab w:val="left" w:pos="720"/>
          <w:tab w:val="left" w:pos="1440"/>
        </w:tabs>
        <w:rPr>
          <w:rFonts w:cs="Times New Roman"/>
          <w:szCs w:val="26"/>
        </w:rPr>
      </w:pPr>
      <w:r w:rsidRPr="00F1714B">
        <w:rPr>
          <w:rFonts w:cs="Times New Roman"/>
          <w:szCs w:val="26"/>
        </w:rPr>
        <w:tab/>
        <w:t>Since no party has filed any adverse comments regarding</w:t>
      </w:r>
      <w:r w:rsidR="00D7733C" w:rsidRPr="00F1714B">
        <w:rPr>
          <w:rFonts w:cs="Times New Roman"/>
          <w:szCs w:val="26"/>
        </w:rPr>
        <w:t xml:space="preserve"> </w:t>
      </w:r>
      <w:r w:rsidRPr="00F1714B">
        <w:rPr>
          <w:rFonts w:cs="Times New Roman"/>
          <w:szCs w:val="26"/>
        </w:rPr>
        <w:t xml:space="preserve">our proposed recission on this regulation, </w:t>
      </w:r>
      <w:r w:rsidR="007E2F45" w:rsidRPr="00F1714B">
        <w:rPr>
          <w:rFonts w:cs="Times New Roman"/>
          <w:szCs w:val="26"/>
        </w:rPr>
        <w:t xml:space="preserve">we </w:t>
      </w:r>
      <w:r w:rsidR="00C10711" w:rsidRPr="00F1714B">
        <w:rPr>
          <w:rFonts w:cs="Times New Roman"/>
          <w:szCs w:val="26"/>
        </w:rPr>
        <w:t xml:space="preserve">will adopt our proposal to permanently rescind Section 63.56 from Chapter 63 of Title 52 of the Pa. Code.  Accordingly, the permanent recission of this rule will be reflected in the final-form regulation set forth in </w:t>
      </w:r>
      <w:r w:rsidRPr="00F1714B">
        <w:rPr>
          <w:rFonts w:cs="Times New Roman"/>
          <w:szCs w:val="26"/>
        </w:rPr>
        <w:t>the Annex.</w:t>
      </w:r>
    </w:p>
    <w:p w14:paraId="6EE69A3A" w14:textId="1FB786BA" w:rsidR="00FE68EE" w:rsidRPr="00F1714B" w:rsidRDefault="00FE68EE" w:rsidP="00813E72">
      <w:pPr>
        <w:rPr>
          <w:rFonts w:cs="Times New Roman"/>
          <w:szCs w:val="26"/>
        </w:rPr>
      </w:pPr>
    </w:p>
    <w:p w14:paraId="1A027B29" w14:textId="77777777" w:rsidR="001B3461" w:rsidRPr="00F1714B" w:rsidRDefault="001B3461" w:rsidP="00813E72">
      <w:pPr>
        <w:ind w:left="720" w:firstLine="720"/>
        <w:rPr>
          <w:rFonts w:cs="Times New Roman"/>
          <w:b/>
          <w:bCs/>
          <w:szCs w:val="26"/>
        </w:rPr>
      </w:pPr>
      <w:r w:rsidRPr="00F1714B">
        <w:rPr>
          <w:rFonts w:cs="Times New Roman"/>
          <w:b/>
          <w:bCs/>
          <w:szCs w:val="26"/>
        </w:rPr>
        <w:t>4.</w:t>
      </w:r>
      <w:r w:rsidRPr="00F1714B">
        <w:rPr>
          <w:rFonts w:cs="Times New Roman"/>
          <w:b/>
          <w:bCs/>
          <w:szCs w:val="26"/>
        </w:rPr>
        <w:tab/>
        <w:t>52 Pa. Code § 63.57 (Customer trouble reports)</w:t>
      </w:r>
    </w:p>
    <w:p w14:paraId="436611F1" w14:textId="341D3B42" w:rsidR="001B3461" w:rsidRPr="00F1714B" w:rsidRDefault="001B3461" w:rsidP="00813E72">
      <w:pPr>
        <w:tabs>
          <w:tab w:val="left" w:pos="720"/>
          <w:tab w:val="left" w:pos="1440"/>
        </w:tabs>
        <w:rPr>
          <w:rFonts w:cs="Times New Roman"/>
          <w:bCs/>
          <w:szCs w:val="26"/>
        </w:rPr>
      </w:pPr>
      <w:r w:rsidRPr="00F1714B">
        <w:rPr>
          <w:rFonts w:cs="Times New Roman"/>
          <w:bCs/>
          <w:szCs w:val="26"/>
        </w:rPr>
        <w:tab/>
        <w:t xml:space="preserve">In the </w:t>
      </w:r>
      <w:r w:rsidRPr="00F1714B">
        <w:rPr>
          <w:rFonts w:cs="Times New Roman"/>
          <w:bCs/>
          <w:i/>
          <w:szCs w:val="26"/>
        </w:rPr>
        <w:t>Reclassification Order</w:t>
      </w:r>
      <w:r w:rsidRPr="00F1714B">
        <w:rPr>
          <w:rFonts w:cs="Times New Roman"/>
          <w:bCs/>
          <w:szCs w:val="26"/>
        </w:rPr>
        <w:t>, we found it important that certain consumer protections relating to service outages be applied during the period of transition from a protected, noncompetitive service territory to a competitive service territory.</w:t>
      </w:r>
      <w:r w:rsidR="00BC0523" w:rsidRPr="00F1714B">
        <w:rPr>
          <w:rStyle w:val="FootnoteReference"/>
          <w:rFonts w:cs="Times New Roman"/>
          <w:bCs/>
          <w:szCs w:val="26"/>
        </w:rPr>
        <w:footnoteReference w:id="68"/>
      </w:r>
      <w:r w:rsidRPr="00F1714B">
        <w:rPr>
          <w:rFonts w:cs="Times New Roman"/>
          <w:bCs/>
          <w:szCs w:val="26"/>
        </w:rPr>
        <w:t xml:space="preserve">  We noted that the current language under Section 63.57(b) permits </w:t>
      </w:r>
      <w:r w:rsidR="00BC0523" w:rsidRPr="00F1714B">
        <w:rPr>
          <w:rFonts w:cs="Times New Roman"/>
          <w:bCs/>
          <w:szCs w:val="26"/>
        </w:rPr>
        <w:t xml:space="preserve">a LEC </w:t>
      </w:r>
      <w:r w:rsidRPr="00F1714B">
        <w:rPr>
          <w:rFonts w:cs="Times New Roman"/>
          <w:bCs/>
          <w:szCs w:val="26"/>
        </w:rPr>
        <w:t xml:space="preserve">and the customer to “agree to another arrangement” other than a “substantial action within 24 hours” time frame for nonemergency outage calls.  </w:t>
      </w:r>
      <w:r w:rsidR="00BC0523" w:rsidRPr="00F1714B">
        <w:rPr>
          <w:rFonts w:cs="Times New Roman"/>
          <w:bCs/>
          <w:szCs w:val="26"/>
        </w:rPr>
        <w:t>Thus, w</w:t>
      </w:r>
      <w:r w:rsidRPr="00F1714B">
        <w:rPr>
          <w:rFonts w:cs="Times New Roman"/>
          <w:bCs/>
          <w:szCs w:val="26"/>
        </w:rPr>
        <w:t xml:space="preserve">e reasoned that such flexibility in a competitive environment </w:t>
      </w:r>
      <w:r w:rsidR="007574FB" w:rsidRPr="00F1714B">
        <w:rPr>
          <w:rFonts w:cs="Times New Roman"/>
          <w:bCs/>
          <w:szCs w:val="26"/>
        </w:rPr>
        <w:t xml:space="preserve">made </w:t>
      </w:r>
      <w:r w:rsidRPr="00F1714B">
        <w:rPr>
          <w:rFonts w:cs="Times New Roman"/>
          <w:bCs/>
          <w:szCs w:val="26"/>
        </w:rPr>
        <w:t>sense, particularly for customers who have wireless service and can schedule an appointment at a more convenient time other than within 24 hours of reporting the trouble.</w:t>
      </w:r>
      <w:r w:rsidR="00796F94" w:rsidRPr="00F1714B">
        <w:rPr>
          <w:rStyle w:val="FootnoteReference"/>
          <w:rFonts w:cs="Times New Roman"/>
          <w:bCs/>
          <w:szCs w:val="26"/>
        </w:rPr>
        <w:footnoteReference w:id="69"/>
      </w:r>
      <w:r w:rsidRPr="00F1714B">
        <w:rPr>
          <w:rFonts w:cs="Times New Roman"/>
          <w:bCs/>
          <w:szCs w:val="26"/>
        </w:rPr>
        <w:t xml:space="preserve">  </w:t>
      </w:r>
    </w:p>
    <w:p w14:paraId="60773402" w14:textId="77777777" w:rsidR="00F4763C" w:rsidRPr="00F1714B" w:rsidRDefault="00F4763C" w:rsidP="00813E72">
      <w:pPr>
        <w:tabs>
          <w:tab w:val="left" w:pos="720"/>
          <w:tab w:val="left" w:pos="1440"/>
        </w:tabs>
        <w:rPr>
          <w:rFonts w:cs="Times New Roman"/>
          <w:bCs/>
          <w:szCs w:val="26"/>
        </w:rPr>
      </w:pPr>
    </w:p>
    <w:p w14:paraId="40A8E819" w14:textId="55303D95" w:rsidR="00712816" w:rsidRPr="00F1714B" w:rsidRDefault="001B3461" w:rsidP="00813E72">
      <w:pPr>
        <w:tabs>
          <w:tab w:val="left" w:pos="720"/>
          <w:tab w:val="left" w:pos="1440"/>
        </w:tabs>
        <w:rPr>
          <w:rFonts w:cs="Times New Roman"/>
          <w:color w:val="000000"/>
          <w:szCs w:val="26"/>
        </w:rPr>
      </w:pPr>
      <w:r w:rsidRPr="00F1714B">
        <w:rPr>
          <w:rFonts w:cs="Times New Roman"/>
          <w:bCs/>
          <w:szCs w:val="26"/>
        </w:rPr>
        <w:tab/>
      </w:r>
      <w:r w:rsidR="00240ED1" w:rsidRPr="00F1714B">
        <w:rPr>
          <w:rFonts w:cs="Times New Roman"/>
          <w:bCs/>
          <w:szCs w:val="26"/>
        </w:rPr>
        <w:t xml:space="preserve">In the </w:t>
      </w:r>
      <w:r w:rsidR="00240ED1" w:rsidRPr="00F1714B">
        <w:rPr>
          <w:rFonts w:cs="Times New Roman"/>
          <w:bCs/>
          <w:i/>
          <w:iCs/>
          <w:szCs w:val="26"/>
        </w:rPr>
        <w:t>N</w:t>
      </w:r>
      <w:r w:rsidR="00177001" w:rsidRPr="00F1714B">
        <w:rPr>
          <w:rFonts w:cs="Times New Roman"/>
          <w:bCs/>
          <w:i/>
          <w:iCs/>
          <w:szCs w:val="26"/>
        </w:rPr>
        <w:t xml:space="preserve">PRM </w:t>
      </w:r>
      <w:r w:rsidR="00240ED1" w:rsidRPr="00F1714B">
        <w:rPr>
          <w:rFonts w:cs="Times New Roman"/>
          <w:bCs/>
          <w:i/>
          <w:iCs/>
          <w:szCs w:val="26"/>
        </w:rPr>
        <w:t>Order</w:t>
      </w:r>
      <w:r w:rsidR="00240ED1" w:rsidRPr="00F1714B">
        <w:rPr>
          <w:rFonts w:cs="Times New Roman"/>
          <w:bCs/>
          <w:szCs w:val="26"/>
        </w:rPr>
        <w:t xml:space="preserve">, we determined </w:t>
      </w:r>
      <w:r w:rsidR="002F4B38" w:rsidRPr="00F1714B">
        <w:rPr>
          <w:rFonts w:cs="Times New Roman"/>
          <w:bCs/>
          <w:szCs w:val="26"/>
        </w:rPr>
        <w:t xml:space="preserve">that it was necessary to </w:t>
      </w:r>
      <w:r w:rsidR="002F4B38" w:rsidRPr="00F1714B">
        <w:rPr>
          <w:rFonts w:cs="Times New Roman"/>
          <w:color w:val="000000"/>
          <w:szCs w:val="26"/>
        </w:rPr>
        <w:t xml:space="preserve">minimize utility burdens where possible when complying with </w:t>
      </w:r>
      <w:r w:rsidR="002F4B38" w:rsidRPr="00F1714B">
        <w:rPr>
          <w:rFonts w:cs="Times New Roman"/>
          <w:bCs/>
          <w:szCs w:val="26"/>
        </w:rPr>
        <w:t xml:space="preserve">out-of-service reporting requirements and addressing trouble reports </w:t>
      </w:r>
      <w:r w:rsidR="002F4B38" w:rsidRPr="00F1714B">
        <w:rPr>
          <w:rFonts w:cs="Times New Roman"/>
          <w:color w:val="000000"/>
          <w:szCs w:val="26"/>
        </w:rPr>
        <w:t xml:space="preserve">without sacrificing necessary customer protections.  Thus, </w:t>
      </w:r>
      <w:r w:rsidR="0008195B" w:rsidRPr="00F1714B">
        <w:rPr>
          <w:rFonts w:cs="Times New Roman"/>
          <w:color w:val="000000"/>
          <w:szCs w:val="26"/>
        </w:rPr>
        <w:t>w</w:t>
      </w:r>
      <w:r w:rsidR="00133575" w:rsidRPr="00F1714B">
        <w:rPr>
          <w:rFonts w:cs="Times New Roman"/>
          <w:color w:val="000000"/>
          <w:szCs w:val="26"/>
        </w:rPr>
        <w:t>e propose to a</w:t>
      </w:r>
      <w:r w:rsidR="00712816" w:rsidRPr="00F1714B">
        <w:rPr>
          <w:rFonts w:cs="Times New Roman"/>
          <w:color w:val="000000"/>
          <w:szCs w:val="26"/>
        </w:rPr>
        <w:t xml:space="preserve">mend </w:t>
      </w:r>
      <w:r w:rsidR="00133575" w:rsidRPr="00F1714B">
        <w:rPr>
          <w:rFonts w:cs="Times New Roman"/>
          <w:color w:val="000000"/>
          <w:szCs w:val="26"/>
        </w:rPr>
        <w:t>S</w:t>
      </w:r>
      <w:r w:rsidR="00712816" w:rsidRPr="00F1714B">
        <w:rPr>
          <w:rFonts w:cs="Times New Roman"/>
          <w:color w:val="000000"/>
          <w:szCs w:val="26"/>
        </w:rPr>
        <w:t>ection</w:t>
      </w:r>
      <w:r w:rsidR="00133575" w:rsidRPr="00F1714B">
        <w:rPr>
          <w:rFonts w:cs="Times New Roman"/>
          <w:color w:val="000000"/>
          <w:szCs w:val="26"/>
        </w:rPr>
        <w:t xml:space="preserve"> 63.57</w:t>
      </w:r>
      <w:r w:rsidR="00712816" w:rsidRPr="00F1714B">
        <w:rPr>
          <w:rFonts w:cs="Times New Roman"/>
          <w:color w:val="000000"/>
          <w:szCs w:val="26"/>
        </w:rPr>
        <w:t xml:space="preserve"> to afford more flexibility to the customer and </w:t>
      </w:r>
      <w:r w:rsidR="00133575" w:rsidRPr="00F1714B">
        <w:rPr>
          <w:rFonts w:cs="Times New Roman"/>
          <w:color w:val="000000"/>
          <w:szCs w:val="26"/>
        </w:rPr>
        <w:t xml:space="preserve">the telecommunications </w:t>
      </w:r>
      <w:r w:rsidR="00712816" w:rsidRPr="00F1714B">
        <w:rPr>
          <w:rFonts w:cs="Times New Roman"/>
          <w:color w:val="000000"/>
          <w:szCs w:val="26"/>
        </w:rPr>
        <w:t>carrier</w:t>
      </w:r>
      <w:r w:rsidR="00133575" w:rsidRPr="00F1714B">
        <w:rPr>
          <w:rFonts w:cs="Times New Roman"/>
          <w:color w:val="000000"/>
          <w:szCs w:val="26"/>
        </w:rPr>
        <w:t>s</w:t>
      </w:r>
      <w:r w:rsidR="00712816" w:rsidRPr="00F1714B">
        <w:rPr>
          <w:rFonts w:cs="Times New Roman"/>
          <w:color w:val="000000"/>
          <w:szCs w:val="26"/>
        </w:rPr>
        <w:t xml:space="preserve">. </w:t>
      </w:r>
      <w:r w:rsidR="00133575" w:rsidRPr="00F1714B">
        <w:rPr>
          <w:rFonts w:cs="Times New Roman"/>
          <w:color w:val="000000"/>
          <w:szCs w:val="26"/>
        </w:rPr>
        <w:t xml:space="preserve"> </w:t>
      </w:r>
      <w:r w:rsidR="002F4B38" w:rsidRPr="00F1714B">
        <w:rPr>
          <w:rFonts w:cs="Times New Roman"/>
          <w:color w:val="000000"/>
          <w:szCs w:val="26"/>
        </w:rPr>
        <w:t xml:space="preserve">Specifically, in the Annex to the </w:t>
      </w:r>
      <w:r w:rsidR="002F4B38" w:rsidRPr="00F1714B">
        <w:rPr>
          <w:rFonts w:cs="Times New Roman"/>
          <w:i/>
          <w:iCs/>
          <w:color w:val="000000"/>
          <w:szCs w:val="26"/>
        </w:rPr>
        <w:t>N</w:t>
      </w:r>
      <w:r w:rsidR="00177001" w:rsidRPr="00F1714B">
        <w:rPr>
          <w:rFonts w:cs="Times New Roman"/>
          <w:i/>
          <w:iCs/>
          <w:color w:val="000000"/>
          <w:szCs w:val="26"/>
        </w:rPr>
        <w:t xml:space="preserve">PRM </w:t>
      </w:r>
      <w:r w:rsidR="002F4B38" w:rsidRPr="00F1714B">
        <w:rPr>
          <w:rFonts w:cs="Times New Roman"/>
          <w:i/>
          <w:iCs/>
          <w:color w:val="000000"/>
          <w:szCs w:val="26"/>
        </w:rPr>
        <w:t>Order</w:t>
      </w:r>
      <w:r w:rsidR="002F4B38" w:rsidRPr="00F1714B">
        <w:rPr>
          <w:rFonts w:cs="Times New Roman"/>
          <w:color w:val="000000"/>
          <w:szCs w:val="26"/>
        </w:rPr>
        <w:t>, w</w:t>
      </w:r>
      <w:r w:rsidR="00133575" w:rsidRPr="00F1714B">
        <w:rPr>
          <w:rFonts w:cs="Times New Roman"/>
          <w:color w:val="000000"/>
          <w:szCs w:val="26"/>
        </w:rPr>
        <w:t>e propose</w:t>
      </w:r>
      <w:r w:rsidR="002F4B38" w:rsidRPr="00F1714B">
        <w:rPr>
          <w:rFonts w:cs="Times New Roman"/>
          <w:color w:val="000000"/>
          <w:szCs w:val="26"/>
        </w:rPr>
        <w:t>d</w:t>
      </w:r>
      <w:r w:rsidR="00133575" w:rsidRPr="00F1714B">
        <w:rPr>
          <w:rFonts w:cs="Times New Roman"/>
          <w:color w:val="000000"/>
          <w:szCs w:val="26"/>
        </w:rPr>
        <w:t xml:space="preserve"> to c</w:t>
      </w:r>
      <w:r w:rsidR="00712816" w:rsidRPr="00F1714B">
        <w:rPr>
          <w:rFonts w:cs="Times New Roman"/>
          <w:color w:val="000000"/>
          <w:szCs w:val="26"/>
        </w:rPr>
        <w:t xml:space="preserve">ombine </w:t>
      </w:r>
      <w:r w:rsidR="00133575" w:rsidRPr="00F1714B">
        <w:rPr>
          <w:rFonts w:cs="Times New Roman"/>
          <w:color w:val="000000"/>
          <w:szCs w:val="26"/>
        </w:rPr>
        <w:t>S</w:t>
      </w:r>
      <w:r w:rsidR="00712816" w:rsidRPr="00F1714B">
        <w:rPr>
          <w:rFonts w:cs="Times New Roman"/>
          <w:color w:val="000000"/>
          <w:szCs w:val="26"/>
        </w:rPr>
        <w:t xml:space="preserve">ections </w:t>
      </w:r>
      <w:r w:rsidR="00133575" w:rsidRPr="00F1714B">
        <w:rPr>
          <w:rFonts w:cs="Times New Roman"/>
          <w:color w:val="000000"/>
          <w:szCs w:val="26"/>
        </w:rPr>
        <w:t>63.57</w:t>
      </w:r>
      <w:r w:rsidR="00712816" w:rsidRPr="00F1714B">
        <w:rPr>
          <w:rFonts w:cs="Times New Roman"/>
          <w:color w:val="000000"/>
          <w:szCs w:val="26"/>
        </w:rPr>
        <w:t xml:space="preserve">(a) and </w:t>
      </w:r>
      <w:r w:rsidR="00133575" w:rsidRPr="00F1714B">
        <w:rPr>
          <w:rFonts w:cs="Times New Roman"/>
          <w:color w:val="000000"/>
          <w:szCs w:val="26"/>
        </w:rPr>
        <w:t>63.57</w:t>
      </w:r>
      <w:r w:rsidR="00712816" w:rsidRPr="00F1714B">
        <w:rPr>
          <w:rFonts w:cs="Times New Roman"/>
          <w:color w:val="000000"/>
          <w:szCs w:val="26"/>
        </w:rPr>
        <w:t>(b) to impose a requirement that telecommunications public utilities respond to out-of-service trouble reports within 24 hours unless a different period of time is agreed to by the customer</w:t>
      </w:r>
      <w:r w:rsidR="002F4B38" w:rsidRPr="00F1714B">
        <w:rPr>
          <w:rFonts w:cs="Times New Roman"/>
          <w:color w:val="000000"/>
          <w:szCs w:val="26"/>
        </w:rPr>
        <w:t xml:space="preserve"> and proposed an amendment </w:t>
      </w:r>
      <w:r w:rsidR="00D7733C" w:rsidRPr="00F1714B">
        <w:rPr>
          <w:rFonts w:cs="Times New Roman"/>
          <w:color w:val="000000"/>
          <w:szCs w:val="26"/>
        </w:rPr>
        <w:t xml:space="preserve">to </w:t>
      </w:r>
      <w:r w:rsidR="002F4B38" w:rsidRPr="00F1714B">
        <w:rPr>
          <w:rFonts w:cs="Times New Roman"/>
          <w:color w:val="000000"/>
          <w:szCs w:val="26"/>
        </w:rPr>
        <w:t>Section 63.57(f) and eliminated Section 63.57(e).</w:t>
      </w:r>
      <w:r w:rsidR="00712816" w:rsidRPr="00F1714B">
        <w:rPr>
          <w:rFonts w:cs="Times New Roman"/>
          <w:color w:val="000000"/>
          <w:szCs w:val="26"/>
        </w:rPr>
        <w:t xml:space="preserve"> </w:t>
      </w:r>
      <w:r w:rsidR="002F4B38" w:rsidRPr="00F1714B">
        <w:rPr>
          <w:rFonts w:cs="Times New Roman"/>
          <w:color w:val="000000"/>
          <w:szCs w:val="26"/>
        </w:rPr>
        <w:t xml:space="preserve"> In the </w:t>
      </w:r>
      <w:r w:rsidR="002F4B38" w:rsidRPr="00F1714B">
        <w:rPr>
          <w:rFonts w:cs="Times New Roman"/>
          <w:i/>
          <w:iCs/>
          <w:color w:val="000000"/>
          <w:szCs w:val="26"/>
        </w:rPr>
        <w:t>N</w:t>
      </w:r>
      <w:r w:rsidR="00177001" w:rsidRPr="00F1714B">
        <w:rPr>
          <w:rFonts w:cs="Times New Roman"/>
          <w:i/>
          <w:iCs/>
          <w:color w:val="000000"/>
          <w:szCs w:val="26"/>
        </w:rPr>
        <w:t xml:space="preserve">PRM </w:t>
      </w:r>
      <w:r w:rsidR="002F4B38" w:rsidRPr="00F1714B">
        <w:rPr>
          <w:rFonts w:cs="Times New Roman"/>
          <w:i/>
          <w:iCs/>
          <w:color w:val="000000"/>
          <w:szCs w:val="26"/>
        </w:rPr>
        <w:t>Order</w:t>
      </w:r>
      <w:r w:rsidR="002F4B38" w:rsidRPr="00F1714B">
        <w:rPr>
          <w:rFonts w:cs="Times New Roman"/>
          <w:color w:val="000000"/>
          <w:szCs w:val="26"/>
        </w:rPr>
        <w:t>, w</w:t>
      </w:r>
      <w:r w:rsidR="00133575" w:rsidRPr="00F1714B">
        <w:rPr>
          <w:rFonts w:cs="Times New Roman"/>
          <w:color w:val="000000"/>
          <w:szCs w:val="26"/>
        </w:rPr>
        <w:t>e</w:t>
      </w:r>
      <w:r w:rsidR="00712816" w:rsidRPr="00F1714B">
        <w:rPr>
          <w:rFonts w:cs="Times New Roman"/>
          <w:color w:val="000000"/>
          <w:szCs w:val="26"/>
        </w:rPr>
        <w:t xml:space="preserve"> also propose</w:t>
      </w:r>
      <w:r w:rsidR="002F4B38" w:rsidRPr="00F1714B">
        <w:rPr>
          <w:rFonts w:cs="Times New Roman"/>
          <w:color w:val="000000"/>
          <w:szCs w:val="26"/>
        </w:rPr>
        <w:t>d</w:t>
      </w:r>
      <w:r w:rsidR="00712816" w:rsidRPr="00F1714B">
        <w:rPr>
          <w:rFonts w:cs="Times New Roman"/>
          <w:color w:val="000000"/>
          <w:szCs w:val="26"/>
        </w:rPr>
        <w:t xml:space="preserve"> to retain </w:t>
      </w:r>
      <w:r w:rsidR="00133575" w:rsidRPr="00F1714B">
        <w:rPr>
          <w:rFonts w:cs="Times New Roman"/>
          <w:color w:val="000000"/>
          <w:szCs w:val="26"/>
        </w:rPr>
        <w:t>S</w:t>
      </w:r>
      <w:r w:rsidR="00712816" w:rsidRPr="00F1714B">
        <w:rPr>
          <w:rFonts w:cs="Times New Roman"/>
          <w:color w:val="000000"/>
          <w:szCs w:val="26"/>
        </w:rPr>
        <w:t xml:space="preserve">ections </w:t>
      </w:r>
      <w:r w:rsidR="00133575" w:rsidRPr="00F1714B">
        <w:rPr>
          <w:rFonts w:cs="Times New Roman"/>
          <w:color w:val="000000"/>
          <w:szCs w:val="26"/>
        </w:rPr>
        <w:t>63.57</w:t>
      </w:r>
      <w:r w:rsidR="00712816" w:rsidRPr="00F1714B">
        <w:rPr>
          <w:rFonts w:cs="Times New Roman"/>
          <w:color w:val="000000"/>
          <w:szCs w:val="26"/>
        </w:rPr>
        <w:t xml:space="preserve">(c) and </w:t>
      </w:r>
      <w:r w:rsidR="00133575" w:rsidRPr="00F1714B">
        <w:rPr>
          <w:rFonts w:cs="Times New Roman"/>
          <w:color w:val="000000"/>
          <w:szCs w:val="26"/>
        </w:rPr>
        <w:t>63.57</w:t>
      </w:r>
      <w:r w:rsidR="00712816" w:rsidRPr="00F1714B">
        <w:rPr>
          <w:rFonts w:cs="Times New Roman"/>
          <w:color w:val="000000"/>
          <w:szCs w:val="26"/>
        </w:rPr>
        <w:t>(d) as they</w:t>
      </w:r>
      <w:r w:rsidR="002F4B38" w:rsidRPr="00F1714B">
        <w:rPr>
          <w:rFonts w:cs="Times New Roman"/>
          <w:color w:val="000000"/>
          <w:szCs w:val="26"/>
        </w:rPr>
        <w:t xml:space="preserve"> currently exist.</w:t>
      </w:r>
      <w:r w:rsidR="00712816" w:rsidRPr="00F1714B">
        <w:rPr>
          <w:rFonts w:cs="Times New Roman"/>
          <w:color w:val="000000"/>
          <w:szCs w:val="26"/>
        </w:rPr>
        <w:t xml:space="preserve"> </w:t>
      </w:r>
    </w:p>
    <w:p w14:paraId="395CC5E2" w14:textId="04AB21E4" w:rsidR="00940278" w:rsidRPr="00F1714B" w:rsidRDefault="00940278" w:rsidP="00813E72">
      <w:pPr>
        <w:ind w:left="1440" w:firstLine="720"/>
        <w:rPr>
          <w:rFonts w:cs="Times New Roman"/>
          <w:b/>
          <w:szCs w:val="26"/>
        </w:rPr>
      </w:pPr>
      <w:r w:rsidRPr="00F1714B">
        <w:rPr>
          <w:rFonts w:cs="Times New Roman"/>
          <w:b/>
          <w:szCs w:val="26"/>
        </w:rPr>
        <w:lastRenderedPageBreak/>
        <w:t>a.</w:t>
      </w:r>
      <w:r w:rsidRPr="00F1714B">
        <w:rPr>
          <w:rFonts w:cs="Times New Roman"/>
          <w:b/>
          <w:szCs w:val="26"/>
        </w:rPr>
        <w:tab/>
        <w:t>Comments</w:t>
      </w:r>
      <w:r w:rsidR="005566C0" w:rsidRPr="00F1714B">
        <w:rPr>
          <w:rFonts w:cs="Times New Roman"/>
          <w:b/>
          <w:szCs w:val="26"/>
        </w:rPr>
        <w:t xml:space="preserve"> and Replies</w:t>
      </w:r>
    </w:p>
    <w:p w14:paraId="760A1908" w14:textId="369321EA" w:rsidR="006A7CA4" w:rsidRPr="00F1714B" w:rsidRDefault="006A7CA4" w:rsidP="00813E72">
      <w:pPr>
        <w:ind w:firstLine="720"/>
        <w:rPr>
          <w:rFonts w:cs="Times New Roman"/>
          <w:szCs w:val="26"/>
        </w:rPr>
      </w:pPr>
      <w:r w:rsidRPr="00F1714B">
        <w:rPr>
          <w:rFonts w:cs="Times New Roman"/>
          <w:szCs w:val="26"/>
        </w:rPr>
        <w:t xml:space="preserve">IRRC recommends that the Commission “should explain the rationale for and the reasonableness of removing the existing weekend exclusion from this section.” </w:t>
      </w:r>
      <w:r w:rsidR="008A049D" w:rsidRPr="00F1714B">
        <w:rPr>
          <w:rFonts w:cs="Times New Roman"/>
          <w:szCs w:val="26"/>
        </w:rPr>
        <w:t xml:space="preserve"> </w:t>
      </w:r>
      <w:r w:rsidRPr="00F1714B">
        <w:rPr>
          <w:rFonts w:cs="Times New Roman"/>
          <w:szCs w:val="26"/>
        </w:rPr>
        <w:t>IRRC Comments at 7.</w:t>
      </w:r>
    </w:p>
    <w:p w14:paraId="2A32B302" w14:textId="77777777" w:rsidR="006A7CA4" w:rsidRPr="00F1714B" w:rsidRDefault="006A7CA4" w:rsidP="00813E72">
      <w:pPr>
        <w:ind w:firstLine="720"/>
        <w:rPr>
          <w:rFonts w:cs="Times New Roman"/>
          <w:szCs w:val="26"/>
        </w:rPr>
      </w:pPr>
    </w:p>
    <w:p w14:paraId="1D30E5F2" w14:textId="4A428200" w:rsidR="00A144E8" w:rsidRPr="00F1714B" w:rsidRDefault="00A144E8" w:rsidP="00E55426">
      <w:pPr>
        <w:ind w:firstLine="720"/>
        <w:rPr>
          <w:rFonts w:cs="Times New Roman"/>
          <w:szCs w:val="26"/>
        </w:rPr>
      </w:pPr>
      <w:r w:rsidRPr="00F1714B">
        <w:rPr>
          <w:rFonts w:cs="Times New Roman"/>
          <w:szCs w:val="26"/>
        </w:rPr>
        <w:t xml:space="preserve">TCC/CCL urge the Commission to retain an exception to this performance requirement for isolated weekend outages affecting fewer than 15 customers in an exchange. </w:t>
      </w:r>
      <w:bookmarkStart w:id="41" w:name="_Hlk77083388"/>
      <w:r w:rsidR="008A049D" w:rsidRPr="00F1714B">
        <w:rPr>
          <w:rFonts w:cs="Times New Roman"/>
          <w:szCs w:val="26"/>
        </w:rPr>
        <w:t xml:space="preserve"> </w:t>
      </w:r>
      <w:r w:rsidRPr="00F1714B">
        <w:rPr>
          <w:rFonts w:cs="Times New Roman"/>
          <w:szCs w:val="26"/>
        </w:rPr>
        <w:t xml:space="preserve">TCC/CCL Comments at 15. </w:t>
      </w:r>
      <w:bookmarkEnd w:id="41"/>
      <w:r w:rsidR="008A049D" w:rsidRPr="00F1714B">
        <w:rPr>
          <w:rFonts w:cs="Times New Roman"/>
          <w:szCs w:val="26"/>
        </w:rPr>
        <w:t xml:space="preserve"> </w:t>
      </w:r>
      <w:r w:rsidRPr="00F1714B">
        <w:rPr>
          <w:rFonts w:cs="Times New Roman"/>
          <w:szCs w:val="26"/>
        </w:rPr>
        <w:t xml:space="preserve">According to TCC/CCL, “it is not reasonable to expect the carrier to dispatch technical support for that isolated report” on a weekend. </w:t>
      </w:r>
      <w:r w:rsidR="008A049D" w:rsidRPr="00F1714B">
        <w:rPr>
          <w:rFonts w:cs="Times New Roman"/>
          <w:szCs w:val="26"/>
        </w:rPr>
        <w:t xml:space="preserve"> </w:t>
      </w:r>
      <w:r w:rsidRPr="00F1714B">
        <w:rPr>
          <w:rFonts w:cs="Times New Roman"/>
          <w:szCs w:val="26"/>
        </w:rPr>
        <w:t>TCC/CCL Comments at 15.</w:t>
      </w:r>
    </w:p>
    <w:p w14:paraId="2C9BB2ED" w14:textId="77777777" w:rsidR="00002F87" w:rsidRPr="00F1714B" w:rsidRDefault="00002F87" w:rsidP="00E55426">
      <w:pPr>
        <w:ind w:firstLine="720"/>
        <w:rPr>
          <w:rFonts w:cs="Times New Roman"/>
          <w:szCs w:val="26"/>
        </w:rPr>
      </w:pPr>
    </w:p>
    <w:p w14:paraId="77F23A12" w14:textId="74820F31" w:rsidR="00A144E8" w:rsidRPr="00F1714B" w:rsidRDefault="00A144E8" w:rsidP="00E55426">
      <w:pPr>
        <w:ind w:firstLine="720"/>
        <w:rPr>
          <w:rFonts w:cs="Times New Roman"/>
          <w:szCs w:val="26"/>
        </w:rPr>
      </w:pPr>
      <w:r w:rsidRPr="00F1714B">
        <w:rPr>
          <w:rFonts w:cs="Times New Roman"/>
          <w:szCs w:val="26"/>
        </w:rPr>
        <w:t xml:space="preserve">Verizon opposes the Commission’s proposed continuance of this rule in modified form because in Verizon’s view it is “a prime example of micro-managing </w:t>
      </w:r>
      <w:bookmarkStart w:id="42" w:name="_Hlk81429328"/>
      <w:r w:rsidRPr="00F1714B">
        <w:rPr>
          <w:rFonts w:cs="Times New Roman"/>
          <w:szCs w:val="26"/>
        </w:rPr>
        <w:t>that is unnecessary and counterproductive in a competitive market</w:t>
      </w:r>
      <w:bookmarkEnd w:id="42"/>
      <w:r w:rsidRPr="00F1714B">
        <w:rPr>
          <w:rFonts w:cs="Times New Roman"/>
          <w:szCs w:val="26"/>
        </w:rPr>
        <w:t xml:space="preserve">.” </w:t>
      </w:r>
      <w:r w:rsidR="008A049D" w:rsidRPr="00F1714B">
        <w:rPr>
          <w:rFonts w:cs="Times New Roman"/>
          <w:szCs w:val="26"/>
        </w:rPr>
        <w:t xml:space="preserve"> </w:t>
      </w:r>
      <w:r w:rsidRPr="00F1714B">
        <w:rPr>
          <w:rFonts w:cs="Times New Roman"/>
          <w:szCs w:val="26"/>
        </w:rPr>
        <w:t xml:space="preserve">Verizon Comments at 21. </w:t>
      </w:r>
      <w:r w:rsidR="008A049D" w:rsidRPr="00F1714B">
        <w:rPr>
          <w:rFonts w:cs="Times New Roman"/>
          <w:szCs w:val="26"/>
        </w:rPr>
        <w:t xml:space="preserve"> </w:t>
      </w:r>
      <w:r w:rsidRPr="00F1714B">
        <w:rPr>
          <w:rFonts w:cs="Times New Roman"/>
          <w:szCs w:val="26"/>
        </w:rPr>
        <w:t xml:space="preserve">Verizon proposes an alternative that limits the rule to standalone residential service in noncompetitive areas, and sunsets the rule entirely by end of 2023. </w:t>
      </w:r>
      <w:r w:rsidR="008A049D" w:rsidRPr="00F1714B">
        <w:rPr>
          <w:rFonts w:cs="Times New Roman"/>
          <w:szCs w:val="26"/>
        </w:rPr>
        <w:t xml:space="preserve"> </w:t>
      </w:r>
      <w:r w:rsidRPr="00F1714B">
        <w:rPr>
          <w:rFonts w:cs="Times New Roman"/>
          <w:szCs w:val="26"/>
        </w:rPr>
        <w:t>Verizon Comments at 21.</w:t>
      </w:r>
    </w:p>
    <w:p w14:paraId="660EE2E6" w14:textId="64237FC6" w:rsidR="003A6A36" w:rsidRPr="00F1714B" w:rsidRDefault="003A6A36" w:rsidP="00E55426">
      <w:pPr>
        <w:ind w:firstLine="720"/>
        <w:rPr>
          <w:rFonts w:cs="Times New Roman"/>
          <w:szCs w:val="26"/>
        </w:rPr>
      </w:pPr>
    </w:p>
    <w:p w14:paraId="40E9B030" w14:textId="7F9CECF1" w:rsidR="003A6A36" w:rsidRPr="00F1714B" w:rsidRDefault="003A6A36" w:rsidP="00813E72">
      <w:pPr>
        <w:ind w:firstLine="720"/>
        <w:rPr>
          <w:rFonts w:cs="Times New Roman"/>
          <w:szCs w:val="26"/>
        </w:rPr>
      </w:pPr>
      <w:r w:rsidRPr="00F1714B">
        <w:rPr>
          <w:rFonts w:cs="Times New Roman"/>
          <w:szCs w:val="26"/>
        </w:rPr>
        <w:t xml:space="preserve">Again, like its criticism of Verizon’s proposals regarding Sections 63.1 and 63.15 </w:t>
      </w:r>
      <w:r w:rsidR="00272B83" w:rsidRPr="00F1714B">
        <w:rPr>
          <w:rFonts w:cs="Times New Roman"/>
          <w:i/>
          <w:iCs/>
          <w:szCs w:val="26"/>
        </w:rPr>
        <w:t>supra</w:t>
      </w:r>
      <w:r w:rsidR="00272B83" w:rsidRPr="00F1714B">
        <w:rPr>
          <w:rFonts w:cs="Times New Roman"/>
          <w:szCs w:val="26"/>
        </w:rPr>
        <w:t xml:space="preserve">, the OCA specifically opposes Verizon’s </w:t>
      </w:r>
      <w:r w:rsidRPr="00F1714B">
        <w:rPr>
          <w:rFonts w:cs="Times New Roman"/>
          <w:szCs w:val="26"/>
        </w:rPr>
        <w:t xml:space="preserve">proposals </w:t>
      </w:r>
      <w:r w:rsidR="00272B83" w:rsidRPr="00F1714B">
        <w:rPr>
          <w:rFonts w:cs="Times New Roman"/>
          <w:szCs w:val="26"/>
        </w:rPr>
        <w:t xml:space="preserve">regarding Section 63.57 because it </w:t>
      </w:r>
      <w:r w:rsidR="009E1D40" w:rsidRPr="00F1714B">
        <w:rPr>
          <w:rFonts w:cs="Times New Roman"/>
          <w:szCs w:val="26"/>
        </w:rPr>
        <w:t xml:space="preserve">asserts that Verizon’s proposal </w:t>
      </w:r>
      <w:r w:rsidRPr="00F1714B">
        <w:rPr>
          <w:rFonts w:cs="Times New Roman"/>
          <w:szCs w:val="26"/>
        </w:rPr>
        <w:t xml:space="preserve">would limit carriers’ obligations and customer’s remedies to “noncompetitive basic local service on a stand-alone basis.” </w:t>
      </w:r>
      <w:r w:rsidR="008A049D" w:rsidRPr="00F1714B">
        <w:rPr>
          <w:rFonts w:cs="Times New Roman"/>
          <w:szCs w:val="26"/>
        </w:rPr>
        <w:t xml:space="preserve"> </w:t>
      </w:r>
      <w:r w:rsidRPr="00F1714B">
        <w:rPr>
          <w:rFonts w:cs="Times New Roman"/>
          <w:szCs w:val="26"/>
        </w:rPr>
        <w:t xml:space="preserve">OCA Reply Comments at 9-10. </w:t>
      </w:r>
    </w:p>
    <w:p w14:paraId="37203EE7" w14:textId="50E2B349" w:rsidR="00940278" w:rsidRPr="00F1714B" w:rsidRDefault="00940278" w:rsidP="00813E72">
      <w:pPr>
        <w:rPr>
          <w:rFonts w:cs="Times New Roman"/>
          <w:b/>
          <w:szCs w:val="26"/>
        </w:rPr>
      </w:pPr>
    </w:p>
    <w:p w14:paraId="537BF536" w14:textId="5E3868A8" w:rsidR="00940278" w:rsidRPr="00F1714B" w:rsidRDefault="00940278" w:rsidP="0072149A">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t>b</w:t>
      </w:r>
      <w:r w:rsidR="00553938" w:rsidRPr="00F1714B">
        <w:rPr>
          <w:rFonts w:cs="Times New Roman"/>
          <w:b/>
          <w:szCs w:val="26"/>
        </w:rPr>
        <w:t>.</w:t>
      </w:r>
      <w:r w:rsidRPr="00F1714B">
        <w:rPr>
          <w:rFonts w:cs="Times New Roman"/>
          <w:b/>
          <w:szCs w:val="26"/>
        </w:rPr>
        <w:tab/>
        <w:t>Discussion</w:t>
      </w:r>
      <w:r w:rsidR="007173AB" w:rsidRPr="00F1714B">
        <w:rPr>
          <w:rFonts w:cs="Times New Roman"/>
          <w:b/>
          <w:szCs w:val="26"/>
        </w:rPr>
        <w:t xml:space="preserve"> and </w:t>
      </w:r>
      <w:r w:rsidRPr="00F1714B">
        <w:rPr>
          <w:rFonts w:cs="Times New Roman"/>
          <w:b/>
          <w:szCs w:val="26"/>
        </w:rPr>
        <w:t>Resolution</w:t>
      </w:r>
    </w:p>
    <w:p w14:paraId="18A17F95" w14:textId="77777777" w:rsidR="00DC410E" w:rsidRPr="00F1714B" w:rsidRDefault="001063C6" w:rsidP="0072149A">
      <w:pPr>
        <w:tabs>
          <w:tab w:val="left" w:pos="720"/>
          <w:tab w:val="left" w:pos="1440"/>
        </w:tabs>
        <w:rPr>
          <w:rFonts w:cs="Times New Roman"/>
          <w:szCs w:val="26"/>
        </w:rPr>
      </w:pPr>
      <w:r w:rsidRPr="00F1714B">
        <w:rPr>
          <w:rFonts w:cs="Times New Roman"/>
          <w:szCs w:val="26"/>
        </w:rPr>
        <w:tab/>
        <w:t xml:space="preserve">We disagree with Verizon that retention of a modified version of Section 63.57 is unnecessary and counterproductive in a competitive market.  </w:t>
      </w:r>
      <w:r w:rsidR="00DC410E" w:rsidRPr="00F1714B">
        <w:rPr>
          <w:rFonts w:cs="Times New Roman"/>
          <w:szCs w:val="26"/>
        </w:rPr>
        <w:t xml:space="preserve">Section 1501 of the Code states the following in pertinent part:  </w:t>
      </w:r>
    </w:p>
    <w:p w14:paraId="27F38623" w14:textId="0F130398" w:rsidR="002F4B38" w:rsidRPr="00F1714B" w:rsidRDefault="004673AA" w:rsidP="00813E72">
      <w:pPr>
        <w:tabs>
          <w:tab w:val="left" w:pos="1440"/>
        </w:tabs>
        <w:spacing w:line="240" w:lineRule="auto"/>
        <w:ind w:left="1440" w:right="1440"/>
        <w:rPr>
          <w:rFonts w:cs="Times New Roman"/>
          <w:szCs w:val="26"/>
        </w:rPr>
      </w:pPr>
      <w:r w:rsidRPr="00F1714B">
        <w:rPr>
          <w:rFonts w:cs="Times New Roman"/>
          <w:szCs w:val="26"/>
        </w:rPr>
        <w:lastRenderedPageBreak/>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w:t>
      </w:r>
      <w:r w:rsidRPr="00F1714B">
        <w:rPr>
          <w:rFonts w:cs="Times New Roman"/>
          <w:i/>
          <w:iCs/>
          <w:szCs w:val="26"/>
        </w:rPr>
        <w:t>Such service also shall be</w:t>
      </w:r>
      <w:r w:rsidRPr="00F1714B">
        <w:rPr>
          <w:rFonts w:cs="Times New Roman"/>
          <w:szCs w:val="26"/>
        </w:rPr>
        <w:t xml:space="preserve"> </w:t>
      </w:r>
      <w:r w:rsidRPr="00F1714B">
        <w:rPr>
          <w:rFonts w:cs="Times New Roman"/>
          <w:i/>
          <w:iCs/>
          <w:szCs w:val="26"/>
        </w:rPr>
        <w:t>reasonably continuous and without unreasonable interruptions or delay</w:t>
      </w:r>
      <w:r w:rsidRPr="00F1714B">
        <w:rPr>
          <w:rFonts w:cs="Times New Roman"/>
          <w:szCs w:val="26"/>
        </w:rPr>
        <w:t xml:space="preserve">. </w:t>
      </w:r>
    </w:p>
    <w:p w14:paraId="594234B4" w14:textId="6AAA1897" w:rsidR="00DC410E" w:rsidRPr="00F1714B" w:rsidRDefault="00DC410E" w:rsidP="00813E72">
      <w:pPr>
        <w:tabs>
          <w:tab w:val="left" w:pos="720"/>
          <w:tab w:val="left" w:pos="1440"/>
        </w:tabs>
        <w:spacing w:line="240" w:lineRule="auto"/>
        <w:rPr>
          <w:rFonts w:cs="Times New Roman"/>
          <w:szCs w:val="26"/>
        </w:rPr>
      </w:pPr>
    </w:p>
    <w:p w14:paraId="3E7BB7A9" w14:textId="07EDD95A" w:rsidR="004138CA" w:rsidRPr="00F1714B" w:rsidRDefault="00DC410E" w:rsidP="00E55426">
      <w:pPr>
        <w:tabs>
          <w:tab w:val="left" w:pos="720"/>
          <w:tab w:val="left" w:pos="1440"/>
        </w:tabs>
        <w:rPr>
          <w:rFonts w:cs="Times New Roman"/>
          <w:szCs w:val="26"/>
        </w:rPr>
      </w:pPr>
      <w:r w:rsidRPr="00F1714B">
        <w:rPr>
          <w:rFonts w:cs="Times New Roman"/>
          <w:szCs w:val="26"/>
        </w:rPr>
        <w:t xml:space="preserve">66 Pa.C.S. </w:t>
      </w:r>
      <w:r w:rsidR="00360232" w:rsidRPr="00F1714B">
        <w:rPr>
          <w:rFonts w:cs="Times New Roman"/>
          <w:szCs w:val="26"/>
        </w:rPr>
        <w:t>§ 1501</w:t>
      </w:r>
      <w:r w:rsidRPr="00F1714B">
        <w:rPr>
          <w:rFonts w:cs="Times New Roman"/>
          <w:szCs w:val="26"/>
        </w:rPr>
        <w:t>(</w:t>
      </w:r>
      <w:r w:rsidR="008A049D" w:rsidRPr="00F1714B">
        <w:rPr>
          <w:rFonts w:cs="Times New Roman"/>
          <w:szCs w:val="26"/>
        </w:rPr>
        <w:t>e</w:t>
      </w:r>
      <w:r w:rsidRPr="00F1714B">
        <w:rPr>
          <w:rFonts w:cs="Times New Roman"/>
          <w:szCs w:val="26"/>
        </w:rPr>
        <w:t>mphasis added).</w:t>
      </w:r>
      <w:r w:rsidR="005617DB" w:rsidRPr="00F1714B">
        <w:rPr>
          <w:rFonts w:cs="Times New Roman"/>
          <w:szCs w:val="26"/>
        </w:rPr>
        <w:t xml:space="preserve">  </w:t>
      </w:r>
      <w:r w:rsidR="00B93B97" w:rsidRPr="00F1714B">
        <w:rPr>
          <w:rFonts w:cs="Times New Roman"/>
          <w:szCs w:val="26"/>
        </w:rPr>
        <w:t xml:space="preserve">For service outages and other similar service </w:t>
      </w:r>
      <w:r w:rsidR="00F54C16" w:rsidRPr="00F1714B">
        <w:rPr>
          <w:rFonts w:cs="Times New Roman"/>
          <w:szCs w:val="26"/>
        </w:rPr>
        <w:t>troubles</w:t>
      </w:r>
      <w:r w:rsidR="004D75A7" w:rsidRPr="00F1714B">
        <w:rPr>
          <w:rFonts w:cs="Times New Roman"/>
          <w:szCs w:val="26"/>
        </w:rPr>
        <w:t>,</w:t>
      </w:r>
      <w:r w:rsidR="003F5E4D" w:rsidRPr="00F1714B">
        <w:rPr>
          <w:rFonts w:cs="Times New Roman"/>
          <w:szCs w:val="26"/>
        </w:rPr>
        <w:t xml:space="preserve"> </w:t>
      </w:r>
      <w:r w:rsidR="00B93B97" w:rsidRPr="00F1714B">
        <w:rPr>
          <w:rFonts w:cs="Times New Roman"/>
          <w:szCs w:val="26"/>
        </w:rPr>
        <w:t xml:space="preserve">we believe </w:t>
      </w:r>
      <w:r w:rsidR="003F5E4D" w:rsidRPr="00F1714B">
        <w:rPr>
          <w:rFonts w:cs="Times New Roman"/>
          <w:szCs w:val="26"/>
        </w:rPr>
        <w:t>the most efficient measure to meet the specific</w:t>
      </w:r>
      <w:r w:rsidR="006F6841" w:rsidRPr="00F1714B">
        <w:rPr>
          <w:rFonts w:cs="Times New Roman"/>
          <w:szCs w:val="26"/>
        </w:rPr>
        <w:t xml:space="preserve"> statutory </w:t>
      </w:r>
      <w:r w:rsidR="003F5E4D" w:rsidRPr="00F1714B">
        <w:rPr>
          <w:rFonts w:cs="Times New Roman"/>
          <w:szCs w:val="26"/>
        </w:rPr>
        <w:t>objective</w:t>
      </w:r>
      <w:r w:rsidR="006F6841" w:rsidRPr="00F1714B">
        <w:rPr>
          <w:rFonts w:cs="Times New Roman"/>
          <w:szCs w:val="26"/>
        </w:rPr>
        <w:t xml:space="preserve"> of ensuring a LEC provides service that is </w:t>
      </w:r>
      <w:r w:rsidR="006F6841" w:rsidRPr="00F1714B">
        <w:rPr>
          <w:rFonts w:cs="Times New Roman"/>
          <w:i/>
          <w:iCs/>
          <w:szCs w:val="26"/>
        </w:rPr>
        <w:t>reasonably continuous and without unreasonable interruptions or delay</w:t>
      </w:r>
      <w:r w:rsidR="006F6841" w:rsidRPr="00F1714B">
        <w:rPr>
          <w:rFonts w:cs="Times New Roman"/>
          <w:szCs w:val="26"/>
        </w:rPr>
        <w:t xml:space="preserve"> </w:t>
      </w:r>
      <w:r w:rsidR="00C602BE" w:rsidRPr="00F1714B">
        <w:rPr>
          <w:rFonts w:cs="Times New Roman"/>
          <w:szCs w:val="26"/>
        </w:rPr>
        <w:t xml:space="preserve">in both competitive and noncompetitive wire centers </w:t>
      </w:r>
      <w:r w:rsidR="006F6841" w:rsidRPr="00F1714B">
        <w:rPr>
          <w:rFonts w:cs="Times New Roman"/>
          <w:szCs w:val="26"/>
        </w:rPr>
        <w:t xml:space="preserve">is to specify the standard in a regulation.  </w:t>
      </w:r>
    </w:p>
    <w:p w14:paraId="51D55678" w14:textId="77777777" w:rsidR="006D3BED" w:rsidRPr="00F1714B" w:rsidRDefault="006D3BED" w:rsidP="00E55426">
      <w:pPr>
        <w:tabs>
          <w:tab w:val="left" w:pos="720"/>
          <w:tab w:val="left" w:pos="1440"/>
        </w:tabs>
        <w:rPr>
          <w:rFonts w:cs="Times New Roman"/>
          <w:szCs w:val="26"/>
        </w:rPr>
      </w:pPr>
    </w:p>
    <w:p w14:paraId="1A7E4B6C" w14:textId="4AB802D9" w:rsidR="00DC410E" w:rsidRPr="00F1714B" w:rsidRDefault="006D3BED" w:rsidP="00813E72">
      <w:pPr>
        <w:tabs>
          <w:tab w:val="left" w:pos="720"/>
          <w:tab w:val="left" w:pos="1440"/>
        </w:tabs>
        <w:rPr>
          <w:rFonts w:cs="Times New Roman"/>
          <w:szCs w:val="26"/>
        </w:rPr>
      </w:pPr>
      <w:r w:rsidRPr="00F1714B">
        <w:rPr>
          <w:rFonts w:cs="Times New Roman"/>
          <w:szCs w:val="26"/>
        </w:rPr>
        <w:tab/>
      </w:r>
      <w:r w:rsidR="002A43CE" w:rsidRPr="00F1714B">
        <w:rPr>
          <w:rFonts w:cs="Times New Roman"/>
          <w:szCs w:val="26"/>
        </w:rPr>
        <w:t xml:space="preserve">While we are </w:t>
      </w:r>
      <w:r w:rsidR="006F6841" w:rsidRPr="00F1714B">
        <w:rPr>
          <w:rFonts w:cs="Times New Roman"/>
          <w:szCs w:val="26"/>
        </w:rPr>
        <w:t xml:space="preserve">mindful of </w:t>
      </w:r>
      <w:r w:rsidR="002A43CE" w:rsidRPr="00F1714B">
        <w:rPr>
          <w:rFonts w:cs="Times New Roman"/>
          <w:szCs w:val="26"/>
        </w:rPr>
        <w:t xml:space="preserve">both </w:t>
      </w:r>
      <w:r w:rsidR="006F6841" w:rsidRPr="00F1714B">
        <w:rPr>
          <w:rFonts w:cs="Times New Roman"/>
          <w:szCs w:val="26"/>
        </w:rPr>
        <w:t>IRRC</w:t>
      </w:r>
      <w:r w:rsidR="00F30870" w:rsidRPr="00F1714B">
        <w:rPr>
          <w:rFonts w:cs="Times New Roman"/>
          <w:szCs w:val="26"/>
        </w:rPr>
        <w:t>’s</w:t>
      </w:r>
      <w:r w:rsidR="006F6841" w:rsidRPr="00F1714B">
        <w:rPr>
          <w:rFonts w:cs="Times New Roman"/>
          <w:szCs w:val="26"/>
        </w:rPr>
        <w:t xml:space="preserve"> and TCC/CCL’s observation</w:t>
      </w:r>
      <w:r w:rsidR="00F30870" w:rsidRPr="00F1714B">
        <w:rPr>
          <w:rFonts w:cs="Times New Roman"/>
          <w:szCs w:val="26"/>
        </w:rPr>
        <w:t>s</w:t>
      </w:r>
      <w:r w:rsidR="006F6841" w:rsidRPr="00F1714B">
        <w:rPr>
          <w:rFonts w:cs="Times New Roman"/>
          <w:szCs w:val="26"/>
        </w:rPr>
        <w:t xml:space="preserve"> tha</w:t>
      </w:r>
      <w:r w:rsidR="00FD24F9" w:rsidRPr="00F1714B">
        <w:rPr>
          <w:rFonts w:cs="Times New Roman"/>
          <w:szCs w:val="26"/>
        </w:rPr>
        <w:t xml:space="preserve">t the rule should </w:t>
      </w:r>
      <w:r w:rsidR="006F6841" w:rsidRPr="00F1714B">
        <w:rPr>
          <w:rFonts w:cs="Times New Roman"/>
          <w:szCs w:val="26"/>
        </w:rPr>
        <w:t xml:space="preserve">retain an exception </w:t>
      </w:r>
      <w:r w:rsidR="002A13EF" w:rsidRPr="00F1714B">
        <w:rPr>
          <w:rFonts w:cs="Times New Roman"/>
          <w:szCs w:val="26"/>
        </w:rPr>
        <w:t>for weekend</w:t>
      </w:r>
      <w:r w:rsidR="002A43CE" w:rsidRPr="00F1714B">
        <w:rPr>
          <w:rFonts w:cs="Times New Roman"/>
          <w:szCs w:val="26"/>
        </w:rPr>
        <w:t>s</w:t>
      </w:r>
      <w:r w:rsidR="00B142E8" w:rsidRPr="00F1714B">
        <w:rPr>
          <w:rFonts w:cs="Times New Roman"/>
          <w:szCs w:val="26"/>
        </w:rPr>
        <w:t>,</w:t>
      </w:r>
      <w:r w:rsidR="002A13EF" w:rsidRPr="00F1714B">
        <w:rPr>
          <w:rFonts w:cs="Times New Roman"/>
          <w:szCs w:val="26"/>
        </w:rPr>
        <w:t xml:space="preserve"> </w:t>
      </w:r>
      <w:r w:rsidR="001C4DEA" w:rsidRPr="00F1714B">
        <w:rPr>
          <w:rFonts w:cs="Times New Roman"/>
          <w:szCs w:val="26"/>
        </w:rPr>
        <w:t xml:space="preserve">we disagree.  </w:t>
      </w:r>
      <w:r w:rsidR="00425F7A" w:rsidRPr="00F1714B">
        <w:rPr>
          <w:rFonts w:cs="Times New Roman"/>
          <w:szCs w:val="26"/>
        </w:rPr>
        <w:t xml:space="preserve">We acknowledge that a LEC is </w:t>
      </w:r>
      <w:r w:rsidR="00EC5045" w:rsidRPr="00F1714B">
        <w:rPr>
          <w:rFonts w:cs="Times New Roman"/>
          <w:szCs w:val="26"/>
        </w:rPr>
        <w:t xml:space="preserve">handling </w:t>
      </w:r>
      <w:r w:rsidR="00E148CF" w:rsidRPr="00F1714B">
        <w:rPr>
          <w:rFonts w:cs="Times New Roman"/>
          <w:szCs w:val="26"/>
        </w:rPr>
        <w:t xml:space="preserve">many issues </w:t>
      </w:r>
      <w:r w:rsidR="00425F7A" w:rsidRPr="00F1714B">
        <w:rPr>
          <w:rFonts w:cs="Times New Roman"/>
          <w:szCs w:val="26"/>
        </w:rPr>
        <w:t>d</w:t>
      </w:r>
      <w:r w:rsidR="002D7243" w:rsidRPr="00F1714B">
        <w:rPr>
          <w:rFonts w:cs="Times New Roman"/>
          <w:szCs w:val="26"/>
        </w:rPr>
        <w:t>uring a major service outage</w:t>
      </w:r>
      <w:r w:rsidR="00425F7A" w:rsidRPr="00F1714B">
        <w:rPr>
          <w:rFonts w:cs="Times New Roman"/>
          <w:szCs w:val="26"/>
        </w:rPr>
        <w:t xml:space="preserve"> as it attempts to determine the cause of the outage (if unknown) and quickly take steps to resolve it, but </w:t>
      </w:r>
      <w:r w:rsidR="002D7243" w:rsidRPr="00F1714B">
        <w:rPr>
          <w:rFonts w:cs="Times New Roman"/>
          <w:szCs w:val="26"/>
        </w:rPr>
        <w:t xml:space="preserve">a LEC’s customer base </w:t>
      </w:r>
      <w:r w:rsidR="00425F7A" w:rsidRPr="00F1714B">
        <w:rPr>
          <w:rFonts w:cs="Times New Roman"/>
          <w:szCs w:val="26"/>
        </w:rPr>
        <w:t xml:space="preserve">is dealing with far greater stress during this </w:t>
      </w:r>
      <w:r w:rsidR="002D7243" w:rsidRPr="00F1714B">
        <w:rPr>
          <w:rFonts w:cs="Times New Roman"/>
          <w:szCs w:val="26"/>
        </w:rPr>
        <w:t xml:space="preserve">difficult situation. </w:t>
      </w:r>
      <w:r w:rsidR="00425F7A" w:rsidRPr="00F1714B">
        <w:rPr>
          <w:rFonts w:cs="Times New Roman"/>
          <w:szCs w:val="26"/>
        </w:rPr>
        <w:t xml:space="preserve"> Customers </w:t>
      </w:r>
      <w:r w:rsidR="002D7243" w:rsidRPr="00F1714B">
        <w:rPr>
          <w:rFonts w:cs="Times New Roman"/>
          <w:szCs w:val="26"/>
        </w:rPr>
        <w:t xml:space="preserve">are </w:t>
      </w:r>
      <w:r w:rsidR="00425F7A" w:rsidRPr="00F1714B">
        <w:rPr>
          <w:rFonts w:cs="Times New Roman"/>
          <w:szCs w:val="26"/>
        </w:rPr>
        <w:t xml:space="preserve">detrimentally </w:t>
      </w:r>
      <w:r w:rsidR="002D7243" w:rsidRPr="00F1714B">
        <w:rPr>
          <w:rFonts w:cs="Times New Roman"/>
          <w:szCs w:val="26"/>
        </w:rPr>
        <w:t xml:space="preserve">impacted by the </w:t>
      </w:r>
      <w:r w:rsidR="00DD7D4E" w:rsidRPr="00F1714B">
        <w:rPr>
          <w:rFonts w:cs="Times New Roman"/>
          <w:szCs w:val="26"/>
        </w:rPr>
        <w:t>outage,</w:t>
      </w:r>
      <w:r w:rsidR="00D26945" w:rsidRPr="00F1714B">
        <w:rPr>
          <w:rFonts w:cs="Times New Roman"/>
          <w:szCs w:val="26"/>
        </w:rPr>
        <w:t xml:space="preserve"> and they </w:t>
      </w:r>
      <w:r w:rsidR="002D7243" w:rsidRPr="00F1714B">
        <w:rPr>
          <w:rFonts w:cs="Times New Roman"/>
          <w:szCs w:val="26"/>
        </w:rPr>
        <w:t>also have far less information about what is happening.</w:t>
      </w:r>
      <w:r w:rsidR="008C20F6" w:rsidRPr="00F1714B">
        <w:rPr>
          <w:rFonts w:cs="Times New Roman"/>
          <w:szCs w:val="26"/>
        </w:rPr>
        <w:t xml:space="preserve">  </w:t>
      </w:r>
      <w:r w:rsidR="006645E0" w:rsidRPr="00F1714B">
        <w:rPr>
          <w:rFonts w:cs="Times New Roman"/>
          <w:szCs w:val="26"/>
        </w:rPr>
        <w:t>R</w:t>
      </w:r>
      <w:r w:rsidR="008C20F6" w:rsidRPr="00F1714B">
        <w:rPr>
          <w:rFonts w:cs="Times New Roman"/>
          <w:szCs w:val="26"/>
        </w:rPr>
        <w:t xml:space="preserve">ecovery </w:t>
      </w:r>
      <w:r w:rsidR="006645E0" w:rsidRPr="00F1714B">
        <w:rPr>
          <w:rFonts w:cs="Times New Roman"/>
          <w:szCs w:val="26"/>
        </w:rPr>
        <w:t xml:space="preserve">of the ability to communicate </w:t>
      </w:r>
      <w:r w:rsidR="008C20F6" w:rsidRPr="00F1714B">
        <w:rPr>
          <w:rFonts w:cs="Times New Roman"/>
          <w:szCs w:val="26"/>
        </w:rPr>
        <w:t xml:space="preserve">is </w:t>
      </w:r>
      <w:r w:rsidR="00E76AD7" w:rsidRPr="00F1714B">
        <w:rPr>
          <w:rFonts w:cs="Times New Roman"/>
          <w:szCs w:val="26"/>
        </w:rPr>
        <w:t xml:space="preserve">just too important to ignore.  </w:t>
      </w:r>
      <w:r w:rsidR="00566D58" w:rsidRPr="00F1714B">
        <w:rPr>
          <w:rFonts w:cs="Times New Roman"/>
          <w:szCs w:val="26"/>
        </w:rPr>
        <w:t>The Commission determines that i</w:t>
      </w:r>
      <w:r w:rsidR="00E76AD7" w:rsidRPr="00F1714B">
        <w:rPr>
          <w:rFonts w:cs="Times New Roman"/>
          <w:szCs w:val="26"/>
        </w:rPr>
        <w:t xml:space="preserve">t cannot be </w:t>
      </w:r>
      <w:r w:rsidR="008C20F6" w:rsidRPr="00F1714B">
        <w:rPr>
          <w:rFonts w:cs="Times New Roman"/>
          <w:szCs w:val="26"/>
        </w:rPr>
        <w:t xml:space="preserve">put on </w:t>
      </w:r>
      <w:r w:rsidR="00E76AD7" w:rsidRPr="00F1714B">
        <w:rPr>
          <w:rFonts w:cs="Times New Roman"/>
          <w:szCs w:val="26"/>
        </w:rPr>
        <w:t>a slow track even when it is an isolated weekend outage affecting fewer than 15 customers in the local exchange.</w:t>
      </w:r>
      <w:r w:rsidR="004138CA" w:rsidRPr="00F1714B">
        <w:rPr>
          <w:rFonts w:cs="Times New Roman"/>
          <w:szCs w:val="26"/>
        </w:rPr>
        <w:t xml:space="preserve">  </w:t>
      </w:r>
      <w:r w:rsidRPr="00F1714B">
        <w:rPr>
          <w:rFonts w:cs="Times New Roman"/>
          <w:szCs w:val="26"/>
        </w:rPr>
        <w:t xml:space="preserve">Initiation of service recovery must be </w:t>
      </w:r>
      <w:r w:rsidR="00DD7D4E" w:rsidRPr="00F1714B">
        <w:rPr>
          <w:rFonts w:cs="Times New Roman"/>
          <w:szCs w:val="26"/>
        </w:rPr>
        <w:t>prioritized,</w:t>
      </w:r>
      <w:r w:rsidR="00D00E62" w:rsidRPr="00F1714B">
        <w:rPr>
          <w:rFonts w:cs="Times New Roman"/>
          <w:szCs w:val="26"/>
        </w:rPr>
        <w:t xml:space="preserve"> and the statute </w:t>
      </w:r>
      <w:r w:rsidR="006341CE" w:rsidRPr="00F1714B">
        <w:rPr>
          <w:rFonts w:cs="Times New Roman"/>
          <w:szCs w:val="26"/>
        </w:rPr>
        <w:t xml:space="preserve">requires a fast, efficient and effective service recovery process.  Accordingly, we will </w:t>
      </w:r>
      <w:r w:rsidR="00DD7D4E" w:rsidRPr="00F1714B">
        <w:rPr>
          <w:rFonts w:cs="Times New Roman"/>
          <w:szCs w:val="26"/>
        </w:rPr>
        <w:t>incorporate</w:t>
      </w:r>
      <w:r w:rsidR="006341CE" w:rsidRPr="00F1714B">
        <w:rPr>
          <w:rFonts w:cs="Times New Roman"/>
          <w:szCs w:val="26"/>
        </w:rPr>
        <w:t xml:space="preserve"> our modified version of Section 63.57 as </w:t>
      </w:r>
      <w:r w:rsidR="004D7173" w:rsidRPr="00F1714B">
        <w:rPr>
          <w:rFonts w:cs="Times New Roman"/>
          <w:szCs w:val="26"/>
        </w:rPr>
        <w:t>it was proposed in the final-form regulation.</w:t>
      </w:r>
    </w:p>
    <w:p w14:paraId="3D314344" w14:textId="77777777" w:rsidR="002F4B38" w:rsidRPr="00F1714B" w:rsidRDefault="002F4B38" w:rsidP="00813E72">
      <w:pPr>
        <w:tabs>
          <w:tab w:val="left" w:pos="720"/>
          <w:tab w:val="left" w:pos="1440"/>
        </w:tabs>
        <w:rPr>
          <w:rFonts w:cs="Times New Roman"/>
          <w:szCs w:val="26"/>
        </w:rPr>
      </w:pPr>
    </w:p>
    <w:p w14:paraId="4CC447FB" w14:textId="77777777" w:rsidR="001B3461" w:rsidRPr="00F1714B" w:rsidRDefault="001B3461" w:rsidP="00813E72">
      <w:pPr>
        <w:rPr>
          <w:rFonts w:cs="Times New Roman"/>
          <w:b/>
          <w:bCs/>
          <w:szCs w:val="26"/>
        </w:rPr>
      </w:pPr>
      <w:r w:rsidRPr="00F1714B">
        <w:rPr>
          <w:rFonts w:cs="Times New Roman"/>
          <w:szCs w:val="26"/>
        </w:rPr>
        <w:tab/>
      </w:r>
      <w:r w:rsidRPr="00F1714B">
        <w:rPr>
          <w:rFonts w:cs="Times New Roman"/>
          <w:b/>
          <w:bCs/>
          <w:szCs w:val="26"/>
        </w:rPr>
        <w:tab/>
        <w:t>5.</w:t>
      </w:r>
      <w:r w:rsidRPr="00F1714B">
        <w:rPr>
          <w:rFonts w:cs="Times New Roman"/>
          <w:b/>
          <w:bCs/>
          <w:szCs w:val="26"/>
        </w:rPr>
        <w:tab/>
        <w:t>52 Pa. Code § 63.58 (Installation of service)</w:t>
      </w:r>
    </w:p>
    <w:p w14:paraId="22AD652E" w14:textId="5C0EA0DB" w:rsidR="001B3461" w:rsidRPr="00F1714B" w:rsidRDefault="00596671" w:rsidP="00813E72">
      <w:pPr>
        <w:tabs>
          <w:tab w:val="left" w:pos="720"/>
          <w:tab w:val="left" w:pos="1440"/>
        </w:tabs>
        <w:rPr>
          <w:rFonts w:cs="Times New Roman"/>
          <w:bCs/>
          <w:szCs w:val="26"/>
        </w:rPr>
      </w:pPr>
      <w:r w:rsidRPr="00F1714B">
        <w:rPr>
          <w:rFonts w:cs="Times New Roman"/>
          <w:bCs/>
          <w:caps/>
          <w:szCs w:val="26"/>
        </w:rPr>
        <w:tab/>
        <w:t>I</w:t>
      </w:r>
      <w:r w:rsidR="000C7DC5" w:rsidRPr="00F1714B">
        <w:rPr>
          <w:rFonts w:cs="Times New Roman"/>
          <w:bCs/>
          <w:szCs w:val="26"/>
        </w:rPr>
        <w:t xml:space="preserve">n the </w:t>
      </w:r>
      <w:r w:rsidR="000C7DC5" w:rsidRPr="00F1714B">
        <w:rPr>
          <w:rFonts w:cs="Times New Roman"/>
          <w:bCs/>
          <w:i/>
          <w:iCs/>
          <w:szCs w:val="26"/>
        </w:rPr>
        <w:t>Reclassification Order</w:t>
      </w:r>
      <w:r w:rsidR="000C7DC5" w:rsidRPr="00F1714B">
        <w:rPr>
          <w:rFonts w:cs="Times New Roman"/>
          <w:bCs/>
          <w:caps/>
          <w:szCs w:val="26"/>
        </w:rPr>
        <w:t xml:space="preserve">, </w:t>
      </w:r>
      <w:r w:rsidR="001B3461" w:rsidRPr="00F1714B">
        <w:rPr>
          <w:rFonts w:cs="Times New Roman"/>
          <w:bCs/>
          <w:szCs w:val="26"/>
        </w:rPr>
        <w:t xml:space="preserve">we reached the conclusion “that information on the timing of service installations, including any standards applicable to service installation </w:t>
      </w:r>
      <w:r w:rsidR="001B3461" w:rsidRPr="00F1714B">
        <w:rPr>
          <w:rFonts w:cs="Times New Roman"/>
          <w:bCs/>
          <w:szCs w:val="26"/>
        </w:rPr>
        <w:lastRenderedPageBreak/>
        <w:t>times, should be readily available to customers in some form other than a regulation”</w:t>
      </w:r>
      <w:r w:rsidR="00A2223E" w:rsidRPr="00F1714B">
        <w:rPr>
          <w:rFonts w:cs="Times New Roman"/>
          <w:bCs/>
          <w:szCs w:val="26"/>
        </w:rPr>
        <w:t xml:space="preserve"> and thus we temporarily granted Verizon </w:t>
      </w:r>
      <w:r w:rsidR="00F30870" w:rsidRPr="00F1714B">
        <w:rPr>
          <w:rFonts w:cs="Times New Roman"/>
          <w:bCs/>
          <w:szCs w:val="26"/>
        </w:rPr>
        <w:t xml:space="preserve">a </w:t>
      </w:r>
      <w:r w:rsidR="00A2223E" w:rsidRPr="00F1714B">
        <w:rPr>
          <w:rFonts w:cs="Times New Roman"/>
          <w:bCs/>
          <w:szCs w:val="26"/>
        </w:rPr>
        <w:t>“waiver of Section 63.58 conditionally upon the requirement that Verizon include in its Product Guide applicable to competitive services its rules regarding timing of service installations and any commitments that Verizon is willing to make to customers on the subject.”</w:t>
      </w:r>
      <w:r w:rsidR="00392F8E" w:rsidRPr="00F1714B">
        <w:rPr>
          <w:rStyle w:val="FootnoteReference"/>
          <w:rFonts w:cs="Times New Roman"/>
          <w:bCs/>
          <w:szCs w:val="26"/>
        </w:rPr>
        <w:footnoteReference w:id="70"/>
      </w:r>
      <w:r w:rsidR="001B3461" w:rsidRPr="00F1714B">
        <w:rPr>
          <w:rFonts w:cs="Times New Roman"/>
          <w:bCs/>
          <w:szCs w:val="26"/>
        </w:rPr>
        <w:t xml:space="preserve">  </w:t>
      </w:r>
    </w:p>
    <w:p w14:paraId="0555C51F" w14:textId="77777777" w:rsidR="00B41A7F" w:rsidRPr="00F1714B" w:rsidRDefault="00B41A7F" w:rsidP="00813E72">
      <w:pPr>
        <w:tabs>
          <w:tab w:val="left" w:pos="720"/>
          <w:tab w:val="left" w:pos="1440"/>
        </w:tabs>
        <w:rPr>
          <w:rFonts w:cs="Times New Roman"/>
          <w:bCs/>
          <w:i/>
          <w:iCs/>
          <w:szCs w:val="26"/>
        </w:rPr>
      </w:pPr>
    </w:p>
    <w:p w14:paraId="6F55FCD5" w14:textId="23A40D92" w:rsidR="00EC716E" w:rsidRPr="00F1714B" w:rsidRDefault="003C77DB" w:rsidP="00813E72">
      <w:pPr>
        <w:tabs>
          <w:tab w:val="left" w:pos="720"/>
          <w:tab w:val="left" w:pos="1440"/>
        </w:tabs>
        <w:rPr>
          <w:rFonts w:cs="Times New Roman"/>
          <w:color w:val="000000"/>
          <w:szCs w:val="26"/>
        </w:rPr>
      </w:pPr>
      <w:r w:rsidRPr="00F1714B">
        <w:rPr>
          <w:rFonts w:cs="Times New Roman"/>
          <w:bCs/>
          <w:szCs w:val="26"/>
        </w:rPr>
        <w:tab/>
      </w:r>
      <w:r w:rsidR="004336A9" w:rsidRPr="00F1714B">
        <w:rPr>
          <w:rFonts w:cs="Times New Roman"/>
          <w:bCs/>
          <w:szCs w:val="26"/>
        </w:rPr>
        <w:t xml:space="preserve">In the </w:t>
      </w:r>
      <w:r w:rsidR="004336A9" w:rsidRPr="00F1714B">
        <w:rPr>
          <w:rFonts w:cs="Times New Roman"/>
          <w:bCs/>
          <w:i/>
          <w:iCs/>
          <w:szCs w:val="26"/>
        </w:rPr>
        <w:t>N</w:t>
      </w:r>
      <w:r w:rsidR="00100A83" w:rsidRPr="00F1714B">
        <w:rPr>
          <w:rFonts w:cs="Times New Roman"/>
          <w:bCs/>
          <w:i/>
          <w:iCs/>
          <w:szCs w:val="26"/>
        </w:rPr>
        <w:t xml:space="preserve">PRM </w:t>
      </w:r>
      <w:r w:rsidR="004336A9" w:rsidRPr="00F1714B">
        <w:rPr>
          <w:rFonts w:cs="Times New Roman"/>
          <w:bCs/>
          <w:i/>
          <w:iCs/>
          <w:szCs w:val="26"/>
        </w:rPr>
        <w:t>Order</w:t>
      </w:r>
      <w:r w:rsidR="004336A9" w:rsidRPr="00F1714B">
        <w:rPr>
          <w:rFonts w:cs="Times New Roman"/>
          <w:bCs/>
          <w:szCs w:val="26"/>
        </w:rPr>
        <w:t xml:space="preserve">, we determined it was best to propose </w:t>
      </w:r>
      <w:r w:rsidR="00D6520D" w:rsidRPr="00F1714B">
        <w:rPr>
          <w:rFonts w:cs="Times New Roman"/>
          <w:color w:val="000000"/>
          <w:szCs w:val="26"/>
        </w:rPr>
        <w:t xml:space="preserve">a revision </w:t>
      </w:r>
      <w:r w:rsidR="00D05E32" w:rsidRPr="00F1714B">
        <w:rPr>
          <w:rFonts w:cs="Times New Roman"/>
          <w:color w:val="000000"/>
          <w:szCs w:val="26"/>
        </w:rPr>
        <w:t xml:space="preserve">to Sections 63.58(a) and 63.58(b) </w:t>
      </w:r>
      <w:r w:rsidR="004036E2" w:rsidRPr="00F1714B">
        <w:rPr>
          <w:rFonts w:cs="Times New Roman"/>
          <w:color w:val="000000"/>
          <w:szCs w:val="26"/>
        </w:rPr>
        <w:t xml:space="preserve">so that the regulation would now provide that the respective five-day and </w:t>
      </w:r>
      <w:r w:rsidR="00F30870" w:rsidRPr="00F1714B">
        <w:rPr>
          <w:rFonts w:cs="Times New Roman"/>
          <w:color w:val="000000"/>
          <w:szCs w:val="26"/>
        </w:rPr>
        <w:t>twenty</w:t>
      </w:r>
      <w:r w:rsidR="004036E2" w:rsidRPr="00F1714B">
        <w:rPr>
          <w:rFonts w:cs="Times New Roman"/>
          <w:color w:val="000000"/>
          <w:szCs w:val="26"/>
        </w:rPr>
        <w:t xml:space="preserve">-day rules apply unless a later date is agreed to by the customer.  This was the same rationale we </w:t>
      </w:r>
      <w:r w:rsidR="000908EB" w:rsidRPr="00F1714B">
        <w:rPr>
          <w:rFonts w:cs="Times New Roman"/>
          <w:color w:val="000000"/>
          <w:szCs w:val="26"/>
        </w:rPr>
        <w:t>use</w:t>
      </w:r>
      <w:r w:rsidR="004036E2" w:rsidRPr="00F1714B">
        <w:rPr>
          <w:rFonts w:cs="Times New Roman"/>
          <w:color w:val="000000"/>
          <w:szCs w:val="26"/>
        </w:rPr>
        <w:t xml:space="preserve">d </w:t>
      </w:r>
      <w:r w:rsidR="000908EB" w:rsidRPr="00F1714B">
        <w:rPr>
          <w:rFonts w:cs="Times New Roman"/>
          <w:color w:val="000000"/>
          <w:szCs w:val="26"/>
        </w:rPr>
        <w:t xml:space="preserve">to </w:t>
      </w:r>
      <w:r w:rsidR="0043481F" w:rsidRPr="00F1714B">
        <w:rPr>
          <w:rFonts w:cs="Times New Roman"/>
          <w:color w:val="000000"/>
          <w:szCs w:val="26"/>
        </w:rPr>
        <w:t xml:space="preserve">the </w:t>
      </w:r>
      <w:r w:rsidR="00D6520D" w:rsidRPr="00F1714B">
        <w:rPr>
          <w:rFonts w:cs="Times New Roman"/>
          <w:color w:val="000000"/>
          <w:szCs w:val="26"/>
        </w:rPr>
        <w:t>propose</w:t>
      </w:r>
      <w:r w:rsidR="00F30870" w:rsidRPr="00F1714B">
        <w:rPr>
          <w:rFonts w:cs="Times New Roman"/>
          <w:color w:val="000000"/>
          <w:szCs w:val="26"/>
        </w:rPr>
        <w:t>d</w:t>
      </w:r>
      <w:r w:rsidR="004036E2" w:rsidRPr="00F1714B">
        <w:rPr>
          <w:rFonts w:cs="Times New Roman"/>
          <w:color w:val="000000"/>
          <w:szCs w:val="26"/>
        </w:rPr>
        <w:t xml:space="preserve"> </w:t>
      </w:r>
      <w:r w:rsidR="0043481F" w:rsidRPr="00F1714B">
        <w:rPr>
          <w:rFonts w:cs="Times New Roman"/>
          <w:color w:val="000000"/>
          <w:szCs w:val="26"/>
        </w:rPr>
        <w:t>amend</w:t>
      </w:r>
      <w:r w:rsidR="004036E2" w:rsidRPr="00F1714B">
        <w:rPr>
          <w:rFonts w:cs="Times New Roman"/>
          <w:color w:val="000000"/>
          <w:szCs w:val="26"/>
        </w:rPr>
        <w:t xml:space="preserve">ment to </w:t>
      </w:r>
      <w:r w:rsidR="00D05E32" w:rsidRPr="00F1714B">
        <w:rPr>
          <w:rFonts w:cs="Times New Roman"/>
          <w:color w:val="000000"/>
          <w:szCs w:val="26"/>
        </w:rPr>
        <w:t>Section 63.57</w:t>
      </w:r>
      <w:r w:rsidR="0043481F" w:rsidRPr="00F1714B">
        <w:rPr>
          <w:rFonts w:cs="Times New Roman"/>
          <w:color w:val="000000"/>
          <w:szCs w:val="26"/>
        </w:rPr>
        <w:t xml:space="preserve">, which was </w:t>
      </w:r>
      <w:r w:rsidR="00EC716E" w:rsidRPr="00F1714B">
        <w:rPr>
          <w:rFonts w:cs="Times New Roman"/>
          <w:color w:val="000000"/>
          <w:szCs w:val="26"/>
        </w:rPr>
        <w:t>to provide more flexibility in the carrier/customer relationship</w:t>
      </w:r>
      <w:r w:rsidR="004036E2" w:rsidRPr="00F1714B">
        <w:rPr>
          <w:rFonts w:cs="Times New Roman"/>
          <w:color w:val="000000"/>
          <w:szCs w:val="26"/>
        </w:rPr>
        <w:t xml:space="preserve"> and allow a public utility and its customer to agree to a different installation date.</w:t>
      </w:r>
    </w:p>
    <w:p w14:paraId="3F352B32" w14:textId="75C7034A" w:rsidR="004036E2" w:rsidRPr="00F1714B" w:rsidRDefault="004036E2" w:rsidP="00813E72">
      <w:pPr>
        <w:tabs>
          <w:tab w:val="left" w:pos="720"/>
          <w:tab w:val="left" w:pos="1440"/>
        </w:tabs>
        <w:rPr>
          <w:rFonts w:cs="Times New Roman"/>
          <w:color w:val="000000"/>
          <w:szCs w:val="26"/>
        </w:rPr>
      </w:pPr>
    </w:p>
    <w:p w14:paraId="05B07A6D" w14:textId="5809C71E" w:rsidR="00EE0CAA" w:rsidRPr="00F1714B" w:rsidRDefault="00EE0CAA" w:rsidP="00813E72">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0ECE8A3D" w14:textId="3CD656CF" w:rsidR="00BB62DC" w:rsidRPr="00F1714B" w:rsidRDefault="00BB62DC" w:rsidP="00813E72">
      <w:pPr>
        <w:ind w:firstLine="720"/>
        <w:rPr>
          <w:rFonts w:cs="Times New Roman"/>
          <w:szCs w:val="26"/>
        </w:rPr>
      </w:pPr>
      <w:bookmarkStart w:id="43" w:name="_Hlk81431629"/>
      <w:bookmarkStart w:id="44" w:name="_Hlk75861741"/>
      <w:r w:rsidRPr="00F1714B">
        <w:rPr>
          <w:rFonts w:cs="Times New Roman"/>
          <w:szCs w:val="26"/>
        </w:rPr>
        <w:t xml:space="preserve">IRRC notes that “[f]or companies that are still in the construction phase of building their network, fulfilling a customer order for new service may require additional construction to the customer’s premises,” and asks the Commission to consider a commentator’s request “to amend this section to account for delays in the installation of service due to construction.” </w:t>
      </w:r>
      <w:r w:rsidR="00387110" w:rsidRPr="00F1714B">
        <w:rPr>
          <w:rFonts w:cs="Times New Roman"/>
          <w:szCs w:val="26"/>
        </w:rPr>
        <w:t xml:space="preserve"> </w:t>
      </w:r>
      <w:r w:rsidRPr="00F1714B">
        <w:rPr>
          <w:rFonts w:cs="Times New Roman"/>
          <w:szCs w:val="26"/>
        </w:rPr>
        <w:t>IRRC Comments at 7.</w:t>
      </w:r>
    </w:p>
    <w:p w14:paraId="35AED282" w14:textId="77777777" w:rsidR="00BB62DC" w:rsidRPr="00F1714B" w:rsidRDefault="00BB62DC" w:rsidP="00813E72">
      <w:pPr>
        <w:ind w:firstLine="720"/>
        <w:rPr>
          <w:rFonts w:cs="Times New Roman"/>
          <w:szCs w:val="26"/>
        </w:rPr>
      </w:pPr>
    </w:p>
    <w:p w14:paraId="5C5FC64B" w14:textId="6AF41FD1" w:rsidR="00E40F69" w:rsidRPr="00F1714B" w:rsidRDefault="00E40F69" w:rsidP="00813E72">
      <w:pPr>
        <w:ind w:firstLine="720"/>
        <w:rPr>
          <w:rFonts w:cs="Times New Roman"/>
          <w:szCs w:val="26"/>
        </w:rPr>
      </w:pPr>
      <w:r w:rsidRPr="00F1714B">
        <w:rPr>
          <w:rFonts w:cs="Times New Roman"/>
          <w:szCs w:val="26"/>
        </w:rPr>
        <w:t>TCC/CCL request that the Commission modify it</w:t>
      </w:r>
      <w:r w:rsidR="00F30870" w:rsidRPr="00F1714B">
        <w:rPr>
          <w:rFonts w:cs="Times New Roman"/>
          <w:szCs w:val="26"/>
        </w:rPr>
        <w:t>s</w:t>
      </w:r>
      <w:r w:rsidRPr="00F1714B">
        <w:rPr>
          <w:rFonts w:cs="Times New Roman"/>
          <w:szCs w:val="26"/>
        </w:rPr>
        <w:t xml:space="preserve"> proposal for this rule to provide an exception to service installation metrics when construction is required</w:t>
      </w:r>
      <w:r w:rsidRPr="00F1714B">
        <w:rPr>
          <w:rFonts w:cs="Times New Roman"/>
          <w:color w:val="000000"/>
          <w:szCs w:val="26"/>
        </w:rPr>
        <w:t xml:space="preserve"> “</w:t>
      </w:r>
      <w:r w:rsidRPr="00F1714B">
        <w:rPr>
          <w:rFonts w:cs="Times New Roman"/>
          <w:szCs w:val="26"/>
        </w:rPr>
        <w:t xml:space="preserve">from the backbone to the customer's premises,” noting that both TCC and CCL are in the process of building or planning to construct fiber networks in </w:t>
      </w:r>
      <w:r w:rsidR="00F30870" w:rsidRPr="00F1714B">
        <w:rPr>
          <w:rFonts w:cs="Times New Roman"/>
          <w:szCs w:val="26"/>
        </w:rPr>
        <w:t xml:space="preserve">areas where broadband was </w:t>
      </w:r>
      <w:r w:rsidRPr="00F1714B">
        <w:rPr>
          <w:rFonts w:cs="Times New Roman"/>
          <w:szCs w:val="26"/>
        </w:rPr>
        <w:t xml:space="preserve">previously underserved.  </w:t>
      </w:r>
      <w:bookmarkStart w:id="45" w:name="_Hlk77083854"/>
      <w:r w:rsidRPr="00F1714B">
        <w:rPr>
          <w:rFonts w:cs="Times New Roman"/>
          <w:szCs w:val="26"/>
        </w:rPr>
        <w:t xml:space="preserve">TCC/CCL Comments at </w:t>
      </w:r>
      <w:bookmarkEnd w:id="45"/>
      <w:r w:rsidRPr="00F1714B">
        <w:rPr>
          <w:rFonts w:cs="Times New Roman"/>
          <w:szCs w:val="26"/>
        </w:rPr>
        <w:t xml:space="preserve">16. </w:t>
      </w:r>
      <w:r w:rsidR="00C66551" w:rsidRPr="00F1714B">
        <w:rPr>
          <w:rFonts w:cs="Times New Roman"/>
          <w:szCs w:val="26"/>
        </w:rPr>
        <w:t xml:space="preserve"> </w:t>
      </w:r>
      <w:r w:rsidRPr="00F1714B">
        <w:rPr>
          <w:rFonts w:cs="Times New Roman"/>
          <w:szCs w:val="26"/>
        </w:rPr>
        <w:t xml:space="preserve">TCC/CCL state that the Commission’s current rules “recognize that construction may delay connection of service.” </w:t>
      </w:r>
      <w:r w:rsidR="00387110" w:rsidRPr="00F1714B">
        <w:rPr>
          <w:rFonts w:cs="Times New Roman"/>
          <w:szCs w:val="26"/>
        </w:rPr>
        <w:t xml:space="preserve"> </w:t>
      </w:r>
      <w:r w:rsidRPr="00F1714B">
        <w:rPr>
          <w:rFonts w:cs="Times New Roman"/>
          <w:szCs w:val="26"/>
        </w:rPr>
        <w:t>TCC/CCL Comments at 17.</w:t>
      </w:r>
    </w:p>
    <w:bookmarkEnd w:id="43"/>
    <w:p w14:paraId="61471FFC" w14:textId="12BF3E1C" w:rsidR="00E40F69" w:rsidRPr="00F1714B" w:rsidRDefault="00E40F69" w:rsidP="00813E72">
      <w:pPr>
        <w:ind w:firstLine="720"/>
        <w:rPr>
          <w:rFonts w:cs="Times New Roman"/>
          <w:szCs w:val="26"/>
        </w:rPr>
      </w:pPr>
      <w:r w:rsidRPr="00F1714B">
        <w:rPr>
          <w:rFonts w:cs="Times New Roman"/>
          <w:szCs w:val="26"/>
        </w:rPr>
        <w:lastRenderedPageBreak/>
        <w:t xml:space="preserve">Verizon opposes the Commission’s proposed continuance of this rule because </w:t>
      </w:r>
      <w:bookmarkStart w:id="46" w:name="_Hlk75860894"/>
      <w:r w:rsidRPr="00F1714B">
        <w:rPr>
          <w:rFonts w:cs="Times New Roman"/>
          <w:szCs w:val="26"/>
        </w:rPr>
        <w:t xml:space="preserve">in Verizon’s view </w:t>
      </w:r>
      <w:bookmarkEnd w:id="46"/>
      <w:r w:rsidRPr="00F1714B">
        <w:rPr>
          <w:rFonts w:cs="Times New Roman"/>
          <w:szCs w:val="26"/>
        </w:rPr>
        <w:t xml:space="preserve">it is </w:t>
      </w:r>
      <w:bookmarkEnd w:id="44"/>
      <w:r w:rsidRPr="00F1714B">
        <w:rPr>
          <w:rFonts w:cs="Times New Roman"/>
          <w:szCs w:val="26"/>
        </w:rPr>
        <w:t xml:space="preserve">artificial, </w:t>
      </w:r>
      <w:proofErr w:type="gramStart"/>
      <w:r w:rsidRPr="00F1714B">
        <w:rPr>
          <w:rFonts w:cs="Times New Roman"/>
          <w:szCs w:val="26"/>
        </w:rPr>
        <w:t>unnecessary</w:t>
      </w:r>
      <w:proofErr w:type="gramEnd"/>
      <w:r w:rsidRPr="00F1714B">
        <w:rPr>
          <w:rFonts w:cs="Times New Roman"/>
          <w:szCs w:val="26"/>
        </w:rPr>
        <w:t xml:space="preserve"> and not based on customer expectations and there is no evidence regulated providers are failing to meet customer expectations for installing service. </w:t>
      </w:r>
      <w:r w:rsidR="00C66551" w:rsidRPr="00F1714B">
        <w:rPr>
          <w:rFonts w:cs="Times New Roman"/>
          <w:szCs w:val="26"/>
        </w:rPr>
        <w:t xml:space="preserve"> </w:t>
      </w:r>
      <w:r w:rsidRPr="00F1714B">
        <w:rPr>
          <w:rFonts w:cs="Times New Roman"/>
          <w:szCs w:val="26"/>
        </w:rPr>
        <w:t>Verizon Comments at 22.</w:t>
      </w:r>
      <w:r w:rsidR="00C66551" w:rsidRPr="00F1714B">
        <w:rPr>
          <w:rFonts w:cs="Times New Roman"/>
          <w:szCs w:val="26"/>
        </w:rPr>
        <w:t xml:space="preserve"> </w:t>
      </w:r>
      <w:r w:rsidRPr="00F1714B">
        <w:rPr>
          <w:rFonts w:cs="Times New Roman"/>
          <w:szCs w:val="26"/>
        </w:rPr>
        <w:t xml:space="preserve"> Verizon proposes an alternative that limits the rule to standalone residential service in noncompetitive areas, and sunsets the rule entirely by end of 2023. </w:t>
      </w:r>
      <w:r w:rsidR="00C66551" w:rsidRPr="00F1714B">
        <w:rPr>
          <w:rFonts w:cs="Times New Roman"/>
          <w:szCs w:val="26"/>
        </w:rPr>
        <w:t xml:space="preserve"> </w:t>
      </w:r>
      <w:r w:rsidRPr="00F1714B">
        <w:rPr>
          <w:rFonts w:cs="Times New Roman"/>
          <w:szCs w:val="26"/>
        </w:rPr>
        <w:t>Verizon Comments at 22.</w:t>
      </w:r>
    </w:p>
    <w:p w14:paraId="4DBE81FA" w14:textId="77777777" w:rsidR="00BD73FF" w:rsidRPr="00F1714B" w:rsidRDefault="00BD73FF" w:rsidP="00813E72">
      <w:pPr>
        <w:ind w:firstLine="720"/>
        <w:rPr>
          <w:rFonts w:cs="Times New Roman"/>
          <w:szCs w:val="26"/>
        </w:rPr>
      </w:pPr>
    </w:p>
    <w:p w14:paraId="3D3DC1D9" w14:textId="23F77D83" w:rsidR="00EE0CAA" w:rsidRPr="00F1714B" w:rsidRDefault="00EE0CAA" w:rsidP="00813E72">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t>b</w:t>
      </w:r>
      <w:r w:rsidR="00E11CCC" w:rsidRPr="00F1714B">
        <w:rPr>
          <w:rFonts w:cs="Times New Roman"/>
          <w:b/>
          <w:szCs w:val="26"/>
        </w:rPr>
        <w:t>.</w:t>
      </w:r>
      <w:r w:rsidRPr="00F1714B">
        <w:rPr>
          <w:rFonts w:cs="Times New Roman"/>
          <w:b/>
          <w:szCs w:val="26"/>
        </w:rPr>
        <w:tab/>
        <w:t>Discussion</w:t>
      </w:r>
      <w:r w:rsidR="007173AB" w:rsidRPr="00F1714B">
        <w:rPr>
          <w:rFonts w:cs="Times New Roman"/>
          <w:b/>
          <w:szCs w:val="26"/>
        </w:rPr>
        <w:t xml:space="preserve"> and </w:t>
      </w:r>
      <w:r w:rsidRPr="00F1714B">
        <w:rPr>
          <w:rFonts w:cs="Times New Roman"/>
          <w:b/>
          <w:szCs w:val="26"/>
        </w:rPr>
        <w:t>Resolution</w:t>
      </w:r>
    </w:p>
    <w:p w14:paraId="0236806D" w14:textId="3D0968A4" w:rsidR="001651E6" w:rsidRPr="00F1714B" w:rsidRDefault="007C7F9E" w:rsidP="00813E72">
      <w:pPr>
        <w:tabs>
          <w:tab w:val="left" w:pos="720"/>
          <w:tab w:val="left" w:pos="1440"/>
        </w:tabs>
        <w:rPr>
          <w:rFonts w:cs="Times New Roman"/>
          <w:color w:val="000000"/>
          <w:szCs w:val="26"/>
        </w:rPr>
      </w:pPr>
      <w:r w:rsidRPr="00F1714B">
        <w:rPr>
          <w:rFonts w:cs="Times New Roman"/>
          <w:color w:val="000000"/>
          <w:szCs w:val="26"/>
        </w:rPr>
        <w:tab/>
      </w:r>
      <w:r w:rsidR="001651E6" w:rsidRPr="00F1714B">
        <w:rPr>
          <w:rFonts w:cs="Times New Roman"/>
          <w:color w:val="000000"/>
          <w:szCs w:val="26"/>
        </w:rPr>
        <w:t xml:space="preserve">Section 63.58 contains standards for installation of service.  In the </w:t>
      </w:r>
      <w:r w:rsidR="001651E6" w:rsidRPr="00F1714B">
        <w:rPr>
          <w:rFonts w:cs="Times New Roman"/>
          <w:i/>
          <w:iCs/>
          <w:color w:val="000000"/>
          <w:szCs w:val="26"/>
        </w:rPr>
        <w:t>NPRM</w:t>
      </w:r>
      <w:r w:rsidR="00202C47" w:rsidRPr="00F1714B">
        <w:rPr>
          <w:rFonts w:cs="Times New Roman"/>
          <w:i/>
          <w:iCs/>
          <w:color w:val="000000"/>
          <w:szCs w:val="26"/>
        </w:rPr>
        <w:t xml:space="preserve"> Order</w:t>
      </w:r>
      <w:r w:rsidR="001651E6" w:rsidRPr="00F1714B">
        <w:rPr>
          <w:rFonts w:cs="Times New Roman"/>
          <w:color w:val="000000"/>
          <w:szCs w:val="26"/>
        </w:rPr>
        <w:t xml:space="preserve">, we proposed to revise Section 63.58 so that the time requirements apply unless a later date is agreed to by the customer.  The rationale for this change was to provide more flexibility in the carrier/customer relationship and allow a public utility and its customer to agree to a different installation date. </w:t>
      </w:r>
    </w:p>
    <w:p w14:paraId="7FE993DC" w14:textId="77777777" w:rsidR="001651E6" w:rsidRPr="00F1714B" w:rsidRDefault="001651E6" w:rsidP="00813E72">
      <w:pPr>
        <w:keepNext/>
        <w:keepLines/>
        <w:tabs>
          <w:tab w:val="left" w:pos="720"/>
          <w:tab w:val="left" w:pos="1440"/>
        </w:tabs>
        <w:rPr>
          <w:rFonts w:cs="Times New Roman"/>
          <w:color w:val="000000"/>
          <w:szCs w:val="26"/>
        </w:rPr>
      </w:pPr>
    </w:p>
    <w:p w14:paraId="3EDA5CF4" w14:textId="2136BC7B" w:rsidR="001651E6" w:rsidRDefault="001651E6" w:rsidP="00813E72">
      <w:pPr>
        <w:tabs>
          <w:tab w:val="left" w:pos="720"/>
          <w:tab w:val="left" w:pos="1440"/>
        </w:tabs>
        <w:rPr>
          <w:rFonts w:cs="Times New Roman"/>
          <w:color w:val="000000"/>
          <w:szCs w:val="26"/>
        </w:rPr>
      </w:pPr>
      <w:r w:rsidRPr="00F1714B">
        <w:rPr>
          <w:rFonts w:cs="Times New Roman"/>
          <w:color w:val="000000"/>
          <w:szCs w:val="26"/>
        </w:rPr>
        <w:tab/>
        <w:t xml:space="preserve">However, upon further review, we will rescind this regulation.  In today’s </w:t>
      </w:r>
      <w:r w:rsidR="000F5894" w:rsidRPr="00F1714B">
        <w:rPr>
          <w:rFonts w:cs="Times New Roman"/>
          <w:color w:val="000000"/>
          <w:szCs w:val="26"/>
        </w:rPr>
        <w:t xml:space="preserve">competitive </w:t>
      </w:r>
      <w:r w:rsidRPr="00F1714B">
        <w:rPr>
          <w:rFonts w:cs="Times New Roman"/>
          <w:color w:val="000000"/>
          <w:szCs w:val="26"/>
        </w:rPr>
        <w:t>market, carriers have every incentive to install service as quickly and competently as possible.  Moreover, Code Section 1501 provides regulatory coverage for any failures in this regard.  To the extent a telephone utility does not perform a service installation to the customer’s satisfaction, the utility’s conduct can be adequately addressed under Section 1501, which requires that service installations be reasonable among other things.</w:t>
      </w:r>
      <w:r w:rsidRPr="00F1714B">
        <w:rPr>
          <w:rFonts w:cs="Times New Roman"/>
          <w:bCs/>
          <w:color w:val="000000"/>
          <w:szCs w:val="26"/>
        </w:rPr>
        <w:t xml:space="preserve">  We note that </w:t>
      </w:r>
      <w:r w:rsidRPr="00F1714B">
        <w:rPr>
          <w:rFonts w:cs="Times New Roman"/>
          <w:color w:val="000000"/>
          <w:szCs w:val="26"/>
        </w:rPr>
        <w:t xml:space="preserve">rescinding this regulation </w:t>
      </w:r>
      <w:r w:rsidR="0002593C" w:rsidRPr="00F1714B">
        <w:rPr>
          <w:rFonts w:cs="Times New Roman"/>
          <w:color w:val="000000"/>
          <w:szCs w:val="26"/>
        </w:rPr>
        <w:t>is</w:t>
      </w:r>
      <w:r w:rsidRPr="00F1714B">
        <w:rPr>
          <w:rFonts w:cs="Times New Roman"/>
          <w:color w:val="000000"/>
          <w:szCs w:val="26"/>
        </w:rPr>
        <w:t xml:space="preserve"> consistent with Verizon’s comments that this regulation is artificial, </w:t>
      </w:r>
      <w:proofErr w:type="gramStart"/>
      <w:r w:rsidRPr="00F1714B">
        <w:rPr>
          <w:rFonts w:cs="Times New Roman"/>
          <w:color w:val="000000"/>
          <w:szCs w:val="26"/>
        </w:rPr>
        <w:t>unnecessary</w:t>
      </w:r>
      <w:proofErr w:type="gramEnd"/>
      <w:r w:rsidRPr="00F1714B">
        <w:rPr>
          <w:rFonts w:cs="Times New Roman"/>
          <w:color w:val="000000"/>
          <w:szCs w:val="26"/>
        </w:rPr>
        <w:t xml:space="preserve"> and not based on customer expectations. Verizon Comments at 22.</w:t>
      </w:r>
      <w:r w:rsidR="00AE67A2" w:rsidRPr="00F1714B">
        <w:rPr>
          <w:rFonts w:cs="Times New Roman"/>
          <w:color w:val="000000"/>
          <w:szCs w:val="26"/>
        </w:rPr>
        <w:t xml:space="preserve">  Accordingly, we </w:t>
      </w:r>
      <w:r w:rsidR="00607AFD" w:rsidRPr="00F1714B">
        <w:rPr>
          <w:rFonts w:cs="Times New Roman"/>
          <w:color w:val="000000"/>
          <w:szCs w:val="26"/>
        </w:rPr>
        <w:t>rescind Section 63.58 from Chapter 63 of our regulations in the final-form regulation</w:t>
      </w:r>
      <w:r w:rsidR="008A6E67">
        <w:rPr>
          <w:rFonts w:cs="Times New Roman"/>
          <w:color w:val="000000"/>
          <w:szCs w:val="26"/>
        </w:rPr>
        <w:t>.</w:t>
      </w:r>
    </w:p>
    <w:p w14:paraId="7FA527BB" w14:textId="77777777" w:rsidR="00813E72" w:rsidRPr="00F1714B" w:rsidRDefault="00813E72" w:rsidP="00813E72">
      <w:pPr>
        <w:tabs>
          <w:tab w:val="left" w:pos="720"/>
          <w:tab w:val="left" w:pos="1440"/>
        </w:tabs>
        <w:rPr>
          <w:rFonts w:cs="Times New Roman"/>
          <w:color w:val="000000"/>
          <w:szCs w:val="26"/>
        </w:rPr>
      </w:pPr>
    </w:p>
    <w:p w14:paraId="078EBD1E" w14:textId="77777777" w:rsidR="001B3461" w:rsidRPr="00F1714B" w:rsidRDefault="001B3461" w:rsidP="00C52E02">
      <w:pPr>
        <w:keepNext/>
        <w:keepLines/>
        <w:ind w:left="720" w:firstLine="720"/>
        <w:rPr>
          <w:rFonts w:cs="Times New Roman"/>
          <w:b/>
          <w:bCs/>
          <w:szCs w:val="26"/>
        </w:rPr>
      </w:pPr>
      <w:r w:rsidRPr="00F1714B">
        <w:rPr>
          <w:rFonts w:cs="Times New Roman"/>
          <w:b/>
          <w:bCs/>
          <w:szCs w:val="26"/>
        </w:rPr>
        <w:lastRenderedPageBreak/>
        <w:t>6.</w:t>
      </w:r>
      <w:r w:rsidRPr="00F1714B">
        <w:rPr>
          <w:rFonts w:cs="Times New Roman"/>
          <w:b/>
          <w:bCs/>
          <w:szCs w:val="26"/>
        </w:rPr>
        <w:tab/>
        <w:t>52 Pa. Code § 63.59 (Operator-handled calls)</w:t>
      </w:r>
    </w:p>
    <w:p w14:paraId="5FF19AA4" w14:textId="6A2ABF46" w:rsidR="003A2413" w:rsidRPr="00F1714B" w:rsidRDefault="001B3461" w:rsidP="00C52E02">
      <w:pPr>
        <w:keepNext/>
        <w:keepLines/>
        <w:ind w:firstLine="720"/>
        <w:rPr>
          <w:rFonts w:cs="Times New Roman"/>
          <w:szCs w:val="26"/>
        </w:rPr>
      </w:pPr>
      <w:r w:rsidRPr="00F1714B">
        <w:rPr>
          <w:rFonts w:cs="Times New Roman"/>
          <w:bCs/>
          <w:szCs w:val="26"/>
        </w:rPr>
        <w:t>We conditionally and temporarily granted Verizon a waiver of Section 63.59 in all competitively classified wire centers.</w:t>
      </w:r>
      <w:r w:rsidR="00917B6A" w:rsidRPr="00F1714B">
        <w:rPr>
          <w:rStyle w:val="FootnoteReference"/>
          <w:rFonts w:cs="Times New Roman"/>
          <w:bCs/>
          <w:szCs w:val="26"/>
        </w:rPr>
        <w:footnoteReference w:id="71"/>
      </w:r>
      <w:r w:rsidRPr="00F1714B">
        <w:rPr>
          <w:rFonts w:cs="Times New Roman"/>
          <w:bCs/>
          <w:szCs w:val="26"/>
        </w:rPr>
        <w:t xml:space="preserve">  </w:t>
      </w:r>
      <w:r w:rsidR="00A14806" w:rsidRPr="00F1714B">
        <w:rPr>
          <w:rFonts w:cs="Times New Roman"/>
          <w:szCs w:val="26"/>
        </w:rPr>
        <w:t xml:space="preserve">In the </w:t>
      </w:r>
      <w:r w:rsidR="00A14806" w:rsidRPr="00F1714B">
        <w:rPr>
          <w:rFonts w:cs="Times New Roman"/>
          <w:i/>
          <w:iCs/>
          <w:szCs w:val="26"/>
        </w:rPr>
        <w:t>N</w:t>
      </w:r>
      <w:r w:rsidR="00100A83" w:rsidRPr="00F1714B">
        <w:rPr>
          <w:rFonts w:cs="Times New Roman"/>
          <w:i/>
          <w:iCs/>
          <w:szCs w:val="26"/>
        </w:rPr>
        <w:t xml:space="preserve">PRM </w:t>
      </w:r>
      <w:r w:rsidR="00A14806" w:rsidRPr="00F1714B">
        <w:rPr>
          <w:rFonts w:cs="Times New Roman"/>
          <w:i/>
          <w:iCs/>
          <w:szCs w:val="26"/>
        </w:rPr>
        <w:t>Order</w:t>
      </w:r>
      <w:r w:rsidR="00A14806" w:rsidRPr="00F1714B">
        <w:rPr>
          <w:rFonts w:cs="Times New Roman"/>
          <w:szCs w:val="26"/>
        </w:rPr>
        <w:t>, w</w:t>
      </w:r>
      <w:r w:rsidRPr="00F1714B">
        <w:rPr>
          <w:rFonts w:cs="Times New Roman"/>
          <w:szCs w:val="26"/>
        </w:rPr>
        <w:t>e determine</w:t>
      </w:r>
      <w:r w:rsidR="00A14806" w:rsidRPr="00F1714B">
        <w:rPr>
          <w:rFonts w:cs="Times New Roman"/>
          <w:szCs w:val="26"/>
        </w:rPr>
        <w:t>d</w:t>
      </w:r>
      <w:r w:rsidRPr="00F1714B">
        <w:rPr>
          <w:rFonts w:cs="Times New Roman"/>
          <w:szCs w:val="26"/>
        </w:rPr>
        <w:t xml:space="preserve"> that certain and uniform performance standards governing the ability of end-user consumers to make prompt and direct contact with ILEC repair and business offices should be maintained.  </w:t>
      </w:r>
      <w:r w:rsidR="001A1573" w:rsidRPr="00F1714B">
        <w:rPr>
          <w:rFonts w:cs="Times New Roman"/>
          <w:szCs w:val="26"/>
        </w:rPr>
        <w:t>We noted that o</w:t>
      </w:r>
      <w:r w:rsidRPr="00F1714B">
        <w:rPr>
          <w:rFonts w:cs="Times New Roman"/>
          <w:szCs w:val="26"/>
        </w:rPr>
        <w:t xml:space="preserve">ur review information in our </w:t>
      </w:r>
      <w:r w:rsidR="001A284F" w:rsidRPr="00F1714B">
        <w:rPr>
          <w:rFonts w:cs="Times New Roman"/>
          <w:szCs w:val="26"/>
        </w:rPr>
        <w:t>BCS</w:t>
      </w:r>
      <w:r w:rsidR="005E7F5F" w:rsidRPr="00F1714B">
        <w:rPr>
          <w:rFonts w:cs="Times New Roman"/>
          <w:szCs w:val="26"/>
        </w:rPr>
        <w:t xml:space="preserve"> UCARE Reports,</w:t>
      </w:r>
      <w:r w:rsidRPr="00F1714B">
        <w:rPr>
          <w:rFonts w:cs="Times New Roman"/>
          <w:szCs w:val="26"/>
        </w:rPr>
        <w:t xml:space="preserve"> persuade</w:t>
      </w:r>
      <w:r w:rsidR="001A1573" w:rsidRPr="00F1714B">
        <w:rPr>
          <w:rFonts w:cs="Times New Roman"/>
          <w:szCs w:val="26"/>
        </w:rPr>
        <w:t xml:space="preserve">d </w:t>
      </w:r>
      <w:r w:rsidRPr="00F1714B">
        <w:rPr>
          <w:rFonts w:cs="Times New Roman"/>
          <w:szCs w:val="26"/>
        </w:rPr>
        <w:t xml:space="preserve">us that there is a continuous need for </w:t>
      </w:r>
      <w:r w:rsidR="007A2B7B" w:rsidRPr="00F1714B">
        <w:rPr>
          <w:rFonts w:cs="Times New Roman"/>
          <w:szCs w:val="26"/>
        </w:rPr>
        <w:t xml:space="preserve">call answering </w:t>
      </w:r>
      <w:r w:rsidRPr="00F1714B">
        <w:rPr>
          <w:rFonts w:cs="Times New Roman"/>
          <w:szCs w:val="26"/>
        </w:rPr>
        <w:t xml:space="preserve">performance standards.  Accordingly, </w:t>
      </w:r>
      <w:r w:rsidR="001A1573" w:rsidRPr="00F1714B">
        <w:rPr>
          <w:rFonts w:cs="Times New Roman"/>
          <w:szCs w:val="26"/>
        </w:rPr>
        <w:t xml:space="preserve">in the Annex to the </w:t>
      </w:r>
      <w:r w:rsidR="001A1573" w:rsidRPr="00F1714B">
        <w:rPr>
          <w:rFonts w:cs="Times New Roman"/>
          <w:i/>
          <w:iCs/>
          <w:szCs w:val="26"/>
        </w:rPr>
        <w:t>N</w:t>
      </w:r>
      <w:r w:rsidR="00100A83" w:rsidRPr="00F1714B">
        <w:rPr>
          <w:rFonts w:cs="Times New Roman"/>
          <w:i/>
          <w:iCs/>
          <w:szCs w:val="26"/>
        </w:rPr>
        <w:t xml:space="preserve">PRM </w:t>
      </w:r>
      <w:r w:rsidR="001A1573" w:rsidRPr="00F1714B">
        <w:rPr>
          <w:rFonts w:cs="Times New Roman"/>
          <w:i/>
          <w:iCs/>
          <w:szCs w:val="26"/>
        </w:rPr>
        <w:t>Order</w:t>
      </w:r>
      <w:r w:rsidR="001A1573" w:rsidRPr="00F1714B">
        <w:rPr>
          <w:rFonts w:cs="Times New Roman"/>
          <w:szCs w:val="26"/>
        </w:rPr>
        <w:t xml:space="preserve">, </w:t>
      </w:r>
      <w:r w:rsidRPr="00F1714B">
        <w:rPr>
          <w:rFonts w:cs="Times New Roman"/>
          <w:szCs w:val="26"/>
        </w:rPr>
        <w:t>we propose</w:t>
      </w:r>
      <w:r w:rsidR="001A1573" w:rsidRPr="00F1714B">
        <w:rPr>
          <w:rFonts w:cs="Times New Roman"/>
          <w:szCs w:val="26"/>
        </w:rPr>
        <w:t xml:space="preserve">d </w:t>
      </w:r>
      <w:r w:rsidRPr="00F1714B">
        <w:rPr>
          <w:rFonts w:cs="Times New Roman"/>
          <w:szCs w:val="26"/>
        </w:rPr>
        <w:t>the following actions: (1) permanently rescind</w:t>
      </w:r>
      <w:r w:rsidR="002B3065" w:rsidRPr="00F1714B">
        <w:rPr>
          <w:rFonts w:cs="Times New Roman"/>
          <w:szCs w:val="26"/>
        </w:rPr>
        <w:t xml:space="preserve"> </w:t>
      </w:r>
      <w:r w:rsidRPr="00F1714B">
        <w:rPr>
          <w:rFonts w:cs="Times New Roman"/>
          <w:szCs w:val="26"/>
        </w:rPr>
        <w:t>Sections 63.59(a) and 63.59(b)(1)</w:t>
      </w:r>
      <w:r w:rsidR="00D22450" w:rsidRPr="00F1714B">
        <w:rPr>
          <w:rFonts w:cs="Times New Roman"/>
          <w:szCs w:val="26"/>
        </w:rPr>
        <w:t>,</w:t>
      </w:r>
      <w:r w:rsidRPr="00F1714B">
        <w:rPr>
          <w:rFonts w:cs="Times New Roman"/>
          <w:szCs w:val="26"/>
        </w:rPr>
        <w:t xml:space="preserve"> and (2) revise Sections 63.59(b)(2), (3) and (4) to mirror the Section 54.153(b)(1) framework by incorporating the specific wording and definitional changes necessary to make the Section 54.153(b)(1) framework applicable to </w:t>
      </w:r>
      <w:r w:rsidR="00AB5A9C" w:rsidRPr="00F1714B">
        <w:rPr>
          <w:rFonts w:cs="Times New Roman"/>
          <w:szCs w:val="26"/>
        </w:rPr>
        <w:t xml:space="preserve">all </w:t>
      </w:r>
      <w:r w:rsidRPr="00F1714B">
        <w:rPr>
          <w:rFonts w:cs="Times New Roman"/>
          <w:szCs w:val="26"/>
        </w:rPr>
        <w:t xml:space="preserve">telecommunications utilities </w:t>
      </w:r>
      <w:r w:rsidR="00E61CCE" w:rsidRPr="00F1714B">
        <w:rPr>
          <w:rFonts w:cs="Times New Roman"/>
          <w:szCs w:val="26"/>
        </w:rPr>
        <w:t xml:space="preserve">and services </w:t>
      </w:r>
      <w:r w:rsidR="00AB5A9C" w:rsidRPr="00F1714B">
        <w:rPr>
          <w:rFonts w:cs="Times New Roman"/>
          <w:szCs w:val="26"/>
        </w:rPr>
        <w:t xml:space="preserve">throughout Pennsylvania. </w:t>
      </w:r>
      <w:r w:rsidR="00CA73B7" w:rsidRPr="00F1714B">
        <w:rPr>
          <w:rFonts w:cs="Times New Roman"/>
          <w:szCs w:val="26"/>
        </w:rPr>
        <w:t xml:space="preserve"> </w:t>
      </w:r>
      <w:r w:rsidR="003A2413" w:rsidRPr="00F1714B">
        <w:rPr>
          <w:rFonts w:cs="Times New Roman"/>
          <w:szCs w:val="26"/>
        </w:rPr>
        <w:t xml:space="preserve">Because of </w:t>
      </w:r>
      <w:r w:rsidR="002B3065" w:rsidRPr="00F1714B">
        <w:rPr>
          <w:rFonts w:cs="Times New Roman"/>
          <w:szCs w:val="26"/>
        </w:rPr>
        <w:t xml:space="preserve">these </w:t>
      </w:r>
      <w:r w:rsidR="003A2413" w:rsidRPr="00F1714B">
        <w:rPr>
          <w:rFonts w:cs="Times New Roman"/>
          <w:szCs w:val="26"/>
        </w:rPr>
        <w:t>proposed amendments to Sections 63.54 and 63.56, our proposed amendments to Section 63.59 also address</w:t>
      </w:r>
      <w:r w:rsidR="00165419" w:rsidRPr="00F1714B">
        <w:rPr>
          <w:rFonts w:cs="Times New Roman"/>
          <w:szCs w:val="26"/>
        </w:rPr>
        <w:t>ed</w:t>
      </w:r>
      <w:r w:rsidR="003A2413" w:rsidRPr="00F1714B">
        <w:rPr>
          <w:rFonts w:cs="Times New Roman"/>
          <w:szCs w:val="26"/>
        </w:rPr>
        <w:t xml:space="preserve"> the following points:</w:t>
      </w:r>
    </w:p>
    <w:p w14:paraId="5CA9FD5B" w14:textId="5DAB6C78" w:rsidR="001B3461" w:rsidRPr="00F1714B" w:rsidRDefault="001B3461" w:rsidP="00E55426">
      <w:pPr>
        <w:spacing w:line="240" w:lineRule="auto"/>
        <w:rPr>
          <w:rFonts w:cs="Times New Roman"/>
          <w:szCs w:val="26"/>
        </w:rPr>
      </w:pPr>
    </w:p>
    <w:p w14:paraId="5353E836" w14:textId="2F6C2B4E" w:rsidR="00C769E8" w:rsidRPr="00F1714B" w:rsidRDefault="00AC05B6" w:rsidP="00D22450">
      <w:pPr>
        <w:pStyle w:val="ListParagraph"/>
        <w:numPr>
          <w:ilvl w:val="0"/>
          <w:numId w:val="16"/>
        </w:numPr>
        <w:spacing w:line="240" w:lineRule="auto"/>
        <w:ind w:hanging="720"/>
        <w:rPr>
          <w:rFonts w:cs="Times New Roman"/>
          <w:szCs w:val="26"/>
        </w:rPr>
      </w:pPr>
      <w:r w:rsidRPr="00F1714B">
        <w:rPr>
          <w:rFonts w:cs="Times New Roman"/>
          <w:szCs w:val="26"/>
        </w:rPr>
        <w:t>Renaming Section 63.59 as “Call answering measurements.”</w:t>
      </w:r>
      <w:r w:rsidR="003E44AB" w:rsidRPr="00F1714B">
        <w:rPr>
          <w:rFonts w:cs="Times New Roman"/>
          <w:szCs w:val="26"/>
        </w:rPr>
        <w:t xml:space="preserve">  </w:t>
      </w:r>
      <w:r w:rsidRPr="00F1714B">
        <w:rPr>
          <w:rFonts w:cs="Times New Roman"/>
          <w:szCs w:val="26"/>
        </w:rPr>
        <w:t>Specifically including the phrase: “A public utility shall take measures necessary and keep sufficient call answering records to monitor answering times for calls as follows” in the beginning of the amended Section 63.59.</w:t>
      </w:r>
      <w:r w:rsidR="00C769E8" w:rsidRPr="00F1714B">
        <w:rPr>
          <w:rFonts w:cs="Times New Roman"/>
          <w:szCs w:val="26"/>
        </w:rPr>
        <w:t xml:space="preserve"> </w:t>
      </w:r>
    </w:p>
    <w:p w14:paraId="63C610AC" w14:textId="77777777" w:rsidR="00C769E8" w:rsidRPr="00F1714B" w:rsidRDefault="00C769E8" w:rsidP="00D22450">
      <w:pPr>
        <w:pStyle w:val="ListParagraph"/>
        <w:spacing w:line="240" w:lineRule="auto"/>
        <w:ind w:left="1440" w:hanging="720"/>
        <w:rPr>
          <w:rFonts w:cs="Times New Roman"/>
          <w:szCs w:val="26"/>
        </w:rPr>
      </w:pPr>
    </w:p>
    <w:p w14:paraId="7E21A4D4" w14:textId="275B7823" w:rsidR="00C769E8" w:rsidRPr="00F1714B" w:rsidRDefault="00C769E8" w:rsidP="00D22450">
      <w:pPr>
        <w:pStyle w:val="ListParagraph"/>
        <w:numPr>
          <w:ilvl w:val="0"/>
          <w:numId w:val="16"/>
        </w:numPr>
        <w:spacing w:line="240" w:lineRule="auto"/>
        <w:ind w:hanging="720"/>
        <w:rPr>
          <w:rFonts w:cs="Times New Roman"/>
          <w:szCs w:val="26"/>
        </w:rPr>
      </w:pPr>
      <w:r w:rsidRPr="00F1714B">
        <w:rPr>
          <w:rFonts w:cs="Times New Roman"/>
          <w:szCs w:val="26"/>
        </w:rPr>
        <w:t xml:space="preserve">Utilizing the word “records” instead of “reports” and “provide” in the proposed amendments in line with our goal of endeavoring to </w:t>
      </w:r>
      <w:r w:rsidRPr="00F1714B">
        <w:rPr>
          <w:color w:val="000000"/>
          <w:szCs w:val="26"/>
        </w:rPr>
        <w:t>reduce utility reports and other burdens while still ensuring a meaningful manner of addressing regulated service</w:t>
      </w:r>
      <w:r w:rsidRPr="00F1714B">
        <w:rPr>
          <w:rFonts w:cs="Times New Roman"/>
          <w:szCs w:val="26"/>
        </w:rPr>
        <w:t xml:space="preserve"> by reducing reporting requirements and </w:t>
      </w:r>
      <w:r w:rsidRPr="00F1714B">
        <w:rPr>
          <w:color w:val="000000"/>
          <w:szCs w:val="26"/>
        </w:rPr>
        <w:t>replacing them with clearer rules on service requirements and attendant record keeping</w:t>
      </w:r>
      <w:r w:rsidRPr="00F1714B">
        <w:rPr>
          <w:rFonts w:cs="Times New Roman"/>
          <w:szCs w:val="26"/>
        </w:rPr>
        <w:t>.</w:t>
      </w:r>
    </w:p>
    <w:p w14:paraId="248F38F4" w14:textId="5D02BF8D" w:rsidR="00165419" w:rsidRPr="00F1714B" w:rsidRDefault="00165419" w:rsidP="00E55426">
      <w:pPr>
        <w:rPr>
          <w:szCs w:val="26"/>
        </w:rPr>
      </w:pPr>
    </w:p>
    <w:p w14:paraId="32C91D1A" w14:textId="0C0D2370" w:rsidR="00FA21EF" w:rsidRPr="00F1714B" w:rsidRDefault="00FA21EF" w:rsidP="001F641B">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566CE95B" w14:textId="572282D0" w:rsidR="005E2692" w:rsidRPr="00F1714B" w:rsidRDefault="005E2692" w:rsidP="001F641B">
      <w:pPr>
        <w:ind w:firstLine="720"/>
        <w:rPr>
          <w:rFonts w:cs="Times New Roman"/>
          <w:szCs w:val="26"/>
        </w:rPr>
      </w:pPr>
      <w:r w:rsidRPr="00F1714B">
        <w:rPr>
          <w:rFonts w:cs="Times New Roman"/>
          <w:szCs w:val="26"/>
        </w:rPr>
        <w:t xml:space="preserve">Verizon opposes the Commission’s proposed continuance of this rule in modified form because in Verizon’s view “continued monitoring of call answer times in perpetuity </w:t>
      </w:r>
      <w:r w:rsidRPr="00F1714B">
        <w:rPr>
          <w:rFonts w:cs="Times New Roman"/>
          <w:szCs w:val="26"/>
        </w:rPr>
        <w:lastRenderedPageBreak/>
        <w:t xml:space="preserve">is not necessary.” </w:t>
      </w:r>
      <w:r w:rsidR="00A72652" w:rsidRPr="00F1714B">
        <w:rPr>
          <w:rFonts w:cs="Times New Roman"/>
          <w:szCs w:val="26"/>
        </w:rPr>
        <w:t xml:space="preserve"> </w:t>
      </w:r>
      <w:r w:rsidRPr="00F1714B">
        <w:rPr>
          <w:rFonts w:cs="Times New Roman"/>
          <w:szCs w:val="26"/>
        </w:rPr>
        <w:t xml:space="preserve">Verizon Comments at 22. </w:t>
      </w:r>
      <w:r w:rsidR="00900E6F" w:rsidRPr="00F1714B">
        <w:rPr>
          <w:rFonts w:cs="Times New Roman"/>
          <w:szCs w:val="26"/>
        </w:rPr>
        <w:t xml:space="preserve"> </w:t>
      </w:r>
      <w:r w:rsidR="008B6A3B" w:rsidRPr="00F1714B">
        <w:rPr>
          <w:rFonts w:cs="Times New Roman"/>
          <w:szCs w:val="26"/>
        </w:rPr>
        <w:t>Alternatively</w:t>
      </w:r>
      <w:r w:rsidR="00610757" w:rsidRPr="00F1714B">
        <w:rPr>
          <w:rFonts w:cs="Times New Roman"/>
          <w:szCs w:val="26"/>
        </w:rPr>
        <w:t xml:space="preserve">, </w:t>
      </w:r>
      <w:r w:rsidRPr="00F1714B">
        <w:rPr>
          <w:rFonts w:cs="Times New Roman"/>
          <w:szCs w:val="26"/>
        </w:rPr>
        <w:t xml:space="preserve">Verizon proposes </w:t>
      </w:r>
      <w:r w:rsidR="009275ED" w:rsidRPr="00F1714B">
        <w:rPr>
          <w:rFonts w:cs="Times New Roman"/>
          <w:szCs w:val="26"/>
        </w:rPr>
        <w:t xml:space="preserve">a modified </w:t>
      </w:r>
      <w:r w:rsidRPr="00F1714B">
        <w:rPr>
          <w:rFonts w:cs="Times New Roman"/>
          <w:szCs w:val="26"/>
        </w:rPr>
        <w:t xml:space="preserve">rule </w:t>
      </w:r>
      <w:r w:rsidR="009275ED" w:rsidRPr="00F1714B">
        <w:rPr>
          <w:rFonts w:cs="Times New Roman"/>
          <w:szCs w:val="26"/>
        </w:rPr>
        <w:t xml:space="preserve">that </w:t>
      </w:r>
      <w:r w:rsidRPr="00F1714B">
        <w:rPr>
          <w:rFonts w:cs="Times New Roman"/>
          <w:szCs w:val="26"/>
        </w:rPr>
        <w:t>sunset</w:t>
      </w:r>
      <w:r w:rsidR="009275ED" w:rsidRPr="00F1714B">
        <w:rPr>
          <w:rFonts w:cs="Times New Roman"/>
          <w:szCs w:val="26"/>
        </w:rPr>
        <w:t xml:space="preserve">s </w:t>
      </w:r>
      <w:r w:rsidRPr="00F1714B">
        <w:rPr>
          <w:rFonts w:cs="Times New Roman"/>
          <w:szCs w:val="26"/>
        </w:rPr>
        <w:t xml:space="preserve">by </w:t>
      </w:r>
      <w:r w:rsidR="009275ED" w:rsidRPr="00F1714B">
        <w:rPr>
          <w:rFonts w:cs="Times New Roman"/>
          <w:szCs w:val="26"/>
        </w:rPr>
        <w:t xml:space="preserve">the </w:t>
      </w:r>
      <w:r w:rsidRPr="00F1714B">
        <w:rPr>
          <w:rFonts w:cs="Times New Roman"/>
          <w:szCs w:val="26"/>
        </w:rPr>
        <w:t xml:space="preserve">end of 2023. </w:t>
      </w:r>
      <w:r w:rsidR="003A7046" w:rsidRPr="00F1714B">
        <w:rPr>
          <w:rFonts w:cs="Times New Roman"/>
          <w:szCs w:val="26"/>
        </w:rPr>
        <w:t xml:space="preserve"> </w:t>
      </w:r>
      <w:r w:rsidRPr="00F1714B">
        <w:rPr>
          <w:rFonts w:cs="Times New Roman"/>
          <w:szCs w:val="26"/>
        </w:rPr>
        <w:t>Verizon Comments at 22.</w:t>
      </w:r>
    </w:p>
    <w:p w14:paraId="686E4A61" w14:textId="29856BB4" w:rsidR="00FA21EF" w:rsidRPr="00F1714B" w:rsidRDefault="00FA21EF" w:rsidP="001F641B">
      <w:pPr>
        <w:rPr>
          <w:rFonts w:cs="Times New Roman"/>
          <w:b/>
          <w:szCs w:val="26"/>
        </w:rPr>
      </w:pPr>
    </w:p>
    <w:p w14:paraId="655172B4" w14:textId="6DD09915" w:rsidR="00FA21EF" w:rsidRPr="00F1714B" w:rsidRDefault="00FA21EF" w:rsidP="001F641B">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t>b</w:t>
      </w:r>
      <w:r w:rsidR="007173AB" w:rsidRPr="00F1714B">
        <w:rPr>
          <w:rFonts w:cs="Times New Roman"/>
          <w:b/>
          <w:szCs w:val="26"/>
        </w:rPr>
        <w:t>.</w:t>
      </w:r>
      <w:r w:rsidRPr="00F1714B">
        <w:rPr>
          <w:rFonts w:cs="Times New Roman"/>
          <w:b/>
          <w:szCs w:val="26"/>
        </w:rPr>
        <w:tab/>
        <w:t>Discussion</w:t>
      </w:r>
      <w:r w:rsidR="007173AB" w:rsidRPr="00F1714B">
        <w:rPr>
          <w:rFonts w:cs="Times New Roman"/>
          <w:b/>
          <w:szCs w:val="26"/>
        </w:rPr>
        <w:t xml:space="preserve"> and </w:t>
      </w:r>
      <w:r w:rsidRPr="00F1714B">
        <w:rPr>
          <w:rFonts w:cs="Times New Roman"/>
          <w:b/>
          <w:szCs w:val="26"/>
        </w:rPr>
        <w:t>Resolution</w:t>
      </w:r>
    </w:p>
    <w:p w14:paraId="4D7B7D4E" w14:textId="57DF38C0" w:rsidR="00165419" w:rsidRPr="00F1714B" w:rsidRDefault="008D2DE8" w:rsidP="001F641B">
      <w:pPr>
        <w:rPr>
          <w:szCs w:val="26"/>
        </w:rPr>
      </w:pPr>
      <w:r w:rsidRPr="00F1714B">
        <w:rPr>
          <w:szCs w:val="26"/>
        </w:rPr>
        <w:tab/>
      </w:r>
      <w:r w:rsidR="00025132" w:rsidRPr="00F1714B">
        <w:rPr>
          <w:szCs w:val="26"/>
        </w:rPr>
        <w:t>We note that Veri</w:t>
      </w:r>
      <w:r w:rsidR="00E073A2" w:rsidRPr="00F1714B">
        <w:rPr>
          <w:szCs w:val="26"/>
        </w:rPr>
        <w:t xml:space="preserve">zon’s modified version of this rule is verbatim with our proposed rule except for the language setting forth a sunset provision.  We disagree with Verizon’s insertion of a sunset date.  </w:t>
      </w:r>
      <w:r w:rsidR="00CA632E" w:rsidRPr="00F1714B">
        <w:rPr>
          <w:szCs w:val="26"/>
        </w:rPr>
        <w:t xml:space="preserve">As discussed above, we believe </w:t>
      </w:r>
      <w:r w:rsidR="00CA632E" w:rsidRPr="00F1714B">
        <w:rPr>
          <w:rFonts w:cs="Times New Roman"/>
          <w:szCs w:val="26"/>
        </w:rPr>
        <w:t>there is a continuous need for call answering performance standards</w:t>
      </w:r>
      <w:r w:rsidR="00CA632E" w:rsidRPr="00F1714B">
        <w:rPr>
          <w:szCs w:val="26"/>
        </w:rPr>
        <w:t xml:space="preserve">.  </w:t>
      </w:r>
      <w:r w:rsidR="00E073A2" w:rsidRPr="00F1714B">
        <w:rPr>
          <w:szCs w:val="26"/>
        </w:rPr>
        <w:t>Accordingly, w</w:t>
      </w:r>
      <w:r w:rsidRPr="00F1714B">
        <w:rPr>
          <w:szCs w:val="26"/>
        </w:rPr>
        <w:t xml:space="preserve">e will </w:t>
      </w:r>
      <w:r w:rsidR="00025132" w:rsidRPr="00F1714B">
        <w:rPr>
          <w:szCs w:val="26"/>
        </w:rPr>
        <w:t xml:space="preserve">incorporate </w:t>
      </w:r>
      <w:r w:rsidR="00E073A2" w:rsidRPr="00F1714B">
        <w:rPr>
          <w:szCs w:val="26"/>
        </w:rPr>
        <w:t xml:space="preserve">our </w:t>
      </w:r>
      <w:r w:rsidR="00025132" w:rsidRPr="00F1714B">
        <w:rPr>
          <w:szCs w:val="26"/>
        </w:rPr>
        <w:t>proposed Section 63.59 in the final-form regulation.</w:t>
      </w:r>
    </w:p>
    <w:p w14:paraId="6C6675A6" w14:textId="77777777" w:rsidR="00553938" w:rsidRPr="00F1714B" w:rsidRDefault="00553938" w:rsidP="001F641B">
      <w:pPr>
        <w:ind w:left="2160" w:hanging="720"/>
        <w:rPr>
          <w:rFonts w:cs="Times New Roman"/>
          <w:b/>
          <w:bCs/>
          <w:szCs w:val="26"/>
        </w:rPr>
      </w:pPr>
    </w:p>
    <w:p w14:paraId="6B620194" w14:textId="2390284A" w:rsidR="001B3461" w:rsidRPr="00F1714B" w:rsidRDefault="001B3461" w:rsidP="001F641B">
      <w:pPr>
        <w:spacing w:line="240" w:lineRule="auto"/>
        <w:ind w:left="2160" w:hanging="720"/>
        <w:rPr>
          <w:rFonts w:cs="Times New Roman"/>
          <w:b/>
          <w:bCs/>
          <w:szCs w:val="26"/>
        </w:rPr>
      </w:pPr>
      <w:r w:rsidRPr="00F1714B">
        <w:rPr>
          <w:rFonts w:cs="Times New Roman"/>
          <w:b/>
          <w:bCs/>
          <w:szCs w:val="26"/>
        </w:rPr>
        <w:t>7.</w:t>
      </w:r>
      <w:r w:rsidRPr="00F1714B">
        <w:rPr>
          <w:rFonts w:cs="Times New Roman"/>
          <w:b/>
          <w:bCs/>
          <w:szCs w:val="26"/>
        </w:rPr>
        <w:tab/>
        <w:t>52 Pa. Code § 63.60 (Automatic Dialing Announcing Devices (ADAD))</w:t>
      </w:r>
    </w:p>
    <w:p w14:paraId="29E38893" w14:textId="77777777" w:rsidR="001B3461" w:rsidRPr="00F1714B" w:rsidRDefault="001B3461" w:rsidP="001F641B">
      <w:pPr>
        <w:spacing w:line="240" w:lineRule="auto"/>
        <w:rPr>
          <w:rFonts w:cs="Times New Roman"/>
          <w:szCs w:val="26"/>
        </w:rPr>
      </w:pPr>
    </w:p>
    <w:p w14:paraId="23701692" w14:textId="611C4E95" w:rsidR="001B3461" w:rsidRPr="00F1714B" w:rsidRDefault="001B3461" w:rsidP="001F641B">
      <w:pPr>
        <w:tabs>
          <w:tab w:val="left" w:pos="720"/>
          <w:tab w:val="left" w:pos="1440"/>
        </w:tabs>
        <w:rPr>
          <w:rFonts w:cs="Times New Roman"/>
          <w:bCs/>
          <w:szCs w:val="26"/>
        </w:rPr>
      </w:pPr>
      <w:r w:rsidRPr="00F1714B">
        <w:rPr>
          <w:rFonts w:cs="Times New Roman"/>
          <w:bCs/>
          <w:szCs w:val="26"/>
        </w:rPr>
        <w:tab/>
      </w:r>
      <w:r w:rsidR="001048A8" w:rsidRPr="00F1714B">
        <w:rPr>
          <w:rFonts w:cs="Times New Roman"/>
          <w:bCs/>
          <w:szCs w:val="26"/>
        </w:rPr>
        <w:t xml:space="preserve">An automatic dialing announcing device is automatically used to place calls and play a recorded message.  </w:t>
      </w:r>
      <w:r w:rsidR="00324E92" w:rsidRPr="00F1714B">
        <w:rPr>
          <w:rFonts w:cs="Times New Roman"/>
          <w:bCs/>
          <w:szCs w:val="26"/>
        </w:rPr>
        <w:t>Th</w:t>
      </w:r>
      <w:r w:rsidR="007173AB" w:rsidRPr="00F1714B">
        <w:rPr>
          <w:rFonts w:cs="Times New Roman"/>
          <w:bCs/>
          <w:szCs w:val="26"/>
        </w:rPr>
        <w:t>is</w:t>
      </w:r>
      <w:r w:rsidR="00324E92" w:rsidRPr="00F1714B">
        <w:rPr>
          <w:rFonts w:cs="Times New Roman"/>
          <w:bCs/>
          <w:szCs w:val="26"/>
        </w:rPr>
        <w:t xml:space="preserve"> regulation was developed and originally implemented when ADADs would initiate automated voice calls through networks that largely utilized the time division multiplexing or TDM communications protocol and addresses standards when an ADAD is used.  </w:t>
      </w:r>
      <w:r w:rsidR="00DD7D4E" w:rsidRPr="00F1714B">
        <w:rPr>
          <w:rFonts w:cs="Times New Roman"/>
          <w:bCs/>
          <w:szCs w:val="26"/>
        </w:rPr>
        <w:t>However,</w:t>
      </w:r>
      <w:r w:rsidR="00324E92" w:rsidRPr="00F1714B">
        <w:rPr>
          <w:rFonts w:cs="Times New Roman"/>
          <w:bCs/>
          <w:szCs w:val="26"/>
        </w:rPr>
        <w:t xml:space="preserve"> the evolution of telecommunications and broadband access networks and technologies have provided pathways for today’s unwanted and unlawful “robocalls” that utilize caller identification (caller ID) “spoofing” in order to initiate and propagate such traffic.  </w:t>
      </w:r>
      <w:r w:rsidRPr="00F1714B">
        <w:rPr>
          <w:rFonts w:cs="Times New Roman"/>
          <w:bCs/>
          <w:szCs w:val="26"/>
        </w:rPr>
        <w:t xml:space="preserve">As indicated previously, we specifically and temporarily waived Section 63.60 under our </w:t>
      </w:r>
      <w:r w:rsidRPr="00F1714B">
        <w:rPr>
          <w:rFonts w:cs="Times New Roman"/>
          <w:bCs/>
          <w:i/>
          <w:iCs/>
          <w:szCs w:val="26"/>
        </w:rPr>
        <w:t>Reclassification Order</w:t>
      </w:r>
      <w:r w:rsidRPr="00F1714B">
        <w:rPr>
          <w:rFonts w:cs="Times New Roman"/>
          <w:bCs/>
          <w:szCs w:val="26"/>
        </w:rPr>
        <w:t xml:space="preserve">.  </w:t>
      </w:r>
    </w:p>
    <w:p w14:paraId="15FF81DF" w14:textId="77777777" w:rsidR="00505F60" w:rsidRPr="00F1714B" w:rsidRDefault="00505F60" w:rsidP="001F641B">
      <w:pPr>
        <w:tabs>
          <w:tab w:val="left" w:pos="720"/>
          <w:tab w:val="left" w:pos="1440"/>
        </w:tabs>
        <w:rPr>
          <w:rFonts w:cs="Times New Roman"/>
          <w:bCs/>
          <w:szCs w:val="26"/>
        </w:rPr>
      </w:pPr>
    </w:p>
    <w:p w14:paraId="1793F05C" w14:textId="7561F3DA" w:rsidR="001B3461" w:rsidRPr="00F1714B" w:rsidRDefault="00324E92" w:rsidP="001F641B">
      <w:pPr>
        <w:ind w:firstLine="720"/>
        <w:rPr>
          <w:rFonts w:cs="Times New Roman"/>
          <w:szCs w:val="26"/>
        </w:rPr>
      </w:pPr>
      <w:r w:rsidRPr="00F1714B">
        <w:rPr>
          <w:rFonts w:cs="Times New Roman"/>
          <w:szCs w:val="26"/>
        </w:rPr>
        <w:t xml:space="preserve">In light of </w:t>
      </w:r>
      <w:r w:rsidR="00E50E7F" w:rsidRPr="00F1714B">
        <w:rPr>
          <w:rFonts w:cs="Times New Roman"/>
          <w:szCs w:val="26"/>
        </w:rPr>
        <w:t xml:space="preserve">enacted </w:t>
      </w:r>
      <w:r w:rsidR="001B3461" w:rsidRPr="00F1714B">
        <w:rPr>
          <w:rFonts w:cs="Times New Roman"/>
          <w:szCs w:val="26"/>
        </w:rPr>
        <w:t>federal legislation</w:t>
      </w:r>
      <w:r w:rsidR="00E50E7F" w:rsidRPr="00F1714B">
        <w:rPr>
          <w:rFonts w:cs="Times New Roman"/>
          <w:szCs w:val="26"/>
        </w:rPr>
        <w:t>,</w:t>
      </w:r>
      <w:r w:rsidR="001B3461" w:rsidRPr="00F1714B">
        <w:rPr>
          <w:rFonts w:cs="Times New Roman"/>
          <w:szCs w:val="26"/>
        </w:rPr>
        <w:t xml:space="preserve"> </w:t>
      </w:r>
      <w:r w:rsidR="00E50E7F" w:rsidRPr="00F1714B">
        <w:rPr>
          <w:rFonts w:cs="Times New Roman"/>
          <w:szCs w:val="26"/>
        </w:rPr>
        <w:t xml:space="preserve">actions by </w:t>
      </w:r>
      <w:r w:rsidR="001B3461" w:rsidRPr="00F1714B">
        <w:rPr>
          <w:rFonts w:cs="Times New Roman"/>
          <w:szCs w:val="26"/>
        </w:rPr>
        <w:t xml:space="preserve">the FCC and states to pursue generic rulemakings </w:t>
      </w:r>
      <w:r w:rsidR="00E50E7F" w:rsidRPr="00F1714B">
        <w:rPr>
          <w:rFonts w:cs="Times New Roman"/>
          <w:szCs w:val="26"/>
        </w:rPr>
        <w:t>and</w:t>
      </w:r>
      <w:r w:rsidR="001B3461" w:rsidRPr="00F1714B">
        <w:rPr>
          <w:rFonts w:cs="Times New Roman"/>
          <w:szCs w:val="26"/>
        </w:rPr>
        <w:t xml:space="preserve"> enforcement actions against entities that initiate unwanted and unlawful “robocall” traffic</w:t>
      </w:r>
      <w:r w:rsidR="00E50E7F" w:rsidRPr="00F1714B">
        <w:rPr>
          <w:rFonts w:cs="Times New Roman"/>
          <w:szCs w:val="26"/>
        </w:rPr>
        <w:t>,</w:t>
      </w:r>
      <w:r w:rsidRPr="00F1714B">
        <w:rPr>
          <w:rFonts w:cs="Times New Roman"/>
          <w:szCs w:val="26"/>
        </w:rPr>
        <w:t xml:space="preserve"> and our </w:t>
      </w:r>
      <w:r w:rsidR="001B3461" w:rsidRPr="00F1714B">
        <w:rPr>
          <w:rFonts w:cs="Times New Roman"/>
          <w:szCs w:val="26"/>
        </w:rPr>
        <w:t>existing statutory authority to independently combat entities that initiate and propagate unwanted and unlawful “robocall” traffic</w:t>
      </w:r>
      <w:r w:rsidRPr="00F1714B">
        <w:rPr>
          <w:rFonts w:cs="Times New Roman"/>
          <w:szCs w:val="26"/>
        </w:rPr>
        <w:t xml:space="preserve">, </w:t>
      </w:r>
      <w:r w:rsidR="001B3461" w:rsidRPr="00F1714B">
        <w:rPr>
          <w:rFonts w:cs="Times New Roman"/>
          <w:szCs w:val="26"/>
        </w:rPr>
        <w:t>we propose</w:t>
      </w:r>
      <w:r w:rsidRPr="00F1714B">
        <w:rPr>
          <w:rFonts w:cs="Times New Roman"/>
          <w:szCs w:val="26"/>
        </w:rPr>
        <w:t xml:space="preserve">d </w:t>
      </w:r>
      <w:r w:rsidR="001B3461" w:rsidRPr="00F1714B">
        <w:rPr>
          <w:rFonts w:cs="Times New Roman"/>
          <w:szCs w:val="26"/>
        </w:rPr>
        <w:t xml:space="preserve">to rescind Section 63.60 in its entirety.  </w:t>
      </w:r>
    </w:p>
    <w:p w14:paraId="2178AC3A" w14:textId="77777777" w:rsidR="001B3461" w:rsidRPr="00F1714B" w:rsidRDefault="001B3461" w:rsidP="001F641B">
      <w:pPr>
        <w:rPr>
          <w:rFonts w:cs="Times New Roman"/>
          <w:szCs w:val="26"/>
        </w:rPr>
      </w:pPr>
    </w:p>
    <w:p w14:paraId="1F483FA5" w14:textId="3E425DDB" w:rsidR="001B5B7D" w:rsidRPr="00F1714B" w:rsidRDefault="001B5B7D" w:rsidP="001E036F">
      <w:pPr>
        <w:keepNext/>
        <w:keepLines/>
        <w:ind w:left="1440" w:firstLine="720"/>
        <w:rPr>
          <w:rFonts w:cs="Times New Roman"/>
          <w:b/>
          <w:szCs w:val="26"/>
        </w:rPr>
      </w:pPr>
      <w:r w:rsidRPr="00F1714B">
        <w:rPr>
          <w:rFonts w:cs="Times New Roman"/>
          <w:b/>
          <w:szCs w:val="26"/>
        </w:rPr>
        <w:lastRenderedPageBreak/>
        <w:t>a.</w:t>
      </w:r>
      <w:r w:rsidRPr="00F1714B">
        <w:rPr>
          <w:rFonts w:cs="Times New Roman"/>
          <w:b/>
          <w:szCs w:val="26"/>
        </w:rPr>
        <w:tab/>
        <w:t>Comments</w:t>
      </w:r>
      <w:r w:rsidR="005566C0" w:rsidRPr="00F1714B">
        <w:rPr>
          <w:rFonts w:cs="Times New Roman"/>
          <w:b/>
          <w:szCs w:val="26"/>
        </w:rPr>
        <w:t xml:space="preserve"> and Replies</w:t>
      </w:r>
    </w:p>
    <w:p w14:paraId="3746F2C5" w14:textId="645489F9" w:rsidR="004B038D" w:rsidRDefault="00363B77" w:rsidP="001E036F">
      <w:pPr>
        <w:keepNext/>
        <w:keepLines/>
        <w:ind w:firstLine="720"/>
        <w:rPr>
          <w:rFonts w:cs="Times New Roman"/>
          <w:szCs w:val="26"/>
        </w:rPr>
      </w:pPr>
      <w:r w:rsidRPr="00F1714B">
        <w:rPr>
          <w:rFonts w:cs="Times New Roman"/>
          <w:szCs w:val="26"/>
        </w:rPr>
        <w:t xml:space="preserve">The </w:t>
      </w:r>
      <w:r w:rsidR="004B038D" w:rsidRPr="00F1714B">
        <w:rPr>
          <w:rFonts w:cs="Times New Roman"/>
          <w:szCs w:val="26"/>
        </w:rPr>
        <w:t xml:space="preserve">OCA posits that the Commission’s proposed elimination of this rule “be accorded more scrutiny, as suggested by the Chairman’s statement.” </w:t>
      </w:r>
      <w:r w:rsidR="00A72652" w:rsidRPr="00F1714B">
        <w:rPr>
          <w:rFonts w:cs="Times New Roman"/>
          <w:szCs w:val="26"/>
        </w:rPr>
        <w:t xml:space="preserve"> </w:t>
      </w:r>
      <w:r w:rsidR="004B038D" w:rsidRPr="00F1714B">
        <w:rPr>
          <w:rFonts w:cs="Times New Roman"/>
          <w:szCs w:val="26"/>
        </w:rPr>
        <w:t>OCA Comments at 15.</w:t>
      </w:r>
    </w:p>
    <w:p w14:paraId="1A3E107E" w14:textId="77777777" w:rsidR="001E036F" w:rsidRPr="00F1714B" w:rsidRDefault="001E036F" w:rsidP="001E036F">
      <w:pPr>
        <w:keepNext/>
        <w:keepLines/>
        <w:ind w:firstLine="720"/>
        <w:rPr>
          <w:rFonts w:cs="Times New Roman"/>
          <w:szCs w:val="26"/>
        </w:rPr>
      </w:pPr>
    </w:p>
    <w:p w14:paraId="051BD0C1" w14:textId="391BB227" w:rsidR="001B5B7D" w:rsidRPr="00F1714B" w:rsidRDefault="001B5B7D" w:rsidP="001F641B">
      <w:pPr>
        <w:ind w:left="1440" w:firstLine="720"/>
        <w:rPr>
          <w:rFonts w:cs="Times New Roman"/>
          <w:b/>
          <w:szCs w:val="26"/>
        </w:rPr>
      </w:pPr>
      <w:r w:rsidRPr="00F1714B">
        <w:rPr>
          <w:rFonts w:cs="Times New Roman"/>
          <w:b/>
          <w:szCs w:val="26"/>
        </w:rPr>
        <w:t>b</w:t>
      </w:r>
      <w:r w:rsidR="0029763E" w:rsidRPr="00F1714B">
        <w:rPr>
          <w:rFonts w:cs="Times New Roman"/>
          <w:b/>
          <w:szCs w:val="26"/>
        </w:rPr>
        <w:t>.</w:t>
      </w:r>
      <w:r w:rsidRPr="00F1714B">
        <w:rPr>
          <w:rFonts w:cs="Times New Roman"/>
          <w:b/>
          <w:szCs w:val="26"/>
        </w:rPr>
        <w:tab/>
        <w:t>Discussion</w:t>
      </w:r>
      <w:r w:rsidR="007173AB" w:rsidRPr="00F1714B">
        <w:rPr>
          <w:rFonts w:cs="Times New Roman"/>
          <w:b/>
          <w:szCs w:val="26"/>
        </w:rPr>
        <w:t xml:space="preserve"> and </w:t>
      </w:r>
      <w:r w:rsidRPr="00F1714B">
        <w:rPr>
          <w:rFonts w:cs="Times New Roman"/>
          <w:b/>
          <w:szCs w:val="26"/>
        </w:rPr>
        <w:t>Resolution</w:t>
      </w:r>
    </w:p>
    <w:p w14:paraId="48B1ECFC" w14:textId="6CE3F321" w:rsidR="00324E92" w:rsidRPr="00F1714B" w:rsidRDefault="00FB6732" w:rsidP="00E108A3">
      <w:pPr>
        <w:ind w:firstLine="720"/>
        <w:rPr>
          <w:rFonts w:cs="Times New Roman"/>
          <w:szCs w:val="26"/>
        </w:rPr>
      </w:pPr>
      <w:r w:rsidRPr="00F1714B">
        <w:rPr>
          <w:rFonts w:cs="Times New Roman"/>
          <w:szCs w:val="26"/>
        </w:rPr>
        <w:t xml:space="preserve">Since no party has filed any adverse comments regarding our proposed recission on this regulation, we will adopt our proposal to permanently rescind Section </w:t>
      </w:r>
      <w:r w:rsidR="000009FA" w:rsidRPr="00F1714B">
        <w:rPr>
          <w:rFonts w:cs="Times New Roman"/>
          <w:szCs w:val="26"/>
        </w:rPr>
        <w:t xml:space="preserve">63.60 from </w:t>
      </w:r>
      <w:r w:rsidRPr="00F1714B">
        <w:rPr>
          <w:rFonts w:cs="Times New Roman"/>
          <w:szCs w:val="26"/>
        </w:rPr>
        <w:t xml:space="preserve">Chapter 63 of Title 52 of the Pa. Code.  Accordingly, the permanent rescission of </w:t>
      </w:r>
      <w:r w:rsidR="000009FA" w:rsidRPr="00F1714B">
        <w:rPr>
          <w:rFonts w:cs="Times New Roman"/>
          <w:szCs w:val="26"/>
        </w:rPr>
        <w:t>Section 63.60 from C</w:t>
      </w:r>
      <w:r w:rsidRPr="00F1714B">
        <w:rPr>
          <w:rFonts w:cs="Times New Roman"/>
          <w:szCs w:val="26"/>
        </w:rPr>
        <w:t xml:space="preserve">hapter </w:t>
      </w:r>
      <w:r w:rsidR="000009FA" w:rsidRPr="00F1714B">
        <w:rPr>
          <w:rFonts w:cs="Times New Roman"/>
          <w:szCs w:val="26"/>
        </w:rPr>
        <w:t>63</w:t>
      </w:r>
      <w:r w:rsidRPr="00F1714B">
        <w:rPr>
          <w:rFonts w:cs="Times New Roman"/>
          <w:szCs w:val="26"/>
        </w:rPr>
        <w:t xml:space="preserve"> will be reflected in the final-form regulation set forth in the Annex.</w:t>
      </w:r>
    </w:p>
    <w:p w14:paraId="7F8EA561" w14:textId="77777777" w:rsidR="0073162A" w:rsidRPr="00F1714B" w:rsidRDefault="0073162A" w:rsidP="00E108A3">
      <w:pPr>
        <w:ind w:left="2160" w:hanging="720"/>
        <w:rPr>
          <w:rFonts w:cs="Times New Roman"/>
          <w:b/>
          <w:bCs/>
          <w:szCs w:val="26"/>
        </w:rPr>
      </w:pPr>
    </w:p>
    <w:p w14:paraId="1D2E0265" w14:textId="77777777" w:rsidR="003757B5" w:rsidRPr="00F1714B" w:rsidRDefault="001B3461" w:rsidP="008D6455">
      <w:pPr>
        <w:keepNext/>
        <w:keepLines/>
        <w:spacing w:line="240" w:lineRule="auto"/>
        <w:ind w:left="2160" w:hanging="720"/>
        <w:rPr>
          <w:rFonts w:cs="Times New Roman"/>
          <w:b/>
          <w:bCs/>
          <w:szCs w:val="26"/>
        </w:rPr>
      </w:pPr>
      <w:r w:rsidRPr="00F1714B">
        <w:rPr>
          <w:rFonts w:cs="Times New Roman"/>
          <w:b/>
          <w:bCs/>
          <w:szCs w:val="26"/>
        </w:rPr>
        <w:t>8.</w:t>
      </w:r>
      <w:r w:rsidRPr="00F1714B">
        <w:rPr>
          <w:rFonts w:cs="Times New Roman"/>
          <w:b/>
          <w:bCs/>
          <w:szCs w:val="26"/>
        </w:rPr>
        <w:tab/>
        <w:t xml:space="preserve">52 Pa. Code § 63.61 (Local dial service), </w:t>
      </w:r>
    </w:p>
    <w:p w14:paraId="740F18FB" w14:textId="49D4E596" w:rsidR="003757B5" w:rsidRPr="00F1714B" w:rsidRDefault="00A01EB2" w:rsidP="001F641B">
      <w:pPr>
        <w:keepNext/>
        <w:keepLines/>
        <w:spacing w:line="240" w:lineRule="auto"/>
        <w:ind w:left="2160"/>
        <w:rPr>
          <w:rFonts w:cs="Times New Roman"/>
          <w:b/>
          <w:bCs/>
          <w:szCs w:val="26"/>
        </w:rPr>
      </w:pPr>
      <w:r w:rsidRPr="00F1714B">
        <w:rPr>
          <w:rFonts w:cs="Times New Roman"/>
          <w:b/>
          <w:bCs/>
          <w:szCs w:val="26"/>
        </w:rPr>
        <w:t xml:space="preserve">52 Pa. Code </w:t>
      </w:r>
      <w:r w:rsidR="001B3461" w:rsidRPr="00F1714B">
        <w:rPr>
          <w:rFonts w:cs="Times New Roman"/>
          <w:b/>
          <w:bCs/>
          <w:szCs w:val="26"/>
        </w:rPr>
        <w:t>§ 63.62 (Direct distance service)</w:t>
      </w:r>
    </w:p>
    <w:p w14:paraId="525A6271" w14:textId="77777777" w:rsidR="001B3461" w:rsidRPr="00F1714B" w:rsidRDefault="001B3461" w:rsidP="001F641B">
      <w:pPr>
        <w:keepNext/>
        <w:keepLines/>
        <w:spacing w:line="240" w:lineRule="auto"/>
        <w:rPr>
          <w:rFonts w:cs="Times New Roman"/>
          <w:szCs w:val="26"/>
        </w:rPr>
      </w:pPr>
    </w:p>
    <w:p w14:paraId="6C31DDF6" w14:textId="7B0B4579" w:rsidR="00833380" w:rsidRPr="00F1714B" w:rsidRDefault="00F80337" w:rsidP="001F641B">
      <w:pPr>
        <w:keepNext/>
        <w:keepLines/>
        <w:tabs>
          <w:tab w:val="left" w:pos="2880"/>
        </w:tabs>
        <w:ind w:firstLine="720"/>
        <w:rPr>
          <w:rFonts w:cs="Times New Roman"/>
          <w:szCs w:val="26"/>
        </w:rPr>
      </w:pPr>
      <w:r w:rsidRPr="00F1714B">
        <w:rPr>
          <w:rFonts w:cs="Times New Roman"/>
          <w:bCs/>
          <w:szCs w:val="26"/>
        </w:rPr>
        <w:t xml:space="preserve">These regulations deal with central office, interoffice channel, trunk, and switching facilities capacity to handle certain types of telecommunications traffic.  </w:t>
      </w:r>
      <w:r w:rsidR="00262765" w:rsidRPr="00F1714B">
        <w:rPr>
          <w:rFonts w:cs="Times New Roman"/>
          <w:bCs/>
          <w:szCs w:val="26"/>
        </w:rPr>
        <w:t xml:space="preserve">In the </w:t>
      </w:r>
      <w:r w:rsidR="00262765" w:rsidRPr="00F1714B">
        <w:rPr>
          <w:rFonts w:cs="Times New Roman"/>
          <w:bCs/>
          <w:i/>
          <w:iCs/>
          <w:szCs w:val="26"/>
        </w:rPr>
        <w:t>Reclassification Order</w:t>
      </w:r>
      <w:r w:rsidR="00262765" w:rsidRPr="00F1714B">
        <w:rPr>
          <w:rFonts w:cs="Times New Roman"/>
          <w:bCs/>
          <w:szCs w:val="26"/>
        </w:rPr>
        <w:t>, t</w:t>
      </w:r>
      <w:r w:rsidR="001B3461" w:rsidRPr="00F1714B">
        <w:rPr>
          <w:rFonts w:cs="Times New Roman"/>
          <w:bCs/>
          <w:szCs w:val="26"/>
        </w:rPr>
        <w:t xml:space="preserve">he Commission granted </w:t>
      </w:r>
      <w:r w:rsidR="00262765" w:rsidRPr="00F1714B">
        <w:rPr>
          <w:rFonts w:cs="Times New Roman"/>
          <w:bCs/>
          <w:szCs w:val="26"/>
        </w:rPr>
        <w:t>Verizon</w:t>
      </w:r>
      <w:r w:rsidR="00D20814" w:rsidRPr="00F1714B">
        <w:rPr>
          <w:rFonts w:cs="Times New Roman"/>
          <w:bCs/>
          <w:szCs w:val="26"/>
        </w:rPr>
        <w:t xml:space="preserve"> </w:t>
      </w:r>
      <w:r w:rsidR="001B3461" w:rsidRPr="00F1714B">
        <w:rPr>
          <w:rFonts w:cs="Times New Roman"/>
          <w:bCs/>
          <w:szCs w:val="26"/>
        </w:rPr>
        <w:t>a temporary waiver of the Section 63.61 and 63.62 regulations.</w:t>
      </w:r>
      <w:r w:rsidR="00262765" w:rsidRPr="00F1714B">
        <w:rPr>
          <w:rStyle w:val="FootnoteReference"/>
          <w:rFonts w:cs="Times New Roman"/>
          <w:bCs/>
          <w:szCs w:val="26"/>
        </w:rPr>
        <w:footnoteReference w:id="72"/>
      </w:r>
      <w:r w:rsidR="001B3461" w:rsidRPr="00F1714B">
        <w:rPr>
          <w:rFonts w:cs="Times New Roman"/>
          <w:bCs/>
          <w:szCs w:val="26"/>
        </w:rPr>
        <w:t xml:space="preserve">  </w:t>
      </w:r>
      <w:r w:rsidR="00215F3A" w:rsidRPr="00F1714B">
        <w:rPr>
          <w:rFonts w:cs="Times New Roman"/>
          <w:bCs/>
          <w:szCs w:val="26"/>
        </w:rPr>
        <w:t xml:space="preserve">In the </w:t>
      </w:r>
      <w:r w:rsidR="00215F3A" w:rsidRPr="00F1714B">
        <w:rPr>
          <w:rFonts w:cs="Times New Roman"/>
          <w:bCs/>
          <w:i/>
          <w:iCs/>
          <w:szCs w:val="26"/>
        </w:rPr>
        <w:t>N</w:t>
      </w:r>
      <w:r w:rsidR="00E06E4B" w:rsidRPr="00F1714B">
        <w:rPr>
          <w:rFonts w:cs="Times New Roman"/>
          <w:bCs/>
          <w:i/>
          <w:iCs/>
          <w:szCs w:val="26"/>
        </w:rPr>
        <w:t xml:space="preserve">PRM </w:t>
      </w:r>
      <w:r w:rsidR="00215F3A" w:rsidRPr="00F1714B">
        <w:rPr>
          <w:rFonts w:cs="Times New Roman"/>
          <w:bCs/>
          <w:i/>
          <w:iCs/>
          <w:szCs w:val="26"/>
        </w:rPr>
        <w:t>Order</w:t>
      </w:r>
      <w:r w:rsidR="00215F3A" w:rsidRPr="00F1714B">
        <w:rPr>
          <w:rFonts w:cs="Times New Roman"/>
          <w:bCs/>
          <w:szCs w:val="26"/>
        </w:rPr>
        <w:t xml:space="preserve">, we acknowledged </w:t>
      </w:r>
      <w:r w:rsidR="001B3461" w:rsidRPr="00F1714B">
        <w:rPr>
          <w:rFonts w:cs="Times New Roman"/>
          <w:bCs/>
          <w:szCs w:val="26"/>
        </w:rPr>
        <w:t xml:space="preserve">that </w:t>
      </w:r>
      <w:r w:rsidR="00215F3A" w:rsidRPr="00F1714B">
        <w:rPr>
          <w:rFonts w:cs="Times New Roman"/>
          <w:bCs/>
          <w:szCs w:val="26"/>
        </w:rPr>
        <w:t>LEC</w:t>
      </w:r>
      <w:r w:rsidR="00833380" w:rsidRPr="00F1714B">
        <w:rPr>
          <w:rFonts w:cs="Times New Roman"/>
          <w:bCs/>
          <w:szCs w:val="26"/>
        </w:rPr>
        <w:t xml:space="preserve"> </w:t>
      </w:r>
      <w:r w:rsidR="001B3461" w:rsidRPr="00F1714B">
        <w:rPr>
          <w:rFonts w:cs="Times New Roman"/>
          <w:bCs/>
          <w:szCs w:val="26"/>
        </w:rPr>
        <w:t xml:space="preserve">facilities </w:t>
      </w:r>
      <w:r w:rsidR="00833380" w:rsidRPr="00F1714B">
        <w:rPr>
          <w:rFonts w:cs="Times New Roman"/>
          <w:bCs/>
          <w:szCs w:val="26"/>
        </w:rPr>
        <w:t xml:space="preserve">are </w:t>
      </w:r>
      <w:r w:rsidR="001B3461" w:rsidRPr="00F1714B">
        <w:rPr>
          <w:rFonts w:cs="Times New Roman"/>
          <w:bCs/>
          <w:szCs w:val="26"/>
        </w:rPr>
        <w:t>currently utiliz</w:t>
      </w:r>
      <w:r w:rsidR="00833380" w:rsidRPr="00F1714B">
        <w:rPr>
          <w:rFonts w:cs="Times New Roman"/>
          <w:bCs/>
          <w:szCs w:val="26"/>
        </w:rPr>
        <w:t>ing</w:t>
      </w:r>
      <w:r w:rsidR="001B3461" w:rsidRPr="00F1714B">
        <w:rPr>
          <w:rFonts w:cs="Times New Roman"/>
          <w:bCs/>
          <w:szCs w:val="26"/>
        </w:rPr>
        <w:t xml:space="preserve"> more modern telecommunications technologies (e.g., soft switches, fiber optic circuits) that are not subject to capacity constraints of the more distant past (e.g., when analog central office switching equipment was in use).  </w:t>
      </w:r>
      <w:bookmarkStart w:id="47" w:name="_Hlk81432893"/>
      <w:r w:rsidR="00833380" w:rsidRPr="00F1714B">
        <w:rPr>
          <w:rFonts w:cs="Times New Roman"/>
          <w:bCs/>
          <w:szCs w:val="26"/>
        </w:rPr>
        <w:t>Accordingly, c</w:t>
      </w:r>
      <w:r w:rsidR="00833380" w:rsidRPr="00F1714B">
        <w:rPr>
          <w:rFonts w:cs="Times New Roman"/>
          <w:szCs w:val="26"/>
        </w:rPr>
        <w:t>onsistent with our proposed rescission of Section 63.12 and further amendments</w:t>
      </w:r>
      <w:r w:rsidR="00167E00" w:rsidRPr="00F1714B">
        <w:rPr>
          <w:rFonts w:cs="Times New Roman"/>
          <w:szCs w:val="26"/>
        </w:rPr>
        <w:t xml:space="preserve"> in Chapter 63</w:t>
      </w:r>
      <w:r w:rsidR="00833380" w:rsidRPr="00F1714B">
        <w:rPr>
          <w:rFonts w:cs="Times New Roman"/>
          <w:szCs w:val="26"/>
        </w:rPr>
        <w:t>, we propose</w:t>
      </w:r>
      <w:r w:rsidR="00167E00" w:rsidRPr="00F1714B">
        <w:rPr>
          <w:rFonts w:cs="Times New Roman"/>
          <w:szCs w:val="26"/>
        </w:rPr>
        <w:t xml:space="preserve">d to rescind </w:t>
      </w:r>
      <w:r w:rsidR="00833380" w:rsidRPr="00F1714B">
        <w:rPr>
          <w:rFonts w:cs="Times New Roman"/>
          <w:szCs w:val="26"/>
        </w:rPr>
        <w:t xml:space="preserve">both Section 63.61 and 63.62 in their entirety. </w:t>
      </w:r>
    </w:p>
    <w:bookmarkEnd w:id="47"/>
    <w:p w14:paraId="65826E26" w14:textId="5E4E127C" w:rsidR="001B3461" w:rsidRPr="00F1714B" w:rsidRDefault="001B3461" w:rsidP="001F641B">
      <w:pPr>
        <w:tabs>
          <w:tab w:val="left" w:pos="720"/>
          <w:tab w:val="left" w:pos="1440"/>
        </w:tabs>
        <w:rPr>
          <w:rFonts w:cs="Times New Roman"/>
          <w:bCs/>
          <w:szCs w:val="26"/>
        </w:rPr>
      </w:pPr>
    </w:p>
    <w:p w14:paraId="1AF55FEF" w14:textId="5BE3FB1D" w:rsidR="00C10D52" w:rsidRPr="00F1714B" w:rsidRDefault="001B3461" w:rsidP="001F641B">
      <w:pPr>
        <w:keepNext/>
        <w:keepLines/>
        <w:ind w:firstLine="720"/>
        <w:rPr>
          <w:rFonts w:cs="Times New Roman"/>
          <w:b/>
          <w:szCs w:val="26"/>
        </w:rPr>
      </w:pPr>
      <w:r w:rsidRPr="00F1714B">
        <w:rPr>
          <w:rFonts w:cs="Times New Roman"/>
          <w:bCs/>
          <w:szCs w:val="26"/>
        </w:rPr>
        <w:lastRenderedPageBreak/>
        <w:tab/>
      </w:r>
      <w:r w:rsidR="000A3481" w:rsidRPr="00F1714B">
        <w:rPr>
          <w:rFonts w:cs="Times New Roman"/>
          <w:bCs/>
          <w:szCs w:val="26"/>
        </w:rPr>
        <w:tab/>
      </w:r>
      <w:r w:rsidR="00C10D52" w:rsidRPr="00F1714B">
        <w:rPr>
          <w:rFonts w:cs="Times New Roman"/>
          <w:b/>
          <w:szCs w:val="26"/>
        </w:rPr>
        <w:t>a.</w:t>
      </w:r>
      <w:r w:rsidR="00C10D52" w:rsidRPr="00F1714B">
        <w:rPr>
          <w:rFonts w:cs="Times New Roman"/>
          <w:b/>
          <w:szCs w:val="26"/>
        </w:rPr>
        <w:tab/>
        <w:t>Comments</w:t>
      </w:r>
      <w:r w:rsidR="005566C0" w:rsidRPr="00F1714B">
        <w:rPr>
          <w:rFonts w:cs="Times New Roman"/>
          <w:b/>
          <w:szCs w:val="26"/>
        </w:rPr>
        <w:t xml:space="preserve"> and Replies</w:t>
      </w:r>
    </w:p>
    <w:p w14:paraId="5791E603" w14:textId="5AC6C1ED" w:rsidR="009862FD" w:rsidRPr="00F1714B" w:rsidRDefault="001B5E98" w:rsidP="001F641B">
      <w:pPr>
        <w:keepNext/>
        <w:keepLines/>
        <w:ind w:firstLine="720"/>
        <w:rPr>
          <w:rFonts w:cs="Times New Roman"/>
          <w:szCs w:val="26"/>
        </w:rPr>
      </w:pPr>
      <w:bookmarkStart w:id="48" w:name="_Hlk82179769"/>
      <w:r w:rsidRPr="00F1714B">
        <w:rPr>
          <w:rFonts w:cs="Times New Roman"/>
          <w:szCs w:val="26"/>
        </w:rPr>
        <w:t xml:space="preserve">No party filed adverse comments to the Commission’s proposal regarding Sections 63.61 and 63.62 of its regulations.  </w:t>
      </w:r>
      <w:bookmarkEnd w:id="48"/>
    </w:p>
    <w:p w14:paraId="06F16B25" w14:textId="77777777" w:rsidR="001B5E98" w:rsidRPr="00F1714B" w:rsidRDefault="001B5E98" w:rsidP="001F641B">
      <w:pPr>
        <w:ind w:firstLine="720"/>
        <w:rPr>
          <w:rFonts w:cs="Times New Roman"/>
          <w:szCs w:val="26"/>
        </w:rPr>
      </w:pPr>
    </w:p>
    <w:p w14:paraId="66763477" w14:textId="44F6D8BF" w:rsidR="00C10D52" w:rsidRPr="00F1714B" w:rsidRDefault="00C10D52" w:rsidP="001F641B">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r>
      <w:bookmarkStart w:id="49" w:name="_Hlk87285121"/>
      <w:r w:rsidRPr="00F1714B">
        <w:rPr>
          <w:rFonts w:cs="Times New Roman"/>
          <w:b/>
          <w:szCs w:val="26"/>
        </w:rPr>
        <w:t>b</w:t>
      </w:r>
      <w:r w:rsidR="003562CA" w:rsidRPr="00F1714B">
        <w:rPr>
          <w:rFonts w:cs="Times New Roman"/>
          <w:b/>
          <w:szCs w:val="26"/>
        </w:rPr>
        <w:t>.</w:t>
      </w:r>
      <w:r w:rsidRPr="00F1714B">
        <w:rPr>
          <w:rFonts w:cs="Times New Roman"/>
          <w:b/>
          <w:szCs w:val="26"/>
        </w:rPr>
        <w:tab/>
        <w:t>Discussion</w:t>
      </w:r>
      <w:r w:rsidR="007173AB" w:rsidRPr="00F1714B">
        <w:rPr>
          <w:rFonts w:cs="Times New Roman"/>
          <w:b/>
          <w:szCs w:val="26"/>
        </w:rPr>
        <w:t xml:space="preserve"> and </w:t>
      </w:r>
      <w:r w:rsidR="003562CA" w:rsidRPr="00F1714B">
        <w:rPr>
          <w:rFonts w:cs="Times New Roman"/>
          <w:b/>
          <w:szCs w:val="26"/>
        </w:rPr>
        <w:t>Resolution</w:t>
      </w:r>
      <w:bookmarkEnd w:id="49"/>
    </w:p>
    <w:p w14:paraId="6AA1F5C3" w14:textId="2F316BC9" w:rsidR="00CC2EBD" w:rsidRPr="00F1714B" w:rsidRDefault="00956F06" w:rsidP="00CC2EBD">
      <w:pPr>
        <w:ind w:firstLine="720"/>
        <w:rPr>
          <w:rFonts w:cs="Times New Roman"/>
          <w:szCs w:val="26"/>
        </w:rPr>
      </w:pPr>
      <w:bookmarkStart w:id="50" w:name="_Hlk81435602"/>
      <w:r w:rsidRPr="00F1714B">
        <w:rPr>
          <w:rFonts w:cs="Times New Roman"/>
          <w:szCs w:val="26"/>
        </w:rPr>
        <w:t>Since no party has filed any adverse comments regarding our proposed recission of Sections 63.</w:t>
      </w:r>
      <w:r w:rsidR="00A22B7C" w:rsidRPr="00F1714B">
        <w:rPr>
          <w:rFonts w:cs="Times New Roman"/>
          <w:szCs w:val="26"/>
        </w:rPr>
        <w:t>61 and 63.62</w:t>
      </w:r>
      <w:r w:rsidRPr="00F1714B">
        <w:rPr>
          <w:rFonts w:cs="Times New Roman"/>
          <w:szCs w:val="26"/>
        </w:rPr>
        <w:t xml:space="preserve">, we will adopt our proposal to permanently rescind </w:t>
      </w:r>
      <w:r w:rsidR="00A22B7C" w:rsidRPr="00F1714B">
        <w:rPr>
          <w:rFonts w:cs="Times New Roman"/>
          <w:szCs w:val="26"/>
        </w:rPr>
        <w:t>them</w:t>
      </w:r>
      <w:r w:rsidRPr="00F1714B">
        <w:rPr>
          <w:rFonts w:cs="Times New Roman"/>
          <w:szCs w:val="26"/>
        </w:rPr>
        <w:t>.  Accordingly, the permanent rescission of Section</w:t>
      </w:r>
      <w:r w:rsidR="00A22B7C" w:rsidRPr="00F1714B">
        <w:rPr>
          <w:rFonts w:cs="Times New Roman"/>
          <w:szCs w:val="26"/>
        </w:rPr>
        <w:t xml:space="preserve">s </w:t>
      </w:r>
      <w:r w:rsidRPr="00F1714B">
        <w:rPr>
          <w:rFonts w:cs="Times New Roman"/>
          <w:szCs w:val="26"/>
        </w:rPr>
        <w:t>63.6</w:t>
      </w:r>
      <w:r w:rsidR="00A22B7C" w:rsidRPr="00F1714B">
        <w:rPr>
          <w:rFonts w:cs="Times New Roman"/>
          <w:szCs w:val="26"/>
        </w:rPr>
        <w:t xml:space="preserve">1 and 63.62 </w:t>
      </w:r>
      <w:r w:rsidRPr="00F1714B">
        <w:rPr>
          <w:rFonts w:cs="Times New Roman"/>
          <w:szCs w:val="26"/>
        </w:rPr>
        <w:t>from Chapter 63 will be reflected in the final-form regulation set forth in the Annex.</w:t>
      </w:r>
      <w:bookmarkEnd w:id="50"/>
    </w:p>
    <w:p w14:paraId="5C2B566D" w14:textId="77777777" w:rsidR="00CC2EBD" w:rsidRPr="00F1714B" w:rsidRDefault="00CC2EBD" w:rsidP="00CC2EBD">
      <w:pPr>
        <w:ind w:firstLine="720"/>
        <w:rPr>
          <w:rFonts w:cs="Times New Roman"/>
          <w:szCs w:val="26"/>
        </w:rPr>
      </w:pPr>
    </w:p>
    <w:p w14:paraId="29298905" w14:textId="3FFF345F" w:rsidR="00A01EB2" w:rsidRPr="00F1714B" w:rsidRDefault="001B3461" w:rsidP="001F641B">
      <w:pPr>
        <w:keepNext/>
        <w:keepLines/>
        <w:ind w:left="720" w:firstLine="720"/>
        <w:rPr>
          <w:rFonts w:cs="Times New Roman"/>
          <w:b/>
          <w:bCs/>
          <w:szCs w:val="26"/>
        </w:rPr>
      </w:pPr>
      <w:r w:rsidRPr="00F1714B">
        <w:rPr>
          <w:rFonts w:cs="Times New Roman"/>
          <w:b/>
          <w:bCs/>
          <w:szCs w:val="26"/>
        </w:rPr>
        <w:t>9.</w:t>
      </w:r>
      <w:r w:rsidRPr="00F1714B">
        <w:rPr>
          <w:rFonts w:cs="Times New Roman"/>
          <w:b/>
          <w:bCs/>
          <w:szCs w:val="26"/>
        </w:rPr>
        <w:tab/>
        <w:t xml:space="preserve">52 Pa. Code </w:t>
      </w:r>
      <w:r w:rsidR="00A01EB2" w:rsidRPr="00F1714B">
        <w:rPr>
          <w:rFonts w:cs="Times New Roman"/>
          <w:b/>
          <w:bCs/>
          <w:szCs w:val="26"/>
        </w:rPr>
        <w:t>§</w:t>
      </w:r>
      <w:r w:rsidR="000F5894" w:rsidRPr="00F1714B">
        <w:rPr>
          <w:rFonts w:cs="Times New Roman"/>
          <w:b/>
          <w:bCs/>
          <w:szCs w:val="26"/>
        </w:rPr>
        <w:t xml:space="preserve"> </w:t>
      </w:r>
      <w:r w:rsidR="00A01EB2" w:rsidRPr="00F1714B">
        <w:rPr>
          <w:rFonts w:cs="Times New Roman"/>
          <w:b/>
          <w:bCs/>
          <w:szCs w:val="26"/>
        </w:rPr>
        <w:t>63.63 (Transmission requirements and standards)</w:t>
      </w:r>
    </w:p>
    <w:p w14:paraId="0C80EC4E" w14:textId="2D1D7523" w:rsidR="001B5E98" w:rsidRPr="00F1714B" w:rsidRDefault="00A01EB2" w:rsidP="001F641B">
      <w:pPr>
        <w:keepNext/>
        <w:keepLines/>
        <w:tabs>
          <w:tab w:val="left" w:pos="720"/>
          <w:tab w:val="left" w:pos="1440"/>
        </w:tabs>
        <w:rPr>
          <w:rFonts w:cs="Times New Roman"/>
          <w:bCs/>
          <w:szCs w:val="26"/>
        </w:rPr>
      </w:pPr>
      <w:r w:rsidRPr="00F1714B">
        <w:rPr>
          <w:rFonts w:cs="Times New Roman"/>
          <w:bCs/>
          <w:szCs w:val="26"/>
        </w:rPr>
        <w:tab/>
      </w:r>
      <w:r w:rsidR="001B5E98" w:rsidRPr="00F1714B">
        <w:rPr>
          <w:rFonts w:cs="Times New Roman"/>
          <w:bCs/>
          <w:szCs w:val="26"/>
        </w:rPr>
        <w:t xml:space="preserve">In the </w:t>
      </w:r>
      <w:r w:rsidR="001B5E98" w:rsidRPr="00F1714B">
        <w:rPr>
          <w:rFonts w:cs="Times New Roman"/>
          <w:bCs/>
          <w:i/>
          <w:iCs/>
          <w:szCs w:val="26"/>
        </w:rPr>
        <w:t xml:space="preserve">NPRM Order, </w:t>
      </w:r>
      <w:r w:rsidR="008635C3" w:rsidRPr="00F1714B">
        <w:rPr>
          <w:rFonts w:cs="Times New Roman"/>
          <w:bCs/>
          <w:szCs w:val="26"/>
        </w:rPr>
        <w:t>the Commission had</w:t>
      </w:r>
      <w:r w:rsidR="001B5E98" w:rsidRPr="00F1714B">
        <w:rPr>
          <w:rFonts w:cs="Times New Roman"/>
          <w:bCs/>
          <w:szCs w:val="26"/>
        </w:rPr>
        <w:t xml:space="preserve"> determined that Section 63.63(a) remains relevant to each wire center or other geographic area defined by the jurisdictional </w:t>
      </w:r>
      <w:r w:rsidR="00D0369F" w:rsidRPr="00F1714B">
        <w:rPr>
          <w:rFonts w:cs="Times New Roman"/>
          <w:bCs/>
          <w:szCs w:val="26"/>
        </w:rPr>
        <w:t xml:space="preserve">LEC </w:t>
      </w:r>
      <w:r w:rsidR="001B5E98" w:rsidRPr="00F1714B">
        <w:rPr>
          <w:rFonts w:cs="Times New Roman"/>
          <w:bCs/>
          <w:szCs w:val="26"/>
        </w:rPr>
        <w:t xml:space="preserve">where the utility has fully deployed a jurisdictional fiber-optic network while we also proposed to amend this Section to provide a new Section 63.63(b) to provide sufficient guidance under Section 1501 of the Code to ensure that our jurisdictional </w:t>
      </w:r>
      <w:r w:rsidR="00B76E71" w:rsidRPr="00F1714B">
        <w:rPr>
          <w:rFonts w:cs="Times New Roman"/>
          <w:bCs/>
          <w:szCs w:val="26"/>
        </w:rPr>
        <w:t xml:space="preserve">LECs </w:t>
      </w:r>
      <w:r w:rsidR="001B5E98" w:rsidRPr="00F1714B">
        <w:rPr>
          <w:rFonts w:cs="Times New Roman"/>
          <w:bCs/>
          <w:szCs w:val="26"/>
        </w:rPr>
        <w:t xml:space="preserve">provide reasonable service that is free from distortion, noise, and cross talk.  </w:t>
      </w:r>
      <w:r w:rsidR="008635C3" w:rsidRPr="00F1714B">
        <w:rPr>
          <w:rFonts w:cs="Times New Roman"/>
          <w:bCs/>
          <w:i/>
          <w:iCs/>
          <w:szCs w:val="26"/>
        </w:rPr>
        <w:t>.</w:t>
      </w:r>
      <w:r w:rsidR="008635C3" w:rsidRPr="00F1714B">
        <w:rPr>
          <w:rFonts w:cs="Times New Roman"/>
          <w:bCs/>
          <w:szCs w:val="26"/>
        </w:rPr>
        <w:t>Additionally,</w:t>
      </w:r>
      <w:r w:rsidR="008635C3" w:rsidRPr="00F1714B">
        <w:rPr>
          <w:rFonts w:cs="Times New Roman"/>
          <w:bCs/>
          <w:i/>
          <w:iCs/>
          <w:szCs w:val="26"/>
        </w:rPr>
        <w:t xml:space="preserve">  </w:t>
      </w:r>
      <w:r w:rsidR="008635C3" w:rsidRPr="00F1714B">
        <w:rPr>
          <w:rFonts w:cs="Times New Roman"/>
          <w:bCs/>
          <w:szCs w:val="26"/>
        </w:rPr>
        <w:t>the Commission had</w:t>
      </w:r>
      <w:r w:rsidR="008635C3" w:rsidRPr="00F1714B">
        <w:rPr>
          <w:rFonts w:cs="Times New Roman"/>
          <w:bCs/>
          <w:i/>
          <w:iCs/>
          <w:szCs w:val="26"/>
        </w:rPr>
        <w:t xml:space="preserve"> </w:t>
      </w:r>
      <w:r w:rsidR="008635C3" w:rsidRPr="00F1714B">
        <w:rPr>
          <w:rFonts w:cs="Times New Roman"/>
          <w:bCs/>
          <w:szCs w:val="26"/>
        </w:rPr>
        <w:t xml:space="preserve">proposal to rescind Section 63.12 addressing interference </w:t>
      </w:r>
      <w:r w:rsidR="00370CC9" w:rsidRPr="00F1714B">
        <w:rPr>
          <w:rFonts w:cs="Times New Roman"/>
          <w:bCs/>
          <w:szCs w:val="26"/>
        </w:rPr>
        <w:t xml:space="preserve">but </w:t>
      </w:r>
      <w:r w:rsidR="008635C3" w:rsidRPr="00F1714B">
        <w:rPr>
          <w:rFonts w:cs="Times New Roman"/>
          <w:bCs/>
          <w:szCs w:val="26"/>
        </w:rPr>
        <w:t xml:space="preserve">incorporate it within </w:t>
      </w:r>
      <w:r w:rsidR="00370CC9" w:rsidRPr="00F1714B">
        <w:rPr>
          <w:rFonts w:cs="Times New Roman"/>
          <w:bCs/>
          <w:szCs w:val="26"/>
        </w:rPr>
        <w:t xml:space="preserve">the amended </w:t>
      </w:r>
      <w:r w:rsidR="008635C3" w:rsidRPr="00F1714B">
        <w:rPr>
          <w:rFonts w:cs="Times New Roman"/>
          <w:bCs/>
          <w:szCs w:val="26"/>
        </w:rPr>
        <w:t xml:space="preserve">Section 63.63.  </w:t>
      </w:r>
    </w:p>
    <w:p w14:paraId="48F61386" w14:textId="77777777" w:rsidR="001B5E98" w:rsidRPr="00F1714B" w:rsidRDefault="001B5E98" w:rsidP="001F641B">
      <w:pPr>
        <w:keepNext/>
        <w:keepLines/>
        <w:tabs>
          <w:tab w:val="left" w:pos="720"/>
          <w:tab w:val="left" w:pos="1440"/>
        </w:tabs>
        <w:rPr>
          <w:rFonts w:cs="Times New Roman"/>
          <w:bCs/>
          <w:szCs w:val="26"/>
        </w:rPr>
      </w:pPr>
    </w:p>
    <w:p w14:paraId="2357D572" w14:textId="0BAD662F" w:rsidR="001B5E98" w:rsidRPr="00F1714B" w:rsidRDefault="00370CC9" w:rsidP="001F641B">
      <w:pPr>
        <w:keepNext/>
        <w:keepLines/>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r>
      <w:r w:rsidR="000A3481" w:rsidRPr="00F1714B">
        <w:rPr>
          <w:rFonts w:cs="Times New Roman"/>
          <w:b/>
          <w:bCs/>
          <w:szCs w:val="26"/>
        </w:rPr>
        <w:tab/>
      </w:r>
      <w:r w:rsidR="001B5E98" w:rsidRPr="00F1714B">
        <w:rPr>
          <w:rFonts w:cs="Times New Roman"/>
          <w:b/>
          <w:bCs/>
          <w:szCs w:val="26"/>
        </w:rPr>
        <w:t>a.</w:t>
      </w:r>
      <w:r w:rsidR="001B5E98" w:rsidRPr="00F1714B">
        <w:rPr>
          <w:rFonts w:cs="Times New Roman"/>
          <w:b/>
          <w:bCs/>
          <w:szCs w:val="26"/>
        </w:rPr>
        <w:tab/>
        <w:t>Comments and Replies</w:t>
      </w:r>
    </w:p>
    <w:p w14:paraId="7BA4411D" w14:textId="23986B0A" w:rsidR="001B5E98" w:rsidRPr="00F1714B" w:rsidRDefault="00370CC9" w:rsidP="001F641B">
      <w:pPr>
        <w:keepNext/>
        <w:keepLines/>
        <w:tabs>
          <w:tab w:val="left" w:pos="720"/>
          <w:tab w:val="left" w:pos="1440"/>
        </w:tabs>
        <w:rPr>
          <w:rFonts w:cs="Times New Roman"/>
          <w:bCs/>
          <w:szCs w:val="26"/>
        </w:rPr>
      </w:pPr>
      <w:r w:rsidRPr="00F1714B">
        <w:rPr>
          <w:rFonts w:cs="Times New Roman"/>
          <w:bCs/>
          <w:szCs w:val="26"/>
        </w:rPr>
        <w:tab/>
      </w:r>
      <w:r w:rsidR="001B5E98" w:rsidRPr="00F1714B">
        <w:rPr>
          <w:rFonts w:cs="Times New Roman"/>
          <w:bCs/>
          <w:szCs w:val="26"/>
        </w:rPr>
        <w:t xml:space="preserve">The OCA supports the Commission’s proposal to address interference and other transmission issues in revised subsection 63.63. OCA Comments at 11-12.  The OCA also encourages the Commission to retain “the core protection” of subsection 63.63 (Transmission requirements and standards).  OCA Comments at 15.  </w:t>
      </w:r>
    </w:p>
    <w:p w14:paraId="6762F968" w14:textId="77777777" w:rsidR="001B5E98" w:rsidRPr="00F1714B" w:rsidRDefault="001B5E98" w:rsidP="001F641B">
      <w:pPr>
        <w:tabs>
          <w:tab w:val="left" w:pos="720"/>
          <w:tab w:val="left" w:pos="1440"/>
        </w:tabs>
        <w:rPr>
          <w:rFonts w:cs="Times New Roman"/>
          <w:bCs/>
          <w:szCs w:val="26"/>
        </w:rPr>
      </w:pPr>
    </w:p>
    <w:p w14:paraId="5B06FEFE" w14:textId="1843708F" w:rsidR="001B5E98" w:rsidRPr="00F1714B" w:rsidRDefault="00370CC9" w:rsidP="001F641B">
      <w:pPr>
        <w:tabs>
          <w:tab w:val="left" w:pos="720"/>
          <w:tab w:val="left" w:pos="1440"/>
        </w:tabs>
        <w:rPr>
          <w:rFonts w:cs="Times New Roman"/>
          <w:bCs/>
          <w:szCs w:val="26"/>
        </w:rPr>
      </w:pPr>
      <w:r w:rsidRPr="00F1714B">
        <w:rPr>
          <w:rFonts w:cs="Times New Roman"/>
          <w:bCs/>
          <w:szCs w:val="26"/>
        </w:rPr>
        <w:tab/>
      </w:r>
      <w:r w:rsidR="001B5E98" w:rsidRPr="00F1714B">
        <w:rPr>
          <w:rFonts w:cs="Times New Roman"/>
          <w:bCs/>
          <w:szCs w:val="26"/>
        </w:rPr>
        <w:t xml:space="preserve">Verizon opposes the Commission’s proposed reinstatement and continuance of subsection 63.63 because in Verizon’s view Section 1501 is sufficient to ensure service </w:t>
      </w:r>
      <w:r w:rsidR="001B5E98" w:rsidRPr="00F1714B">
        <w:rPr>
          <w:rFonts w:cs="Times New Roman"/>
          <w:bCs/>
          <w:szCs w:val="26"/>
        </w:rPr>
        <w:lastRenderedPageBreak/>
        <w:t>of “good quality” and competition provides adequate incentive to ensure quality service.  Verizon proposes that the rule be eliminated.  Verizon Comments at 22.</w:t>
      </w:r>
    </w:p>
    <w:p w14:paraId="36714BE9" w14:textId="77777777" w:rsidR="001B5E98" w:rsidRPr="00F1714B" w:rsidRDefault="001B5E98" w:rsidP="001F641B">
      <w:pPr>
        <w:tabs>
          <w:tab w:val="left" w:pos="720"/>
          <w:tab w:val="left" w:pos="1440"/>
        </w:tabs>
        <w:rPr>
          <w:rFonts w:cs="Times New Roman"/>
          <w:bCs/>
          <w:szCs w:val="26"/>
        </w:rPr>
      </w:pPr>
    </w:p>
    <w:p w14:paraId="3C0F47A1" w14:textId="657B1BA6" w:rsidR="001B5E98" w:rsidRDefault="00370CC9" w:rsidP="001B5E98">
      <w:pPr>
        <w:tabs>
          <w:tab w:val="left" w:pos="720"/>
          <w:tab w:val="left" w:pos="1440"/>
        </w:tabs>
        <w:rPr>
          <w:rFonts w:cs="Times New Roman"/>
          <w:bCs/>
          <w:szCs w:val="26"/>
        </w:rPr>
      </w:pPr>
      <w:r w:rsidRPr="00F1714B">
        <w:rPr>
          <w:rFonts w:cs="Times New Roman"/>
          <w:bCs/>
          <w:szCs w:val="26"/>
        </w:rPr>
        <w:tab/>
      </w:r>
      <w:r w:rsidR="001B5E98" w:rsidRPr="00F1714B">
        <w:rPr>
          <w:rFonts w:cs="Times New Roman"/>
          <w:bCs/>
          <w:szCs w:val="26"/>
        </w:rPr>
        <w:t xml:space="preserve">The OCA opposes Verizon’s proposal regarding this rule because it asserts that its elimination in its entirety or even its proposed modification </w:t>
      </w:r>
      <w:r w:rsidR="00821FE5" w:rsidRPr="00F1714B">
        <w:rPr>
          <w:rFonts w:cs="Times New Roman"/>
          <w:bCs/>
          <w:szCs w:val="26"/>
        </w:rPr>
        <w:t xml:space="preserve">by the Commission </w:t>
      </w:r>
      <w:r w:rsidR="001B5E98" w:rsidRPr="00F1714B">
        <w:rPr>
          <w:rFonts w:cs="Times New Roman"/>
          <w:bCs/>
          <w:szCs w:val="26"/>
        </w:rPr>
        <w:t>as set forth in the Annex would remove meaningful standards and regulatory guidance that is still needed to promote and protect today’s complex and important telecommunications network.”  OCA Reply Comments at 10-12</w:t>
      </w:r>
    </w:p>
    <w:p w14:paraId="3EE09E0D" w14:textId="77777777" w:rsidR="003929D4" w:rsidRPr="00F1714B" w:rsidRDefault="003929D4" w:rsidP="001B5E98">
      <w:pPr>
        <w:tabs>
          <w:tab w:val="left" w:pos="720"/>
          <w:tab w:val="left" w:pos="1440"/>
        </w:tabs>
        <w:rPr>
          <w:rFonts w:cs="Times New Roman"/>
          <w:bCs/>
          <w:szCs w:val="26"/>
        </w:rPr>
      </w:pPr>
    </w:p>
    <w:p w14:paraId="28E2A996" w14:textId="71799C53" w:rsidR="001B5E98" w:rsidRPr="00F1714B" w:rsidRDefault="000A3481" w:rsidP="001F641B">
      <w:pPr>
        <w:keepNext/>
        <w:keepLines/>
        <w:tabs>
          <w:tab w:val="left" w:pos="720"/>
          <w:tab w:val="left" w:pos="1440"/>
        </w:tabs>
        <w:rPr>
          <w:rFonts w:cs="Times New Roman"/>
          <w:bCs/>
          <w:szCs w:val="26"/>
        </w:rPr>
      </w:pPr>
      <w:r w:rsidRPr="00F1714B">
        <w:rPr>
          <w:rFonts w:cs="Times New Roman"/>
          <w:bCs/>
          <w:szCs w:val="26"/>
        </w:rPr>
        <w:tab/>
      </w:r>
      <w:r w:rsidRPr="00F1714B">
        <w:rPr>
          <w:rFonts w:cs="Times New Roman"/>
          <w:bCs/>
          <w:szCs w:val="26"/>
        </w:rPr>
        <w:tab/>
      </w:r>
      <w:r w:rsidRPr="00F1714B">
        <w:rPr>
          <w:rFonts w:cs="Times New Roman"/>
          <w:bCs/>
          <w:szCs w:val="26"/>
        </w:rPr>
        <w:tab/>
      </w:r>
      <w:r w:rsidRPr="00F1714B">
        <w:rPr>
          <w:rFonts w:cs="Times New Roman"/>
          <w:b/>
          <w:bCs/>
          <w:szCs w:val="26"/>
        </w:rPr>
        <w:t>b.</w:t>
      </w:r>
      <w:r w:rsidRPr="00F1714B">
        <w:rPr>
          <w:rFonts w:cs="Times New Roman"/>
          <w:b/>
          <w:bCs/>
          <w:szCs w:val="26"/>
        </w:rPr>
        <w:tab/>
        <w:t>Discussion and Resolution</w:t>
      </w:r>
    </w:p>
    <w:p w14:paraId="15E8CC4B" w14:textId="3EF3F854" w:rsidR="00A01EB2" w:rsidRPr="00F1714B" w:rsidRDefault="000A3481" w:rsidP="00BD1D4C">
      <w:pPr>
        <w:keepNext/>
        <w:keepLines/>
        <w:tabs>
          <w:tab w:val="left" w:pos="720"/>
          <w:tab w:val="left" w:pos="1440"/>
        </w:tabs>
        <w:rPr>
          <w:rFonts w:cs="Times New Roman"/>
          <w:bCs/>
          <w:szCs w:val="26"/>
        </w:rPr>
      </w:pPr>
      <w:r w:rsidRPr="00F1714B">
        <w:rPr>
          <w:rFonts w:cs="Times New Roman"/>
          <w:bCs/>
          <w:szCs w:val="26"/>
        </w:rPr>
        <w:tab/>
      </w:r>
      <w:r w:rsidR="00A01EB2" w:rsidRPr="00F1714B">
        <w:rPr>
          <w:rFonts w:cs="Times New Roman"/>
          <w:bCs/>
          <w:szCs w:val="26"/>
        </w:rPr>
        <w:t xml:space="preserve">Section 63.63 deals with transmission requirements and standards for jurisdictional local exchange carriers.  </w:t>
      </w:r>
      <w:r w:rsidRPr="00F1714B">
        <w:rPr>
          <w:rFonts w:cs="Times New Roman"/>
          <w:bCs/>
          <w:szCs w:val="26"/>
        </w:rPr>
        <w:t>As stated above, i</w:t>
      </w:r>
      <w:r w:rsidR="00A01EB2" w:rsidRPr="00F1714B">
        <w:rPr>
          <w:rFonts w:cs="Times New Roman"/>
          <w:bCs/>
          <w:szCs w:val="26"/>
        </w:rPr>
        <w:t xml:space="preserve">n </w:t>
      </w:r>
      <w:r w:rsidRPr="00F1714B">
        <w:rPr>
          <w:rFonts w:cs="Times New Roman"/>
          <w:bCs/>
          <w:szCs w:val="26"/>
        </w:rPr>
        <w:t xml:space="preserve">our </w:t>
      </w:r>
      <w:r w:rsidR="00A01EB2" w:rsidRPr="00F1714B">
        <w:rPr>
          <w:rFonts w:cs="Times New Roman"/>
          <w:bCs/>
          <w:i/>
          <w:iCs/>
          <w:szCs w:val="26"/>
        </w:rPr>
        <w:t>NPRM Order</w:t>
      </w:r>
      <w:r w:rsidR="00A01EB2" w:rsidRPr="00F1714B">
        <w:rPr>
          <w:rFonts w:cs="Times New Roman"/>
          <w:bCs/>
          <w:szCs w:val="26"/>
        </w:rPr>
        <w:t xml:space="preserve">, we </w:t>
      </w:r>
      <w:r w:rsidRPr="00F1714B">
        <w:rPr>
          <w:rFonts w:cs="Times New Roman"/>
          <w:bCs/>
          <w:szCs w:val="26"/>
        </w:rPr>
        <w:t xml:space="preserve">had </w:t>
      </w:r>
      <w:r w:rsidR="00A01EB2" w:rsidRPr="00F1714B">
        <w:rPr>
          <w:rFonts w:cs="Times New Roman"/>
          <w:bCs/>
          <w:szCs w:val="26"/>
        </w:rPr>
        <w:t>proposed to retain and revise Section 63.63 of our regulations, which as revised would impose certain reliability requirements like requiring telephone service to be provided at adequate volume levels and free of excessive interference, distortion, noise and cross talk</w:t>
      </w:r>
      <w:r w:rsidR="00F64261">
        <w:rPr>
          <w:rFonts w:cs="Times New Roman"/>
          <w:bCs/>
          <w:szCs w:val="26"/>
        </w:rPr>
        <w:t>.</w:t>
      </w:r>
      <w:r w:rsidR="00A01EB2" w:rsidRPr="00F1714B">
        <w:rPr>
          <w:rFonts w:cs="Times New Roman"/>
          <w:bCs/>
          <w:szCs w:val="26"/>
        </w:rPr>
        <w:t xml:space="preserve"> </w:t>
      </w:r>
    </w:p>
    <w:p w14:paraId="1EF22381" w14:textId="77777777" w:rsidR="00A01EB2" w:rsidRPr="00F1714B" w:rsidRDefault="00A01EB2" w:rsidP="00A01EB2">
      <w:pPr>
        <w:tabs>
          <w:tab w:val="left" w:pos="720"/>
          <w:tab w:val="left" w:pos="1440"/>
        </w:tabs>
        <w:rPr>
          <w:rFonts w:cs="Times New Roman"/>
          <w:bCs/>
          <w:szCs w:val="26"/>
        </w:rPr>
      </w:pPr>
    </w:p>
    <w:p w14:paraId="4A48BF90" w14:textId="37C91D01" w:rsidR="00A01EB2" w:rsidRPr="00F1714B" w:rsidRDefault="00A01EB2" w:rsidP="00A01EB2">
      <w:pPr>
        <w:tabs>
          <w:tab w:val="left" w:pos="720"/>
          <w:tab w:val="left" w:pos="1440"/>
        </w:tabs>
        <w:rPr>
          <w:rFonts w:cs="Times New Roman"/>
          <w:bCs/>
          <w:szCs w:val="26"/>
        </w:rPr>
      </w:pPr>
      <w:r w:rsidRPr="00F1714B">
        <w:rPr>
          <w:rFonts w:cs="Times New Roman"/>
          <w:bCs/>
          <w:szCs w:val="26"/>
        </w:rPr>
        <w:tab/>
        <w:t xml:space="preserve">Upon further review, we </w:t>
      </w:r>
      <w:r w:rsidR="000A3481" w:rsidRPr="00F1714B">
        <w:rPr>
          <w:rFonts w:cs="Times New Roman"/>
          <w:bCs/>
          <w:szCs w:val="26"/>
        </w:rPr>
        <w:t xml:space="preserve">have decided to rescind </w:t>
      </w:r>
      <w:r w:rsidRPr="00F1714B">
        <w:rPr>
          <w:rFonts w:cs="Times New Roman"/>
          <w:bCs/>
          <w:szCs w:val="26"/>
        </w:rPr>
        <w:t>Section 63.63 from our regulations.  In today’s competitive market, carriers are incentivized to provide reliable service.  If not, they will lose customers.  Moreover, Code Section 1501 provides regulatory coverage for any failures in this regard, as failing to provide service that is free from distortion, noise and cross talk is a potential violation of Section 1501.  We note that rescission is consistent with Verizon’s comments that this regulation can be eliminated because Section 1501 is sufficient to ensure service of “good quality.”  Verizon Comments at 22.</w:t>
      </w:r>
    </w:p>
    <w:p w14:paraId="63E9DDE3" w14:textId="77777777" w:rsidR="00A01EB2" w:rsidRPr="00F1714B" w:rsidRDefault="00A01EB2" w:rsidP="00A01EB2">
      <w:pPr>
        <w:tabs>
          <w:tab w:val="left" w:pos="720"/>
          <w:tab w:val="left" w:pos="1440"/>
        </w:tabs>
        <w:rPr>
          <w:rFonts w:cs="Times New Roman"/>
          <w:bCs/>
          <w:szCs w:val="26"/>
        </w:rPr>
      </w:pPr>
    </w:p>
    <w:p w14:paraId="1DF240DB" w14:textId="0F2E12E5" w:rsidR="00A01EB2" w:rsidRDefault="00A01EB2" w:rsidP="00A01EB2">
      <w:pPr>
        <w:tabs>
          <w:tab w:val="left" w:pos="720"/>
          <w:tab w:val="left" w:pos="1440"/>
        </w:tabs>
        <w:rPr>
          <w:rFonts w:cs="Times New Roman"/>
          <w:bCs/>
          <w:szCs w:val="26"/>
        </w:rPr>
      </w:pPr>
      <w:r w:rsidRPr="00F1714B">
        <w:rPr>
          <w:rFonts w:cs="Times New Roman"/>
          <w:bCs/>
          <w:szCs w:val="26"/>
        </w:rPr>
        <w:tab/>
        <w:t xml:space="preserve">Also, in the </w:t>
      </w:r>
      <w:r w:rsidRPr="00F1714B">
        <w:rPr>
          <w:rFonts w:cs="Times New Roman"/>
          <w:bCs/>
          <w:i/>
          <w:iCs/>
          <w:szCs w:val="26"/>
        </w:rPr>
        <w:t>NPRM Order</w:t>
      </w:r>
      <w:r w:rsidRPr="00F1714B">
        <w:rPr>
          <w:rFonts w:cs="Times New Roman"/>
          <w:bCs/>
          <w:szCs w:val="26"/>
        </w:rPr>
        <w:t xml:space="preserve"> </w:t>
      </w:r>
      <w:r w:rsidR="000A3481" w:rsidRPr="00F1714B">
        <w:rPr>
          <w:rFonts w:cs="Times New Roman"/>
          <w:bCs/>
          <w:szCs w:val="26"/>
        </w:rPr>
        <w:t xml:space="preserve">we had </w:t>
      </w:r>
      <w:r w:rsidRPr="00F1714B">
        <w:rPr>
          <w:rFonts w:cs="Times New Roman"/>
          <w:bCs/>
          <w:szCs w:val="26"/>
        </w:rPr>
        <w:t xml:space="preserve">proposed to eliminate Section 63.12 addressing interference as a standalone regulation and </w:t>
      </w:r>
      <w:r w:rsidR="000A3481" w:rsidRPr="00F1714B">
        <w:rPr>
          <w:rFonts w:cs="Times New Roman"/>
          <w:bCs/>
          <w:szCs w:val="26"/>
        </w:rPr>
        <w:t xml:space="preserve">incorporate it subject matter </w:t>
      </w:r>
      <w:r w:rsidRPr="00F1714B">
        <w:rPr>
          <w:rFonts w:cs="Times New Roman"/>
          <w:bCs/>
          <w:szCs w:val="26"/>
        </w:rPr>
        <w:t xml:space="preserve">of interference in Section 63.63 of our regulations.  Verizon essentially is advocating for the entire </w:t>
      </w:r>
      <w:r w:rsidRPr="00F1714B">
        <w:rPr>
          <w:rFonts w:cs="Times New Roman"/>
          <w:bCs/>
          <w:szCs w:val="26"/>
        </w:rPr>
        <w:lastRenderedPageBreak/>
        <w:t>elimination of the interference standard set forth in Chapter 63 because of its belief that it is no longer necessary.  Verizon asserts that Section 1501 of the Code is sufficient to require regulated service to be of good quality without the need to state such in a rule.  Verizon further asserts that if providers do not meet the level of service that customers expect, then customers will abandon them for a competitor.  We agree with Verizon and see no need to address interference specifically in a regulation.  Rather, interference issues can be addressed adequately under Section 1501, as the statutory “reasonable service” obligation includes the obligation to provide service that is free from interference.</w:t>
      </w:r>
      <w:r w:rsidR="00BD1D4C" w:rsidRPr="00F1714B">
        <w:rPr>
          <w:rFonts w:cs="Times New Roman"/>
          <w:bCs/>
          <w:szCs w:val="26"/>
        </w:rPr>
        <w:t xml:space="preserve">  Accordingly, we rescind Section 63.63 from Chapter 63 of our regulations in the in final-form regulation.</w:t>
      </w:r>
    </w:p>
    <w:p w14:paraId="75978479" w14:textId="77777777" w:rsidR="00F64261" w:rsidRPr="00F1714B" w:rsidRDefault="00F64261" w:rsidP="00A01EB2">
      <w:pPr>
        <w:tabs>
          <w:tab w:val="left" w:pos="720"/>
          <w:tab w:val="left" w:pos="1440"/>
        </w:tabs>
        <w:rPr>
          <w:rFonts w:cs="Times New Roman"/>
          <w:bCs/>
          <w:szCs w:val="26"/>
        </w:rPr>
      </w:pPr>
    </w:p>
    <w:p w14:paraId="1E7FFFA6" w14:textId="4AD52E3B" w:rsidR="00A01EB2" w:rsidRPr="00F1714B" w:rsidRDefault="00A01EB2" w:rsidP="001F641B">
      <w:pPr>
        <w:tabs>
          <w:tab w:val="left" w:pos="720"/>
          <w:tab w:val="left" w:pos="1440"/>
        </w:tabs>
        <w:rPr>
          <w:rFonts w:cs="Times New Roman"/>
          <w:b/>
          <w:bCs/>
          <w:szCs w:val="26"/>
        </w:rPr>
      </w:pPr>
      <w:r w:rsidRPr="00F1714B">
        <w:rPr>
          <w:rFonts w:cs="Times New Roman"/>
          <w:b/>
          <w:bCs/>
          <w:szCs w:val="26"/>
        </w:rPr>
        <w:tab/>
      </w:r>
      <w:r w:rsidRPr="00F1714B">
        <w:rPr>
          <w:rFonts w:cs="Times New Roman"/>
          <w:b/>
          <w:bCs/>
          <w:szCs w:val="26"/>
        </w:rPr>
        <w:tab/>
        <w:t>10.</w:t>
      </w:r>
      <w:r w:rsidRPr="00F1714B">
        <w:rPr>
          <w:rFonts w:cs="Times New Roman"/>
          <w:b/>
          <w:bCs/>
          <w:szCs w:val="26"/>
        </w:rPr>
        <w:tab/>
        <w:t>52 Pa. Code § 63.64 (Metering inspections and tests)</w:t>
      </w:r>
    </w:p>
    <w:p w14:paraId="4E40C6EB" w14:textId="4DCF3750" w:rsidR="001B3461" w:rsidRPr="00F1714B" w:rsidRDefault="00A01EB2" w:rsidP="00E55426">
      <w:pPr>
        <w:tabs>
          <w:tab w:val="left" w:pos="720"/>
          <w:tab w:val="left" w:pos="1440"/>
        </w:tabs>
        <w:rPr>
          <w:rFonts w:cs="Times New Roman"/>
          <w:bCs/>
          <w:szCs w:val="26"/>
        </w:rPr>
      </w:pPr>
      <w:r w:rsidRPr="00F1714B">
        <w:rPr>
          <w:rFonts w:cs="Times New Roman"/>
          <w:bCs/>
          <w:szCs w:val="26"/>
        </w:rPr>
        <w:tab/>
      </w:r>
      <w:r w:rsidR="001B3461" w:rsidRPr="00F1714B">
        <w:rPr>
          <w:rFonts w:cs="Times New Roman"/>
          <w:bCs/>
          <w:szCs w:val="26"/>
        </w:rPr>
        <w:t>Sections 63.64(a) and (b) of our regulations impose obligations on telecommunications utilities to carry out periodic tests, inspections, and preventive maintenance, and to maintain and test the performance of equipment and facilities.  Sections 63.64(c) to (h) require the use of metering equipment for a variety of purposes</w:t>
      </w:r>
      <w:r w:rsidR="002B40CD" w:rsidRPr="00F1714B">
        <w:rPr>
          <w:rFonts w:cs="Times New Roman"/>
          <w:bCs/>
          <w:szCs w:val="26"/>
        </w:rPr>
        <w:t xml:space="preserve"> including, for example,</w:t>
      </w:r>
      <w:r w:rsidR="001B3461" w:rsidRPr="00F1714B">
        <w:rPr>
          <w:rFonts w:cs="Times New Roman"/>
          <w:bCs/>
          <w:szCs w:val="26"/>
        </w:rPr>
        <w:t xml:space="preserve"> the measurement of call duration for billing purposes.  This regulation was temporarily waived for the competitive wire centers of Verizon under our </w:t>
      </w:r>
      <w:r w:rsidR="001B3461" w:rsidRPr="00F1714B">
        <w:rPr>
          <w:rFonts w:cs="Times New Roman"/>
          <w:bCs/>
          <w:i/>
          <w:iCs/>
          <w:szCs w:val="26"/>
        </w:rPr>
        <w:t>Reclassification Order.</w:t>
      </w:r>
      <w:r w:rsidR="001B3461" w:rsidRPr="00F1714B">
        <w:rPr>
          <w:rFonts w:cs="Times New Roman"/>
          <w:bCs/>
          <w:szCs w:val="26"/>
        </w:rPr>
        <w:t xml:space="preserve">  </w:t>
      </w:r>
    </w:p>
    <w:p w14:paraId="2189CAC9" w14:textId="77777777" w:rsidR="006D623D" w:rsidRPr="00F1714B" w:rsidRDefault="006D623D" w:rsidP="00E55426">
      <w:pPr>
        <w:tabs>
          <w:tab w:val="left" w:pos="720"/>
          <w:tab w:val="left" w:pos="1440"/>
        </w:tabs>
        <w:rPr>
          <w:rFonts w:cs="Times New Roman"/>
          <w:bCs/>
          <w:szCs w:val="26"/>
        </w:rPr>
      </w:pPr>
    </w:p>
    <w:p w14:paraId="19BBDC12" w14:textId="50791C06" w:rsidR="001B3461" w:rsidRPr="00F1714B" w:rsidRDefault="001B3461" w:rsidP="00E55426">
      <w:pPr>
        <w:tabs>
          <w:tab w:val="left" w:pos="720"/>
          <w:tab w:val="left" w:pos="1440"/>
        </w:tabs>
        <w:rPr>
          <w:rFonts w:cs="Times New Roman"/>
          <w:bCs/>
          <w:szCs w:val="26"/>
        </w:rPr>
      </w:pPr>
      <w:r w:rsidRPr="00F1714B">
        <w:rPr>
          <w:rFonts w:cs="Times New Roman"/>
          <w:bCs/>
          <w:szCs w:val="26"/>
        </w:rPr>
        <w:tab/>
      </w:r>
      <w:r w:rsidR="003E4CA3" w:rsidRPr="00F1714B">
        <w:rPr>
          <w:rFonts w:cs="Times New Roman"/>
          <w:bCs/>
          <w:szCs w:val="26"/>
        </w:rPr>
        <w:t xml:space="preserve">In the </w:t>
      </w:r>
      <w:r w:rsidR="003E4CA3" w:rsidRPr="00F1714B">
        <w:rPr>
          <w:rFonts w:cs="Times New Roman"/>
          <w:bCs/>
          <w:i/>
          <w:iCs/>
          <w:szCs w:val="26"/>
        </w:rPr>
        <w:t>N</w:t>
      </w:r>
      <w:r w:rsidR="00E06E4B" w:rsidRPr="00F1714B">
        <w:rPr>
          <w:rFonts w:cs="Times New Roman"/>
          <w:bCs/>
          <w:i/>
          <w:iCs/>
          <w:szCs w:val="26"/>
        </w:rPr>
        <w:t xml:space="preserve">PRM </w:t>
      </w:r>
      <w:r w:rsidR="003E4CA3" w:rsidRPr="00F1714B">
        <w:rPr>
          <w:rFonts w:cs="Times New Roman"/>
          <w:bCs/>
          <w:i/>
          <w:iCs/>
          <w:szCs w:val="26"/>
        </w:rPr>
        <w:t>Order</w:t>
      </w:r>
      <w:r w:rsidR="003E4CA3" w:rsidRPr="00F1714B">
        <w:rPr>
          <w:rFonts w:cs="Times New Roman"/>
          <w:bCs/>
          <w:szCs w:val="26"/>
        </w:rPr>
        <w:t>, w</w:t>
      </w:r>
      <w:r w:rsidRPr="00F1714B">
        <w:rPr>
          <w:rFonts w:cs="Times New Roman"/>
          <w:bCs/>
          <w:szCs w:val="26"/>
        </w:rPr>
        <w:t>e determine</w:t>
      </w:r>
      <w:r w:rsidR="003E4CA3" w:rsidRPr="00F1714B">
        <w:rPr>
          <w:rFonts w:cs="Times New Roman"/>
          <w:bCs/>
          <w:szCs w:val="26"/>
        </w:rPr>
        <w:t xml:space="preserve">d </w:t>
      </w:r>
      <w:r w:rsidRPr="00F1714B">
        <w:rPr>
          <w:rFonts w:cs="Times New Roman"/>
          <w:bCs/>
          <w:szCs w:val="26"/>
        </w:rPr>
        <w:t xml:space="preserve">that matters such as periodic tests, inspections, and preventive maintenance as well as the performance testing of telecommunications network equipment and facilities should operate under standards that are uniformly applicable </w:t>
      </w:r>
      <w:r w:rsidR="0062526A" w:rsidRPr="00F1714B">
        <w:rPr>
          <w:rFonts w:cs="Times New Roman"/>
          <w:bCs/>
          <w:szCs w:val="26"/>
        </w:rPr>
        <w:t xml:space="preserve">to </w:t>
      </w:r>
      <w:r w:rsidR="00F0168A" w:rsidRPr="00F1714B">
        <w:rPr>
          <w:rFonts w:cs="Times New Roman"/>
          <w:bCs/>
          <w:szCs w:val="26"/>
        </w:rPr>
        <w:t xml:space="preserve">all </w:t>
      </w:r>
      <w:r w:rsidRPr="00F1714B">
        <w:rPr>
          <w:rFonts w:cs="Times New Roman"/>
          <w:bCs/>
          <w:szCs w:val="26"/>
        </w:rPr>
        <w:t xml:space="preserve">services.  </w:t>
      </w:r>
      <w:r w:rsidR="003E4CA3" w:rsidRPr="00F1714B">
        <w:rPr>
          <w:rFonts w:cs="Times New Roman"/>
          <w:bCs/>
          <w:szCs w:val="26"/>
        </w:rPr>
        <w:t>We noted that o</w:t>
      </w:r>
      <w:r w:rsidRPr="00F1714B">
        <w:rPr>
          <w:rFonts w:cs="Times New Roman"/>
          <w:bCs/>
          <w:szCs w:val="26"/>
        </w:rPr>
        <w:t>perational failures to perform preventive maintenance or adequate testing can and does lead to service outages that can also affect public health and safety, e.g., loss of 911/E911 emergency calling capabilities, or loss of the technical ability to route 911/E911 emergency call traffic to the appropriate public safety answering point</w:t>
      </w:r>
      <w:r w:rsidR="0062526A" w:rsidRPr="00F1714B">
        <w:rPr>
          <w:rFonts w:cs="Times New Roman"/>
          <w:bCs/>
          <w:szCs w:val="26"/>
        </w:rPr>
        <w:t>,</w:t>
      </w:r>
      <w:r w:rsidR="003E4CA3" w:rsidRPr="00F1714B">
        <w:rPr>
          <w:rFonts w:cs="Times New Roman"/>
          <w:bCs/>
          <w:szCs w:val="26"/>
        </w:rPr>
        <w:t xml:space="preserve"> and that s</w:t>
      </w:r>
      <w:r w:rsidRPr="00F1714B">
        <w:rPr>
          <w:rFonts w:cs="Times New Roman"/>
          <w:bCs/>
          <w:szCs w:val="26"/>
        </w:rPr>
        <w:t xml:space="preserve">uch service outages can easily and simultaneously affect the provision of </w:t>
      </w:r>
      <w:r w:rsidR="00A4121B" w:rsidRPr="00F1714B">
        <w:rPr>
          <w:rFonts w:cs="Times New Roman"/>
          <w:bCs/>
          <w:szCs w:val="26"/>
        </w:rPr>
        <w:t>all</w:t>
      </w:r>
      <w:r w:rsidRPr="00F1714B">
        <w:rPr>
          <w:rFonts w:cs="Times New Roman"/>
          <w:bCs/>
          <w:szCs w:val="26"/>
        </w:rPr>
        <w:t xml:space="preserve"> retail services.  </w:t>
      </w:r>
    </w:p>
    <w:p w14:paraId="7A8857DD" w14:textId="7E8B2298" w:rsidR="00AB3DEE" w:rsidRPr="00F1714B" w:rsidRDefault="001B3461" w:rsidP="00AB3DEE">
      <w:pPr>
        <w:ind w:firstLine="360"/>
        <w:rPr>
          <w:rFonts w:cs="Times New Roman"/>
          <w:bCs/>
          <w:color w:val="000000"/>
          <w:szCs w:val="26"/>
        </w:rPr>
      </w:pPr>
      <w:r w:rsidRPr="00F1714B">
        <w:rPr>
          <w:rFonts w:cs="Times New Roman"/>
          <w:bCs/>
          <w:szCs w:val="26"/>
        </w:rPr>
        <w:lastRenderedPageBreak/>
        <w:tab/>
      </w:r>
      <w:r w:rsidR="003E4CA3" w:rsidRPr="00F1714B">
        <w:rPr>
          <w:rFonts w:cs="Times New Roman"/>
          <w:bCs/>
          <w:szCs w:val="26"/>
        </w:rPr>
        <w:t>Nevertheless</w:t>
      </w:r>
      <w:r w:rsidR="00D03536" w:rsidRPr="00F1714B">
        <w:rPr>
          <w:rFonts w:cs="Times New Roman"/>
          <w:bCs/>
          <w:szCs w:val="26"/>
        </w:rPr>
        <w:t xml:space="preserve">, in the </w:t>
      </w:r>
      <w:r w:rsidR="00D03536" w:rsidRPr="00F1714B">
        <w:rPr>
          <w:rFonts w:cs="Times New Roman"/>
          <w:bCs/>
          <w:i/>
          <w:iCs/>
          <w:szCs w:val="26"/>
        </w:rPr>
        <w:t>N</w:t>
      </w:r>
      <w:r w:rsidR="00E06E4B" w:rsidRPr="00F1714B">
        <w:rPr>
          <w:rFonts w:cs="Times New Roman"/>
          <w:bCs/>
          <w:i/>
          <w:iCs/>
          <w:szCs w:val="26"/>
        </w:rPr>
        <w:t xml:space="preserve">PRM </w:t>
      </w:r>
      <w:r w:rsidR="00D03536" w:rsidRPr="00F1714B">
        <w:rPr>
          <w:rFonts w:cs="Times New Roman"/>
          <w:bCs/>
          <w:i/>
          <w:iCs/>
          <w:szCs w:val="26"/>
        </w:rPr>
        <w:t>Order</w:t>
      </w:r>
      <w:r w:rsidR="003E4CA3" w:rsidRPr="00F1714B">
        <w:rPr>
          <w:rFonts w:cs="Times New Roman"/>
          <w:bCs/>
          <w:szCs w:val="26"/>
        </w:rPr>
        <w:t xml:space="preserve">, </w:t>
      </w:r>
      <w:r w:rsidR="00AB3DEE" w:rsidRPr="00F1714B">
        <w:rPr>
          <w:rFonts w:cs="Times New Roman"/>
          <w:bCs/>
          <w:color w:val="000000"/>
          <w:szCs w:val="26"/>
        </w:rPr>
        <w:t xml:space="preserve">we proposed to retain Section 63.64(a) and to amend Section 63.64(b), both of which address testing, inspections, and preventive maintenance.  We also proposed to amend Sections 63.64(c), 63.64(e), and 63.64(f) and to rescind Sections 63.64(d), 63.64(g), and 63.64(h), all of which address metering.  </w:t>
      </w:r>
    </w:p>
    <w:p w14:paraId="69F7C0C4" w14:textId="1D5AA8B4" w:rsidR="001B3461" w:rsidRPr="00F1714B" w:rsidRDefault="001B3461" w:rsidP="00E55426">
      <w:pPr>
        <w:tabs>
          <w:tab w:val="left" w:pos="720"/>
          <w:tab w:val="left" w:pos="1440"/>
        </w:tabs>
        <w:rPr>
          <w:rFonts w:cs="Times New Roman"/>
          <w:szCs w:val="26"/>
        </w:rPr>
      </w:pPr>
    </w:p>
    <w:p w14:paraId="7F0F047A" w14:textId="348D8198" w:rsidR="00DB71CC" w:rsidRPr="00F1714B" w:rsidRDefault="00DB71CC" w:rsidP="00F64261">
      <w:pPr>
        <w:keepNext/>
        <w:keepLines/>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3AE14939" w14:textId="63D01420" w:rsidR="00F7737D" w:rsidRPr="00F1714B" w:rsidRDefault="0015748D" w:rsidP="00F64261">
      <w:pPr>
        <w:keepNext/>
        <w:keepLines/>
        <w:ind w:firstLine="720"/>
        <w:rPr>
          <w:rFonts w:cs="Times New Roman"/>
          <w:szCs w:val="26"/>
        </w:rPr>
      </w:pPr>
      <w:r w:rsidRPr="00F1714B">
        <w:rPr>
          <w:rFonts w:cs="Times New Roman"/>
          <w:szCs w:val="26"/>
        </w:rPr>
        <w:t xml:space="preserve">The </w:t>
      </w:r>
      <w:r w:rsidR="00F7737D" w:rsidRPr="00F1714B">
        <w:rPr>
          <w:rFonts w:cs="Times New Roman"/>
          <w:szCs w:val="26"/>
        </w:rPr>
        <w:t xml:space="preserve">OCA supports retaining this rule for all geographic areas. OCA Comments at 15. </w:t>
      </w:r>
      <w:r w:rsidR="002C21CF" w:rsidRPr="00F1714B">
        <w:rPr>
          <w:rFonts w:cs="Times New Roman"/>
          <w:szCs w:val="26"/>
        </w:rPr>
        <w:t xml:space="preserve"> </w:t>
      </w:r>
      <w:bookmarkStart w:id="51" w:name="_Hlk81435028"/>
      <w:r w:rsidR="002C21CF" w:rsidRPr="00F1714B">
        <w:rPr>
          <w:rFonts w:cs="Times New Roman"/>
          <w:szCs w:val="26"/>
        </w:rPr>
        <w:t xml:space="preserve">The </w:t>
      </w:r>
      <w:r w:rsidR="00F7737D" w:rsidRPr="00F1714B">
        <w:rPr>
          <w:rFonts w:cs="Times New Roman"/>
          <w:szCs w:val="26"/>
        </w:rPr>
        <w:t xml:space="preserve">OCA posits that the rule’s requirements “are needed to guard again[st] the potential for service outages which might affect public health and safety, such as the loss of 911/E911calling service and impact the provision of retail services.” </w:t>
      </w:r>
      <w:r w:rsidR="00C95335" w:rsidRPr="00F1714B">
        <w:rPr>
          <w:rFonts w:cs="Times New Roman"/>
          <w:szCs w:val="26"/>
        </w:rPr>
        <w:t xml:space="preserve"> </w:t>
      </w:r>
      <w:r w:rsidR="00F7737D" w:rsidRPr="00F1714B">
        <w:rPr>
          <w:rFonts w:cs="Times New Roman"/>
          <w:szCs w:val="26"/>
        </w:rPr>
        <w:t>OCA Comments at 16.</w:t>
      </w:r>
    </w:p>
    <w:bookmarkEnd w:id="51"/>
    <w:p w14:paraId="546BABDF" w14:textId="77777777" w:rsidR="00F7737D" w:rsidRPr="00F1714B" w:rsidRDefault="00F7737D" w:rsidP="001F641B">
      <w:pPr>
        <w:rPr>
          <w:rFonts w:cs="Times New Roman"/>
          <w:szCs w:val="26"/>
        </w:rPr>
      </w:pPr>
    </w:p>
    <w:p w14:paraId="7E2BBA45" w14:textId="6E90ACAA" w:rsidR="00DB71CC" w:rsidRPr="00F1714B" w:rsidRDefault="00F7737D" w:rsidP="001F641B">
      <w:pPr>
        <w:ind w:firstLine="720"/>
        <w:rPr>
          <w:rFonts w:cs="Times New Roman"/>
          <w:szCs w:val="26"/>
        </w:rPr>
      </w:pPr>
      <w:r w:rsidRPr="00F1714B">
        <w:rPr>
          <w:rFonts w:cs="Times New Roman"/>
          <w:szCs w:val="26"/>
        </w:rPr>
        <w:t>Verizon opposes the Commission’s proposed reinstatement and continuance of this rule because in Verizon’s view Section 1501 and competitive pressure would suffice to ensure customers receive “whatever inspections and maintenance are necessary to keep service at a level that meets customer expectations</w:t>
      </w:r>
      <w:r w:rsidR="0062526A" w:rsidRPr="00F1714B">
        <w:rPr>
          <w:rFonts w:cs="Times New Roman"/>
          <w:szCs w:val="26"/>
        </w:rPr>
        <w:t>[.]</w:t>
      </w:r>
      <w:r w:rsidRPr="00F1714B">
        <w:rPr>
          <w:rFonts w:cs="Times New Roman"/>
          <w:szCs w:val="26"/>
        </w:rPr>
        <w:t xml:space="preserve">” </w:t>
      </w:r>
      <w:r w:rsidR="00C95335" w:rsidRPr="00F1714B">
        <w:rPr>
          <w:rFonts w:cs="Times New Roman"/>
          <w:szCs w:val="26"/>
        </w:rPr>
        <w:t xml:space="preserve"> </w:t>
      </w:r>
      <w:r w:rsidRPr="00F1714B">
        <w:rPr>
          <w:rFonts w:cs="Times New Roman"/>
          <w:szCs w:val="26"/>
        </w:rPr>
        <w:t xml:space="preserve">Verizon Comments at 22. </w:t>
      </w:r>
      <w:r w:rsidR="00C95335" w:rsidRPr="00F1714B">
        <w:rPr>
          <w:rFonts w:cs="Times New Roman"/>
          <w:szCs w:val="26"/>
        </w:rPr>
        <w:t xml:space="preserve"> </w:t>
      </w:r>
      <w:r w:rsidRPr="00F1714B">
        <w:rPr>
          <w:rFonts w:cs="Times New Roman"/>
          <w:szCs w:val="26"/>
        </w:rPr>
        <w:t xml:space="preserve">Verizon proposes that the rule be eliminated. </w:t>
      </w:r>
      <w:r w:rsidR="00C95335" w:rsidRPr="00F1714B">
        <w:rPr>
          <w:rFonts w:cs="Times New Roman"/>
          <w:szCs w:val="26"/>
        </w:rPr>
        <w:t xml:space="preserve"> </w:t>
      </w:r>
      <w:r w:rsidRPr="00F1714B">
        <w:rPr>
          <w:rFonts w:cs="Times New Roman"/>
          <w:szCs w:val="26"/>
        </w:rPr>
        <w:t>Verizon Comments at 22.</w:t>
      </w:r>
    </w:p>
    <w:p w14:paraId="607C3F67" w14:textId="77777777" w:rsidR="000B7390" w:rsidRPr="00F1714B" w:rsidRDefault="000B7390" w:rsidP="001F641B">
      <w:pPr>
        <w:ind w:firstLine="720"/>
        <w:rPr>
          <w:rFonts w:cs="Times New Roman"/>
          <w:b/>
          <w:szCs w:val="26"/>
        </w:rPr>
      </w:pPr>
    </w:p>
    <w:p w14:paraId="2E1A7DF9" w14:textId="201DCF27" w:rsidR="00DB71CC" w:rsidRPr="00F1714B" w:rsidRDefault="00DB71CC" w:rsidP="001F641B">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t>b</w:t>
      </w:r>
      <w:r w:rsidR="00F8091F" w:rsidRPr="00F1714B">
        <w:rPr>
          <w:rFonts w:cs="Times New Roman"/>
          <w:b/>
          <w:szCs w:val="26"/>
        </w:rPr>
        <w:t>.</w:t>
      </w:r>
      <w:r w:rsidRPr="00F1714B">
        <w:rPr>
          <w:rFonts w:cs="Times New Roman"/>
          <w:b/>
          <w:szCs w:val="26"/>
        </w:rPr>
        <w:tab/>
        <w:t>Discussion</w:t>
      </w:r>
      <w:r w:rsidR="003562CA" w:rsidRPr="00F1714B">
        <w:rPr>
          <w:rFonts w:cs="Times New Roman"/>
          <w:b/>
          <w:szCs w:val="26"/>
        </w:rPr>
        <w:t xml:space="preserve"> and </w:t>
      </w:r>
      <w:r w:rsidRPr="00F1714B">
        <w:rPr>
          <w:rFonts w:cs="Times New Roman"/>
          <w:b/>
          <w:szCs w:val="26"/>
        </w:rPr>
        <w:t>Resolution</w:t>
      </w:r>
    </w:p>
    <w:p w14:paraId="3E7A5F66" w14:textId="582DA16E" w:rsidR="00363CC0" w:rsidRDefault="0077729B" w:rsidP="00E55426">
      <w:pPr>
        <w:tabs>
          <w:tab w:val="left" w:pos="720"/>
          <w:tab w:val="left" w:pos="1440"/>
        </w:tabs>
        <w:rPr>
          <w:rFonts w:cs="Times New Roman"/>
          <w:bCs/>
          <w:szCs w:val="26"/>
        </w:rPr>
      </w:pPr>
      <w:r w:rsidRPr="00F1714B">
        <w:rPr>
          <w:rFonts w:cs="Times New Roman"/>
          <w:szCs w:val="26"/>
        </w:rPr>
        <w:tab/>
      </w:r>
      <w:r w:rsidR="00A8247A" w:rsidRPr="00F1714B">
        <w:rPr>
          <w:rFonts w:cs="Times New Roman"/>
          <w:szCs w:val="26"/>
        </w:rPr>
        <w:t xml:space="preserve">Section 63.64 addresses two main subject matters: (1) </w:t>
      </w:r>
      <w:r w:rsidR="00825FA2" w:rsidRPr="00F1714B">
        <w:rPr>
          <w:rFonts w:cs="Times New Roman"/>
          <w:szCs w:val="26"/>
        </w:rPr>
        <w:t xml:space="preserve">systems, tests, inspections, and preventative maintenance </w:t>
      </w:r>
      <w:r w:rsidR="00A8247A" w:rsidRPr="00F1714B">
        <w:rPr>
          <w:rFonts w:cs="Times New Roman"/>
          <w:szCs w:val="26"/>
        </w:rPr>
        <w:t>and (2) meter inspections and testing.  We will stay the</w:t>
      </w:r>
      <w:r w:rsidR="00A8247A" w:rsidRPr="00F1714B">
        <w:rPr>
          <w:rFonts w:cs="Times New Roman"/>
          <w:color w:val="000000"/>
          <w:szCs w:val="26"/>
        </w:rPr>
        <w:t xml:space="preserve"> course and adopt our proposed amendments to Sections 63.64(c), 63.64(e), and 63.64(f)</w:t>
      </w:r>
      <w:r w:rsidR="00A8247A" w:rsidRPr="00F1714B">
        <w:rPr>
          <w:rFonts w:cs="Times New Roman"/>
          <w:szCs w:val="26"/>
        </w:rPr>
        <w:t xml:space="preserve"> and rescind</w:t>
      </w:r>
      <w:r w:rsidR="00A8247A" w:rsidRPr="00F1714B">
        <w:rPr>
          <w:rFonts w:cs="Times New Roman"/>
          <w:color w:val="000000"/>
          <w:szCs w:val="26"/>
        </w:rPr>
        <w:t xml:space="preserve"> Sections 63.64(d), 63.64(g), and 63.64(h) addressing metering.  Upon </w:t>
      </w:r>
      <w:r w:rsidR="00123571" w:rsidRPr="00F1714B">
        <w:rPr>
          <w:rFonts w:cs="Times New Roman"/>
          <w:color w:val="000000"/>
          <w:szCs w:val="26"/>
        </w:rPr>
        <w:t>further review</w:t>
      </w:r>
      <w:r w:rsidR="00A8247A" w:rsidRPr="00F1714B">
        <w:rPr>
          <w:rFonts w:cs="Times New Roman"/>
          <w:color w:val="000000"/>
          <w:szCs w:val="26"/>
        </w:rPr>
        <w:t xml:space="preserve">, however, </w:t>
      </w:r>
      <w:r w:rsidR="00825FA2" w:rsidRPr="00F1714B">
        <w:rPr>
          <w:rFonts w:cs="Times New Roman"/>
          <w:color w:val="000000"/>
          <w:szCs w:val="26"/>
        </w:rPr>
        <w:t xml:space="preserve">we </w:t>
      </w:r>
      <w:r w:rsidR="00B31148" w:rsidRPr="00F1714B">
        <w:rPr>
          <w:rFonts w:cs="Times New Roman"/>
          <w:color w:val="000000"/>
          <w:szCs w:val="26"/>
        </w:rPr>
        <w:t xml:space="preserve">will </w:t>
      </w:r>
      <w:r w:rsidR="00A8247A" w:rsidRPr="00F1714B">
        <w:rPr>
          <w:rFonts w:cs="Times New Roman"/>
          <w:color w:val="000000"/>
          <w:szCs w:val="26"/>
        </w:rPr>
        <w:t xml:space="preserve">rescind Sections </w:t>
      </w:r>
      <w:r w:rsidR="00A8247A" w:rsidRPr="00F1714B">
        <w:rPr>
          <w:rFonts w:cs="Times New Roman"/>
          <w:bCs/>
          <w:szCs w:val="26"/>
        </w:rPr>
        <w:t>63.64(a) and (b) as no longer necessary</w:t>
      </w:r>
      <w:r w:rsidR="00656B45" w:rsidRPr="00F1714B">
        <w:rPr>
          <w:rFonts w:cs="Times New Roman"/>
          <w:bCs/>
          <w:szCs w:val="26"/>
        </w:rPr>
        <w:t xml:space="preserve"> i</w:t>
      </w:r>
      <w:r w:rsidR="00B31148" w:rsidRPr="00F1714B">
        <w:rPr>
          <w:rFonts w:cs="Times New Roman"/>
          <w:bCs/>
          <w:szCs w:val="26"/>
        </w:rPr>
        <w:t>n today’s competitive environment</w:t>
      </w:r>
      <w:r w:rsidR="00656B45" w:rsidRPr="00F1714B">
        <w:rPr>
          <w:rFonts w:cs="Times New Roman"/>
          <w:bCs/>
          <w:szCs w:val="26"/>
        </w:rPr>
        <w:t>.  W</w:t>
      </w:r>
      <w:r w:rsidR="002555A8" w:rsidRPr="00F1714B">
        <w:rPr>
          <w:rFonts w:cs="Times New Roman"/>
          <w:bCs/>
          <w:szCs w:val="26"/>
        </w:rPr>
        <w:t xml:space="preserve">e </w:t>
      </w:r>
      <w:r w:rsidR="00656B45" w:rsidRPr="00F1714B">
        <w:rPr>
          <w:rFonts w:cs="Times New Roman"/>
          <w:bCs/>
          <w:szCs w:val="26"/>
        </w:rPr>
        <w:t>no longer</w:t>
      </w:r>
      <w:r w:rsidR="002555A8" w:rsidRPr="00F1714B">
        <w:rPr>
          <w:rFonts w:cs="Times New Roman"/>
          <w:bCs/>
          <w:szCs w:val="26"/>
        </w:rPr>
        <w:t xml:space="preserve"> </w:t>
      </w:r>
      <w:r w:rsidR="00C67CD4" w:rsidRPr="00F1714B">
        <w:rPr>
          <w:rFonts w:cs="Times New Roman"/>
          <w:bCs/>
          <w:szCs w:val="26"/>
        </w:rPr>
        <w:t xml:space="preserve">see a </w:t>
      </w:r>
      <w:r w:rsidR="001E4A66" w:rsidRPr="00F1714B">
        <w:rPr>
          <w:rFonts w:cs="Times New Roman"/>
          <w:bCs/>
          <w:szCs w:val="26"/>
        </w:rPr>
        <w:t xml:space="preserve">need </w:t>
      </w:r>
      <w:r w:rsidR="00C67CD4" w:rsidRPr="00F1714B">
        <w:rPr>
          <w:rFonts w:cs="Times New Roman"/>
          <w:bCs/>
          <w:szCs w:val="26"/>
        </w:rPr>
        <w:t xml:space="preserve">for </w:t>
      </w:r>
      <w:r w:rsidR="001E4A66" w:rsidRPr="00F1714B">
        <w:rPr>
          <w:rFonts w:cs="Times New Roman"/>
          <w:bCs/>
          <w:szCs w:val="26"/>
        </w:rPr>
        <w:t xml:space="preserve">specific </w:t>
      </w:r>
      <w:r w:rsidR="00B31148" w:rsidRPr="00F1714B">
        <w:rPr>
          <w:rFonts w:cs="Times New Roman"/>
          <w:bCs/>
          <w:szCs w:val="26"/>
        </w:rPr>
        <w:t xml:space="preserve">testing/inspection/preventative </w:t>
      </w:r>
      <w:r w:rsidR="00FC2AEA" w:rsidRPr="00F1714B">
        <w:rPr>
          <w:rFonts w:cs="Times New Roman"/>
          <w:bCs/>
          <w:szCs w:val="26"/>
        </w:rPr>
        <w:t>maintenance</w:t>
      </w:r>
      <w:r w:rsidR="00B31148" w:rsidRPr="00F1714B">
        <w:rPr>
          <w:rFonts w:cs="Times New Roman"/>
          <w:bCs/>
          <w:szCs w:val="26"/>
        </w:rPr>
        <w:t xml:space="preserve"> standards</w:t>
      </w:r>
      <w:r w:rsidR="00FC2AEA" w:rsidRPr="00F1714B">
        <w:rPr>
          <w:rFonts w:cs="Times New Roman"/>
          <w:bCs/>
          <w:szCs w:val="26"/>
        </w:rPr>
        <w:t xml:space="preserve"> </w:t>
      </w:r>
      <w:r w:rsidR="002D5EF2" w:rsidRPr="00F1714B">
        <w:rPr>
          <w:rFonts w:cs="Times New Roman"/>
          <w:bCs/>
          <w:szCs w:val="26"/>
        </w:rPr>
        <w:t xml:space="preserve">to be included </w:t>
      </w:r>
      <w:r w:rsidR="001E4A66" w:rsidRPr="00F1714B">
        <w:rPr>
          <w:rFonts w:cs="Times New Roman"/>
          <w:bCs/>
          <w:szCs w:val="26"/>
        </w:rPr>
        <w:t>in a regulation</w:t>
      </w:r>
      <w:r w:rsidR="00FC2AEA" w:rsidRPr="00F1714B">
        <w:rPr>
          <w:rFonts w:cs="Times New Roman"/>
          <w:bCs/>
          <w:szCs w:val="26"/>
        </w:rPr>
        <w:t xml:space="preserve">.  </w:t>
      </w:r>
      <w:r w:rsidRPr="00F1714B">
        <w:rPr>
          <w:rFonts w:cs="Times New Roman"/>
          <w:szCs w:val="26"/>
        </w:rPr>
        <w:t>Verizon’s conten</w:t>
      </w:r>
      <w:r w:rsidR="00363CC0" w:rsidRPr="00F1714B">
        <w:rPr>
          <w:rFonts w:cs="Times New Roman"/>
          <w:szCs w:val="26"/>
        </w:rPr>
        <w:t xml:space="preserve">ds </w:t>
      </w:r>
      <w:r w:rsidRPr="00F1714B">
        <w:rPr>
          <w:rFonts w:cs="Times New Roman"/>
          <w:szCs w:val="26"/>
        </w:rPr>
        <w:t xml:space="preserve">that </w:t>
      </w:r>
      <w:r w:rsidR="00A123FF" w:rsidRPr="00F1714B">
        <w:rPr>
          <w:rFonts w:cs="Times New Roman"/>
          <w:szCs w:val="26"/>
        </w:rPr>
        <w:t xml:space="preserve">Section 1501 and </w:t>
      </w:r>
      <w:r w:rsidRPr="00F1714B">
        <w:rPr>
          <w:rFonts w:cs="Times New Roman"/>
          <w:szCs w:val="26"/>
        </w:rPr>
        <w:t xml:space="preserve">competitive pressure </w:t>
      </w:r>
      <w:r w:rsidR="00A123FF" w:rsidRPr="00F1714B">
        <w:rPr>
          <w:rFonts w:cs="Times New Roman"/>
          <w:szCs w:val="26"/>
        </w:rPr>
        <w:t>are</w:t>
      </w:r>
      <w:r w:rsidRPr="00F1714B">
        <w:rPr>
          <w:rFonts w:cs="Times New Roman"/>
          <w:szCs w:val="26"/>
        </w:rPr>
        <w:t xml:space="preserve"> sufficient to require regulated providers to conduct inspections and maintenance necessary to keep service at a level that meets customer expectations without the need to state this in a rule.  </w:t>
      </w:r>
      <w:r w:rsidR="00363CC0" w:rsidRPr="00F1714B">
        <w:rPr>
          <w:rFonts w:cs="Times New Roman"/>
          <w:szCs w:val="26"/>
        </w:rPr>
        <w:t>We agree.</w:t>
      </w:r>
      <w:r w:rsidR="000B7100" w:rsidRPr="00F1714B">
        <w:rPr>
          <w:rFonts w:cs="Times New Roman"/>
          <w:szCs w:val="26"/>
        </w:rPr>
        <w:t xml:space="preserve">  </w:t>
      </w:r>
      <w:r w:rsidR="00363CC0" w:rsidRPr="00F1714B">
        <w:rPr>
          <w:rFonts w:cs="Times New Roman"/>
          <w:szCs w:val="26"/>
        </w:rPr>
        <w:lastRenderedPageBreak/>
        <w:t>Section 1501 mandates that a jurisdictional LEC “furnish and maintain adequate, efficient, safe and reasonable service</w:t>
      </w:r>
      <w:r w:rsidR="0062526A" w:rsidRPr="00F1714B">
        <w:rPr>
          <w:rFonts w:cs="Times New Roman"/>
          <w:szCs w:val="26"/>
        </w:rPr>
        <w:t>[.]</w:t>
      </w:r>
      <w:r w:rsidR="00363CC0" w:rsidRPr="00F1714B">
        <w:rPr>
          <w:rFonts w:cs="Times New Roman"/>
          <w:szCs w:val="26"/>
        </w:rPr>
        <w:t xml:space="preserve">”  </w:t>
      </w:r>
      <w:r w:rsidR="00635256" w:rsidRPr="00F1714B">
        <w:rPr>
          <w:rFonts w:cs="Times New Roman"/>
          <w:szCs w:val="26"/>
        </w:rPr>
        <w:t xml:space="preserve">66 Pa.C.S. § 1501. </w:t>
      </w:r>
      <w:r w:rsidR="00363CC0" w:rsidRPr="00F1714B">
        <w:rPr>
          <w:rFonts w:cs="Times New Roman"/>
          <w:szCs w:val="26"/>
        </w:rPr>
        <w:t xml:space="preserve"> </w:t>
      </w:r>
      <w:r w:rsidR="000B7100" w:rsidRPr="00F1714B">
        <w:rPr>
          <w:rFonts w:cs="Times New Roman"/>
          <w:szCs w:val="26"/>
        </w:rPr>
        <w:t>Thus, w</w:t>
      </w:r>
      <w:r w:rsidR="00363CC0" w:rsidRPr="00F1714B">
        <w:rPr>
          <w:rFonts w:cs="Times New Roman"/>
          <w:bCs/>
          <w:szCs w:val="26"/>
        </w:rPr>
        <w:t xml:space="preserve">e need not rely on competition </w:t>
      </w:r>
      <w:r w:rsidR="00074EBA" w:rsidRPr="00F1714B">
        <w:rPr>
          <w:rFonts w:cs="Times New Roman"/>
          <w:bCs/>
          <w:szCs w:val="26"/>
        </w:rPr>
        <w:t>alone</w:t>
      </w:r>
      <w:r w:rsidR="00363CC0" w:rsidRPr="00F1714B">
        <w:rPr>
          <w:rFonts w:cs="Times New Roman"/>
          <w:bCs/>
          <w:szCs w:val="26"/>
        </w:rPr>
        <w:t xml:space="preserve"> to compel a LEC to </w:t>
      </w:r>
      <w:r w:rsidR="002B615E" w:rsidRPr="00F1714B">
        <w:rPr>
          <w:rFonts w:cs="Times New Roman"/>
          <w:bCs/>
          <w:szCs w:val="26"/>
        </w:rPr>
        <w:t>perform</w:t>
      </w:r>
      <w:r w:rsidR="00074EBA" w:rsidRPr="00F1714B">
        <w:rPr>
          <w:rFonts w:cs="Times New Roman"/>
          <w:bCs/>
          <w:szCs w:val="26"/>
        </w:rPr>
        <w:t xml:space="preserve"> whatever system tests, inspections and preventative maintenance </w:t>
      </w:r>
      <w:r w:rsidR="00C73941" w:rsidRPr="00F1714B">
        <w:rPr>
          <w:rFonts w:cs="Times New Roman"/>
          <w:bCs/>
          <w:szCs w:val="26"/>
        </w:rPr>
        <w:t>are</w:t>
      </w:r>
      <w:r w:rsidR="00074EBA" w:rsidRPr="00F1714B">
        <w:rPr>
          <w:rFonts w:cs="Times New Roman"/>
          <w:bCs/>
          <w:szCs w:val="26"/>
        </w:rPr>
        <w:t xml:space="preserve"> necessary to </w:t>
      </w:r>
      <w:r w:rsidR="00FC178A" w:rsidRPr="00F1714B">
        <w:rPr>
          <w:rFonts w:cs="Times New Roman"/>
          <w:bCs/>
          <w:szCs w:val="26"/>
        </w:rPr>
        <w:t>maintain</w:t>
      </w:r>
      <w:r w:rsidR="00074EBA" w:rsidRPr="00F1714B">
        <w:rPr>
          <w:rFonts w:cs="Times New Roman"/>
          <w:bCs/>
          <w:szCs w:val="26"/>
        </w:rPr>
        <w:t xml:space="preserve"> service</w:t>
      </w:r>
      <w:r w:rsidR="00F767C3" w:rsidRPr="00F1714B">
        <w:rPr>
          <w:rFonts w:cs="Times New Roman"/>
          <w:bCs/>
          <w:szCs w:val="26"/>
        </w:rPr>
        <w:t xml:space="preserve"> that is reliable and meets consumer expectations</w:t>
      </w:r>
      <w:r w:rsidR="00074EBA" w:rsidRPr="00F1714B">
        <w:rPr>
          <w:rFonts w:cs="Times New Roman"/>
          <w:bCs/>
          <w:szCs w:val="26"/>
        </w:rPr>
        <w:t>.</w:t>
      </w:r>
      <w:r w:rsidR="00363CC0" w:rsidRPr="00F1714B">
        <w:rPr>
          <w:rFonts w:cs="Times New Roman"/>
          <w:bCs/>
          <w:szCs w:val="26"/>
        </w:rPr>
        <w:t xml:space="preserve">  </w:t>
      </w:r>
    </w:p>
    <w:p w14:paraId="6996DD23" w14:textId="77777777" w:rsidR="00712CD8" w:rsidRPr="00F1714B" w:rsidRDefault="00712CD8" w:rsidP="00E55426">
      <w:pPr>
        <w:tabs>
          <w:tab w:val="left" w:pos="720"/>
          <w:tab w:val="left" w:pos="1440"/>
        </w:tabs>
        <w:rPr>
          <w:rFonts w:cs="Times New Roman"/>
          <w:szCs w:val="26"/>
        </w:rPr>
      </w:pPr>
    </w:p>
    <w:p w14:paraId="60AAFF69" w14:textId="0583CEDE" w:rsidR="001B3461" w:rsidRPr="00F1714B" w:rsidRDefault="001B3461" w:rsidP="001F641B">
      <w:pPr>
        <w:keepNext/>
        <w:keepLines/>
        <w:ind w:left="720" w:firstLine="720"/>
        <w:rPr>
          <w:rFonts w:cs="Times New Roman"/>
          <w:b/>
          <w:bCs/>
          <w:szCs w:val="26"/>
        </w:rPr>
      </w:pPr>
      <w:r w:rsidRPr="00F1714B">
        <w:rPr>
          <w:rFonts w:cs="Times New Roman"/>
          <w:b/>
          <w:bCs/>
          <w:szCs w:val="26"/>
        </w:rPr>
        <w:t>1</w:t>
      </w:r>
      <w:r w:rsidR="00AB3DEE" w:rsidRPr="00F1714B">
        <w:rPr>
          <w:rFonts w:cs="Times New Roman"/>
          <w:b/>
          <w:bCs/>
          <w:szCs w:val="26"/>
        </w:rPr>
        <w:t>1</w:t>
      </w:r>
      <w:r w:rsidRPr="00F1714B">
        <w:rPr>
          <w:rFonts w:cs="Times New Roman"/>
          <w:b/>
          <w:bCs/>
          <w:szCs w:val="26"/>
        </w:rPr>
        <w:t>.</w:t>
      </w:r>
      <w:r w:rsidRPr="00F1714B">
        <w:rPr>
          <w:rFonts w:cs="Times New Roman"/>
          <w:b/>
          <w:bCs/>
          <w:szCs w:val="26"/>
        </w:rPr>
        <w:tab/>
        <w:t>52 Pa. Code § 63.65 (Safety)</w:t>
      </w:r>
    </w:p>
    <w:p w14:paraId="37B9BE69" w14:textId="44CAA635" w:rsidR="00394475" w:rsidRPr="00F1714B" w:rsidRDefault="001B3461" w:rsidP="001F641B">
      <w:pPr>
        <w:ind w:firstLine="360"/>
        <w:contextualSpacing/>
        <w:rPr>
          <w:rFonts w:cs="Times New Roman"/>
          <w:bCs/>
          <w:szCs w:val="26"/>
        </w:rPr>
      </w:pPr>
      <w:r w:rsidRPr="00F1714B">
        <w:rPr>
          <w:rFonts w:cs="Times New Roman"/>
          <w:bCs/>
          <w:szCs w:val="26"/>
        </w:rPr>
        <w:tab/>
        <w:t xml:space="preserve">In the </w:t>
      </w:r>
      <w:r w:rsidRPr="00F1714B">
        <w:rPr>
          <w:rFonts w:cs="Times New Roman"/>
          <w:bCs/>
          <w:i/>
          <w:szCs w:val="26"/>
        </w:rPr>
        <w:t>Reclassification Order</w:t>
      </w:r>
      <w:r w:rsidRPr="00F1714B">
        <w:rPr>
          <w:rFonts w:cs="Times New Roman"/>
          <w:bCs/>
          <w:szCs w:val="26"/>
        </w:rPr>
        <w:t xml:space="preserve">, we recognized that the CWA and the International Brotherhood of Electrical Workers (IBEW, collectively CWA – IBEW) sought retention of Section 63.65 (Safety) </w:t>
      </w:r>
      <w:r w:rsidR="00F006B8" w:rsidRPr="00F1714B">
        <w:rPr>
          <w:rFonts w:cs="Times New Roman"/>
          <w:bCs/>
          <w:szCs w:val="26"/>
        </w:rPr>
        <w:t xml:space="preserve">but </w:t>
      </w:r>
      <w:r w:rsidRPr="00F1714B">
        <w:rPr>
          <w:rFonts w:cs="Times New Roman"/>
          <w:bCs/>
          <w:szCs w:val="26"/>
        </w:rPr>
        <w:t>we concluded instead that workplace safety is adequately regulated at the federal level.</w:t>
      </w:r>
      <w:r w:rsidR="005C6CDE" w:rsidRPr="00F1714B">
        <w:rPr>
          <w:rStyle w:val="FootnoteReference"/>
          <w:rFonts w:cs="Times New Roman"/>
          <w:bCs/>
          <w:szCs w:val="26"/>
        </w:rPr>
        <w:footnoteReference w:id="73"/>
      </w:r>
      <w:r w:rsidRPr="00F1714B">
        <w:rPr>
          <w:rFonts w:cs="Times New Roman"/>
          <w:bCs/>
          <w:szCs w:val="26"/>
        </w:rPr>
        <w:t xml:space="preserve">  In temporarily waiving </w:t>
      </w:r>
      <w:r w:rsidR="009770E6" w:rsidRPr="00F1714B">
        <w:rPr>
          <w:rFonts w:cs="Times New Roman"/>
          <w:bCs/>
          <w:szCs w:val="26"/>
        </w:rPr>
        <w:t xml:space="preserve">this </w:t>
      </w:r>
      <w:r w:rsidRPr="00F1714B">
        <w:rPr>
          <w:rFonts w:cs="Times New Roman"/>
          <w:bCs/>
          <w:szCs w:val="26"/>
        </w:rPr>
        <w:t xml:space="preserve"> regulation for Verizon, we noted that this provision is enforced by other agencies, but at the same time, violations of FCC and/or OSHA workplace safety regulations are also subject to our jurisdiction and require compliance with Section 1501 of the Code.  </w:t>
      </w:r>
    </w:p>
    <w:p w14:paraId="535C6BEC" w14:textId="77777777" w:rsidR="00394475" w:rsidRPr="00F1714B" w:rsidRDefault="00394475" w:rsidP="001F641B">
      <w:pPr>
        <w:ind w:firstLine="360"/>
        <w:contextualSpacing/>
        <w:rPr>
          <w:rFonts w:cs="Times New Roman"/>
          <w:bCs/>
          <w:szCs w:val="26"/>
        </w:rPr>
      </w:pPr>
    </w:p>
    <w:p w14:paraId="59CB5709" w14:textId="74CDFE5C" w:rsidR="00547C73" w:rsidRPr="00F1714B" w:rsidRDefault="001B3461" w:rsidP="001F641B">
      <w:pPr>
        <w:ind w:firstLine="720"/>
        <w:contextualSpacing/>
        <w:rPr>
          <w:rFonts w:cs="Times New Roman"/>
          <w:color w:val="000000"/>
          <w:szCs w:val="26"/>
        </w:rPr>
      </w:pPr>
      <w:r w:rsidRPr="00F1714B">
        <w:rPr>
          <w:rFonts w:cs="Times New Roman"/>
          <w:bCs/>
          <w:szCs w:val="26"/>
        </w:rPr>
        <w:t xml:space="preserve">Consequently, </w:t>
      </w:r>
      <w:r w:rsidR="00394475" w:rsidRPr="00F1714B">
        <w:rPr>
          <w:rFonts w:cs="Times New Roman"/>
          <w:bCs/>
          <w:szCs w:val="26"/>
        </w:rPr>
        <w:t xml:space="preserve">in the </w:t>
      </w:r>
      <w:r w:rsidR="00394475" w:rsidRPr="00F1714B">
        <w:rPr>
          <w:rFonts w:cs="Times New Roman"/>
          <w:bCs/>
          <w:i/>
          <w:iCs/>
          <w:szCs w:val="26"/>
        </w:rPr>
        <w:t>N</w:t>
      </w:r>
      <w:r w:rsidR="00E06E4B" w:rsidRPr="00F1714B">
        <w:rPr>
          <w:rFonts w:cs="Times New Roman"/>
          <w:bCs/>
          <w:i/>
          <w:iCs/>
          <w:szCs w:val="26"/>
        </w:rPr>
        <w:t xml:space="preserve">PRM </w:t>
      </w:r>
      <w:r w:rsidR="00394475" w:rsidRPr="00F1714B">
        <w:rPr>
          <w:rFonts w:cs="Times New Roman"/>
          <w:bCs/>
          <w:i/>
          <w:iCs/>
          <w:szCs w:val="26"/>
        </w:rPr>
        <w:t>Order</w:t>
      </w:r>
      <w:r w:rsidR="00394475" w:rsidRPr="00F1714B">
        <w:rPr>
          <w:rFonts w:cs="Times New Roman"/>
          <w:bCs/>
          <w:szCs w:val="26"/>
        </w:rPr>
        <w:t xml:space="preserve">, </w:t>
      </w:r>
      <w:r w:rsidRPr="00F1714B">
        <w:rPr>
          <w:rFonts w:cs="Times New Roman"/>
          <w:bCs/>
          <w:szCs w:val="26"/>
        </w:rPr>
        <w:t>we propose</w:t>
      </w:r>
      <w:r w:rsidR="009770E6" w:rsidRPr="00F1714B">
        <w:rPr>
          <w:rFonts w:cs="Times New Roman"/>
          <w:bCs/>
          <w:szCs w:val="26"/>
        </w:rPr>
        <w:t>d</w:t>
      </w:r>
      <w:r w:rsidRPr="00F1714B">
        <w:rPr>
          <w:rFonts w:cs="Times New Roman"/>
          <w:bCs/>
          <w:szCs w:val="26"/>
        </w:rPr>
        <w:t xml:space="preserve"> the permanent rescission of Section 63.65</w:t>
      </w:r>
      <w:r w:rsidR="00B25D46" w:rsidRPr="00F1714B">
        <w:rPr>
          <w:rFonts w:cs="Times New Roman"/>
          <w:bCs/>
          <w:szCs w:val="26"/>
        </w:rPr>
        <w:t>(1) to 63.65(4)</w:t>
      </w:r>
      <w:r w:rsidRPr="00F1714B">
        <w:rPr>
          <w:rFonts w:cs="Times New Roman"/>
          <w:bCs/>
          <w:szCs w:val="26"/>
        </w:rPr>
        <w:t>.</w:t>
      </w:r>
      <w:r w:rsidR="00B25D46" w:rsidRPr="00F1714B">
        <w:rPr>
          <w:rFonts w:cs="Times New Roman"/>
          <w:bCs/>
          <w:szCs w:val="26"/>
        </w:rPr>
        <w:t xml:space="preserve">  </w:t>
      </w:r>
      <w:r w:rsidR="00B25D46" w:rsidRPr="00F1714B">
        <w:rPr>
          <w:rFonts w:cs="Times New Roman"/>
          <w:color w:val="000000"/>
          <w:szCs w:val="26"/>
        </w:rPr>
        <w:t xml:space="preserve">However, we </w:t>
      </w:r>
      <w:r w:rsidR="00394475" w:rsidRPr="00F1714B">
        <w:rPr>
          <w:rFonts w:cs="Times New Roman"/>
          <w:color w:val="000000"/>
          <w:szCs w:val="26"/>
        </w:rPr>
        <w:t xml:space="preserve">also </w:t>
      </w:r>
      <w:r w:rsidR="00B25D46" w:rsidRPr="00F1714B">
        <w:rPr>
          <w:rFonts w:cs="Times New Roman"/>
          <w:color w:val="000000"/>
          <w:szCs w:val="26"/>
        </w:rPr>
        <w:t>propose</w:t>
      </w:r>
      <w:r w:rsidR="00394475" w:rsidRPr="00F1714B">
        <w:rPr>
          <w:rFonts w:cs="Times New Roman"/>
          <w:color w:val="000000"/>
          <w:szCs w:val="26"/>
        </w:rPr>
        <w:t xml:space="preserve">d </w:t>
      </w:r>
      <w:r w:rsidR="00B25D46" w:rsidRPr="00F1714B">
        <w:rPr>
          <w:rFonts w:cs="Times New Roman"/>
          <w:color w:val="000000"/>
          <w:szCs w:val="26"/>
        </w:rPr>
        <w:t>to retain the first part of this section, which requires telecommunications public utilities to adopt and implement a safety program fitted to their size in conformance with Occupational Safety Health Act standards, which we propose be amended to add the words “as amended from time to time” or an equivalent.</w:t>
      </w:r>
      <w:r w:rsidR="00797F11" w:rsidRPr="00F1714B">
        <w:rPr>
          <w:rFonts w:cs="Times New Roman"/>
          <w:color w:val="000000"/>
          <w:szCs w:val="26"/>
        </w:rPr>
        <w:t xml:space="preserve">  </w:t>
      </w:r>
    </w:p>
    <w:p w14:paraId="1B956FD0" w14:textId="77777777" w:rsidR="003A59A5" w:rsidRPr="00F1714B" w:rsidRDefault="003A59A5" w:rsidP="001F641B">
      <w:pPr>
        <w:rPr>
          <w:rFonts w:cs="Times New Roman"/>
          <w:b/>
          <w:szCs w:val="26"/>
        </w:rPr>
      </w:pPr>
    </w:p>
    <w:p w14:paraId="06315DB9" w14:textId="3284614C" w:rsidR="00D74F0B" w:rsidRPr="00F1714B" w:rsidRDefault="00D74F0B" w:rsidP="001F641B">
      <w:pPr>
        <w:keepNext/>
        <w:keepLines/>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4289BF9D" w14:textId="0E6CD3F7" w:rsidR="00912247" w:rsidRDefault="004A471E" w:rsidP="0064484F">
      <w:pPr>
        <w:ind w:firstLine="720"/>
        <w:rPr>
          <w:rFonts w:cs="Times New Roman"/>
          <w:szCs w:val="26"/>
        </w:rPr>
      </w:pPr>
      <w:r w:rsidRPr="00F1714B">
        <w:rPr>
          <w:rFonts w:cs="Times New Roman"/>
          <w:szCs w:val="26"/>
        </w:rPr>
        <w:t xml:space="preserve">The </w:t>
      </w:r>
      <w:r w:rsidR="00912247" w:rsidRPr="00F1714B">
        <w:rPr>
          <w:rFonts w:cs="Times New Roman"/>
          <w:szCs w:val="26"/>
        </w:rPr>
        <w:t>OCA supports retaining “the first part” of this, to ensure that public utilities implement a safety plan that conforms to OSHA standards, as updated. OCA Comments at 16.</w:t>
      </w:r>
    </w:p>
    <w:p w14:paraId="000C6B3F" w14:textId="77777777" w:rsidR="00505365" w:rsidRPr="00F1714B" w:rsidRDefault="00505365" w:rsidP="0064484F">
      <w:pPr>
        <w:ind w:firstLine="720"/>
        <w:rPr>
          <w:rFonts w:cs="Times New Roman"/>
          <w:szCs w:val="26"/>
        </w:rPr>
      </w:pPr>
    </w:p>
    <w:p w14:paraId="295D96DA" w14:textId="40D6EBBD" w:rsidR="00D74F0B" w:rsidRPr="00F1714B" w:rsidRDefault="00D74F0B" w:rsidP="001F641B">
      <w:pPr>
        <w:rPr>
          <w:rFonts w:cs="Times New Roman"/>
          <w:b/>
          <w:szCs w:val="26"/>
        </w:rPr>
      </w:pPr>
      <w:r w:rsidRPr="00F1714B">
        <w:rPr>
          <w:rFonts w:cs="Times New Roman"/>
          <w:b/>
          <w:szCs w:val="26"/>
        </w:rPr>
        <w:lastRenderedPageBreak/>
        <w:tab/>
      </w:r>
      <w:r w:rsidRPr="00F1714B">
        <w:rPr>
          <w:rFonts w:cs="Times New Roman"/>
          <w:b/>
          <w:szCs w:val="26"/>
        </w:rPr>
        <w:tab/>
      </w:r>
      <w:r w:rsidRPr="00F1714B">
        <w:rPr>
          <w:rFonts w:cs="Times New Roman"/>
          <w:b/>
          <w:szCs w:val="26"/>
        </w:rPr>
        <w:tab/>
        <w:t>b</w:t>
      </w:r>
      <w:r w:rsidR="003562CA" w:rsidRPr="00F1714B">
        <w:rPr>
          <w:rFonts w:cs="Times New Roman"/>
          <w:b/>
          <w:szCs w:val="26"/>
        </w:rPr>
        <w:t>.</w:t>
      </w:r>
      <w:r w:rsidRPr="00F1714B">
        <w:rPr>
          <w:rFonts w:cs="Times New Roman"/>
          <w:b/>
          <w:szCs w:val="26"/>
        </w:rPr>
        <w:tab/>
        <w:t>Discussion</w:t>
      </w:r>
      <w:r w:rsidR="003562CA" w:rsidRPr="00F1714B">
        <w:rPr>
          <w:rFonts w:cs="Times New Roman"/>
          <w:b/>
          <w:szCs w:val="26"/>
        </w:rPr>
        <w:t xml:space="preserve"> and Resolution</w:t>
      </w:r>
    </w:p>
    <w:p w14:paraId="69C7A5F9" w14:textId="3F1AB801" w:rsidR="005B6057" w:rsidRPr="00F1714B" w:rsidRDefault="005B6057" w:rsidP="001F641B">
      <w:pPr>
        <w:ind w:firstLine="720"/>
        <w:contextualSpacing/>
        <w:rPr>
          <w:rFonts w:cs="Times New Roman"/>
          <w:color w:val="000000"/>
          <w:szCs w:val="26"/>
        </w:rPr>
      </w:pPr>
      <w:r w:rsidRPr="00F1714B">
        <w:rPr>
          <w:rFonts w:cs="Times New Roman"/>
          <w:color w:val="000000"/>
          <w:szCs w:val="26"/>
        </w:rPr>
        <w:t xml:space="preserve">Since no party has filed any adverse comments regarding our proposal </w:t>
      </w:r>
      <w:r w:rsidR="00096647" w:rsidRPr="00F1714B">
        <w:rPr>
          <w:rFonts w:cs="Times New Roman"/>
          <w:color w:val="000000"/>
          <w:szCs w:val="26"/>
        </w:rPr>
        <w:t xml:space="preserve">for </w:t>
      </w:r>
      <w:r w:rsidR="006F310F" w:rsidRPr="00F1714B">
        <w:rPr>
          <w:rFonts w:cs="Times New Roman"/>
          <w:color w:val="000000"/>
          <w:szCs w:val="26"/>
        </w:rPr>
        <w:t xml:space="preserve">this rule, </w:t>
      </w:r>
      <w:r w:rsidRPr="00F1714B">
        <w:rPr>
          <w:rFonts w:cs="Times New Roman"/>
          <w:color w:val="000000"/>
          <w:szCs w:val="26"/>
        </w:rPr>
        <w:t xml:space="preserve">we will incorporate </w:t>
      </w:r>
      <w:r w:rsidR="006F310F" w:rsidRPr="00F1714B">
        <w:rPr>
          <w:rFonts w:cs="Times New Roman"/>
          <w:color w:val="000000"/>
          <w:szCs w:val="26"/>
        </w:rPr>
        <w:t xml:space="preserve">our proposed Sections 63.65 in </w:t>
      </w:r>
      <w:r w:rsidRPr="00F1714B">
        <w:rPr>
          <w:rFonts w:cs="Times New Roman"/>
          <w:color w:val="000000"/>
          <w:szCs w:val="26"/>
        </w:rPr>
        <w:t>the final-form regulation set forth in the Annex.</w:t>
      </w:r>
    </w:p>
    <w:p w14:paraId="163FA781" w14:textId="77777777" w:rsidR="005343EC" w:rsidRPr="00F1714B" w:rsidRDefault="005343EC" w:rsidP="001F641B">
      <w:pPr>
        <w:ind w:firstLine="720"/>
        <w:contextualSpacing/>
        <w:rPr>
          <w:rFonts w:cs="Times New Roman"/>
          <w:color w:val="000000"/>
          <w:szCs w:val="26"/>
        </w:rPr>
      </w:pPr>
    </w:p>
    <w:p w14:paraId="0B791774" w14:textId="7652E93F" w:rsidR="001B3461" w:rsidRPr="00F1714B" w:rsidRDefault="0032160D" w:rsidP="00505365">
      <w:pPr>
        <w:keepNext/>
        <w:keepLines/>
        <w:ind w:firstLine="720"/>
        <w:rPr>
          <w:rFonts w:cs="Times New Roman"/>
          <w:b/>
          <w:bCs/>
          <w:szCs w:val="26"/>
        </w:rPr>
      </w:pPr>
      <w:r w:rsidRPr="00F1714B">
        <w:rPr>
          <w:rFonts w:cs="Times New Roman"/>
          <w:b/>
          <w:bCs/>
          <w:szCs w:val="26"/>
        </w:rPr>
        <w:t>F.</w:t>
      </w:r>
      <w:r w:rsidRPr="00F1714B">
        <w:rPr>
          <w:rFonts w:cs="Times New Roman"/>
          <w:b/>
          <w:bCs/>
          <w:szCs w:val="26"/>
        </w:rPr>
        <w:tab/>
      </w:r>
      <w:r w:rsidR="001B3461" w:rsidRPr="00F1714B">
        <w:rPr>
          <w:rFonts w:cs="Times New Roman"/>
          <w:b/>
          <w:bCs/>
          <w:szCs w:val="26"/>
        </w:rPr>
        <w:t>Subchapter F (Extended Area Service) – 52 Pa. Code §§ 63.71—63.77</w:t>
      </w:r>
    </w:p>
    <w:p w14:paraId="40357397" w14:textId="47E6F3AE" w:rsidR="0032160D" w:rsidRPr="00F1714B" w:rsidRDefault="0032160D" w:rsidP="00505365">
      <w:pPr>
        <w:pStyle w:val="ListParagraph"/>
        <w:keepNext/>
        <w:keepLines/>
        <w:ind w:left="0" w:firstLine="720"/>
        <w:rPr>
          <w:rFonts w:cs="Times New Roman"/>
          <w:szCs w:val="26"/>
        </w:rPr>
      </w:pPr>
      <w:r w:rsidRPr="00F1714B">
        <w:rPr>
          <w:rFonts w:cs="Times New Roman"/>
          <w:szCs w:val="26"/>
        </w:rPr>
        <w:t xml:space="preserve">We specifically and temporarily waived the following Subchapter F (Extended Area Service) regulations for Verizon under our </w:t>
      </w:r>
      <w:r w:rsidRPr="00F1714B">
        <w:rPr>
          <w:rFonts w:cs="Times New Roman"/>
          <w:i/>
          <w:iCs/>
          <w:szCs w:val="26"/>
        </w:rPr>
        <w:t>Reclassification Order</w:t>
      </w:r>
      <w:r w:rsidR="00F006B8" w:rsidRPr="00F1714B">
        <w:rPr>
          <w:rFonts w:cs="Times New Roman"/>
          <w:szCs w:val="26"/>
        </w:rPr>
        <w:t>:</w:t>
      </w:r>
      <w:r w:rsidRPr="00F1714B">
        <w:rPr>
          <w:rStyle w:val="FootnoteReference"/>
          <w:rFonts w:cs="Times New Roman"/>
          <w:szCs w:val="26"/>
        </w:rPr>
        <w:footnoteReference w:id="74"/>
      </w:r>
      <w:r w:rsidRPr="00F1714B">
        <w:rPr>
          <w:rFonts w:cs="Times New Roman"/>
          <w:szCs w:val="26"/>
        </w:rPr>
        <w:t xml:space="preserve"> </w:t>
      </w:r>
    </w:p>
    <w:p w14:paraId="5DA038B4" w14:textId="77777777" w:rsidR="0032160D" w:rsidRPr="00F1714B" w:rsidRDefault="0032160D" w:rsidP="005A3FF9">
      <w:pPr>
        <w:pStyle w:val="ListParagraph"/>
        <w:spacing w:line="240" w:lineRule="auto"/>
        <w:ind w:left="0" w:firstLine="720"/>
        <w:rPr>
          <w:rFonts w:cs="Times New Roman"/>
          <w:szCs w:val="26"/>
        </w:rPr>
      </w:pPr>
    </w:p>
    <w:p w14:paraId="66AC2ADA"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Section 63.71 (Definitions</w:t>
      </w:r>
      <w:proofErr w:type="gramStart"/>
      <w:r w:rsidRPr="00F1714B">
        <w:rPr>
          <w:rFonts w:cs="Times New Roman"/>
          <w:szCs w:val="26"/>
        </w:rPr>
        <w:t>);</w:t>
      </w:r>
      <w:proofErr w:type="gramEnd"/>
      <w:r w:rsidRPr="00F1714B">
        <w:rPr>
          <w:rFonts w:cs="Times New Roman"/>
          <w:szCs w:val="26"/>
        </w:rPr>
        <w:t xml:space="preserve"> </w:t>
      </w:r>
    </w:p>
    <w:p w14:paraId="75F4E8C0"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63.72 (Traffic usage studies); </w:t>
      </w:r>
    </w:p>
    <w:p w14:paraId="4F91FBBE"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63.72(a) (InterLATA traffic studies); </w:t>
      </w:r>
    </w:p>
    <w:p w14:paraId="2E739ABD"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63.73 (Optional calling plans); </w:t>
      </w:r>
    </w:p>
    <w:p w14:paraId="24042206"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63.74 (EAS polls); </w:t>
      </w:r>
    </w:p>
    <w:p w14:paraId="4D9A0018"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63.75 (Subscriber polls); </w:t>
      </w:r>
    </w:p>
    <w:p w14:paraId="2802703D"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63.76 (EAS complaints); </w:t>
      </w:r>
    </w:p>
    <w:p w14:paraId="00988DA2" w14:textId="77777777" w:rsidR="0032160D" w:rsidRPr="00F1714B" w:rsidRDefault="0032160D" w:rsidP="005A3FF9">
      <w:pPr>
        <w:pStyle w:val="ListParagraph"/>
        <w:spacing w:line="240" w:lineRule="auto"/>
        <w:ind w:left="0" w:firstLine="720"/>
        <w:rPr>
          <w:rFonts w:cs="Times New Roman"/>
          <w:szCs w:val="26"/>
        </w:rPr>
      </w:pPr>
      <w:r w:rsidRPr="00F1714B">
        <w:rPr>
          <w:rFonts w:cs="Times New Roman"/>
          <w:szCs w:val="26"/>
        </w:rPr>
        <w:t xml:space="preserve">Section 63.77 (Evaluation criteria).  </w:t>
      </w:r>
    </w:p>
    <w:p w14:paraId="4259B920" w14:textId="235718F8" w:rsidR="0032160D" w:rsidRPr="00F1714B" w:rsidRDefault="0032160D" w:rsidP="005A3FF9">
      <w:pPr>
        <w:spacing w:line="240" w:lineRule="auto"/>
        <w:ind w:firstLine="720"/>
        <w:rPr>
          <w:rFonts w:cs="Times New Roman"/>
          <w:b/>
          <w:bCs/>
          <w:szCs w:val="26"/>
        </w:rPr>
      </w:pPr>
    </w:p>
    <w:p w14:paraId="1706ED6A" w14:textId="430FD75D" w:rsidR="0032160D" w:rsidRPr="00F1714B" w:rsidRDefault="0032160D" w:rsidP="005A3FF9">
      <w:pPr>
        <w:pStyle w:val="ListParagraph"/>
        <w:ind w:left="0" w:firstLine="720"/>
        <w:rPr>
          <w:rFonts w:cs="Times New Roman"/>
          <w:szCs w:val="26"/>
        </w:rPr>
      </w:pPr>
      <w:r w:rsidRPr="00F1714B">
        <w:rPr>
          <w:rFonts w:cs="Times New Roman"/>
          <w:szCs w:val="26"/>
        </w:rPr>
        <w:t xml:space="preserve">In the </w:t>
      </w:r>
      <w:r w:rsidRPr="00F1714B">
        <w:rPr>
          <w:rFonts w:cs="Times New Roman"/>
          <w:i/>
          <w:iCs/>
          <w:szCs w:val="26"/>
        </w:rPr>
        <w:t>N</w:t>
      </w:r>
      <w:r w:rsidR="00E06E4B" w:rsidRPr="00F1714B">
        <w:rPr>
          <w:rFonts w:cs="Times New Roman"/>
          <w:i/>
          <w:iCs/>
          <w:szCs w:val="26"/>
        </w:rPr>
        <w:t xml:space="preserve">PRM </w:t>
      </w:r>
      <w:r w:rsidRPr="00F1714B">
        <w:rPr>
          <w:rFonts w:cs="Times New Roman"/>
          <w:i/>
          <w:iCs/>
          <w:szCs w:val="26"/>
        </w:rPr>
        <w:t>Order</w:t>
      </w:r>
      <w:r w:rsidRPr="00F1714B">
        <w:rPr>
          <w:rFonts w:cs="Times New Roman"/>
          <w:szCs w:val="26"/>
        </w:rPr>
        <w:t>, we determined that these regulations were outdated and no longer purposeful or relevant in today’s regulatory environment.  Accordingly, we proposed to rescind Subchapter F regulations in their entirety.</w:t>
      </w:r>
    </w:p>
    <w:p w14:paraId="1640713E" w14:textId="77777777" w:rsidR="002A6C32" w:rsidRPr="00F1714B" w:rsidRDefault="002A6C32" w:rsidP="005A3FF9">
      <w:pPr>
        <w:pStyle w:val="ListParagraph"/>
        <w:ind w:left="0" w:firstLine="720"/>
        <w:rPr>
          <w:rFonts w:cs="Times New Roman"/>
          <w:szCs w:val="26"/>
        </w:rPr>
      </w:pPr>
    </w:p>
    <w:p w14:paraId="4D83872A" w14:textId="2436FB0E" w:rsidR="00F80ECC" w:rsidRPr="00F1714B" w:rsidRDefault="00F80ECC" w:rsidP="00505365">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49E52A67" w14:textId="510FE2A2" w:rsidR="00F80ECC" w:rsidRPr="00F1714B" w:rsidRDefault="003562CA" w:rsidP="00606A67">
      <w:pPr>
        <w:rPr>
          <w:rFonts w:cs="Times New Roman"/>
          <w:bCs/>
          <w:szCs w:val="26"/>
        </w:rPr>
      </w:pPr>
      <w:r w:rsidRPr="00F1714B">
        <w:rPr>
          <w:rFonts w:cs="Times New Roman"/>
          <w:b/>
          <w:szCs w:val="26"/>
        </w:rPr>
        <w:tab/>
      </w:r>
      <w:r w:rsidRPr="00F1714B">
        <w:rPr>
          <w:rFonts w:cs="Times New Roman"/>
          <w:bCs/>
          <w:szCs w:val="26"/>
        </w:rPr>
        <w:t>No party has filed comment or replies regarding the Commission’s proposed modification to these rules.</w:t>
      </w:r>
    </w:p>
    <w:p w14:paraId="6976525E" w14:textId="77777777" w:rsidR="00F006B8" w:rsidRPr="00F1714B" w:rsidRDefault="00F006B8" w:rsidP="00606A67">
      <w:pPr>
        <w:rPr>
          <w:rFonts w:cs="Times New Roman"/>
          <w:bCs/>
          <w:szCs w:val="26"/>
        </w:rPr>
      </w:pPr>
    </w:p>
    <w:p w14:paraId="2B2DE4C1" w14:textId="2185296F" w:rsidR="00F80ECC" w:rsidRPr="00F1714B" w:rsidRDefault="00F80ECC" w:rsidP="00505365">
      <w:pPr>
        <w:keepNext/>
        <w:keepLines/>
        <w:rPr>
          <w:rFonts w:cs="Times New Roman"/>
          <w:b/>
          <w:szCs w:val="26"/>
        </w:rPr>
      </w:pPr>
      <w:r w:rsidRPr="00F1714B">
        <w:rPr>
          <w:rFonts w:cs="Times New Roman"/>
          <w:b/>
          <w:szCs w:val="26"/>
        </w:rPr>
        <w:lastRenderedPageBreak/>
        <w:tab/>
      </w:r>
      <w:r w:rsidRPr="00F1714B">
        <w:rPr>
          <w:rFonts w:cs="Times New Roman"/>
          <w:b/>
          <w:szCs w:val="26"/>
        </w:rPr>
        <w:tab/>
      </w:r>
      <w:r w:rsidRPr="00F1714B">
        <w:rPr>
          <w:rFonts w:cs="Times New Roman"/>
          <w:b/>
          <w:szCs w:val="26"/>
        </w:rPr>
        <w:tab/>
        <w:t>b</w:t>
      </w:r>
      <w:r w:rsidR="00021188" w:rsidRPr="00F1714B">
        <w:rPr>
          <w:rFonts w:cs="Times New Roman"/>
          <w:b/>
          <w:szCs w:val="26"/>
        </w:rPr>
        <w:t>.</w:t>
      </w:r>
      <w:r w:rsidRPr="00F1714B">
        <w:rPr>
          <w:rFonts w:cs="Times New Roman"/>
          <w:b/>
          <w:szCs w:val="26"/>
        </w:rPr>
        <w:tab/>
        <w:t>Discussion</w:t>
      </w:r>
      <w:r w:rsidR="003562CA" w:rsidRPr="00F1714B">
        <w:rPr>
          <w:rFonts w:cs="Times New Roman"/>
          <w:b/>
          <w:szCs w:val="26"/>
        </w:rPr>
        <w:t xml:space="preserve"> and </w:t>
      </w:r>
      <w:r w:rsidRPr="00F1714B">
        <w:rPr>
          <w:rFonts w:cs="Times New Roman"/>
          <w:b/>
          <w:szCs w:val="26"/>
        </w:rPr>
        <w:t>Resolution</w:t>
      </w:r>
    </w:p>
    <w:p w14:paraId="15E2F594" w14:textId="1AFB3CCD" w:rsidR="00AD5150" w:rsidRPr="00F1714B" w:rsidRDefault="00AD5150" w:rsidP="005A3FF9">
      <w:pPr>
        <w:keepNext/>
        <w:keepLines/>
        <w:tabs>
          <w:tab w:val="left" w:pos="720"/>
          <w:tab w:val="left" w:pos="1440"/>
        </w:tabs>
        <w:rPr>
          <w:rFonts w:cs="Times New Roman"/>
          <w:szCs w:val="26"/>
        </w:rPr>
      </w:pPr>
      <w:r w:rsidRPr="00F1714B">
        <w:rPr>
          <w:rFonts w:cs="Times New Roman"/>
          <w:szCs w:val="26"/>
        </w:rPr>
        <w:tab/>
        <w:t>Since no party has filed any adverse comments regarding on our proposed recission on these regulations</w:t>
      </w:r>
      <w:r w:rsidR="00C10711" w:rsidRPr="00F1714B">
        <w:rPr>
          <w:rFonts w:cs="Times New Roman"/>
          <w:szCs w:val="26"/>
        </w:rPr>
        <w:t xml:space="preserve">, we will adopt our proposal to permanently rescind Subchapter F from Chapter 63 of Title 52 of the Pa. Code.  Accordingly, the permanent rescission of Subchapter F will be reflected in the final-form regulation set forth in </w:t>
      </w:r>
      <w:r w:rsidRPr="00F1714B">
        <w:rPr>
          <w:rFonts w:cs="Times New Roman"/>
          <w:szCs w:val="26"/>
        </w:rPr>
        <w:t>the Annex</w:t>
      </w:r>
      <w:r w:rsidR="00C10711" w:rsidRPr="00F1714B">
        <w:rPr>
          <w:rFonts w:cs="Times New Roman"/>
          <w:szCs w:val="26"/>
        </w:rPr>
        <w:t>.</w:t>
      </w:r>
    </w:p>
    <w:p w14:paraId="2EB668FC" w14:textId="77777777" w:rsidR="00F80ECC" w:rsidRPr="00F1714B" w:rsidRDefault="00F80ECC" w:rsidP="00A17DF7">
      <w:pPr>
        <w:ind w:firstLine="720"/>
        <w:rPr>
          <w:rFonts w:cs="Times New Roman"/>
          <w:b/>
          <w:bCs/>
          <w:szCs w:val="26"/>
        </w:rPr>
      </w:pPr>
    </w:p>
    <w:p w14:paraId="7DC4D0BC" w14:textId="3BC2795B" w:rsidR="0032160D" w:rsidRPr="00F1714B" w:rsidRDefault="0032160D" w:rsidP="00505365">
      <w:pPr>
        <w:keepNext/>
        <w:keepLines/>
        <w:ind w:firstLine="720"/>
        <w:rPr>
          <w:rFonts w:cs="Times New Roman"/>
          <w:b/>
          <w:bCs/>
          <w:szCs w:val="26"/>
        </w:rPr>
      </w:pPr>
      <w:r w:rsidRPr="00F1714B">
        <w:rPr>
          <w:rFonts w:cs="Times New Roman"/>
          <w:b/>
          <w:bCs/>
          <w:szCs w:val="26"/>
        </w:rPr>
        <w:t>G.</w:t>
      </w:r>
      <w:r w:rsidRPr="00F1714B">
        <w:rPr>
          <w:rFonts w:cs="Times New Roman"/>
          <w:b/>
          <w:bCs/>
          <w:szCs w:val="26"/>
        </w:rPr>
        <w:tab/>
        <w:t>Subchapter G (Public Coin Service) – 52 Pa. Code §§ 63.91—63.98</w:t>
      </w:r>
    </w:p>
    <w:p w14:paraId="198CC7E0" w14:textId="4FC7EAD5" w:rsidR="001B3461" w:rsidRPr="00F1714B" w:rsidRDefault="0032160D" w:rsidP="005343EC">
      <w:pPr>
        <w:pStyle w:val="ListParagraph"/>
        <w:keepNext/>
        <w:keepLines/>
        <w:tabs>
          <w:tab w:val="left" w:pos="0"/>
          <w:tab w:val="left" w:pos="720"/>
        </w:tabs>
        <w:ind w:left="0"/>
        <w:rPr>
          <w:rFonts w:cs="Times New Roman"/>
          <w:szCs w:val="26"/>
        </w:rPr>
      </w:pPr>
      <w:r w:rsidRPr="00F1714B">
        <w:rPr>
          <w:rFonts w:cs="Times New Roman"/>
          <w:b/>
          <w:bCs/>
          <w:szCs w:val="26"/>
        </w:rPr>
        <w:tab/>
      </w:r>
      <w:r w:rsidRPr="00F1714B">
        <w:rPr>
          <w:rFonts w:cs="Times New Roman"/>
          <w:szCs w:val="26"/>
        </w:rPr>
        <w:t>W</w:t>
      </w:r>
      <w:r w:rsidR="001B3461" w:rsidRPr="00F1714B">
        <w:rPr>
          <w:rFonts w:cs="Times New Roman"/>
          <w:szCs w:val="26"/>
        </w:rPr>
        <w:t>e also temporarily waived the following Subchapter G (Public Coin Service) regulations for</w:t>
      </w:r>
      <w:r w:rsidR="004A224F" w:rsidRPr="00F1714B">
        <w:rPr>
          <w:rFonts w:cs="Times New Roman"/>
          <w:szCs w:val="26"/>
        </w:rPr>
        <w:t xml:space="preserve"> </w:t>
      </w:r>
      <w:r w:rsidR="001B3461" w:rsidRPr="00F1714B">
        <w:rPr>
          <w:rFonts w:cs="Times New Roman"/>
          <w:szCs w:val="26"/>
        </w:rPr>
        <w:t xml:space="preserve">Verizon: </w:t>
      </w:r>
      <w:r w:rsidR="001B3461" w:rsidRPr="00F1714B">
        <w:rPr>
          <w:rFonts w:cs="Times New Roman"/>
          <w:szCs w:val="26"/>
        </w:rPr>
        <w:tab/>
      </w:r>
    </w:p>
    <w:p w14:paraId="48DCA967" w14:textId="77777777" w:rsidR="001B3461" w:rsidRPr="00F1714B" w:rsidRDefault="001B3461" w:rsidP="002A6C32">
      <w:pPr>
        <w:pStyle w:val="ListParagraph"/>
        <w:tabs>
          <w:tab w:val="left" w:pos="0"/>
          <w:tab w:val="left" w:pos="720"/>
        </w:tabs>
        <w:spacing w:line="240" w:lineRule="auto"/>
        <w:ind w:left="0"/>
        <w:rPr>
          <w:rFonts w:cs="Times New Roman"/>
          <w:szCs w:val="26"/>
        </w:rPr>
      </w:pPr>
    </w:p>
    <w:p w14:paraId="545BA3C4" w14:textId="77777777" w:rsidR="001B3461" w:rsidRPr="00F1714B" w:rsidRDefault="001B3461" w:rsidP="002A6C32">
      <w:pPr>
        <w:pStyle w:val="ListParagraph"/>
        <w:tabs>
          <w:tab w:val="left" w:pos="0"/>
          <w:tab w:val="left" w:pos="720"/>
        </w:tabs>
        <w:spacing w:line="240" w:lineRule="auto"/>
        <w:ind w:left="0"/>
        <w:rPr>
          <w:rFonts w:cs="Times New Roman"/>
          <w:szCs w:val="26"/>
        </w:rPr>
      </w:pPr>
      <w:r w:rsidRPr="00F1714B">
        <w:rPr>
          <w:rFonts w:cs="Times New Roman"/>
          <w:szCs w:val="26"/>
        </w:rPr>
        <w:tab/>
        <w:t xml:space="preserve">Section 63.91 (Purpose); </w:t>
      </w:r>
    </w:p>
    <w:p w14:paraId="5AA67DC1" w14:textId="77777777" w:rsidR="001B3461" w:rsidRPr="00F1714B" w:rsidRDefault="001B3461" w:rsidP="002A6C32">
      <w:pPr>
        <w:pStyle w:val="ListParagraph"/>
        <w:tabs>
          <w:tab w:val="left" w:pos="0"/>
          <w:tab w:val="left" w:pos="720"/>
        </w:tabs>
        <w:spacing w:line="240" w:lineRule="auto"/>
        <w:ind w:left="0"/>
        <w:rPr>
          <w:rFonts w:cs="Times New Roman"/>
          <w:szCs w:val="26"/>
        </w:rPr>
      </w:pPr>
      <w:r w:rsidRPr="00F1714B">
        <w:rPr>
          <w:rFonts w:cs="Times New Roman"/>
          <w:szCs w:val="26"/>
        </w:rPr>
        <w:tab/>
        <w:t xml:space="preserve">Section 63.92 (Definitions); </w:t>
      </w:r>
    </w:p>
    <w:p w14:paraId="40333000"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63.93 (Conditions of service); </w:t>
      </w:r>
    </w:p>
    <w:p w14:paraId="06C55681"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63.94 (Coin telephone requirements); </w:t>
      </w:r>
    </w:p>
    <w:p w14:paraId="5B9458EB"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63.95 (Sufficiency of public telephone service); </w:t>
      </w:r>
    </w:p>
    <w:p w14:paraId="65242934"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63.96 (Service requirements for coin telephones); </w:t>
      </w:r>
    </w:p>
    <w:p w14:paraId="374D9711"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63.97 ([Reserved]); and </w:t>
      </w:r>
    </w:p>
    <w:p w14:paraId="36A94596" w14:textId="77777777" w:rsidR="001B3461" w:rsidRPr="00F1714B" w:rsidRDefault="001B3461" w:rsidP="002A6C32">
      <w:pPr>
        <w:pStyle w:val="ListParagraph"/>
        <w:tabs>
          <w:tab w:val="left" w:pos="0"/>
        </w:tabs>
        <w:spacing w:line="240" w:lineRule="auto"/>
        <w:ind w:left="0" w:firstLine="720"/>
        <w:rPr>
          <w:rFonts w:cs="Times New Roman"/>
          <w:szCs w:val="26"/>
        </w:rPr>
      </w:pPr>
      <w:r w:rsidRPr="00F1714B">
        <w:rPr>
          <w:rFonts w:cs="Times New Roman"/>
          <w:szCs w:val="26"/>
        </w:rPr>
        <w:t xml:space="preserve">Section 63.98 (Compliance).  </w:t>
      </w:r>
    </w:p>
    <w:p w14:paraId="16DF603D" w14:textId="77777777" w:rsidR="001B3461" w:rsidRPr="00F1714B" w:rsidRDefault="001B3461" w:rsidP="002A6C32">
      <w:pPr>
        <w:pStyle w:val="ListParagraph"/>
        <w:tabs>
          <w:tab w:val="left" w:pos="0"/>
        </w:tabs>
        <w:spacing w:line="240" w:lineRule="auto"/>
        <w:ind w:left="0"/>
        <w:rPr>
          <w:rFonts w:cs="Times New Roman"/>
          <w:szCs w:val="26"/>
        </w:rPr>
      </w:pPr>
    </w:p>
    <w:p w14:paraId="6FEA8995" w14:textId="1A4FEE28" w:rsidR="001B3461" w:rsidRDefault="001B3461" w:rsidP="00E55426">
      <w:pPr>
        <w:pStyle w:val="ListParagraph"/>
        <w:ind w:left="0" w:firstLine="720"/>
        <w:rPr>
          <w:rFonts w:cs="Times New Roman"/>
          <w:szCs w:val="26"/>
        </w:rPr>
      </w:pPr>
      <w:bookmarkStart w:id="52" w:name="_Hlk81164632"/>
      <w:r w:rsidRPr="00F1714B">
        <w:rPr>
          <w:rFonts w:cs="Times New Roman"/>
          <w:szCs w:val="26"/>
        </w:rPr>
        <w:t xml:space="preserve">In </w:t>
      </w:r>
      <w:r w:rsidR="001759E4" w:rsidRPr="00F1714B">
        <w:rPr>
          <w:rFonts w:cs="Times New Roman"/>
          <w:szCs w:val="26"/>
        </w:rPr>
        <w:t xml:space="preserve">the </w:t>
      </w:r>
      <w:r w:rsidR="001759E4" w:rsidRPr="00F1714B">
        <w:rPr>
          <w:rFonts w:cs="Times New Roman"/>
          <w:i/>
          <w:iCs/>
          <w:szCs w:val="26"/>
        </w:rPr>
        <w:t>N</w:t>
      </w:r>
      <w:r w:rsidR="00E06E4B" w:rsidRPr="00F1714B">
        <w:rPr>
          <w:rFonts w:cs="Times New Roman"/>
          <w:i/>
          <w:iCs/>
          <w:szCs w:val="26"/>
        </w:rPr>
        <w:t xml:space="preserve">PRM </w:t>
      </w:r>
      <w:r w:rsidR="001759E4" w:rsidRPr="00F1714B">
        <w:rPr>
          <w:rFonts w:cs="Times New Roman"/>
          <w:i/>
          <w:iCs/>
          <w:szCs w:val="26"/>
        </w:rPr>
        <w:t>Order</w:t>
      </w:r>
      <w:r w:rsidR="001759E4" w:rsidRPr="00F1714B">
        <w:rPr>
          <w:rFonts w:cs="Times New Roman"/>
          <w:szCs w:val="26"/>
        </w:rPr>
        <w:t xml:space="preserve">, we determined </w:t>
      </w:r>
      <w:r w:rsidRPr="00F1714B">
        <w:rPr>
          <w:rFonts w:cs="Times New Roman"/>
          <w:szCs w:val="26"/>
        </w:rPr>
        <w:t>that the</w:t>
      </w:r>
      <w:r w:rsidR="0032160D" w:rsidRPr="00F1714B">
        <w:rPr>
          <w:rFonts w:cs="Times New Roman"/>
          <w:szCs w:val="26"/>
        </w:rPr>
        <w:t>se</w:t>
      </w:r>
      <w:r w:rsidRPr="00F1714B">
        <w:rPr>
          <w:rFonts w:cs="Times New Roman"/>
          <w:szCs w:val="26"/>
        </w:rPr>
        <w:t xml:space="preserve"> regulations were outdated and no longer purposeful or relevant in today’s regulatory environment.  Accordingly, we propose</w:t>
      </w:r>
      <w:r w:rsidR="0032160D" w:rsidRPr="00F1714B">
        <w:rPr>
          <w:rFonts w:cs="Times New Roman"/>
          <w:szCs w:val="26"/>
        </w:rPr>
        <w:t>d</w:t>
      </w:r>
      <w:r w:rsidRPr="00F1714B">
        <w:rPr>
          <w:rFonts w:cs="Times New Roman"/>
          <w:szCs w:val="26"/>
        </w:rPr>
        <w:t xml:space="preserve"> to rescind Subchapter</w:t>
      </w:r>
      <w:r w:rsidR="003020D2" w:rsidRPr="00F1714B">
        <w:rPr>
          <w:rFonts w:cs="Times New Roman"/>
          <w:szCs w:val="26"/>
        </w:rPr>
        <w:t xml:space="preserve"> </w:t>
      </w:r>
      <w:r w:rsidRPr="00F1714B">
        <w:rPr>
          <w:rFonts w:cs="Times New Roman"/>
          <w:szCs w:val="26"/>
        </w:rPr>
        <w:t xml:space="preserve">G in </w:t>
      </w:r>
      <w:r w:rsidR="003020D2" w:rsidRPr="00F1714B">
        <w:rPr>
          <w:rFonts w:cs="Times New Roman"/>
          <w:szCs w:val="26"/>
        </w:rPr>
        <w:t xml:space="preserve">its </w:t>
      </w:r>
      <w:r w:rsidRPr="00F1714B">
        <w:rPr>
          <w:rFonts w:cs="Times New Roman"/>
          <w:szCs w:val="26"/>
        </w:rPr>
        <w:t>entirety.</w:t>
      </w:r>
    </w:p>
    <w:p w14:paraId="07703905" w14:textId="77777777" w:rsidR="00505365" w:rsidRPr="00F1714B" w:rsidRDefault="00505365" w:rsidP="00E55426">
      <w:pPr>
        <w:pStyle w:val="ListParagraph"/>
        <w:ind w:left="0" w:firstLine="720"/>
        <w:rPr>
          <w:rFonts w:cs="Times New Roman"/>
          <w:szCs w:val="26"/>
        </w:rPr>
      </w:pPr>
    </w:p>
    <w:p w14:paraId="34EBBD91" w14:textId="45062A58" w:rsidR="00F80ECC" w:rsidRPr="00F1714B" w:rsidRDefault="00F80ECC" w:rsidP="00505365">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52D431D3" w14:textId="5B5E754B" w:rsidR="00F80ECC" w:rsidRPr="00F1714B" w:rsidRDefault="003020D2" w:rsidP="00DA7F5E">
      <w:pPr>
        <w:ind w:firstLine="720"/>
        <w:rPr>
          <w:rFonts w:cs="Times New Roman"/>
          <w:bCs/>
          <w:szCs w:val="26"/>
        </w:rPr>
      </w:pPr>
      <w:r w:rsidRPr="00F1714B">
        <w:rPr>
          <w:rFonts w:cs="Times New Roman"/>
          <w:bCs/>
          <w:szCs w:val="26"/>
        </w:rPr>
        <w:t>No party has filed comments or replies regarding the Commission’s proposed modification of these rules.</w:t>
      </w:r>
    </w:p>
    <w:p w14:paraId="51C69A7B" w14:textId="77777777" w:rsidR="0064484F" w:rsidRPr="00F1714B" w:rsidRDefault="0064484F" w:rsidP="00DA7F5E">
      <w:pPr>
        <w:ind w:firstLine="720"/>
        <w:rPr>
          <w:rFonts w:cs="Times New Roman"/>
          <w:bCs/>
          <w:szCs w:val="26"/>
        </w:rPr>
      </w:pPr>
    </w:p>
    <w:p w14:paraId="318856CD" w14:textId="6806B7FF" w:rsidR="00F80ECC" w:rsidRPr="00F1714B" w:rsidRDefault="00F80ECC" w:rsidP="00A17DF7">
      <w:pPr>
        <w:rPr>
          <w:rFonts w:cs="Times New Roman"/>
          <w:b/>
          <w:szCs w:val="26"/>
        </w:rPr>
      </w:pPr>
      <w:r w:rsidRPr="00F1714B">
        <w:rPr>
          <w:rFonts w:cs="Times New Roman"/>
          <w:b/>
          <w:szCs w:val="26"/>
        </w:rPr>
        <w:tab/>
      </w:r>
      <w:r w:rsidRPr="00F1714B">
        <w:rPr>
          <w:rFonts w:cs="Times New Roman"/>
          <w:b/>
          <w:szCs w:val="26"/>
        </w:rPr>
        <w:tab/>
      </w:r>
      <w:r w:rsidRPr="00F1714B">
        <w:rPr>
          <w:rFonts w:cs="Times New Roman"/>
          <w:b/>
          <w:szCs w:val="26"/>
        </w:rPr>
        <w:tab/>
        <w:t>b</w:t>
      </w:r>
      <w:r w:rsidR="003020D2" w:rsidRPr="00F1714B">
        <w:rPr>
          <w:rFonts w:cs="Times New Roman"/>
          <w:b/>
          <w:szCs w:val="26"/>
        </w:rPr>
        <w:t>.</w:t>
      </w:r>
      <w:r w:rsidRPr="00F1714B">
        <w:rPr>
          <w:rFonts w:cs="Times New Roman"/>
          <w:b/>
          <w:szCs w:val="26"/>
        </w:rPr>
        <w:tab/>
        <w:t>Discussion</w:t>
      </w:r>
      <w:r w:rsidR="003020D2" w:rsidRPr="00F1714B">
        <w:rPr>
          <w:rFonts w:cs="Times New Roman"/>
          <w:b/>
          <w:szCs w:val="26"/>
        </w:rPr>
        <w:t xml:space="preserve"> and Resolution</w:t>
      </w:r>
    </w:p>
    <w:p w14:paraId="76A507E2" w14:textId="3C6A5A8F" w:rsidR="003020D2" w:rsidRPr="00F1714B" w:rsidRDefault="003020D2" w:rsidP="00DA7F5E">
      <w:pPr>
        <w:tabs>
          <w:tab w:val="left" w:pos="720"/>
          <w:tab w:val="left" w:pos="1440"/>
        </w:tabs>
        <w:rPr>
          <w:rFonts w:cs="Times New Roman"/>
          <w:szCs w:val="26"/>
        </w:rPr>
      </w:pPr>
      <w:r w:rsidRPr="00F1714B">
        <w:rPr>
          <w:rFonts w:cs="Times New Roman"/>
          <w:szCs w:val="26"/>
        </w:rPr>
        <w:tab/>
        <w:t>Since no party has filed any adverse comments regarding our proposed recission on these regulations</w:t>
      </w:r>
      <w:r w:rsidR="001B16FE" w:rsidRPr="00F1714B">
        <w:rPr>
          <w:rFonts w:cs="Times New Roman"/>
          <w:szCs w:val="26"/>
        </w:rPr>
        <w:t xml:space="preserve">, we will adopt our proposal to permanently </w:t>
      </w:r>
      <w:r w:rsidR="006729E7" w:rsidRPr="00F1714B">
        <w:rPr>
          <w:rFonts w:cs="Times New Roman"/>
          <w:szCs w:val="26"/>
        </w:rPr>
        <w:t xml:space="preserve">rescind Subchapter G </w:t>
      </w:r>
      <w:r w:rsidR="006729E7" w:rsidRPr="00F1714B">
        <w:rPr>
          <w:rFonts w:cs="Times New Roman"/>
          <w:szCs w:val="26"/>
        </w:rPr>
        <w:lastRenderedPageBreak/>
        <w:t xml:space="preserve">from Chapter 63 of Title 52 of the Pa. Code.  Accordingly, this permanent recission of these rules will be reflected in final-form regulation set forth in </w:t>
      </w:r>
      <w:r w:rsidRPr="00F1714B">
        <w:rPr>
          <w:rFonts w:cs="Times New Roman"/>
          <w:szCs w:val="26"/>
        </w:rPr>
        <w:t>the Annex</w:t>
      </w:r>
      <w:r w:rsidR="006729E7" w:rsidRPr="00F1714B">
        <w:rPr>
          <w:rFonts w:cs="Times New Roman"/>
          <w:szCs w:val="26"/>
        </w:rPr>
        <w:t>.</w:t>
      </w:r>
    </w:p>
    <w:p w14:paraId="0571A017" w14:textId="2BDF22B0" w:rsidR="00F80ECC" w:rsidRPr="00F1714B" w:rsidRDefault="00F80ECC" w:rsidP="00E55426">
      <w:pPr>
        <w:spacing w:after="200" w:line="276" w:lineRule="auto"/>
        <w:rPr>
          <w:rFonts w:cs="Times New Roman"/>
          <w:szCs w:val="26"/>
        </w:rPr>
      </w:pPr>
    </w:p>
    <w:bookmarkEnd w:id="52"/>
    <w:p w14:paraId="6EB251AA" w14:textId="0C2246FD" w:rsidR="001B3461" w:rsidRPr="00F1714B" w:rsidRDefault="00F80ECC" w:rsidP="00505365">
      <w:pPr>
        <w:keepNext/>
        <w:keepLines/>
        <w:ind w:left="720"/>
        <w:rPr>
          <w:rFonts w:cs="Times New Roman"/>
          <w:b/>
          <w:bCs/>
          <w:szCs w:val="26"/>
        </w:rPr>
      </w:pPr>
      <w:r w:rsidRPr="00F1714B">
        <w:rPr>
          <w:rFonts w:cs="Times New Roman"/>
          <w:b/>
          <w:bCs/>
          <w:szCs w:val="26"/>
        </w:rPr>
        <w:t>H.</w:t>
      </w:r>
      <w:r w:rsidRPr="00F1714B">
        <w:rPr>
          <w:rFonts w:cs="Times New Roman"/>
          <w:b/>
          <w:bCs/>
          <w:szCs w:val="26"/>
        </w:rPr>
        <w:tab/>
      </w:r>
      <w:r w:rsidR="00E15B50" w:rsidRPr="00F1714B">
        <w:rPr>
          <w:rFonts w:cs="Times New Roman"/>
          <w:b/>
          <w:bCs/>
          <w:szCs w:val="26"/>
        </w:rPr>
        <w:t xml:space="preserve">Chapter 63 </w:t>
      </w:r>
      <w:r w:rsidR="001B3461" w:rsidRPr="00F1714B">
        <w:rPr>
          <w:rFonts w:cs="Times New Roman"/>
          <w:b/>
          <w:bCs/>
          <w:szCs w:val="26"/>
        </w:rPr>
        <w:t xml:space="preserve">Subchapters H, </w:t>
      </w:r>
      <w:r w:rsidR="00BF62BD" w:rsidRPr="00F1714B">
        <w:rPr>
          <w:rFonts w:cs="Times New Roman"/>
          <w:b/>
          <w:bCs/>
          <w:szCs w:val="26"/>
        </w:rPr>
        <w:t xml:space="preserve">I, </w:t>
      </w:r>
      <w:r w:rsidR="001B3461" w:rsidRPr="00F1714B">
        <w:rPr>
          <w:rFonts w:cs="Times New Roman"/>
          <w:b/>
          <w:bCs/>
          <w:szCs w:val="26"/>
        </w:rPr>
        <w:t>J, K, L M, N and O</w:t>
      </w:r>
    </w:p>
    <w:p w14:paraId="34CFF3E6" w14:textId="01C8884F" w:rsidR="00AC3B4E" w:rsidRPr="00F1714B" w:rsidRDefault="00A61835" w:rsidP="00A309A1">
      <w:pPr>
        <w:keepNext/>
        <w:keepLines/>
        <w:ind w:firstLine="720"/>
        <w:rPr>
          <w:rFonts w:cs="Times New Roman"/>
          <w:szCs w:val="26"/>
        </w:rPr>
      </w:pPr>
      <w:r w:rsidRPr="00F1714B">
        <w:rPr>
          <w:rFonts w:cs="Times New Roman"/>
          <w:szCs w:val="26"/>
        </w:rPr>
        <w:t xml:space="preserve">Subchapters </w:t>
      </w:r>
      <w:r w:rsidR="003D1924" w:rsidRPr="00F1714B">
        <w:rPr>
          <w:rFonts w:cs="Times New Roman"/>
          <w:szCs w:val="26"/>
        </w:rPr>
        <w:t xml:space="preserve">K, L M, N and O </w:t>
      </w:r>
      <w:r w:rsidR="001B3461" w:rsidRPr="00F1714B">
        <w:rPr>
          <w:rFonts w:cs="Times New Roman"/>
          <w:szCs w:val="26"/>
        </w:rPr>
        <w:t xml:space="preserve">of Chapter 63 remained in full force for </w:t>
      </w:r>
      <w:r w:rsidR="0017234B" w:rsidRPr="00F1714B">
        <w:rPr>
          <w:rFonts w:cs="Times New Roman"/>
          <w:szCs w:val="26"/>
        </w:rPr>
        <w:t>all geographic areas.</w:t>
      </w:r>
      <w:r w:rsidR="003D1924" w:rsidRPr="00F1714B">
        <w:rPr>
          <w:rStyle w:val="FootnoteReference"/>
          <w:rFonts w:cs="Times New Roman"/>
          <w:szCs w:val="26"/>
        </w:rPr>
        <w:footnoteReference w:id="75"/>
      </w:r>
      <w:r w:rsidR="0017234B" w:rsidRPr="00F1714B">
        <w:rPr>
          <w:rFonts w:cs="Times New Roman"/>
          <w:szCs w:val="26"/>
        </w:rPr>
        <w:t xml:space="preserve"> </w:t>
      </w:r>
      <w:r w:rsidR="001B3461" w:rsidRPr="00F1714B">
        <w:rPr>
          <w:rFonts w:cs="Times New Roman"/>
          <w:szCs w:val="26"/>
        </w:rPr>
        <w:t xml:space="preserve"> </w:t>
      </w:r>
      <w:r w:rsidR="008F4955" w:rsidRPr="00F1714B">
        <w:rPr>
          <w:rFonts w:cs="Times New Roman"/>
          <w:szCs w:val="26"/>
        </w:rPr>
        <w:t xml:space="preserve">In the </w:t>
      </w:r>
      <w:r w:rsidR="008F4955" w:rsidRPr="00F1714B">
        <w:rPr>
          <w:rFonts w:cs="Times New Roman"/>
          <w:i/>
          <w:iCs/>
          <w:szCs w:val="26"/>
        </w:rPr>
        <w:t>N</w:t>
      </w:r>
      <w:r w:rsidR="00E06E4B" w:rsidRPr="00F1714B">
        <w:rPr>
          <w:rFonts w:cs="Times New Roman"/>
          <w:i/>
          <w:iCs/>
          <w:szCs w:val="26"/>
        </w:rPr>
        <w:t xml:space="preserve">PRM </w:t>
      </w:r>
      <w:r w:rsidR="008F4955" w:rsidRPr="00F1714B">
        <w:rPr>
          <w:rFonts w:cs="Times New Roman"/>
          <w:i/>
          <w:iCs/>
          <w:szCs w:val="26"/>
        </w:rPr>
        <w:t xml:space="preserve">Order, </w:t>
      </w:r>
      <w:r w:rsidR="00AC3B4E" w:rsidRPr="00F1714B">
        <w:rPr>
          <w:rFonts w:cs="Times New Roman"/>
          <w:szCs w:val="26"/>
        </w:rPr>
        <w:t>we proposed to retain</w:t>
      </w:r>
      <w:r w:rsidR="008F4955" w:rsidRPr="00F1714B">
        <w:rPr>
          <w:rFonts w:cs="Times New Roman"/>
          <w:szCs w:val="26"/>
        </w:rPr>
        <w:t xml:space="preserve"> </w:t>
      </w:r>
      <w:r w:rsidR="00BA2A1D" w:rsidRPr="00F1714B">
        <w:rPr>
          <w:rFonts w:cs="Times New Roman"/>
          <w:szCs w:val="26"/>
        </w:rPr>
        <w:t xml:space="preserve">these subchapters but proposed amendments to certain provisions in </w:t>
      </w:r>
      <w:r w:rsidR="00AC3B4E" w:rsidRPr="00F1714B">
        <w:rPr>
          <w:rFonts w:cs="Times New Roman"/>
          <w:szCs w:val="26"/>
        </w:rPr>
        <w:t>Subchapter J in the Annex</w:t>
      </w:r>
      <w:r w:rsidR="00BA2A1D" w:rsidRPr="00F1714B">
        <w:rPr>
          <w:rFonts w:cs="Times New Roman"/>
          <w:szCs w:val="26"/>
        </w:rPr>
        <w:t>.</w:t>
      </w:r>
      <w:r w:rsidR="00BF62BD" w:rsidRPr="00F1714B">
        <w:rPr>
          <w:rFonts w:cs="Times New Roman"/>
          <w:szCs w:val="26"/>
        </w:rPr>
        <w:t xml:space="preserve">  In the </w:t>
      </w:r>
      <w:r w:rsidR="00BF62BD" w:rsidRPr="00F1714B">
        <w:rPr>
          <w:rFonts w:cs="Times New Roman"/>
          <w:i/>
          <w:iCs/>
          <w:szCs w:val="26"/>
        </w:rPr>
        <w:t>NPRM Order</w:t>
      </w:r>
      <w:r w:rsidR="00BF62BD" w:rsidRPr="00F1714B">
        <w:rPr>
          <w:rFonts w:cs="Times New Roman"/>
          <w:szCs w:val="26"/>
        </w:rPr>
        <w:t>, we also discussed Subchapters H and I of Chapter 63</w:t>
      </w:r>
      <w:r w:rsidR="00A309A1" w:rsidRPr="00F1714B">
        <w:rPr>
          <w:rFonts w:cs="Times New Roman"/>
          <w:szCs w:val="26"/>
        </w:rPr>
        <w:t xml:space="preserve"> and proposed to eliminate them. </w:t>
      </w:r>
      <w:r w:rsidR="00AC3B4E" w:rsidRPr="00F1714B">
        <w:rPr>
          <w:rFonts w:cs="Times New Roman"/>
          <w:szCs w:val="26"/>
        </w:rPr>
        <w:t xml:space="preserve"> </w:t>
      </w:r>
    </w:p>
    <w:p w14:paraId="28CC8BF5" w14:textId="77777777" w:rsidR="00AC3B4E" w:rsidRPr="00F1714B" w:rsidRDefault="00AC3B4E" w:rsidP="00E55426">
      <w:pPr>
        <w:ind w:firstLine="720"/>
        <w:rPr>
          <w:rFonts w:cs="Times New Roman"/>
          <w:szCs w:val="26"/>
        </w:rPr>
      </w:pPr>
    </w:p>
    <w:p w14:paraId="3016AC52" w14:textId="525B4FEA" w:rsidR="00C313FB" w:rsidRPr="00F1714B" w:rsidRDefault="00C313FB" w:rsidP="00E55426">
      <w:pPr>
        <w:ind w:left="1440" w:firstLine="720"/>
        <w:rPr>
          <w:rFonts w:cs="Times New Roman"/>
          <w:b/>
          <w:szCs w:val="26"/>
        </w:rPr>
      </w:pPr>
      <w:r w:rsidRPr="00F1714B">
        <w:rPr>
          <w:rFonts w:cs="Times New Roman"/>
          <w:b/>
          <w:szCs w:val="26"/>
        </w:rPr>
        <w:t>a.</w:t>
      </w:r>
      <w:r w:rsidRPr="00F1714B">
        <w:rPr>
          <w:rFonts w:cs="Times New Roman"/>
          <w:b/>
          <w:szCs w:val="26"/>
        </w:rPr>
        <w:tab/>
        <w:t>Comments</w:t>
      </w:r>
      <w:r w:rsidR="005566C0" w:rsidRPr="00F1714B">
        <w:rPr>
          <w:rFonts w:cs="Times New Roman"/>
          <w:b/>
          <w:szCs w:val="26"/>
        </w:rPr>
        <w:t xml:space="preserve"> and Replies</w:t>
      </w:r>
    </w:p>
    <w:p w14:paraId="464E9B5C" w14:textId="51C4A579" w:rsidR="00D27952" w:rsidRPr="00F1714B" w:rsidRDefault="004A471E" w:rsidP="00E55426">
      <w:pPr>
        <w:ind w:firstLine="720"/>
        <w:rPr>
          <w:rFonts w:cs="Times New Roman"/>
          <w:szCs w:val="26"/>
        </w:rPr>
      </w:pPr>
      <w:bookmarkStart w:id="53" w:name="_Hlk76038278"/>
      <w:r w:rsidRPr="00F1714B">
        <w:rPr>
          <w:rFonts w:cs="Times New Roman"/>
          <w:szCs w:val="26"/>
        </w:rPr>
        <w:t xml:space="preserve">The </w:t>
      </w:r>
      <w:r w:rsidR="00D27952" w:rsidRPr="00F1714B">
        <w:rPr>
          <w:rFonts w:cs="Times New Roman"/>
          <w:szCs w:val="26"/>
        </w:rPr>
        <w:t xml:space="preserve">OCA supports the Commission’s proposal to retain Subchapter </w:t>
      </w:r>
      <w:bookmarkEnd w:id="53"/>
      <w:r w:rsidR="00D27952" w:rsidRPr="00F1714B">
        <w:rPr>
          <w:rFonts w:cs="Times New Roman"/>
          <w:szCs w:val="26"/>
        </w:rPr>
        <w:t>J, with minimal changes “to better describe that the responsibilities extend to agents as well as employees.”</w:t>
      </w:r>
      <w:r w:rsidR="003E485C" w:rsidRPr="00F1714B">
        <w:rPr>
          <w:rFonts w:cs="Times New Roman"/>
          <w:szCs w:val="26"/>
        </w:rPr>
        <w:t xml:space="preserve"> </w:t>
      </w:r>
      <w:r w:rsidR="00D27952" w:rsidRPr="00F1714B">
        <w:rPr>
          <w:rFonts w:cs="Times New Roman"/>
          <w:szCs w:val="26"/>
        </w:rPr>
        <w:t xml:space="preserve"> OCA Comments at 10-11.  OCA supports the Commission’s proposal to retain Subchapters K, L, M, N and O. </w:t>
      </w:r>
      <w:r w:rsidR="003E485C" w:rsidRPr="00F1714B">
        <w:rPr>
          <w:rFonts w:cs="Times New Roman"/>
          <w:szCs w:val="26"/>
        </w:rPr>
        <w:t xml:space="preserve"> </w:t>
      </w:r>
      <w:r w:rsidR="00D27952" w:rsidRPr="00F1714B">
        <w:rPr>
          <w:rFonts w:cs="Times New Roman"/>
          <w:szCs w:val="26"/>
        </w:rPr>
        <w:t>OCA Comments at 11.</w:t>
      </w:r>
    </w:p>
    <w:p w14:paraId="4EB73654" w14:textId="77777777" w:rsidR="00D27952" w:rsidRPr="00F1714B" w:rsidRDefault="00D27952" w:rsidP="00E55426">
      <w:pPr>
        <w:rPr>
          <w:rFonts w:cs="Times New Roman"/>
          <w:szCs w:val="26"/>
        </w:rPr>
      </w:pPr>
    </w:p>
    <w:p w14:paraId="50AAE0E0" w14:textId="6BA34660" w:rsidR="00D27952" w:rsidRPr="00F1714B" w:rsidRDefault="00D27952" w:rsidP="00E55426">
      <w:pPr>
        <w:ind w:firstLine="720"/>
        <w:rPr>
          <w:rFonts w:cs="Times New Roman"/>
          <w:szCs w:val="26"/>
        </w:rPr>
      </w:pPr>
      <w:r w:rsidRPr="00F1714B">
        <w:rPr>
          <w:rFonts w:cs="Times New Roman"/>
          <w:szCs w:val="26"/>
        </w:rPr>
        <w:t xml:space="preserve">Verizon opposes retention of </w:t>
      </w:r>
      <w:r w:rsidR="0019671C" w:rsidRPr="00F1714B">
        <w:rPr>
          <w:rFonts w:cs="Times New Roman"/>
          <w:szCs w:val="26"/>
        </w:rPr>
        <w:t>S</w:t>
      </w:r>
      <w:r w:rsidRPr="00F1714B">
        <w:rPr>
          <w:rFonts w:cs="Times New Roman"/>
          <w:szCs w:val="26"/>
        </w:rPr>
        <w:t xml:space="preserve">ubchapter J rules (§§ 63.131-37), relating to confidentiality of customer data, on grounds that federal law, 47 U.S.C. § 222, and FCC implementing rules are sufficient to address the issue. </w:t>
      </w:r>
      <w:r w:rsidR="003E485C" w:rsidRPr="00F1714B">
        <w:rPr>
          <w:rFonts w:cs="Times New Roman"/>
          <w:szCs w:val="26"/>
        </w:rPr>
        <w:t xml:space="preserve"> </w:t>
      </w:r>
      <w:r w:rsidRPr="00F1714B">
        <w:rPr>
          <w:rFonts w:cs="Times New Roman"/>
          <w:szCs w:val="26"/>
        </w:rPr>
        <w:t xml:space="preserve">Verizon Comments at 25. </w:t>
      </w:r>
      <w:r w:rsidR="003E485C" w:rsidRPr="00F1714B">
        <w:rPr>
          <w:rFonts w:cs="Times New Roman"/>
          <w:szCs w:val="26"/>
        </w:rPr>
        <w:t xml:space="preserve"> </w:t>
      </w:r>
      <w:r w:rsidRPr="00F1714B">
        <w:rPr>
          <w:rFonts w:cs="Times New Roman"/>
          <w:szCs w:val="26"/>
        </w:rPr>
        <w:t xml:space="preserve">Similarly, Verizon opposes retention of subchapter K (§§ 63.141-144) because competition is largely facilities-based and any remaining CLEC wholesale customers may rely upon interconnection agreements and federal law to address unfair treatment. </w:t>
      </w:r>
      <w:r w:rsidR="003E485C" w:rsidRPr="00F1714B">
        <w:rPr>
          <w:rFonts w:cs="Times New Roman"/>
          <w:szCs w:val="26"/>
        </w:rPr>
        <w:t xml:space="preserve"> </w:t>
      </w:r>
      <w:r w:rsidRPr="00F1714B">
        <w:rPr>
          <w:rFonts w:cs="Times New Roman"/>
          <w:szCs w:val="26"/>
        </w:rPr>
        <w:t>Verizon Comments at 25-26.</w:t>
      </w:r>
    </w:p>
    <w:p w14:paraId="71CFC755" w14:textId="77777777" w:rsidR="0064484F" w:rsidRPr="00F1714B" w:rsidRDefault="0064484F" w:rsidP="00E55426">
      <w:pPr>
        <w:ind w:firstLine="720"/>
        <w:rPr>
          <w:rFonts w:cs="Times New Roman"/>
          <w:szCs w:val="26"/>
        </w:rPr>
      </w:pPr>
    </w:p>
    <w:p w14:paraId="0197F149" w14:textId="77EDBDEB" w:rsidR="00C313FB" w:rsidRPr="00F1714B" w:rsidRDefault="005B3E46" w:rsidP="0064484F">
      <w:pPr>
        <w:keepNext/>
        <w:keepLines/>
        <w:rPr>
          <w:rFonts w:cs="Times New Roman"/>
          <w:b/>
          <w:szCs w:val="26"/>
        </w:rPr>
      </w:pPr>
      <w:r w:rsidRPr="00F1714B">
        <w:rPr>
          <w:rFonts w:cs="Times New Roman"/>
          <w:b/>
          <w:szCs w:val="26"/>
        </w:rPr>
        <w:lastRenderedPageBreak/>
        <w:tab/>
      </w:r>
      <w:r w:rsidRPr="00F1714B">
        <w:rPr>
          <w:rFonts w:cs="Times New Roman"/>
          <w:b/>
          <w:szCs w:val="26"/>
        </w:rPr>
        <w:tab/>
      </w:r>
      <w:r w:rsidR="00C313FB" w:rsidRPr="00F1714B">
        <w:rPr>
          <w:rFonts w:cs="Times New Roman"/>
          <w:b/>
          <w:szCs w:val="26"/>
        </w:rPr>
        <w:tab/>
        <w:t>b</w:t>
      </w:r>
      <w:r w:rsidR="00021188" w:rsidRPr="00F1714B">
        <w:rPr>
          <w:rFonts w:cs="Times New Roman"/>
          <w:b/>
          <w:szCs w:val="26"/>
        </w:rPr>
        <w:t>.</w:t>
      </w:r>
      <w:r w:rsidR="00C313FB" w:rsidRPr="00F1714B">
        <w:rPr>
          <w:rFonts w:cs="Times New Roman"/>
          <w:b/>
          <w:szCs w:val="26"/>
        </w:rPr>
        <w:tab/>
        <w:t>Discussion</w:t>
      </w:r>
      <w:r w:rsidR="00C06764" w:rsidRPr="00F1714B">
        <w:rPr>
          <w:rFonts w:cs="Times New Roman"/>
          <w:b/>
          <w:szCs w:val="26"/>
        </w:rPr>
        <w:t xml:space="preserve"> and Resolution</w:t>
      </w:r>
    </w:p>
    <w:p w14:paraId="5EA047FA" w14:textId="64D34D9F" w:rsidR="008C1887" w:rsidRPr="00F1714B" w:rsidRDefault="000762B7" w:rsidP="00E55426">
      <w:pPr>
        <w:ind w:firstLine="720"/>
        <w:rPr>
          <w:rFonts w:cs="Times New Roman"/>
          <w:szCs w:val="26"/>
        </w:rPr>
      </w:pPr>
      <w:r w:rsidRPr="00F1714B">
        <w:rPr>
          <w:rFonts w:cs="Times New Roman"/>
          <w:szCs w:val="26"/>
        </w:rPr>
        <w:t>The Commission fully understands Verizon’s position that the FCC</w:t>
      </w:r>
      <w:r w:rsidR="003046D2" w:rsidRPr="00F1714B">
        <w:rPr>
          <w:rFonts w:cs="Times New Roman"/>
          <w:szCs w:val="26"/>
        </w:rPr>
        <w:t xml:space="preserve">’s </w:t>
      </w:r>
      <w:r w:rsidRPr="00F1714B">
        <w:rPr>
          <w:rFonts w:cs="Times New Roman"/>
          <w:szCs w:val="26"/>
        </w:rPr>
        <w:t xml:space="preserve">rules </w:t>
      </w:r>
      <w:r w:rsidR="003046D2" w:rsidRPr="00F1714B">
        <w:rPr>
          <w:rFonts w:cs="Times New Roman"/>
          <w:szCs w:val="26"/>
        </w:rPr>
        <w:t xml:space="preserve">and federal law and </w:t>
      </w:r>
      <w:r w:rsidRPr="00F1714B">
        <w:rPr>
          <w:rFonts w:cs="Times New Roman"/>
          <w:szCs w:val="26"/>
        </w:rPr>
        <w:t xml:space="preserve">are sufficient to address the </w:t>
      </w:r>
      <w:r w:rsidR="003046D2" w:rsidRPr="00F1714B">
        <w:rPr>
          <w:rFonts w:cs="Times New Roman"/>
          <w:szCs w:val="26"/>
        </w:rPr>
        <w:t>LEC</w:t>
      </w:r>
      <w:r w:rsidR="00B802ED" w:rsidRPr="00F1714B">
        <w:rPr>
          <w:rFonts w:cs="Times New Roman"/>
          <w:szCs w:val="26"/>
        </w:rPr>
        <w:t>’s</w:t>
      </w:r>
      <w:r w:rsidR="003046D2" w:rsidRPr="00F1714B">
        <w:rPr>
          <w:rFonts w:cs="Times New Roman"/>
          <w:szCs w:val="26"/>
        </w:rPr>
        <w:t xml:space="preserve"> preserv</w:t>
      </w:r>
      <w:r w:rsidR="00B802ED" w:rsidRPr="00F1714B">
        <w:rPr>
          <w:rFonts w:cs="Times New Roman"/>
          <w:szCs w:val="26"/>
        </w:rPr>
        <w:t>ation</w:t>
      </w:r>
      <w:r w:rsidR="003046D2" w:rsidRPr="00F1714B">
        <w:rPr>
          <w:rFonts w:cs="Times New Roman"/>
          <w:szCs w:val="26"/>
        </w:rPr>
        <w:t xml:space="preserve"> and maint</w:t>
      </w:r>
      <w:r w:rsidR="00B802ED" w:rsidRPr="00F1714B">
        <w:rPr>
          <w:rFonts w:cs="Times New Roman"/>
          <w:szCs w:val="26"/>
        </w:rPr>
        <w:t>enance of</w:t>
      </w:r>
      <w:r w:rsidR="003046D2" w:rsidRPr="00F1714B">
        <w:rPr>
          <w:rFonts w:cs="Times New Roman"/>
          <w:szCs w:val="26"/>
        </w:rPr>
        <w:t xml:space="preserve"> the </w:t>
      </w:r>
      <w:r w:rsidRPr="00F1714B">
        <w:rPr>
          <w:rFonts w:cs="Times New Roman"/>
          <w:szCs w:val="26"/>
        </w:rPr>
        <w:t>confidentiality of customer data</w:t>
      </w:r>
      <w:r w:rsidR="003046D2" w:rsidRPr="00F1714B">
        <w:rPr>
          <w:rFonts w:cs="Times New Roman"/>
          <w:szCs w:val="26"/>
        </w:rPr>
        <w:t>.  However, g</w:t>
      </w:r>
      <w:r w:rsidR="00D11AE1" w:rsidRPr="00F1714B">
        <w:rPr>
          <w:rFonts w:cs="Times New Roman"/>
          <w:szCs w:val="26"/>
        </w:rPr>
        <w:t xml:space="preserve">iven </w:t>
      </w:r>
      <w:r w:rsidR="00B5020F" w:rsidRPr="00F1714B">
        <w:rPr>
          <w:szCs w:val="26"/>
        </w:rPr>
        <w:t xml:space="preserve">that the rising trend in data breaches continues to angle upwards, and as a result, making </w:t>
      </w:r>
      <w:r w:rsidR="00062EF8" w:rsidRPr="00F1714B">
        <w:rPr>
          <w:szCs w:val="26"/>
        </w:rPr>
        <w:t xml:space="preserve">proprietary and confidential </w:t>
      </w:r>
      <w:r w:rsidR="00887647" w:rsidRPr="00F1714B">
        <w:rPr>
          <w:szCs w:val="26"/>
        </w:rPr>
        <w:t xml:space="preserve">customer </w:t>
      </w:r>
      <w:r w:rsidR="00062EF8" w:rsidRPr="00F1714B">
        <w:rPr>
          <w:szCs w:val="26"/>
        </w:rPr>
        <w:t xml:space="preserve">information </w:t>
      </w:r>
      <w:r w:rsidR="00887647" w:rsidRPr="00F1714B">
        <w:rPr>
          <w:szCs w:val="26"/>
        </w:rPr>
        <w:t xml:space="preserve">and records </w:t>
      </w:r>
      <w:r w:rsidR="00062EF8" w:rsidRPr="00F1714B">
        <w:rPr>
          <w:szCs w:val="26"/>
        </w:rPr>
        <w:t>vulnerable to exposure</w:t>
      </w:r>
      <w:r w:rsidR="00887647" w:rsidRPr="00F1714B">
        <w:rPr>
          <w:rFonts w:cs="Times New Roman"/>
          <w:szCs w:val="26"/>
        </w:rPr>
        <w:t xml:space="preserve">, </w:t>
      </w:r>
      <w:r w:rsidR="00FA1445" w:rsidRPr="00F1714B">
        <w:rPr>
          <w:rFonts w:cs="Times New Roman"/>
          <w:szCs w:val="26"/>
        </w:rPr>
        <w:t xml:space="preserve">the Commission has </w:t>
      </w:r>
      <w:r w:rsidR="00D11AE1" w:rsidRPr="00F1714B">
        <w:rPr>
          <w:rFonts w:cs="Times New Roman"/>
          <w:szCs w:val="26"/>
        </w:rPr>
        <w:t>determine</w:t>
      </w:r>
      <w:r w:rsidR="00DC3A99" w:rsidRPr="00F1714B">
        <w:rPr>
          <w:rFonts w:cs="Times New Roman"/>
          <w:szCs w:val="26"/>
        </w:rPr>
        <w:t xml:space="preserve">d </w:t>
      </w:r>
      <w:r w:rsidR="00D11AE1" w:rsidRPr="00F1714B">
        <w:rPr>
          <w:rFonts w:cs="Times New Roman"/>
          <w:szCs w:val="26"/>
        </w:rPr>
        <w:t xml:space="preserve">that </w:t>
      </w:r>
      <w:r w:rsidR="00966501" w:rsidRPr="00F1714B">
        <w:rPr>
          <w:rFonts w:cs="Times New Roman"/>
          <w:szCs w:val="26"/>
        </w:rPr>
        <w:t xml:space="preserve">this consumer protection </w:t>
      </w:r>
      <w:r w:rsidR="00D11AE1" w:rsidRPr="00F1714B">
        <w:rPr>
          <w:rFonts w:cs="Times New Roman"/>
          <w:szCs w:val="26"/>
        </w:rPr>
        <w:t>remains necessary to continue to give specific instructions to our jurisdictional telecommunications companies</w:t>
      </w:r>
      <w:r w:rsidR="00354445" w:rsidRPr="00F1714B">
        <w:rPr>
          <w:rFonts w:cs="Times New Roman"/>
          <w:szCs w:val="26"/>
        </w:rPr>
        <w:t xml:space="preserve"> or LECs</w:t>
      </w:r>
      <w:r w:rsidR="00D11AE1" w:rsidRPr="00F1714B">
        <w:rPr>
          <w:rFonts w:cs="Times New Roman"/>
          <w:szCs w:val="26"/>
        </w:rPr>
        <w:t xml:space="preserve"> so that they </w:t>
      </w:r>
      <w:r w:rsidR="00DC3A99" w:rsidRPr="00F1714B">
        <w:rPr>
          <w:rFonts w:cs="Times New Roman"/>
          <w:szCs w:val="26"/>
        </w:rPr>
        <w:t xml:space="preserve">adequately </w:t>
      </w:r>
      <w:r w:rsidR="00D11AE1" w:rsidRPr="00F1714B">
        <w:rPr>
          <w:rFonts w:cs="Times New Roman"/>
          <w:szCs w:val="26"/>
        </w:rPr>
        <w:t xml:space="preserve">comply with </w:t>
      </w:r>
      <w:r w:rsidR="008C3259" w:rsidRPr="00F1714B">
        <w:rPr>
          <w:rFonts w:cs="Times New Roman"/>
          <w:szCs w:val="26"/>
        </w:rPr>
        <w:t xml:space="preserve">the privacy-related requirements at </w:t>
      </w:r>
      <w:r w:rsidR="00D11AE1" w:rsidRPr="00F1714B">
        <w:rPr>
          <w:rFonts w:cs="Times New Roman"/>
          <w:szCs w:val="26"/>
        </w:rPr>
        <w:t xml:space="preserve">66 Pa.C.S. § 3019(d).  </w:t>
      </w:r>
    </w:p>
    <w:p w14:paraId="2B3995A5" w14:textId="77777777" w:rsidR="00BB1533" w:rsidRPr="00F1714B" w:rsidRDefault="00BB1533" w:rsidP="00E55426">
      <w:pPr>
        <w:ind w:firstLine="720"/>
        <w:rPr>
          <w:rFonts w:cs="Times New Roman"/>
          <w:szCs w:val="26"/>
        </w:rPr>
      </w:pPr>
    </w:p>
    <w:p w14:paraId="25747F64" w14:textId="3F90F836" w:rsidR="00BB1533" w:rsidRPr="00F1714B" w:rsidRDefault="00450390" w:rsidP="00E55426">
      <w:pPr>
        <w:ind w:firstLine="720"/>
        <w:rPr>
          <w:rFonts w:cs="Times New Roman"/>
          <w:szCs w:val="26"/>
        </w:rPr>
      </w:pPr>
      <w:r w:rsidRPr="00F1714B">
        <w:rPr>
          <w:rFonts w:cs="Times New Roman"/>
          <w:szCs w:val="26"/>
        </w:rPr>
        <w:t>However, there are no compelling reasons to retain S</w:t>
      </w:r>
      <w:r w:rsidR="00BB1533" w:rsidRPr="00F1714B">
        <w:rPr>
          <w:rFonts w:cs="Times New Roman"/>
          <w:szCs w:val="26"/>
        </w:rPr>
        <w:t>ections 63.136 and 63.137</w:t>
      </w:r>
      <w:r w:rsidR="00063442" w:rsidRPr="00F1714B">
        <w:rPr>
          <w:rFonts w:cs="Times New Roman"/>
          <w:szCs w:val="26"/>
        </w:rPr>
        <w:t xml:space="preserve"> in </w:t>
      </w:r>
      <w:r w:rsidR="00506E10" w:rsidRPr="00F1714B">
        <w:rPr>
          <w:rFonts w:cs="Times New Roman"/>
          <w:szCs w:val="26"/>
        </w:rPr>
        <w:t>Subchapter J</w:t>
      </w:r>
      <w:r w:rsidR="00BB1533" w:rsidRPr="00F1714B">
        <w:rPr>
          <w:rFonts w:cs="Times New Roman"/>
          <w:szCs w:val="26"/>
        </w:rPr>
        <w:t xml:space="preserve">. </w:t>
      </w:r>
      <w:r w:rsidR="00063442" w:rsidRPr="00F1714B">
        <w:rPr>
          <w:rFonts w:cs="Times New Roman"/>
          <w:szCs w:val="26"/>
        </w:rPr>
        <w:t xml:space="preserve"> </w:t>
      </w:r>
      <w:r w:rsidR="00D86BC3" w:rsidRPr="00F1714B">
        <w:rPr>
          <w:rFonts w:cs="Times New Roman"/>
          <w:szCs w:val="26"/>
        </w:rPr>
        <w:t>T</w:t>
      </w:r>
      <w:r w:rsidR="00063442" w:rsidRPr="00F1714B">
        <w:rPr>
          <w:rFonts w:cs="Times New Roman"/>
          <w:szCs w:val="26"/>
        </w:rPr>
        <w:t xml:space="preserve">he Commission </w:t>
      </w:r>
      <w:r w:rsidR="00BB1533" w:rsidRPr="00F1714B">
        <w:rPr>
          <w:rFonts w:cs="Times New Roman"/>
          <w:szCs w:val="26"/>
        </w:rPr>
        <w:t>determine</w:t>
      </w:r>
      <w:r w:rsidR="00F35FAD" w:rsidRPr="00F1714B">
        <w:rPr>
          <w:rFonts w:cs="Times New Roman"/>
          <w:szCs w:val="26"/>
        </w:rPr>
        <w:t>s</w:t>
      </w:r>
      <w:r w:rsidR="00BB1533" w:rsidRPr="00F1714B">
        <w:rPr>
          <w:rFonts w:cs="Times New Roman"/>
          <w:szCs w:val="26"/>
        </w:rPr>
        <w:t xml:space="preserve"> it </w:t>
      </w:r>
      <w:r w:rsidR="00F35FAD" w:rsidRPr="00F1714B">
        <w:rPr>
          <w:rFonts w:cs="Times New Roman"/>
          <w:szCs w:val="26"/>
        </w:rPr>
        <w:t xml:space="preserve">is not </w:t>
      </w:r>
      <w:r w:rsidR="00BB1533" w:rsidRPr="00F1714B">
        <w:rPr>
          <w:rFonts w:cs="Times New Roman"/>
          <w:szCs w:val="26"/>
        </w:rPr>
        <w:t xml:space="preserve">necessary to retain </w:t>
      </w:r>
      <w:r w:rsidR="009B5563" w:rsidRPr="00F1714B">
        <w:rPr>
          <w:rFonts w:cs="Times New Roman"/>
          <w:szCs w:val="26"/>
        </w:rPr>
        <w:t xml:space="preserve">them </w:t>
      </w:r>
      <w:r w:rsidR="00BB1533" w:rsidRPr="00F1714B">
        <w:rPr>
          <w:rFonts w:cs="Times New Roman"/>
          <w:szCs w:val="26"/>
        </w:rPr>
        <w:t>in order to continue to give specific instructions to our jurisdictional telecommunications companies considering the circumstances regarding recent data breaches.</w:t>
      </w:r>
      <w:r w:rsidR="009B5563" w:rsidRPr="00F1714B">
        <w:rPr>
          <w:rFonts w:cs="Times New Roman"/>
          <w:szCs w:val="26"/>
        </w:rPr>
        <w:t xml:space="preserve"> Moreover, </w:t>
      </w:r>
      <w:r w:rsidR="00506E10" w:rsidRPr="00F1714B">
        <w:rPr>
          <w:rFonts w:cs="Times New Roman"/>
          <w:szCs w:val="26"/>
        </w:rPr>
        <w:t>j</w:t>
      </w:r>
      <w:r w:rsidR="00BB1533" w:rsidRPr="00F1714B">
        <w:rPr>
          <w:rFonts w:cs="Times New Roman"/>
          <w:szCs w:val="26"/>
        </w:rPr>
        <w:t xml:space="preserve">urisdictional </w:t>
      </w:r>
      <w:r w:rsidR="00506E10" w:rsidRPr="00F1714B">
        <w:rPr>
          <w:rFonts w:cs="Times New Roman"/>
          <w:szCs w:val="26"/>
        </w:rPr>
        <w:t xml:space="preserve">LECs </w:t>
      </w:r>
      <w:r w:rsidR="00BB1533" w:rsidRPr="00F1714B">
        <w:rPr>
          <w:rFonts w:cs="Times New Roman"/>
          <w:szCs w:val="26"/>
        </w:rPr>
        <w:t xml:space="preserve">remain subject to state laws even absent certain specific requirement being outlined in Subchapter J. </w:t>
      </w:r>
      <w:r w:rsidR="00506E10" w:rsidRPr="00F1714B">
        <w:rPr>
          <w:rFonts w:cs="Times New Roman"/>
          <w:szCs w:val="26"/>
        </w:rPr>
        <w:t xml:space="preserve"> </w:t>
      </w:r>
    </w:p>
    <w:p w14:paraId="0DEECFCD" w14:textId="77777777" w:rsidR="008C1887" w:rsidRPr="00F1714B" w:rsidRDefault="008C1887" w:rsidP="00E55426">
      <w:pPr>
        <w:ind w:firstLine="720"/>
        <w:rPr>
          <w:rFonts w:cs="Times New Roman"/>
          <w:szCs w:val="26"/>
        </w:rPr>
      </w:pPr>
    </w:p>
    <w:p w14:paraId="1BB5A905" w14:textId="07DFFE40" w:rsidR="00562970" w:rsidRPr="00F1714B" w:rsidRDefault="008C1887" w:rsidP="00E55426">
      <w:pPr>
        <w:ind w:firstLine="720"/>
        <w:rPr>
          <w:rFonts w:cs="Times New Roman"/>
          <w:szCs w:val="26"/>
        </w:rPr>
      </w:pPr>
      <w:r w:rsidRPr="00F1714B">
        <w:rPr>
          <w:rFonts w:cs="Times New Roman"/>
          <w:szCs w:val="26"/>
        </w:rPr>
        <w:t xml:space="preserve">The Commission also has </w:t>
      </w:r>
      <w:r w:rsidR="00445012" w:rsidRPr="00F1714B">
        <w:rPr>
          <w:rFonts w:cs="Times New Roman"/>
          <w:szCs w:val="26"/>
        </w:rPr>
        <w:t xml:space="preserve">considered the OCA’s comments </w:t>
      </w:r>
      <w:r w:rsidRPr="00F1714B">
        <w:rPr>
          <w:rFonts w:cs="Times New Roman"/>
          <w:szCs w:val="26"/>
        </w:rPr>
        <w:t xml:space="preserve">requesting us to </w:t>
      </w:r>
      <w:r w:rsidR="00445012" w:rsidRPr="00F1714B">
        <w:rPr>
          <w:rFonts w:cs="Times New Roman"/>
          <w:szCs w:val="26"/>
        </w:rPr>
        <w:t xml:space="preserve">incorporate some minimal </w:t>
      </w:r>
      <w:r w:rsidRPr="00F1714B">
        <w:rPr>
          <w:rFonts w:cs="Times New Roman"/>
          <w:szCs w:val="26"/>
        </w:rPr>
        <w:t xml:space="preserve">revisions to our proposed modifications to Subchapter J </w:t>
      </w:r>
      <w:r w:rsidR="00445012" w:rsidRPr="00F1714B">
        <w:rPr>
          <w:rFonts w:cs="Times New Roman"/>
          <w:szCs w:val="26"/>
        </w:rPr>
        <w:t xml:space="preserve">so as to better describe that the responsibilities </w:t>
      </w:r>
      <w:r w:rsidRPr="00F1714B">
        <w:rPr>
          <w:rFonts w:cs="Times New Roman"/>
          <w:szCs w:val="26"/>
        </w:rPr>
        <w:t xml:space="preserve">therein </w:t>
      </w:r>
      <w:r w:rsidR="00445012" w:rsidRPr="00F1714B">
        <w:rPr>
          <w:rFonts w:cs="Times New Roman"/>
          <w:szCs w:val="26"/>
        </w:rPr>
        <w:t xml:space="preserve">extend to agents as well as employees.  </w:t>
      </w:r>
      <w:r w:rsidR="00B60461" w:rsidRPr="00F1714B">
        <w:rPr>
          <w:rFonts w:cs="Times New Roman"/>
          <w:szCs w:val="26"/>
        </w:rPr>
        <w:t>We agree with OCA and will make th</w:t>
      </w:r>
      <w:r w:rsidR="00562970" w:rsidRPr="00F1714B">
        <w:rPr>
          <w:rFonts w:cs="Times New Roman"/>
          <w:szCs w:val="26"/>
        </w:rPr>
        <w:t xml:space="preserve">e </w:t>
      </w:r>
      <w:r w:rsidR="00B60461" w:rsidRPr="00F1714B">
        <w:rPr>
          <w:rFonts w:cs="Times New Roman"/>
          <w:szCs w:val="26"/>
        </w:rPr>
        <w:t>clarification</w:t>
      </w:r>
      <w:r w:rsidR="00562970" w:rsidRPr="00F1714B">
        <w:rPr>
          <w:rFonts w:cs="Times New Roman"/>
          <w:szCs w:val="26"/>
        </w:rPr>
        <w:t xml:space="preserve"> that the operational restrictions that apply to a telecommunications company itself, its employee, agent regarding the handling of customer communications and customer information or independent contractors, also apply to the agents, independent contractors, subsidiaries or affiliates of a party that has entered into a contractual relationship with the telecommunications company.</w:t>
      </w:r>
    </w:p>
    <w:p w14:paraId="64AFE433" w14:textId="77777777" w:rsidR="00562970" w:rsidRPr="00F1714B" w:rsidRDefault="00562970" w:rsidP="00E55426">
      <w:pPr>
        <w:ind w:firstLine="720"/>
        <w:rPr>
          <w:rFonts w:cs="Times New Roman"/>
          <w:szCs w:val="26"/>
        </w:rPr>
      </w:pPr>
    </w:p>
    <w:p w14:paraId="4CF8CEF6" w14:textId="35A087F1" w:rsidR="001D2120" w:rsidRPr="00F1714B" w:rsidRDefault="00FB5B2E" w:rsidP="00E55426">
      <w:pPr>
        <w:ind w:firstLine="720"/>
        <w:rPr>
          <w:rFonts w:cs="Times New Roman"/>
          <w:szCs w:val="26"/>
        </w:rPr>
      </w:pPr>
      <w:r w:rsidRPr="00F1714B">
        <w:rPr>
          <w:rFonts w:cs="Times New Roman"/>
          <w:szCs w:val="26"/>
        </w:rPr>
        <w:t xml:space="preserve">Additionally, Section 63.132 defines “agent” as “an individual or entity that performs work on behalf of a telecommunications public utility as the principal and is subject to this subchapter.”  We acknowledge as is currently drafted, the definition is </w:t>
      </w:r>
      <w:r w:rsidRPr="00F1714B">
        <w:rPr>
          <w:rFonts w:cs="Times New Roman"/>
          <w:szCs w:val="26"/>
        </w:rPr>
        <w:lastRenderedPageBreak/>
        <w:t xml:space="preserve">ambiguous </w:t>
      </w:r>
      <w:r w:rsidR="0006335D" w:rsidRPr="00F1714B">
        <w:rPr>
          <w:rFonts w:cs="Times New Roman"/>
          <w:szCs w:val="26"/>
        </w:rPr>
        <w:t>since</w:t>
      </w:r>
      <w:r w:rsidRPr="00F1714B">
        <w:rPr>
          <w:rFonts w:cs="Times New Roman"/>
          <w:szCs w:val="26"/>
        </w:rPr>
        <w:t xml:space="preserve"> “as the principal” could be construed as applying to the agent, rather than the public utility, making it appear as though the agent is the principal, rather than acting on behalf of the actual principal (i.e.</w:t>
      </w:r>
      <w:r w:rsidR="00B17AA8" w:rsidRPr="00F1714B">
        <w:rPr>
          <w:rFonts w:cs="Times New Roman"/>
          <w:szCs w:val="26"/>
        </w:rPr>
        <w:t>,</w:t>
      </w:r>
      <w:r w:rsidRPr="00F1714B">
        <w:rPr>
          <w:rFonts w:cs="Times New Roman"/>
          <w:szCs w:val="26"/>
        </w:rPr>
        <w:t xml:space="preserve"> the public utility). </w:t>
      </w:r>
      <w:r w:rsidR="00B17AA8" w:rsidRPr="00F1714B">
        <w:rPr>
          <w:rFonts w:cs="Times New Roman"/>
          <w:szCs w:val="26"/>
        </w:rPr>
        <w:t xml:space="preserve"> </w:t>
      </w:r>
      <w:r w:rsidR="0006335D" w:rsidRPr="00F1714B">
        <w:rPr>
          <w:rFonts w:cs="Times New Roman"/>
          <w:szCs w:val="26"/>
        </w:rPr>
        <w:t xml:space="preserve">We </w:t>
      </w:r>
      <w:r w:rsidR="00673932" w:rsidRPr="00F1714B">
        <w:rPr>
          <w:rFonts w:cs="Times New Roman"/>
          <w:szCs w:val="26"/>
        </w:rPr>
        <w:t xml:space="preserve">modify </w:t>
      </w:r>
      <w:r w:rsidRPr="00F1714B">
        <w:rPr>
          <w:rFonts w:cs="Times New Roman"/>
          <w:szCs w:val="26"/>
        </w:rPr>
        <w:t>the definition</w:t>
      </w:r>
      <w:r w:rsidR="00673932" w:rsidRPr="00F1714B">
        <w:rPr>
          <w:rFonts w:cs="Times New Roman"/>
          <w:szCs w:val="26"/>
        </w:rPr>
        <w:t xml:space="preserve"> to clarify </w:t>
      </w:r>
      <w:r w:rsidR="00933985" w:rsidRPr="00F1714B">
        <w:rPr>
          <w:rFonts w:cs="Times New Roman"/>
          <w:szCs w:val="26"/>
        </w:rPr>
        <w:t>and</w:t>
      </w:r>
      <w:r w:rsidR="00673932" w:rsidRPr="00F1714B">
        <w:rPr>
          <w:rFonts w:cs="Times New Roman"/>
          <w:szCs w:val="26"/>
        </w:rPr>
        <w:t xml:space="preserve"> cure this issue.  </w:t>
      </w:r>
    </w:p>
    <w:p w14:paraId="16ED98F5" w14:textId="77777777" w:rsidR="00562970" w:rsidRPr="00F1714B" w:rsidRDefault="00562970" w:rsidP="00E55426">
      <w:pPr>
        <w:ind w:firstLine="720"/>
        <w:rPr>
          <w:rFonts w:cs="Times New Roman"/>
          <w:szCs w:val="26"/>
        </w:rPr>
      </w:pPr>
    </w:p>
    <w:p w14:paraId="3D102801" w14:textId="7BBF0CCC" w:rsidR="00C313FB" w:rsidRPr="00F1714B" w:rsidRDefault="001D2120" w:rsidP="00E55426">
      <w:pPr>
        <w:ind w:firstLine="720"/>
        <w:rPr>
          <w:rFonts w:cs="Times New Roman"/>
          <w:b/>
          <w:szCs w:val="26"/>
        </w:rPr>
      </w:pPr>
      <w:r w:rsidRPr="00F1714B">
        <w:rPr>
          <w:rFonts w:cs="Times New Roman"/>
          <w:szCs w:val="26"/>
        </w:rPr>
        <w:t xml:space="preserve">Further, Section 63.132 defines “independent contractor” as “an individual or entity that performs work on behalf of a telecommunications public utility that is subject to this subchapter.”  In order to sufficiently distinguish an independent contractor from an employee, or an agent </w:t>
      </w:r>
      <w:r w:rsidR="0036194A" w:rsidRPr="00F1714B">
        <w:rPr>
          <w:rFonts w:cs="Times New Roman"/>
          <w:szCs w:val="26"/>
        </w:rPr>
        <w:t xml:space="preserve">the Commission will revise </w:t>
      </w:r>
      <w:r w:rsidRPr="00F1714B">
        <w:rPr>
          <w:rFonts w:cs="Times New Roman"/>
          <w:szCs w:val="26"/>
        </w:rPr>
        <w:t>the definition of “independent so that it clearly distinguishes and clarifies that an independent contractor is not an employee or agent of the public utility.</w:t>
      </w:r>
      <w:r w:rsidR="0036194A" w:rsidRPr="00F1714B">
        <w:rPr>
          <w:rFonts w:cs="Times New Roman"/>
          <w:szCs w:val="26"/>
        </w:rPr>
        <w:t xml:space="preserve">  </w:t>
      </w:r>
      <w:r w:rsidR="00DC3A99" w:rsidRPr="00F1714B">
        <w:rPr>
          <w:rFonts w:cs="Times New Roman"/>
          <w:szCs w:val="26"/>
        </w:rPr>
        <w:t xml:space="preserve">Accordingly, </w:t>
      </w:r>
      <w:r w:rsidR="009C28E9" w:rsidRPr="00F1714B">
        <w:rPr>
          <w:rFonts w:cs="Times New Roman"/>
          <w:szCs w:val="26"/>
        </w:rPr>
        <w:t xml:space="preserve">we </w:t>
      </w:r>
      <w:r w:rsidR="00FC29AF" w:rsidRPr="00F1714B">
        <w:rPr>
          <w:rFonts w:cs="Times New Roman"/>
          <w:szCs w:val="26"/>
        </w:rPr>
        <w:t xml:space="preserve">will clarify aspects of </w:t>
      </w:r>
      <w:r w:rsidR="009C28E9" w:rsidRPr="00F1714B">
        <w:rPr>
          <w:rFonts w:cs="Times New Roman"/>
          <w:szCs w:val="26"/>
        </w:rPr>
        <w:t xml:space="preserve">proposed modifications to Subchapter J </w:t>
      </w:r>
      <w:r w:rsidR="00FC29AF" w:rsidRPr="00F1714B">
        <w:rPr>
          <w:rFonts w:cs="Times New Roman"/>
          <w:szCs w:val="26"/>
        </w:rPr>
        <w:t xml:space="preserve">and adopt them </w:t>
      </w:r>
      <w:r w:rsidR="009C28E9" w:rsidRPr="00F1714B">
        <w:rPr>
          <w:rFonts w:cs="Times New Roman"/>
          <w:szCs w:val="26"/>
        </w:rPr>
        <w:t xml:space="preserve">as final </w:t>
      </w:r>
      <w:r w:rsidR="00CC341B" w:rsidRPr="00F1714B">
        <w:rPr>
          <w:rFonts w:cs="Times New Roman"/>
          <w:szCs w:val="26"/>
        </w:rPr>
        <w:t>which will be reflected in the Annex</w:t>
      </w:r>
      <w:r w:rsidR="009C28E9" w:rsidRPr="00F1714B">
        <w:rPr>
          <w:rFonts w:cs="Times New Roman"/>
          <w:szCs w:val="26"/>
        </w:rPr>
        <w:t xml:space="preserve">.  </w:t>
      </w:r>
    </w:p>
    <w:p w14:paraId="463927FE" w14:textId="36E8476D" w:rsidR="006F777B" w:rsidRPr="00F1714B" w:rsidRDefault="006F777B" w:rsidP="00DC5910">
      <w:pPr>
        <w:rPr>
          <w:rFonts w:cs="Times New Roman"/>
          <w:b/>
          <w:szCs w:val="26"/>
        </w:rPr>
      </w:pPr>
    </w:p>
    <w:p w14:paraId="364FE738" w14:textId="2AECA1F4" w:rsidR="00C602A4" w:rsidRPr="00F1714B" w:rsidRDefault="008E029B" w:rsidP="00E55426">
      <w:pPr>
        <w:ind w:firstLine="720"/>
        <w:rPr>
          <w:rFonts w:cs="Times New Roman"/>
          <w:szCs w:val="26"/>
        </w:rPr>
      </w:pPr>
      <w:r w:rsidRPr="00F1714B">
        <w:rPr>
          <w:rFonts w:cs="Times New Roman"/>
          <w:szCs w:val="26"/>
        </w:rPr>
        <w:t xml:space="preserve">We reject </w:t>
      </w:r>
      <w:r w:rsidR="00C06764" w:rsidRPr="00F1714B">
        <w:rPr>
          <w:rFonts w:cs="Times New Roman"/>
          <w:szCs w:val="26"/>
        </w:rPr>
        <w:t xml:space="preserve">any adverse comments regarding on our proposed </w:t>
      </w:r>
      <w:r w:rsidR="00BC69EE" w:rsidRPr="00F1714B">
        <w:rPr>
          <w:rFonts w:cs="Times New Roman"/>
          <w:szCs w:val="26"/>
        </w:rPr>
        <w:t>retention of Subchapters K, L</w:t>
      </w:r>
      <w:r w:rsidR="00DC5910" w:rsidRPr="00F1714B">
        <w:rPr>
          <w:rFonts w:cs="Times New Roman"/>
          <w:szCs w:val="26"/>
        </w:rPr>
        <w:t xml:space="preserve">, </w:t>
      </w:r>
      <w:r w:rsidR="00BC69EE" w:rsidRPr="00F1714B">
        <w:rPr>
          <w:rFonts w:cs="Times New Roman"/>
          <w:szCs w:val="26"/>
        </w:rPr>
        <w:t>M,</w:t>
      </w:r>
      <w:r w:rsidR="00DC5910" w:rsidRPr="00F1714B">
        <w:rPr>
          <w:rFonts w:cs="Times New Roman"/>
          <w:szCs w:val="26"/>
        </w:rPr>
        <w:t xml:space="preserve"> </w:t>
      </w:r>
      <w:r w:rsidR="00BC69EE" w:rsidRPr="00F1714B">
        <w:rPr>
          <w:rFonts w:cs="Times New Roman"/>
          <w:szCs w:val="26"/>
        </w:rPr>
        <w:t>N</w:t>
      </w:r>
      <w:r w:rsidR="00DC5910" w:rsidRPr="00F1714B">
        <w:rPr>
          <w:rFonts w:cs="Times New Roman"/>
          <w:szCs w:val="26"/>
        </w:rPr>
        <w:t>,</w:t>
      </w:r>
      <w:r w:rsidR="00BC69EE" w:rsidRPr="00F1714B">
        <w:rPr>
          <w:rFonts w:cs="Times New Roman"/>
          <w:szCs w:val="26"/>
        </w:rPr>
        <w:t xml:space="preserve"> and O</w:t>
      </w:r>
      <w:r w:rsidR="00007276" w:rsidRPr="00F1714B">
        <w:rPr>
          <w:rFonts w:cs="Times New Roman"/>
          <w:szCs w:val="26"/>
        </w:rPr>
        <w:t xml:space="preserve">, </w:t>
      </w:r>
      <w:r w:rsidR="00855DBC" w:rsidRPr="00F1714B">
        <w:rPr>
          <w:rFonts w:cs="Times New Roman"/>
          <w:szCs w:val="26"/>
        </w:rPr>
        <w:t xml:space="preserve">and </w:t>
      </w:r>
      <w:r w:rsidR="00BC69EE" w:rsidRPr="00F1714B">
        <w:rPr>
          <w:rFonts w:cs="Times New Roman"/>
          <w:szCs w:val="26"/>
        </w:rPr>
        <w:t xml:space="preserve">we </w:t>
      </w:r>
      <w:r w:rsidR="00EB616C" w:rsidRPr="00F1714B">
        <w:rPr>
          <w:rFonts w:cs="Times New Roman"/>
          <w:szCs w:val="26"/>
        </w:rPr>
        <w:t>adopt our proposal to retain these respective Subchapters</w:t>
      </w:r>
      <w:r w:rsidR="00BC69EE" w:rsidRPr="00F1714B">
        <w:rPr>
          <w:rFonts w:cs="Times New Roman"/>
          <w:szCs w:val="26"/>
        </w:rPr>
        <w:t xml:space="preserve"> </w:t>
      </w:r>
      <w:r w:rsidR="00EB616C" w:rsidRPr="00F1714B">
        <w:rPr>
          <w:rFonts w:cs="Times New Roman"/>
          <w:szCs w:val="26"/>
        </w:rPr>
        <w:t>in Chapter 63 of Title 52 of the Pa. Code.</w:t>
      </w:r>
      <w:r w:rsidR="0036324F" w:rsidRPr="00F1714B">
        <w:rPr>
          <w:rFonts w:cs="Times New Roman"/>
          <w:szCs w:val="26"/>
        </w:rPr>
        <w:t xml:space="preserve">  </w:t>
      </w:r>
    </w:p>
    <w:p w14:paraId="5BC2F16B" w14:textId="77777777" w:rsidR="0036324F" w:rsidRPr="00F1714B" w:rsidRDefault="0036324F" w:rsidP="00E55426">
      <w:pPr>
        <w:ind w:firstLine="720"/>
        <w:rPr>
          <w:rFonts w:cs="Times New Roman"/>
          <w:szCs w:val="26"/>
        </w:rPr>
      </w:pPr>
    </w:p>
    <w:p w14:paraId="71326A35" w14:textId="69C439F0" w:rsidR="00C06764" w:rsidRPr="00F1714B" w:rsidRDefault="00EB616C" w:rsidP="00E55426">
      <w:pPr>
        <w:ind w:firstLine="720"/>
        <w:rPr>
          <w:rFonts w:cs="Times New Roman"/>
          <w:szCs w:val="26"/>
        </w:rPr>
      </w:pPr>
      <w:r w:rsidRPr="00F1714B">
        <w:rPr>
          <w:rFonts w:cs="Times New Roman"/>
          <w:szCs w:val="26"/>
        </w:rPr>
        <w:t xml:space="preserve">Accordingly, we </w:t>
      </w:r>
      <w:r w:rsidR="0036324F" w:rsidRPr="00F1714B">
        <w:rPr>
          <w:rFonts w:cs="Times New Roman"/>
          <w:szCs w:val="26"/>
        </w:rPr>
        <w:t xml:space="preserve">need not take any </w:t>
      </w:r>
      <w:r w:rsidR="00BC69EE" w:rsidRPr="00F1714B">
        <w:rPr>
          <w:rFonts w:cs="Times New Roman"/>
          <w:szCs w:val="26"/>
        </w:rPr>
        <w:t xml:space="preserve">further action </w:t>
      </w:r>
      <w:r w:rsidR="00007276" w:rsidRPr="00F1714B">
        <w:rPr>
          <w:rFonts w:cs="Times New Roman"/>
          <w:szCs w:val="26"/>
        </w:rPr>
        <w:t xml:space="preserve">to modify </w:t>
      </w:r>
      <w:r w:rsidRPr="00F1714B">
        <w:rPr>
          <w:rFonts w:cs="Times New Roman"/>
          <w:szCs w:val="26"/>
        </w:rPr>
        <w:t xml:space="preserve">the final-form regulation </w:t>
      </w:r>
      <w:r w:rsidR="0036324F" w:rsidRPr="00F1714B">
        <w:rPr>
          <w:rFonts w:cs="Times New Roman"/>
          <w:szCs w:val="26"/>
        </w:rPr>
        <w:t>for these Subchapters</w:t>
      </w:r>
      <w:r w:rsidR="00C06764" w:rsidRPr="00F1714B">
        <w:rPr>
          <w:rFonts w:cs="Times New Roman"/>
          <w:szCs w:val="26"/>
        </w:rPr>
        <w:t>.</w:t>
      </w:r>
    </w:p>
    <w:p w14:paraId="27EF8A13" w14:textId="61E20A2C" w:rsidR="00F84C00" w:rsidRPr="00F1714B" w:rsidRDefault="00F84C00" w:rsidP="00E55426">
      <w:pPr>
        <w:ind w:firstLine="720"/>
        <w:rPr>
          <w:rFonts w:cs="Times New Roman"/>
          <w:szCs w:val="26"/>
        </w:rPr>
      </w:pPr>
    </w:p>
    <w:p w14:paraId="3B284AF5" w14:textId="77777777" w:rsidR="00F84C00" w:rsidRPr="00F1714B" w:rsidRDefault="00F84C00" w:rsidP="00F747D8">
      <w:pPr>
        <w:numPr>
          <w:ilvl w:val="0"/>
          <w:numId w:val="8"/>
        </w:numPr>
        <w:spacing w:line="240" w:lineRule="auto"/>
        <w:contextualSpacing/>
        <w:rPr>
          <w:rFonts w:eastAsia="Calibri" w:cs="Times New Roman"/>
          <w:b/>
          <w:bCs/>
          <w:szCs w:val="26"/>
        </w:rPr>
      </w:pPr>
      <w:r w:rsidRPr="00F1714B">
        <w:rPr>
          <w:rFonts w:eastAsia="Calibri" w:cs="Times New Roman"/>
          <w:b/>
          <w:bCs/>
          <w:szCs w:val="26"/>
        </w:rPr>
        <w:t>CHAPTER 64.  STANDARDS AND BILLING PRACTICES FOR RESIDENTIAL TELEPHONE SERVICE</w:t>
      </w:r>
    </w:p>
    <w:p w14:paraId="13D07B3D" w14:textId="77777777" w:rsidR="00F84C00" w:rsidRPr="00F1714B" w:rsidRDefault="00F84C00" w:rsidP="00F747D8">
      <w:pPr>
        <w:spacing w:line="240" w:lineRule="auto"/>
        <w:rPr>
          <w:rFonts w:eastAsia="Calibri" w:cs="Times New Roman"/>
          <w:szCs w:val="26"/>
        </w:rPr>
      </w:pPr>
    </w:p>
    <w:p w14:paraId="40148BA8" w14:textId="6504730F" w:rsidR="00F84C00" w:rsidRPr="00F1714B" w:rsidRDefault="00F84C00" w:rsidP="00F747D8">
      <w:pPr>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bCs/>
          <w:szCs w:val="26"/>
        </w:rPr>
        <w:t xml:space="preserve">The Chapter 64 regulations are titled “Standards and Billing Practices for Residential Telephone Service” and address the following items involving interactions with customers: </w:t>
      </w:r>
      <w:bookmarkStart w:id="54" w:name="_Hlk81307251"/>
      <w:r w:rsidRPr="00F1714B">
        <w:rPr>
          <w:rFonts w:eastAsia="Calibri" w:cs="Times New Roman"/>
          <w:bCs/>
          <w:szCs w:val="26"/>
        </w:rPr>
        <w:t>billing and payment, credit and deposit, termination, restoration of service, and complaint handling</w:t>
      </w:r>
      <w:bookmarkEnd w:id="54"/>
      <w:r w:rsidRPr="00F1714B">
        <w:rPr>
          <w:rFonts w:eastAsia="Calibri" w:cs="Times New Roman"/>
          <w:bCs/>
          <w:szCs w:val="26"/>
        </w:rPr>
        <w:t>.  In the</w:t>
      </w:r>
      <w:r w:rsidRPr="00F1714B">
        <w:rPr>
          <w:rFonts w:eastAsia="Calibri" w:cs="Times New Roman"/>
          <w:bCs/>
          <w:i/>
          <w:iCs/>
          <w:szCs w:val="26"/>
        </w:rPr>
        <w:t xml:space="preserve"> </w:t>
      </w:r>
      <w:r w:rsidRPr="00F1714B">
        <w:rPr>
          <w:rFonts w:eastAsia="Calibri" w:cs="Times New Roman"/>
          <w:bCs/>
          <w:szCs w:val="26"/>
        </w:rPr>
        <w:t xml:space="preserve">reclassification proceeding, Verizon requested a </w:t>
      </w:r>
      <w:r w:rsidRPr="00F1714B">
        <w:rPr>
          <w:rFonts w:eastAsia="Calibri" w:cs="Times New Roman"/>
          <w:bCs/>
          <w:szCs w:val="26"/>
        </w:rPr>
        <w:lastRenderedPageBreak/>
        <w:t>waiver of the entire Chapter 64 regulations at 52 Pa. Code §§ 64.1—64.213.</w:t>
      </w:r>
      <w:r w:rsidRPr="00F1714B">
        <w:rPr>
          <w:rFonts w:eastAsia="Calibri" w:cs="Times New Roman"/>
          <w:bCs/>
          <w:szCs w:val="26"/>
          <w:vertAlign w:val="superscript"/>
        </w:rPr>
        <w:footnoteReference w:id="76"/>
      </w:r>
      <w:r w:rsidRPr="00F1714B">
        <w:rPr>
          <w:rFonts w:eastAsia="Calibri" w:cs="Times New Roman"/>
          <w:bCs/>
          <w:szCs w:val="26"/>
        </w:rPr>
        <w:t xml:space="preserve">  However, we concluded that certain protections were still needed, and we addressed the regulations individually and granted, in part, and denied, in part, Verizon’s request to waive our entire Chapter 64 regulations in competitive wire centers.</w:t>
      </w:r>
      <w:r w:rsidRPr="00F1714B">
        <w:rPr>
          <w:rFonts w:eastAsia="Calibri" w:cs="Times New Roman"/>
          <w:bCs/>
          <w:szCs w:val="26"/>
          <w:vertAlign w:val="superscript"/>
        </w:rPr>
        <w:footnoteReference w:id="77"/>
      </w:r>
      <w:r w:rsidRPr="00F1714B">
        <w:rPr>
          <w:rFonts w:eastAsia="Calibri" w:cs="Times New Roman"/>
          <w:bCs/>
          <w:szCs w:val="26"/>
        </w:rPr>
        <w:t xml:space="preserve">  </w:t>
      </w:r>
    </w:p>
    <w:p w14:paraId="6F3E8438" w14:textId="77777777" w:rsidR="00F84C00" w:rsidRPr="00F1714B" w:rsidRDefault="00F84C00" w:rsidP="00F84C00">
      <w:pPr>
        <w:tabs>
          <w:tab w:val="left" w:pos="720"/>
          <w:tab w:val="left" w:pos="1440"/>
        </w:tabs>
        <w:rPr>
          <w:rFonts w:eastAsia="Calibri" w:cs="Times New Roman"/>
          <w:bCs/>
          <w:szCs w:val="26"/>
        </w:rPr>
      </w:pPr>
    </w:p>
    <w:p w14:paraId="4C635087" w14:textId="76BEFC9C"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Likewise, </w:t>
      </w:r>
      <w:r w:rsidR="002575FE" w:rsidRPr="00F1714B">
        <w:rPr>
          <w:rFonts w:eastAsia="Calibri" w:cs="Times New Roman"/>
          <w:bCs/>
          <w:szCs w:val="26"/>
        </w:rPr>
        <w:t xml:space="preserve">because </w:t>
      </w:r>
      <w:r w:rsidRPr="00F1714B">
        <w:rPr>
          <w:rFonts w:eastAsia="Calibri" w:cs="Times New Roman"/>
          <w:bCs/>
          <w:szCs w:val="26"/>
        </w:rPr>
        <w:t xml:space="preserve">Verizon’s proprietary data was inconclusive, we again concluded that certain protections were still needed and in the </w:t>
      </w:r>
      <w:r w:rsidRPr="00F1714B">
        <w:rPr>
          <w:rFonts w:eastAsia="Calibri" w:cs="Times New Roman"/>
          <w:bCs/>
          <w:i/>
          <w:iCs/>
          <w:szCs w:val="26"/>
        </w:rPr>
        <w:t>NPRM Order</w:t>
      </w:r>
      <w:r w:rsidRPr="00F1714B">
        <w:rPr>
          <w:rFonts w:eastAsia="Calibri" w:cs="Times New Roman"/>
          <w:bCs/>
          <w:szCs w:val="26"/>
        </w:rPr>
        <w:t xml:space="preserve"> we proposed to retain most of the Chapter 64 regulations and </w:t>
      </w:r>
      <w:r w:rsidRPr="00F1714B">
        <w:rPr>
          <w:rFonts w:eastAsia="Calibri" w:cs="Times New Roman"/>
          <w:szCs w:val="26"/>
        </w:rPr>
        <w:t xml:space="preserve">have them apply in all local calling areas, whether competitive or noncompetitive.  We also </w:t>
      </w:r>
      <w:r w:rsidRPr="00F1714B">
        <w:rPr>
          <w:rFonts w:eastAsia="Calibri" w:cs="Times New Roman"/>
          <w:bCs/>
          <w:szCs w:val="26"/>
        </w:rPr>
        <w:t xml:space="preserve">proposed to rename the Chapter as “Standards and Billing Practices for Residential Telecommunications Service.”  We set forth these proposals to the Chapter 64 regulations in the Annex. </w:t>
      </w:r>
    </w:p>
    <w:p w14:paraId="1915325F" w14:textId="77777777" w:rsidR="00F84C00" w:rsidRPr="00F1714B" w:rsidRDefault="00F84C00" w:rsidP="00F84C00">
      <w:pPr>
        <w:tabs>
          <w:tab w:val="left" w:pos="720"/>
          <w:tab w:val="left" w:pos="1440"/>
        </w:tabs>
        <w:rPr>
          <w:rFonts w:eastAsia="Calibri" w:cs="Times New Roman"/>
          <w:bCs/>
          <w:szCs w:val="26"/>
        </w:rPr>
      </w:pPr>
    </w:p>
    <w:p w14:paraId="5D3A2C7E" w14:textId="77777777" w:rsidR="00F84C00" w:rsidRPr="00F1714B" w:rsidRDefault="00F84C00" w:rsidP="00F747D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1BC9D0A4" w14:textId="16C16399" w:rsidR="00F84C00" w:rsidRDefault="00F84C00" w:rsidP="00F84C00">
      <w:pPr>
        <w:ind w:firstLine="720"/>
        <w:rPr>
          <w:rFonts w:eastAsia="Calibri" w:cs="Times New Roman"/>
        </w:rPr>
      </w:pPr>
      <w:r w:rsidRPr="00F1714B">
        <w:rPr>
          <w:rFonts w:eastAsia="Calibri" w:cs="Times New Roman"/>
        </w:rPr>
        <w:t>The OCA supports the Commission’s proposal to retain “the majority of the Chapter 64 regulations” in all geographic areas, competitive and noncompetitive</w:t>
      </w:r>
      <w:r w:rsidR="00846A80" w:rsidRPr="00F1714B">
        <w:rPr>
          <w:rFonts w:eastAsia="Calibri" w:cs="Times New Roman"/>
        </w:rPr>
        <w:t>,</w:t>
      </w:r>
      <w:r w:rsidRPr="00F1714B">
        <w:rPr>
          <w:rFonts w:eastAsia="Calibri" w:cs="Times New Roman"/>
        </w:rPr>
        <w:t xml:space="preserve"> and to forego a bifurcated set of rules.  OCA Comments at 16.  OCA posits that these rules are necessary to protect consumers relative to suspension or disconnection of service and to promote continuity of service. </w:t>
      </w:r>
      <w:bookmarkStart w:id="55" w:name="_Hlk76117771"/>
      <w:r w:rsidRPr="00F1714B">
        <w:rPr>
          <w:rFonts w:eastAsia="Calibri" w:cs="Times New Roman"/>
        </w:rPr>
        <w:t xml:space="preserve"> OCA Comments at 17. </w:t>
      </w:r>
      <w:bookmarkEnd w:id="55"/>
      <w:r w:rsidRPr="00F1714B">
        <w:rPr>
          <w:rFonts w:eastAsia="Calibri" w:cs="Times New Roman"/>
        </w:rPr>
        <w:t xml:space="preserve"> According to OCA, “[t]he public benefits of the Chapter 64 regulations extend beyond just the LEC and consumer relationship.”  OCA Comments at 17. </w:t>
      </w:r>
    </w:p>
    <w:p w14:paraId="1416A95F" w14:textId="77777777" w:rsidR="00F747D8" w:rsidRPr="00F1714B" w:rsidRDefault="00F747D8" w:rsidP="00F84C00">
      <w:pPr>
        <w:ind w:firstLine="720"/>
        <w:rPr>
          <w:rFonts w:eastAsia="Calibri" w:cs="Times New Roman"/>
        </w:rPr>
      </w:pPr>
    </w:p>
    <w:p w14:paraId="2855E884" w14:textId="6BF83461" w:rsidR="00F84C00" w:rsidRDefault="00F84C00" w:rsidP="00F84C00">
      <w:pPr>
        <w:ind w:firstLine="720"/>
        <w:rPr>
          <w:rFonts w:eastAsia="Calibri" w:cs="Times New Roman"/>
        </w:rPr>
      </w:pPr>
      <w:r w:rsidRPr="00F1714B">
        <w:rPr>
          <w:rFonts w:eastAsia="Calibri" w:cs="Times New Roman"/>
        </w:rPr>
        <w:t xml:space="preserve">Verizon opposes the Commission’s proposal to reinstate “large portions of its Chapter 64 regulations” because in Verizon’s view, the rules are unnecessary and obsolete in a competitive environment and because, in the absence of the rules, the Commission would retain authority to </w:t>
      </w:r>
      <w:r w:rsidR="00846A80" w:rsidRPr="00F1714B">
        <w:rPr>
          <w:rFonts w:eastAsia="Calibri" w:cs="Times New Roman"/>
        </w:rPr>
        <w:t xml:space="preserve">rein </w:t>
      </w:r>
      <w:r w:rsidRPr="00F1714B">
        <w:rPr>
          <w:rFonts w:eastAsia="Calibri" w:cs="Times New Roman"/>
        </w:rPr>
        <w:t xml:space="preserve">in unreasonable practices pursuant to </w:t>
      </w:r>
      <w:r w:rsidR="00846A80" w:rsidRPr="00F1714B">
        <w:rPr>
          <w:rFonts w:eastAsia="Calibri" w:cs="Times New Roman"/>
        </w:rPr>
        <w:t>S</w:t>
      </w:r>
      <w:r w:rsidRPr="00F1714B">
        <w:rPr>
          <w:rFonts w:eastAsia="Calibri" w:cs="Times New Roman"/>
        </w:rPr>
        <w:t xml:space="preserve">ections 1501 and 1509 of the Code.  Verizon Comments at 26-27.  Verizon notes that the Commission previously waived the rules in competitive areas based on its finding that </w:t>
      </w:r>
      <w:r w:rsidRPr="00F1714B">
        <w:rPr>
          <w:rFonts w:eastAsia="Calibri" w:cs="Times New Roman"/>
        </w:rPr>
        <w:lastRenderedPageBreak/>
        <w:t xml:space="preserve">market forces provide Verizon with sufficient incentive to meet reasonable customer expectations.  Verizon Comments at 27.  Verizon argues that the rules are “anti-competitive” because they do not apply to unregulated carriers and because ILEC customers are “often confused” by bills that conform to the rules.  Verizon Comments at 27-28.  Verizon proposes that the Commission eliminate the rules entirely, or else apply them only to </w:t>
      </w:r>
      <w:r w:rsidR="00846A80" w:rsidRPr="00F1714B">
        <w:rPr>
          <w:rFonts w:eastAsia="Calibri" w:cs="Times New Roman"/>
        </w:rPr>
        <w:t xml:space="preserve">residential </w:t>
      </w:r>
      <w:r w:rsidRPr="00F1714B">
        <w:rPr>
          <w:rFonts w:eastAsia="Calibri" w:cs="Times New Roman"/>
        </w:rPr>
        <w:t xml:space="preserve">basic </w:t>
      </w:r>
      <w:r w:rsidR="00846A80" w:rsidRPr="00F1714B">
        <w:rPr>
          <w:rFonts w:eastAsia="Calibri" w:cs="Times New Roman"/>
        </w:rPr>
        <w:t xml:space="preserve">local exchange </w:t>
      </w:r>
      <w:r w:rsidRPr="00F1714B">
        <w:rPr>
          <w:rFonts w:eastAsia="Calibri" w:cs="Times New Roman"/>
        </w:rPr>
        <w:t>service, with a sunset date of end of 2023.  Verizon Comments at 28.</w:t>
      </w:r>
    </w:p>
    <w:p w14:paraId="2BFE52C5" w14:textId="77777777" w:rsidR="00712CD8" w:rsidRPr="00F1714B" w:rsidRDefault="00712CD8" w:rsidP="00F84C00">
      <w:pPr>
        <w:ind w:firstLine="720"/>
        <w:rPr>
          <w:rFonts w:eastAsia="Calibri" w:cs="Times New Roman"/>
        </w:rPr>
      </w:pPr>
    </w:p>
    <w:p w14:paraId="78881D63" w14:textId="77777777" w:rsidR="00F84C00" w:rsidRPr="00F1714B" w:rsidRDefault="00F84C00" w:rsidP="00F84C00">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18DC5E20" w14:textId="225C50E0" w:rsidR="00F84C00" w:rsidRDefault="00F84C00" w:rsidP="00F747D8">
      <w:pPr>
        <w:rPr>
          <w:rFonts w:eastAsia="Calibri" w:cs="Times New Roman"/>
          <w:bCs/>
          <w:szCs w:val="26"/>
        </w:rPr>
      </w:pPr>
      <w:r w:rsidRPr="00F1714B">
        <w:rPr>
          <w:rFonts w:eastAsia="Calibri" w:cs="Times New Roman"/>
          <w:bCs/>
          <w:szCs w:val="26"/>
        </w:rPr>
        <w:tab/>
        <w:t>For the same reasons set forth in our discussion of the parties’ general comments with respect to this rulemaking overall,</w:t>
      </w:r>
      <w:r w:rsidRPr="00F1714B">
        <w:rPr>
          <w:rStyle w:val="FootnoteReference"/>
          <w:rFonts w:eastAsia="Calibri" w:cs="Times New Roman"/>
          <w:bCs/>
          <w:szCs w:val="26"/>
        </w:rPr>
        <w:footnoteReference w:id="78"/>
      </w:r>
      <w:r w:rsidRPr="00F1714B">
        <w:rPr>
          <w:rFonts w:eastAsia="Calibri" w:cs="Times New Roman"/>
          <w:bCs/>
          <w:szCs w:val="26"/>
        </w:rPr>
        <w:t xml:space="preserve"> we conclude that wholesale elimination of our Chapter 64 regulations is not appropriate.  We note that the Chapter 64 regulations address the concrete essentials of the carrier-customer relationship </w:t>
      </w:r>
      <w:r w:rsidR="000947BD" w:rsidRPr="00F1714B">
        <w:rPr>
          <w:rFonts w:eastAsia="Calibri" w:cs="Times New Roman"/>
          <w:bCs/>
          <w:szCs w:val="26"/>
        </w:rPr>
        <w:t>that</w:t>
      </w:r>
      <w:r w:rsidRPr="00F1714B">
        <w:rPr>
          <w:rFonts w:eastAsia="Calibri" w:cs="Times New Roman"/>
          <w:bCs/>
          <w:szCs w:val="26"/>
        </w:rPr>
        <w:t xml:space="preserve"> include</w:t>
      </w:r>
      <w:r w:rsidR="000947BD" w:rsidRPr="00F1714B">
        <w:rPr>
          <w:rFonts w:eastAsia="Calibri" w:cs="Times New Roman"/>
          <w:bCs/>
          <w:szCs w:val="26"/>
        </w:rPr>
        <w:t>s</w:t>
      </w:r>
      <w:r w:rsidRPr="00F1714B">
        <w:rPr>
          <w:rFonts w:eastAsia="Calibri" w:cs="Times New Roman"/>
          <w:bCs/>
          <w:szCs w:val="26"/>
        </w:rPr>
        <w:t xml:space="preserve"> billing and payment, </w:t>
      </w:r>
      <w:r w:rsidR="0076396D" w:rsidRPr="00F1714B">
        <w:rPr>
          <w:rFonts w:eastAsia="Calibri" w:cs="Times New Roman"/>
          <w:bCs/>
          <w:szCs w:val="26"/>
        </w:rPr>
        <w:t>suspension/</w:t>
      </w:r>
      <w:r w:rsidRPr="00F1714B">
        <w:rPr>
          <w:rFonts w:eastAsia="Calibri" w:cs="Times New Roman"/>
          <w:bCs/>
          <w:szCs w:val="26"/>
        </w:rPr>
        <w:t>termination</w:t>
      </w:r>
      <w:r w:rsidR="0076396D" w:rsidRPr="00F1714B">
        <w:rPr>
          <w:rFonts w:eastAsia="Calibri" w:cs="Times New Roman"/>
          <w:bCs/>
          <w:szCs w:val="26"/>
        </w:rPr>
        <w:t xml:space="preserve"> of service</w:t>
      </w:r>
      <w:r w:rsidRPr="00F1714B">
        <w:rPr>
          <w:rFonts w:eastAsia="Calibri" w:cs="Times New Roman"/>
          <w:bCs/>
          <w:szCs w:val="26"/>
        </w:rPr>
        <w:t>, restoration of service, and customer complaints</w:t>
      </w:r>
      <w:r w:rsidR="00846A80" w:rsidRPr="00F1714B">
        <w:rPr>
          <w:rFonts w:eastAsia="Calibri" w:cs="Times New Roman"/>
          <w:bCs/>
          <w:szCs w:val="26"/>
        </w:rPr>
        <w:t xml:space="preserve">. </w:t>
      </w:r>
      <w:r w:rsidRPr="00F1714B">
        <w:rPr>
          <w:rFonts w:eastAsia="Calibri" w:cs="Times New Roman"/>
          <w:bCs/>
          <w:szCs w:val="26"/>
        </w:rPr>
        <w:t xml:space="preserve"> </w:t>
      </w:r>
      <w:r w:rsidR="00846A80" w:rsidRPr="00F1714B">
        <w:rPr>
          <w:rFonts w:eastAsia="Calibri" w:cs="Times New Roman"/>
          <w:bCs/>
          <w:szCs w:val="26"/>
        </w:rPr>
        <w:t>W</w:t>
      </w:r>
      <w:r w:rsidRPr="00F1714B">
        <w:rPr>
          <w:rFonts w:eastAsia="Calibri" w:cs="Times New Roman"/>
          <w:bCs/>
          <w:szCs w:val="26"/>
        </w:rPr>
        <w:t xml:space="preserve">e find that </w:t>
      </w:r>
      <w:r w:rsidR="00C309A5" w:rsidRPr="00F1714B">
        <w:rPr>
          <w:rFonts w:eastAsia="Calibri" w:cs="Times New Roman"/>
          <w:bCs/>
          <w:szCs w:val="26"/>
        </w:rPr>
        <w:t xml:space="preserve">having specific standards in these </w:t>
      </w:r>
      <w:r w:rsidR="00877B70" w:rsidRPr="00F1714B">
        <w:rPr>
          <w:rFonts w:eastAsia="Calibri" w:cs="Times New Roman"/>
          <w:bCs/>
          <w:szCs w:val="26"/>
        </w:rPr>
        <w:t xml:space="preserve">technical </w:t>
      </w:r>
      <w:r w:rsidR="0051564F" w:rsidRPr="00F1714B">
        <w:rPr>
          <w:rFonts w:eastAsia="Calibri" w:cs="Times New Roman"/>
          <w:bCs/>
          <w:szCs w:val="26"/>
        </w:rPr>
        <w:t xml:space="preserve">subject </w:t>
      </w:r>
      <w:r w:rsidR="00C309A5" w:rsidRPr="00F1714B">
        <w:rPr>
          <w:rFonts w:eastAsia="Calibri" w:cs="Times New Roman"/>
          <w:bCs/>
          <w:szCs w:val="26"/>
        </w:rPr>
        <w:t xml:space="preserve">areas provides useful guidance to both </w:t>
      </w:r>
      <w:r w:rsidR="0051564F" w:rsidRPr="00F1714B">
        <w:rPr>
          <w:rFonts w:eastAsia="Calibri" w:cs="Times New Roman"/>
          <w:bCs/>
          <w:szCs w:val="26"/>
        </w:rPr>
        <w:t xml:space="preserve">our </w:t>
      </w:r>
      <w:r w:rsidR="00C309A5" w:rsidRPr="00F1714B">
        <w:rPr>
          <w:rFonts w:eastAsia="Calibri" w:cs="Times New Roman"/>
          <w:bCs/>
          <w:szCs w:val="26"/>
        </w:rPr>
        <w:t xml:space="preserve">regulated utilities and their customers.  Also, </w:t>
      </w:r>
      <w:r w:rsidRPr="00F1714B">
        <w:rPr>
          <w:rFonts w:eastAsia="Calibri" w:cs="Times New Roman"/>
          <w:bCs/>
          <w:szCs w:val="26"/>
        </w:rPr>
        <w:t xml:space="preserve">no party has submitted substantial evidence which would reasonably persuade us to abandon those regulations overall.  </w:t>
      </w:r>
      <w:r w:rsidR="00074D55" w:rsidRPr="00F1714B">
        <w:rPr>
          <w:rFonts w:eastAsia="Calibri" w:cs="Times New Roman"/>
          <w:bCs/>
          <w:szCs w:val="26"/>
        </w:rPr>
        <w:t>A</w:t>
      </w:r>
      <w:r w:rsidRPr="00F1714B">
        <w:rPr>
          <w:rFonts w:eastAsia="Calibri" w:cs="Times New Roman"/>
          <w:bCs/>
          <w:szCs w:val="26"/>
        </w:rPr>
        <w:t xml:space="preserve">lthough Verizon </w:t>
      </w:r>
      <w:r w:rsidR="00074D55" w:rsidRPr="00F1714B">
        <w:rPr>
          <w:rFonts w:eastAsia="Calibri" w:cs="Times New Roman"/>
          <w:bCs/>
          <w:szCs w:val="26"/>
        </w:rPr>
        <w:t xml:space="preserve">states </w:t>
      </w:r>
      <w:r w:rsidRPr="00F1714B">
        <w:rPr>
          <w:rFonts w:eastAsia="Calibri" w:cs="Times New Roman"/>
          <w:bCs/>
          <w:szCs w:val="26"/>
        </w:rPr>
        <w:t xml:space="preserve">that customers are “often confused” by bills that conform to the rules, Verizon provides no </w:t>
      </w:r>
      <w:r w:rsidR="00846A80" w:rsidRPr="00F1714B">
        <w:rPr>
          <w:rFonts w:eastAsia="Calibri" w:cs="Times New Roman"/>
          <w:bCs/>
          <w:szCs w:val="26"/>
        </w:rPr>
        <w:t xml:space="preserve">facts to support this assertion, e.g., </w:t>
      </w:r>
      <w:r w:rsidR="00074D55" w:rsidRPr="00F1714B">
        <w:rPr>
          <w:rFonts w:eastAsia="Calibri" w:cs="Times New Roman"/>
          <w:bCs/>
          <w:szCs w:val="26"/>
        </w:rPr>
        <w:t xml:space="preserve">(1) </w:t>
      </w:r>
      <w:r w:rsidRPr="00F1714B">
        <w:rPr>
          <w:rFonts w:eastAsia="Calibri" w:cs="Times New Roman"/>
          <w:bCs/>
          <w:szCs w:val="26"/>
        </w:rPr>
        <w:t xml:space="preserve">what percentage of its customers are “confused,” </w:t>
      </w:r>
      <w:r w:rsidR="00074D55" w:rsidRPr="00F1714B">
        <w:rPr>
          <w:rFonts w:eastAsia="Calibri" w:cs="Times New Roman"/>
          <w:bCs/>
          <w:szCs w:val="26"/>
        </w:rPr>
        <w:t xml:space="preserve">(2) </w:t>
      </w:r>
      <w:r w:rsidRPr="00F1714B">
        <w:rPr>
          <w:rFonts w:eastAsia="Calibri" w:cs="Times New Roman"/>
          <w:bCs/>
          <w:szCs w:val="26"/>
        </w:rPr>
        <w:t>in what manner the rules may have caused confusion</w:t>
      </w:r>
      <w:r w:rsidR="00846A80" w:rsidRPr="00F1714B">
        <w:rPr>
          <w:rFonts w:eastAsia="Calibri" w:cs="Times New Roman"/>
          <w:bCs/>
          <w:szCs w:val="26"/>
        </w:rPr>
        <w:t>, and (3)</w:t>
      </w:r>
      <w:r w:rsidRPr="00F1714B">
        <w:rPr>
          <w:rFonts w:eastAsia="Calibri" w:cs="Times New Roman"/>
          <w:bCs/>
          <w:szCs w:val="26"/>
        </w:rPr>
        <w:t xml:space="preserve"> how elimination of the Chapter 64 regulations might resolve that confusion.  Verizon Comments at 27. </w:t>
      </w:r>
      <w:r w:rsidR="00846A80" w:rsidRPr="00F1714B">
        <w:rPr>
          <w:rFonts w:eastAsia="Calibri" w:cs="Times New Roman"/>
          <w:bCs/>
          <w:szCs w:val="26"/>
        </w:rPr>
        <w:t>O</w:t>
      </w:r>
      <w:r w:rsidRPr="00F1714B">
        <w:rPr>
          <w:rFonts w:eastAsia="Calibri" w:cs="Times New Roman"/>
          <w:bCs/>
          <w:szCs w:val="26"/>
        </w:rPr>
        <w:t>ur discussion relative to individual Chapter 64 regulations, set forth below, sheds further light on our overall determination not to eliminate these regulations entirely.</w:t>
      </w:r>
    </w:p>
    <w:p w14:paraId="4A976928" w14:textId="77777777" w:rsidR="00F747D8" w:rsidRPr="00F1714B" w:rsidRDefault="00F747D8" w:rsidP="00F747D8">
      <w:pPr>
        <w:rPr>
          <w:rFonts w:eastAsia="Calibri" w:cs="Times New Roman"/>
          <w:b/>
          <w:szCs w:val="26"/>
        </w:rPr>
      </w:pPr>
    </w:p>
    <w:p w14:paraId="59139F1B" w14:textId="77777777" w:rsidR="00F84C00" w:rsidRPr="00F1714B" w:rsidRDefault="00F84C00" w:rsidP="000044BF">
      <w:pPr>
        <w:keepNext/>
        <w:keepLines/>
        <w:numPr>
          <w:ilvl w:val="0"/>
          <w:numId w:val="6"/>
        </w:numPr>
        <w:ind w:left="1440" w:hanging="720"/>
        <w:contextualSpacing/>
        <w:rPr>
          <w:rFonts w:eastAsia="Calibri" w:cs="Times New Roman"/>
          <w:b/>
          <w:bCs/>
          <w:szCs w:val="26"/>
        </w:rPr>
      </w:pPr>
      <w:r w:rsidRPr="00F1714B">
        <w:rPr>
          <w:rFonts w:eastAsia="Calibri" w:cs="Times New Roman"/>
          <w:b/>
          <w:szCs w:val="26"/>
        </w:rPr>
        <w:lastRenderedPageBreak/>
        <w:tab/>
      </w:r>
      <w:r w:rsidRPr="00F1714B">
        <w:rPr>
          <w:rFonts w:eastAsia="Calibri" w:cs="Times New Roman"/>
          <w:b/>
          <w:bCs/>
          <w:szCs w:val="26"/>
        </w:rPr>
        <w:t>Subchapter A (Preliminary Provisions)</w:t>
      </w:r>
    </w:p>
    <w:p w14:paraId="35399609" w14:textId="77777777" w:rsidR="00E15B50" w:rsidRPr="00F1714B" w:rsidRDefault="00F84C00" w:rsidP="00F84C00">
      <w:pPr>
        <w:keepNext/>
        <w:keepLines/>
        <w:spacing w:line="240" w:lineRule="auto"/>
        <w:ind w:left="2160" w:hanging="720"/>
        <w:rPr>
          <w:rFonts w:eastAsia="Calibri" w:cs="Times New Roman"/>
          <w:b/>
          <w:bCs/>
          <w:szCs w:val="26"/>
        </w:rPr>
      </w:pPr>
      <w:r w:rsidRPr="00F1714B">
        <w:rPr>
          <w:rFonts w:eastAsia="Calibri" w:cs="Times New Roman"/>
          <w:b/>
          <w:bCs/>
          <w:szCs w:val="26"/>
        </w:rPr>
        <w:t>1.</w:t>
      </w:r>
      <w:r w:rsidRPr="00F1714B">
        <w:rPr>
          <w:rFonts w:eastAsia="Calibri" w:cs="Times New Roman"/>
          <w:b/>
          <w:bCs/>
          <w:szCs w:val="26"/>
        </w:rPr>
        <w:tab/>
        <w:t xml:space="preserve">52 Pa. Code § 64.1 Statement of purpose and </w:t>
      </w:r>
      <w:proofErr w:type="gramStart"/>
      <w:r w:rsidRPr="00F1714B">
        <w:rPr>
          <w:rFonts w:eastAsia="Calibri" w:cs="Times New Roman"/>
          <w:b/>
          <w:bCs/>
          <w:szCs w:val="26"/>
        </w:rPr>
        <w:t>policy;</w:t>
      </w:r>
      <w:proofErr w:type="gramEnd"/>
      <w:r w:rsidRPr="00F1714B">
        <w:rPr>
          <w:rFonts w:eastAsia="Calibri" w:cs="Times New Roman"/>
          <w:b/>
          <w:bCs/>
          <w:szCs w:val="26"/>
        </w:rPr>
        <w:t xml:space="preserve"> </w:t>
      </w:r>
    </w:p>
    <w:p w14:paraId="018A490A" w14:textId="2954F784" w:rsidR="00F84C00" w:rsidRPr="00F1714B" w:rsidRDefault="00484FD4" w:rsidP="005343EC">
      <w:pPr>
        <w:keepNext/>
        <w:keepLines/>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64.2 Definitions</w:t>
      </w:r>
    </w:p>
    <w:p w14:paraId="3120B4E3" w14:textId="77777777" w:rsidR="00F84C00" w:rsidRPr="00F1714B" w:rsidRDefault="00F84C00" w:rsidP="00F84C00">
      <w:pPr>
        <w:spacing w:line="240" w:lineRule="auto"/>
        <w:rPr>
          <w:rFonts w:eastAsia="Calibri" w:cs="Times New Roman"/>
          <w:szCs w:val="26"/>
        </w:rPr>
      </w:pPr>
    </w:p>
    <w:p w14:paraId="4EC84168" w14:textId="595F17B3"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As currently constructed, Section 64.1 is the Chapter 64 statement of purpose and policy</w:t>
      </w:r>
      <w:r w:rsidR="00040213" w:rsidRPr="00F1714B">
        <w:rPr>
          <w:rFonts w:eastAsia="Calibri" w:cs="Times New Roman"/>
          <w:bCs/>
          <w:szCs w:val="26"/>
        </w:rPr>
        <w:t>,</w:t>
      </w:r>
      <w:r w:rsidRPr="00F1714B">
        <w:rPr>
          <w:rFonts w:eastAsia="Calibri" w:cs="Times New Roman"/>
          <w:bCs/>
          <w:szCs w:val="26"/>
        </w:rPr>
        <w:t xml:space="preserve"> and Section 64.2 contains definitions.  In the </w:t>
      </w:r>
      <w:r w:rsidRPr="00F1714B">
        <w:rPr>
          <w:rFonts w:eastAsia="Calibri" w:cs="Times New Roman"/>
          <w:bCs/>
          <w:i/>
          <w:iCs/>
          <w:szCs w:val="26"/>
        </w:rPr>
        <w:t>Reclassification Order</w:t>
      </w:r>
      <w:r w:rsidRPr="00F1714B">
        <w:rPr>
          <w:rFonts w:eastAsia="Calibri" w:cs="Times New Roman"/>
          <w:bCs/>
          <w:szCs w:val="26"/>
        </w:rPr>
        <w:t xml:space="preserve">, we granted a temporary waiver of the first sentence of Section 64.1 because that description of the purpose </w:t>
      </w:r>
      <w:r w:rsidR="00846A80" w:rsidRPr="00F1714B">
        <w:rPr>
          <w:rFonts w:eastAsia="Calibri" w:cs="Times New Roman"/>
          <w:bCs/>
          <w:szCs w:val="26"/>
        </w:rPr>
        <w:t xml:space="preserve">was </w:t>
      </w:r>
      <w:r w:rsidRPr="00F1714B">
        <w:rPr>
          <w:rFonts w:eastAsia="Calibri" w:cs="Times New Roman"/>
          <w:bCs/>
          <w:szCs w:val="26"/>
        </w:rPr>
        <w:t xml:space="preserve">no longer an accurate statement for the areas served by Verizon’s competitive wire centers while the rest of Section 64.1 remained relevant even for Verizon’s competitive wire centers.  </w:t>
      </w:r>
    </w:p>
    <w:p w14:paraId="7382090F"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r>
    </w:p>
    <w:p w14:paraId="5EA2778A" w14:textId="301D269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r>
      <w:bookmarkStart w:id="56" w:name="_Hlk81309812"/>
      <w:r w:rsidRPr="00F1714B">
        <w:rPr>
          <w:rFonts w:eastAsia="Calibri" w:cs="Times New Roman"/>
          <w:bCs/>
          <w:szCs w:val="26"/>
        </w:rPr>
        <w:t xml:space="preserve">In the </w:t>
      </w:r>
      <w:r w:rsidRPr="00F1714B">
        <w:rPr>
          <w:rFonts w:eastAsia="Calibri" w:cs="Times New Roman"/>
          <w:bCs/>
          <w:i/>
          <w:iCs/>
          <w:szCs w:val="26"/>
        </w:rPr>
        <w:t>NPRM Order</w:t>
      </w:r>
      <w:bookmarkEnd w:id="56"/>
      <w:r w:rsidRPr="00F1714B">
        <w:rPr>
          <w:rFonts w:eastAsia="Calibri" w:cs="Times New Roman"/>
          <w:bCs/>
          <w:szCs w:val="26"/>
        </w:rPr>
        <w:t xml:space="preserve">, we concluded it was not feasible to establish a two-tiered regulatory structure that would impose different regulations and standards in competitive and noncompetitive areas.  Consequently, we proposed the retention of Section 64.1 in its present form applied uniformly to all geographic areas where telecommunications services are offered by the jurisdictional </w:t>
      </w:r>
      <w:r w:rsidR="00180583" w:rsidRPr="00F1714B">
        <w:rPr>
          <w:rFonts w:eastAsia="Calibri" w:cs="Times New Roman"/>
          <w:bCs/>
          <w:szCs w:val="26"/>
        </w:rPr>
        <w:t>LECs</w:t>
      </w:r>
      <w:r w:rsidRPr="00F1714B">
        <w:rPr>
          <w:rFonts w:eastAsia="Calibri" w:cs="Times New Roman"/>
          <w:bCs/>
          <w:szCs w:val="26"/>
        </w:rPr>
        <w:t>.  We also proposed to rename Chapter 64 as ‘‘Standards and Billing Practices for Residential Telecommunications Service’’ and to replace the term ‘‘Telephone’’ with ‘‘Telecommunications’’ throughout this chapter as appropriate and where the word ‘‘telephone’’ appears in the existing text of the regulation.</w:t>
      </w:r>
    </w:p>
    <w:p w14:paraId="19D0C2F9" w14:textId="77777777" w:rsidR="00F84C00" w:rsidRPr="00F1714B" w:rsidRDefault="00F84C00" w:rsidP="00F84C00">
      <w:pPr>
        <w:tabs>
          <w:tab w:val="left" w:pos="720"/>
          <w:tab w:val="left" w:pos="1440"/>
        </w:tabs>
        <w:rPr>
          <w:rFonts w:eastAsia="Calibri" w:cs="Times New Roman"/>
          <w:bCs/>
          <w:szCs w:val="26"/>
        </w:rPr>
      </w:pPr>
    </w:p>
    <w:p w14:paraId="78D49C20" w14:textId="55E55735" w:rsidR="00F84C00" w:rsidRPr="00F1714B" w:rsidRDefault="00F84C00" w:rsidP="00F747D8">
      <w:pPr>
        <w:tabs>
          <w:tab w:val="left" w:pos="720"/>
          <w:tab w:val="left" w:pos="1440"/>
        </w:tabs>
        <w:rPr>
          <w:rFonts w:eastAsia="Calibri" w:cs="Times New Roman"/>
          <w:bCs/>
          <w:szCs w:val="26"/>
        </w:rPr>
      </w:pPr>
      <w:r w:rsidRPr="00F1714B">
        <w:rPr>
          <w:rFonts w:eastAsia="Calibri" w:cs="Times New Roman"/>
          <w:bCs/>
          <w:szCs w:val="26"/>
        </w:rPr>
        <w:tab/>
        <w:t>Also</w:t>
      </w:r>
      <w:r w:rsidR="00040213" w:rsidRPr="00F1714B">
        <w:rPr>
          <w:rFonts w:eastAsia="Calibri" w:cs="Times New Roman"/>
          <w:bCs/>
          <w:szCs w:val="26"/>
        </w:rPr>
        <w:t>,</w:t>
      </w:r>
      <w:r w:rsidRPr="00F1714B">
        <w:rPr>
          <w:rFonts w:eastAsia="Calibri" w:cs="Times New Roman"/>
          <w:bCs/>
          <w:szCs w:val="26"/>
        </w:rPr>
        <w:t xml:space="preserve"> in the </w:t>
      </w:r>
      <w:r w:rsidRPr="00F1714B">
        <w:rPr>
          <w:rFonts w:eastAsia="Calibri" w:cs="Times New Roman"/>
          <w:bCs/>
          <w:i/>
          <w:iCs/>
          <w:szCs w:val="26"/>
        </w:rPr>
        <w:t>NPRM Order</w:t>
      </w:r>
      <w:r w:rsidRPr="00F1714B">
        <w:rPr>
          <w:rFonts w:eastAsia="Calibri" w:cs="Times New Roman"/>
          <w:bCs/>
          <w:szCs w:val="26"/>
        </w:rPr>
        <w:t xml:space="preserve">, we proposed </w:t>
      </w:r>
      <w:bookmarkStart w:id="57" w:name="_Hlk81310304"/>
      <w:r w:rsidRPr="00F1714B">
        <w:rPr>
          <w:rFonts w:eastAsia="Calibri" w:cs="Times New Roman"/>
          <w:bCs/>
          <w:szCs w:val="26"/>
        </w:rPr>
        <w:t xml:space="preserve">to retain the definitions contained in Section 64.2 that remained relevant and updated references within this regulatory definitional section to be consistent with current state statutory language (e.g., Chapter 30 of the Public Utility Code).  </w:t>
      </w:r>
      <w:bookmarkEnd w:id="57"/>
    </w:p>
    <w:p w14:paraId="0F767762" w14:textId="77777777" w:rsidR="00F84C00" w:rsidRPr="00F1714B" w:rsidRDefault="00F84C00" w:rsidP="00F747D8">
      <w:pPr>
        <w:rPr>
          <w:rFonts w:eastAsia="Calibri" w:cs="Times New Roman"/>
          <w:szCs w:val="26"/>
        </w:rPr>
      </w:pPr>
    </w:p>
    <w:p w14:paraId="4ECE928A" w14:textId="77777777" w:rsidR="00F84C00" w:rsidRPr="00F1714B" w:rsidRDefault="00F84C00" w:rsidP="00F747D8">
      <w:pPr>
        <w:keepNext/>
        <w:keepLines/>
        <w:ind w:left="1440" w:firstLine="720"/>
        <w:rPr>
          <w:rFonts w:eastAsia="Calibri" w:cs="Times New Roman"/>
          <w:b/>
          <w:szCs w:val="26"/>
        </w:rPr>
      </w:pPr>
      <w:r w:rsidRPr="00F1714B">
        <w:rPr>
          <w:rFonts w:eastAsia="Calibri" w:cs="Times New Roman"/>
          <w:b/>
          <w:szCs w:val="26"/>
        </w:rPr>
        <w:lastRenderedPageBreak/>
        <w:t>a.</w:t>
      </w:r>
      <w:r w:rsidRPr="00F1714B">
        <w:rPr>
          <w:rFonts w:eastAsia="Calibri" w:cs="Times New Roman"/>
          <w:b/>
          <w:szCs w:val="26"/>
        </w:rPr>
        <w:tab/>
        <w:t>Comments and Replies</w:t>
      </w:r>
    </w:p>
    <w:p w14:paraId="65D88ADA" w14:textId="1F8A2DD8" w:rsidR="00F84C00" w:rsidRPr="00F1714B" w:rsidRDefault="00F84C00" w:rsidP="00F84C00">
      <w:pPr>
        <w:keepNext/>
        <w:keepLines/>
        <w:ind w:firstLine="720"/>
        <w:rPr>
          <w:rFonts w:eastAsia="Calibri" w:cs="Times New Roman"/>
        </w:rPr>
      </w:pPr>
      <w:r w:rsidRPr="00F1714B">
        <w:rPr>
          <w:rFonts w:eastAsia="Calibri" w:cs="Times New Roman"/>
        </w:rPr>
        <w:t>IRRC notes that in the Commission’s proposal for section 64.2, “</w:t>
      </w:r>
      <w:r w:rsidRPr="00F1714B">
        <w:rPr>
          <w:rFonts w:eastAsia="Calibri" w:cs="Times New Roman"/>
          <w:i/>
        </w:rPr>
        <w:t>competitive wire center</w:t>
      </w:r>
      <w:r w:rsidRPr="00F1714B">
        <w:rPr>
          <w:rFonts w:eastAsia="Calibri" w:cs="Times New Roman"/>
        </w:rPr>
        <w:t>” reads in part “services have been declared or determined to be competitive by the Commission as competitive under 66 Pa.C.S. § 3016 (relating to competitive services),” and suggests that either “to be competitive” or “as competitive” be removed.  IRRC Comments at 10.</w:t>
      </w:r>
    </w:p>
    <w:p w14:paraId="3F53BB6A" w14:textId="77777777" w:rsidR="00F84C00" w:rsidRPr="00F1714B" w:rsidRDefault="00F84C00" w:rsidP="00F84C00">
      <w:pPr>
        <w:rPr>
          <w:rFonts w:eastAsia="Calibri" w:cs="Times New Roman"/>
          <w:bCs/>
          <w:szCs w:val="26"/>
        </w:rPr>
      </w:pPr>
    </w:p>
    <w:p w14:paraId="0A49B2C5" w14:textId="4BD5230C" w:rsidR="00F84C00" w:rsidRPr="00F1714B" w:rsidRDefault="00F84C00" w:rsidP="00F84C00">
      <w:pPr>
        <w:ind w:firstLine="720"/>
        <w:rPr>
          <w:rFonts w:eastAsia="Calibri" w:cs="Times New Roman"/>
          <w:bCs/>
          <w:szCs w:val="26"/>
        </w:rPr>
      </w:pPr>
      <w:r w:rsidRPr="00F1714B">
        <w:rPr>
          <w:rFonts w:eastAsia="Calibri" w:cs="Times New Roman"/>
          <w:bCs/>
          <w:szCs w:val="26"/>
        </w:rPr>
        <w:t>The OCA supports the Commission’s proposal to retain subsection 64.1 (Statement of purpose and policy) in its present form.  OCA Comments at 17.  The OCA also supports the Commission’s proposed modifications to the subsection 64.2 (Definitions), as well as the corresponding provision of Chapter 63 (subsection 63.1, Definitions) to conform with Chapter 30.  OCA Comments at 18.  The OCA proposes minor, non-substantive edits to the Commission’s proposed definitions of “Competitive wire center” and “Noncompetitive wire center” in both subsections 63.1 and 64.2, to make the corresponding definitions uniform in each subsection. OCA Comments at 18­19.</w:t>
      </w:r>
    </w:p>
    <w:p w14:paraId="44A4D4B8" w14:textId="77777777" w:rsidR="005467A9" w:rsidRPr="00F1714B" w:rsidRDefault="005467A9" w:rsidP="00F84C00">
      <w:pPr>
        <w:ind w:firstLine="720"/>
        <w:rPr>
          <w:rFonts w:eastAsia="Calibri" w:cs="Times New Roman"/>
          <w:bCs/>
          <w:szCs w:val="26"/>
        </w:rPr>
      </w:pPr>
    </w:p>
    <w:p w14:paraId="485BDA33" w14:textId="130D8D44" w:rsidR="00F84C00" w:rsidRPr="00F1714B" w:rsidRDefault="00F84C00" w:rsidP="0064484F">
      <w:pPr>
        <w:ind w:firstLine="720"/>
        <w:rPr>
          <w:rFonts w:eastAsia="Calibri" w:cs="Times New Roman"/>
          <w:bCs/>
          <w:szCs w:val="26"/>
        </w:rPr>
      </w:pPr>
      <w:r w:rsidRPr="00F1714B">
        <w:rPr>
          <w:rFonts w:eastAsia="Calibri" w:cs="Times New Roman"/>
          <w:bCs/>
          <w:szCs w:val="26"/>
        </w:rPr>
        <w:t>TCC/CCL propose that the Commission adopt a definition for joint or bundled service package that is consistent with the definition adopted for Chapter 53, subsection 53.57. TCC/CCL Comments at 17.</w:t>
      </w:r>
    </w:p>
    <w:p w14:paraId="029DC55A" w14:textId="77777777" w:rsidR="0064484F" w:rsidRPr="00F1714B" w:rsidRDefault="0064484F" w:rsidP="0064484F">
      <w:pPr>
        <w:ind w:firstLine="720"/>
        <w:rPr>
          <w:rFonts w:eastAsia="Calibri" w:cs="Times New Roman"/>
          <w:bCs/>
          <w:szCs w:val="26"/>
        </w:rPr>
      </w:pPr>
    </w:p>
    <w:p w14:paraId="06CEBDEF" w14:textId="77777777" w:rsidR="00F84C00" w:rsidRPr="00F1714B" w:rsidRDefault="00F84C00" w:rsidP="00F747D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459206A" w14:textId="14FADF32" w:rsidR="00F84C00" w:rsidRPr="00F1714B" w:rsidRDefault="00F84C00" w:rsidP="00F84C00">
      <w:pPr>
        <w:ind w:firstLine="720"/>
        <w:rPr>
          <w:rFonts w:eastAsia="Calibri" w:cs="Times New Roman"/>
          <w:szCs w:val="26"/>
        </w:rPr>
      </w:pPr>
      <w:r w:rsidRPr="00F1714B">
        <w:rPr>
          <w:rFonts w:eastAsia="Calibri" w:cs="Times New Roman"/>
          <w:bCs/>
          <w:szCs w:val="26"/>
        </w:rPr>
        <w:t>Consistent with our rejection of a bifurcated regulatory structure that would impose different regulations and standards in competitive and noncompetitive areas, we will retain the language of Section 64.1 in its present form, to be applied uniformly to all geographic areas where telecommunications services are offered by the jurisdictional</w:t>
      </w:r>
      <w:r w:rsidR="00180583" w:rsidRPr="00F1714B">
        <w:rPr>
          <w:rFonts w:eastAsia="Calibri" w:cs="Times New Roman"/>
          <w:bCs/>
          <w:szCs w:val="26"/>
        </w:rPr>
        <w:t xml:space="preserve"> LECs </w:t>
      </w:r>
      <w:r w:rsidRPr="00F1714B">
        <w:rPr>
          <w:rFonts w:eastAsia="Calibri" w:cs="Times New Roman"/>
          <w:bCs/>
          <w:szCs w:val="26"/>
        </w:rPr>
        <w:t xml:space="preserve">in the final-form regulation.  We also </w:t>
      </w:r>
      <w:r w:rsidR="001679A6" w:rsidRPr="00F1714B">
        <w:rPr>
          <w:rFonts w:eastAsia="Calibri" w:cs="Times New Roman"/>
          <w:bCs/>
          <w:szCs w:val="26"/>
        </w:rPr>
        <w:t>will</w:t>
      </w:r>
      <w:r w:rsidRPr="00F1714B">
        <w:rPr>
          <w:rFonts w:eastAsia="Calibri" w:cs="Times New Roman"/>
          <w:bCs/>
          <w:szCs w:val="26"/>
        </w:rPr>
        <w:t xml:space="preserve"> rename Chapter 64 as ‘‘Standards and Billing Practices for Residential Telecommunications Service’’ and replace the term ‘‘Telephone’’ with ‘‘Telecommunications’’ throughout the text of Chapter 64 as </w:t>
      </w:r>
      <w:r w:rsidRPr="00F1714B">
        <w:rPr>
          <w:rFonts w:eastAsia="Calibri" w:cs="Times New Roman"/>
          <w:bCs/>
          <w:szCs w:val="26"/>
        </w:rPr>
        <w:lastRenderedPageBreak/>
        <w:t xml:space="preserve">appropriate.  This will be reflected in the final-form regulation.  We also determine that the definitions contained in Section 64.2 that remain relevant shall be retained and updated as necessary to be consistent with the terminology set forth in the current applicable statutory language.  </w:t>
      </w:r>
    </w:p>
    <w:p w14:paraId="2A3D4AE4" w14:textId="77777777" w:rsidR="00F84C00" w:rsidRPr="00F1714B" w:rsidRDefault="00F84C00" w:rsidP="00F84C00">
      <w:pPr>
        <w:rPr>
          <w:rFonts w:eastAsia="Calibri" w:cs="Times New Roman"/>
          <w:szCs w:val="26"/>
        </w:rPr>
      </w:pPr>
    </w:p>
    <w:p w14:paraId="0C6ED224" w14:textId="77777777" w:rsidR="00F84C00" w:rsidRPr="00F1714B" w:rsidRDefault="00F84C00" w:rsidP="00F747D8">
      <w:pPr>
        <w:ind w:firstLine="720"/>
        <w:rPr>
          <w:rFonts w:eastAsia="Calibri" w:cs="Times New Roman"/>
          <w:szCs w:val="26"/>
        </w:rPr>
      </w:pPr>
      <w:r w:rsidRPr="00F1714B">
        <w:rPr>
          <w:rFonts w:eastAsia="Calibri" w:cs="Times New Roman"/>
          <w:szCs w:val="26"/>
        </w:rPr>
        <w:t>Regarding IRRC’s comment relative to the definition of “Competitive wire center,” we agree with IRRC that clarification is warranted, and we find that the final form definition shall eliminate the words “as competitive” and shall read, in relevant part: “services have been declared or determined to be competitive by the Commission under 66 Pa.C.S. § 3016 (relating to competitive services).”</w:t>
      </w:r>
    </w:p>
    <w:p w14:paraId="1280633B" w14:textId="77777777" w:rsidR="00F84C00" w:rsidRPr="00F1714B" w:rsidRDefault="00F84C00" w:rsidP="00F747D8">
      <w:pPr>
        <w:rPr>
          <w:rFonts w:eastAsia="Calibri" w:cs="Times New Roman"/>
          <w:szCs w:val="26"/>
        </w:rPr>
      </w:pPr>
    </w:p>
    <w:p w14:paraId="626B9218" w14:textId="77514B44" w:rsidR="00F84C00" w:rsidRPr="00F1714B" w:rsidRDefault="00F84C00" w:rsidP="00F747D8">
      <w:pPr>
        <w:rPr>
          <w:rFonts w:eastAsia="Calibri" w:cs="Times New Roman"/>
          <w:szCs w:val="26"/>
        </w:rPr>
      </w:pPr>
      <w:r w:rsidRPr="00F1714B">
        <w:rPr>
          <w:rFonts w:eastAsia="Calibri" w:cs="Times New Roman"/>
          <w:szCs w:val="26"/>
        </w:rPr>
        <w:tab/>
        <w:t xml:space="preserve">We have already determined in our discussion regarding Section 53.57 of Chapter 53 of our regulations and Section 63.1 of Chapter 63 of our regulations </w:t>
      </w:r>
      <w:r w:rsidRPr="00F1714B">
        <w:rPr>
          <w:rFonts w:eastAsia="Calibri" w:cs="Times New Roman"/>
          <w:i/>
          <w:iCs/>
          <w:szCs w:val="26"/>
        </w:rPr>
        <w:t>supra</w:t>
      </w:r>
      <w:r w:rsidRPr="00F1714B">
        <w:rPr>
          <w:rFonts w:eastAsia="Calibri" w:cs="Times New Roman"/>
          <w:szCs w:val="26"/>
        </w:rPr>
        <w:t xml:space="preserve"> that we would adopt the OCA’s proposed definitions of these terms “Competitive wire centers” and “</w:t>
      </w:r>
      <w:r w:rsidR="005467A9" w:rsidRPr="00F1714B">
        <w:rPr>
          <w:rFonts w:eastAsia="Calibri" w:cs="Times New Roman"/>
          <w:szCs w:val="26"/>
        </w:rPr>
        <w:t>Noncompetitive</w:t>
      </w:r>
      <w:r w:rsidRPr="00F1714B">
        <w:rPr>
          <w:rFonts w:eastAsia="Calibri" w:cs="Times New Roman"/>
          <w:szCs w:val="26"/>
        </w:rPr>
        <w:t>,” and incorporate them into the final-form regulation.</w:t>
      </w:r>
    </w:p>
    <w:p w14:paraId="53D07D62" w14:textId="77777777" w:rsidR="00F84C00" w:rsidRPr="00F1714B" w:rsidRDefault="00F84C00" w:rsidP="00F747D8">
      <w:pPr>
        <w:rPr>
          <w:rFonts w:eastAsia="Calibri" w:cs="Times New Roman"/>
          <w:szCs w:val="26"/>
        </w:rPr>
      </w:pPr>
    </w:p>
    <w:p w14:paraId="0066EA34" w14:textId="77777777" w:rsidR="00F84C00" w:rsidRPr="00F1714B" w:rsidRDefault="00F84C00" w:rsidP="00F84C00">
      <w:pPr>
        <w:rPr>
          <w:rFonts w:eastAsia="Calibri" w:cs="Times New Roman"/>
          <w:szCs w:val="26"/>
        </w:rPr>
      </w:pPr>
      <w:r w:rsidRPr="00F1714B">
        <w:rPr>
          <w:rFonts w:eastAsia="Calibri" w:cs="Times New Roman"/>
          <w:szCs w:val="26"/>
        </w:rPr>
        <w:tab/>
        <w:t>Likewise, taking into consideration the comments from TCC/CCL, we will ensure that the definition of the regulatory term “joint or bundled package” is consistent in Section 53.57 of Chapter 53 of our regulations and Section 64.2 in Chapter 64 in the final-form regulation.</w:t>
      </w:r>
    </w:p>
    <w:p w14:paraId="073378F4" w14:textId="77777777" w:rsidR="00F84C00" w:rsidRPr="00F1714B" w:rsidRDefault="00F84C00" w:rsidP="00F84C00">
      <w:pPr>
        <w:rPr>
          <w:rFonts w:eastAsia="Calibri" w:cs="Times New Roman"/>
          <w:szCs w:val="26"/>
        </w:rPr>
      </w:pPr>
    </w:p>
    <w:p w14:paraId="5CB3D4A0" w14:textId="77777777" w:rsidR="00F84C00" w:rsidRPr="00F1714B" w:rsidRDefault="00F84C00" w:rsidP="00F84C00">
      <w:pPr>
        <w:keepNext/>
        <w:keepLines/>
        <w:numPr>
          <w:ilvl w:val="0"/>
          <w:numId w:val="6"/>
        </w:numPr>
        <w:spacing w:line="240" w:lineRule="auto"/>
        <w:ind w:left="1440" w:hanging="720"/>
        <w:contextualSpacing/>
        <w:rPr>
          <w:rFonts w:eastAsia="Calibri" w:cs="Times New Roman"/>
          <w:b/>
          <w:bCs/>
          <w:szCs w:val="26"/>
        </w:rPr>
      </w:pPr>
      <w:r w:rsidRPr="00F1714B">
        <w:rPr>
          <w:rFonts w:eastAsia="Calibri" w:cs="Times New Roman"/>
          <w:b/>
          <w:bCs/>
          <w:szCs w:val="26"/>
        </w:rPr>
        <w:t>Subchapter B (Payment and Billing Standards)</w:t>
      </w:r>
    </w:p>
    <w:p w14:paraId="79F0D7E0" w14:textId="77777777" w:rsidR="00F84C00" w:rsidRPr="00F1714B" w:rsidRDefault="00F84C00" w:rsidP="00F84C00">
      <w:pPr>
        <w:keepNext/>
        <w:keepLines/>
        <w:spacing w:line="240" w:lineRule="auto"/>
        <w:ind w:left="1440"/>
        <w:contextualSpacing/>
        <w:rPr>
          <w:rFonts w:eastAsia="Calibri" w:cs="Times New Roman"/>
          <w:b/>
          <w:bCs/>
          <w:szCs w:val="26"/>
        </w:rPr>
      </w:pPr>
      <w:r w:rsidRPr="00F1714B">
        <w:rPr>
          <w:rFonts w:eastAsia="Calibri" w:cs="Times New Roman"/>
          <w:b/>
          <w:bCs/>
          <w:szCs w:val="26"/>
        </w:rPr>
        <w:t>52 Pa. Code §§ 64.11—64.24</w:t>
      </w:r>
    </w:p>
    <w:p w14:paraId="2796B486" w14:textId="77777777" w:rsidR="00F84C00" w:rsidRPr="00F1714B" w:rsidRDefault="00F84C00" w:rsidP="00F84C00">
      <w:pPr>
        <w:keepNext/>
        <w:keepLines/>
        <w:spacing w:line="240" w:lineRule="auto"/>
        <w:ind w:left="720" w:firstLine="720"/>
        <w:rPr>
          <w:rFonts w:eastAsia="Calibri" w:cs="Times New Roman"/>
          <w:b/>
          <w:bCs/>
          <w:szCs w:val="26"/>
        </w:rPr>
      </w:pPr>
    </w:p>
    <w:p w14:paraId="5B982DCD" w14:textId="77777777"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Cs/>
          <w:caps/>
          <w:szCs w:val="26"/>
        </w:rPr>
        <w:tab/>
      </w:r>
      <w:r w:rsidRPr="00F1714B">
        <w:rPr>
          <w:rFonts w:eastAsia="Calibri" w:cs="Times New Roman"/>
          <w:bCs/>
          <w:szCs w:val="26"/>
        </w:rPr>
        <w:t xml:space="preserve">Subchapter B of Chapter 64 governs the payment and billing relationship between customers and LECs.  In the </w:t>
      </w:r>
      <w:r w:rsidRPr="00F1714B">
        <w:rPr>
          <w:rFonts w:eastAsia="Calibri" w:cs="Times New Roman"/>
          <w:bCs/>
          <w:i/>
          <w:iCs/>
          <w:szCs w:val="26"/>
        </w:rPr>
        <w:t>Reclassification Order</w:t>
      </w:r>
      <w:r w:rsidRPr="00F1714B">
        <w:rPr>
          <w:rFonts w:eastAsia="Calibri" w:cs="Times New Roman"/>
          <w:bCs/>
          <w:szCs w:val="26"/>
        </w:rPr>
        <w:t>, we temporarily waived the following Subchapter B regulations for Verizon’s competitive wire centers</w:t>
      </w:r>
      <w:r w:rsidRPr="00F1714B">
        <w:rPr>
          <w:rFonts w:eastAsia="Calibri" w:cs="Times New Roman"/>
          <w:bCs/>
          <w:szCs w:val="26"/>
          <w:vertAlign w:val="superscript"/>
        </w:rPr>
        <w:footnoteReference w:id="79"/>
      </w:r>
      <w:r w:rsidRPr="00F1714B">
        <w:rPr>
          <w:rFonts w:eastAsia="Calibri" w:cs="Times New Roman"/>
          <w:bCs/>
          <w:szCs w:val="26"/>
        </w:rPr>
        <w:t xml:space="preserve">:  </w:t>
      </w:r>
    </w:p>
    <w:p w14:paraId="7822095B" w14:textId="77777777" w:rsidR="00F84C00" w:rsidRPr="00F1714B" w:rsidRDefault="00F84C00" w:rsidP="00F84C00">
      <w:pPr>
        <w:tabs>
          <w:tab w:val="left" w:pos="720"/>
          <w:tab w:val="left" w:pos="1440"/>
        </w:tabs>
        <w:spacing w:line="240" w:lineRule="auto"/>
        <w:rPr>
          <w:rFonts w:eastAsia="Calibri" w:cs="Times New Roman"/>
          <w:bCs/>
          <w:szCs w:val="26"/>
        </w:rPr>
      </w:pPr>
    </w:p>
    <w:p w14:paraId="4CCDD9E0" w14:textId="77777777" w:rsidR="00F84C00" w:rsidRPr="00F1714B" w:rsidRDefault="00F84C00" w:rsidP="001F2CE6">
      <w:pPr>
        <w:keepNext/>
        <w:keepLines/>
        <w:tabs>
          <w:tab w:val="left" w:pos="720"/>
          <w:tab w:val="left" w:pos="1440"/>
        </w:tabs>
        <w:spacing w:line="240" w:lineRule="auto"/>
        <w:rPr>
          <w:rFonts w:eastAsia="Calibri" w:cs="Times New Roman"/>
          <w:szCs w:val="26"/>
        </w:rPr>
      </w:pPr>
      <w:r w:rsidRPr="00F1714B">
        <w:rPr>
          <w:rFonts w:eastAsia="Calibri" w:cs="Times New Roman"/>
          <w:bCs/>
          <w:szCs w:val="26"/>
        </w:rPr>
        <w:lastRenderedPageBreak/>
        <w:tab/>
      </w:r>
      <w:r w:rsidRPr="00F1714B">
        <w:rPr>
          <w:rFonts w:eastAsia="Calibri" w:cs="Times New Roman"/>
          <w:szCs w:val="26"/>
        </w:rPr>
        <w:t xml:space="preserve">Section 64.11 (Method of payment); </w:t>
      </w:r>
    </w:p>
    <w:p w14:paraId="102C3CEC"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64.12 (Due date for payment); </w:t>
      </w:r>
    </w:p>
    <w:p w14:paraId="0C29D559"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64.13 (Billing frequency); </w:t>
      </w:r>
    </w:p>
    <w:p w14:paraId="3BEA5FDE"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64.14 (Billing information); </w:t>
      </w:r>
    </w:p>
    <w:p w14:paraId="296CABC1"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64.15 (Advance payments); </w:t>
      </w:r>
    </w:p>
    <w:p w14:paraId="4905D85D"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64.16 (Accrual of late payment charges); </w:t>
      </w:r>
    </w:p>
    <w:p w14:paraId="004A4C0B"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64.17 (Partial payments for current bills); </w:t>
      </w:r>
    </w:p>
    <w:p w14:paraId="3D53F6D2"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64.18 (Application of partial payments between past and current bills); </w:t>
      </w:r>
    </w:p>
    <w:p w14:paraId="5930B24D"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64.19 (Rebilling); </w:t>
      </w:r>
    </w:p>
    <w:p w14:paraId="3C351E4C"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64.20 (Transfer of accounts); </w:t>
      </w:r>
    </w:p>
    <w:p w14:paraId="5CD819C8"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64.21 ([Reserved]); and </w:t>
      </w:r>
    </w:p>
    <w:p w14:paraId="6961F521"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64.22 (Billing service for interexchange carriers).  </w:t>
      </w:r>
    </w:p>
    <w:p w14:paraId="6E05ED45" w14:textId="77777777" w:rsidR="00F84C00" w:rsidRPr="00F1714B" w:rsidRDefault="00F84C00" w:rsidP="00F84C00">
      <w:pPr>
        <w:tabs>
          <w:tab w:val="left" w:pos="720"/>
          <w:tab w:val="left" w:pos="1440"/>
        </w:tabs>
        <w:spacing w:line="240" w:lineRule="auto"/>
        <w:rPr>
          <w:rFonts w:eastAsia="Calibri" w:cs="Times New Roman"/>
          <w:i/>
          <w:szCs w:val="26"/>
        </w:rPr>
      </w:pPr>
    </w:p>
    <w:p w14:paraId="7BDFFE0E" w14:textId="513F36E9"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Concomitantly, we also retained the applicability of the following </w:t>
      </w:r>
      <w:r w:rsidR="001679A6" w:rsidRPr="00F1714B">
        <w:rPr>
          <w:rFonts w:eastAsia="Calibri" w:cs="Times New Roman"/>
          <w:szCs w:val="26"/>
        </w:rPr>
        <w:t>s</w:t>
      </w:r>
      <w:r w:rsidRPr="00F1714B">
        <w:rPr>
          <w:rFonts w:eastAsia="Calibri" w:cs="Times New Roman"/>
          <w:szCs w:val="26"/>
        </w:rPr>
        <w:t>ections in Subchapter B both for the competitive and the noncompetitive wire centers of Verizon:</w:t>
      </w:r>
    </w:p>
    <w:p w14:paraId="5B22637C"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r>
    </w:p>
    <w:p w14:paraId="514F6463"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64.23 (Cramming/Slamming); and </w:t>
      </w:r>
    </w:p>
    <w:p w14:paraId="6DCB09B9" w14:textId="4F0686F1" w:rsidR="00F84C00"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64.24 (Provision of bundled service packages)  </w:t>
      </w:r>
    </w:p>
    <w:p w14:paraId="48739A9A" w14:textId="77777777" w:rsidR="00270B80" w:rsidRPr="00F1714B" w:rsidRDefault="00270B80" w:rsidP="00F84C00">
      <w:pPr>
        <w:tabs>
          <w:tab w:val="left" w:pos="720"/>
          <w:tab w:val="left" w:pos="1440"/>
        </w:tabs>
        <w:spacing w:line="240" w:lineRule="auto"/>
        <w:rPr>
          <w:rFonts w:eastAsia="Calibri" w:cs="Times New Roman"/>
          <w:szCs w:val="26"/>
        </w:rPr>
      </w:pPr>
    </w:p>
    <w:p w14:paraId="1C432BEC" w14:textId="158F9F3B" w:rsidR="00F84C00" w:rsidRPr="00F1714B" w:rsidRDefault="00F84C00" w:rsidP="003D34B6">
      <w:pPr>
        <w:tabs>
          <w:tab w:val="left" w:pos="720"/>
          <w:tab w:val="left" w:pos="1440"/>
        </w:tabs>
        <w:rPr>
          <w:rFonts w:eastAsia="Calibri" w:cs="Times New Roman"/>
          <w:szCs w:val="26"/>
        </w:rPr>
      </w:pPr>
      <w:r w:rsidRPr="00F1714B">
        <w:rPr>
          <w:rFonts w:eastAsia="Calibri" w:cs="Times New Roman"/>
          <w:szCs w:val="26"/>
        </w:rPr>
        <w:tab/>
      </w:r>
      <w:r w:rsidR="003D34B6" w:rsidRPr="00F1714B">
        <w:rPr>
          <w:rFonts w:eastAsia="Calibri" w:cs="Times New Roman"/>
          <w:szCs w:val="26"/>
        </w:rPr>
        <w:t>I</w:t>
      </w:r>
      <w:r w:rsidRPr="00F1714B">
        <w:rPr>
          <w:rFonts w:eastAsia="Calibri" w:cs="Times New Roman"/>
          <w:szCs w:val="26"/>
        </w:rPr>
        <w:t xml:space="preserve">n the </w:t>
      </w:r>
      <w:r w:rsidRPr="00F1714B">
        <w:rPr>
          <w:rFonts w:eastAsia="Calibri" w:cs="Times New Roman"/>
          <w:i/>
          <w:iCs/>
          <w:szCs w:val="26"/>
        </w:rPr>
        <w:t>NPRM Order</w:t>
      </w:r>
      <w:r w:rsidRPr="00F1714B">
        <w:rPr>
          <w:rFonts w:eastAsia="Calibri" w:cs="Times New Roman"/>
          <w:szCs w:val="26"/>
        </w:rPr>
        <w:t xml:space="preserve">, we </w:t>
      </w:r>
      <w:r w:rsidR="00297C24" w:rsidRPr="00F1714B">
        <w:rPr>
          <w:rFonts w:eastAsia="Calibri" w:cs="Times New Roman"/>
          <w:szCs w:val="26"/>
        </w:rPr>
        <w:t>proposed to retain most of Subchapter B</w:t>
      </w:r>
      <w:r w:rsidRPr="00F1714B">
        <w:rPr>
          <w:rFonts w:eastAsia="Calibri" w:cs="Times New Roman"/>
          <w:szCs w:val="26"/>
        </w:rPr>
        <w:t xml:space="preserve">.  We credited OCA’s observation that the statutory ‘‘Billing Procedures’’ protection of Section 1509 of the Code, 66 Pa.C.S. § 1509, still apply in competitive and noncompetitive areas and the Payment and Billing Standards will assist the Commission in determining whether the LECs </w:t>
      </w:r>
      <w:r w:rsidR="00040213" w:rsidRPr="00F1714B">
        <w:rPr>
          <w:rFonts w:eastAsia="Calibri" w:cs="Times New Roman"/>
          <w:szCs w:val="26"/>
        </w:rPr>
        <w:t>are following</w:t>
      </w:r>
      <w:r w:rsidRPr="00F1714B">
        <w:rPr>
          <w:rFonts w:eastAsia="Calibri" w:cs="Times New Roman"/>
          <w:szCs w:val="26"/>
        </w:rPr>
        <w:t xml:space="preserve"> both Section 1501 and Section 1509 of the Code. </w:t>
      </w:r>
    </w:p>
    <w:p w14:paraId="6895BA1E" w14:textId="77777777" w:rsidR="001F2CE6" w:rsidRPr="00F1714B" w:rsidRDefault="001F2CE6" w:rsidP="00F84C00">
      <w:pPr>
        <w:tabs>
          <w:tab w:val="left" w:pos="720"/>
          <w:tab w:val="left" w:pos="1440"/>
        </w:tabs>
        <w:rPr>
          <w:rFonts w:eastAsia="Calibri" w:cs="Times New Roman"/>
          <w:szCs w:val="26"/>
        </w:rPr>
      </w:pPr>
    </w:p>
    <w:p w14:paraId="57F8B887" w14:textId="77777777" w:rsidR="00F84C00" w:rsidRPr="00F1714B" w:rsidRDefault="00F84C00" w:rsidP="00682F3F">
      <w:pPr>
        <w:keepNext/>
        <w:keepLines/>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7BCBEAEE" w14:textId="7B5451C7" w:rsidR="00F84C00" w:rsidRPr="00F1714B" w:rsidRDefault="00F84C00" w:rsidP="00F84C00">
      <w:pPr>
        <w:ind w:firstLine="720"/>
        <w:rPr>
          <w:rFonts w:eastAsia="Calibri" w:cs="Times New Roman"/>
        </w:rPr>
      </w:pPr>
      <w:r w:rsidRPr="00F1714B">
        <w:rPr>
          <w:rFonts w:eastAsia="Calibri" w:cs="Times New Roman"/>
        </w:rPr>
        <w:t xml:space="preserve">Verizon opposes the Commission’s proposal to reinstate the Subchapter B rules because in Verizon’s view, they are unnecessary and obsolete in today’s competitive marketplace, which the Commission recognized when it granted waivers from these rules in competitive exchanges in 2015.  Verizon proposes that the Commission eliminate them entirely, or else apply them only to residential </w:t>
      </w:r>
      <w:r w:rsidR="007F300F" w:rsidRPr="00F1714B">
        <w:rPr>
          <w:rFonts w:eastAsia="Calibri" w:cs="Times New Roman"/>
        </w:rPr>
        <w:t>basic local exchange</w:t>
      </w:r>
      <w:r w:rsidRPr="00F1714B">
        <w:rPr>
          <w:rFonts w:eastAsia="Calibri" w:cs="Times New Roman"/>
        </w:rPr>
        <w:t xml:space="preserve"> service, to sunset </w:t>
      </w:r>
      <w:r w:rsidR="007F300F" w:rsidRPr="00F1714B">
        <w:rPr>
          <w:rFonts w:eastAsia="Calibri" w:cs="Times New Roman"/>
        </w:rPr>
        <w:t xml:space="preserve">at the </w:t>
      </w:r>
      <w:r w:rsidRPr="00F1714B">
        <w:rPr>
          <w:rFonts w:eastAsia="Calibri" w:cs="Times New Roman"/>
        </w:rPr>
        <w:t>end of 2023.  Verizon Comments at 28.</w:t>
      </w:r>
    </w:p>
    <w:p w14:paraId="5900AF22" w14:textId="77777777" w:rsidR="00F84C00" w:rsidRPr="00F1714B" w:rsidRDefault="00F84C00" w:rsidP="00F84C00">
      <w:pPr>
        <w:spacing w:after="200" w:line="276" w:lineRule="auto"/>
        <w:rPr>
          <w:rFonts w:eastAsia="Calibri" w:cs="Times New Roman"/>
          <w:b/>
          <w:szCs w:val="26"/>
        </w:rPr>
      </w:pPr>
    </w:p>
    <w:p w14:paraId="0A4BA32A" w14:textId="77777777" w:rsidR="00F84C00" w:rsidRPr="00F1714B" w:rsidRDefault="00F84C00" w:rsidP="00BC7472">
      <w:pPr>
        <w:keepNext/>
        <w:keepLine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12BF46BF" w14:textId="7F994B4C" w:rsidR="00F84C00" w:rsidRPr="00F1714B" w:rsidRDefault="00F84C00" w:rsidP="00BC7472">
      <w:pPr>
        <w:keepNext/>
        <w:keepLines/>
        <w:tabs>
          <w:tab w:val="left" w:pos="720"/>
          <w:tab w:val="left" w:pos="1440"/>
        </w:tabs>
        <w:rPr>
          <w:rFonts w:eastAsia="Calibri" w:cs="Times New Roman"/>
          <w:bCs/>
          <w:szCs w:val="26"/>
        </w:rPr>
      </w:pPr>
      <w:bookmarkStart w:id="58" w:name="_Hlk81379992"/>
      <w:r w:rsidRPr="00F1714B">
        <w:rPr>
          <w:rFonts w:eastAsia="Calibri" w:cs="Times New Roman"/>
          <w:bCs/>
          <w:szCs w:val="26"/>
        </w:rPr>
        <w:tab/>
        <w:t>For the same reasons set forth in our discussion of the parties’ general comments with respect to this rulemaking overall,</w:t>
      </w:r>
      <w:r w:rsidRPr="00F1714B">
        <w:rPr>
          <w:rFonts w:eastAsia="Calibri" w:cs="Times New Roman"/>
          <w:bCs/>
          <w:szCs w:val="26"/>
          <w:vertAlign w:val="superscript"/>
        </w:rPr>
        <w:footnoteReference w:id="80"/>
      </w:r>
      <w:r w:rsidRPr="00F1714B">
        <w:rPr>
          <w:rFonts w:eastAsia="Calibri" w:cs="Times New Roman"/>
          <w:bCs/>
          <w:szCs w:val="26"/>
        </w:rPr>
        <w:t xml:space="preserve"> and consistent with OCA’s comments in response to the </w:t>
      </w:r>
      <w:r w:rsidRPr="00F1714B">
        <w:rPr>
          <w:rFonts w:eastAsia="Calibri" w:cs="Times New Roman"/>
          <w:bCs/>
          <w:i/>
          <w:iCs/>
          <w:szCs w:val="26"/>
        </w:rPr>
        <w:t>ANPR</w:t>
      </w:r>
      <w:r w:rsidR="00011950" w:rsidRPr="00F1714B">
        <w:rPr>
          <w:rFonts w:eastAsia="Calibri" w:cs="Times New Roman"/>
          <w:bCs/>
          <w:i/>
          <w:iCs/>
          <w:szCs w:val="26"/>
        </w:rPr>
        <w:t>M</w:t>
      </w:r>
      <w:r w:rsidRPr="00F1714B">
        <w:rPr>
          <w:rFonts w:eastAsia="Calibri" w:cs="Times New Roman"/>
          <w:bCs/>
          <w:i/>
          <w:iCs/>
          <w:szCs w:val="26"/>
        </w:rPr>
        <w:t xml:space="preserve"> Order</w:t>
      </w:r>
      <w:r w:rsidRPr="00F1714B">
        <w:rPr>
          <w:rFonts w:eastAsia="Calibri" w:cs="Times New Roman"/>
          <w:bCs/>
          <w:szCs w:val="26"/>
        </w:rPr>
        <w:t>, we conclude that wholesale elimination of our Chapter 64, Subchapter B regulations is not appropriate</w:t>
      </w:r>
      <w:r w:rsidR="004A5A63" w:rsidRPr="00F1714B">
        <w:rPr>
          <w:rFonts w:eastAsia="Calibri" w:cs="Times New Roman"/>
          <w:bCs/>
          <w:szCs w:val="26"/>
        </w:rPr>
        <w:t>.  Instead, we think it is beneficial to have specific standards that provide specific guidance to the industry and consumers on LEC payment and billing practices, and having specific standards</w:t>
      </w:r>
      <w:r w:rsidR="004A5A63" w:rsidRPr="00F1714B">
        <w:rPr>
          <w:rFonts w:eastAsia="Calibri" w:cs="Times New Roman"/>
          <w:szCs w:val="26"/>
        </w:rPr>
        <w:t xml:space="preserve"> helps the Commission determine whether LECs are following Code Sections 1501 and Section 1509</w:t>
      </w:r>
      <w:r w:rsidR="004A5A63" w:rsidRPr="00F1714B">
        <w:rPr>
          <w:rFonts w:eastAsia="Calibri" w:cs="Times New Roman"/>
          <w:bCs/>
          <w:szCs w:val="26"/>
        </w:rPr>
        <w:t xml:space="preserve">.  </w:t>
      </w:r>
      <w:r w:rsidR="002E1A00" w:rsidRPr="00F1714B">
        <w:rPr>
          <w:rFonts w:eastAsia="Calibri" w:cs="Times New Roman"/>
          <w:bCs/>
          <w:szCs w:val="26"/>
        </w:rPr>
        <w:t>Moreover, our retention of Subchapter B maintains</w:t>
      </w:r>
      <w:r w:rsidRPr="00F1714B">
        <w:rPr>
          <w:rFonts w:eastAsia="Calibri" w:cs="Times New Roman"/>
          <w:bCs/>
          <w:szCs w:val="26"/>
        </w:rPr>
        <w:t xml:space="preserve"> the protections Pennsylvania consumers enjoy today.  </w:t>
      </w:r>
      <w:r w:rsidR="002E1A00" w:rsidRPr="00F1714B">
        <w:rPr>
          <w:rFonts w:eastAsia="Calibri" w:cs="Times New Roman"/>
          <w:bCs/>
          <w:szCs w:val="26"/>
        </w:rPr>
        <w:t xml:space="preserve">Of note, we would have been open to viable alternatives </w:t>
      </w:r>
      <w:r w:rsidR="009A510A" w:rsidRPr="00F1714B">
        <w:rPr>
          <w:rFonts w:eastAsia="Calibri" w:cs="Times New Roman"/>
          <w:bCs/>
          <w:szCs w:val="26"/>
        </w:rPr>
        <w:t>that maintained but modernized/streamlined our</w:t>
      </w:r>
      <w:r w:rsidR="002E1A00" w:rsidRPr="00F1714B">
        <w:rPr>
          <w:rFonts w:eastAsia="Calibri" w:cs="Times New Roman"/>
          <w:bCs/>
          <w:szCs w:val="26"/>
        </w:rPr>
        <w:t xml:space="preserve"> existing Subchapter B regulations</w:t>
      </w:r>
      <w:r w:rsidR="001677E3" w:rsidRPr="00F1714B">
        <w:rPr>
          <w:rFonts w:eastAsia="Calibri" w:cs="Times New Roman"/>
          <w:bCs/>
          <w:szCs w:val="26"/>
        </w:rPr>
        <w:t xml:space="preserve"> on a granular level</w:t>
      </w:r>
      <w:r w:rsidR="002E1A00" w:rsidRPr="00F1714B">
        <w:rPr>
          <w:rFonts w:eastAsia="Calibri" w:cs="Times New Roman"/>
          <w:bCs/>
          <w:szCs w:val="26"/>
        </w:rPr>
        <w:t xml:space="preserve">, but no such alternatives were proposed as part of the rulemaking process.  </w:t>
      </w:r>
      <w:r w:rsidRPr="00F1714B">
        <w:rPr>
          <w:rFonts w:eastAsia="Calibri" w:cs="Times New Roman"/>
          <w:bCs/>
          <w:szCs w:val="26"/>
        </w:rPr>
        <w:t xml:space="preserve">Rather than eliminating all of Subchapter B of Chapter 64 of Title 52 of the Pa. Code, we decide instead to review individual regulations or sets of regulations on their own merits, in response to specific concerns raised by </w:t>
      </w:r>
      <w:r w:rsidR="00A07A6D" w:rsidRPr="00F1714B">
        <w:rPr>
          <w:rFonts w:eastAsia="Calibri" w:cs="Times New Roman"/>
          <w:bCs/>
          <w:szCs w:val="26"/>
        </w:rPr>
        <w:t>commentator</w:t>
      </w:r>
      <w:r w:rsidRPr="00F1714B">
        <w:rPr>
          <w:rFonts w:eastAsia="Calibri" w:cs="Times New Roman"/>
          <w:bCs/>
          <w:szCs w:val="26"/>
        </w:rPr>
        <w:t>s.</w:t>
      </w:r>
    </w:p>
    <w:p w14:paraId="4F09C19C" w14:textId="729E7F60" w:rsidR="00F84C00" w:rsidRPr="00F1714B" w:rsidRDefault="00F84C00" w:rsidP="00F84C00">
      <w:pPr>
        <w:tabs>
          <w:tab w:val="left" w:pos="720"/>
          <w:tab w:val="left" w:pos="1440"/>
        </w:tabs>
        <w:rPr>
          <w:rFonts w:eastAsia="Calibri" w:cs="Times New Roman"/>
          <w:szCs w:val="26"/>
        </w:rPr>
      </w:pPr>
    </w:p>
    <w:bookmarkEnd w:id="58"/>
    <w:p w14:paraId="44556EAA" w14:textId="77777777" w:rsidR="00F84C00" w:rsidRPr="00F1714B" w:rsidRDefault="00F84C00" w:rsidP="00682F3F">
      <w:pPr>
        <w:ind w:left="720" w:firstLine="720"/>
        <w:rPr>
          <w:rFonts w:eastAsia="Calibri" w:cs="Times New Roman"/>
          <w:b/>
          <w:bCs/>
          <w:szCs w:val="26"/>
        </w:rPr>
      </w:pPr>
      <w:r w:rsidRPr="00F1714B">
        <w:rPr>
          <w:rFonts w:eastAsia="Calibri" w:cs="Times New Roman"/>
          <w:b/>
          <w:bCs/>
          <w:szCs w:val="26"/>
        </w:rPr>
        <w:t>1.</w:t>
      </w:r>
      <w:r w:rsidRPr="00F1714B">
        <w:rPr>
          <w:rFonts w:eastAsia="Calibri" w:cs="Times New Roman"/>
          <w:b/>
          <w:bCs/>
          <w:szCs w:val="26"/>
        </w:rPr>
        <w:tab/>
        <w:t>52 Pa. Code § 64.11 (Method of payment)</w:t>
      </w:r>
    </w:p>
    <w:p w14:paraId="732CC9F1" w14:textId="6738D04C"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In the </w:t>
      </w:r>
      <w:r w:rsidRPr="00F1714B">
        <w:rPr>
          <w:rFonts w:eastAsia="Calibri" w:cs="Times New Roman"/>
          <w:i/>
          <w:iCs/>
          <w:szCs w:val="26"/>
        </w:rPr>
        <w:t>NPRM Order</w:t>
      </w:r>
      <w:r w:rsidRPr="00F1714B">
        <w:rPr>
          <w:rFonts w:eastAsia="Calibri" w:cs="Times New Roman"/>
          <w:szCs w:val="26"/>
        </w:rPr>
        <w:t xml:space="preserve">, we proposed the retention of Section 64.11 in all geographic areas where our jurisdictional </w:t>
      </w:r>
      <w:r w:rsidR="00180583" w:rsidRPr="00F1714B">
        <w:rPr>
          <w:rFonts w:eastAsia="Calibri" w:cs="Times New Roman"/>
          <w:szCs w:val="26"/>
        </w:rPr>
        <w:t xml:space="preserve">LECs </w:t>
      </w:r>
      <w:r w:rsidRPr="00F1714B">
        <w:rPr>
          <w:rFonts w:eastAsia="Calibri" w:cs="Times New Roman"/>
          <w:szCs w:val="26"/>
        </w:rPr>
        <w:t xml:space="preserve">serve and, in the Annex, proposed a revision to the regulation to specify that returned check charges are permissible, if included in the carrier’s approved tariff, Product Guide or similar document.  </w:t>
      </w:r>
    </w:p>
    <w:p w14:paraId="184C17D1" w14:textId="77777777" w:rsidR="00F84C00" w:rsidRPr="00F1714B" w:rsidRDefault="00F84C00" w:rsidP="00F84C00">
      <w:pPr>
        <w:tabs>
          <w:tab w:val="left" w:pos="720"/>
          <w:tab w:val="left" w:pos="1440"/>
        </w:tabs>
        <w:rPr>
          <w:rFonts w:eastAsia="Calibri" w:cs="Times New Roman"/>
          <w:szCs w:val="26"/>
        </w:rPr>
      </w:pPr>
    </w:p>
    <w:p w14:paraId="3A3A6ABE" w14:textId="77777777" w:rsidR="00F84C00" w:rsidRPr="00F1714B" w:rsidRDefault="00F84C00" w:rsidP="00F84C00">
      <w:pPr>
        <w:keepNext/>
        <w:keepLines/>
        <w:tabs>
          <w:tab w:val="left" w:pos="720"/>
          <w:tab w:val="left" w:pos="1440"/>
        </w:tab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a.</w:t>
      </w:r>
      <w:r w:rsidRPr="00F1714B">
        <w:rPr>
          <w:rFonts w:eastAsia="Calibri" w:cs="Times New Roman"/>
          <w:b/>
          <w:szCs w:val="26"/>
        </w:rPr>
        <w:tab/>
        <w:t>Comments and Replies</w:t>
      </w:r>
    </w:p>
    <w:p w14:paraId="6E1DCF3E" w14:textId="77777777" w:rsidR="00F84C00" w:rsidRPr="00F1714B" w:rsidRDefault="00F84C00" w:rsidP="00F84C00">
      <w:pPr>
        <w:keepNext/>
        <w:keepLines/>
        <w:ind w:firstLine="720"/>
        <w:rPr>
          <w:rFonts w:eastAsia="Calibri" w:cs="Times New Roman"/>
        </w:rPr>
      </w:pPr>
      <w:r w:rsidRPr="00F1714B">
        <w:rPr>
          <w:rFonts w:eastAsia="Calibri" w:cs="Times New Roman"/>
        </w:rPr>
        <w:t>IRRC notes that “[t]his section appears to allow the LEC to impose both a returned check charge and a handling charge, in the event of a failed payment transaction,” and recommends that “[t]he PUC should clarify the intent of this provision and, if necessary, revise it to be consistent with the intent.”  IRRC Comments at 7.  With respect to the Commission’s proposed language for this subsection, IRRC recommends that the “be” after “set forth” should be deleted. IRRC Comments at 10.</w:t>
      </w:r>
    </w:p>
    <w:p w14:paraId="08A45DA9" w14:textId="77777777" w:rsidR="00F84C00" w:rsidRPr="00F1714B" w:rsidRDefault="00F84C00" w:rsidP="00F84C00">
      <w:pPr>
        <w:ind w:firstLine="720"/>
        <w:rPr>
          <w:rFonts w:eastAsia="Calibri" w:cs="Times New Roman"/>
        </w:rPr>
      </w:pPr>
    </w:p>
    <w:p w14:paraId="24A9D1AC" w14:textId="77777777" w:rsidR="00F84C00" w:rsidRPr="00F1714B" w:rsidRDefault="00F84C00" w:rsidP="00F84C00">
      <w:pPr>
        <w:ind w:firstLine="720"/>
        <w:rPr>
          <w:rFonts w:eastAsia="Calibri" w:cs="Times New Roman"/>
        </w:rPr>
      </w:pPr>
      <w:r w:rsidRPr="00F1714B">
        <w:rPr>
          <w:rFonts w:eastAsia="Calibri" w:cs="Times New Roman"/>
        </w:rPr>
        <w:t>OCA supports the Commission’s proposal to retain this rule in all geographic areas.  OCA Comments at 19-20.  OCA posits that the rule’s references to “payment by check” does not foreclose “electronic payments as another option.”  OCA Comments at 20.  OCA objects to the Commission’s proposed modified rule insofar as it would permit a LEC to impose both a “returned check charge” and a “handling charge” and proposes edits to clarify that a single handling charge should apply and be set forth in the LEC’s tariff or product guide, as appropriate.  OCA Comments at 20-21.</w:t>
      </w:r>
    </w:p>
    <w:p w14:paraId="21DD6C95" w14:textId="77777777" w:rsidR="00F84C00" w:rsidRPr="00F1714B" w:rsidRDefault="00F84C00" w:rsidP="00F84C00">
      <w:pPr>
        <w:rPr>
          <w:rFonts w:eastAsia="Calibri" w:cs="Times New Roman"/>
        </w:rPr>
      </w:pPr>
    </w:p>
    <w:p w14:paraId="469B5357" w14:textId="15FED1A0" w:rsidR="00F84C00" w:rsidRDefault="00F84C00" w:rsidP="00F84C00">
      <w:pPr>
        <w:ind w:firstLine="720"/>
        <w:rPr>
          <w:rFonts w:eastAsia="Calibri" w:cs="Times New Roman"/>
        </w:rPr>
      </w:pPr>
      <w:r w:rsidRPr="00F1714B">
        <w:rPr>
          <w:rFonts w:eastAsia="Calibri" w:cs="Times New Roman"/>
        </w:rPr>
        <w:t xml:space="preserve">Verizon opposes retention of this rule because in Verizon’s view, market forces are sufficient to incent carriers to offer diverse methods of payment.  Verizon Comments at 29. At most, Verizon posits that any payment method obligation be set forth in a product guide or similar document. </w:t>
      </w:r>
      <w:bookmarkStart w:id="59" w:name="_Hlk75955336"/>
      <w:r w:rsidRPr="00F1714B">
        <w:rPr>
          <w:rFonts w:eastAsia="Calibri" w:cs="Times New Roman"/>
        </w:rPr>
        <w:t xml:space="preserve"> Verizon Comments at 29.</w:t>
      </w:r>
      <w:bookmarkEnd w:id="59"/>
    </w:p>
    <w:p w14:paraId="6BBCAC22" w14:textId="77777777" w:rsidR="00270B80" w:rsidRPr="00F1714B" w:rsidRDefault="00270B80" w:rsidP="00F84C00">
      <w:pPr>
        <w:ind w:firstLine="720"/>
        <w:rPr>
          <w:rFonts w:eastAsia="Calibri" w:cs="Times New Roman"/>
        </w:rPr>
      </w:pPr>
    </w:p>
    <w:p w14:paraId="540DED9D" w14:textId="77777777" w:rsidR="00F84C00" w:rsidRPr="00F1714B" w:rsidRDefault="00F84C00" w:rsidP="00F84C00">
      <w:pPr>
        <w:tabs>
          <w:tab w:val="left" w:pos="720"/>
          <w:tab w:val="left" w:pos="1440"/>
        </w:tabs>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35617036" w14:textId="47841947"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We </w:t>
      </w:r>
      <w:r w:rsidR="00B712E4" w:rsidRPr="00F1714B">
        <w:rPr>
          <w:rFonts w:eastAsia="Calibri" w:cs="Times New Roman"/>
          <w:szCs w:val="26"/>
        </w:rPr>
        <w:t>will</w:t>
      </w:r>
      <w:r w:rsidRPr="00F1714B">
        <w:rPr>
          <w:rFonts w:eastAsia="Calibri" w:cs="Times New Roman"/>
          <w:szCs w:val="26"/>
        </w:rPr>
        <w:t xml:space="preserve"> retain this regulation in all geographic areas where our jurisdictional </w:t>
      </w:r>
      <w:r w:rsidR="00180583" w:rsidRPr="00F1714B">
        <w:rPr>
          <w:rFonts w:eastAsia="Calibri" w:cs="Times New Roman"/>
          <w:szCs w:val="26"/>
        </w:rPr>
        <w:t xml:space="preserve">LECs </w:t>
      </w:r>
      <w:r w:rsidRPr="00F1714B">
        <w:rPr>
          <w:rFonts w:eastAsia="Calibri" w:cs="Times New Roman"/>
          <w:szCs w:val="26"/>
        </w:rPr>
        <w:t xml:space="preserve">serve.  </w:t>
      </w:r>
      <w:r w:rsidR="00F45C53" w:rsidRPr="00F1714B">
        <w:rPr>
          <w:rFonts w:eastAsia="Calibri" w:cs="Times New Roman"/>
          <w:szCs w:val="26"/>
        </w:rPr>
        <w:t xml:space="preserve">We note that this regulation allows for payment to be made in any reasonable manner, and we reiterate our position from the </w:t>
      </w:r>
      <w:r w:rsidR="00F45C53" w:rsidRPr="00F1714B">
        <w:rPr>
          <w:rFonts w:eastAsia="Calibri" w:cs="Times New Roman"/>
          <w:i/>
          <w:iCs/>
          <w:szCs w:val="26"/>
        </w:rPr>
        <w:t xml:space="preserve">NPRM Order </w:t>
      </w:r>
      <w:r w:rsidR="00F45C53" w:rsidRPr="00F1714B">
        <w:rPr>
          <w:rFonts w:eastAsia="Calibri" w:cs="Times New Roman"/>
          <w:szCs w:val="26"/>
        </w:rPr>
        <w:t>that this includes electronic payment.  However, w</w:t>
      </w:r>
      <w:r w:rsidRPr="00F1714B">
        <w:rPr>
          <w:rFonts w:eastAsia="Calibri" w:cs="Times New Roman"/>
          <w:szCs w:val="26"/>
        </w:rPr>
        <w:t>e adopt our proposal to amend Section 64.11 to clarify that a LEC may impose a returned check charge if such a charge is set forth in the LEC’s tariff, Product Guide</w:t>
      </w:r>
      <w:r w:rsidR="00040213" w:rsidRPr="00F1714B">
        <w:rPr>
          <w:rFonts w:eastAsia="Calibri" w:cs="Times New Roman"/>
          <w:szCs w:val="26"/>
        </w:rPr>
        <w:t>,</w:t>
      </w:r>
      <w:r w:rsidRPr="00F1714B">
        <w:rPr>
          <w:rFonts w:eastAsia="Calibri" w:cs="Times New Roman"/>
          <w:szCs w:val="26"/>
        </w:rPr>
        <w:t xml:space="preserve"> or similar document in the final-form regulation.  We also agree with IRRC that the word “be” as it appears after the phrase “as long as the charge is set </w:t>
      </w:r>
      <w:r w:rsidRPr="00F1714B">
        <w:rPr>
          <w:rFonts w:eastAsia="Calibri" w:cs="Times New Roman"/>
          <w:szCs w:val="26"/>
        </w:rPr>
        <w:lastRenderedPageBreak/>
        <w:t>forth” in our proposed language for Section 64.11 is superfluous and should be eliminated in the final form regulations.</w:t>
      </w:r>
    </w:p>
    <w:p w14:paraId="761A88BA"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r>
    </w:p>
    <w:p w14:paraId="72FC41DA" w14:textId="31CA9E66"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Finally, consistent with the comments of IRRC and </w:t>
      </w:r>
      <w:r w:rsidR="005467A9" w:rsidRPr="00F1714B">
        <w:rPr>
          <w:rFonts w:eastAsia="Calibri" w:cs="Times New Roman"/>
          <w:szCs w:val="26"/>
        </w:rPr>
        <w:t>O</w:t>
      </w:r>
      <w:r w:rsidRPr="00F1714B">
        <w:rPr>
          <w:rFonts w:eastAsia="Calibri" w:cs="Times New Roman"/>
          <w:szCs w:val="26"/>
        </w:rPr>
        <w:t>CA (which were not opposed by any other party), we decide to eliminate the references to the superfluous and undefined “handling charge” as it appears in the last two sentences of Section 64.11, specifically by eliminating the second to last sentence of the regulation and by deleting the phrase “or impose a handling charge” in the last sentence.  These changes shall be reflected in the final form regulations.</w:t>
      </w:r>
    </w:p>
    <w:p w14:paraId="527732D1" w14:textId="77777777" w:rsidR="00F84C00" w:rsidRPr="00F1714B" w:rsidRDefault="00F84C00" w:rsidP="00F84C00">
      <w:pPr>
        <w:tabs>
          <w:tab w:val="left" w:pos="720"/>
          <w:tab w:val="left" w:pos="1440"/>
        </w:tabs>
        <w:rPr>
          <w:rFonts w:eastAsia="Calibri" w:cs="Times New Roman"/>
          <w:szCs w:val="26"/>
        </w:rPr>
      </w:pPr>
    </w:p>
    <w:p w14:paraId="29E61C72" w14:textId="77777777" w:rsidR="002C7460" w:rsidRPr="00F1714B" w:rsidRDefault="00F84C00" w:rsidP="00F84C00">
      <w:pPr>
        <w:keepNext/>
        <w:keepLines/>
        <w:spacing w:line="240" w:lineRule="auto"/>
        <w:ind w:left="2160" w:hanging="720"/>
        <w:rPr>
          <w:rFonts w:eastAsia="Calibri" w:cs="Times New Roman"/>
          <w:b/>
          <w:bCs/>
          <w:szCs w:val="26"/>
        </w:rPr>
      </w:pPr>
      <w:r w:rsidRPr="00F1714B">
        <w:rPr>
          <w:rFonts w:eastAsia="Calibri" w:cs="Times New Roman"/>
          <w:b/>
          <w:bCs/>
          <w:szCs w:val="26"/>
        </w:rPr>
        <w:t>2.</w:t>
      </w:r>
      <w:r w:rsidRPr="00F1714B">
        <w:rPr>
          <w:rFonts w:eastAsia="Calibri" w:cs="Times New Roman"/>
          <w:b/>
          <w:bCs/>
          <w:szCs w:val="26"/>
        </w:rPr>
        <w:tab/>
        <w:t xml:space="preserve">52 Pa. Code § 64.12 (Due date for payment), </w:t>
      </w:r>
    </w:p>
    <w:p w14:paraId="62E2A85D" w14:textId="77777777" w:rsidR="002C7460" w:rsidRPr="00F1714B" w:rsidRDefault="002C7460" w:rsidP="002C7460">
      <w:pPr>
        <w:keepNext/>
        <w:keepLines/>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xml:space="preserve">§ 64.13 (Billing frequency), and </w:t>
      </w:r>
    </w:p>
    <w:p w14:paraId="41E5680C" w14:textId="02654969" w:rsidR="00F84C00" w:rsidRPr="00F1714B" w:rsidRDefault="002C7460" w:rsidP="00192641">
      <w:pPr>
        <w:keepNext/>
        <w:keepLines/>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64.14 (Billing information)</w:t>
      </w:r>
    </w:p>
    <w:p w14:paraId="18D57252" w14:textId="77777777" w:rsidR="00F84C00" w:rsidRPr="00F1714B" w:rsidRDefault="00F84C00" w:rsidP="00F84C00">
      <w:pPr>
        <w:keepNext/>
        <w:keepLines/>
        <w:spacing w:line="240" w:lineRule="auto"/>
        <w:rPr>
          <w:rFonts w:eastAsia="Calibri" w:cs="Times New Roman"/>
          <w:szCs w:val="26"/>
        </w:rPr>
      </w:pPr>
    </w:p>
    <w:p w14:paraId="4F8F8516" w14:textId="22ECC7ED" w:rsidR="00F84C00" w:rsidRPr="00F1714B" w:rsidRDefault="00F84C00" w:rsidP="008E4738">
      <w:pPr>
        <w:ind w:firstLine="547"/>
        <w:rPr>
          <w:rFonts w:eastAsia="Calibri" w:cs="Times New Roman"/>
          <w:szCs w:val="26"/>
        </w:rPr>
      </w:pPr>
      <w:bookmarkStart w:id="60" w:name="_Hlk44378129"/>
      <w:r w:rsidRPr="00F1714B">
        <w:rPr>
          <w:rFonts w:eastAsia="Calibri" w:cs="Times New Roman"/>
          <w:szCs w:val="26"/>
        </w:rPr>
        <w:t xml:space="preserve">In the </w:t>
      </w:r>
      <w:r w:rsidRPr="00F1714B">
        <w:rPr>
          <w:rFonts w:eastAsia="Calibri" w:cs="Times New Roman"/>
          <w:i/>
          <w:iCs/>
          <w:szCs w:val="26"/>
        </w:rPr>
        <w:t>NPRM Order</w:t>
      </w:r>
      <w:r w:rsidRPr="00F1714B">
        <w:rPr>
          <w:rFonts w:eastAsia="Calibri" w:cs="Times New Roman"/>
          <w:szCs w:val="26"/>
        </w:rPr>
        <w:t>, we</w:t>
      </w:r>
      <w:bookmarkEnd w:id="60"/>
      <w:r w:rsidRPr="00F1714B">
        <w:rPr>
          <w:rFonts w:eastAsia="Calibri" w:cs="Times New Roman"/>
          <w:szCs w:val="26"/>
        </w:rPr>
        <w:t xml:space="preserve"> proposed to retain Sections 64.12 and 64.13 and to revise them so that the regulations incorporate the availability and use of electronic billing in lieu of paper bills.</w:t>
      </w:r>
    </w:p>
    <w:p w14:paraId="4FF179E7" w14:textId="77777777" w:rsidR="00F84C00" w:rsidRPr="00F1714B" w:rsidRDefault="00F84C00" w:rsidP="008E4738">
      <w:pPr>
        <w:ind w:firstLine="547"/>
        <w:rPr>
          <w:rFonts w:eastAsia="Calibri" w:cs="Times New Roman"/>
          <w:szCs w:val="26"/>
        </w:rPr>
      </w:pPr>
    </w:p>
    <w:p w14:paraId="7DDE75BF" w14:textId="70BE9E12" w:rsidR="00F84C00" w:rsidRPr="00F1714B" w:rsidRDefault="00F84C00" w:rsidP="00F84C00">
      <w:pPr>
        <w:ind w:firstLine="547"/>
        <w:rPr>
          <w:rFonts w:eastAsia="Calibri" w:cs="Times New Roman"/>
          <w:color w:val="000000"/>
          <w:szCs w:val="26"/>
        </w:rPr>
      </w:pPr>
      <w:r w:rsidRPr="00F1714B">
        <w:rPr>
          <w:rFonts w:eastAsia="Calibri" w:cs="Times New Roman"/>
          <w:szCs w:val="26"/>
        </w:rPr>
        <w:t>Also</w:t>
      </w:r>
      <w:r w:rsidR="00040213" w:rsidRPr="00F1714B">
        <w:rPr>
          <w:rFonts w:eastAsia="Calibri" w:cs="Times New Roman"/>
          <w:szCs w:val="26"/>
        </w:rPr>
        <w:t>,</w:t>
      </w:r>
      <w:r w:rsidRPr="00F1714B">
        <w:rPr>
          <w:rFonts w:eastAsia="Calibri" w:cs="Times New Roman"/>
          <w:szCs w:val="26"/>
        </w:rPr>
        <w:t xml:space="preserve"> in the </w:t>
      </w:r>
      <w:r w:rsidRPr="00F1714B">
        <w:rPr>
          <w:rFonts w:eastAsia="Calibri" w:cs="Times New Roman"/>
          <w:i/>
          <w:iCs/>
          <w:szCs w:val="26"/>
        </w:rPr>
        <w:t>NPRM Order</w:t>
      </w:r>
      <w:r w:rsidRPr="00F1714B">
        <w:rPr>
          <w:rFonts w:eastAsia="Calibri" w:cs="Times New Roman"/>
          <w:szCs w:val="26"/>
        </w:rPr>
        <w:t xml:space="preserve">, we proposed to retain Sections 64.14(a) and (c) and to rescind Sections 64.14(b) and 64.14(d).  We noted that the </w:t>
      </w:r>
      <w:r w:rsidRPr="00F1714B">
        <w:rPr>
          <w:rFonts w:eastAsia="Calibri" w:cs="Times New Roman"/>
          <w:color w:val="000000"/>
          <w:szCs w:val="26"/>
        </w:rPr>
        <w:t>information provided in Section 64.14(c) is sometimes at the heart of consumer disputes and thus a requirement that a utility inform the customer of charges to be incurred for new or additional services and then retain that information for 90 days, or approximately 3 billing cycles, is necessary should a dispute arise from either party.</w:t>
      </w:r>
    </w:p>
    <w:p w14:paraId="5A5810A1" w14:textId="77777777" w:rsidR="00F84C00" w:rsidRPr="00F1714B" w:rsidRDefault="00F84C00" w:rsidP="00F84C00">
      <w:pPr>
        <w:ind w:firstLine="547"/>
        <w:rPr>
          <w:rFonts w:eastAsia="Calibri" w:cs="Times New Roman"/>
          <w:color w:val="000000"/>
          <w:szCs w:val="26"/>
        </w:rPr>
      </w:pPr>
    </w:p>
    <w:p w14:paraId="7F82CE38"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582E4376" w14:textId="452B6E38" w:rsidR="00F84C00" w:rsidRPr="00F1714B" w:rsidRDefault="00F84C00" w:rsidP="00F84C00">
      <w:pPr>
        <w:ind w:firstLine="720"/>
        <w:rPr>
          <w:rFonts w:eastAsia="Calibri" w:cs="Times New Roman"/>
        </w:rPr>
      </w:pPr>
      <w:bookmarkStart w:id="61" w:name="_Hlk76120410"/>
      <w:r w:rsidRPr="00F1714B">
        <w:rPr>
          <w:rFonts w:eastAsia="Calibri" w:cs="Times New Roman"/>
        </w:rPr>
        <w:t xml:space="preserve">With respect to Section 64.12, IRRC recommends “that this section be modified to provide for the date of transmittal for bills generated and conveyed to the consumer electronically.”  IRRC Comments at 8.  With respect to Section 64.13, IRRC recommends that “this section should be amended to reflect the option to detariff </w:t>
      </w:r>
      <w:r w:rsidRPr="00F1714B">
        <w:rPr>
          <w:rFonts w:eastAsia="Calibri" w:cs="Times New Roman"/>
        </w:rPr>
        <w:lastRenderedPageBreak/>
        <w:t>competitive services by adding ‘product guide or similar document posted on the LEC’s website’ to the end of the regulation,” or the Commission should “explain why it is unnecessary to do so.”  IRRC Comments at 8.</w:t>
      </w:r>
    </w:p>
    <w:p w14:paraId="01DEEF4C" w14:textId="77777777" w:rsidR="00F84C00" w:rsidRPr="00F1714B" w:rsidRDefault="00F84C00" w:rsidP="00F84C00">
      <w:pPr>
        <w:ind w:firstLine="720"/>
        <w:rPr>
          <w:rFonts w:eastAsia="Calibri" w:cs="Times New Roman"/>
        </w:rPr>
      </w:pPr>
    </w:p>
    <w:p w14:paraId="608ED986" w14:textId="1F3FD36F" w:rsidR="00F84C00" w:rsidRPr="00F1714B" w:rsidRDefault="00F84C00" w:rsidP="00F84C00">
      <w:pPr>
        <w:ind w:firstLine="720"/>
        <w:rPr>
          <w:rFonts w:eastAsia="Calibri" w:cs="Times New Roman"/>
        </w:rPr>
      </w:pPr>
      <w:r w:rsidRPr="00F1714B">
        <w:rPr>
          <w:rFonts w:eastAsia="Calibri" w:cs="Times New Roman"/>
        </w:rPr>
        <w:t xml:space="preserve">The OCA supports the Commission’s proposal to retain these rules in all geographic areas.  OCA Comments at 21. </w:t>
      </w:r>
      <w:bookmarkEnd w:id="61"/>
      <w:r w:rsidRPr="00F1714B">
        <w:rPr>
          <w:rFonts w:eastAsia="Calibri" w:cs="Times New Roman"/>
        </w:rPr>
        <w:t xml:space="preserve"> According to OCA, these rules “implement the billing procedure and consumer protection provisions of Section 1509” and provide transparency to consumers of LEC services.  OCA Comments at 21-22.  With respect to subsection 64.12 (Due date for payment), OCA proposes edits to clarify that the 20-day bill due date period should begin, in the case of an electronic bill, “on the date of transmittal.”  OCA Comments at 22.  Similarly, OCA proposes to clarify that the date of payment for electronic payments is “the date the consumer made the electronic payment.” OCA Comments at 22-23.  </w:t>
      </w:r>
    </w:p>
    <w:p w14:paraId="633BDC3F" w14:textId="77777777" w:rsidR="00F84C00" w:rsidRPr="00F1714B" w:rsidRDefault="00F84C00" w:rsidP="00F84C00">
      <w:pPr>
        <w:rPr>
          <w:rFonts w:eastAsia="Calibri" w:cs="Times New Roman"/>
        </w:rPr>
      </w:pPr>
    </w:p>
    <w:p w14:paraId="0A7D4351" w14:textId="337A5A4F" w:rsidR="00F84C00" w:rsidRPr="00F1714B" w:rsidRDefault="00F84C00" w:rsidP="00F84C00">
      <w:pPr>
        <w:ind w:firstLine="720"/>
        <w:rPr>
          <w:rFonts w:eastAsia="Calibri" w:cs="Times New Roman"/>
        </w:rPr>
      </w:pPr>
      <w:r w:rsidRPr="00F1714B">
        <w:rPr>
          <w:rFonts w:eastAsia="Calibri" w:cs="Times New Roman"/>
        </w:rPr>
        <w:t>TCC/CCL propose that the Commission modify its proposed language for subsection 64.12 (Due date for payment) to acknowledge that electronic bills are “transmitted” not “mailed.”  TCC/CCL Comments at 18.  Additionally, TCC/CCL propose that the Commission modify its proposed language for subsection 64.13 (Billing frequency) to reflect the fact that detariffed competitive services may be offered in a product guide.  TCC/CCL Comments at 18.</w:t>
      </w:r>
    </w:p>
    <w:p w14:paraId="028C3985" w14:textId="77777777" w:rsidR="00F84C00" w:rsidRPr="00F1714B" w:rsidRDefault="00F84C00" w:rsidP="00F84C00">
      <w:pPr>
        <w:rPr>
          <w:rFonts w:eastAsia="Calibri" w:cs="Times New Roman"/>
        </w:rPr>
      </w:pPr>
    </w:p>
    <w:p w14:paraId="5887548B" w14:textId="1341B851" w:rsidR="00F84C00" w:rsidRPr="00F1714B" w:rsidRDefault="00F84C00" w:rsidP="00F84C00">
      <w:pPr>
        <w:ind w:firstLine="720"/>
        <w:rPr>
          <w:rFonts w:eastAsia="Calibri" w:cs="Times New Roman"/>
        </w:rPr>
      </w:pPr>
      <w:r w:rsidRPr="00F1714B">
        <w:rPr>
          <w:rFonts w:eastAsia="Calibri" w:cs="Times New Roman"/>
        </w:rPr>
        <w:t xml:space="preserve">TCC/CCL also propose that the Commission modify its proposed language for subsection 64.14 (Billing information) to reflect the fact that “bundled service packages have become a standard product option,” and recommends deletion of subpart (c) of this rule because “in the current telecommunications marketplace… customers purchase </w:t>
      </w:r>
      <w:r w:rsidR="005E47B7" w:rsidRPr="00F1714B">
        <w:rPr>
          <w:rFonts w:eastAsia="Calibri" w:cs="Times New Roman"/>
        </w:rPr>
        <w:t>‘</w:t>
      </w:r>
      <w:r w:rsidRPr="00F1714B">
        <w:rPr>
          <w:rFonts w:eastAsia="Calibri" w:cs="Times New Roman"/>
        </w:rPr>
        <w:t>all-in</w:t>
      </w:r>
      <w:r w:rsidR="005E47B7" w:rsidRPr="00F1714B">
        <w:rPr>
          <w:rFonts w:eastAsia="Calibri" w:cs="Times New Roman"/>
        </w:rPr>
        <w:t>’</w:t>
      </w:r>
      <w:r w:rsidRPr="00F1714B">
        <w:rPr>
          <w:rFonts w:eastAsia="Calibri" w:cs="Times New Roman"/>
        </w:rPr>
        <w:t xml:space="preserve"> bundled service.”  TCC/CCL Comments at 19.</w:t>
      </w:r>
    </w:p>
    <w:p w14:paraId="5AC33F4C" w14:textId="77777777" w:rsidR="00F84C00" w:rsidRPr="00F1714B" w:rsidRDefault="00F84C00" w:rsidP="00F84C00">
      <w:pPr>
        <w:rPr>
          <w:rFonts w:eastAsia="Calibri" w:cs="Times New Roman"/>
        </w:rPr>
      </w:pPr>
    </w:p>
    <w:p w14:paraId="0F603F8C" w14:textId="4954B1DC" w:rsidR="00F84C00" w:rsidRPr="00F1714B" w:rsidRDefault="00F84C00" w:rsidP="00F84C00">
      <w:pPr>
        <w:ind w:firstLine="720"/>
        <w:rPr>
          <w:rFonts w:eastAsia="Calibri" w:cs="Times New Roman"/>
        </w:rPr>
      </w:pPr>
      <w:r w:rsidRPr="00F1714B">
        <w:rPr>
          <w:rFonts w:eastAsia="Calibri" w:cs="Times New Roman"/>
        </w:rPr>
        <w:t xml:space="preserve">Verizon opposes retention of these rules because in Verizon’s view, section 1509 of the Code is sufficient to address due date for payment and other billing issues.  </w:t>
      </w:r>
      <w:r w:rsidRPr="00F1714B">
        <w:rPr>
          <w:rFonts w:eastAsia="Calibri" w:cs="Times New Roman"/>
        </w:rPr>
        <w:lastRenderedPageBreak/>
        <w:t>Verizon does agree with the Commission’s proposal to clarify that electronic billing is permissible.  Verizon Comments at 29.</w:t>
      </w:r>
    </w:p>
    <w:p w14:paraId="7A7297C7" w14:textId="77777777" w:rsidR="00F84C00" w:rsidRPr="00F1714B" w:rsidRDefault="00F84C00" w:rsidP="00F84C00">
      <w:pPr>
        <w:rPr>
          <w:rFonts w:eastAsia="Calibri" w:cs="Times New Roman"/>
          <w:b/>
          <w:szCs w:val="26"/>
        </w:rPr>
      </w:pPr>
    </w:p>
    <w:p w14:paraId="193596CB"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6DA1EBEC" w14:textId="7145ED68" w:rsidR="0038695C" w:rsidRPr="00F1714B" w:rsidRDefault="00F84C00" w:rsidP="0038695C">
      <w:pPr>
        <w:ind w:firstLine="540"/>
        <w:rPr>
          <w:rFonts w:eastAsia="Calibri" w:cs="Times New Roman"/>
          <w:color w:val="000000"/>
          <w:szCs w:val="26"/>
        </w:rPr>
      </w:pPr>
      <w:r w:rsidRPr="00F1714B">
        <w:rPr>
          <w:rFonts w:eastAsia="Calibri" w:cs="Times New Roman"/>
          <w:color w:val="000000"/>
          <w:szCs w:val="26"/>
        </w:rPr>
        <w:t>We find that Sections 64.12, 64.13 and 64.14 remain important consumer protections</w:t>
      </w:r>
      <w:r w:rsidR="005E47B7" w:rsidRPr="00F1714B">
        <w:rPr>
          <w:rFonts w:eastAsia="Calibri" w:cs="Times New Roman"/>
          <w:color w:val="000000"/>
          <w:szCs w:val="26"/>
        </w:rPr>
        <w:t>,</w:t>
      </w:r>
      <w:r w:rsidRPr="00F1714B">
        <w:rPr>
          <w:rFonts w:eastAsia="Calibri" w:cs="Times New Roman"/>
          <w:color w:val="000000"/>
          <w:szCs w:val="26"/>
        </w:rPr>
        <w:t xml:space="preserve"> and we decide to retain these regulations in all geographic areas where our jurisdictional</w:t>
      </w:r>
      <w:r w:rsidR="00180583" w:rsidRPr="00F1714B">
        <w:rPr>
          <w:rFonts w:eastAsia="Calibri" w:cs="Times New Roman"/>
          <w:color w:val="000000"/>
          <w:szCs w:val="26"/>
        </w:rPr>
        <w:t xml:space="preserve"> LECs </w:t>
      </w:r>
      <w:r w:rsidRPr="00F1714B">
        <w:rPr>
          <w:rFonts w:eastAsia="Calibri" w:cs="Times New Roman"/>
          <w:color w:val="000000"/>
          <w:szCs w:val="26"/>
        </w:rPr>
        <w:t>serve.  We note these rules clarify various aspects of the billing process and thus</w:t>
      </w:r>
      <w:r w:rsidR="00405360" w:rsidRPr="00F1714B">
        <w:rPr>
          <w:rFonts w:eastAsia="Calibri" w:cs="Times New Roman"/>
          <w:color w:val="000000"/>
          <w:szCs w:val="26"/>
        </w:rPr>
        <w:t>,</w:t>
      </w:r>
      <w:r w:rsidRPr="00F1714B">
        <w:rPr>
          <w:rFonts w:eastAsia="Calibri" w:cs="Times New Roman"/>
          <w:color w:val="000000"/>
          <w:szCs w:val="26"/>
        </w:rPr>
        <w:t xml:space="preserve"> protect both the carrier and the consumer in most respects.  We also note that we impose similar obligations </w:t>
      </w:r>
      <w:r w:rsidR="0038695C" w:rsidRPr="00F1714B">
        <w:rPr>
          <w:rFonts w:eastAsia="Calibri" w:cs="Times New Roman"/>
          <w:color w:val="000000"/>
          <w:szCs w:val="26"/>
        </w:rPr>
        <w:t xml:space="preserve">on our </w:t>
      </w:r>
      <w:r w:rsidRPr="00F1714B">
        <w:rPr>
          <w:rFonts w:eastAsia="Calibri" w:cs="Times New Roman"/>
          <w:color w:val="000000"/>
          <w:szCs w:val="26"/>
        </w:rPr>
        <w:t xml:space="preserve">other </w:t>
      </w:r>
      <w:r w:rsidR="0038695C" w:rsidRPr="00F1714B">
        <w:rPr>
          <w:rFonts w:eastAsia="Calibri" w:cs="Times New Roman"/>
          <w:color w:val="000000"/>
          <w:szCs w:val="26"/>
        </w:rPr>
        <w:t>regulated entities such as electric distribution companies, natural gas distribution companies and water companies when they issue bills to their residential customers.  In fact, one of the main reasons we proposed to retain these billing practices was that similar rules are also imposed for electric, gas, and water residential customers and these utility market</w:t>
      </w:r>
      <w:r w:rsidR="005E47B7" w:rsidRPr="00F1714B">
        <w:rPr>
          <w:rFonts w:eastAsia="Calibri" w:cs="Times New Roman"/>
          <w:color w:val="000000"/>
          <w:szCs w:val="26"/>
        </w:rPr>
        <w:t>s</w:t>
      </w:r>
      <w:r w:rsidR="0038695C" w:rsidRPr="00F1714B">
        <w:rPr>
          <w:rFonts w:eastAsia="Calibri" w:cs="Times New Roman"/>
          <w:color w:val="000000"/>
          <w:szCs w:val="26"/>
        </w:rPr>
        <w:t xml:space="preserve"> are all subject to competition too. </w:t>
      </w:r>
    </w:p>
    <w:p w14:paraId="77E4B4C4" w14:textId="77777777" w:rsidR="0038695C" w:rsidRPr="00F1714B" w:rsidRDefault="0038695C" w:rsidP="0038695C">
      <w:pPr>
        <w:ind w:firstLine="540"/>
        <w:rPr>
          <w:rFonts w:eastAsia="Calibri" w:cs="Times New Roman"/>
          <w:color w:val="000000"/>
          <w:szCs w:val="26"/>
        </w:rPr>
      </w:pPr>
    </w:p>
    <w:p w14:paraId="501EE9A4" w14:textId="4E064B16" w:rsidR="00F84C00" w:rsidRPr="00F1714B" w:rsidRDefault="009D4E01" w:rsidP="00F84C00">
      <w:pPr>
        <w:ind w:firstLine="540"/>
        <w:rPr>
          <w:rFonts w:eastAsia="Calibri" w:cs="Times New Roman"/>
          <w:color w:val="000000"/>
          <w:szCs w:val="26"/>
        </w:rPr>
      </w:pPr>
      <w:r w:rsidRPr="00F1714B">
        <w:rPr>
          <w:rFonts w:eastAsia="Calibri" w:cs="Times New Roman"/>
          <w:color w:val="000000"/>
          <w:szCs w:val="26"/>
        </w:rPr>
        <w:t>As a step towards modernization, w</w:t>
      </w:r>
      <w:r w:rsidR="00F84C00" w:rsidRPr="00F1714B">
        <w:rPr>
          <w:rFonts w:eastAsia="Calibri" w:cs="Times New Roman"/>
          <w:color w:val="000000"/>
          <w:szCs w:val="26"/>
        </w:rPr>
        <w:t xml:space="preserve">e amend Sections 64.12 and 64.13 to include our proposed language relative to electronic bills, and we accept various parties’ suggestion to modify our proposed language for Section 64.12 to recognize that the due date shall be, in the case of electronic bill, </w:t>
      </w:r>
      <w:r w:rsidR="005E47B7" w:rsidRPr="00F1714B">
        <w:rPr>
          <w:rFonts w:eastAsia="Calibri" w:cs="Times New Roman"/>
          <w:color w:val="000000"/>
          <w:szCs w:val="26"/>
        </w:rPr>
        <w:t xml:space="preserve">twenty </w:t>
      </w:r>
      <w:r w:rsidR="00F84C00" w:rsidRPr="00F1714B">
        <w:rPr>
          <w:rFonts w:eastAsia="Calibri" w:cs="Times New Roman"/>
          <w:color w:val="000000"/>
          <w:szCs w:val="26"/>
        </w:rPr>
        <w:t xml:space="preserve">days from the date the bill was “transmitted”—not “mailed.”  </w:t>
      </w:r>
      <w:r w:rsidR="00483E72" w:rsidRPr="00F1714B">
        <w:rPr>
          <w:rFonts w:eastAsia="Calibri" w:cs="Times New Roman"/>
          <w:color w:val="000000"/>
          <w:szCs w:val="26"/>
        </w:rPr>
        <w:t xml:space="preserve">We also agree with the OCA in its comments that Section 64.12 should be amended to state a convention for identifying the payment date for electronic payments, which we agree should be the date the consumer made the electronic payment.  Just as consumers cannot control the length of time for delivery of a mailed payment, consumers may not know the utility’s internal process for receipt and posting of an electronic payment. OCA Comments at 22-23.  </w:t>
      </w:r>
    </w:p>
    <w:p w14:paraId="4CF62393" w14:textId="77777777" w:rsidR="00F84C00" w:rsidRPr="00F1714B" w:rsidRDefault="00F84C00" w:rsidP="00F84C00">
      <w:pPr>
        <w:ind w:firstLine="540"/>
        <w:rPr>
          <w:rFonts w:eastAsia="Calibri" w:cs="Times New Roman"/>
          <w:color w:val="000000"/>
          <w:szCs w:val="26"/>
        </w:rPr>
      </w:pPr>
    </w:p>
    <w:p w14:paraId="19BFA6EE" w14:textId="562629D8" w:rsidR="00F84C00" w:rsidRPr="00F1714B" w:rsidRDefault="00F84C00" w:rsidP="00F84C00">
      <w:pPr>
        <w:ind w:firstLine="540"/>
        <w:rPr>
          <w:rFonts w:eastAsia="Calibri" w:cs="Times New Roman"/>
          <w:color w:val="000000"/>
          <w:szCs w:val="26"/>
        </w:rPr>
      </w:pPr>
      <w:r w:rsidRPr="00F1714B">
        <w:rPr>
          <w:rFonts w:eastAsia="Calibri" w:cs="Times New Roman"/>
          <w:color w:val="000000"/>
          <w:szCs w:val="26"/>
        </w:rPr>
        <w:t xml:space="preserve">We further agree with parties that suggested Section 64.13 should acknowledge that LECs may in some cases offer service through a Product Guide in lieu of an approved tariff and accordingly we will replace the term “approved rate schedules” at the end of </w:t>
      </w:r>
      <w:r w:rsidRPr="00F1714B">
        <w:rPr>
          <w:rFonts w:eastAsia="Calibri" w:cs="Times New Roman"/>
          <w:color w:val="000000"/>
          <w:szCs w:val="26"/>
        </w:rPr>
        <w:lastRenderedPageBreak/>
        <w:t>Section 64.13 with the phrase “tariff, Product Guide or similar document” in the final­form regulation.</w:t>
      </w:r>
    </w:p>
    <w:p w14:paraId="1120269A" w14:textId="77777777" w:rsidR="005467A9" w:rsidRPr="00F1714B" w:rsidRDefault="005467A9" w:rsidP="00F84C00">
      <w:pPr>
        <w:ind w:firstLine="540"/>
        <w:rPr>
          <w:rFonts w:eastAsia="Calibri" w:cs="Times New Roman"/>
          <w:color w:val="000000"/>
          <w:szCs w:val="26"/>
        </w:rPr>
      </w:pPr>
    </w:p>
    <w:p w14:paraId="3E2F7688" w14:textId="2302306D" w:rsidR="00995121" w:rsidRPr="00F1714B" w:rsidRDefault="00F84C00" w:rsidP="00995121">
      <w:pPr>
        <w:ind w:firstLine="540"/>
        <w:rPr>
          <w:rFonts w:eastAsia="Calibri" w:cs="Times New Roman"/>
          <w:color w:val="000000"/>
          <w:szCs w:val="26"/>
        </w:rPr>
      </w:pPr>
      <w:r w:rsidRPr="00F1714B">
        <w:rPr>
          <w:rFonts w:eastAsia="Calibri" w:cs="Times New Roman"/>
          <w:color w:val="000000"/>
          <w:szCs w:val="26"/>
        </w:rPr>
        <w:t xml:space="preserve">We also decide to adopt our proposed modifications to Section 64.14 as set forth in the Appendix, </w:t>
      </w:r>
      <w:r w:rsidR="00995121" w:rsidRPr="00F1714B">
        <w:rPr>
          <w:rFonts w:eastAsia="Calibri" w:cs="Times New Roman"/>
          <w:color w:val="000000"/>
          <w:szCs w:val="26"/>
        </w:rPr>
        <w:t>with one modification</w:t>
      </w:r>
      <w:r w:rsidRPr="00F1714B">
        <w:rPr>
          <w:rFonts w:eastAsia="Calibri" w:cs="Times New Roman"/>
          <w:color w:val="000000"/>
          <w:szCs w:val="26"/>
        </w:rPr>
        <w:t xml:space="preserve">.  We find TCC/CCL’s proposed change to subsection (a)(4) to be unnecessary: if a customer does not subscribe to “basic service,” nothing in the subsection would appear to require a LEC to state any “amount due for basic service.”  </w:t>
      </w:r>
      <w:r w:rsidR="00995121" w:rsidRPr="00F1714B">
        <w:rPr>
          <w:rFonts w:eastAsia="Calibri" w:cs="Times New Roman"/>
          <w:color w:val="000000"/>
          <w:szCs w:val="26"/>
        </w:rPr>
        <w:t>However we shall rescind Section 64.14(c).  We agree with TCC/CCL that deletion of this rule makes sense in the current telecommunications marketplace, given the popularity and proliferation of service bundles. TCC/CCL Comments at 19.</w:t>
      </w:r>
    </w:p>
    <w:p w14:paraId="6F630C8D" w14:textId="77777777" w:rsidR="00F84C00" w:rsidRPr="00F1714B" w:rsidRDefault="00F84C00" w:rsidP="00F84C00">
      <w:pPr>
        <w:ind w:firstLine="540"/>
        <w:rPr>
          <w:rFonts w:eastAsia="Calibri" w:cs="Times New Roman"/>
          <w:color w:val="000000"/>
          <w:szCs w:val="26"/>
        </w:rPr>
      </w:pPr>
    </w:p>
    <w:p w14:paraId="45E56FA3" w14:textId="77777777" w:rsidR="00F84C00" w:rsidRPr="00F1714B" w:rsidRDefault="00F84C00" w:rsidP="00F84C00">
      <w:pPr>
        <w:ind w:firstLine="540"/>
        <w:rPr>
          <w:rFonts w:eastAsia="Calibri" w:cs="Times New Roman"/>
          <w:color w:val="000000"/>
          <w:szCs w:val="26"/>
        </w:rPr>
      </w:pPr>
      <w:r w:rsidRPr="00F1714B">
        <w:rPr>
          <w:rFonts w:eastAsia="Calibri" w:cs="Times New Roman"/>
          <w:color w:val="000000"/>
          <w:szCs w:val="26"/>
        </w:rPr>
        <w:t>Accordingly, based on the above discussion these changes will be reflected in the final-form regulation set forth in the Annex.</w:t>
      </w:r>
    </w:p>
    <w:p w14:paraId="0DF8A825" w14:textId="77777777" w:rsidR="00F84C00" w:rsidRPr="00F1714B" w:rsidRDefault="00F84C00" w:rsidP="00F84C00">
      <w:pPr>
        <w:rPr>
          <w:rFonts w:eastAsia="Calibri" w:cs="Times New Roman"/>
          <w:b/>
          <w:szCs w:val="26"/>
        </w:rPr>
      </w:pPr>
    </w:p>
    <w:p w14:paraId="6BA06A97" w14:textId="77777777" w:rsidR="002C7460" w:rsidRPr="00F1714B" w:rsidRDefault="00F84C00" w:rsidP="00D97BCF">
      <w:pPr>
        <w:spacing w:line="240" w:lineRule="auto"/>
        <w:ind w:left="2160" w:hanging="720"/>
        <w:rPr>
          <w:rFonts w:eastAsia="Calibri" w:cs="Times New Roman"/>
          <w:b/>
          <w:bCs/>
          <w:szCs w:val="26"/>
        </w:rPr>
      </w:pPr>
      <w:r w:rsidRPr="00F1714B">
        <w:rPr>
          <w:rFonts w:eastAsia="Calibri" w:cs="Times New Roman"/>
          <w:b/>
          <w:bCs/>
          <w:szCs w:val="26"/>
        </w:rPr>
        <w:t>3.</w:t>
      </w:r>
      <w:r w:rsidRPr="00F1714B">
        <w:rPr>
          <w:rFonts w:eastAsia="Calibri" w:cs="Times New Roman"/>
          <w:b/>
          <w:bCs/>
          <w:szCs w:val="26"/>
        </w:rPr>
        <w:tab/>
        <w:t xml:space="preserve">52 Pa. Code § 64.15 (Advanced payments) and </w:t>
      </w:r>
    </w:p>
    <w:p w14:paraId="17574473" w14:textId="12452B4F" w:rsidR="00F84C00" w:rsidRPr="00F1714B" w:rsidRDefault="002C7460" w:rsidP="002C7460">
      <w:pPr>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64.16 (Accrual of late payment charges)</w:t>
      </w:r>
    </w:p>
    <w:p w14:paraId="029B3DC9" w14:textId="77777777" w:rsidR="002C7460" w:rsidRPr="00F1714B" w:rsidRDefault="002C7460" w:rsidP="00D97BCF">
      <w:pPr>
        <w:spacing w:line="240" w:lineRule="auto"/>
        <w:ind w:left="2160"/>
        <w:rPr>
          <w:rFonts w:eastAsia="Calibri" w:cs="Times New Roman"/>
          <w:b/>
          <w:bCs/>
          <w:szCs w:val="26"/>
        </w:rPr>
      </w:pPr>
    </w:p>
    <w:p w14:paraId="09E99B50" w14:textId="4254B754" w:rsidR="00F84C00" w:rsidRDefault="00F84C00" w:rsidP="00F84C00">
      <w:pPr>
        <w:tabs>
          <w:tab w:val="left" w:pos="720"/>
          <w:tab w:val="left" w:pos="1440"/>
        </w:tabs>
        <w:rPr>
          <w:rFonts w:eastAsia="Calibri" w:cs="Times New Roman"/>
          <w:szCs w:val="26"/>
        </w:rPr>
      </w:pPr>
      <w:r w:rsidRPr="00F1714B">
        <w:rPr>
          <w:rFonts w:eastAsia="Calibri" w:cs="Times New Roman"/>
          <w:szCs w:val="26"/>
        </w:rPr>
        <w:tab/>
        <w:t>In granting Verizon a temporary waiver of Section 64.15, we determined that customers in competitive wire centers who do not want to pay the price for Verizon’s services have alternate services to choose from to replace their services.</w:t>
      </w:r>
      <w:r w:rsidRPr="00F1714B">
        <w:rPr>
          <w:rFonts w:eastAsia="Calibri" w:cs="Times New Roman"/>
          <w:szCs w:val="26"/>
          <w:vertAlign w:val="superscript"/>
        </w:rPr>
        <w:footnoteReference w:id="81"/>
      </w:r>
      <w:r w:rsidRPr="00F1714B">
        <w:rPr>
          <w:rFonts w:eastAsia="Calibri" w:cs="Times New Roman"/>
          <w:szCs w:val="26"/>
        </w:rPr>
        <w:t xml:space="preserve">  Similarly, if Verizon customers in competitive wire centers are not satisfied with their terms of service for late payments, they can choose another provider with different terms of service.</w:t>
      </w:r>
      <w:r w:rsidRPr="00F1714B">
        <w:rPr>
          <w:rFonts w:eastAsia="Calibri" w:cs="Times New Roman"/>
          <w:szCs w:val="26"/>
          <w:vertAlign w:val="superscript"/>
        </w:rPr>
        <w:footnoteReference w:id="82"/>
      </w:r>
    </w:p>
    <w:p w14:paraId="4709DFE4" w14:textId="77777777" w:rsidR="008E4738" w:rsidRPr="00F1714B" w:rsidRDefault="008E4738" w:rsidP="00F84C00">
      <w:pPr>
        <w:tabs>
          <w:tab w:val="left" w:pos="720"/>
          <w:tab w:val="left" w:pos="1440"/>
        </w:tabs>
        <w:rPr>
          <w:rFonts w:eastAsia="Calibri" w:cs="Times New Roman"/>
          <w:szCs w:val="26"/>
        </w:rPr>
      </w:pPr>
    </w:p>
    <w:p w14:paraId="0523DF81"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Using this same rationale, we determined in the </w:t>
      </w:r>
      <w:r w:rsidRPr="00F1714B">
        <w:rPr>
          <w:rFonts w:eastAsia="Calibri" w:cs="Times New Roman"/>
          <w:i/>
          <w:iCs/>
          <w:szCs w:val="26"/>
        </w:rPr>
        <w:t>NPRM Order</w:t>
      </w:r>
      <w:r w:rsidRPr="00F1714B">
        <w:rPr>
          <w:rFonts w:eastAsia="Calibri" w:cs="Times New Roman"/>
          <w:szCs w:val="26"/>
        </w:rPr>
        <w:t xml:space="preserve"> that we could rescind Section 64.15 and proposed its rescission in the Annex to the </w:t>
      </w:r>
      <w:r w:rsidRPr="00F1714B">
        <w:rPr>
          <w:rFonts w:eastAsia="Calibri" w:cs="Times New Roman"/>
          <w:i/>
          <w:iCs/>
          <w:szCs w:val="26"/>
        </w:rPr>
        <w:t xml:space="preserve">NOPR Order.  </w:t>
      </w:r>
      <w:r w:rsidRPr="00F1714B">
        <w:rPr>
          <w:rFonts w:eastAsia="Calibri" w:cs="Times New Roman"/>
          <w:szCs w:val="26"/>
        </w:rPr>
        <w:t xml:space="preserve">However, for the reasons outlined in the </w:t>
      </w:r>
      <w:r w:rsidRPr="00F1714B">
        <w:rPr>
          <w:rFonts w:eastAsia="Calibri" w:cs="Times New Roman"/>
          <w:i/>
          <w:iCs/>
          <w:szCs w:val="26"/>
        </w:rPr>
        <w:t>NPRM Order</w:t>
      </w:r>
      <w:r w:rsidRPr="00F1714B">
        <w:rPr>
          <w:rFonts w:eastAsia="Calibri" w:cs="Times New Roman"/>
          <w:szCs w:val="26"/>
        </w:rPr>
        <w:t>, we determined that it was necessary that we propose to retain Section 64.16 for all geographic areas.</w:t>
      </w:r>
    </w:p>
    <w:p w14:paraId="4C41FE60" w14:textId="77777777" w:rsidR="00F84C00" w:rsidRPr="00F1714B" w:rsidRDefault="00F84C00" w:rsidP="00F84C00">
      <w:pPr>
        <w:tabs>
          <w:tab w:val="left" w:pos="720"/>
          <w:tab w:val="left" w:pos="1440"/>
        </w:tabs>
        <w:rPr>
          <w:rFonts w:eastAsia="Calibri" w:cs="Times New Roman"/>
          <w:szCs w:val="26"/>
        </w:rPr>
      </w:pPr>
    </w:p>
    <w:p w14:paraId="1AC890A7" w14:textId="77777777" w:rsidR="00F84C00" w:rsidRPr="00F1714B" w:rsidRDefault="00F84C00" w:rsidP="00AF7522">
      <w:pPr>
        <w:keepNext/>
        <w:keepLines/>
        <w:tabs>
          <w:tab w:val="left" w:pos="720"/>
          <w:tab w:val="left" w:pos="1440"/>
        </w:tab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a.</w:t>
      </w:r>
      <w:r w:rsidRPr="00F1714B">
        <w:rPr>
          <w:rFonts w:eastAsia="Calibri" w:cs="Times New Roman"/>
          <w:b/>
          <w:szCs w:val="26"/>
        </w:rPr>
        <w:tab/>
        <w:t>Comments and Replies</w:t>
      </w:r>
    </w:p>
    <w:p w14:paraId="1B62201A"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rescind subsection 64.15 entirely.  OCA Comments at 23.</w:t>
      </w:r>
    </w:p>
    <w:p w14:paraId="1E763939" w14:textId="77777777" w:rsidR="00F84C00" w:rsidRPr="00F1714B" w:rsidRDefault="00F84C00" w:rsidP="00F84C00">
      <w:pPr>
        <w:rPr>
          <w:rFonts w:eastAsia="Calibri" w:cs="Times New Roman"/>
        </w:rPr>
      </w:pPr>
    </w:p>
    <w:p w14:paraId="387E06E4" w14:textId="0A36B07F" w:rsidR="00F84C00" w:rsidRPr="00F1714B" w:rsidRDefault="00F84C00" w:rsidP="00F84C00">
      <w:pPr>
        <w:ind w:firstLine="720"/>
        <w:rPr>
          <w:rFonts w:eastAsia="Calibri" w:cs="Times New Roman"/>
        </w:rPr>
      </w:pPr>
      <w:r w:rsidRPr="00F1714B">
        <w:rPr>
          <w:rFonts w:eastAsia="Calibri" w:cs="Times New Roman"/>
        </w:rPr>
        <w:t>OCA supports retaining subsection 64.16 (Accrual of late payment charges)</w:t>
      </w:r>
      <w:r w:rsidR="00040213" w:rsidRPr="00F1714B">
        <w:rPr>
          <w:rFonts w:eastAsia="Calibri" w:cs="Times New Roman"/>
        </w:rPr>
        <w:t xml:space="preserve"> but</w:t>
      </w:r>
      <w:r w:rsidRPr="00F1714B">
        <w:rPr>
          <w:rFonts w:eastAsia="Calibri" w:cs="Times New Roman"/>
        </w:rPr>
        <w:t xml:space="preserve"> proposes edits thereto to clarify that this rule applies to “tariffed residential local exchange service</w:t>
      </w:r>
      <w:r w:rsidR="00F663D4" w:rsidRPr="00F1714B">
        <w:rPr>
          <w:rFonts w:eastAsia="Calibri" w:cs="Times New Roman"/>
        </w:rPr>
        <w:t>,</w:t>
      </w:r>
      <w:r w:rsidRPr="00F1714B">
        <w:rPr>
          <w:rFonts w:eastAsia="Calibri" w:cs="Times New Roman"/>
        </w:rPr>
        <w:t>” in recognition that LECs with pricing discretion in competitive wire centers may fix a different late payment charge that does not comply with this rule. OCA Comments at 24-25.</w:t>
      </w:r>
    </w:p>
    <w:p w14:paraId="55DB21BB" w14:textId="77777777" w:rsidR="00F84C00" w:rsidRPr="00F1714B" w:rsidRDefault="00F84C00" w:rsidP="00F84C00">
      <w:pPr>
        <w:rPr>
          <w:rFonts w:eastAsia="Calibri" w:cs="Times New Roman"/>
        </w:rPr>
      </w:pPr>
      <w:bookmarkStart w:id="62" w:name="_Hlk75955799"/>
    </w:p>
    <w:p w14:paraId="52A9F905" w14:textId="77777777" w:rsidR="00F84C00" w:rsidRPr="00F1714B" w:rsidRDefault="00F84C00" w:rsidP="00F84C00">
      <w:pPr>
        <w:ind w:firstLine="720"/>
        <w:rPr>
          <w:rFonts w:eastAsia="Calibri" w:cs="Times New Roman"/>
        </w:rPr>
      </w:pPr>
      <w:r w:rsidRPr="00F1714B">
        <w:rPr>
          <w:rFonts w:eastAsia="Calibri" w:cs="Times New Roman"/>
        </w:rPr>
        <w:t>Verizon opposes retention of subsection 64.16 (Accrual of late payment charges) because in Verizon’s view the rule is unnecessary and obsolete in a competitive environment.  Verizon Comments at 29.</w:t>
      </w:r>
    </w:p>
    <w:bookmarkEnd w:id="62"/>
    <w:p w14:paraId="5DC318D8" w14:textId="77777777" w:rsidR="00F84C00" w:rsidRPr="00F1714B" w:rsidRDefault="00F84C00" w:rsidP="00F84C00">
      <w:pPr>
        <w:tabs>
          <w:tab w:val="left" w:pos="720"/>
          <w:tab w:val="left" w:pos="1440"/>
        </w:tabs>
        <w:rPr>
          <w:rFonts w:eastAsia="Calibri" w:cs="Times New Roman"/>
          <w:b/>
          <w:szCs w:val="26"/>
        </w:rPr>
      </w:pPr>
    </w:p>
    <w:p w14:paraId="209D031E" w14:textId="77777777" w:rsidR="00F84C00" w:rsidRPr="00F1714B" w:rsidRDefault="00F84C00" w:rsidP="00F84C00">
      <w:pPr>
        <w:tabs>
          <w:tab w:val="left" w:pos="720"/>
          <w:tab w:val="left" w:pos="1440"/>
        </w:tabs>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28D57E9" w14:textId="2D5CA8B5"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r>
      <w:bookmarkStart w:id="63" w:name="_Hlk81330125"/>
      <w:r w:rsidRPr="00F1714B">
        <w:rPr>
          <w:rFonts w:eastAsia="Calibri" w:cs="Times New Roman"/>
          <w:szCs w:val="26"/>
        </w:rPr>
        <w:t xml:space="preserve">Consistent with the </w:t>
      </w:r>
      <w:r w:rsidRPr="00F1714B">
        <w:rPr>
          <w:rFonts w:eastAsia="Calibri" w:cs="Times New Roman"/>
          <w:i/>
          <w:iCs/>
          <w:szCs w:val="26"/>
        </w:rPr>
        <w:t>NPRM Order</w:t>
      </w:r>
      <w:r w:rsidRPr="00F1714B">
        <w:rPr>
          <w:rFonts w:eastAsia="Calibri" w:cs="Times New Roman"/>
          <w:szCs w:val="26"/>
        </w:rPr>
        <w:t>, we find that Section 64.15 shall be eliminated from our regulations</w:t>
      </w:r>
      <w:r w:rsidR="00A03189" w:rsidRPr="00F1714B">
        <w:rPr>
          <w:rFonts w:eastAsia="Calibri" w:cs="Times New Roman"/>
          <w:szCs w:val="26"/>
        </w:rPr>
        <w:t xml:space="preserve">. </w:t>
      </w:r>
      <w:r w:rsidRPr="00F1714B">
        <w:rPr>
          <w:rFonts w:eastAsia="Calibri" w:cs="Times New Roman"/>
          <w:szCs w:val="26"/>
        </w:rPr>
        <w:t xml:space="preserve"> </w:t>
      </w:r>
      <w:r w:rsidR="00A03189" w:rsidRPr="00F1714B">
        <w:rPr>
          <w:rFonts w:eastAsia="Calibri" w:cs="Times New Roman"/>
          <w:szCs w:val="26"/>
        </w:rPr>
        <w:t xml:space="preserve">However, </w:t>
      </w:r>
      <w:r w:rsidRPr="00F1714B">
        <w:rPr>
          <w:rFonts w:eastAsia="Calibri" w:cs="Times New Roman"/>
          <w:szCs w:val="26"/>
        </w:rPr>
        <w:t xml:space="preserve">Section 64.16 remains an important consumer protection </w:t>
      </w:r>
      <w:r w:rsidR="00A03189" w:rsidRPr="00F1714B">
        <w:rPr>
          <w:rFonts w:eastAsia="Calibri" w:cs="Times New Roman"/>
          <w:szCs w:val="26"/>
        </w:rPr>
        <w:t>that</w:t>
      </w:r>
      <w:r w:rsidRPr="00F1714B">
        <w:rPr>
          <w:rFonts w:eastAsia="Calibri" w:cs="Times New Roman"/>
          <w:szCs w:val="26"/>
        </w:rPr>
        <w:t xml:space="preserve"> we decide to retain in all geographic areas where our jurisdictional </w:t>
      </w:r>
      <w:r w:rsidR="00B839BA" w:rsidRPr="00F1714B">
        <w:rPr>
          <w:rFonts w:eastAsia="Calibri" w:cs="Times New Roman"/>
          <w:szCs w:val="26"/>
        </w:rPr>
        <w:t xml:space="preserve">LECs </w:t>
      </w:r>
      <w:r w:rsidRPr="00F1714B">
        <w:rPr>
          <w:rFonts w:eastAsia="Calibri" w:cs="Times New Roman"/>
          <w:szCs w:val="26"/>
        </w:rPr>
        <w:t>serve.  Accordingly, theses determinations will be reflected in the final-form regulation set forth in the Annex.</w:t>
      </w:r>
    </w:p>
    <w:bookmarkEnd w:id="63"/>
    <w:p w14:paraId="43726075" w14:textId="77777777" w:rsidR="00F84C00" w:rsidRPr="00F1714B" w:rsidRDefault="00F84C00" w:rsidP="00F84C00">
      <w:pPr>
        <w:tabs>
          <w:tab w:val="left" w:pos="720"/>
          <w:tab w:val="left" w:pos="1440"/>
        </w:tabs>
        <w:rPr>
          <w:rFonts w:eastAsia="Calibri" w:cs="Times New Roman"/>
          <w:szCs w:val="26"/>
        </w:rPr>
      </w:pPr>
    </w:p>
    <w:p w14:paraId="6B8A6FD3" w14:textId="77777777" w:rsidR="002C7460" w:rsidRPr="00F1714B" w:rsidRDefault="00F84C00" w:rsidP="00A53C88">
      <w:pPr>
        <w:widowControl w:val="0"/>
        <w:spacing w:line="240" w:lineRule="auto"/>
        <w:ind w:left="2160" w:hanging="720"/>
        <w:rPr>
          <w:rFonts w:eastAsia="Calibri" w:cs="Times New Roman"/>
          <w:b/>
          <w:bCs/>
          <w:szCs w:val="26"/>
        </w:rPr>
      </w:pPr>
      <w:r w:rsidRPr="00F1714B">
        <w:rPr>
          <w:rFonts w:eastAsia="Calibri" w:cs="Times New Roman"/>
          <w:b/>
          <w:bCs/>
          <w:szCs w:val="26"/>
        </w:rPr>
        <w:t>4.</w:t>
      </w:r>
      <w:r w:rsidRPr="00F1714B">
        <w:rPr>
          <w:rFonts w:eastAsia="Calibri" w:cs="Times New Roman"/>
          <w:b/>
          <w:bCs/>
          <w:szCs w:val="26"/>
        </w:rPr>
        <w:tab/>
        <w:t xml:space="preserve">52 Pa. Code § 64.17 (Partial payments for current bills) and </w:t>
      </w:r>
    </w:p>
    <w:p w14:paraId="15EB480A" w14:textId="7E7BB98E" w:rsidR="00F84C00" w:rsidRPr="00F1714B" w:rsidRDefault="002C7460" w:rsidP="00A53C88">
      <w:pPr>
        <w:widowControl w:val="0"/>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64.18 (Application of partial payments between past and current bills)</w:t>
      </w:r>
    </w:p>
    <w:p w14:paraId="7E3771CF" w14:textId="77777777" w:rsidR="00F84C00" w:rsidRPr="00F1714B" w:rsidRDefault="00F84C00" w:rsidP="00A53C88">
      <w:pPr>
        <w:widowControl w:val="0"/>
        <w:spacing w:line="240" w:lineRule="auto"/>
        <w:rPr>
          <w:rFonts w:eastAsia="Calibri" w:cs="Times New Roman"/>
          <w:szCs w:val="26"/>
        </w:rPr>
      </w:pPr>
    </w:p>
    <w:p w14:paraId="30160BA9" w14:textId="38EDDB8A" w:rsidR="00F84C00" w:rsidRDefault="00F84C00" w:rsidP="00A53C88">
      <w:pPr>
        <w:widowControl w:val="0"/>
        <w:rPr>
          <w:rFonts w:eastAsia="Calibri" w:cs="Times New Roman"/>
          <w:szCs w:val="26"/>
        </w:rPr>
      </w:pPr>
      <w:r w:rsidRPr="00F1714B">
        <w:rPr>
          <w:rFonts w:eastAsia="Calibri" w:cs="Times New Roman"/>
          <w:szCs w:val="26"/>
        </w:rPr>
        <w:tab/>
        <w:t xml:space="preserve">In view of our </w:t>
      </w:r>
      <w:r w:rsidR="00A03189" w:rsidRPr="00F1714B">
        <w:rPr>
          <w:rFonts w:eastAsia="Calibri" w:cs="Times New Roman"/>
          <w:szCs w:val="26"/>
        </w:rPr>
        <w:t xml:space="preserve">decision </w:t>
      </w:r>
      <w:r w:rsidRPr="00F1714B">
        <w:rPr>
          <w:rFonts w:eastAsia="Calibri" w:cs="Times New Roman"/>
          <w:szCs w:val="26"/>
        </w:rPr>
        <w:t xml:space="preserve">regarding Section 64.16, we proposed the permanent retention of Section 64.17 and 64.18 for all geographic areas. </w:t>
      </w:r>
    </w:p>
    <w:p w14:paraId="180C0A29" w14:textId="77777777" w:rsidR="008E4738" w:rsidRPr="00F1714B" w:rsidRDefault="008E4738" w:rsidP="00A53C88">
      <w:pPr>
        <w:widowControl w:val="0"/>
        <w:rPr>
          <w:rFonts w:eastAsia="Calibri" w:cs="Times New Roman"/>
          <w:szCs w:val="26"/>
        </w:rPr>
      </w:pPr>
    </w:p>
    <w:p w14:paraId="5BD9B074" w14:textId="77777777" w:rsidR="00F84C00" w:rsidRPr="00F1714B" w:rsidRDefault="00F84C00" w:rsidP="00A53C88">
      <w:pPr>
        <w:keepNext/>
        <w:keepLines/>
        <w:ind w:left="1440" w:firstLine="720"/>
        <w:rPr>
          <w:rFonts w:eastAsia="Calibri" w:cs="Times New Roman"/>
          <w:b/>
          <w:szCs w:val="26"/>
        </w:rPr>
      </w:pPr>
      <w:r w:rsidRPr="00F1714B">
        <w:rPr>
          <w:rFonts w:eastAsia="Calibri" w:cs="Times New Roman"/>
          <w:b/>
          <w:szCs w:val="26"/>
        </w:rPr>
        <w:lastRenderedPageBreak/>
        <w:t>a.</w:t>
      </w:r>
      <w:r w:rsidRPr="00F1714B">
        <w:rPr>
          <w:rFonts w:eastAsia="Calibri" w:cs="Times New Roman"/>
          <w:b/>
          <w:szCs w:val="26"/>
        </w:rPr>
        <w:tab/>
        <w:t>Comments and Replies</w:t>
      </w:r>
    </w:p>
    <w:p w14:paraId="49534741" w14:textId="77777777" w:rsidR="00F84C00" w:rsidRPr="00F1714B" w:rsidRDefault="00F84C00" w:rsidP="00A53C88">
      <w:pPr>
        <w:keepNext/>
        <w:keepLines/>
        <w:ind w:firstLine="720"/>
        <w:rPr>
          <w:rFonts w:eastAsia="Calibri" w:cs="Times New Roman"/>
        </w:rPr>
      </w:pPr>
      <w:r w:rsidRPr="00F1714B">
        <w:rPr>
          <w:rFonts w:eastAsia="Calibri" w:cs="Times New Roman"/>
        </w:rPr>
        <w:t>The OCA supports the Commission’s proposal to retain these rules in all geographic areas. OCA Comments at 25.</w:t>
      </w:r>
    </w:p>
    <w:p w14:paraId="1AE15EC9" w14:textId="77777777" w:rsidR="00F84C00" w:rsidRPr="00F1714B" w:rsidRDefault="00F84C00" w:rsidP="00A53C88">
      <w:pPr>
        <w:keepNext/>
        <w:keepLines/>
        <w:rPr>
          <w:rFonts w:eastAsia="Calibri" w:cs="Times New Roman"/>
        </w:rPr>
      </w:pPr>
    </w:p>
    <w:p w14:paraId="52FDF426" w14:textId="3E7ABE60" w:rsidR="00F84C00" w:rsidRPr="00F1714B" w:rsidRDefault="00F84C00" w:rsidP="00A53C88">
      <w:pPr>
        <w:keepNext/>
        <w:keepLines/>
        <w:ind w:firstLine="720"/>
        <w:rPr>
          <w:rFonts w:eastAsia="Calibri" w:cs="Times New Roman"/>
        </w:rPr>
      </w:pPr>
      <w:r w:rsidRPr="00F1714B">
        <w:rPr>
          <w:rFonts w:eastAsia="Calibri" w:cs="Times New Roman"/>
        </w:rPr>
        <w:t>TCC/CCL propose that the Commission modify its proposed language for subsection 64.17 (Partial payments for current bills) to incorporate a carveout for bundled service packages. TCC/CCL Comments at 19.</w:t>
      </w:r>
    </w:p>
    <w:p w14:paraId="738C394E" w14:textId="77777777" w:rsidR="00F84C00" w:rsidRPr="00F1714B" w:rsidRDefault="00F84C00" w:rsidP="00F84C00">
      <w:pPr>
        <w:rPr>
          <w:rFonts w:eastAsia="Calibri" w:cs="Times New Roman"/>
        </w:rPr>
      </w:pPr>
    </w:p>
    <w:p w14:paraId="657F6DEE" w14:textId="05E63D66" w:rsidR="00F84C00" w:rsidRPr="00F1714B" w:rsidRDefault="00F84C00" w:rsidP="00F84C00">
      <w:pPr>
        <w:ind w:firstLine="720"/>
        <w:rPr>
          <w:rFonts w:eastAsia="Calibri" w:cs="Times New Roman"/>
        </w:rPr>
      </w:pPr>
      <w:r w:rsidRPr="00F1714B">
        <w:rPr>
          <w:rFonts w:eastAsia="Calibri" w:cs="Times New Roman"/>
        </w:rPr>
        <w:t>TCC/CCL propose that the Commission modify its proposed language for subsection 64.18 (Application of partial payments between past and current bills) to reflect the fact that bundled services are exempt from this rule.  TCC/CCL Comments at 19.</w:t>
      </w:r>
    </w:p>
    <w:p w14:paraId="64A92265" w14:textId="77777777" w:rsidR="00F84C00" w:rsidRPr="00F1714B" w:rsidRDefault="00F84C00" w:rsidP="00F84C00">
      <w:pPr>
        <w:ind w:firstLine="720"/>
        <w:rPr>
          <w:rFonts w:eastAsia="Calibri" w:cs="Times New Roman"/>
        </w:rPr>
      </w:pPr>
    </w:p>
    <w:p w14:paraId="47995BDA" w14:textId="77777777" w:rsidR="00F84C00" w:rsidRPr="00F1714B" w:rsidRDefault="00F84C00" w:rsidP="00F84C00">
      <w:pPr>
        <w:ind w:firstLine="720"/>
        <w:rPr>
          <w:rFonts w:eastAsia="Calibri" w:cs="Times New Roman"/>
        </w:rPr>
      </w:pPr>
      <w:r w:rsidRPr="00F1714B">
        <w:rPr>
          <w:rFonts w:eastAsia="Calibri" w:cs="Times New Roman"/>
        </w:rPr>
        <w:t>Verizon opposes retention of these rules because in Verizon’s view these rules are unnecessary and obsolete in a competitive environment.  Verizon Comments at 29.</w:t>
      </w:r>
    </w:p>
    <w:p w14:paraId="616587E5" w14:textId="77777777" w:rsidR="00F84C00" w:rsidRPr="00F1714B" w:rsidRDefault="00F84C00" w:rsidP="00F84C00">
      <w:pPr>
        <w:ind w:firstLine="720"/>
        <w:rPr>
          <w:rFonts w:eastAsia="Calibri" w:cs="Times New Roman"/>
          <w:b/>
          <w:szCs w:val="26"/>
        </w:rPr>
      </w:pPr>
    </w:p>
    <w:p w14:paraId="0F1B43E5"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71F066ED" w14:textId="746B05C5" w:rsidR="00F84C00" w:rsidRPr="00F1714B" w:rsidRDefault="00F84C00" w:rsidP="00D63BDD">
      <w:pPr>
        <w:rPr>
          <w:rFonts w:eastAsia="Calibri" w:cs="Times New Roman"/>
          <w:szCs w:val="26"/>
        </w:rPr>
      </w:pPr>
      <w:r w:rsidRPr="00F1714B">
        <w:rPr>
          <w:rFonts w:eastAsia="Calibri" w:cs="Times New Roman"/>
          <w:szCs w:val="26"/>
        </w:rPr>
        <w:t xml:space="preserve">Consistent with the </w:t>
      </w:r>
      <w:r w:rsidRPr="00F1714B">
        <w:rPr>
          <w:rFonts w:eastAsia="Calibri" w:cs="Times New Roman"/>
          <w:i/>
          <w:iCs/>
          <w:szCs w:val="26"/>
        </w:rPr>
        <w:t>NPRM Order</w:t>
      </w:r>
      <w:r w:rsidRPr="00F1714B">
        <w:rPr>
          <w:rFonts w:eastAsia="Calibri" w:cs="Times New Roman"/>
          <w:szCs w:val="26"/>
        </w:rPr>
        <w:t>, we find that Sections 64.17 and 64.18 remain important consumer protections</w:t>
      </w:r>
      <w:r w:rsidR="00A03189" w:rsidRPr="00F1714B">
        <w:rPr>
          <w:rFonts w:eastAsia="Calibri" w:cs="Times New Roman"/>
          <w:szCs w:val="26"/>
        </w:rPr>
        <w:t>,</w:t>
      </w:r>
      <w:r w:rsidRPr="00F1714B">
        <w:rPr>
          <w:rFonts w:eastAsia="Calibri" w:cs="Times New Roman"/>
          <w:szCs w:val="26"/>
        </w:rPr>
        <w:t xml:space="preserve"> and we decide to retain both regulations in all geographic areas where our jurisdictional </w:t>
      </w:r>
      <w:r w:rsidR="00B839BA" w:rsidRPr="00F1714B">
        <w:rPr>
          <w:rFonts w:eastAsia="Calibri" w:cs="Times New Roman"/>
          <w:szCs w:val="26"/>
        </w:rPr>
        <w:t xml:space="preserve">LECs </w:t>
      </w:r>
      <w:r w:rsidRPr="00F1714B">
        <w:rPr>
          <w:rFonts w:eastAsia="Calibri" w:cs="Times New Roman"/>
          <w:szCs w:val="26"/>
        </w:rPr>
        <w:t xml:space="preserve">serve.  We reject TCC/CCL’s suggested changes as unnecessary.  Since, as TCC/CCL states, our current regulations exempt “bundled service packages” from Sections 64.17 and 64.18, there is no reason to restate that exemption in the text of each regulation. </w:t>
      </w:r>
      <w:r w:rsidR="00D63BDD" w:rsidRPr="00F1714B">
        <w:rPr>
          <w:rFonts w:eastAsia="Calibri" w:cs="Times New Roman"/>
          <w:szCs w:val="26"/>
        </w:rPr>
        <w:t xml:space="preserve"> TCC/CCL Comments at 19.  </w:t>
      </w:r>
      <w:r w:rsidRPr="00F1714B">
        <w:rPr>
          <w:rFonts w:eastAsia="Calibri" w:cs="Times New Roman"/>
          <w:szCs w:val="26"/>
        </w:rPr>
        <w:t>Accordingly, the retention of Sections 64.17 and 64.18 in Chapter 64 of Title 52 of the Pa. Code will be incorporated in the final-form regulation set forth in the Annex.</w:t>
      </w:r>
    </w:p>
    <w:p w14:paraId="2EA97F45" w14:textId="77777777" w:rsidR="00F84C00" w:rsidRPr="00F1714B" w:rsidRDefault="00F84C00" w:rsidP="00F84C00">
      <w:pPr>
        <w:rPr>
          <w:rFonts w:eastAsia="Calibri" w:cs="Times New Roman"/>
          <w:szCs w:val="26"/>
        </w:rPr>
      </w:pPr>
    </w:p>
    <w:p w14:paraId="37844692" w14:textId="77777777" w:rsidR="00F84C00" w:rsidRPr="00F1714B" w:rsidRDefault="00F84C00" w:rsidP="008E4738">
      <w:pPr>
        <w:keepNext/>
        <w:keepLines/>
        <w:ind w:left="720" w:firstLine="720"/>
        <w:rPr>
          <w:rFonts w:eastAsia="Calibri" w:cs="Times New Roman"/>
          <w:b/>
          <w:bCs/>
          <w:szCs w:val="26"/>
        </w:rPr>
      </w:pPr>
      <w:r w:rsidRPr="00F1714B">
        <w:rPr>
          <w:rFonts w:eastAsia="Calibri" w:cs="Times New Roman"/>
          <w:b/>
          <w:bCs/>
          <w:szCs w:val="26"/>
        </w:rPr>
        <w:lastRenderedPageBreak/>
        <w:t>5.</w:t>
      </w:r>
      <w:r w:rsidRPr="00F1714B">
        <w:rPr>
          <w:rFonts w:eastAsia="Calibri" w:cs="Times New Roman"/>
          <w:b/>
          <w:bCs/>
          <w:szCs w:val="26"/>
        </w:rPr>
        <w:tab/>
        <w:t>52 Pa. Code § 64.19 (Rebilling)</w:t>
      </w:r>
    </w:p>
    <w:p w14:paraId="13CF157F" w14:textId="77777777" w:rsidR="00F84C00" w:rsidRPr="00F1714B" w:rsidRDefault="00F84C00" w:rsidP="00F84C00">
      <w:pPr>
        <w:keepNext/>
        <w:keepLines/>
        <w:rPr>
          <w:rFonts w:eastAsia="Calibri" w:cs="Times New Roman"/>
          <w:szCs w:val="26"/>
        </w:rPr>
      </w:pPr>
      <w:r w:rsidRPr="00F1714B">
        <w:rPr>
          <w:rFonts w:eastAsia="Calibri" w:cs="Times New Roman"/>
          <w:szCs w:val="26"/>
        </w:rPr>
        <w:tab/>
        <w:t>As currently constructed, Section 64.19(a) addresses a four-year limit for the issuance of a make-up bill for unbilled services resulting from a LEC’s billing error.  Section 64.19(b) provides consumer protections through a remedy for over-billing by requiring the LEC to provide an appropriate credit to the customer’s account including taxes.  Section 64.19(c) requires a LEC to provide notice to the Commission “of rebilling affecting more than 10% of its residential customers within 90 days of the rebilling.”</w:t>
      </w:r>
    </w:p>
    <w:p w14:paraId="0A785B0B" w14:textId="77777777" w:rsidR="00F84C00" w:rsidRPr="00F1714B" w:rsidRDefault="00F84C00" w:rsidP="00F84C00">
      <w:pPr>
        <w:rPr>
          <w:rFonts w:eastAsia="Calibri" w:cs="Times New Roman"/>
          <w:szCs w:val="26"/>
        </w:rPr>
      </w:pPr>
      <w:r w:rsidRPr="00F1714B">
        <w:rPr>
          <w:rFonts w:eastAsia="Calibri" w:cs="Times New Roman"/>
          <w:szCs w:val="26"/>
        </w:rPr>
        <w:tab/>
      </w:r>
    </w:p>
    <w:p w14:paraId="4649676C" w14:textId="56B1CA14" w:rsidR="00F84C00" w:rsidRPr="00F1714B" w:rsidRDefault="00F84C00" w:rsidP="00F84C00">
      <w:pPr>
        <w:ind w:firstLine="720"/>
        <w:rPr>
          <w:rFonts w:eastAsia="Calibri" w:cs="Times New Roman"/>
          <w:szCs w:val="26"/>
        </w:rPr>
      </w:pPr>
      <w:r w:rsidRPr="00F1714B">
        <w:rPr>
          <w:rFonts w:eastAsia="Calibri" w:cs="Times New Roman"/>
          <w:szCs w:val="26"/>
        </w:rPr>
        <w:t xml:space="preserve">For the reasons outlined in the </w:t>
      </w:r>
      <w:r w:rsidRPr="00F1714B">
        <w:rPr>
          <w:rFonts w:eastAsia="Calibri" w:cs="Times New Roman"/>
          <w:i/>
          <w:iCs/>
          <w:szCs w:val="26"/>
        </w:rPr>
        <w:t>NPRM Order</w:t>
      </w:r>
      <w:r w:rsidRPr="00F1714B">
        <w:rPr>
          <w:rFonts w:eastAsia="Calibri" w:cs="Times New Roman"/>
          <w:szCs w:val="26"/>
        </w:rPr>
        <w:t>, we proposed the permanent retention of Section 64.19 in all geographic areas.</w:t>
      </w:r>
    </w:p>
    <w:p w14:paraId="7DA23C4D" w14:textId="77777777" w:rsidR="00616D2B" w:rsidRPr="00F1714B" w:rsidRDefault="00616D2B" w:rsidP="00F84C00">
      <w:pPr>
        <w:ind w:firstLine="720"/>
        <w:rPr>
          <w:rFonts w:eastAsia="Calibri" w:cs="Times New Roman"/>
          <w:szCs w:val="26"/>
        </w:rPr>
      </w:pPr>
    </w:p>
    <w:p w14:paraId="09117D71"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 xml:space="preserve">Comments </w:t>
      </w:r>
      <w:bookmarkStart w:id="64" w:name="_Hlk81228601"/>
      <w:r w:rsidRPr="00F1714B">
        <w:rPr>
          <w:rFonts w:eastAsia="Calibri" w:cs="Times New Roman"/>
          <w:b/>
          <w:szCs w:val="26"/>
        </w:rPr>
        <w:t>and Replies</w:t>
      </w:r>
      <w:bookmarkEnd w:id="64"/>
    </w:p>
    <w:p w14:paraId="7F061E68" w14:textId="06B16965" w:rsidR="00F84C00" w:rsidRPr="00F1714B" w:rsidRDefault="00F84C00" w:rsidP="00F84C00">
      <w:pPr>
        <w:ind w:firstLine="720"/>
        <w:rPr>
          <w:rFonts w:eastAsia="Calibri" w:cs="Times New Roman"/>
        </w:rPr>
      </w:pPr>
      <w:bookmarkStart w:id="65" w:name="_Hlk76120706"/>
      <w:r w:rsidRPr="00F1714B">
        <w:rPr>
          <w:rFonts w:eastAsia="Calibri" w:cs="Times New Roman"/>
        </w:rPr>
        <w:t>The OCA supports the Commission’s proposal to retain this rule in all geographic areas, for the reasons set forth in OCA’s comments to the ANPR</w:t>
      </w:r>
      <w:r w:rsidR="00011950" w:rsidRPr="00F1714B">
        <w:rPr>
          <w:rFonts w:eastAsia="Calibri" w:cs="Times New Roman"/>
        </w:rPr>
        <w:t>M</w:t>
      </w:r>
      <w:r w:rsidRPr="00F1714B">
        <w:rPr>
          <w:rFonts w:eastAsia="Calibri" w:cs="Times New Roman"/>
        </w:rPr>
        <w:t xml:space="preserve"> relative to this rule.  OCA Comments at 25.</w:t>
      </w:r>
    </w:p>
    <w:p w14:paraId="28C96B20" w14:textId="77777777" w:rsidR="00F84C00" w:rsidRPr="00F1714B" w:rsidRDefault="00F84C00" w:rsidP="00F84C00">
      <w:pPr>
        <w:rPr>
          <w:rFonts w:eastAsia="Calibri" w:cs="Times New Roman"/>
        </w:rPr>
      </w:pPr>
    </w:p>
    <w:p w14:paraId="521F8177" w14:textId="77777777" w:rsidR="00F84C00" w:rsidRPr="00F1714B" w:rsidRDefault="00F84C00" w:rsidP="00F84C00">
      <w:pPr>
        <w:ind w:firstLine="720"/>
        <w:rPr>
          <w:rFonts w:eastAsia="Calibri" w:cs="Times New Roman"/>
        </w:rPr>
      </w:pPr>
      <w:r w:rsidRPr="00F1714B">
        <w:rPr>
          <w:rFonts w:eastAsia="Calibri" w:cs="Times New Roman"/>
        </w:rPr>
        <w:t>Verizon opposes retention of this rule because in Verizon’s view it is unnecessary and obsolete in a competitive environment.  Verizon Comments at 29.</w:t>
      </w:r>
    </w:p>
    <w:bookmarkEnd w:id="65"/>
    <w:p w14:paraId="1DB6A014" w14:textId="77777777" w:rsidR="00F84C00" w:rsidRPr="00F1714B" w:rsidRDefault="00F84C00" w:rsidP="00F84C00">
      <w:pPr>
        <w:spacing w:after="200" w:line="276" w:lineRule="auto"/>
        <w:rPr>
          <w:rFonts w:eastAsia="Calibri" w:cs="Times New Roman"/>
          <w:b/>
          <w:szCs w:val="26"/>
        </w:rPr>
      </w:pPr>
    </w:p>
    <w:p w14:paraId="0227DDAF"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E7041D0" w14:textId="50A858F9" w:rsidR="00F84C00" w:rsidRDefault="00F84C00" w:rsidP="00F84C00">
      <w:pPr>
        <w:ind w:firstLine="720"/>
        <w:rPr>
          <w:rFonts w:eastAsia="Calibri" w:cs="Times New Roman"/>
          <w:szCs w:val="26"/>
        </w:rPr>
      </w:pPr>
      <w:r w:rsidRPr="00F1714B">
        <w:rPr>
          <w:rFonts w:eastAsia="Calibri" w:cs="Times New Roman"/>
          <w:szCs w:val="26"/>
        </w:rPr>
        <w:t xml:space="preserve">Consistent with the </w:t>
      </w:r>
      <w:r w:rsidRPr="00F1714B">
        <w:rPr>
          <w:rFonts w:eastAsia="Calibri" w:cs="Times New Roman"/>
          <w:i/>
          <w:iCs/>
          <w:szCs w:val="26"/>
        </w:rPr>
        <w:t>NPRM Order</w:t>
      </w:r>
      <w:r w:rsidRPr="00F1714B">
        <w:rPr>
          <w:rFonts w:eastAsia="Calibri" w:cs="Times New Roman"/>
          <w:szCs w:val="26"/>
        </w:rPr>
        <w:t xml:space="preserve">, we find that Section 64.19 remains an important consumer protection and we decide to retain both regulations in all geographic areas where our jurisdictional </w:t>
      </w:r>
      <w:r w:rsidR="00B839BA" w:rsidRPr="00F1714B">
        <w:rPr>
          <w:rFonts w:eastAsia="Calibri" w:cs="Times New Roman"/>
          <w:szCs w:val="26"/>
        </w:rPr>
        <w:t xml:space="preserve">LECs </w:t>
      </w:r>
      <w:r w:rsidRPr="00F1714B">
        <w:rPr>
          <w:rFonts w:eastAsia="Calibri" w:cs="Times New Roman"/>
          <w:szCs w:val="26"/>
        </w:rPr>
        <w:t>serve.  Accordingly, the retention of Section 64.19 in Chapter 64 of Title 52 of the Pa. Code will be reflected in the final-form regulation set forth in the Annex.</w:t>
      </w:r>
    </w:p>
    <w:p w14:paraId="656A1B7A" w14:textId="77777777" w:rsidR="008E4738" w:rsidRPr="00F1714B" w:rsidRDefault="008E4738" w:rsidP="00F84C00">
      <w:pPr>
        <w:ind w:firstLine="720"/>
        <w:rPr>
          <w:rFonts w:eastAsia="Calibri" w:cs="Times New Roman"/>
          <w:szCs w:val="26"/>
        </w:rPr>
      </w:pPr>
    </w:p>
    <w:p w14:paraId="3EA73C2A" w14:textId="77777777" w:rsidR="002C7460" w:rsidRPr="00F1714B" w:rsidRDefault="00F84C00" w:rsidP="00A53C88">
      <w:pPr>
        <w:keepNext/>
        <w:keepLines/>
        <w:spacing w:line="240" w:lineRule="auto"/>
        <w:ind w:left="2160" w:hanging="720"/>
        <w:rPr>
          <w:rFonts w:eastAsia="Calibri" w:cs="Times New Roman"/>
          <w:b/>
          <w:bCs/>
          <w:szCs w:val="26"/>
        </w:rPr>
      </w:pPr>
      <w:r w:rsidRPr="00F1714B">
        <w:rPr>
          <w:rFonts w:eastAsia="Calibri" w:cs="Times New Roman"/>
          <w:b/>
          <w:bCs/>
          <w:szCs w:val="26"/>
        </w:rPr>
        <w:lastRenderedPageBreak/>
        <w:t>6.</w:t>
      </w:r>
      <w:r w:rsidRPr="00F1714B">
        <w:rPr>
          <w:rFonts w:eastAsia="Calibri" w:cs="Times New Roman"/>
          <w:b/>
          <w:bCs/>
          <w:szCs w:val="26"/>
        </w:rPr>
        <w:tab/>
        <w:t xml:space="preserve">52 Pa. Code § 64.20 (Transfer of account) and </w:t>
      </w:r>
    </w:p>
    <w:p w14:paraId="79B89DEA" w14:textId="62D061AE" w:rsidR="00F84C00" w:rsidRPr="00F1714B" w:rsidRDefault="002C7460" w:rsidP="00A53C88">
      <w:pPr>
        <w:keepNext/>
        <w:keepLines/>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64.33 (Payment of outstanding balance)</w:t>
      </w:r>
    </w:p>
    <w:p w14:paraId="3A8F19FC" w14:textId="77777777" w:rsidR="00F84C00" w:rsidRPr="00F1714B" w:rsidRDefault="00F84C00" w:rsidP="00A53C88">
      <w:pPr>
        <w:keepNext/>
        <w:keepLines/>
        <w:spacing w:line="240" w:lineRule="auto"/>
        <w:rPr>
          <w:rFonts w:eastAsia="Calibri" w:cs="Times New Roman"/>
          <w:szCs w:val="26"/>
        </w:rPr>
      </w:pPr>
    </w:p>
    <w:p w14:paraId="1EE4BBAE" w14:textId="2EAEC4C5" w:rsidR="00F84C00" w:rsidRPr="00F1714B" w:rsidRDefault="00F84C00" w:rsidP="00A53C88">
      <w:pPr>
        <w:keepNext/>
        <w:keepLines/>
        <w:tabs>
          <w:tab w:val="left" w:pos="720"/>
          <w:tab w:val="left" w:pos="1440"/>
        </w:tabs>
        <w:rPr>
          <w:rFonts w:eastAsia="Calibri" w:cs="Times New Roman"/>
          <w:bCs/>
          <w:szCs w:val="26"/>
        </w:rPr>
      </w:pPr>
      <w:r w:rsidRPr="00F1714B">
        <w:rPr>
          <w:rFonts w:eastAsia="Calibri" w:cs="Times New Roman"/>
          <w:bCs/>
          <w:szCs w:val="26"/>
        </w:rPr>
        <w:tab/>
        <w:t>Both regulatory sections are interrelated.  Section 64.20 addresses transfer of accounts and outstanding balances associated with discontinuance or termination to a new or existing customer</w:t>
      </w:r>
      <w:r w:rsidR="00FD2425" w:rsidRPr="00F1714B">
        <w:rPr>
          <w:rFonts w:eastAsia="Calibri" w:cs="Times New Roman"/>
          <w:bCs/>
          <w:szCs w:val="26"/>
        </w:rPr>
        <w:t xml:space="preserve">. </w:t>
      </w:r>
      <w:r w:rsidRPr="00F1714B">
        <w:rPr>
          <w:rFonts w:eastAsia="Calibri" w:cs="Times New Roman"/>
          <w:bCs/>
          <w:szCs w:val="26"/>
        </w:rPr>
        <w:t xml:space="preserve"> Section 64.33(a) allows a LEC to condition the provision of service to a new applicant upon payment of an outstanding balance “for which the applicant is legally responsible</w:t>
      </w:r>
      <w:r w:rsidR="00D63BDD" w:rsidRPr="00F1714B">
        <w:rPr>
          <w:rFonts w:eastAsia="Calibri" w:cs="Times New Roman"/>
          <w:bCs/>
          <w:szCs w:val="26"/>
        </w:rPr>
        <w:t>[.]</w:t>
      </w:r>
      <w:r w:rsidRPr="00F1714B">
        <w:rPr>
          <w:rFonts w:eastAsia="Calibri" w:cs="Times New Roman"/>
          <w:bCs/>
          <w:szCs w:val="26"/>
        </w:rPr>
        <w:t>”  In addition, Section 64.33(b) prohibits a LEC from requiring an applicant for service to pay an outstanding balance incurred in another person’s name, absent a legal order determining the applicant’s obligation to pay.  Both Section 64.20 from Subchapter B and Section 64.33 from Subchapter C were temporarily waived as to Verizon’s provision of residential local service in competitive wire centers.</w:t>
      </w:r>
    </w:p>
    <w:p w14:paraId="4800C19A" w14:textId="77777777" w:rsidR="00F84C00" w:rsidRPr="00F1714B" w:rsidRDefault="00F84C00" w:rsidP="00F84C00">
      <w:pPr>
        <w:tabs>
          <w:tab w:val="left" w:pos="720"/>
          <w:tab w:val="left" w:pos="1440"/>
        </w:tabs>
        <w:rPr>
          <w:rFonts w:eastAsia="Calibri" w:cs="Times New Roman"/>
          <w:bCs/>
          <w:szCs w:val="26"/>
        </w:rPr>
      </w:pPr>
    </w:p>
    <w:p w14:paraId="600FFE0B"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For the reasons outlined in the </w:t>
      </w:r>
      <w:r w:rsidRPr="00F1714B">
        <w:rPr>
          <w:rFonts w:eastAsia="Calibri" w:cs="Times New Roman"/>
          <w:bCs/>
          <w:i/>
          <w:iCs/>
          <w:szCs w:val="26"/>
        </w:rPr>
        <w:t>NPRM Order</w:t>
      </w:r>
      <w:r w:rsidRPr="00F1714B">
        <w:rPr>
          <w:rFonts w:eastAsia="Calibri" w:cs="Times New Roman"/>
          <w:bCs/>
          <w:szCs w:val="26"/>
        </w:rPr>
        <w:t xml:space="preserve">, we proposed to retain these regulations in all geographic areas.  </w:t>
      </w:r>
    </w:p>
    <w:p w14:paraId="6091E8AD" w14:textId="77777777" w:rsidR="00F84C00" w:rsidRPr="00F1714B" w:rsidRDefault="00F84C00" w:rsidP="00F84C00">
      <w:pPr>
        <w:tabs>
          <w:tab w:val="left" w:pos="720"/>
          <w:tab w:val="left" w:pos="1440"/>
        </w:tabs>
        <w:rPr>
          <w:rFonts w:eastAsia="Calibri" w:cs="Times New Roman"/>
          <w:bCs/>
          <w:szCs w:val="26"/>
        </w:rPr>
      </w:pPr>
    </w:p>
    <w:p w14:paraId="58981847" w14:textId="77777777" w:rsidR="00F84C00" w:rsidRPr="00F1714B" w:rsidRDefault="00F84C00" w:rsidP="008E4738">
      <w:pPr>
        <w:ind w:left="1440" w:firstLine="720"/>
        <w:rPr>
          <w:rFonts w:eastAsia="Calibri" w:cs="Times New Roman"/>
          <w:b/>
          <w:szCs w:val="26"/>
        </w:rPr>
      </w:pPr>
      <w:bookmarkStart w:id="66" w:name="_Hlk82337073"/>
      <w:r w:rsidRPr="00F1714B">
        <w:rPr>
          <w:rFonts w:eastAsia="Calibri" w:cs="Times New Roman"/>
          <w:b/>
          <w:szCs w:val="26"/>
        </w:rPr>
        <w:t>a.</w:t>
      </w:r>
      <w:r w:rsidRPr="00F1714B">
        <w:rPr>
          <w:rFonts w:eastAsia="Calibri" w:cs="Times New Roman"/>
          <w:b/>
          <w:szCs w:val="26"/>
        </w:rPr>
        <w:tab/>
        <w:t>Comments and Replies</w:t>
      </w:r>
    </w:p>
    <w:p w14:paraId="5DE8370E" w14:textId="5048F053" w:rsidR="00F84C00" w:rsidRPr="00F1714B" w:rsidRDefault="00F84C00" w:rsidP="00F84C00">
      <w:pPr>
        <w:ind w:firstLine="720"/>
        <w:rPr>
          <w:rFonts w:eastAsia="Calibri" w:cs="Times New Roman"/>
        </w:rPr>
      </w:pPr>
      <w:bookmarkStart w:id="67" w:name="_Hlk76120926"/>
      <w:r w:rsidRPr="00F1714B">
        <w:rPr>
          <w:rFonts w:eastAsia="Calibri" w:cs="Times New Roman"/>
        </w:rPr>
        <w:t>The OCA supports the Commission’s proposal to retain these rules in all geographic areas</w:t>
      </w:r>
      <w:bookmarkEnd w:id="67"/>
      <w:r w:rsidRPr="00F1714B">
        <w:rPr>
          <w:rFonts w:eastAsia="Calibri" w:cs="Times New Roman"/>
        </w:rPr>
        <w:t>, for the reasons set forth in OCA’s comments to the ANPR</w:t>
      </w:r>
      <w:r w:rsidR="00011950" w:rsidRPr="00F1714B">
        <w:rPr>
          <w:rFonts w:eastAsia="Calibri" w:cs="Times New Roman"/>
        </w:rPr>
        <w:t>M</w:t>
      </w:r>
      <w:r w:rsidRPr="00F1714B">
        <w:rPr>
          <w:rFonts w:eastAsia="Calibri" w:cs="Times New Roman"/>
        </w:rPr>
        <w:t xml:space="preserve"> relative to this rule.  OCA Comments at 26.</w:t>
      </w:r>
    </w:p>
    <w:p w14:paraId="3094F711" w14:textId="77777777" w:rsidR="00F84C00" w:rsidRPr="00F1714B" w:rsidRDefault="00F84C00" w:rsidP="00F84C00">
      <w:pPr>
        <w:rPr>
          <w:rFonts w:eastAsia="Calibri" w:cs="Times New Roman"/>
        </w:rPr>
      </w:pPr>
    </w:p>
    <w:p w14:paraId="5DD71EFE" w14:textId="77777777" w:rsidR="00F84C00" w:rsidRPr="00F1714B" w:rsidRDefault="00F84C00" w:rsidP="00A274A5">
      <w:pPr>
        <w:ind w:firstLine="720"/>
        <w:rPr>
          <w:rFonts w:eastAsia="Calibri" w:cs="Times New Roman"/>
        </w:rPr>
      </w:pPr>
      <w:r w:rsidRPr="00F1714B">
        <w:rPr>
          <w:rFonts w:eastAsia="Calibri" w:cs="Times New Roman"/>
        </w:rPr>
        <w:t>Verizon opposes retention of subsection 64.20 (Transfer of accounts) because in Verizon’s view these rules are unnecessary and obsolete in a competitive environment.  Verizon Comments at 29.</w:t>
      </w:r>
    </w:p>
    <w:bookmarkEnd w:id="66"/>
    <w:p w14:paraId="20CCCB9E" w14:textId="77777777" w:rsidR="00F84C00" w:rsidRPr="00F1714B" w:rsidRDefault="00F84C00" w:rsidP="00A274A5">
      <w:pPr>
        <w:rPr>
          <w:rFonts w:eastAsia="Calibri" w:cs="Times New Roman"/>
          <w:b/>
          <w:szCs w:val="26"/>
        </w:rPr>
      </w:pPr>
    </w:p>
    <w:p w14:paraId="6BAC41F7" w14:textId="77777777" w:rsidR="00F84C00" w:rsidRPr="00F1714B" w:rsidRDefault="00F84C00" w:rsidP="008E4738">
      <w:pPr>
        <w:keepNext/>
        <w:keepLine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A6B8B34" w14:textId="77777777" w:rsidR="00F84C00" w:rsidRPr="00F1714B" w:rsidRDefault="00F84C00" w:rsidP="008E4738">
      <w:pPr>
        <w:keepNext/>
        <w:keepLines/>
        <w:tabs>
          <w:tab w:val="left" w:pos="720"/>
          <w:tab w:val="left" w:pos="1440"/>
        </w:tabs>
        <w:rPr>
          <w:rFonts w:eastAsia="Calibri" w:cs="Times New Roman"/>
          <w:bCs/>
          <w:szCs w:val="26"/>
        </w:rPr>
      </w:pPr>
      <w:r w:rsidRPr="00F1714B">
        <w:rPr>
          <w:rFonts w:eastAsia="Calibri" w:cs="Times New Roman"/>
          <w:bCs/>
          <w:szCs w:val="26"/>
        </w:rPr>
        <w:tab/>
        <w:t xml:space="preserve">The OCA believes that these regulations protect the affordability and continuity of residential local service by providing specific guidance as to a LEC’s collection practices applied to a customer, where the charges were incurred in another account or by another person.  The OCA submits that the important balancing of interests contained in the regulations is unlikely to appear in the terms and conditions of a Product Guide.  OCA recommends that these regulations should be preserved and apply to residential service in both competitive and noncompetitive areas.  </w:t>
      </w:r>
      <w:r w:rsidRPr="00F1714B">
        <w:rPr>
          <w:rFonts w:eastAsia="Calibri" w:cs="Times New Roman"/>
          <w:bCs/>
          <w:i/>
          <w:szCs w:val="26"/>
        </w:rPr>
        <w:t>Id</w:t>
      </w:r>
      <w:r w:rsidRPr="00F1714B">
        <w:rPr>
          <w:rFonts w:eastAsia="Calibri" w:cs="Times New Roman"/>
          <w:bCs/>
          <w:szCs w:val="26"/>
        </w:rPr>
        <w:t xml:space="preserve">. at 34.  </w:t>
      </w:r>
    </w:p>
    <w:p w14:paraId="1AC82814" w14:textId="77777777" w:rsidR="00F84C00" w:rsidRPr="00F1714B" w:rsidRDefault="00F84C00" w:rsidP="00F84C00">
      <w:pPr>
        <w:tabs>
          <w:tab w:val="left" w:pos="720"/>
          <w:tab w:val="left" w:pos="1440"/>
        </w:tabs>
        <w:rPr>
          <w:rFonts w:eastAsia="Calibri" w:cs="Times New Roman"/>
          <w:bCs/>
          <w:szCs w:val="26"/>
        </w:rPr>
      </w:pPr>
    </w:p>
    <w:p w14:paraId="0BB6471C" w14:textId="01BF9535" w:rsidR="00F84C00" w:rsidRPr="00F1714B" w:rsidRDefault="00040213" w:rsidP="00F84C00">
      <w:pPr>
        <w:ind w:firstLine="720"/>
        <w:rPr>
          <w:rFonts w:eastAsia="Calibri" w:cs="Times New Roman"/>
          <w:bCs/>
          <w:szCs w:val="26"/>
        </w:rPr>
      </w:pPr>
      <w:r w:rsidRPr="00F1714B">
        <w:rPr>
          <w:rFonts w:eastAsia="Calibri" w:cs="Times New Roman"/>
          <w:bCs/>
          <w:szCs w:val="26"/>
        </w:rPr>
        <w:t xml:space="preserve">Considering </w:t>
      </w:r>
      <w:r w:rsidR="00F84C00" w:rsidRPr="00F1714B">
        <w:rPr>
          <w:rFonts w:eastAsia="Calibri" w:cs="Times New Roman"/>
          <w:bCs/>
          <w:szCs w:val="26"/>
        </w:rPr>
        <w:t xml:space="preserve">our rejection of a two-tiered regulatory approach, and in consideration of our balancing of interests as explained above and asserted by the OCA, we decide to retain Sections 64.20 and 64.33 in all geographic areas where our jurisdictional </w:t>
      </w:r>
      <w:r w:rsidR="00B839BA" w:rsidRPr="00F1714B">
        <w:rPr>
          <w:rFonts w:eastAsia="Calibri" w:cs="Times New Roman"/>
          <w:bCs/>
          <w:szCs w:val="26"/>
        </w:rPr>
        <w:t xml:space="preserve">LECs </w:t>
      </w:r>
      <w:r w:rsidR="00F84C00" w:rsidRPr="00F1714B">
        <w:rPr>
          <w:rFonts w:eastAsia="Calibri" w:cs="Times New Roman"/>
          <w:bCs/>
          <w:szCs w:val="26"/>
        </w:rPr>
        <w:t xml:space="preserve">serve.  Accordingly, the retention of Sections 64.20 and 64.33 in Chapter 64 of Title 52 of the Pa. Code will be reflected in the final-form regulation set forth in the Annex. </w:t>
      </w:r>
    </w:p>
    <w:p w14:paraId="6AD2A75B" w14:textId="77777777" w:rsidR="00F84C00" w:rsidRPr="00F1714B" w:rsidRDefault="00F84C00" w:rsidP="00F84C00">
      <w:pPr>
        <w:ind w:firstLine="720"/>
        <w:rPr>
          <w:rFonts w:eastAsia="Calibri" w:cs="Times New Roman"/>
          <w:b/>
          <w:bCs/>
          <w:szCs w:val="26"/>
        </w:rPr>
      </w:pPr>
    </w:p>
    <w:p w14:paraId="2E6B3204" w14:textId="77777777" w:rsidR="00F84C00" w:rsidRPr="00F1714B" w:rsidRDefault="00F84C00" w:rsidP="008E4738">
      <w:pPr>
        <w:rPr>
          <w:rFonts w:eastAsia="Calibri" w:cs="Times New Roman"/>
          <w:b/>
          <w:bCs/>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bCs/>
          <w:szCs w:val="26"/>
        </w:rPr>
        <w:t>7.</w:t>
      </w:r>
      <w:r w:rsidRPr="00F1714B">
        <w:rPr>
          <w:rFonts w:eastAsia="Calibri" w:cs="Times New Roman"/>
          <w:b/>
          <w:bCs/>
          <w:szCs w:val="26"/>
        </w:rPr>
        <w:tab/>
        <w:t>52 Pa. Code § 64.22 (Billing services for interexchange carriers)</w:t>
      </w:r>
    </w:p>
    <w:p w14:paraId="4E2D4571" w14:textId="77777777" w:rsidR="00F84C00" w:rsidRPr="00F1714B" w:rsidRDefault="00F84C00" w:rsidP="000651C3">
      <w:pPr>
        <w:tabs>
          <w:tab w:val="left" w:pos="720"/>
          <w:tab w:val="left" w:pos="1440"/>
        </w:tabs>
        <w:rPr>
          <w:rFonts w:eastAsia="Calibri" w:cs="Times New Roman"/>
          <w:bCs/>
          <w:szCs w:val="26"/>
        </w:rPr>
      </w:pPr>
      <w:r w:rsidRPr="00F1714B">
        <w:rPr>
          <w:rFonts w:eastAsia="Calibri" w:cs="Times New Roman"/>
          <w:bCs/>
          <w:szCs w:val="26"/>
        </w:rPr>
        <w:tab/>
        <w:t xml:space="preserve">We granted Verizon a temporary waiver of Section 64.22 in competitive wire centers.  In the </w:t>
      </w:r>
      <w:r w:rsidRPr="00F1714B">
        <w:rPr>
          <w:rFonts w:eastAsia="Calibri" w:cs="Times New Roman"/>
          <w:bCs/>
          <w:i/>
          <w:iCs/>
          <w:szCs w:val="26"/>
        </w:rPr>
        <w:t>NPRM Order</w:t>
      </w:r>
      <w:r w:rsidRPr="00F1714B">
        <w:rPr>
          <w:rFonts w:eastAsia="Calibri" w:cs="Times New Roman"/>
          <w:bCs/>
          <w:szCs w:val="26"/>
        </w:rPr>
        <w:t xml:space="preserve">, we determined that this regulation is obsolete.  Therefore, we proposed the permanent rescission of Section 64.22 in all geographic areas.  </w:t>
      </w:r>
    </w:p>
    <w:p w14:paraId="39CDD23F" w14:textId="77777777" w:rsidR="00F84C00" w:rsidRPr="00F1714B" w:rsidRDefault="00F84C00" w:rsidP="000651C3">
      <w:pPr>
        <w:rPr>
          <w:rFonts w:eastAsia="Calibri" w:cs="Times New Roman"/>
          <w:szCs w:val="26"/>
        </w:rPr>
      </w:pPr>
    </w:p>
    <w:p w14:paraId="28079EB1"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475FC40B"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rescind this rule entirely. OCA Comments at 26.</w:t>
      </w:r>
    </w:p>
    <w:p w14:paraId="3FF0A85F" w14:textId="77777777" w:rsidR="00F84C00" w:rsidRPr="00F1714B" w:rsidRDefault="00F84C00" w:rsidP="00F84C00">
      <w:pPr>
        <w:rPr>
          <w:rFonts w:eastAsia="Calibri" w:cs="Times New Roman"/>
          <w:b/>
          <w:szCs w:val="26"/>
        </w:rPr>
      </w:pPr>
    </w:p>
    <w:p w14:paraId="0E781E34"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312B74A1" w14:textId="259127D5" w:rsidR="00F84C00" w:rsidRPr="00F1714B" w:rsidRDefault="00F84C00" w:rsidP="00F84C00">
      <w:pPr>
        <w:rPr>
          <w:rFonts w:eastAsia="Calibri" w:cs="Times New Roman"/>
          <w:szCs w:val="26"/>
        </w:rPr>
      </w:pPr>
      <w:r w:rsidRPr="00F1714B">
        <w:rPr>
          <w:rFonts w:eastAsia="Calibri" w:cs="Times New Roman"/>
          <w:b/>
          <w:bCs/>
          <w:szCs w:val="26"/>
        </w:rPr>
        <w:tab/>
      </w:r>
      <w:bookmarkStart w:id="68" w:name="_Hlk81301738"/>
      <w:r w:rsidR="00096647" w:rsidRPr="00F1714B">
        <w:rPr>
          <w:rFonts w:eastAsia="Calibri" w:cs="Times New Roman"/>
          <w:szCs w:val="26"/>
        </w:rPr>
        <w:t xml:space="preserve">Since no party has filed any adverse comments regarding our proposal for this rule, </w:t>
      </w:r>
      <w:r w:rsidRPr="00F1714B">
        <w:rPr>
          <w:rFonts w:eastAsia="Calibri" w:cs="Times New Roman"/>
          <w:szCs w:val="26"/>
        </w:rPr>
        <w:t xml:space="preserve">we will adopt our proposal to permanently rescind Section 64.22 from Chapter 64 of </w:t>
      </w:r>
      <w:r w:rsidRPr="00F1714B">
        <w:rPr>
          <w:rFonts w:eastAsia="Calibri" w:cs="Times New Roman"/>
          <w:szCs w:val="26"/>
        </w:rPr>
        <w:lastRenderedPageBreak/>
        <w:t>Title 52 of the Pa. Code.  Accordingly, this permanent rescission will be reflected in the final-form regulation set forth in the Annex.</w:t>
      </w:r>
    </w:p>
    <w:bookmarkEnd w:id="68"/>
    <w:p w14:paraId="6B25FFC1" w14:textId="77777777" w:rsidR="00F84C00" w:rsidRPr="00F1714B" w:rsidRDefault="00F84C00" w:rsidP="00F84C00">
      <w:pPr>
        <w:ind w:left="2160" w:hanging="720"/>
        <w:rPr>
          <w:rFonts w:eastAsia="Calibri" w:cs="Times New Roman"/>
          <w:b/>
          <w:bCs/>
          <w:szCs w:val="26"/>
        </w:rPr>
      </w:pPr>
    </w:p>
    <w:p w14:paraId="07BC8F0E" w14:textId="77777777" w:rsidR="002C7460" w:rsidRPr="00F1714B" w:rsidRDefault="00F84C00" w:rsidP="00D97BCF">
      <w:pPr>
        <w:keepNext/>
        <w:keepLines/>
        <w:spacing w:line="240" w:lineRule="auto"/>
        <w:ind w:left="2160" w:hanging="720"/>
        <w:rPr>
          <w:rFonts w:eastAsia="Calibri" w:cs="Times New Roman"/>
          <w:b/>
          <w:bCs/>
          <w:szCs w:val="26"/>
        </w:rPr>
      </w:pPr>
      <w:r w:rsidRPr="00F1714B">
        <w:rPr>
          <w:rFonts w:eastAsia="Calibri" w:cs="Times New Roman"/>
          <w:b/>
          <w:bCs/>
          <w:szCs w:val="26"/>
        </w:rPr>
        <w:t>8.</w:t>
      </w:r>
      <w:r w:rsidRPr="00F1714B">
        <w:rPr>
          <w:rFonts w:eastAsia="Calibri" w:cs="Times New Roman"/>
          <w:b/>
          <w:bCs/>
          <w:szCs w:val="26"/>
        </w:rPr>
        <w:tab/>
        <w:t xml:space="preserve">52 Pa. Code § 64.23 (Cramming/Slamming) and </w:t>
      </w:r>
    </w:p>
    <w:p w14:paraId="2BD182F4" w14:textId="15114155" w:rsidR="00F84C00" w:rsidRPr="00F1714B" w:rsidRDefault="00F859D0" w:rsidP="00D97BCF">
      <w:pPr>
        <w:keepNext/>
        <w:keepLines/>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64.24 (Provision of bundled service packages)</w:t>
      </w:r>
    </w:p>
    <w:p w14:paraId="1F999D97" w14:textId="77777777" w:rsidR="00F84C00" w:rsidRPr="00F1714B" w:rsidRDefault="00F84C00" w:rsidP="00F84C00">
      <w:pPr>
        <w:spacing w:line="240" w:lineRule="auto"/>
        <w:rPr>
          <w:rFonts w:eastAsia="Calibri" w:cs="Times New Roman"/>
          <w:szCs w:val="26"/>
        </w:rPr>
      </w:pPr>
    </w:p>
    <w:p w14:paraId="633F6040" w14:textId="7DB122F5"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Reclassification Order</w:t>
      </w:r>
      <w:r w:rsidRPr="00F1714B">
        <w:rPr>
          <w:rFonts w:eastAsia="Calibri" w:cs="Times New Roman"/>
          <w:bCs/>
          <w:szCs w:val="26"/>
        </w:rPr>
        <w:t xml:space="preserve">, we retained the applicability of Section 64.23 and Section 64.24 to Verizon’s provision of service in </w:t>
      </w:r>
      <w:r w:rsidR="00FD2425" w:rsidRPr="00F1714B">
        <w:rPr>
          <w:rFonts w:eastAsia="Calibri" w:cs="Times New Roman"/>
          <w:bCs/>
          <w:szCs w:val="26"/>
        </w:rPr>
        <w:t xml:space="preserve">its </w:t>
      </w:r>
      <w:r w:rsidRPr="00F1714B">
        <w:rPr>
          <w:rFonts w:eastAsia="Calibri" w:cs="Times New Roman"/>
          <w:bCs/>
          <w:szCs w:val="26"/>
        </w:rPr>
        <w:t xml:space="preserve">competitive areas.  </w:t>
      </w:r>
    </w:p>
    <w:p w14:paraId="115C7283" w14:textId="77777777" w:rsidR="00F84C00" w:rsidRPr="00F1714B" w:rsidRDefault="00F84C00" w:rsidP="00F84C00">
      <w:pPr>
        <w:tabs>
          <w:tab w:val="left" w:pos="720"/>
          <w:tab w:val="left" w:pos="1440"/>
        </w:tabs>
        <w:rPr>
          <w:rFonts w:eastAsia="Calibri" w:cs="Times New Roman"/>
          <w:bCs/>
          <w:szCs w:val="26"/>
        </w:rPr>
      </w:pPr>
    </w:p>
    <w:p w14:paraId="22A1B75A" w14:textId="77777777" w:rsidR="00F84C00" w:rsidRPr="00F1714B" w:rsidRDefault="00F84C00" w:rsidP="00F84C00">
      <w:pPr>
        <w:rPr>
          <w:rFonts w:eastAsia="Calibri" w:cs="Times New Roman"/>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consistent with our proposed actions regarding Sections 64.14, 64.17 and 64.18, we proposed the permanent</w:t>
      </w:r>
      <w:r w:rsidRPr="00F1714B">
        <w:rPr>
          <w:rFonts w:eastAsia="Calibri" w:cs="Times New Roman"/>
          <w:szCs w:val="26"/>
        </w:rPr>
        <w:t xml:space="preserve"> retention of existing Sections 64.23 and 64.24 for all geographic areas. </w:t>
      </w:r>
    </w:p>
    <w:p w14:paraId="3103AE2B" w14:textId="77777777" w:rsidR="00F84C00" w:rsidRPr="00F1714B" w:rsidRDefault="00F84C00" w:rsidP="00F84C00">
      <w:pPr>
        <w:rPr>
          <w:rFonts w:eastAsia="Calibri" w:cs="Times New Roman"/>
          <w:szCs w:val="26"/>
        </w:rPr>
      </w:pPr>
    </w:p>
    <w:p w14:paraId="753D837B" w14:textId="77777777" w:rsidR="00F84C00" w:rsidRPr="00F1714B" w:rsidRDefault="00F84C00" w:rsidP="00A274A5">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53E9FA0C"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retain subsection 64.23 (Cramming/Slamming) in all geographic areas, noting that protection against cramming and slamming remains relevant today. OCA Comments at 26.  OCA also supports the Commission’s proposal to retain subsection 64.24 (Provision of bundled service packages) in all geographic areas and argues that this rule permits consumers to default to basic local exchange service if they cannot pay the full price for a bundle of services and serves the statutory goal of preserving universal service and does not undermine pricing flexibility for bundled services as set forth in 66 Pa.C.S. § 3016(e).  OCA Comments at 26-27.</w:t>
      </w:r>
    </w:p>
    <w:p w14:paraId="522A7BA5" w14:textId="77777777" w:rsidR="00F84C00" w:rsidRPr="00F1714B" w:rsidRDefault="00F84C00" w:rsidP="00F84C00">
      <w:pPr>
        <w:rPr>
          <w:rFonts w:eastAsia="Calibri" w:cs="Times New Roman"/>
        </w:rPr>
      </w:pPr>
    </w:p>
    <w:p w14:paraId="42D64840" w14:textId="4006FAD1" w:rsidR="00F84C00" w:rsidRPr="00F1714B" w:rsidRDefault="00F84C00" w:rsidP="00F84C00">
      <w:pPr>
        <w:ind w:firstLine="720"/>
        <w:rPr>
          <w:rFonts w:eastAsia="Calibri" w:cs="Times New Roman"/>
        </w:rPr>
      </w:pPr>
      <w:r w:rsidRPr="00F1714B">
        <w:rPr>
          <w:rFonts w:eastAsia="Calibri" w:cs="Times New Roman"/>
        </w:rPr>
        <w:t>TCC/CCL urge</w:t>
      </w:r>
      <w:r w:rsidR="00FD2425" w:rsidRPr="00F1714B">
        <w:rPr>
          <w:rFonts w:eastAsia="Calibri" w:cs="Times New Roman"/>
        </w:rPr>
        <w:t>s</w:t>
      </w:r>
      <w:r w:rsidRPr="00F1714B">
        <w:rPr>
          <w:rFonts w:eastAsia="Calibri" w:cs="Times New Roman"/>
        </w:rPr>
        <w:t xml:space="preserve"> the Commission “to eliminate Section 64.24(c) for all telecommunications carriers” or, at a minimum, “the conversion to basic service should be limited to incumbent local telecommunications companies that have the obligation to offer </w:t>
      </w:r>
      <w:r w:rsidR="00FD2425" w:rsidRPr="00F1714B">
        <w:rPr>
          <w:rFonts w:eastAsia="Calibri" w:cs="Times New Roman"/>
        </w:rPr>
        <w:t>‘</w:t>
      </w:r>
      <w:r w:rsidRPr="00F1714B">
        <w:rPr>
          <w:rFonts w:eastAsia="Calibri" w:cs="Times New Roman"/>
        </w:rPr>
        <w:t>protected services</w:t>
      </w:r>
      <w:r w:rsidR="00FD2425" w:rsidRPr="00F1714B">
        <w:rPr>
          <w:rFonts w:eastAsia="Calibri" w:cs="Times New Roman"/>
        </w:rPr>
        <w:t>’</w:t>
      </w:r>
      <w:r w:rsidRPr="00F1714B">
        <w:rPr>
          <w:rFonts w:eastAsia="Calibri" w:cs="Times New Roman"/>
        </w:rPr>
        <w:t xml:space="preserve"> under Chapter 30.”  TCC/CCL Comments at 21.  TCC/CCL argue that “bundled packages are competitive offerings” that should not be subject to the “extra step” that this rule imposes, especially when unregulated carriers (to include </w:t>
      </w:r>
      <w:r w:rsidRPr="00F1714B">
        <w:rPr>
          <w:rFonts w:eastAsia="Calibri" w:cs="Times New Roman"/>
        </w:rPr>
        <w:lastRenderedPageBreak/>
        <w:t>wireless) are not subject to the rule.  TCC/CCL Comments at 22.  Finally, TCC/CCL posit that “Chapter 30 does not authorize the Commission to require alternative service providers to provide a specific product to customers, especially one that mirrors the legacy incumbent product” and that the Commission’s previous offer to consider waiver requests “does not provide the certainty that new entrants need.”  TCC/CCL Comments at 23.</w:t>
      </w:r>
    </w:p>
    <w:p w14:paraId="319E9AE3" w14:textId="77777777" w:rsidR="00F84C00" w:rsidRPr="00F1714B" w:rsidRDefault="00F84C00" w:rsidP="00F84C00">
      <w:pPr>
        <w:rPr>
          <w:rFonts w:eastAsia="Calibri" w:cs="Times New Roman"/>
        </w:rPr>
      </w:pPr>
    </w:p>
    <w:p w14:paraId="2CA8D5ED" w14:textId="2C9D1B86" w:rsidR="00F84C00" w:rsidRPr="00F1714B" w:rsidRDefault="00F84C00" w:rsidP="00242A4E">
      <w:pPr>
        <w:ind w:firstLine="720"/>
        <w:rPr>
          <w:rFonts w:eastAsia="Calibri" w:cs="Times New Roman"/>
        </w:rPr>
      </w:pPr>
      <w:r w:rsidRPr="00F1714B">
        <w:rPr>
          <w:rFonts w:eastAsia="Calibri" w:cs="Times New Roman"/>
        </w:rPr>
        <w:t>Verizon opposes retention of subsection 64.24 (Provision of bundled service packages) because in Verizon’s view the rule undermines the flexibility afforded carriers to offer bundled service by 66 Pa.C.S. § 3016(e), and because the rule is unnecessary, obsolete</w:t>
      </w:r>
      <w:r w:rsidR="00040213" w:rsidRPr="00F1714B">
        <w:rPr>
          <w:rFonts w:eastAsia="Calibri" w:cs="Times New Roman"/>
        </w:rPr>
        <w:t>,</w:t>
      </w:r>
      <w:r w:rsidRPr="00F1714B">
        <w:rPr>
          <w:rFonts w:eastAsia="Calibri" w:cs="Times New Roman"/>
        </w:rPr>
        <w:t xml:space="preserve"> and unfairly discriminatory in a competitive environment in which unregulated carriers need not comply.  Verizon Comments at 29.</w:t>
      </w:r>
    </w:p>
    <w:p w14:paraId="6423A84E" w14:textId="77777777" w:rsidR="00F84C00" w:rsidRPr="00F1714B" w:rsidRDefault="00F84C00" w:rsidP="00242A4E">
      <w:pPr>
        <w:rPr>
          <w:rFonts w:eastAsia="Calibri" w:cs="Times New Roman"/>
          <w:b/>
          <w:szCs w:val="26"/>
        </w:rPr>
      </w:pPr>
    </w:p>
    <w:p w14:paraId="46FCB5EA"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67DBBC54" w14:textId="77C71ADA" w:rsidR="00F84C00" w:rsidRPr="00F1714B" w:rsidRDefault="00F84C00" w:rsidP="00E67E53">
      <w:pPr>
        <w:rPr>
          <w:rFonts w:eastAsia="Calibri" w:cs="Times New Roman"/>
          <w:szCs w:val="26"/>
        </w:rPr>
      </w:pPr>
      <w:r w:rsidRPr="00F1714B">
        <w:rPr>
          <w:rFonts w:eastAsia="Calibri" w:cs="Times New Roman"/>
          <w:szCs w:val="26"/>
        </w:rPr>
        <w:tab/>
        <w:t xml:space="preserve">Consistent with the </w:t>
      </w:r>
      <w:r w:rsidRPr="00F1714B">
        <w:rPr>
          <w:rFonts w:eastAsia="Calibri" w:cs="Times New Roman"/>
          <w:i/>
          <w:iCs/>
          <w:szCs w:val="26"/>
        </w:rPr>
        <w:t>NPRM Order</w:t>
      </w:r>
      <w:r w:rsidRPr="00F1714B">
        <w:rPr>
          <w:rFonts w:eastAsia="Calibri" w:cs="Times New Roman"/>
          <w:szCs w:val="26"/>
        </w:rPr>
        <w:t xml:space="preserve">, we adopt our proposal to retain Sections 64.23 and 64.24 for all geographic areas.  We acknowledge the concerns raised by TCC/CCL with respect to the interplay between bundled service packages and basic </w:t>
      </w:r>
      <w:r w:rsidR="00FD2425" w:rsidRPr="00F1714B">
        <w:rPr>
          <w:rFonts w:eastAsia="Calibri" w:cs="Times New Roman"/>
          <w:szCs w:val="26"/>
        </w:rPr>
        <w:t xml:space="preserve">local exchange </w:t>
      </w:r>
      <w:r w:rsidRPr="00F1714B">
        <w:rPr>
          <w:rFonts w:eastAsia="Calibri" w:cs="Times New Roman"/>
          <w:szCs w:val="26"/>
        </w:rPr>
        <w:t xml:space="preserve">service in situations where the LEC offering bundled service has no obligation to offer (and likely does not offer) basic service.  Accordingly, we will modify the language of Section 64.24 in the final form regulations by replacing the initial sentence of existing subsection (c) with the following: “An LEC that is legally obligated to offer any “protected service” pursuant to Chapter 30, 66 Pa.C.S. §§ 3011 </w:t>
      </w:r>
      <w:r w:rsidRPr="00F1714B">
        <w:rPr>
          <w:rFonts w:eastAsia="Calibri" w:cs="Times New Roman"/>
          <w:i/>
          <w:iCs/>
          <w:szCs w:val="26"/>
        </w:rPr>
        <w:t>et seq</w:t>
      </w:r>
      <w:r w:rsidRPr="00F1714B">
        <w:rPr>
          <w:rFonts w:eastAsia="Calibri" w:cs="Times New Roman"/>
          <w:szCs w:val="26"/>
        </w:rPr>
        <w:t>., to certain residential customers shall comply with the following requirements when offering any bundled service package that includes basic service to such customers</w:t>
      </w:r>
      <w:r w:rsidR="00D60537" w:rsidRPr="00F1714B">
        <w:rPr>
          <w:rFonts w:eastAsia="Calibri" w:cs="Times New Roman"/>
          <w:szCs w:val="26"/>
        </w:rPr>
        <w:t>[.]</w:t>
      </w:r>
      <w:r w:rsidRPr="00F1714B">
        <w:rPr>
          <w:rFonts w:eastAsia="Calibri" w:cs="Times New Roman"/>
          <w:szCs w:val="26"/>
        </w:rPr>
        <w:t xml:space="preserve">”  We find that this limited modification answers TCC/CCL’s concern without unduly weakening the existing regulation’s protection of consumers’ need for basic </w:t>
      </w:r>
      <w:r w:rsidR="00FF4EB7" w:rsidRPr="00F1714B">
        <w:rPr>
          <w:rFonts w:eastAsia="Calibri" w:cs="Times New Roman"/>
          <w:szCs w:val="26"/>
        </w:rPr>
        <w:t xml:space="preserve">local exchange </w:t>
      </w:r>
      <w:r w:rsidRPr="00F1714B">
        <w:rPr>
          <w:rFonts w:eastAsia="Calibri" w:cs="Times New Roman"/>
          <w:szCs w:val="26"/>
        </w:rPr>
        <w:t xml:space="preserve">service. </w:t>
      </w:r>
    </w:p>
    <w:p w14:paraId="73D4D90D" w14:textId="77777777" w:rsidR="00F84C00" w:rsidRPr="00F1714B" w:rsidRDefault="00F84C00" w:rsidP="00F84C00">
      <w:pPr>
        <w:rPr>
          <w:rFonts w:eastAsia="Calibri" w:cs="Times New Roman"/>
          <w:szCs w:val="26"/>
        </w:rPr>
      </w:pPr>
    </w:p>
    <w:p w14:paraId="4797AF33" w14:textId="77777777" w:rsidR="00F84C00" w:rsidRPr="00F1714B" w:rsidRDefault="00F84C00" w:rsidP="000651C3">
      <w:pPr>
        <w:keepNext/>
        <w:keepLines/>
        <w:spacing w:line="240" w:lineRule="auto"/>
        <w:ind w:left="720"/>
        <w:rPr>
          <w:rFonts w:eastAsia="Calibri" w:cs="Times New Roman"/>
          <w:b/>
          <w:bCs/>
          <w:szCs w:val="26"/>
        </w:rPr>
      </w:pPr>
      <w:r w:rsidRPr="00F1714B">
        <w:rPr>
          <w:rFonts w:eastAsia="Calibri" w:cs="Times New Roman"/>
          <w:b/>
          <w:bCs/>
          <w:szCs w:val="26"/>
        </w:rPr>
        <w:lastRenderedPageBreak/>
        <w:t>C.</w:t>
      </w:r>
      <w:r w:rsidRPr="00F1714B">
        <w:rPr>
          <w:rFonts w:eastAsia="Calibri" w:cs="Times New Roman"/>
          <w:b/>
          <w:bCs/>
          <w:szCs w:val="26"/>
        </w:rPr>
        <w:tab/>
        <w:t>Subchapter C (Credit and Deposit Standards Policy)</w:t>
      </w:r>
    </w:p>
    <w:p w14:paraId="21290B86" w14:textId="77777777" w:rsidR="00F84C00" w:rsidRPr="00F1714B" w:rsidRDefault="00F84C00" w:rsidP="000651C3">
      <w:pPr>
        <w:keepNext/>
        <w:keepLines/>
        <w:spacing w:line="240" w:lineRule="auto"/>
        <w:rPr>
          <w:rFonts w:eastAsia="Calibri" w:cs="Times New Roman"/>
          <w:b/>
          <w:bCs/>
          <w:szCs w:val="26"/>
        </w:rPr>
      </w:pPr>
      <w:r w:rsidRPr="00F1714B">
        <w:rPr>
          <w:rFonts w:eastAsia="Calibri" w:cs="Times New Roman"/>
          <w:b/>
          <w:bCs/>
          <w:szCs w:val="26"/>
        </w:rPr>
        <w:tab/>
      </w:r>
      <w:r w:rsidRPr="00F1714B">
        <w:rPr>
          <w:rFonts w:eastAsia="Calibri" w:cs="Times New Roman"/>
          <w:b/>
          <w:bCs/>
          <w:szCs w:val="26"/>
        </w:rPr>
        <w:tab/>
        <w:t>52 Pa. Code §§ 64.31—64.41</w:t>
      </w:r>
    </w:p>
    <w:p w14:paraId="3EABDEE8" w14:textId="77777777" w:rsidR="00F84C00" w:rsidRPr="00F1714B" w:rsidRDefault="00F84C00" w:rsidP="000651C3">
      <w:pPr>
        <w:keepNext/>
        <w:keepLines/>
        <w:spacing w:line="240" w:lineRule="auto"/>
        <w:rPr>
          <w:rFonts w:eastAsia="Calibri" w:cs="Times New Roman"/>
          <w:szCs w:val="26"/>
        </w:rPr>
      </w:pPr>
    </w:p>
    <w:p w14:paraId="48C5929F" w14:textId="157E5055" w:rsidR="00F84C00" w:rsidRPr="00F1714B" w:rsidRDefault="00F84C00" w:rsidP="00C22E87">
      <w:pPr>
        <w:keepNext/>
        <w:keepLines/>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szCs w:val="26"/>
        </w:rPr>
        <w:t xml:space="preserve">In our </w:t>
      </w:r>
      <w:r w:rsidRPr="00F1714B">
        <w:rPr>
          <w:rFonts w:eastAsia="Calibri" w:cs="Times New Roman"/>
          <w:i/>
          <w:iCs/>
          <w:szCs w:val="26"/>
        </w:rPr>
        <w:t>Reclassification Order</w:t>
      </w:r>
      <w:r w:rsidRPr="00F1714B">
        <w:rPr>
          <w:rFonts w:eastAsia="Calibri" w:cs="Times New Roman"/>
          <w:szCs w:val="26"/>
        </w:rPr>
        <w:t xml:space="preserve">, </w:t>
      </w:r>
      <w:r w:rsidRPr="00F1714B">
        <w:rPr>
          <w:rFonts w:eastAsia="Calibri" w:cs="Times New Roman"/>
          <w:bCs/>
          <w:szCs w:val="26"/>
        </w:rPr>
        <w:t xml:space="preserve">we granted Verizon a temporary waiver for the entirety of regulations in Subchapter C of Chapter 64 in </w:t>
      </w:r>
      <w:r w:rsidR="00FF4EB7" w:rsidRPr="00F1714B">
        <w:rPr>
          <w:rFonts w:eastAsia="Calibri" w:cs="Times New Roman"/>
          <w:bCs/>
          <w:szCs w:val="26"/>
        </w:rPr>
        <w:t xml:space="preserve">its </w:t>
      </w:r>
      <w:r w:rsidRPr="00F1714B">
        <w:rPr>
          <w:rFonts w:eastAsia="Calibri" w:cs="Times New Roman"/>
          <w:bCs/>
          <w:szCs w:val="26"/>
        </w:rPr>
        <w:t>competitive wire centers.</w:t>
      </w:r>
      <w:r w:rsidRPr="00F1714B">
        <w:rPr>
          <w:rFonts w:eastAsia="Calibri" w:cs="Times New Roman"/>
          <w:bCs/>
          <w:szCs w:val="26"/>
          <w:vertAlign w:val="superscript"/>
        </w:rPr>
        <w:footnoteReference w:id="83"/>
      </w:r>
      <w:r w:rsidRPr="00F1714B">
        <w:rPr>
          <w:rFonts w:eastAsia="Calibri" w:cs="Times New Roman"/>
          <w:bCs/>
          <w:szCs w:val="26"/>
        </w:rPr>
        <w:t xml:space="preserve">  However, this waiver </w:t>
      </w:r>
      <w:r w:rsidR="00FF4EB7" w:rsidRPr="00F1714B">
        <w:rPr>
          <w:rFonts w:eastAsia="Calibri" w:cs="Times New Roman"/>
          <w:bCs/>
          <w:szCs w:val="26"/>
        </w:rPr>
        <w:t xml:space="preserve">was </w:t>
      </w:r>
      <w:r w:rsidRPr="00F1714B">
        <w:rPr>
          <w:rFonts w:eastAsia="Calibri" w:cs="Times New Roman"/>
          <w:bCs/>
          <w:szCs w:val="26"/>
        </w:rPr>
        <w:t>condition</w:t>
      </w:r>
      <w:r w:rsidR="00FF4EB7" w:rsidRPr="00F1714B">
        <w:rPr>
          <w:rFonts w:eastAsia="Calibri" w:cs="Times New Roman"/>
          <w:bCs/>
          <w:szCs w:val="26"/>
        </w:rPr>
        <w:t>ed</w:t>
      </w:r>
      <w:r w:rsidRPr="00F1714B">
        <w:rPr>
          <w:rFonts w:eastAsia="Calibri" w:cs="Times New Roman"/>
          <w:bCs/>
          <w:szCs w:val="26"/>
        </w:rPr>
        <w:t xml:space="preserve"> on the requirement that Verizon provide information in its Product Guide concerning the consequences if an applicant for service is not deemed to be creditworthy</w:t>
      </w:r>
      <w:r w:rsidR="00FF4EB7" w:rsidRPr="00F1714B">
        <w:rPr>
          <w:rFonts w:eastAsia="Calibri" w:cs="Times New Roman"/>
          <w:bCs/>
          <w:szCs w:val="26"/>
        </w:rPr>
        <w:t xml:space="preserve">.  This </w:t>
      </w:r>
      <w:r w:rsidRPr="00F1714B">
        <w:rPr>
          <w:rFonts w:eastAsia="Calibri" w:cs="Times New Roman"/>
          <w:bCs/>
          <w:szCs w:val="26"/>
        </w:rPr>
        <w:t>reflect</w:t>
      </w:r>
      <w:r w:rsidR="00FF4EB7" w:rsidRPr="00F1714B">
        <w:rPr>
          <w:rFonts w:eastAsia="Calibri" w:cs="Times New Roman"/>
          <w:bCs/>
          <w:szCs w:val="26"/>
        </w:rPr>
        <w:t>ed</w:t>
      </w:r>
      <w:r w:rsidRPr="00F1714B">
        <w:rPr>
          <w:rFonts w:eastAsia="Calibri" w:cs="Times New Roman"/>
          <w:bCs/>
          <w:szCs w:val="26"/>
        </w:rPr>
        <w:t xml:space="preserve"> our belief that disclosure of credit and deposit standards would help manage reasonable customer expectations.</w:t>
      </w:r>
      <w:r w:rsidRPr="00F1714B">
        <w:rPr>
          <w:rStyle w:val="FootnoteReference"/>
          <w:rFonts w:eastAsia="Calibri" w:cs="Times New Roman"/>
          <w:bCs/>
          <w:szCs w:val="26"/>
        </w:rPr>
        <w:footnoteReference w:id="84"/>
      </w:r>
    </w:p>
    <w:p w14:paraId="5E96AFA8" w14:textId="77777777" w:rsidR="00F84C00" w:rsidRPr="00F1714B" w:rsidRDefault="00F84C00" w:rsidP="00F84C00">
      <w:pPr>
        <w:tabs>
          <w:tab w:val="left" w:pos="720"/>
          <w:tab w:val="left" w:pos="1440"/>
        </w:tabs>
        <w:rPr>
          <w:rFonts w:eastAsia="Calibri" w:cs="Times New Roman"/>
          <w:bCs/>
          <w:szCs w:val="26"/>
        </w:rPr>
      </w:pPr>
    </w:p>
    <w:p w14:paraId="55DDAE53" w14:textId="29DC8766"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we proposed the retention of the Subchapter C regulations</w:t>
      </w:r>
      <w:r w:rsidR="00FF4EB7" w:rsidRPr="00F1714B">
        <w:rPr>
          <w:rFonts w:eastAsia="Calibri" w:cs="Times New Roman"/>
          <w:bCs/>
          <w:szCs w:val="26"/>
        </w:rPr>
        <w:t xml:space="preserve"> in all geographic areas</w:t>
      </w:r>
      <w:r w:rsidRPr="00F1714B">
        <w:rPr>
          <w:rFonts w:eastAsia="Calibri" w:cs="Times New Roman"/>
          <w:bCs/>
          <w:szCs w:val="26"/>
        </w:rPr>
        <w:t>, noting that credit and deposit rules remain important consumer protections in today’s marketplace and that, lacking a</w:t>
      </w:r>
      <w:r w:rsidR="00F00B0E" w:rsidRPr="00F1714B">
        <w:rPr>
          <w:rFonts w:eastAsia="Calibri" w:cs="Times New Roman"/>
          <w:bCs/>
          <w:szCs w:val="26"/>
        </w:rPr>
        <w:t>ny</w:t>
      </w:r>
      <w:r w:rsidRPr="00F1714B">
        <w:rPr>
          <w:rFonts w:eastAsia="Calibri" w:cs="Times New Roman"/>
          <w:bCs/>
          <w:szCs w:val="26"/>
        </w:rPr>
        <w:t xml:space="preserve"> competitive analysis</w:t>
      </w:r>
      <w:r w:rsidR="00F00B0E" w:rsidRPr="00F1714B">
        <w:rPr>
          <w:rFonts w:eastAsia="Calibri" w:cs="Times New Roman"/>
          <w:bCs/>
          <w:szCs w:val="26"/>
        </w:rPr>
        <w:t xml:space="preserve"> or substantive evidence</w:t>
      </w:r>
      <w:r w:rsidR="00FF4EB7" w:rsidRPr="00F1714B">
        <w:rPr>
          <w:rFonts w:eastAsia="Calibri" w:cs="Times New Roman"/>
          <w:bCs/>
          <w:szCs w:val="26"/>
        </w:rPr>
        <w:t xml:space="preserve"> otherwise</w:t>
      </w:r>
      <w:r w:rsidRPr="00F1714B">
        <w:rPr>
          <w:rFonts w:eastAsia="Calibri" w:cs="Times New Roman"/>
          <w:bCs/>
          <w:szCs w:val="26"/>
        </w:rPr>
        <w:t xml:space="preserve">, the scale tilts in favor of retaining these regulations. </w:t>
      </w:r>
    </w:p>
    <w:p w14:paraId="34758E61" w14:textId="77777777" w:rsidR="00F84C00" w:rsidRPr="00F1714B" w:rsidRDefault="00F84C00" w:rsidP="00F84C00">
      <w:pPr>
        <w:tabs>
          <w:tab w:val="left" w:pos="720"/>
          <w:tab w:val="left" w:pos="1440"/>
        </w:tabs>
        <w:rPr>
          <w:rFonts w:eastAsia="Calibri" w:cs="Times New Roman"/>
          <w:bCs/>
          <w:szCs w:val="26"/>
        </w:rPr>
      </w:pPr>
    </w:p>
    <w:p w14:paraId="1CE3EC1E"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6EE5FC4F" w14:textId="6A07B102" w:rsidR="00F84C00" w:rsidRPr="00F1714B" w:rsidRDefault="00F84C00" w:rsidP="00F84C00">
      <w:pPr>
        <w:ind w:firstLine="720"/>
        <w:rPr>
          <w:rFonts w:eastAsia="Calibri" w:cs="Times New Roman"/>
          <w:szCs w:val="26"/>
        </w:rPr>
      </w:pPr>
      <w:r w:rsidRPr="00F1714B">
        <w:rPr>
          <w:rFonts w:eastAsia="Calibri" w:cs="Times New Roman"/>
          <w:szCs w:val="26"/>
        </w:rPr>
        <w:t>The OCA supports the Commission’s proposal to retain Subchapter C in all geographic areas but notes that subsection 64.33 (Payment of outstanding balance) was omitted from the Commission’s proposal, apparently due to error. OCA Comments at 27-28.</w:t>
      </w:r>
    </w:p>
    <w:p w14:paraId="441E7870" w14:textId="77777777" w:rsidR="00F00B0E" w:rsidRPr="00F1714B" w:rsidRDefault="00F00B0E" w:rsidP="00F84C00">
      <w:pPr>
        <w:ind w:firstLine="720"/>
        <w:rPr>
          <w:rFonts w:eastAsia="Calibri" w:cs="Times New Roman"/>
          <w:szCs w:val="26"/>
        </w:rPr>
      </w:pPr>
    </w:p>
    <w:p w14:paraId="080D527F" w14:textId="30C94870" w:rsidR="00F84C00" w:rsidRPr="00F1714B" w:rsidRDefault="00F84C00" w:rsidP="00F84C00">
      <w:pPr>
        <w:ind w:firstLine="720"/>
        <w:rPr>
          <w:rFonts w:eastAsia="Calibri" w:cs="Times New Roman"/>
          <w:szCs w:val="26"/>
        </w:rPr>
      </w:pPr>
      <w:r w:rsidRPr="00F1714B">
        <w:rPr>
          <w:rFonts w:eastAsia="Calibri" w:cs="Times New Roman"/>
          <w:szCs w:val="26"/>
        </w:rPr>
        <w:t xml:space="preserve">Verizon opposes the </w:t>
      </w:r>
      <w:bookmarkStart w:id="69" w:name="_Hlk82342385"/>
      <w:r w:rsidRPr="00F1714B">
        <w:rPr>
          <w:rFonts w:eastAsia="Calibri" w:cs="Times New Roman"/>
          <w:szCs w:val="26"/>
        </w:rPr>
        <w:t>Commission’s proposal to reinstate the Subchapter C rules because in Verizon’s view, they are unnecessary and obsolete in today’s competitive marketplace, which the Commission recognized when it granted waivers from these rules in competitive exchanges in 2015.</w:t>
      </w:r>
      <w:bookmarkEnd w:id="69"/>
      <w:r w:rsidRPr="00F1714B">
        <w:rPr>
          <w:rFonts w:eastAsia="Calibri" w:cs="Times New Roman"/>
          <w:szCs w:val="26"/>
        </w:rPr>
        <w:t xml:space="preserve">  Verizon proposes that the Commission eliminate them entirely, with one exception. </w:t>
      </w:r>
      <w:bookmarkStart w:id="70" w:name="_Hlk75957136"/>
      <w:r w:rsidRPr="00F1714B">
        <w:rPr>
          <w:rFonts w:eastAsia="Calibri" w:cs="Times New Roman"/>
          <w:szCs w:val="26"/>
        </w:rPr>
        <w:t xml:space="preserve"> </w:t>
      </w:r>
      <w:bookmarkEnd w:id="70"/>
      <w:r w:rsidRPr="00F1714B">
        <w:rPr>
          <w:rFonts w:eastAsia="Calibri" w:cs="Times New Roman"/>
          <w:szCs w:val="26"/>
        </w:rPr>
        <w:t xml:space="preserve">Verizon proposes to retain subsection 64.31 (LEC credit and deposit policies), modified to clarify that “a LEC shall describe its credit and deposit policies for noncompetitive stand-alone basic services” in a product guide or similar </w:t>
      </w:r>
      <w:r w:rsidRPr="00F1714B">
        <w:rPr>
          <w:rFonts w:eastAsia="Calibri" w:cs="Times New Roman"/>
          <w:szCs w:val="26"/>
        </w:rPr>
        <w:lastRenderedPageBreak/>
        <w:t xml:space="preserve">document and that </w:t>
      </w:r>
      <w:r w:rsidR="00FF4EB7" w:rsidRPr="00F1714B">
        <w:rPr>
          <w:rFonts w:eastAsia="Calibri" w:cs="Times New Roman"/>
          <w:szCs w:val="26"/>
        </w:rPr>
        <w:t xml:space="preserve">a </w:t>
      </w:r>
      <w:r w:rsidRPr="00F1714B">
        <w:rPr>
          <w:rFonts w:eastAsia="Calibri" w:cs="Times New Roman"/>
          <w:szCs w:val="26"/>
        </w:rPr>
        <w:t xml:space="preserve">LEC’s credit and deposit practices shall comply with applicable state and federal law.  Verizon Comments at 30. </w:t>
      </w:r>
    </w:p>
    <w:p w14:paraId="022285EB" w14:textId="77777777" w:rsidR="00F84C00" w:rsidRPr="00F1714B" w:rsidRDefault="00F84C00" w:rsidP="00F84C00">
      <w:pPr>
        <w:rPr>
          <w:rFonts w:eastAsia="Calibri" w:cs="Times New Roman"/>
          <w:b/>
          <w:szCs w:val="26"/>
        </w:rPr>
      </w:pPr>
    </w:p>
    <w:p w14:paraId="01782932" w14:textId="77777777" w:rsidR="00F84C00" w:rsidRPr="00F1714B" w:rsidRDefault="00F84C00" w:rsidP="008E4738">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16328855" w14:textId="6C7F5631" w:rsidR="003B5C1F" w:rsidRPr="00F1714B" w:rsidRDefault="00F84C00" w:rsidP="008E4738">
      <w:pPr>
        <w:tabs>
          <w:tab w:val="left" w:pos="720"/>
          <w:tab w:val="left" w:pos="1440"/>
        </w:tabs>
        <w:rPr>
          <w:rFonts w:eastAsia="Calibri" w:cs="Times New Roman"/>
          <w:bCs/>
          <w:szCs w:val="26"/>
        </w:rPr>
      </w:pPr>
      <w:r w:rsidRPr="00F1714B">
        <w:rPr>
          <w:rFonts w:eastAsia="Calibri" w:cs="Times New Roman"/>
          <w:bCs/>
          <w:szCs w:val="26"/>
        </w:rPr>
        <w:tab/>
      </w:r>
      <w:bookmarkStart w:id="71" w:name="_Hlk81394735"/>
      <w:r w:rsidR="003B5C1F" w:rsidRPr="00F1714B">
        <w:rPr>
          <w:rFonts w:eastAsia="Calibri" w:cs="Times New Roman"/>
          <w:bCs/>
          <w:szCs w:val="26"/>
        </w:rPr>
        <w:t xml:space="preserve">In the </w:t>
      </w:r>
      <w:r w:rsidR="003B5C1F" w:rsidRPr="00F1714B">
        <w:rPr>
          <w:rFonts w:eastAsia="Calibri" w:cs="Times New Roman"/>
          <w:bCs/>
          <w:i/>
          <w:iCs/>
          <w:szCs w:val="26"/>
        </w:rPr>
        <w:t>NPRM</w:t>
      </w:r>
      <w:r w:rsidR="00AB3DEE" w:rsidRPr="00F1714B">
        <w:rPr>
          <w:rFonts w:eastAsia="Calibri" w:cs="Times New Roman"/>
          <w:bCs/>
          <w:i/>
          <w:iCs/>
          <w:szCs w:val="26"/>
        </w:rPr>
        <w:t xml:space="preserve"> Order</w:t>
      </w:r>
      <w:r w:rsidR="003B5C1F" w:rsidRPr="00F1714B">
        <w:rPr>
          <w:rFonts w:eastAsia="Calibri" w:cs="Times New Roman"/>
          <w:bCs/>
          <w:szCs w:val="26"/>
        </w:rPr>
        <w:t xml:space="preserve">, we </w:t>
      </w:r>
      <w:r w:rsidR="00AB3DEE" w:rsidRPr="00F1714B">
        <w:rPr>
          <w:rFonts w:eastAsia="Calibri" w:cs="Times New Roman"/>
          <w:bCs/>
          <w:szCs w:val="26"/>
        </w:rPr>
        <w:t xml:space="preserve">had </w:t>
      </w:r>
      <w:r w:rsidR="003B5C1F" w:rsidRPr="00F1714B">
        <w:rPr>
          <w:rFonts w:eastAsia="Calibri" w:cs="Times New Roman"/>
          <w:bCs/>
          <w:szCs w:val="26"/>
        </w:rPr>
        <w:t xml:space="preserve">proposed to retain this subchapter.  However, based upon input received in response to the NPRM, we shall rescind Subchapter C except for a revised Section 64.31.  Specifically, we hereby revise Section 64.31 to clarify that </w:t>
      </w:r>
      <w:bookmarkStart w:id="72" w:name="_Hlk87004118"/>
      <w:bookmarkStart w:id="73" w:name="_Hlk87257796"/>
      <w:r w:rsidR="003B5C1F" w:rsidRPr="00F1714B">
        <w:rPr>
          <w:rFonts w:eastAsia="Calibri" w:cs="Times New Roman"/>
          <w:bCs/>
          <w:szCs w:val="26"/>
        </w:rPr>
        <w:t>a LEC shall describe its credit and deposit standards, which must be reasonable under Section 1501 of the Code, in a tariff, product guide, or similar document.</w:t>
      </w:r>
      <w:bookmarkEnd w:id="72"/>
      <w:r w:rsidR="003B5C1F" w:rsidRPr="00F1714B">
        <w:rPr>
          <w:rFonts w:eastAsia="Calibri" w:cs="Times New Roman"/>
          <w:bCs/>
          <w:szCs w:val="26"/>
        </w:rPr>
        <w:t> </w:t>
      </w:r>
      <w:bookmarkEnd w:id="73"/>
      <w:r w:rsidR="003B5C1F" w:rsidRPr="00F1714B">
        <w:rPr>
          <w:rFonts w:eastAsia="Calibri" w:cs="Times New Roman"/>
          <w:bCs/>
          <w:szCs w:val="26"/>
        </w:rPr>
        <w:t xml:space="preserve"> Based on the information contained in our Utilities Consumer Activities Report and Evaluation from recent years, the Commission finds that credit/deposit standards have not been a major issue for our telephone utilities and their customers.  Moreover, Section 1501 along with the requirement that these rules be tariffed, etc., adequately protects Pennsylvania consumers against unreasonable telephone utility credit and deposit practices.</w:t>
      </w:r>
    </w:p>
    <w:bookmarkEnd w:id="71"/>
    <w:p w14:paraId="0BDAAEC0" w14:textId="530650CB" w:rsidR="00F84C00" w:rsidRPr="00F1714B" w:rsidRDefault="00F84C00" w:rsidP="008E4738">
      <w:pPr>
        <w:keepNext/>
        <w:keepLines/>
        <w:rPr>
          <w:rFonts w:eastAsia="Calibri" w:cs="Times New Roman"/>
          <w:szCs w:val="26"/>
        </w:rPr>
      </w:pPr>
    </w:p>
    <w:p w14:paraId="5F6EB2D2" w14:textId="77777777" w:rsidR="00F84C00" w:rsidRPr="00F1714B" w:rsidRDefault="00F84C00" w:rsidP="00F84C00">
      <w:pPr>
        <w:keepNext/>
        <w:keepLines/>
        <w:spacing w:line="240" w:lineRule="auto"/>
        <w:ind w:left="720"/>
        <w:rPr>
          <w:rFonts w:eastAsia="Calibri" w:cs="Times New Roman"/>
          <w:b/>
          <w:bCs/>
          <w:szCs w:val="26"/>
        </w:rPr>
      </w:pPr>
      <w:r w:rsidRPr="00F1714B">
        <w:rPr>
          <w:rFonts w:eastAsia="Calibri" w:cs="Times New Roman"/>
          <w:b/>
          <w:bCs/>
          <w:szCs w:val="26"/>
        </w:rPr>
        <w:t>D.</w:t>
      </w:r>
      <w:r w:rsidRPr="00F1714B">
        <w:rPr>
          <w:rFonts w:eastAsia="Calibri" w:cs="Times New Roman"/>
          <w:b/>
          <w:bCs/>
          <w:szCs w:val="26"/>
        </w:rPr>
        <w:tab/>
        <w:t>Subchapter D (Interruption and discontinuance of service)</w:t>
      </w:r>
    </w:p>
    <w:p w14:paraId="0693CE2B" w14:textId="77777777" w:rsidR="00F84C00" w:rsidRPr="00F1714B" w:rsidRDefault="00F84C00" w:rsidP="00F84C00">
      <w:pPr>
        <w:keepNext/>
        <w:keepLines/>
        <w:spacing w:line="240" w:lineRule="auto"/>
        <w:ind w:left="720" w:firstLine="720"/>
        <w:rPr>
          <w:rFonts w:eastAsia="Calibri" w:cs="Times New Roman"/>
          <w:b/>
          <w:bCs/>
          <w:szCs w:val="26"/>
        </w:rPr>
      </w:pPr>
      <w:r w:rsidRPr="00F1714B">
        <w:rPr>
          <w:rFonts w:eastAsia="Calibri" w:cs="Times New Roman"/>
          <w:b/>
          <w:bCs/>
          <w:szCs w:val="26"/>
        </w:rPr>
        <w:t>52 Pa. Code §§ 64.51—64.53</w:t>
      </w:r>
    </w:p>
    <w:p w14:paraId="6F590177" w14:textId="77777777" w:rsidR="00F84C00" w:rsidRPr="00F1714B" w:rsidRDefault="00F84C00" w:rsidP="00F84C00">
      <w:pPr>
        <w:keepNext/>
        <w:keepLines/>
        <w:spacing w:line="240" w:lineRule="auto"/>
        <w:contextualSpacing/>
        <w:rPr>
          <w:rFonts w:eastAsia="Calibri" w:cs="Times New Roman"/>
          <w:szCs w:val="26"/>
        </w:rPr>
      </w:pPr>
    </w:p>
    <w:p w14:paraId="449A14C3" w14:textId="02C18E7E"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szCs w:val="26"/>
        </w:rPr>
        <w:t>Reclassification Order</w:t>
      </w:r>
      <w:r w:rsidRPr="00F1714B">
        <w:rPr>
          <w:rFonts w:eastAsia="Calibri" w:cs="Times New Roman"/>
          <w:bCs/>
          <w:szCs w:val="26"/>
        </w:rPr>
        <w:t xml:space="preserve">, we recognized that Verizon’s Product Guide </w:t>
      </w:r>
      <w:r w:rsidR="00523EA4" w:rsidRPr="00F1714B">
        <w:rPr>
          <w:rFonts w:eastAsia="Calibri" w:cs="Times New Roman"/>
          <w:bCs/>
          <w:szCs w:val="26"/>
        </w:rPr>
        <w:t>applies</w:t>
      </w:r>
      <w:r w:rsidRPr="00F1714B">
        <w:rPr>
          <w:rFonts w:eastAsia="Calibri" w:cs="Times New Roman"/>
          <w:bCs/>
          <w:szCs w:val="26"/>
        </w:rPr>
        <w:t xml:space="preserve"> to basic local exchange services in competitive wire centers in Verizon</w:t>
      </w:r>
      <w:r w:rsidR="00523EA4" w:rsidRPr="00F1714B">
        <w:rPr>
          <w:rFonts w:eastAsia="Calibri" w:cs="Times New Roman"/>
          <w:bCs/>
          <w:szCs w:val="26"/>
        </w:rPr>
        <w:t>’s</w:t>
      </w:r>
      <w:r w:rsidRPr="00F1714B">
        <w:rPr>
          <w:rFonts w:eastAsia="Calibri" w:cs="Times New Roman"/>
          <w:bCs/>
          <w:szCs w:val="26"/>
        </w:rPr>
        <w:t xml:space="preserve"> service territories in Pennsylvania and addresses refunds for service interruptions and customer-initiated discontinuation of service.</w:t>
      </w:r>
      <w:r w:rsidRPr="00F1714B">
        <w:rPr>
          <w:rFonts w:eastAsia="Calibri" w:cs="Times New Roman"/>
          <w:bCs/>
          <w:szCs w:val="26"/>
          <w:vertAlign w:val="superscript"/>
        </w:rPr>
        <w:footnoteReference w:id="85"/>
      </w:r>
      <w:r w:rsidRPr="00F1714B">
        <w:rPr>
          <w:rFonts w:eastAsia="Calibri" w:cs="Times New Roman"/>
          <w:bCs/>
          <w:szCs w:val="26"/>
        </w:rPr>
        <w:t xml:space="preserve">  Consequently, we temporarily waive</w:t>
      </w:r>
      <w:r w:rsidR="00523EA4" w:rsidRPr="00F1714B">
        <w:rPr>
          <w:rFonts w:eastAsia="Calibri" w:cs="Times New Roman"/>
          <w:bCs/>
          <w:szCs w:val="26"/>
        </w:rPr>
        <w:t>d</w:t>
      </w:r>
      <w:r w:rsidRPr="00F1714B">
        <w:rPr>
          <w:rFonts w:eastAsia="Calibri" w:cs="Times New Roman"/>
          <w:bCs/>
          <w:szCs w:val="26"/>
        </w:rPr>
        <w:t xml:space="preserve"> the Subchapter D regulations Section 64.52 (Refunds for service interruption) and Section 64.53 (Discontinuation of service) for Verizon.</w:t>
      </w:r>
      <w:r w:rsidRPr="00F1714B">
        <w:rPr>
          <w:rFonts w:eastAsia="Calibri" w:cs="Times New Roman"/>
          <w:bCs/>
          <w:szCs w:val="26"/>
          <w:vertAlign w:val="superscript"/>
        </w:rPr>
        <w:footnoteReference w:id="86"/>
      </w:r>
      <w:r w:rsidRPr="00F1714B">
        <w:rPr>
          <w:rFonts w:eastAsia="Calibri" w:cs="Times New Roman"/>
          <w:bCs/>
          <w:szCs w:val="26"/>
        </w:rPr>
        <w:t xml:space="preserve">  Concomitantly, we also decided to retain Section 64.51 in the </w:t>
      </w:r>
      <w:r w:rsidRPr="00F1714B">
        <w:rPr>
          <w:rFonts w:eastAsia="Calibri" w:cs="Times New Roman"/>
          <w:bCs/>
          <w:i/>
          <w:iCs/>
          <w:szCs w:val="26"/>
        </w:rPr>
        <w:t>Reclassification Order</w:t>
      </w:r>
      <w:r w:rsidRPr="00F1714B">
        <w:rPr>
          <w:rFonts w:eastAsia="Calibri" w:cs="Times New Roman"/>
          <w:bCs/>
          <w:szCs w:val="26"/>
        </w:rPr>
        <w:t xml:space="preserve">.  </w:t>
      </w:r>
    </w:p>
    <w:p w14:paraId="661B5148" w14:textId="77777777" w:rsidR="00F84C00" w:rsidRPr="00F1714B" w:rsidRDefault="00F84C00" w:rsidP="00F84C00">
      <w:pPr>
        <w:tabs>
          <w:tab w:val="left" w:pos="720"/>
          <w:tab w:val="left" w:pos="1440"/>
        </w:tabs>
        <w:rPr>
          <w:rFonts w:eastAsia="Calibri" w:cs="Times New Roman"/>
          <w:bCs/>
          <w:szCs w:val="26"/>
        </w:rPr>
      </w:pPr>
    </w:p>
    <w:p w14:paraId="410A2C32" w14:textId="6F1DA145"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we proposed the retention of this subchapter in its entirety in all geographic areas in recognition of the need to balance the interests of consumer </w:t>
      </w:r>
      <w:r w:rsidRPr="00F1714B">
        <w:rPr>
          <w:rFonts w:eastAsia="Calibri" w:cs="Times New Roman"/>
          <w:bCs/>
          <w:szCs w:val="26"/>
        </w:rPr>
        <w:lastRenderedPageBreak/>
        <w:t>protection with the ability of a LEC to operate efficiently and in a streamlined manner in the competitive marketplace.</w:t>
      </w:r>
    </w:p>
    <w:p w14:paraId="3E4E495D" w14:textId="77777777" w:rsidR="00F84C00" w:rsidRPr="00F1714B" w:rsidRDefault="00F84C00" w:rsidP="00F84C00">
      <w:pPr>
        <w:tabs>
          <w:tab w:val="left" w:pos="720"/>
          <w:tab w:val="left" w:pos="1440"/>
        </w:tabs>
        <w:rPr>
          <w:rFonts w:eastAsia="Calibri" w:cs="Times New Roman"/>
          <w:bCs/>
          <w:szCs w:val="26"/>
        </w:rPr>
      </w:pPr>
    </w:p>
    <w:p w14:paraId="5C614E66" w14:textId="77777777" w:rsidR="00F84C00" w:rsidRPr="00F1714B" w:rsidRDefault="00F84C00" w:rsidP="008E4738">
      <w:pPr>
        <w:keepNext/>
        <w:keepLines/>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1C098230" w14:textId="502F5EC9" w:rsidR="00F84C00" w:rsidRPr="00F1714B" w:rsidRDefault="00F84C00" w:rsidP="008E4738">
      <w:pPr>
        <w:ind w:firstLine="720"/>
        <w:rPr>
          <w:rFonts w:eastAsia="Calibri" w:cs="Times New Roman"/>
        </w:rPr>
      </w:pPr>
      <w:bookmarkStart w:id="74" w:name="_Hlk75957607"/>
      <w:r w:rsidRPr="00F1714B">
        <w:rPr>
          <w:rFonts w:eastAsia="Calibri" w:cs="Times New Roman"/>
        </w:rPr>
        <w:t xml:space="preserve">Verizon opposes the Commission’s proposal to reinstate the Subchapter D rules because in Verizon’s view, they are unnecessary and obsolete in today’s competitive marketplace, which the Commission recognized when it granted waivers from these rules in competitive exchanges in 2015.  Verizon proposes that the Commission apply these rules only to residential </w:t>
      </w:r>
      <w:r w:rsidR="00523EA4" w:rsidRPr="00F1714B">
        <w:rPr>
          <w:rFonts w:eastAsia="Calibri" w:cs="Times New Roman"/>
        </w:rPr>
        <w:t>basic local exchange</w:t>
      </w:r>
      <w:r w:rsidRPr="00F1714B">
        <w:rPr>
          <w:rFonts w:eastAsia="Calibri" w:cs="Times New Roman"/>
        </w:rPr>
        <w:t xml:space="preserve"> service, to be sunset </w:t>
      </w:r>
      <w:r w:rsidR="00523EA4" w:rsidRPr="00F1714B">
        <w:rPr>
          <w:rFonts w:eastAsia="Calibri" w:cs="Times New Roman"/>
        </w:rPr>
        <w:t xml:space="preserve">at the </w:t>
      </w:r>
      <w:r w:rsidRPr="00F1714B">
        <w:rPr>
          <w:rFonts w:eastAsia="Calibri" w:cs="Times New Roman"/>
        </w:rPr>
        <w:t>end of 2023, with the proviso that section 1501 of the Code shall continue to govern all aspects of regulated carrier services.  Verizon Comments at 31.</w:t>
      </w:r>
    </w:p>
    <w:bookmarkEnd w:id="74"/>
    <w:p w14:paraId="33D42AD4" w14:textId="77777777" w:rsidR="00F84C00" w:rsidRPr="00F1714B" w:rsidRDefault="00F84C00" w:rsidP="008E4738">
      <w:pPr>
        <w:rPr>
          <w:rFonts w:eastAsia="Calibri" w:cs="Times New Roman"/>
          <w:b/>
          <w:szCs w:val="26"/>
        </w:rPr>
      </w:pPr>
    </w:p>
    <w:p w14:paraId="6D7BD41D" w14:textId="77777777" w:rsidR="00F84C00" w:rsidRPr="00F1714B" w:rsidRDefault="00F84C00" w:rsidP="008E4738">
      <w:pPr>
        <w:keepNext/>
        <w:keepLines/>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5704B21A" w14:textId="5A8DF977" w:rsidR="009B4883" w:rsidRPr="00F1714B" w:rsidRDefault="009B4883" w:rsidP="00277532">
      <w:pPr>
        <w:ind w:firstLine="720"/>
        <w:rPr>
          <w:rFonts w:eastAsia="Calibri" w:cs="Times New Roman"/>
          <w:bCs/>
          <w:szCs w:val="26"/>
        </w:rPr>
      </w:pPr>
      <w:r w:rsidRPr="00F1714B">
        <w:rPr>
          <w:rFonts w:eastAsia="Calibri" w:cs="Times New Roman"/>
          <w:bCs/>
          <w:szCs w:val="26"/>
        </w:rPr>
        <w:t xml:space="preserve">This subchapter addresses scheduled interruptions of service by the utility and voluntary discontinuations of service by the customer.  Subchapter D contains notification procedures and refund amounts for service interruptions and contains the general procedures for customers to discontinue service.  In the </w:t>
      </w:r>
      <w:r w:rsidRPr="00F1714B">
        <w:rPr>
          <w:rFonts w:eastAsia="Calibri" w:cs="Times New Roman"/>
          <w:bCs/>
          <w:i/>
          <w:iCs/>
          <w:szCs w:val="26"/>
        </w:rPr>
        <w:t>NPRM</w:t>
      </w:r>
      <w:r w:rsidR="00AB3DEE" w:rsidRPr="00F1714B">
        <w:rPr>
          <w:rFonts w:eastAsia="Calibri" w:cs="Times New Roman"/>
          <w:bCs/>
          <w:i/>
          <w:iCs/>
          <w:szCs w:val="26"/>
        </w:rPr>
        <w:t xml:space="preserve"> Order</w:t>
      </w:r>
      <w:r w:rsidRPr="00F1714B">
        <w:rPr>
          <w:rFonts w:eastAsia="Calibri" w:cs="Times New Roman"/>
          <w:bCs/>
          <w:szCs w:val="26"/>
        </w:rPr>
        <w:t xml:space="preserve">, we proposed to retain this subchapter.  However, based upon input received in response to the NPRM, we hereby rescind Subchapter D in its entirety.  We agree with Verizon that Subchapter D is unnecessary and obsolete in today’s competitive marketplace. Verizon Comments at 31. To the extent a telephone utility does not provide adequate service in one of the areas addressed by Subchapter D, the utility’s conduct can be adequately addressed under Code Section 1501.  </w:t>
      </w:r>
    </w:p>
    <w:p w14:paraId="03FFF9C4" w14:textId="4D3A80BC" w:rsidR="00F84C00" w:rsidRPr="00F1714B" w:rsidRDefault="00F84C00" w:rsidP="00F84C00">
      <w:pPr>
        <w:spacing w:line="240" w:lineRule="auto"/>
        <w:contextualSpacing/>
        <w:rPr>
          <w:rFonts w:eastAsia="Calibri" w:cs="Times New Roman"/>
          <w:szCs w:val="26"/>
        </w:rPr>
      </w:pPr>
    </w:p>
    <w:p w14:paraId="0E1D85A9" w14:textId="77777777" w:rsidR="00F84C00" w:rsidRPr="00F1714B" w:rsidRDefault="00F84C00" w:rsidP="00F13292">
      <w:pPr>
        <w:keepNext/>
        <w:keepLines/>
        <w:spacing w:line="240" w:lineRule="auto"/>
        <w:ind w:firstLine="720"/>
        <w:rPr>
          <w:rFonts w:eastAsia="Calibri" w:cs="Times New Roman"/>
          <w:b/>
          <w:bCs/>
          <w:szCs w:val="26"/>
        </w:rPr>
      </w:pPr>
      <w:r w:rsidRPr="00F1714B">
        <w:rPr>
          <w:rFonts w:eastAsia="Calibri" w:cs="Times New Roman"/>
          <w:b/>
          <w:szCs w:val="26"/>
        </w:rPr>
        <w:lastRenderedPageBreak/>
        <w:t>E.</w:t>
      </w:r>
      <w:r w:rsidRPr="00F1714B">
        <w:rPr>
          <w:rFonts w:eastAsia="Calibri" w:cs="Times New Roman"/>
          <w:b/>
          <w:bCs/>
          <w:szCs w:val="26"/>
        </w:rPr>
        <w:tab/>
        <w:t>Subchapter E (Suspension of Service)</w:t>
      </w:r>
    </w:p>
    <w:p w14:paraId="1D9D5361" w14:textId="77777777" w:rsidR="00F84C00" w:rsidRPr="00F1714B" w:rsidRDefault="00F84C00" w:rsidP="00F84C00">
      <w:pPr>
        <w:keepNext/>
        <w:keepLines/>
        <w:spacing w:line="240" w:lineRule="auto"/>
        <w:ind w:left="1080" w:firstLine="360"/>
        <w:rPr>
          <w:rFonts w:eastAsia="Calibri" w:cs="Times New Roman"/>
          <w:b/>
          <w:bCs/>
          <w:szCs w:val="26"/>
        </w:rPr>
      </w:pPr>
      <w:r w:rsidRPr="00F1714B">
        <w:rPr>
          <w:rFonts w:eastAsia="Calibri" w:cs="Times New Roman"/>
          <w:b/>
          <w:bCs/>
          <w:szCs w:val="26"/>
        </w:rPr>
        <w:t>52 Pa. Code §§ 64.61—64.111</w:t>
      </w:r>
    </w:p>
    <w:p w14:paraId="37945F72" w14:textId="77777777" w:rsidR="00F84C00" w:rsidRPr="00F1714B" w:rsidRDefault="00F84C00" w:rsidP="00F84C00">
      <w:pPr>
        <w:keepNext/>
        <w:keepLines/>
        <w:spacing w:line="240" w:lineRule="auto"/>
        <w:rPr>
          <w:rFonts w:eastAsia="Calibri" w:cs="Times New Roman"/>
          <w:szCs w:val="26"/>
        </w:rPr>
      </w:pPr>
    </w:p>
    <w:p w14:paraId="521E5C86" w14:textId="5DFD9931"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
          <w:bCs/>
          <w:caps/>
          <w:szCs w:val="26"/>
        </w:rPr>
        <w:tab/>
      </w:r>
      <w:r w:rsidRPr="00F1714B">
        <w:rPr>
          <w:rFonts w:eastAsia="Calibri" w:cs="Times New Roman"/>
          <w:bCs/>
          <w:szCs w:val="26"/>
        </w:rPr>
        <w:t xml:space="preserve">Subchapter E regulates grounds for suspension of service and notice procedures prior to suspension of service.  In the </w:t>
      </w:r>
      <w:r w:rsidRPr="00F1714B">
        <w:rPr>
          <w:rFonts w:eastAsia="Calibri" w:cs="Times New Roman"/>
          <w:bCs/>
          <w:i/>
          <w:iCs/>
          <w:szCs w:val="26"/>
        </w:rPr>
        <w:t xml:space="preserve">Reclassification Order, </w:t>
      </w:r>
      <w:r w:rsidRPr="00F1714B">
        <w:rPr>
          <w:rFonts w:eastAsia="Calibri" w:cs="Times New Roman"/>
          <w:bCs/>
          <w:szCs w:val="26"/>
        </w:rPr>
        <w:t xml:space="preserve">we temporarily waived </w:t>
      </w:r>
      <w:r w:rsidR="00341730" w:rsidRPr="00F1714B">
        <w:rPr>
          <w:rFonts w:eastAsia="Calibri" w:cs="Times New Roman"/>
          <w:bCs/>
          <w:szCs w:val="26"/>
        </w:rPr>
        <w:t>several of</w:t>
      </w:r>
      <w:r w:rsidRPr="00F1714B">
        <w:rPr>
          <w:rFonts w:eastAsia="Calibri" w:cs="Times New Roman"/>
          <w:bCs/>
          <w:szCs w:val="26"/>
        </w:rPr>
        <w:t xml:space="preserve"> our Subchapter E regulations for Verizon but also concluded that </w:t>
      </w:r>
      <w:r w:rsidR="00341730" w:rsidRPr="00F1714B">
        <w:rPr>
          <w:rFonts w:eastAsia="Calibri" w:cs="Times New Roman"/>
          <w:bCs/>
          <w:szCs w:val="26"/>
        </w:rPr>
        <w:t>several</w:t>
      </w:r>
      <w:r w:rsidRPr="00F1714B">
        <w:rPr>
          <w:rFonts w:eastAsia="Calibri" w:cs="Times New Roman"/>
          <w:bCs/>
          <w:szCs w:val="26"/>
        </w:rPr>
        <w:t xml:space="preserve"> regulations remain</w:t>
      </w:r>
      <w:r w:rsidR="00523EA4" w:rsidRPr="00F1714B">
        <w:rPr>
          <w:rFonts w:eastAsia="Calibri" w:cs="Times New Roman"/>
          <w:bCs/>
          <w:szCs w:val="26"/>
        </w:rPr>
        <w:t>ed</w:t>
      </w:r>
      <w:r w:rsidRPr="00F1714B">
        <w:rPr>
          <w:rFonts w:eastAsia="Calibri" w:cs="Times New Roman"/>
          <w:bCs/>
          <w:szCs w:val="26"/>
        </w:rPr>
        <w:t xml:space="preserve"> relevant for competitive service.</w:t>
      </w:r>
      <w:r w:rsidRPr="00F1714B">
        <w:rPr>
          <w:rFonts w:eastAsia="Calibri" w:cs="Times New Roman"/>
          <w:bCs/>
          <w:szCs w:val="26"/>
          <w:vertAlign w:val="superscript"/>
        </w:rPr>
        <w:footnoteReference w:id="87"/>
      </w:r>
      <w:r w:rsidRPr="00F1714B">
        <w:rPr>
          <w:rFonts w:eastAsia="Calibri" w:cs="Times New Roman"/>
          <w:bCs/>
          <w:szCs w:val="26"/>
        </w:rPr>
        <w:t xml:space="preserve">  </w:t>
      </w:r>
    </w:p>
    <w:p w14:paraId="71D05EC9" w14:textId="77777777" w:rsidR="00F84C00" w:rsidRPr="00F1714B" w:rsidRDefault="00F84C00" w:rsidP="00F84C00">
      <w:pPr>
        <w:tabs>
          <w:tab w:val="left" w:pos="720"/>
          <w:tab w:val="left" w:pos="1440"/>
        </w:tabs>
        <w:rPr>
          <w:rFonts w:eastAsia="Calibri" w:cs="Times New Roman"/>
          <w:bCs/>
          <w:szCs w:val="26"/>
        </w:rPr>
      </w:pPr>
    </w:p>
    <w:p w14:paraId="61D14A9D"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bCs/>
          <w:szCs w:val="26"/>
        </w:rPr>
        <w:tab/>
        <w:t xml:space="preserve">Specifically, we decided to temporarily </w:t>
      </w:r>
      <w:r w:rsidRPr="00F1714B">
        <w:rPr>
          <w:rFonts w:eastAsia="Calibri" w:cs="Times New Roman"/>
          <w:szCs w:val="26"/>
        </w:rPr>
        <w:t xml:space="preserve">waive the following Subchapter E regulations for Verizon pertaining to grounds for suspension of service and certain notice procedures: </w:t>
      </w:r>
    </w:p>
    <w:p w14:paraId="35286425" w14:textId="77777777" w:rsidR="00F84C00" w:rsidRPr="00F1714B" w:rsidRDefault="00F84C00" w:rsidP="00F84C00">
      <w:pPr>
        <w:tabs>
          <w:tab w:val="left" w:pos="720"/>
          <w:tab w:val="left" w:pos="1440"/>
        </w:tabs>
        <w:spacing w:line="240" w:lineRule="auto"/>
        <w:rPr>
          <w:rFonts w:eastAsia="Calibri" w:cs="Times New Roman"/>
          <w:szCs w:val="26"/>
        </w:rPr>
      </w:pPr>
    </w:p>
    <w:p w14:paraId="6996A3A0"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64.61 (Authorized suspension of service); </w:t>
      </w:r>
    </w:p>
    <w:p w14:paraId="53101634" w14:textId="77777777" w:rsidR="00F84C00" w:rsidRPr="00F1714B" w:rsidRDefault="00F84C00" w:rsidP="00F84C00">
      <w:pPr>
        <w:tabs>
          <w:tab w:val="left" w:pos="720"/>
          <w:tab w:val="left" w:pos="1440"/>
        </w:tabs>
        <w:spacing w:line="240" w:lineRule="auto"/>
        <w:ind w:left="720"/>
        <w:rPr>
          <w:rFonts w:eastAsia="Calibri" w:cs="Times New Roman"/>
          <w:szCs w:val="26"/>
        </w:rPr>
      </w:pPr>
      <w:r w:rsidRPr="00F1714B">
        <w:rPr>
          <w:rFonts w:eastAsia="Calibri" w:cs="Times New Roman"/>
          <w:szCs w:val="26"/>
        </w:rPr>
        <w:t xml:space="preserve">Section 64.63 (Unauthorized suspension of service), </w:t>
      </w:r>
      <w:r w:rsidRPr="00F1714B">
        <w:rPr>
          <w:rFonts w:eastAsia="Calibri" w:cs="Times New Roman"/>
          <w:i/>
          <w:szCs w:val="26"/>
        </w:rPr>
        <w:t>except</w:t>
      </w:r>
      <w:r w:rsidRPr="00F1714B">
        <w:rPr>
          <w:rFonts w:eastAsia="Calibri" w:cs="Times New Roman"/>
          <w:szCs w:val="26"/>
        </w:rPr>
        <w:t xml:space="preserve"> for subsection (10) relating to medical certificates; </w:t>
      </w:r>
    </w:p>
    <w:p w14:paraId="2B30A401"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64.72 (Suspension notice information); </w:t>
      </w:r>
    </w:p>
    <w:p w14:paraId="04108F69"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64.73 (Notice when dispute pending); </w:t>
      </w:r>
    </w:p>
    <w:p w14:paraId="0A5A68D8"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 xml:space="preserve">Section 64.74 (Procedures upon customer contact before suspension); and </w:t>
      </w:r>
    </w:p>
    <w:p w14:paraId="4974D4B3" w14:textId="77777777" w:rsidR="00F84C00" w:rsidRPr="00F1714B" w:rsidRDefault="00F84C00" w:rsidP="00F84C00">
      <w:pPr>
        <w:tabs>
          <w:tab w:val="left" w:pos="720"/>
          <w:tab w:val="left" w:pos="1440"/>
        </w:tabs>
        <w:spacing w:line="240" w:lineRule="auto"/>
        <w:rPr>
          <w:rFonts w:eastAsia="Calibri" w:cs="Times New Roman"/>
          <w:szCs w:val="26"/>
        </w:rPr>
      </w:pPr>
      <w:r w:rsidRPr="00F1714B">
        <w:rPr>
          <w:rFonts w:eastAsia="Calibri" w:cs="Times New Roman"/>
          <w:szCs w:val="26"/>
        </w:rPr>
        <w:tab/>
        <w:t>Section 64.81 (Limited notice upon noncompliance with report or order).</w:t>
      </w:r>
    </w:p>
    <w:p w14:paraId="2210B3A4" w14:textId="77777777" w:rsidR="00F84C00" w:rsidRPr="00F1714B" w:rsidRDefault="00F84C00" w:rsidP="00F84C00">
      <w:pPr>
        <w:tabs>
          <w:tab w:val="left" w:pos="720"/>
          <w:tab w:val="left" w:pos="1440"/>
        </w:tabs>
        <w:rPr>
          <w:rFonts w:eastAsia="Calibri" w:cs="Times New Roman"/>
          <w:szCs w:val="26"/>
        </w:rPr>
      </w:pPr>
    </w:p>
    <w:p w14:paraId="75C86188"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bCs/>
          <w:szCs w:val="26"/>
        </w:rPr>
        <w:tab/>
        <w:t>However, w</w:t>
      </w:r>
      <w:r w:rsidRPr="00F1714B">
        <w:rPr>
          <w:rFonts w:eastAsia="Calibri" w:cs="Times New Roman"/>
          <w:szCs w:val="26"/>
        </w:rPr>
        <w:t xml:space="preserve">e denied Verizon’s temporary waiver request for the following Subchapter E regulations, which we acknowledged remained relevant and should continue to apply in a competitive environment: </w:t>
      </w:r>
    </w:p>
    <w:p w14:paraId="23529F23" w14:textId="77777777" w:rsidR="00F84C00" w:rsidRPr="00F1714B" w:rsidRDefault="00F84C00" w:rsidP="00F84C00">
      <w:pPr>
        <w:tabs>
          <w:tab w:val="left" w:pos="1440"/>
        </w:tabs>
        <w:spacing w:line="240" w:lineRule="auto"/>
        <w:rPr>
          <w:rFonts w:eastAsia="Calibri" w:cs="Times New Roman"/>
          <w:szCs w:val="26"/>
        </w:rPr>
      </w:pPr>
    </w:p>
    <w:p w14:paraId="33AFB797" w14:textId="77777777" w:rsidR="00F84C00" w:rsidRPr="00F1714B" w:rsidRDefault="00F84C00" w:rsidP="00F84C00">
      <w:pPr>
        <w:spacing w:line="240" w:lineRule="auto"/>
        <w:ind w:left="720"/>
        <w:rPr>
          <w:rFonts w:eastAsia="Calibri" w:cs="Times New Roman"/>
          <w:szCs w:val="26"/>
        </w:rPr>
      </w:pPr>
      <w:r w:rsidRPr="00F1714B">
        <w:rPr>
          <w:rFonts w:eastAsia="Calibri" w:cs="Times New Roman"/>
          <w:szCs w:val="26"/>
        </w:rPr>
        <w:t xml:space="preserve">Section 64.62 (Days suspension or termination of service is prohibited); </w:t>
      </w:r>
    </w:p>
    <w:p w14:paraId="7722E655" w14:textId="77777777" w:rsidR="00F84C00" w:rsidRPr="00F1714B" w:rsidRDefault="00F84C00" w:rsidP="00F84C00">
      <w:pPr>
        <w:spacing w:line="240" w:lineRule="auto"/>
        <w:ind w:left="720"/>
        <w:rPr>
          <w:rFonts w:eastAsia="Calibri" w:cs="Times New Roman"/>
          <w:szCs w:val="26"/>
        </w:rPr>
      </w:pPr>
      <w:r w:rsidRPr="00F1714B">
        <w:rPr>
          <w:rFonts w:eastAsia="Calibri" w:cs="Times New Roman"/>
          <w:szCs w:val="26"/>
        </w:rPr>
        <w:t xml:space="preserve">Section 64.63(10) (Unauthorized suspension of service) relating to medical certificates; </w:t>
      </w:r>
    </w:p>
    <w:p w14:paraId="10EB39DA" w14:textId="77777777" w:rsidR="00F84C00" w:rsidRPr="00F1714B" w:rsidRDefault="00F84C00" w:rsidP="00F84C00">
      <w:pPr>
        <w:tabs>
          <w:tab w:val="left" w:pos="720"/>
        </w:tabs>
        <w:spacing w:line="240" w:lineRule="auto"/>
        <w:rPr>
          <w:rFonts w:eastAsia="Calibri" w:cs="Times New Roman"/>
          <w:szCs w:val="26"/>
        </w:rPr>
      </w:pPr>
      <w:r w:rsidRPr="00F1714B">
        <w:rPr>
          <w:rFonts w:eastAsia="Calibri" w:cs="Times New Roman"/>
          <w:szCs w:val="26"/>
        </w:rPr>
        <w:tab/>
        <w:t xml:space="preserve">Section 64.71 (General notice provisions); </w:t>
      </w:r>
      <w:r w:rsidRPr="00F1714B">
        <w:rPr>
          <w:rFonts w:eastAsia="Calibri" w:cs="Times New Roman"/>
          <w:szCs w:val="26"/>
        </w:rPr>
        <w:tab/>
      </w:r>
    </w:p>
    <w:p w14:paraId="2B17141F" w14:textId="77777777" w:rsidR="00F84C00" w:rsidRPr="00F1714B" w:rsidRDefault="00F84C00" w:rsidP="00F84C00">
      <w:pPr>
        <w:tabs>
          <w:tab w:val="left" w:pos="720"/>
        </w:tabs>
        <w:spacing w:line="240" w:lineRule="auto"/>
        <w:ind w:left="720"/>
        <w:rPr>
          <w:rFonts w:eastAsia="Calibri" w:cs="Times New Roman"/>
          <w:szCs w:val="26"/>
        </w:rPr>
      </w:pPr>
      <w:r w:rsidRPr="00F1714B">
        <w:rPr>
          <w:rFonts w:eastAsia="Calibri" w:cs="Times New Roman"/>
          <w:szCs w:val="26"/>
        </w:rPr>
        <w:t>Section 64.75 (Exception for suspension based on occurrences harmful to person or property);</w:t>
      </w:r>
    </w:p>
    <w:p w14:paraId="2F6BBE62" w14:textId="77777777" w:rsidR="00F84C00" w:rsidRPr="00F1714B" w:rsidRDefault="00F84C00" w:rsidP="00F84C00">
      <w:pPr>
        <w:spacing w:line="240" w:lineRule="auto"/>
        <w:ind w:firstLine="720"/>
        <w:rPr>
          <w:rFonts w:eastAsia="Calibri" w:cs="Times New Roman"/>
          <w:szCs w:val="26"/>
        </w:rPr>
      </w:pPr>
      <w:r w:rsidRPr="00F1714B">
        <w:rPr>
          <w:rFonts w:eastAsia="Calibri" w:cs="Times New Roman"/>
          <w:szCs w:val="26"/>
        </w:rPr>
        <w:t xml:space="preserve">Section 64.101 (General provision); </w:t>
      </w:r>
    </w:p>
    <w:p w14:paraId="53737644"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64.102 (Postponement of suspension pending receipt of certificate); </w:t>
      </w:r>
    </w:p>
    <w:p w14:paraId="0F8CDF2E"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64.103 (Medical certification); </w:t>
      </w:r>
    </w:p>
    <w:p w14:paraId="2A5A9E56"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64.104 (Length of postponement); </w:t>
      </w:r>
    </w:p>
    <w:p w14:paraId="71790CAD"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64.105 (Restoration of service); </w:t>
      </w:r>
    </w:p>
    <w:p w14:paraId="4BE834F8"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lastRenderedPageBreak/>
        <w:tab/>
        <w:t xml:space="preserve">Section 64.106 (Duty of customer to pay bills); </w:t>
      </w:r>
    </w:p>
    <w:p w14:paraId="2644EC21"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64.107 (Suspension upon expiration of medical certification); </w:t>
      </w:r>
    </w:p>
    <w:p w14:paraId="3D238641"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64.108 (Right of LEC to petition the Commission); </w:t>
      </w:r>
    </w:p>
    <w:p w14:paraId="16E24468"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Section 64.109 (Suspension prior to expiration of medical certification); and</w:t>
      </w:r>
    </w:p>
    <w:p w14:paraId="016706A1" w14:textId="77777777" w:rsidR="00F84C00" w:rsidRPr="00F1714B" w:rsidRDefault="00F84C00" w:rsidP="00F84C00">
      <w:pPr>
        <w:spacing w:line="240" w:lineRule="auto"/>
        <w:rPr>
          <w:rFonts w:eastAsia="Calibri" w:cs="Times New Roman"/>
          <w:szCs w:val="26"/>
        </w:rPr>
      </w:pPr>
      <w:r w:rsidRPr="00F1714B">
        <w:rPr>
          <w:rFonts w:eastAsia="Calibri" w:cs="Times New Roman"/>
          <w:szCs w:val="26"/>
        </w:rPr>
        <w:tab/>
        <w:t xml:space="preserve">Section 64.111 (Third-party notification). </w:t>
      </w:r>
    </w:p>
    <w:p w14:paraId="6875EE7B" w14:textId="77777777" w:rsidR="00F84C00" w:rsidRPr="00F1714B" w:rsidRDefault="00F84C00" w:rsidP="00F84C00">
      <w:pPr>
        <w:rPr>
          <w:rFonts w:eastAsia="Calibri" w:cs="Times New Roman"/>
          <w:szCs w:val="26"/>
        </w:rPr>
      </w:pPr>
    </w:p>
    <w:p w14:paraId="0F4AD408"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In the </w:t>
      </w:r>
      <w:r w:rsidRPr="00F1714B">
        <w:rPr>
          <w:rFonts w:eastAsia="Calibri" w:cs="Times New Roman"/>
          <w:i/>
          <w:iCs/>
          <w:szCs w:val="26"/>
        </w:rPr>
        <w:t>NPRM Order</w:t>
      </w:r>
      <w:r w:rsidRPr="00F1714B">
        <w:rPr>
          <w:rFonts w:eastAsia="Calibri" w:cs="Times New Roman"/>
          <w:szCs w:val="26"/>
        </w:rPr>
        <w:t xml:space="preserve">, we noted that in the absence of sufficient data evidencing decreased customer reliance on these emergency-related provisions or to support a determination that the alleged utility burden is greater than the consumer benefit, it was prudent to retain the Subchapter E emergency provisions at Section 64.101—64.111, given the potential impacts of suspension of service on customers with serious medical conditions, throughout all geographic areas.  </w:t>
      </w:r>
    </w:p>
    <w:p w14:paraId="44B4F2B3" w14:textId="77777777" w:rsidR="00F84C00" w:rsidRPr="00F1714B" w:rsidRDefault="00F84C00" w:rsidP="00F84C00">
      <w:pPr>
        <w:tabs>
          <w:tab w:val="left" w:pos="720"/>
          <w:tab w:val="left" w:pos="1440"/>
        </w:tabs>
        <w:rPr>
          <w:rFonts w:eastAsia="Calibri" w:cs="Times New Roman"/>
          <w:szCs w:val="26"/>
        </w:rPr>
      </w:pPr>
    </w:p>
    <w:p w14:paraId="6CCF94EA"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7290D7AE" w14:textId="26F93799" w:rsidR="00F84C00" w:rsidRPr="00F1714B" w:rsidRDefault="00F84C00" w:rsidP="00F84C00">
      <w:pPr>
        <w:ind w:firstLine="720"/>
        <w:rPr>
          <w:rFonts w:eastAsia="Calibri" w:cs="Times New Roman"/>
        </w:rPr>
      </w:pPr>
      <w:bookmarkStart w:id="75" w:name="_Hlk76565633"/>
      <w:r w:rsidRPr="00F1714B">
        <w:rPr>
          <w:rFonts w:eastAsia="Calibri" w:cs="Times New Roman"/>
        </w:rPr>
        <w:t>The OCA supports the Commission’s proposal to retain Subchapter E rules in all geographic areas</w:t>
      </w:r>
      <w:bookmarkEnd w:id="75"/>
      <w:r w:rsidRPr="00F1714B">
        <w:rPr>
          <w:rFonts w:eastAsia="Calibri" w:cs="Times New Roman"/>
        </w:rPr>
        <w:t>, especially “given the potential impacts of suspension of service on customers with serious medical conditions, throughout all geographic areas.”  OCA Comments at 30.</w:t>
      </w:r>
    </w:p>
    <w:p w14:paraId="41D6C113" w14:textId="77777777" w:rsidR="00C74390" w:rsidRPr="00F1714B" w:rsidRDefault="00C74390" w:rsidP="00F84C00">
      <w:pPr>
        <w:ind w:firstLine="720"/>
        <w:rPr>
          <w:rFonts w:eastAsia="Calibri" w:cs="Times New Roman"/>
        </w:rPr>
      </w:pPr>
    </w:p>
    <w:p w14:paraId="39AF2606" w14:textId="140269B6" w:rsidR="00F84C00" w:rsidRDefault="00F84C00" w:rsidP="00F84C00">
      <w:pPr>
        <w:ind w:firstLine="720"/>
        <w:rPr>
          <w:rFonts w:eastAsia="Calibri" w:cs="Times New Roman"/>
        </w:rPr>
      </w:pPr>
      <w:r w:rsidRPr="00F1714B">
        <w:rPr>
          <w:rFonts w:eastAsia="Calibri" w:cs="Times New Roman"/>
        </w:rPr>
        <w:t xml:space="preserve">Verizon opposes the Commission’s proposal to reinstate the Subchapter E rules because in Verizon’s view, they are unnecessary and obsolete in today’s competitive marketplace, which the Commission recognized when it granted waivers from these rules in competitive exchanges in 2015.  Verizon proposes that the Commission apply these rules only to basic residential telephone service, to be sunset </w:t>
      </w:r>
      <w:r w:rsidR="00523EA4" w:rsidRPr="00F1714B">
        <w:rPr>
          <w:rFonts w:eastAsia="Calibri" w:cs="Times New Roman"/>
        </w:rPr>
        <w:t xml:space="preserve">at the </w:t>
      </w:r>
      <w:r w:rsidRPr="00F1714B">
        <w:rPr>
          <w:rFonts w:eastAsia="Calibri" w:cs="Times New Roman"/>
        </w:rPr>
        <w:t>end of 2023, with the proviso that section 1501 of the Code shall continue to govern all aspects of regulated carrier services.  Verizon Comments at 31.</w:t>
      </w:r>
    </w:p>
    <w:p w14:paraId="3B9E15AD" w14:textId="77777777" w:rsidR="00BF1258" w:rsidRPr="00F1714B" w:rsidRDefault="00BF1258" w:rsidP="00F84C00">
      <w:pPr>
        <w:ind w:firstLine="720"/>
        <w:rPr>
          <w:rFonts w:eastAsia="Calibri" w:cs="Times New Roman"/>
        </w:rPr>
      </w:pPr>
    </w:p>
    <w:p w14:paraId="69EECC37" w14:textId="77777777" w:rsidR="00F84C00" w:rsidRPr="00F1714B" w:rsidRDefault="00F84C00" w:rsidP="008E4738">
      <w:pPr>
        <w:keepNext/>
        <w:keepLine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091D46DB" w14:textId="3BA1ECB4" w:rsidR="00F84C00" w:rsidRPr="00F1714B" w:rsidRDefault="00F84C00" w:rsidP="00F84C00">
      <w:pPr>
        <w:tabs>
          <w:tab w:val="left" w:pos="720"/>
          <w:tab w:val="left" w:pos="1440"/>
        </w:tabs>
        <w:rPr>
          <w:rFonts w:eastAsia="Calibri" w:cs="Times New Roman"/>
          <w:szCs w:val="26"/>
        </w:rPr>
      </w:pPr>
      <w:r w:rsidRPr="00F1714B">
        <w:rPr>
          <w:rFonts w:eastAsia="Calibri" w:cs="Times New Roman"/>
          <w:bCs/>
          <w:szCs w:val="26"/>
        </w:rPr>
        <w:tab/>
        <w:t>For the same reasons set forth in our discussion of the parties’ general comments with respect to this rulemaking overall,</w:t>
      </w:r>
      <w:r w:rsidRPr="00F1714B">
        <w:rPr>
          <w:rFonts w:eastAsia="Calibri" w:cs="Times New Roman"/>
          <w:bCs/>
          <w:szCs w:val="26"/>
          <w:vertAlign w:val="superscript"/>
        </w:rPr>
        <w:footnoteReference w:id="88"/>
      </w:r>
      <w:r w:rsidRPr="00F1714B">
        <w:rPr>
          <w:rFonts w:eastAsia="Calibri" w:cs="Times New Roman"/>
          <w:bCs/>
          <w:szCs w:val="26"/>
        </w:rPr>
        <w:t xml:space="preserve"> and consistent with OCA’s comments in response to the </w:t>
      </w:r>
      <w:r w:rsidRPr="00F1714B">
        <w:rPr>
          <w:rFonts w:eastAsia="Calibri" w:cs="Times New Roman"/>
          <w:bCs/>
          <w:i/>
          <w:iCs/>
          <w:szCs w:val="26"/>
        </w:rPr>
        <w:t>ANPR</w:t>
      </w:r>
      <w:r w:rsidR="00011950" w:rsidRPr="00F1714B">
        <w:rPr>
          <w:rFonts w:eastAsia="Calibri" w:cs="Times New Roman"/>
          <w:bCs/>
          <w:i/>
          <w:iCs/>
          <w:szCs w:val="26"/>
        </w:rPr>
        <w:t>M</w:t>
      </w:r>
      <w:r w:rsidRPr="00F1714B">
        <w:rPr>
          <w:rFonts w:eastAsia="Calibri" w:cs="Times New Roman"/>
          <w:bCs/>
          <w:i/>
          <w:iCs/>
          <w:szCs w:val="26"/>
        </w:rPr>
        <w:t xml:space="preserve"> Order</w:t>
      </w:r>
      <w:r w:rsidRPr="00F1714B">
        <w:rPr>
          <w:rFonts w:eastAsia="Calibri" w:cs="Times New Roman"/>
          <w:bCs/>
          <w:szCs w:val="26"/>
        </w:rPr>
        <w:t xml:space="preserve">, we conclude that wholesale elimination of our Chapter 64, Subchapter E regulations is not appropriate, and would substantially weaken the protections Pennsylvania consumers enjoy today.  Rather than eliminating all of Subchapter E, we decide instead to review individual regulations or sets of regulations on their own merits, in response to specific concerns raised by </w:t>
      </w:r>
      <w:r w:rsidR="00A07A6D" w:rsidRPr="00F1714B">
        <w:rPr>
          <w:rFonts w:eastAsia="Calibri" w:cs="Times New Roman"/>
          <w:bCs/>
          <w:szCs w:val="26"/>
        </w:rPr>
        <w:t>commentator</w:t>
      </w:r>
      <w:r w:rsidRPr="00F1714B">
        <w:rPr>
          <w:rFonts w:eastAsia="Calibri" w:cs="Times New Roman"/>
          <w:bCs/>
          <w:szCs w:val="26"/>
        </w:rPr>
        <w:t>s.</w:t>
      </w:r>
    </w:p>
    <w:p w14:paraId="4333F01D" w14:textId="77777777" w:rsidR="00F84C00" w:rsidRPr="00F1714B" w:rsidRDefault="00F84C00" w:rsidP="00F84C00">
      <w:pPr>
        <w:rPr>
          <w:rFonts w:eastAsia="Calibri" w:cs="Times New Roman"/>
          <w:b/>
          <w:bCs/>
          <w:szCs w:val="26"/>
        </w:rPr>
      </w:pPr>
    </w:p>
    <w:p w14:paraId="3A8F56FC" w14:textId="77777777" w:rsidR="00F84C00" w:rsidRPr="00F1714B" w:rsidRDefault="00F84C00" w:rsidP="008E4738">
      <w:pPr>
        <w:ind w:left="720" w:firstLine="720"/>
        <w:rPr>
          <w:rFonts w:eastAsia="Calibri" w:cs="Times New Roman"/>
          <w:b/>
          <w:bCs/>
          <w:szCs w:val="26"/>
        </w:rPr>
      </w:pPr>
      <w:r w:rsidRPr="00F1714B">
        <w:rPr>
          <w:rFonts w:eastAsia="Calibri" w:cs="Times New Roman"/>
          <w:b/>
          <w:bCs/>
          <w:szCs w:val="26"/>
        </w:rPr>
        <w:t>1.</w:t>
      </w:r>
      <w:r w:rsidRPr="00F1714B">
        <w:rPr>
          <w:rFonts w:eastAsia="Calibri" w:cs="Times New Roman"/>
          <w:b/>
          <w:bCs/>
          <w:szCs w:val="26"/>
        </w:rPr>
        <w:tab/>
        <w:t>52 Pa. Code § 64.61 (Authorized suspension of service)</w:t>
      </w:r>
    </w:p>
    <w:p w14:paraId="77DACADD" w14:textId="43813392" w:rsidR="00F84C00" w:rsidRPr="00F1714B" w:rsidRDefault="00F84C00" w:rsidP="00F84C00">
      <w:pPr>
        <w:tabs>
          <w:tab w:val="left" w:pos="720"/>
          <w:tab w:val="left" w:pos="1440"/>
        </w:tabs>
        <w:ind w:firstLine="720"/>
        <w:rPr>
          <w:rFonts w:eastAsia="Calibri" w:cs="Times New Roman"/>
          <w:bCs/>
          <w:szCs w:val="26"/>
        </w:rPr>
      </w:pPr>
      <w:r w:rsidRPr="00F1714B">
        <w:rPr>
          <w:rFonts w:eastAsia="Calibri" w:cs="Times New Roman"/>
          <w:bCs/>
          <w:szCs w:val="26"/>
        </w:rPr>
        <w:t xml:space="preserve">Section 64.61 states eight separate grounds for authorized suspension of service.  In the </w:t>
      </w:r>
      <w:r w:rsidRPr="00F1714B">
        <w:rPr>
          <w:rFonts w:eastAsia="Calibri" w:cs="Times New Roman"/>
          <w:bCs/>
          <w:i/>
          <w:iCs/>
          <w:szCs w:val="26"/>
        </w:rPr>
        <w:t>Reclassification Order</w:t>
      </w:r>
      <w:r w:rsidRPr="00F1714B">
        <w:rPr>
          <w:rFonts w:eastAsia="Calibri" w:cs="Times New Roman"/>
          <w:bCs/>
          <w:szCs w:val="26"/>
        </w:rPr>
        <w:t>, the Commission determined that Section 64.61 was no longer relevant in a competitive market as these terms of service for grounds for suspension and termination are addressed in Verizon’s Product Guide at Section 1, Original Sheets 4 and 4.1, while termination is covered in Section 29 of their Product Guide.  Thus</w:t>
      </w:r>
      <w:r w:rsidR="00341730" w:rsidRPr="00F1714B">
        <w:rPr>
          <w:rFonts w:eastAsia="Calibri" w:cs="Times New Roman"/>
          <w:bCs/>
          <w:szCs w:val="26"/>
        </w:rPr>
        <w:t>,</w:t>
      </w:r>
      <w:r w:rsidRPr="00F1714B">
        <w:rPr>
          <w:rFonts w:eastAsia="Calibri" w:cs="Times New Roman"/>
          <w:bCs/>
          <w:szCs w:val="26"/>
        </w:rPr>
        <w:t xml:space="preserve"> we temporarily waived this regulation for Verizon.</w:t>
      </w:r>
      <w:r w:rsidRPr="00F1714B">
        <w:rPr>
          <w:rFonts w:eastAsia="Calibri" w:cs="Times New Roman"/>
          <w:bCs/>
          <w:szCs w:val="26"/>
          <w:vertAlign w:val="superscript"/>
        </w:rPr>
        <w:footnoteReference w:id="89"/>
      </w:r>
      <w:r w:rsidRPr="00F1714B">
        <w:rPr>
          <w:rFonts w:eastAsia="Calibri" w:cs="Times New Roman"/>
          <w:bCs/>
          <w:szCs w:val="26"/>
        </w:rPr>
        <w:t xml:space="preserve">  </w:t>
      </w:r>
    </w:p>
    <w:p w14:paraId="1FA588A8" w14:textId="77777777" w:rsidR="00F84C00" w:rsidRPr="00F1714B" w:rsidRDefault="00F84C00" w:rsidP="00F84C00">
      <w:pPr>
        <w:tabs>
          <w:tab w:val="left" w:pos="720"/>
          <w:tab w:val="left" w:pos="1440"/>
        </w:tabs>
        <w:rPr>
          <w:rFonts w:eastAsia="Calibri" w:cs="Times New Roman"/>
          <w:bCs/>
          <w:szCs w:val="26"/>
        </w:rPr>
      </w:pPr>
    </w:p>
    <w:p w14:paraId="2C785EFD" w14:textId="77777777" w:rsidR="00F84C00" w:rsidRPr="00F1714B" w:rsidRDefault="00F84C00" w:rsidP="00F84C00">
      <w:pPr>
        <w:ind w:firstLine="720"/>
        <w:rPr>
          <w:rFonts w:eastAsia="Calibri" w:cs="Times New Roman"/>
          <w:szCs w:val="26"/>
        </w:rPr>
      </w:pPr>
      <w:r w:rsidRPr="00F1714B">
        <w:rPr>
          <w:rFonts w:eastAsia="Calibri" w:cs="Times New Roman"/>
          <w:szCs w:val="26"/>
        </w:rPr>
        <w:t xml:space="preserve">In the </w:t>
      </w:r>
      <w:r w:rsidRPr="00F1714B">
        <w:rPr>
          <w:rFonts w:eastAsia="Calibri" w:cs="Times New Roman"/>
          <w:i/>
          <w:iCs/>
          <w:szCs w:val="26"/>
        </w:rPr>
        <w:t>NPRM Order</w:t>
      </w:r>
      <w:r w:rsidRPr="00F1714B">
        <w:rPr>
          <w:rFonts w:eastAsia="Calibri" w:cs="Times New Roman"/>
          <w:szCs w:val="26"/>
        </w:rPr>
        <w:t xml:space="preserve">, we expressed our concern regarding the suitability of having potentially different standards govern the suspension of residential services, including basic local exchange services.  </w:t>
      </w:r>
    </w:p>
    <w:p w14:paraId="20E0CE1A" w14:textId="77777777" w:rsidR="00F84C00" w:rsidRPr="00F1714B" w:rsidRDefault="00F84C00" w:rsidP="00F84C00">
      <w:pPr>
        <w:ind w:firstLine="720"/>
        <w:rPr>
          <w:rFonts w:eastAsia="Calibri" w:cs="Times New Roman"/>
          <w:szCs w:val="26"/>
        </w:rPr>
      </w:pPr>
    </w:p>
    <w:p w14:paraId="6B4F8C24" w14:textId="4EA44BFE" w:rsidR="00F84C00" w:rsidRPr="00F1714B" w:rsidRDefault="00F84C00" w:rsidP="00F84C00">
      <w:pPr>
        <w:ind w:firstLine="720"/>
        <w:rPr>
          <w:rFonts w:eastAsia="Calibri" w:cs="Times New Roman"/>
          <w:szCs w:val="26"/>
        </w:rPr>
      </w:pPr>
      <w:r w:rsidRPr="00F1714B">
        <w:rPr>
          <w:rFonts w:eastAsia="Calibri" w:cs="Times New Roman"/>
          <w:szCs w:val="26"/>
        </w:rPr>
        <w:t>Also</w:t>
      </w:r>
      <w:r w:rsidR="00341730" w:rsidRPr="00F1714B">
        <w:rPr>
          <w:rFonts w:eastAsia="Calibri" w:cs="Times New Roman"/>
          <w:szCs w:val="26"/>
        </w:rPr>
        <w:t>,</w:t>
      </w:r>
      <w:r w:rsidRPr="00F1714B">
        <w:rPr>
          <w:rFonts w:eastAsia="Calibri" w:cs="Times New Roman"/>
          <w:szCs w:val="26"/>
        </w:rPr>
        <w:t xml:space="preserve"> in the </w:t>
      </w:r>
      <w:r w:rsidRPr="00F1714B">
        <w:rPr>
          <w:rFonts w:eastAsia="Calibri" w:cs="Times New Roman"/>
          <w:i/>
          <w:iCs/>
          <w:szCs w:val="26"/>
        </w:rPr>
        <w:t>NPRM Order</w:t>
      </w:r>
      <w:r w:rsidRPr="00F1714B">
        <w:rPr>
          <w:rFonts w:eastAsia="Calibri" w:cs="Times New Roman"/>
          <w:szCs w:val="26"/>
        </w:rPr>
        <w:t xml:space="preserve">, we noted that OCA brought to our attention that Verizon has utilized Section 64.61(3) in the context of network transitions from conventional copper-based connections to fiber optic ones for residential customers.  OCA indicates that Section 64.61(3) permits a LEC to suspend residential service upon “[u]nreasonable refusal to permit access to service connections, equipment and other </w:t>
      </w:r>
      <w:r w:rsidRPr="00F1714B">
        <w:rPr>
          <w:rFonts w:eastAsia="Calibri" w:cs="Times New Roman"/>
          <w:szCs w:val="26"/>
        </w:rPr>
        <w:lastRenderedPageBreak/>
        <w:t xml:space="preserve">property of the LEC for maintenance or repair,” and references the </w:t>
      </w:r>
      <w:r w:rsidRPr="00F1714B">
        <w:rPr>
          <w:rFonts w:eastAsia="Calibri" w:cs="Times New Roman"/>
          <w:i/>
          <w:iCs/>
          <w:szCs w:val="26"/>
        </w:rPr>
        <w:t>Altman</w:t>
      </w:r>
      <w:r w:rsidRPr="00F1714B">
        <w:rPr>
          <w:rFonts w:eastAsia="Calibri" w:cs="Times New Roman"/>
          <w:szCs w:val="26"/>
        </w:rPr>
        <w:t xml:space="preserve"> case.</w:t>
      </w:r>
      <w:r w:rsidRPr="00F1714B">
        <w:rPr>
          <w:rFonts w:eastAsia="Calibri" w:cs="Times New Roman"/>
          <w:szCs w:val="26"/>
          <w:vertAlign w:val="superscript"/>
        </w:rPr>
        <w:footnoteReference w:id="90"/>
      </w:r>
      <w:r w:rsidRPr="00F1714B">
        <w:rPr>
          <w:rFonts w:eastAsia="Calibri" w:cs="Times New Roman"/>
          <w:szCs w:val="26"/>
        </w:rPr>
        <w:t xml:space="preserve">  In the </w:t>
      </w:r>
      <w:r w:rsidRPr="00F1714B">
        <w:rPr>
          <w:rFonts w:eastAsia="Calibri" w:cs="Times New Roman"/>
          <w:i/>
          <w:iCs/>
          <w:szCs w:val="26"/>
        </w:rPr>
        <w:t>Fox</w:t>
      </w:r>
      <w:r w:rsidRPr="00F1714B">
        <w:rPr>
          <w:rFonts w:eastAsia="Calibri" w:cs="Times New Roman"/>
          <w:szCs w:val="26"/>
        </w:rPr>
        <w:t xml:space="preserve"> copper to fiber transition case the presiding Administrative Law Judge determined that Mr. Fox’s refusal to provide Verizon PA with access to his dwelling was unreasonable and put Mr. Fox at risk of suspension of service, and that Verizon must meet the notice requirements of Section 64.71 and 64.72 before proceeding with a service suspension.</w:t>
      </w:r>
      <w:r w:rsidRPr="00F1714B">
        <w:rPr>
          <w:rFonts w:eastAsia="Calibri" w:cs="Times New Roman"/>
          <w:szCs w:val="26"/>
          <w:vertAlign w:val="superscript"/>
        </w:rPr>
        <w:footnoteReference w:id="91"/>
      </w:r>
      <w:r w:rsidRPr="00F1714B">
        <w:rPr>
          <w:rFonts w:eastAsia="Calibri" w:cs="Times New Roman"/>
          <w:szCs w:val="26"/>
        </w:rPr>
        <w:t xml:space="preserve">  </w:t>
      </w:r>
    </w:p>
    <w:p w14:paraId="65C032F8" w14:textId="77777777" w:rsidR="00F84C00" w:rsidRPr="00F1714B" w:rsidRDefault="00F84C00" w:rsidP="00F84C00">
      <w:pPr>
        <w:ind w:firstLine="720"/>
        <w:rPr>
          <w:rFonts w:eastAsia="Calibri" w:cs="Times New Roman"/>
          <w:szCs w:val="26"/>
        </w:rPr>
      </w:pPr>
    </w:p>
    <w:p w14:paraId="19703188" w14:textId="09DD9C84" w:rsidR="00F84C00" w:rsidRPr="00F1714B" w:rsidRDefault="00F84C00" w:rsidP="00F84C00">
      <w:pPr>
        <w:ind w:firstLine="720"/>
        <w:rPr>
          <w:rFonts w:eastAsia="Calibri" w:cs="Times New Roman"/>
          <w:szCs w:val="26"/>
        </w:rPr>
      </w:pPr>
      <w:r w:rsidRPr="00F1714B">
        <w:rPr>
          <w:rFonts w:eastAsia="Calibri" w:cs="Times New Roman"/>
          <w:szCs w:val="26"/>
        </w:rPr>
        <w:t>OCA pointed out that the Commission’s denial of Mr. Fox’s complaint noted that “[w]hen migrating telephone service from a copper to fiber-based service, Verizon also must comply with the relevant customer notice requirements regarding suspension/termination of service in Chapter 64 of the Commission’s regulations.”</w:t>
      </w:r>
      <w:r w:rsidRPr="00F1714B">
        <w:rPr>
          <w:rFonts w:eastAsia="Calibri" w:cs="Times New Roman"/>
          <w:szCs w:val="26"/>
          <w:vertAlign w:val="superscript"/>
        </w:rPr>
        <w:footnoteReference w:id="92"/>
      </w:r>
      <w:r w:rsidRPr="00F1714B">
        <w:rPr>
          <w:rFonts w:eastAsia="Calibri" w:cs="Times New Roman"/>
          <w:szCs w:val="26"/>
        </w:rPr>
        <w:t xml:space="preserve">  OCA recommends that “the Commission should not, through this rulemaking, diminish or dismantle such important, inter-related Chapter 64 provisions that relate to suspension of service and timely notice of how the customer may cure the potential suspension,” and that the copper to fiber transition of network connections should be accomplished in a manner that does not confuse consumers or result in the avoidable suspension of vital residential basic local exchange services.</w:t>
      </w:r>
      <w:r w:rsidRPr="00F1714B">
        <w:rPr>
          <w:rFonts w:eastAsia="Calibri" w:cs="Times New Roman"/>
          <w:szCs w:val="26"/>
          <w:vertAlign w:val="superscript"/>
        </w:rPr>
        <w:footnoteReference w:id="93"/>
      </w:r>
      <w:r w:rsidRPr="00F1714B">
        <w:rPr>
          <w:rFonts w:eastAsia="Calibri" w:cs="Times New Roman"/>
          <w:szCs w:val="26"/>
        </w:rPr>
        <w:t xml:space="preserve">  OCA supports the retention of the Section 64.61 regulation for both competitive and </w:t>
      </w:r>
      <w:r w:rsidR="00883FB1" w:rsidRPr="00F1714B">
        <w:rPr>
          <w:rFonts w:eastAsia="Calibri" w:cs="Times New Roman"/>
          <w:szCs w:val="26"/>
        </w:rPr>
        <w:t>noncompetitive</w:t>
      </w:r>
      <w:r w:rsidR="009B4883" w:rsidRPr="00F1714B">
        <w:rPr>
          <w:rFonts w:eastAsia="Calibri" w:cs="Times New Roman"/>
          <w:szCs w:val="26"/>
        </w:rPr>
        <w:t xml:space="preserve"> areas</w:t>
      </w:r>
      <w:r w:rsidRPr="00F1714B">
        <w:rPr>
          <w:rFonts w:eastAsia="Calibri" w:cs="Times New Roman"/>
          <w:szCs w:val="26"/>
        </w:rPr>
        <w:t>.</w:t>
      </w:r>
      <w:r w:rsidRPr="00F1714B">
        <w:rPr>
          <w:rFonts w:eastAsia="Calibri" w:cs="Times New Roman"/>
          <w:szCs w:val="26"/>
          <w:vertAlign w:val="superscript"/>
        </w:rPr>
        <w:footnoteReference w:id="94"/>
      </w:r>
    </w:p>
    <w:p w14:paraId="0028F54B" w14:textId="77777777" w:rsidR="00F84C00" w:rsidRPr="00F1714B" w:rsidRDefault="00F84C00" w:rsidP="00F84C00">
      <w:pPr>
        <w:ind w:firstLine="720"/>
        <w:rPr>
          <w:rFonts w:eastAsia="Calibri" w:cs="Times New Roman"/>
          <w:szCs w:val="26"/>
        </w:rPr>
      </w:pPr>
    </w:p>
    <w:p w14:paraId="3E56EB47" w14:textId="638FF2A2" w:rsidR="00F84C00" w:rsidRPr="00F1714B" w:rsidRDefault="00F84C00" w:rsidP="00F84C00">
      <w:pPr>
        <w:ind w:firstLine="720"/>
        <w:rPr>
          <w:rFonts w:eastAsia="Calibri" w:cs="Times New Roman"/>
          <w:szCs w:val="26"/>
        </w:rPr>
      </w:pPr>
      <w:r w:rsidRPr="00F1714B">
        <w:rPr>
          <w:rFonts w:eastAsia="Calibri" w:cs="Times New Roman"/>
          <w:szCs w:val="26"/>
        </w:rPr>
        <w:t xml:space="preserve">Thus, for the reasons set forth by OCA, we proposed to retain Section 64.61 for all geographic areas.  </w:t>
      </w:r>
    </w:p>
    <w:p w14:paraId="62ED67EA" w14:textId="77777777" w:rsidR="00F84C00" w:rsidRPr="00F1714B" w:rsidRDefault="00F84C00" w:rsidP="00F84C00">
      <w:pPr>
        <w:tabs>
          <w:tab w:val="left" w:pos="720"/>
          <w:tab w:val="left" w:pos="1440"/>
        </w:tabs>
        <w:rPr>
          <w:rFonts w:eastAsia="Calibri" w:cs="Times New Roman"/>
          <w:b/>
          <w:bCs/>
          <w:szCs w:val="26"/>
        </w:rPr>
      </w:pPr>
      <w:r w:rsidRPr="00F1714B">
        <w:rPr>
          <w:rFonts w:eastAsia="Calibri" w:cs="Times New Roman"/>
          <w:b/>
          <w:bCs/>
          <w:szCs w:val="26"/>
        </w:rPr>
        <w:lastRenderedPageBreak/>
        <w:tab/>
      </w:r>
      <w:r w:rsidRPr="00F1714B">
        <w:rPr>
          <w:rFonts w:eastAsia="Calibri" w:cs="Times New Roman"/>
          <w:b/>
          <w:bCs/>
          <w:szCs w:val="26"/>
        </w:rPr>
        <w:tab/>
      </w:r>
      <w:r w:rsidRPr="00F1714B">
        <w:rPr>
          <w:rFonts w:eastAsia="Calibri" w:cs="Times New Roman"/>
          <w:b/>
          <w:bCs/>
          <w:szCs w:val="26"/>
        </w:rPr>
        <w:tab/>
        <w:t>a.</w:t>
      </w:r>
      <w:r w:rsidRPr="00F1714B">
        <w:rPr>
          <w:rFonts w:eastAsia="Calibri" w:cs="Times New Roman"/>
          <w:b/>
          <w:bCs/>
          <w:szCs w:val="26"/>
        </w:rPr>
        <w:tab/>
        <w:t>Comments</w:t>
      </w:r>
      <w:r w:rsidRPr="00F1714B">
        <w:rPr>
          <w:rFonts w:eastAsia="Calibri" w:cs="Times New Roman"/>
          <w:b/>
          <w:szCs w:val="26"/>
        </w:rPr>
        <w:t xml:space="preserve"> </w:t>
      </w:r>
      <w:r w:rsidRPr="00F1714B">
        <w:rPr>
          <w:rFonts w:eastAsia="Calibri" w:cs="Times New Roman"/>
          <w:b/>
          <w:bCs/>
          <w:szCs w:val="26"/>
        </w:rPr>
        <w:t>and Replies</w:t>
      </w:r>
    </w:p>
    <w:p w14:paraId="48B871F2" w14:textId="77777777" w:rsidR="00F84C00" w:rsidRPr="00F1714B" w:rsidRDefault="00F84C00" w:rsidP="00F84C00">
      <w:pPr>
        <w:ind w:firstLine="720"/>
        <w:rPr>
          <w:rFonts w:eastAsia="Calibri" w:cs="Times New Roman"/>
        </w:rPr>
      </w:pPr>
      <w:bookmarkStart w:id="76" w:name="_Hlk76565746"/>
      <w:r w:rsidRPr="00F1714B">
        <w:rPr>
          <w:rFonts w:eastAsia="Calibri" w:cs="Times New Roman"/>
        </w:rPr>
        <w:t>The OCA supports the Commission’s proposal to retain this rule in all geographic areas</w:t>
      </w:r>
      <w:bookmarkEnd w:id="76"/>
      <w:r w:rsidRPr="00F1714B">
        <w:rPr>
          <w:rFonts w:eastAsia="Calibri" w:cs="Times New Roman"/>
        </w:rPr>
        <w:t>, noting the need for guidance “in matters such as the continuing transition of network connection from copper-based to fiber optic facilities thus avoiding the suspension or even the loss of vital basic local exchange services.”  OCA Comments at 31.</w:t>
      </w:r>
    </w:p>
    <w:p w14:paraId="66F82701" w14:textId="77777777" w:rsidR="00F84C00" w:rsidRPr="00F1714B" w:rsidRDefault="00F84C00" w:rsidP="00F84C00">
      <w:pPr>
        <w:ind w:firstLine="720"/>
        <w:rPr>
          <w:rFonts w:eastAsia="Calibri" w:cs="Times New Roman"/>
        </w:rPr>
      </w:pPr>
    </w:p>
    <w:p w14:paraId="58FD4640" w14:textId="77777777" w:rsidR="00F84C00" w:rsidRPr="00F1714B" w:rsidRDefault="00F84C00" w:rsidP="00F84C00">
      <w:pPr>
        <w:ind w:firstLine="720"/>
        <w:rPr>
          <w:rFonts w:eastAsia="Calibri" w:cs="Times New Roman"/>
          <w:bCs/>
        </w:rPr>
      </w:pPr>
      <w:r w:rsidRPr="00F1714B">
        <w:rPr>
          <w:rFonts w:eastAsia="Calibri" w:cs="Times New Roman"/>
          <w:bCs/>
        </w:rPr>
        <w:t>IRRC notes with approval that “[a] commentator states that Section 64.61 should recognize the ability of the telecommunications service provider to suspend services to prevent other types of abuse, or illegal activities.”  IRRC Comments at 9.</w:t>
      </w:r>
    </w:p>
    <w:p w14:paraId="077CECE1" w14:textId="77777777" w:rsidR="00F84C00" w:rsidRPr="00F1714B" w:rsidRDefault="00F84C00" w:rsidP="00F84C00">
      <w:pPr>
        <w:ind w:firstLine="720"/>
        <w:rPr>
          <w:rFonts w:eastAsia="Calibri" w:cs="Times New Roman"/>
          <w:bCs/>
        </w:rPr>
      </w:pPr>
    </w:p>
    <w:p w14:paraId="5E982F3B" w14:textId="77777777" w:rsidR="00F84C00" w:rsidRPr="00F1714B" w:rsidRDefault="00F84C00" w:rsidP="00F84C00">
      <w:pPr>
        <w:ind w:firstLine="720"/>
        <w:rPr>
          <w:rFonts w:eastAsia="Calibri" w:cs="Times New Roman"/>
        </w:rPr>
      </w:pPr>
      <w:r w:rsidRPr="00F1714B">
        <w:rPr>
          <w:rFonts w:eastAsia="Calibri" w:cs="Times New Roman"/>
        </w:rPr>
        <w:t>TCC/CCL propose that the Commission modify its proposed language for this rule to permit carriers to suspend service based on “</w:t>
      </w:r>
      <w:bookmarkStart w:id="77" w:name="_Hlk81399210"/>
      <w:r w:rsidRPr="00F1714B">
        <w:rPr>
          <w:rFonts w:eastAsia="Calibri" w:cs="Times New Roman"/>
        </w:rPr>
        <w:t>abusive, illegal or fraudulent activity</w:t>
      </w:r>
      <w:bookmarkEnd w:id="77"/>
      <w:r w:rsidRPr="00F1714B">
        <w:rPr>
          <w:rFonts w:eastAsia="Calibri" w:cs="Times New Roman"/>
        </w:rPr>
        <w:t>.”  TCC/CCL Comments at 27.</w:t>
      </w:r>
    </w:p>
    <w:p w14:paraId="0F58CCD1" w14:textId="77777777" w:rsidR="00F84C00" w:rsidRPr="00F1714B" w:rsidRDefault="00F84C00" w:rsidP="00F84C00">
      <w:pPr>
        <w:tabs>
          <w:tab w:val="left" w:pos="720"/>
          <w:tab w:val="left" w:pos="1440"/>
        </w:tabs>
        <w:rPr>
          <w:rFonts w:eastAsia="Calibri" w:cs="Times New Roman"/>
          <w:b/>
          <w:bCs/>
          <w:szCs w:val="26"/>
        </w:rPr>
      </w:pPr>
    </w:p>
    <w:p w14:paraId="5CB6345B" w14:textId="77777777" w:rsidR="00F84C00" w:rsidRPr="00F1714B" w:rsidRDefault="00F84C00" w:rsidP="00F84C00">
      <w:pPr>
        <w:tabs>
          <w:tab w:val="left" w:pos="720"/>
          <w:tab w:val="left" w:pos="1440"/>
        </w:tabs>
        <w:rPr>
          <w:rFonts w:eastAsia="Calibri" w:cs="Times New Roman"/>
          <w:b/>
          <w:bCs/>
          <w:szCs w:val="26"/>
        </w:rPr>
      </w:pPr>
      <w:r w:rsidRPr="00F1714B">
        <w:rPr>
          <w:rFonts w:eastAsia="Calibri" w:cs="Times New Roman"/>
          <w:b/>
          <w:bCs/>
          <w:szCs w:val="26"/>
        </w:rPr>
        <w:tab/>
      </w:r>
      <w:r w:rsidRPr="00F1714B">
        <w:rPr>
          <w:rFonts w:eastAsia="Calibri" w:cs="Times New Roman"/>
          <w:b/>
          <w:bCs/>
          <w:szCs w:val="26"/>
        </w:rPr>
        <w:tab/>
      </w:r>
      <w:r w:rsidRPr="00F1714B">
        <w:rPr>
          <w:rFonts w:eastAsia="Calibri" w:cs="Times New Roman"/>
          <w:b/>
          <w:bCs/>
          <w:szCs w:val="26"/>
        </w:rPr>
        <w:tab/>
        <w:t>b.</w:t>
      </w:r>
      <w:r w:rsidRPr="00F1714B">
        <w:rPr>
          <w:rFonts w:eastAsia="Calibri" w:cs="Times New Roman"/>
          <w:b/>
          <w:bCs/>
          <w:szCs w:val="26"/>
        </w:rPr>
        <w:tab/>
        <w:t>Discussion and Resolution</w:t>
      </w:r>
    </w:p>
    <w:p w14:paraId="55037D5F" w14:textId="13B8916A" w:rsidR="00F84C00" w:rsidRPr="00F1714B" w:rsidRDefault="00F84C00" w:rsidP="00F84C00">
      <w:pPr>
        <w:tabs>
          <w:tab w:val="left" w:pos="720"/>
          <w:tab w:val="left" w:pos="1440"/>
        </w:tabs>
        <w:rPr>
          <w:rFonts w:eastAsia="Calibri" w:cs="Times New Roman"/>
          <w:szCs w:val="26"/>
        </w:rPr>
      </w:pPr>
      <w:r w:rsidRPr="00F1714B">
        <w:rPr>
          <w:rFonts w:eastAsia="Calibri" w:cs="Times New Roman"/>
          <w:bCs/>
          <w:szCs w:val="26"/>
        </w:rPr>
        <w:tab/>
      </w:r>
      <w:r w:rsidRPr="00F1714B">
        <w:rPr>
          <w:rFonts w:eastAsia="Calibri" w:cs="Times New Roman"/>
          <w:b/>
          <w:bCs/>
          <w:szCs w:val="26"/>
        </w:rPr>
        <w:tab/>
      </w:r>
      <w:r w:rsidRPr="00F1714B">
        <w:rPr>
          <w:rFonts w:eastAsia="Calibri" w:cs="Times New Roman"/>
          <w:szCs w:val="26"/>
        </w:rPr>
        <w:t xml:space="preserve">Consistent with our discussion in the </w:t>
      </w:r>
      <w:r w:rsidRPr="00F1714B">
        <w:rPr>
          <w:rFonts w:eastAsia="Calibri" w:cs="Times New Roman"/>
          <w:i/>
          <w:iCs/>
          <w:szCs w:val="26"/>
        </w:rPr>
        <w:t>NPRM Order</w:t>
      </w:r>
      <w:r w:rsidRPr="00F1714B">
        <w:rPr>
          <w:rFonts w:eastAsia="Calibri" w:cs="Times New Roman"/>
          <w:szCs w:val="26"/>
        </w:rPr>
        <w:t>, we decide to adopt our proposed retention of Section 64.61 in all geographic areas.</w:t>
      </w:r>
    </w:p>
    <w:p w14:paraId="2AAF4ED3" w14:textId="77777777" w:rsidR="00883FB1" w:rsidRPr="00F1714B" w:rsidRDefault="00883FB1" w:rsidP="00F84C00">
      <w:pPr>
        <w:tabs>
          <w:tab w:val="left" w:pos="720"/>
          <w:tab w:val="left" w:pos="1440"/>
        </w:tabs>
        <w:rPr>
          <w:rFonts w:eastAsia="Calibri" w:cs="Times New Roman"/>
          <w:szCs w:val="26"/>
        </w:rPr>
      </w:pPr>
    </w:p>
    <w:p w14:paraId="01ED7816" w14:textId="77777777"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We find reasonable TCC/CCL’s suggestion that LECs be permitted to suspend service based on “abusive, illegal or fraudulent activity” and we will add new subsection (9) to the existing regulation in the final form regulations to capture these grounds for suspension.  </w:t>
      </w:r>
      <w:bookmarkStart w:id="78" w:name="_Hlk81470254"/>
      <w:r w:rsidRPr="00F1714B">
        <w:rPr>
          <w:rFonts w:eastAsia="Calibri" w:cs="Times New Roman"/>
          <w:bCs/>
          <w:szCs w:val="26"/>
        </w:rPr>
        <w:t xml:space="preserve">Accordingly, the retention of </w:t>
      </w:r>
      <w:r w:rsidRPr="00F1714B">
        <w:rPr>
          <w:rFonts w:eastAsia="Calibri" w:cs="Times New Roman"/>
          <w:szCs w:val="26"/>
        </w:rPr>
        <w:t xml:space="preserve">Sections 64.61 in Chapter 64 of Title 52 of the Pa. Code </w:t>
      </w:r>
      <w:r w:rsidRPr="00F1714B">
        <w:rPr>
          <w:rFonts w:eastAsia="Calibri" w:cs="Times New Roman"/>
          <w:bCs/>
          <w:szCs w:val="26"/>
        </w:rPr>
        <w:t>will be reflected in the final-form regulation set forth in the Annex.</w:t>
      </w:r>
    </w:p>
    <w:bookmarkEnd w:id="78"/>
    <w:p w14:paraId="0E249DEA" w14:textId="77777777" w:rsidR="00F84C00" w:rsidRPr="00F1714B" w:rsidRDefault="00F84C00" w:rsidP="00F84C00">
      <w:pPr>
        <w:tabs>
          <w:tab w:val="left" w:pos="720"/>
          <w:tab w:val="left" w:pos="1440"/>
        </w:tabs>
        <w:rPr>
          <w:rFonts w:eastAsia="Calibri" w:cs="Times New Roman"/>
          <w:bCs/>
          <w:szCs w:val="26"/>
        </w:rPr>
      </w:pPr>
    </w:p>
    <w:p w14:paraId="2DCADD26" w14:textId="77777777" w:rsidR="00F84C00" w:rsidRPr="00F1714B" w:rsidRDefault="00F84C00" w:rsidP="00F84C00">
      <w:pPr>
        <w:keepNext/>
        <w:keepLines/>
        <w:spacing w:line="240" w:lineRule="auto"/>
        <w:ind w:left="2160" w:hanging="720"/>
        <w:rPr>
          <w:rFonts w:eastAsia="Calibri" w:cs="Times New Roman"/>
          <w:b/>
          <w:bCs/>
          <w:szCs w:val="26"/>
        </w:rPr>
      </w:pPr>
      <w:r w:rsidRPr="00F1714B">
        <w:rPr>
          <w:rFonts w:eastAsia="Calibri" w:cs="Times New Roman"/>
          <w:b/>
          <w:bCs/>
          <w:szCs w:val="26"/>
        </w:rPr>
        <w:lastRenderedPageBreak/>
        <w:t>2.</w:t>
      </w:r>
      <w:r w:rsidRPr="00F1714B">
        <w:rPr>
          <w:rFonts w:eastAsia="Calibri" w:cs="Times New Roman"/>
          <w:b/>
          <w:bCs/>
          <w:szCs w:val="26"/>
        </w:rPr>
        <w:tab/>
        <w:t xml:space="preserve">52 Pa. Code § 64.62 </w:t>
      </w:r>
    </w:p>
    <w:p w14:paraId="5A92BBB1" w14:textId="77777777" w:rsidR="00F84C00" w:rsidRPr="00F1714B" w:rsidRDefault="00F84C00" w:rsidP="00F84C00">
      <w:pPr>
        <w:keepNext/>
        <w:keepLines/>
        <w:spacing w:line="240" w:lineRule="auto"/>
        <w:ind w:left="2160"/>
        <w:rPr>
          <w:rFonts w:eastAsia="Calibri" w:cs="Times New Roman"/>
          <w:b/>
          <w:bCs/>
          <w:szCs w:val="26"/>
        </w:rPr>
      </w:pPr>
      <w:r w:rsidRPr="00F1714B">
        <w:rPr>
          <w:rFonts w:eastAsia="Calibri" w:cs="Times New Roman"/>
          <w:b/>
          <w:bCs/>
          <w:szCs w:val="26"/>
        </w:rPr>
        <w:t>(Days suspension or termination of service is prohibited)</w:t>
      </w:r>
    </w:p>
    <w:p w14:paraId="4A375AAE" w14:textId="77777777" w:rsidR="00F84C00" w:rsidRPr="00F1714B" w:rsidRDefault="00F84C00" w:rsidP="00F84C00">
      <w:pPr>
        <w:keepNext/>
        <w:keepLines/>
        <w:spacing w:line="240" w:lineRule="auto"/>
        <w:rPr>
          <w:rFonts w:eastAsia="Calibri" w:cs="Times New Roman"/>
          <w:szCs w:val="26"/>
        </w:rPr>
      </w:pPr>
    </w:p>
    <w:p w14:paraId="489E95D5" w14:textId="6F1D0A0D"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szCs w:val="26"/>
        </w:rPr>
        <w:t xml:space="preserve">In the </w:t>
      </w:r>
      <w:r w:rsidRPr="00F1714B">
        <w:rPr>
          <w:rFonts w:eastAsia="Calibri" w:cs="Times New Roman"/>
          <w:i/>
          <w:iCs/>
          <w:szCs w:val="26"/>
        </w:rPr>
        <w:t>Reclassification Order</w:t>
      </w:r>
      <w:r w:rsidRPr="00F1714B">
        <w:rPr>
          <w:rFonts w:eastAsia="Calibri" w:cs="Times New Roman"/>
          <w:szCs w:val="26"/>
        </w:rPr>
        <w:t>, we</w:t>
      </w:r>
      <w:r w:rsidRPr="00F1714B">
        <w:rPr>
          <w:rFonts w:eastAsia="Calibri" w:cs="Times New Roman"/>
          <w:bCs/>
          <w:szCs w:val="26"/>
        </w:rPr>
        <w:t xml:space="preserve"> denied Verizon’s waiver request for Section 64.62 on the basis that identifying the dates service cannot be suspended or terminated is relevant and should apply in a competitive market.</w:t>
      </w:r>
      <w:r w:rsidRPr="00F1714B">
        <w:rPr>
          <w:rFonts w:eastAsia="Calibri" w:cs="Times New Roman"/>
          <w:bCs/>
          <w:szCs w:val="26"/>
          <w:vertAlign w:val="superscript"/>
        </w:rPr>
        <w:footnoteReference w:id="95"/>
      </w:r>
      <w:r w:rsidRPr="00F1714B">
        <w:rPr>
          <w:rFonts w:eastAsia="Calibri" w:cs="Times New Roman"/>
          <w:bCs/>
          <w:szCs w:val="26"/>
        </w:rPr>
        <w:t xml:space="preserve">  We determined that rather than Verizon’s Product Guide</w:t>
      </w:r>
      <w:r w:rsidR="00A24DBF" w:rsidRPr="00F1714B">
        <w:rPr>
          <w:rFonts w:eastAsia="Calibri" w:cs="Times New Roman"/>
          <w:bCs/>
          <w:szCs w:val="26"/>
        </w:rPr>
        <w:t>’s</w:t>
      </w:r>
      <w:r w:rsidRPr="00F1714B">
        <w:rPr>
          <w:rFonts w:eastAsia="Calibri" w:cs="Times New Roman"/>
          <w:bCs/>
          <w:szCs w:val="26"/>
        </w:rPr>
        <w:t xml:space="preserve"> determining these dates, it was best to continue to have these dates controlled by regulation.  Accordingly, Section 64.62 was retained and made to apply in all geographic areas.</w:t>
      </w:r>
    </w:p>
    <w:p w14:paraId="06E6F74E" w14:textId="77777777" w:rsidR="00F84C00" w:rsidRPr="00F1714B" w:rsidRDefault="00F84C00" w:rsidP="00F84C00">
      <w:pPr>
        <w:keepNext/>
        <w:keepLines/>
        <w:tabs>
          <w:tab w:val="left" w:pos="720"/>
          <w:tab w:val="left" w:pos="1440"/>
        </w:tabs>
        <w:rPr>
          <w:rFonts w:eastAsia="Calibri" w:cs="Times New Roman"/>
          <w:bCs/>
          <w:szCs w:val="26"/>
        </w:rPr>
      </w:pPr>
    </w:p>
    <w:p w14:paraId="65AA2687" w14:textId="77777777" w:rsidR="00F84C00" w:rsidRPr="00F1714B" w:rsidRDefault="00F84C00" w:rsidP="008E4738">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4B94F5EA" w14:textId="77777777" w:rsidR="00F84C00" w:rsidRPr="00F1714B" w:rsidRDefault="00F84C00" w:rsidP="00977817">
      <w:pPr>
        <w:ind w:firstLine="720"/>
        <w:rPr>
          <w:rFonts w:eastAsia="Calibri" w:cs="Times New Roman"/>
        </w:rPr>
      </w:pPr>
      <w:bookmarkStart w:id="79" w:name="_Hlk76565840"/>
      <w:r w:rsidRPr="00F1714B">
        <w:rPr>
          <w:rFonts w:eastAsia="Calibri" w:cs="Times New Roman"/>
        </w:rPr>
        <w:t>The OCA supports the Commission’s proposal to retain this rule in all geographic areas. OCA Comments at 31.</w:t>
      </w:r>
    </w:p>
    <w:bookmarkEnd w:id="79"/>
    <w:p w14:paraId="2CAAE8ED" w14:textId="77777777" w:rsidR="00F84C00" w:rsidRPr="00F1714B" w:rsidRDefault="00F84C00" w:rsidP="00977817">
      <w:pPr>
        <w:rPr>
          <w:rFonts w:eastAsia="Calibri" w:cs="Times New Roman"/>
          <w:b/>
          <w:szCs w:val="26"/>
        </w:rPr>
      </w:pPr>
    </w:p>
    <w:p w14:paraId="33B69A8C" w14:textId="77777777" w:rsidR="00F84C00" w:rsidRPr="00F1714B" w:rsidRDefault="00F84C00" w:rsidP="00977817">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7F53CD83" w14:textId="6FD114B5" w:rsidR="00F84C00" w:rsidRPr="00F1714B" w:rsidRDefault="00F01102" w:rsidP="00F01102">
      <w:pPr>
        <w:spacing w:after="200"/>
        <w:ind w:firstLine="720"/>
        <w:rPr>
          <w:rFonts w:eastAsia="Calibri" w:cs="Times New Roman"/>
          <w:bCs/>
          <w:szCs w:val="26"/>
        </w:rPr>
      </w:pPr>
      <w:bookmarkStart w:id="80" w:name="_Hlk81303341"/>
      <w:r w:rsidRPr="00F1714B">
        <w:rPr>
          <w:rFonts w:eastAsia="Calibri" w:cs="Times New Roman"/>
          <w:bCs/>
          <w:szCs w:val="26"/>
        </w:rPr>
        <w:t xml:space="preserve">Consistent with our discussion in the </w:t>
      </w:r>
      <w:r w:rsidRPr="00F1714B">
        <w:rPr>
          <w:rFonts w:eastAsia="Calibri" w:cs="Times New Roman"/>
          <w:bCs/>
          <w:i/>
          <w:iCs/>
          <w:szCs w:val="26"/>
        </w:rPr>
        <w:t>NPRM Order</w:t>
      </w:r>
      <w:r w:rsidR="00A42B1C" w:rsidRPr="00F1714B">
        <w:rPr>
          <w:rFonts w:eastAsia="Calibri" w:cs="Times New Roman"/>
          <w:bCs/>
          <w:szCs w:val="26"/>
        </w:rPr>
        <w:t xml:space="preserve">, </w:t>
      </w:r>
      <w:r w:rsidR="00F84C00" w:rsidRPr="00F1714B">
        <w:rPr>
          <w:rFonts w:eastAsia="Calibri" w:cs="Times New Roman"/>
          <w:bCs/>
          <w:szCs w:val="26"/>
        </w:rPr>
        <w:t xml:space="preserve">we will adopt our proposal to retain Section 64.62 in Chapter 64 of Title 52 of the Pa. Code for competitive and noncompetitive local calling areas.  </w:t>
      </w:r>
      <w:bookmarkStart w:id="81" w:name="_Hlk81469582"/>
      <w:r w:rsidR="00F84C00" w:rsidRPr="00F1714B">
        <w:rPr>
          <w:rFonts w:eastAsia="Calibri" w:cs="Times New Roman"/>
          <w:bCs/>
          <w:szCs w:val="26"/>
        </w:rPr>
        <w:t>Accordingly, we take no further action to modify our prior determination regarding Section 64.62 in Chapter 64 of Title 52 of the Pa. Code in the final-form regulation set forth in the Annex.</w:t>
      </w:r>
    </w:p>
    <w:bookmarkEnd w:id="80"/>
    <w:bookmarkEnd w:id="81"/>
    <w:p w14:paraId="4D0026EE" w14:textId="77777777" w:rsidR="00F84C00" w:rsidRPr="00F1714B" w:rsidRDefault="00F84C00" w:rsidP="00F84C00">
      <w:pPr>
        <w:spacing w:line="240" w:lineRule="auto"/>
        <w:rPr>
          <w:rFonts w:eastAsia="Calibri" w:cs="Times New Roman"/>
          <w:szCs w:val="26"/>
        </w:rPr>
      </w:pPr>
    </w:p>
    <w:p w14:paraId="19E25A8B" w14:textId="77777777" w:rsidR="00F84C00" w:rsidRPr="00F1714B" w:rsidRDefault="00F84C00" w:rsidP="00977817">
      <w:pPr>
        <w:widowControl w:val="0"/>
        <w:spacing w:line="240" w:lineRule="auto"/>
        <w:ind w:left="720" w:firstLine="720"/>
        <w:rPr>
          <w:rFonts w:eastAsia="Calibri" w:cs="Times New Roman"/>
          <w:b/>
          <w:bCs/>
          <w:szCs w:val="26"/>
        </w:rPr>
      </w:pPr>
      <w:r w:rsidRPr="00F1714B">
        <w:rPr>
          <w:rFonts w:eastAsia="Calibri" w:cs="Times New Roman"/>
          <w:b/>
          <w:bCs/>
          <w:szCs w:val="26"/>
        </w:rPr>
        <w:t>3.</w:t>
      </w:r>
      <w:r w:rsidRPr="00F1714B">
        <w:rPr>
          <w:rFonts w:eastAsia="Calibri" w:cs="Times New Roman"/>
          <w:b/>
          <w:bCs/>
          <w:szCs w:val="26"/>
        </w:rPr>
        <w:tab/>
        <w:t xml:space="preserve">52 Pa. Code § 64.63 </w:t>
      </w:r>
    </w:p>
    <w:p w14:paraId="1BB8576C" w14:textId="77777777" w:rsidR="00F84C00" w:rsidRPr="00F1714B" w:rsidRDefault="00F84C00" w:rsidP="00977817">
      <w:pPr>
        <w:widowControl w:val="0"/>
        <w:spacing w:line="240" w:lineRule="auto"/>
        <w:ind w:left="1440" w:firstLine="720"/>
        <w:rPr>
          <w:rFonts w:eastAsia="Calibri" w:cs="Times New Roman"/>
          <w:b/>
          <w:bCs/>
          <w:szCs w:val="26"/>
        </w:rPr>
      </w:pPr>
      <w:r w:rsidRPr="00F1714B">
        <w:rPr>
          <w:rFonts w:eastAsia="Calibri" w:cs="Times New Roman"/>
          <w:b/>
          <w:bCs/>
          <w:szCs w:val="26"/>
        </w:rPr>
        <w:t>(Unauthorized suspension of service)</w:t>
      </w:r>
    </w:p>
    <w:p w14:paraId="09FE844F" w14:textId="77777777" w:rsidR="00F84C00" w:rsidRPr="00F1714B" w:rsidRDefault="00F84C00" w:rsidP="00977817">
      <w:pPr>
        <w:widowControl w:val="0"/>
        <w:spacing w:line="240" w:lineRule="auto"/>
        <w:rPr>
          <w:rFonts w:eastAsia="Calibri" w:cs="Times New Roman"/>
          <w:szCs w:val="26"/>
        </w:rPr>
      </w:pPr>
    </w:p>
    <w:p w14:paraId="0426756A" w14:textId="432A9B6B" w:rsidR="00F84C00" w:rsidRPr="00F1714B" w:rsidRDefault="00F84C00" w:rsidP="00977817">
      <w:pPr>
        <w:widowControl w:val="0"/>
        <w:tabs>
          <w:tab w:val="left" w:pos="720"/>
          <w:tab w:val="left" w:pos="1440"/>
        </w:tabs>
        <w:rPr>
          <w:rFonts w:eastAsia="Calibri" w:cs="Times New Roman"/>
          <w:bCs/>
          <w:szCs w:val="26"/>
        </w:rPr>
      </w:pPr>
      <w:r w:rsidRPr="00F1714B">
        <w:rPr>
          <w:rFonts w:eastAsia="Calibri" w:cs="Times New Roman"/>
          <w:bCs/>
          <w:szCs w:val="26"/>
        </w:rPr>
        <w:tab/>
        <w:t>Section 64.63 identifies the reasons for which “basic service may not be suspended, and a suspension notice may not be sent</w:t>
      </w:r>
      <w:r w:rsidR="00341730" w:rsidRPr="00F1714B">
        <w:rPr>
          <w:rFonts w:eastAsia="Calibri" w:cs="Times New Roman"/>
          <w:bCs/>
          <w:szCs w:val="26"/>
        </w:rPr>
        <w:t>[.]”  This</w:t>
      </w:r>
      <w:r w:rsidRPr="00F1714B">
        <w:rPr>
          <w:rFonts w:eastAsia="Calibri" w:cs="Times New Roman"/>
          <w:bCs/>
          <w:szCs w:val="26"/>
        </w:rPr>
        <w:t xml:space="preserve"> regulation, except for subsection (10) addressing medical certifications, </w:t>
      </w:r>
      <w:r w:rsidR="00883FB1" w:rsidRPr="00F1714B">
        <w:rPr>
          <w:rFonts w:eastAsia="Calibri" w:cs="Times New Roman"/>
          <w:bCs/>
          <w:szCs w:val="26"/>
        </w:rPr>
        <w:t>was</w:t>
      </w:r>
      <w:r w:rsidRPr="00F1714B">
        <w:rPr>
          <w:rFonts w:eastAsia="Calibri" w:cs="Times New Roman"/>
          <w:bCs/>
          <w:szCs w:val="26"/>
        </w:rPr>
        <w:t xml:space="preserve"> temporarily waived for Verizon in our </w:t>
      </w:r>
      <w:r w:rsidRPr="00F1714B">
        <w:rPr>
          <w:rFonts w:eastAsia="Calibri" w:cs="Times New Roman"/>
          <w:bCs/>
          <w:i/>
          <w:iCs/>
          <w:szCs w:val="26"/>
        </w:rPr>
        <w:t>Reclassification Order</w:t>
      </w:r>
      <w:r w:rsidRPr="00F1714B">
        <w:rPr>
          <w:rFonts w:eastAsia="Calibri" w:cs="Times New Roman"/>
          <w:bCs/>
          <w:szCs w:val="26"/>
        </w:rPr>
        <w:t xml:space="preserve">.  </w:t>
      </w:r>
    </w:p>
    <w:p w14:paraId="21997200" w14:textId="58C4EA3F"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Cs/>
          <w:szCs w:val="26"/>
        </w:rPr>
        <w:lastRenderedPageBreak/>
        <w:tab/>
        <w:t xml:space="preserve">In the </w:t>
      </w:r>
      <w:r w:rsidRPr="00F1714B">
        <w:rPr>
          <w:rFonts w:eastAsia="Calibri" w:cs="Times New Roman"/>
          <w:bCs/>
          <w:i/>
          <w:iCs/>
          <w:szCs w:val="26"/>
        </w:rPr>
        <w:t>NPRM Order</w:t>
      </w:r>
      <w:r w:rsidRPr="00F1714B">
        <w:rPr>
          <w:rFonts w:eastAsia="Calibri" w:cs="Times New Roman"/>
          <w:bCs/>
          <w:szCs w:val="26"/>
        </w:rPr>
        <w:t xml:space="preserve">, we stated that we did </w:t>
      </w:r>
      <w:r w:rsidR="006B1573" w:rsidRPr="00F1714B">
        <w:rPr>
          <w:rFonts w:eastAsia="Calibri" w:cs="Times New Roman"/>
          <w:bCs/>
          <w:szCs w:val="26"/>
        </w:rPr>
        <w:t xml:space="preserve">not </w:t>
      </w:r>
      <w:r w:rsidRPr="00F1714B">
        <w:rPr>
          <w:rFonts w:eastAsia="Calibri" w:cs="Times New Roman"/>
          <w:bCs/>
          <w:szCs w:val="26"/>
        </w:rPr>
        <w:t xml:space="preserve">believe the processes and procedures governing unauthorized suspensions for residential services, including basic local exchange services, should be governed by different standards when and where the same services are provided in competitive and </w:t>
      </w:r>
      <w:r w:rsidR="00883FB1" w:rsidRPr="00F1714B">
        <w:rPr>
          <w:rFonts w:eastAsia="Calibri" w:cs="Times New Roman"/>
          <w:bCs/>
          <w:szCs w:val="26"/>
        </w:rPr>
        <w:t>noncompetitive</w:t>
      </w:r>
      <w:r w:rsidRPr="00F1714B">
        <w:rPr>
          <w:rFonts w:eastAsia="Calibri" w:cs="Times New Roman"/>
          <w:bCs/>
          <w:szCs w:val="26"/>
        </w:rPr>
        <w:t xml:space="preserve"> wire centers by the same telecommunications utility.  Furthermore, we stated it </w:t>
      </w:r>
      <w:r w:rsidR="00A24DBF" w:rsidRPr="00F1714B">
        <w:rPr>
          <w:rFonts w:eastAsia="Calibri" w:cs="Times New Roman"/>
          <w:bCs/>
          <w:szCs w:val="26"/>
        </w:rPr>
        <w:t xml:space="preserve">was </w:t>
      </w:r>
      <w:r w:rsidRPr="00F1714B">
        <w:rPr>
          <w:rFonts w:eastAsia="Calibri" w:cs="Times New Roman"/>
          <w:bCs/>
          <w:szCs w:val="26"/>
        </w:rPr>
        <w:t xml:space="preserve">unclear how potentially differing standards for dealing with unauthorized suspensions would operate with respect to select residential customer groups in the competitive and noncompetitive wire centers </w:t>
      </w:r>
      <w:r w:rsidR="00A24DBF" w:rsidRPr="00F1714B">
        <w:rPr>
          <w:rFonts w:eastAsia="Calibri" w:cs="Times New Roman"/>
          <w:bCs/>
          <w:szCs w:val="26"/>
        </w:rPr>
        <w:t xml:space="preserve">or equivalent geographic areas </w:t>
      </w:r>
      <w:r w:rsidRPr="00F1714B">
        <w:rPr>
          <w:rFonts w:eastAsia="Calibri" w:cs="Times New Roman"/>
          <w:bCs/>
          <w:szCs w:val="26"/>
        </w:rPr>
        <w:t>of the same utility, e.g., low-income consumers and households that are eligible for Lifeline services.  For these reasons, we conclude</w:t>
      </w:r>
      <w:r w:rsidR="00A24DBF" w:rsidRPr="00F1714B">
        <w:rPr>
          <w:rFonts w:eastAsia="Calibri" w:cs="Times New Roman"/>
          <w:bCs/>
          <w:szCs w:val="26"/>
        </w:rPr>
        <w:t>d</w:t>
      </w:r>
      <w:r w:rsidRPr="00F1714B">
        <w:rPr>
          <w:rFonts w:eastAsia="Calibri" w:cs="Times New Roman"/>
          <w:bCs/>
          <w:szCs w:val="26"/>
        </w:rPr>
        <w:t xml:space="preserve"> that the uniformity of treatment of unauthorized suspensions </w:t>
      </w:r>
      <w:r w:rsidR="006B1573" w:rsidRPr="00F1714B">
        <w:rPr>
          <w:rFonts w:eastAsia="Calibri" w:cs="Times New Roman"/>
          <w:bCs/>
          <w:szCs w:val="26"/>
        </w:rPr>
        <w:t xml:space="preserve">was </w:t>
      </w:r>
      <w:r w:rsidRPr="00F1714B">
        <w:rPr>
          <w:rFonts w:eastAsia="Calibri" w:cs="Times New Roman"/>
          <w:bCs/>
          <w:szCs w:val="26"/>
        </w:rPr>
        <w:t>a better resolution, and we proposed to retain the Section 64.63 regulation for all geographic areas.</w:t>
      </w:r>
    </w:p>
    <w:p w14:paraId="16B732C2" w14:textId="77777777" w:rsidR="00F84C00" w:rsidRPr="00F1714B" w:rsidRDefault="00F84C00" w:rsidP="00F84C00">
      <w:pPr>
        <w:keepNext/>
        <w:keepLines/>
        <w:tabs>
          <w:tab w:val="left" w:pos="720"/>
          <w:tab w:val="left" w:pos="1440"/>
        </w:tabs>
        <w:rPr>
          <w:rFonts w:eastAsia="Calibri" w:cs="Times New Roman"/>
          <w:bCs/>
          <w:szCs w:val="26"/>
        </w:rPr>
      </w:pPr>
    </w:p>
    <w:p w14:paraId="0D22FE44" w14:textId="77777777" w:rsidR="00F84C00" w:rsidRPr="00F1714B" w:rsidRDefault="00F84C00" w:rsidP="00311547">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12813C9D" w14:textId="77777777" w:rsidR="00F84C00" w:rsidRPr="00F1714B" w:rsidRDefault="00F84C00" w:rsidP="00F84C00">
      <w:pPr>
        <w:rPr>
          <w:rFonts w:eastAsia="Calibri" w:cs="Times New Roman"/>
        </w:rPr>
      </w:pPr>
      <w:r w:rsidRPr="00F1714B">
        <w:rPr>
          <w:rFonts w:eastAsia="Calibri" w:cs="Times New Roman"/>
          <w:b/>
          <w:szCs w:val="26"/>
        </w:rPr>
        <w:tab/>
      </w:r>
      <w:r w:rsidRPr="00F1714B">
        <w:rPr>
          <w:rFonts w:eastAsia="Calibri" w:cs="Times New Roman"/>
          <w:bCs/>
          <w:szCs w:val="26"/>
        </w:rPr>
        <w:t>The</w:t>
      </w:r>
      <w:r w:rsidRPr="00F1714B">
        <w:rPr>
          <w:rFonts w:eastAsia="Calibri" w:cs="Times New Roman"/>
          <w:b/>
          <w:szCs w:val="26"/>
        </w:rPr>
        <w:t xml:space="preserve"> </w:t>
      </w:r>
      <w:r w:rsidRPr="00F1714B">
        <w:rPr>
          <w:rFonts w:eastAsia="Calibri" w:cs="Times New Roman"/>
        </w:rPr>
        <w:t>OCA supports the Commission’s proposal to retain this rule in all geographic areas. OCA Comments at 31-32.</w:t>
      </w:r>
    </w:p>
    <w:p w14:paraId="02FF1893" w14:textId="77777777" w:rsidR="00F84C00" w:rsidRPr="00F1714B" w:rsidRDefault="00F84C00" w:rsidP="00F84C00">
      <w:pPr>
        <w:rPr>
          <w:rFonts w:eastAsia="Calibri" w:cs="Times New Roman"/>
        </w:rPr>
      </w:pPr>
    </w:p>
    <w:p w14:paraId="0F5E6219" w14:textId="77777777" w:rsidR="00F84C00" w:rsidRPr="00F1714B" w:rsidRDefault="00F84C00" w:rsidP="001B63B1">
      <w:pPr>
        <w:ind w:firstLine="720"/>
        <w:rPr>
          <w:rFonts w:eastAsia="Calibri" w:cs="Times New Roman"/>
        </w:rPr>
      </w:pPr>
      <w:r w:rsidRPr="00F1714B">
        <w:rPr>
          <w:rFonts w:eastAsia="Calibri" w:cs="Times New Roman"/>
        </w:rPr>
        <w:t>TCC/CCL propose that the Commission modify its proposed language for this rule to recognize that the Commission previously waived certain provisions relative to bundled service packages.  TCC/CCL Comments at 28.</w:t>
      </w:r>
    </w:p>
    <w:p w14:paraId="32E61062" w14:textId="77777777" w:rsidR="00F84C00" w:rsidRPr="00F1714B" w:rsidRDefault="00F84C00" w:rsidP="001B63B1">
      <w:pPr>
        <w:rPr>
          <w:rFonts w:eastAsia="Calibri" w:cs="Times New Roman"/>
          <w:b/>
          <w:szCs w:val="26"/>
        </w:rPr>
      </w:pPr>
    </w:p>
    <w:p w14:paraId="3F0F4C07" w14:textId="77777777" w:rsidR="00F84C00" w:rsidRPr="00F1714B" w:rsidRDefault="00F84C00" w:rsidP="001B63B1">
      <w:pPr>
        <w:keepNext/>
        <w:keepLines/>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8E48CDF" w14:textId="17CC0468"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Cs/>
          <w:szCs w:val="26"/>
        </w:rPr>
        <w:tab/>
        <w:t>OCA notes that the regulation protects against unauthorized suspension of service for nonpayment of other telephone services or use of suspension to collect unpaid charges, from four or more years earlier.  Also, OCA cites subsection (7) stating that basic local service is protected from suspension, based upon nonpayment by a third party</w:t>
      </w:r>
      <w:r w:rsidR="00A24DBF" w:rsidRPr="00F1714B">
        <w:rPr>
          <w:rFonts w:eastAsia="Calibri" w:cs="Times New Roman"/>
          <w:bCs/>
          <w:szCs w:val="26"/>
        </w:rPr>
        <w:t>,</w:t>
      </w:r>
      <w:r w:rsidRPr="00F1714B">
        <w:rPr>
          <w:rFonts w:eastAsia="Calibri" w:cs="Times New Roman"/>
          <w:bCs/>
          <w:szCs w:val="26"/>
        </w:rPr>
        <w:t xml:space="preserve"> unless a court order or administrative agency establishes the customer is legally obligated to pay the outstanding balance.  OCA Comments at 41-42.  </w:t>
      </w:r>
    </w:p>
    <w:p w14:paraId="02FD292C" w14:textId="77777777" w:rsidR="00F84C00" w:rsidRPr="00F1714B" w:rsidRDefault="00F84C00" w:rsidP="00F84C00">
      <w:pPr>
        <w:tabs>
          <w:tab w:val="left" w:pos="720"/>
          <w:tab w:val="left" w:pos="1440"/>
        </w:tabs>
        <w:rPr>
          <w:rFonts w:eastAsia="Calibri" w:cs="Times New Roman"/>
          <w:bCs/>
          <w:szCs w:val="26"/>
        </w:rPr>
      </w:pPr>
    </w:p>
    <w:p w14:paraId="45212E83" w14:textId="0CEA96F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lastRenderedPageBreak/>
        <w:tab/>
        <w:t>OCA argues that that the preservation of Section</w:t>
      </w:r>
      <w:r w:rsidR="006B1573" w:rsidRPr="00F1714B">
        <w:rPr>
          <w:rFonts w:eastAsia="Calibri" w:cs="Times New Roman"/>
          <w:bCs/>
          <w:szCs w:val="26"/>
        </w:rPr>
        <w:t>s</w:t>
      </w:r>
      <w:r w:rsidRPr="00F1714B">
        <w:rPr>
          <w:rFonts w:eastAsia="Calibri" w:cs="Times New Roman"/>
          <w:bCs/>
          <w:szCs w:val="26"/>
        </w:rPr>
        <w:t xml:space="preserve"> 64.63(1) through (9) provides consumer protections by preventing LECs from using suspension of residential basic exchange services to collect payments owed for other services, owed by other parties, or that may have already been written off.  OCA recommends that the Commission preserve the regulation arguing that the regulation provides important consumer protections that should apply in all areas, competitive or noncompetitive.  OCA Comments at 42.  </w:t>
      </w:r>
    </w:p>
    <w:p w14:paraId="250233E8" w14:textId="77777777" w:rsidR="00F84C00" w:rsidRPr="00F1714B" w:rsidRDefault="00F84C00" w:rsidP="00F84C00">
      <w:pPr>
        <w:tabs>
          <w:tab w:val="left" w:pos="720"/>
          <w:tab w:val="left" w:pos="1440"/>
        </w:tabs>
        <w:rPr>
          <w:rFonts w:eastAsia="Calibri" w:cs="Times New Roman"/>
          <w:bCs/>
          <w:szCs w:val="26"/>
        </w:rPr>
      </w:pPr>
    </w:p>
    <w:p w14:paraId="608E0D5E" w14:textId="1EAE48D7" w:rsidR="00F84C00" w:rsidRPr="00F1714B" w:rsidRDefault="00F84C00" w:rsidP="00F84C00">
      <w:pPr>
        <w:rPr>
          <w:rFonts w:eastAsia="Calibri" w:cs="Times New Roman"/>
          <w:szCs w:val="26"/>
        </w:rPr>
      </w:pPr>
      <w:r w:rsidRPr="00F1714B">
        <w:rPr>
          <w:rFonts w:eastAsia="Calibri" w:cs="Times New Roman"/>
          <w:szCs w:val="26"/>
        </w:rPr>
        <w:tab/>
        <w:t xml:space="preserve">We agree with OCA’s position.  In addition to our rejection of a two-tiered regulatory approach, we do not believe processes and procedures governing unauthorized suspensions for residential services, including basic local exchange services, should be governed by different standards when and where the same services are provided in competitive and </w:t>
      </w:r>
      <w:r w:rsidR="006B1573" w:rsidRPr="00F1714B">
        <w:rPr>
          <w:rFonts w:eastAsia="Calibri" w:cs="Times New Roman"/>
          <w:szCs w:val="26"/>
        </w:rPr>
        <w:t>noncompetitive</w:t>
      </w:r>
      <w:r w:rsidRPr="00F1714B">
        <w:rPr>
          <w:rFonts w:eastAsia="Calibri" w:cs="Times New Roman"/>
          <w:szCs w:val="26"/>
        </w:rPr>
        <w:t xml:space="preserve"> wire centers by the same telecommunications utility.  Furthermore, it is unclear how potentially differing standards for dealing with unauthorized suspensions would operate with respect to select residential customer groups in the competitive and noncompetitive wire centers of the same utility, e.g., low­income consumers and households that are eligible for Lifeline services.  For these reasons, we conclude that the uniformity of treatment of unauthorized suspensions is a better resolution, and we propose to retain the Section 64.63 regulation for all geographic areas.</w:t>
      </w:r>
    </w:p>
    <w:p w14:paraId="20EA5999" w14:textId="77777777" w:rsidR="006B1573" w:rsidRPr="00F1714B" w:rsidRDefault="006B1573" w:rsidP="00F84C00">
      <w:pPr>
        <w:rPr>
          <w:rFonts w:eastAsia="Calibri" w:cs="Times New Roman"/>
          <w:szCs w:val="26"/>
        </w:rPr>
      </w:pPr>
    </w:p>
    <w:p w14:paraId="44A3B0EE" w14:textId="77777777" w:rsidR="00F84C00" w:rsidRPr="00F1714B" w:rsidRDefault="00F84C00" w:rsidP="00F84C00">
      <w:pPr>
        <w:rPr>
          <w:rFonts w:eastAsia="Calibri" w:cs="Times New Roman"/>
          <w:bCs/>
          <w:szCs w:val="26"/>
        </w:rPr>
      </w:pPr>
      <w:r w:rsidRPr="00F1714B">
        <w:rPr>
          <w:rFonts w:eastAsia="Calibri" w:cs="Times New Roman"/>
          <w:szCs w:val="26"/>
        </w:rPr>
        <w:tab/>
        <w:t>We reject TCC/CCL’s suggestion to modify this regulation as unnecessary.  A</w:t>
      </w:r>
      <w:r w:rsidRPr="00F1714B">
        <w:rPr>
          <w:rFonts w:eastAsia="Calibri" w:cs="Times New Roman"/>
          <w:bCs/>
          <w:szCs w:val="26"/>
        </w:rPr>
        <w:t>ccordingly, we take no further action to modify our prior determination regarding Section 64.63 in Chapter 64 of Title 52 of the Pa. Code in the final-form regulation set forth in the Annex.</w:t>
      </w:r>
    </w:p>
    <w:p w14:paraId="56C775DF" w14:textId="77777777" w:rsidR="00F84C00" w:rsidRPr="00F1714B" w:rsidRDefault="00F84C00" w:rsidP="00F84C00">
      <w:pPr>
        <w:rPr>
          <w:rFonts w:eastAsia="Calibri" w:cs="Times New Roman"/>
          <w:b/>
          <w:szCs w:val="26"/>
        </w:rPr>
      </w:pPr>
    </w:p>
    <w:p w14:paraId="3D01DCEE" w14:textId="77777777" w:rsidR="00F84C00" w:rsidRPr="00F1714B" w:rsidRDefault="00F84C00" w:rsidP="001B63B1">
      <w:pPr>
        <w:rPr>
          <w:rFonts w:eastAsia="Calibri" w:cs="Times New Roman"/>
          <w:b/>
          <w:bCs/>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bCs/>
          <w:szCs w:val="26"/>
        </w:rPr>
        <w:t>4.</w:t>
      </w:r>
      <w:r w:rsidRPr="00F1714B">
        <w:rPr>
          <w:rFonts w:eastAsia="Calibri" w:cs="Times New Roman"/>
          <w:b/>
          <w:bCs/>
          <w:szCs w:val="26"/>
        </w:rPr>
        <w:tab/>
        <w:t>52 Pa. Code § 64.71 (General notice provisions)</w:t>
      </w:r>
    </w:p>
    <w:p w14:paraId="0B85660A"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bCs/>
          <w:szCs w:val="26"/>
        </w:rPr>
        <w:t xml:space="preserve">In the </w:t>
      </w:r>
      <w:r w:rsidRPr="00F1714B">
        <w:rPr>
          <w:rFonts w:eastAsia="Calibri" w:cs="Times New Roman"/>
          <w:bCs/>
          <w:i/>
          <w:szCs w:val="26"/>
        </w:rPr>
        <w:t>Reclassification Order</w:t>
      </w:r>
      <w:r w:rsidRPr="00F1714B">
        <w:rPr>
          <w:rFonts w:eastAsia="Calibri" w:cs="Times New Roman"/>
          <w:bCs/>
          <w:szCs w:val="26"/>
        </w:rPr>
        <w:t xml:space="preserve">, the Commission retained Section 64.71 containing the notice requirements prior to suspension of service.  The Commission considered the </w:t>
      </w:r>
      <w:r w:rsidRPr="00F1714B">
        <w:rPr>
          <w:rFonts w:eastAsia="Calibri" w:cs="Times New Roman"/>
          <w:bCs/>
          <w:szCs w:val="26"/>
        </w:rPr>
        <w:lastRenderedPageBreak/>
        <w:t>regulation relevant for application in a competitive environment.</w:t>
      </w:r>
      <w:r w:rsidRPr="00F1714B">
        <w:rPr>
          <w:rFonts w:eastAsia="Calibri" w:cs="Times New Roman"/>
          <w:bCs/>
          <w:szCs w:val="26"/>
          <w:vertAlign w:val="superscript"/>
        </w:rPr>
        <w:footnoteReference w:id="96"/>
      </w:r>
      <w:r w:rsidRPr="00F1714B">
        <w:rPr>
          <w:rFonts w:eastAsia="Calibri" w:cs="Times New Roman"/>
          <w:bCs/>
          <w:szCs w:val="26"/>
        </w:rPr>
        <w:t xml:space="preserve">  In similar vein, in the </w:t>
      </w:r>
      <w:r w:rsidRPr="00F1714B">
        <w:rPr>
          <w:rFonts w:eastAsia="Calibri" w:cs="Times New Roman"/>
          <w:bCs/>
          <w:i/>
          <w:iCs/>
          <w:szCs w:val="26"/>
        </w:rPr>
        <w:t>NPRM Order</w:t>
      </w:r>
      <w:r w:rsidRPr="00F1714B">
        <w:rPr>
          <w:rFonts w:eastAsia="Calibri" w:cs="Times New Roman"/>
          <w:bCs/>
          <w:szCs w:val="26"/>
        </w:rPr>
        <w:t xml:space="preserve">, we </w:t>
      </w:r>
      <w:r w:rsidRPr="00F1714B">
        <w:rPr>
          <w:rFonts w:eastAsia="Calibri" w:cs="Times New Roman"/>
          <w:szCs w:val="26"/>
        </w:rPr>
        <w:t>concluded that the uniformity of treatment of unauthorized suspensions is a better resolution, and thus, we proposed to retain Sections 64.71 as it presently exists for all geographic areas.</w:t>
      </w:r>
    </w:p>
    <w:p w14:paraId="17A83D5D" w14:textId="77777777" w:rsidR="00F84C00" w:rsidRPr="00F1714B" w:rsidRDefault="00F84C00" w:rsidP="00F84C00">
      <w:pPr>
        <w:tabs>
          <w:tab w:val="left" w:pos="720"/>
          <w:tab w:val="left" w:pos="1440"/>
        </w:tabs>
        <w:rPr>
          <w:rFonts w:eastAsia="Calibri" w:cs="Times New Roman"/>
          <w:bCs/>
          <w:szCs w:val="26"/>
        </w:rPr>
      </w:pPr>
    </w:p>
    <w:p w14:paraId="2C46E750" w14:textId="77777777" w:rsidR="00F84C00" w:rsidRPr="00F1714B" w:rsidRDefault="00F84C00" w:rsidP="001B63B1">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3724A953" w14:textId="77777777" w:rsidR="00F84C00" w:rsidRPr="00F1714B" w:rsidRDefault="00F84C00" w:rsidP="001B63B1">
      <w:pPr>
        <w:ind w:firstLine="720"/>
        <w:rPr>
          <w:rFonts w:eastAsia="Calibri" w:cs="Times New Roman"/>
        </w:rPr>
      </w:pPr>
      <w:r w:rsidRPr="00F1714B">
        <w:rPr>
          <w:rFonts w:eastAsia="Calibri" w:cs="Times New Roman"/>
        </w:rPr>
        <w:t>The OCA supports the Commission’s proposal to retain this rule in all geographic areas. OCA Comments at 32.</w:t>
      </w:r>
    </w:p>
    <w:p w14:paraId="1480B703" w14:textId="77777777" w:rsidR="00F84C00" w:rsidRPr="00F1714B" w:rsidRDefault="00F84C00" w:rsidP="001B63B1">
      <w:pPr>
        <w:rPr>
          <w:rFonts w:eastAsia="Calibri" w:cs="Times New Roman"/>
          <w:b/>
          <w:szCs w:val="26"/>
        </w:rPr>
      </w:pPr>
    </w:p>
    <w:p w14:paraId="28F9AA1C" w14:textId="77777777" w:rsidR="00F84C00" w:rsidRPr="00F1714B" w:rsidRDefault="00F84C00" w:rsidP="001B63B1">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0CFFBA9C" w14:textId="0CA49570" w:rsidR="00F84C00" w:rsidRPr="00F1714B" w:rsidRDefault="00F84C00" w:rsidP="00F84C00">
      <w:pPr>
        <w:spacing w:after="200"/>
        <w:ind w:firstLine="720"/>
        <w:rPr>
          <w:rFonts w:eastAsia="Calibri" w:cs="Times New Roman"/>
          <w:bCs/>
          <w:szCs w:val="26"/>
        </w:rPr>
      </w:pPr>
      <w:r w:rsidRPr="00F1714B">
        <w:rPr>
          <w:rFonts w:eastAsia="Calibri" w:cs="Times New Roman"/>
          <w:bCs/>
          <w:szCs w:val="26"/>
        </w:rPr>
        <w:t xml:space="preserve">The Commission will adopt our proposal to retain Section 64.71 in Chapter 64 of Title 52 of the Pa. Code for competitive and noncompetitive local calling areas.  </w:t>
      </w:r>
      <w:r w:rsidR="009B4883" w:rsidRPr="00F1714B">
        <w:rPr>
          <w:rFonts w:eastAsia="Calibri" w:cs="Times New Roman"/>
          <w:bCs/>
          <w:szCs w:val="26"/>
        </w:rPr>
        <w:t>However, consistent with our goal of modernizing our rules to reflect current technology, we shall modify Section 64.71</w:t>
      </w:r>
      <w:r w:rsidR="00AB3DEE" w:rsidRPr="00F1714B">
        <w:rPr>
          <w:rFonts w:eastAsia="Calibri" w:cs="Times New Roman"/>
          <w:bCs/>
          <w:szCs w:val="26"/>
        </w:rPr>
        <w:t xml:space="preserve"> in the final-form regulation</w:t>
      </w:r>
      <w:r w:rsidR="009B4883" w:rsidRPr="00F1714B">
        <w:rPr>
          <w:rFonts w:eastAsia="Calibri" w:cs="Times New Roman"/>
          <w:bCs/>
          <w:szCs w:val="26"/>
        </w:rPr>
        <w:t xml:space="preserve"> to permit electronic transmittal of telephone suspension notices as long as the customer consents specifically to receiving </w:t>
      </w:r>
      <w:r w:rsidR="00CE3244" w:rsidRPr="00F1714B">
        <w:rPr>
          <w:rFonts w:eastAsia="Calibri" w:cs="Times New Roman"/>
          <w:bCs/>
          <w:szCs w:val="26"/>
        </w:rPr>
        <w:t>suspens</w:t>
      </w:r>
      <w:r w:rsidR="009B4883" w:rsidRPr="00F1714B">
        <w:rPr>
          <w:rFonts w:eastAsia="Calibri" w:cs="Times New Roman"/>
          <w:bCs/>
          <w:szCs w:val="26"/>
        </w:rPr>
        <w:t>ion notices electronically.  We note that TCC/CCL recommends allowing electronic transmittal of termination notices</w:t>
      </w:r>
      <w:r w:rsidR="00CE3244" w:rsidRPr="00F1714B">
        <w:rPr>
          <w:rFonts w:eastAsia="Calibri" w:cs="Times New Roman"/>
          <w:bCs/>
          <w:szCs w:val="26"/>
        </w:rPr>
        <w:t xml:space="preserve"> in Section 64.123</w:t>
      </w:r>
      <w:r w:rsidR="009B4883" w:rsidRPr="00F1714B">
        <w:rPr>
          <w:rFonts w:eastAsia="Calibri" w:cs="Times New Roman"/>
          <w:bCs/>
          <w:szCs w:val="26"/>
        </w:rPr>
        <w:t xml:space="preserve">, TCC/CCL Comments at 28, </w:t>
      </w:r>
      <w:r w:rsidR="00004814" w:rsidRPr="00F1714B">
        <w:rPr>
          <w:rFonts w:eastAsia="Calibri" w:cs="Times New Roman"/>
          <w:bCs/>
          <w:szCs w:val="26"/>
        </w:rPr>
        <w:t xml:space="preserve">we agree with that recommendation, </w:t>
      </w:r>
      <w:r w:rsidR="009B4883" w:rsidRPr="00F1714B">
        <w:rPr>
          <w:rFonts w:eastAsia="Calibri" w:cs="Times New Roman"/>
          <w:bCs/>
          <w:szCs w:val="26"/>
        </w:rPr>
        <w:t xml:space="preserve">and we see no reason why we cannot and should not allow the same for suspension notices. We further note that our rules allow a LEC to transmit bills electronically so this outcome is entirely consistent what we allow for billing.  </w:t>
      </w:r>
    </w:p>
    <w:p w14:paraId="21059ED0" w14:textId="77777777" w:rsidR="00E37774" w:rsidRPr="00F1714B" w:rsidRDefault="00E37774" w:rsidP="00F84C00">
      <w:pPr>
        <w:spacing w:after="200"/>
        <w:ind w:firstLine="720"/>
        <w:rPr>
          <w:rFonts w:eastAsia="Calibri" w:cs="Times New Roman"/>
          <w:bCs/>
          <w:szCs w:val="26"/>
        </w:rPr>
      </w:pPr>
    </w:p>
    <w:p w14:paraId="49A69C42" w14:textId="77777777" w:rsidR="00F84C00" w:rsidRPr="00F1714B" w:rsidRDefault="00F84C00" w:rsidP="001B63B1">
      <w:pPr>
        <w:keepNext/>
        <w:keepLines/>
        <w:rPr>
          <w:rFonts w:eastAsia="Calibri" w:cs="Times New Roman"/>
          <w:b/>
          <w:bCs/>
          <w:szCs w:val="26"/>
        </w:rPr>
      </w:pPr>
      <w:r w:rsidRPr="00F1714B">
        <w:rPr>
          <w:rFonts w:eastAsia="Calibri" w:cs="Times New Roman"/>
          <w:bCs/>
          <w:szCs w:val="26"/>
        </w:rPr>
        <w:lastRenderedPageBreak/>
        <w:tab/>
      </w:r>
      <w:r w:rsidRPr="00F1714B">
        <w:rPr>
          <w:rFonts w:eastAsia="Calibri" w:cs="Times New Roman"/>
          <w:b/>
          <w:szCs w:val="26"/>
        </w:rPr>
        <w:tab/>
      </w:r>
      <w:r w:rsidRPr="00F1714B">
        <w:rPr>
          <w:rFonts w:eastAsia="Calibri" w:cs="Times New Roman"/>
          <w:b/>
          <w:bCs/>
          <w:szCs w:val="26"/>
        </w:rPr>
        <w:t>5.</w:t>
      </w:r>
      <w:r w:rsidRPr="00F1714B">
        <w:rPr>
          <w:rFonts w:eastAsia="Calibri" w:cs="Times New Roman"/>
          <w:b/>
          <w:bCs/>
          <w:szCs w:val="26"/>
        </w:rPr>
        <w:tab/>
        <w:t>52 Pa. Code § 64.72 (Suspension notice information)</w:t>
      </w:r>
    </w:p>
    <w:p w14:paraId="0A627525" w14:textId="7D264F44" w:rsidR="00F84C00" w:rsidRPr="00F1714B" w:rsidRDefault="00F84C00" w:rsidP="001B63B1">
      <w:pPr>
        <w:keepNext/>
        <w:keepLines/>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bCs/>
          <w:szCs w:val="26"/>
        </w:rPr>
        <w:t>The Commission temporarily waived this regulation for Verizon finding that the provision is no longer necessary in a competitive market.</w:t>
      </w:r>
      <w:r w:rsidRPr="00F1714B">
        <w:rPr>
          <w:rFonts w:eastAsia="Calibri" w:cs="Times New Roman"/>
          <w:bCs/>
          <w:szCs w:val="26"/>
          <w:vertAlign w:val="superscript"/>
        </w:rPr>
        <w:footnoteReference w:id="97"/>
      </w:r>
      <w:r w:rsidRPr="00F1714B">
        <w:rPr>
          <w:rFonts w:eastAsia="Calibri" w:cs="Times New Roman"/>
          <w:bCs/>
          <w:szCs w:val="26"/>
        </w:rPr>
        <w:t xml:space="preserve">  We took this action based on our understanding that the grounds for suspension and termination of service are addressed in Verizon’s Product Guide.  However, in the </w:t>
      </w:r>
      <w:r w:rsidRPr="00F1714B">
        <w:rPr>
          <w:rFonts w:eastAsia="Calibri" w:cs="Times New Roman"/>
          <w:bCs/>
          <w:i/>
          <w:iCs/>
          <w:szCs w:val="26"/>
        </w:rPr>
        <w:t>NPRM Order</w:t>
      </w:r>
      <w:r w:rsidRPr="00F1714B">
        <w:rPr>
          <w:rFonts w:eastAsia="Calibri" w:cs="Times New Roman"/>
          <w:bCs/>
          <w:szCs w:val="26"/>
        </w:rPr>
        <w:t xml:space="preserve">, we determined that there was no compelling reason why suspension notice information for the same residential services should be subject to different standards.  Thus, we proposed to retain the Section 64.72 in all geographic areas.  </w:t>
      </w:r>
    </w:p>
    <w:p w14:paraId="7E34CF93" w14:textId="77777777" w:rsidR="00F84C00" w:rsidRPr="00F1714B" w:rsidRDefault="00F84C00" w:rsidP="001B63B1">
      <w:pPr>
        <w:tabs>
          <w:tab w:val="left" w:pos="720"/>
          <w:tab w:val="left" w:pos="1440"/>
        </w:tabs>
        <w:rPr>
          <w:rFonts w:eastAsia="Calibri" w:cs="Times New Roman"/>
          <w:bCs/>
          <w:szCs w:val="26"/>
        </w:rPr>
      </w:pPr>
    </w:p>
    <w:p w14:paraId="4B0C3103" w14:textId="77777777" w:rsidR="00F84C00" w:rsidRPr="00F1714B" w:rsidRDefault="00F84C00" w:rsidP="001B63B1">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2DC12E9C" w14:textId="77777777" w:rsidR="00F84C00" w:rsidRPr="00F1714B" w:rsidRDefault="00F84C00" w:rsidP="001B63B1">
      <w:pPr>
        <w:ind w:firstLine="720"/>
        <w:rPr>
          <w:rFonts w:eastAsia="Calibri" w:cs="Times New Roman"/>
        </w:rPr>
      </w:pPr>
      <w:r w:rsidRPr="00F1714B">
        <w:rPr>
          <w:rFonts w:eastAsia="Calibri" w:cs="Times New Roman"/>
        </w:rPr>
        <w:t>The OCA supports the Commission’s proposal to retain this rule in all geographic areas, noting that LEC customers “may need clear notice of the steps to take to prevent suspension of service.”  OCA Comments at 32-33.</w:t>
      </w:r>
    </w:p>
    <w:p w14:paraId="6725ED70" w14:textId="77777777" w:rsidR="00F84C00" w:rsidRPr="00F1714B" w:rsidRDefault="00F84C00" w:rsidP="001B63B1">
      <w:pPr>
        <w:rPr>
          <w:rFonts w:eastAsia="Calibri" w:cs="Times New Roman"/>
          <w:b/>
          <w:szCs w:val="26"/>
        </w:rPr>
      </w:pPr>
    </w:p>
    <w:p w14:paraId="3512C891" w14:textId="77777777" w:rsidR="00F84C00" w:rsidRPr="00F1714B" w:rsidRDefault="00F84C00" w:rsidP="001B63B1">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2CA52537" w14:textId="77777777" w:rsidR="00F84C00" w:rsidRPr="00F1714B" w:rsidRDefault="00F84C00" w:rsidP="001B63B1">
      <w:pPr>
        <w:tabs>
          <w:tab w:val="left" w:pos="720"/>
          <w:tab w:val="left" w:pos="1440"/>
        </w:tabs>
        <w:rPr>
          <w:rFonts w:eastAsia="Calibri" w:cs="Times New Roman"/>
          <w:bCs/>
          <w:szCs w:val="26"/>
        </w:rPr>
      </w:pPr>
      <w:r w:rsidRPr="00F1714B">
        <w:rPr>
          <w:rFonts w:eastAsia="Calibri" w:cs="Times New Roman"/>
          <w:bCs/>
          <w:szCs w:val="26"/>
        </w:rPr>
        <w:tab/>
        <w:t xml:space="preserve">  Consistent with our discussion in the </w:t>
      </w:r>
      <w:r w:rsidRPr="00F1714B">
        <w:rPr>
          <w:rFonts w:eastAsia="Calibri" w:cs="Times New Roman"/>
          <w:bCs/>
          <w:i/>
          <w:iCs/>
          <w:szCs w:val="26"/>
        </w:rPr>
        <w:t>NPRM Order</w:t>
      </w:r>
      <w:r w:rsidRPr="00F1714B">
        <w:rPr>
          <w:rFonts w:eastAsia="Calibri" w:cs="Times New Roman"/>
          <w:bCs/>
          <w:szCs w:val="26"/>
        </w:rPr>
        <w:t xml:space="preserve">, we adopt our proposal to retain this regulation for all geographic areas.  </w:t>
      </w:r>
      <w:bookmarkStart w:id="82" w:name="_Hlk81469960"/>
      <w:r w:rsidRPr="00F1714B">
        <w:rPr>
          <w:rFonts w:eastAsia="Calibri" w:cs="Times New Roman"/>
          <w:bCs/>
          <w:szCs w:val="26"/>
        </w:rPr>
        <w:t>Accordingly, we take no further action to modify our prior determination regarding Section 64.72 in Chapter 64 of Title 52 of the Pa. Code in the final-form regulation set forth in the Annex.</w:t>
      </w:r>
    </w:p>
    <w:bookmarkEnd w:id="82"/>
    <w:p w14:paraId="56916DD8" w14:textId="77777777" w:rsidR="00F84C00" w:rsidRPr="00F1714B" w:rsidRDefault="00F84C00" w:rsidP="001B63B1">
      <w:pPr>
        <w:rPr>
          <w:rFonts w:eastAsia="Calibri" w:cs="Times New Roman"/>
          <w:szCs w:val="26"/>
        </w:rPr>
      </w:pPr>
    </w:p>
    <w:p w14:paraId="242FE085" w14:textId="77777777" w:rsidR="00F84C00" w:rsidRPr="00F1714B" w:rsidRDefault="00F84C00" w:rsidP="001B63B1">
      <w:pPr>
        <w:ind w:left="720" w:firstLine="720"/>
        <w:rPr>
          <w:rFonts w:eastAsia="Calibri" w:cs="Times New Roman"/>
          <w:b/>
          <w:bCs/>
          <w:szCs w:val="26"/>
        </w:rPr>
      </w:pPr>
      <w:r w:rsidRPr="00F1714B">
        <w:rPr>
          <w:rFonts w:eastAsia="Calibri" w:cs="Times New Roman"/>
          <w:b/>
          <w:bCs/>
          <w:szCs w:val="26"/>
        </w:rPr>
        <w:t>6.</w:t>
      </w:r>
      <w:r w:rsidRPr="00F1714B">
        <w:rPr>
          <w:rFonts w:eastAsia="Calibri" w:cs="Times New Roman"/>
          <w:b/>
          <w:bCs/>
          <w:szCs w:val="26"/>
        </w:rPr>
        <w:tab/>
        <w:t>52 Pa. Code § 64.73 (Notice when dispute pending)</w:t>
      </w:r>
    </w:p>
    <w:p w14:paraId="33AE2EB5" w14:textId="29501368" w:rsidR="00F84C00" w:rsidRDefault="00F84C00" w:rsidP="001B63B1">
      <w:pPr>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bCs/>
          <w:szCs w:val="26"/>
        </w:rPr>
        <w:t>Section 64.</w:t>
      </w:r>
      <w:r w:rsidRPr="00F1714B">
        <w:rPr>
          <w:rFonts w:eastAsia="Calibri" w:cs="Times New Roman"/>
        </w:rPr>
        <w:t>73</w:t>
      </w:r>
      <w:r w:rsidRPr="00F1714B">
        <w:rPr>
          <w:rFonts w:eastAsia="Calibri" w:cs="Times New Roman"/>
          <w:bCs/>
          <w:szCs w:val="26"/>
        </w:rPr>
        <w:t>(a) and (b) essentially direct that a LEC cannot mail or deliver a notice of suspension if a notice of dispute has been filed and the failure to comply with this requirement shall render the suspension notice “void.”  This regulatory section was temporarily waived for Verizon.</w:t>
      </w:r>
      <w:r w:rsidRPr="00F1714B">
        <w:rPr>
          <w:rFonts w:eastAsia="Calibri" w:cs="Times New Roman"/>
          <w:bCs/>
          <w:szCs w:val="26"/>
          <w:vertAlign w:val="superscript"/>
        </w:rPr>
        <w:footnoteReference w:id="98"/>
      </w:r>
      <w:r w:rsidRPr="00F1714B">
        <w:rPr>
          <w:rFonts w:eastAsia="Calibri" w:cs="Times New Roman"/>
          <w:bCs/>
          <w:szCs w:val="26"/>
        </w:rPr>
        <w:t xml:space="preserve"> </w:t>
      </w:r>
    </w:p>
    <w:p w14:paraId="000558CC" w14:textId="77777777" w:rsidR="00CE5247" w:rsidRPr="00F1714B" w:rsidRDefault="00CE5247" w:rsidP="001B63B1">
      <w:pPr>
        <w:tabs>
          <w:tab w:val="left" w:pos="720"/>
          <w:tab w:val="left" w:pos="1440"/>
        </w:tabs>
        <w:rPr>
          <w:rFonts w:eastAsia="Calibri" w:cs="Times New Roman"/>
          <w:bCs/>
          <w:szCs w:val="26"/>
        </w:rPr>
      </w:pPr>
    </w:p>
    <w:p w14:paraId="637FC119" w14:textId="77777777" w:rsidR="00F84C00" w:rsidRPr="00F1714B" w:rsidRDefault="00F84C00" w:rsidP="00F84C00">
      <w:pPr>
        <w:ind w:firstLine="720"/>
        <w:rPr>
          <w:rFonts w:eastAsia="Calibri" w:cs="Times New Roman"/>
          <w:bCs/>
          <w:szCs w:val="26"/>
        </w:rPr>
      </w:pPr>
      <w:r w:rsidRPr="00F1714B">
        <w:rPr>
          <w:rFonts w:eastAsia="Calibri" w:cs="Times New Roman"/>
          <w:bCs/>
          <w:szCs w:val="26"/>
        </w:rPr>
        <w:lastRenderedPageBreak/>
        <w:t xml:space="preserve">In the </w:t>
      </w:r>
      <w:r w:rsidRPr="00F1714B">
        <w:rPr>
          <w:rFonts w:eastAsia="Calibri" w:cs="Times New Roman"/>
          <w:bCs/>
          <w:i/>
          <w:iCs/>
          <w:szCs w:val="26"/>
        </w:rPr>
        <w:t>NPRM Order</w:t>
      </w:r>
      <w:r w:rsidRPr="00F1714B">
        <w:rPr>
          <w:rFonts w:eastAsia="Calibri" w:cs="Times New Roman"/>
          <w:bCs/>
          <w:szCs w:val="26"/>
        </w:rPr>
        <w:t xml:space="preserve">, we expressed our reluctance to adopt different standards for notices when disputes are pending between essentially the same residential services, including basic local exchange services.  Nonetheless, we determine that the Section 64.73 regulation needed to be simplified.  Therefore, we proposed the following: (1) the </w:t>
      </w:r>
      <w:r w:rsidRPr="00F1714B">
        <w:rPr>
          <w:rFonts w:eastAsia="Calibri" w:cs="Times New Roman"/>
          <w:szCs w:val="26"/>
        </w:rPr>
        <w:t xml:space="preserve">retention of Sections 64.73(a) and (b) </w:t>
      </w:r>
      <w:r w:rsidRPr="00F1714B">
        <w:rPr>
          <w:rFonts w:eastAsia="Calibri" w:cs="Times New Roman"/>
          <w:bCs/>
          <w:szCs w:val="26"/>
        </w:rPr>
        <w:t>for all geographic areas</w:t>
      </w:r>
      <w:r w:rsidRPr="00F1714B">
        <w:rPr>
          <w:rFonts w:eastAsia="Calibri" w:cs="Times New Roman"/>
          <w:szCs w:val="26"/>
        </w:rPr>
        <w:t>; and (2) proposed the elimination of the part “except where toll usage exceeds the following usage in a billing period after the filing of the notice of dispute or informal complaint.”</w:t>
      </w:r>
    </w:p>
    <w:p w14:paraId="371FCD26" w14:textId="77777777" w:rsidR="00F84C00" w:rsidRPr="00F1714B" w:rsidRDefault="00F84C00" w:rsidP="00F84C00">
      <w:pPr>
        <w:rPr>
          <w:rFonts w:eastAsia="Calibri" w:cs="Times New Roman"/>
          <w:bCs/>
          <w:szCs w:val="26"/>
        </w:rPr>
      </w:pPr>
    </w:p>
    <w:p w14:paraId="5A0E0850" w14:textId="77777777" w:rsidR="00F84C00" w:rsidRPr="00F1714B" w:rsidRDefault="00F84C00" w:rsidP="00CE5247">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6761D946" w14:textId="77777777" w:rsidR="00F84C00" w:rsidRPr="00F1714B" w:rsidRDefault="00F84C00" w:rsidP="00CE5247">
      <w:pPr>
        <w:ind w:firstLine="720"/>
        <w:rPr>
          <w:rFonts w:eastAsia="Calibri" w:cs="Times New Roman"/>
        </w:rPr>
      </w:pPr>
      <w:bookmarkStart w:id="83" w:name="_Hlk76566414"/>
      <w:r w:rsidRPr="00F1714B">
        <w:rPr>
          <w:rFonts w:eastAsia="Calibri" w:cs="Times New Roman"/>
        </w:rPr>
        <w:t>IRRC notes that the Commission’s proposed language for this rule eliminates subparts (1) and (2) of subsection 64.73(a), but “does not address existing subsection (3),” and recommends that the Commission “should make the necessary edits to clarify this provision.”  IRRC Comments at 9.</w:t>
      </w:r>
    </w:p>
    <w:p w14:paraId="2FD94812" w14:textId="77777777" w:rsidR="00F84C00" w:rsidRPr="00F1714B" w:rsidRDefault="00F84C00" w:rsidP="00CE5247">
      <w:pPr>
        <w:ind w:firstLine="720"/>
        <w:rPr>
          <w:rFonts w:eastAsia="Calibri" w:cs="Times New Roman"/>
        </w:rPr>
      </w:pPr>
    </w:p>
    <w:p w14:paraId="3DAE94C2" w14:textId="0C82347C" w:rsidR="00F84C00" w:rsidRPr="00F1714B" w:rsidRDefault="00F84C00" w:rsidP="00CE5247">
      <w:pPr>
        <w:ind w:firstLine="720"/>
        <w:rPr>
          <w:rFonts w:eastAsia="Calibri" w:cs="Times New Roman"/>
        </w:rPr>
      </w:pPr>
      <w:r w:rsidRPr="00F1714B">
        <w:rPr>
          <w:rFonts w:eastAsia="Calibri" w:cs="Times New Roman"/>
        </w:rPr>
        <w:t xml:space="preserve">The OCA supports the Commission’s proposal to retain this rule in all geographic areas but modified to eliminate outdated references to “toll usage.” </w:t>
      </w:r>
      <w:bookmarkEnd w:id="83"/>
      <w:r w:rsidRPr="00F1714B">
        <w:rPr>
          <w:rFonts w:eastAsia="Calibri" w:cs="Times New Roman"/>
        </w:rPr>
        <w:t>OCA Comments at 33.  OCA further proposes that the Commission eliminate “toll usage” references in subsection (3) of subpart (a) of this rule, in addition to subparts (1) and (2). OCA Comments at 33.</w:t>
      </w:r>
    </w:p>
    <w:p w14:paraId="6D8DB57C" w14:textId="77777777" w:rsidR="00F84C00" w:rsidRPr="00F1714B" w:rsidRDefault="00F84C00" w:rsidP="00CE5247">
      <w:pPr>
        <w:rPr>
          <w:rFonts w:eastAsia="Calibri" w:cs="Times New Roman"/>
          <w:bCs/>
          <w:szCs w:val="26"/>
        </w:rPr>
      </w:pPr>
    </w:p>
    <w:p w14:paraId="70783C2C" w14:textId="77777777" w:rsidR="00F84C00" w:rsidRPr="00F1714B" w:rsidRDefault="00F84C00" w:rsidP="00CE5247">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4FA95400" w14:textId="77777777" w:rsidR="00F84C00" w:rsidRPr="00F1714B" w:rsidRDefault="00F84C00" w:rsidP="00CE5247">
      <w:pPr>
        <w:tabs>
          <w:tab w:val="left" w:pos="720"/>
          <w:tab w:val="left" w:pos="1440"/>
        </w:tabs>
        <w:rPr>
          <w:rFonts w:eastAsia="Calibri" w:cs="Times New Roman"/>
          <w:bCs/>
          <w:szCs w:val="26"/>
        </w:rPr>
      </w:pPr>
      <w:r w:rsidRPr="00F1714B">
        <w:rPr>
          <w:rFonts w:eastAsia="Calibri" w:cs="Times New Roman"/>
          <w:bCs/>
          <w:szCs w:val="26"/>
        </w:rPr>
        <w:tab/>
        <w:t xml:space="preserve"> Consistent with our discussion in the </w:t>
      </w:r>
      <w:r w:rsidRPr="00F1714B">
        <w:rPr>
          <w:rFonts w:eastAsia="Calibri" w:cs="Times New Roman"/>
          <w:bCs/>
          <w:i/>
          <w:iCs/>
          <w:szCs w:val="26"/>
        </w:rPr>
        <w:t>NPRM Order</w:t>
      </w:r>
      <w:r w:rsidRPr="00F1714B">
        <w:rPr>
          <w:rFonts w:eastAsia="Calibri" w:cs="Times New Roman"/>
          <w:bCs/>
          <w:szCs w:val="26"/>
        </w:rPr>
        <w:t>, we adopt our proposal to retain this regulation for all geographic areas but clarify in this Preamble that subsections (1), (2), and (3) of Section 64.73(a) are being eliminated too.  Accordingly, the retention of Sections 64.73 in Chapter 64 of Title 52 of the Pa. Code as modified will be reflected in the final-form regulation set forth in the Annex.</w:t>
      </w:r>
    </w:p>
    <w:p w14:paraId="2E08731F" w14:textId="77777777" w:rsidR="00F84C00" w:rsidRPr="00F1714B" w:rsidRDefault="00F84C00" w:rsidP="00CE5247">
      <w:pPr>
        <w:tabs>
          <w:tab w:val="left" w:pos="720"/>
          <w:tab w:val="left" w:pos="1440"/>
        </w:tabs>
        <w:rPr>
          <w:rFonts w:eastAsia="Calibri" w:cs="Times New Roman"/>
          <w:bCs/>
          <w:szCs w:val="26"/>
        </w:rPr>
      </w:pPr>
    </w:p>
    <w:p w14:paraId="15352E0D" w14:textId="77777777" w:rsidR="00F84C00" w:rsidRPr="00F1714B" w:rsidRDefault="00F84C00" w:rsidP="00CE5247">
      <w:pPr>
        <w:keepNext/>
        <w:keepLines/>
        <w:spacing w:line="240" w:lineRule="auto"/>
        <w:ind w:left="2160" w:hanging="720"/>
        <w:rPr>
          <w:rFonts w:eastAsia="Calibri" w:cs="Times New Roman"/>
          <w:b/>
          <w:bCs/>
          <w:szCs w:val="26"/>
        </w:rPr>
      </w:pPr>
      <w:r w:rsidRPr="00F1714B">
        <w:rPr>
          <w:rFonts w:eastAsia="Calibri" w:cs="Times New Roman"/>
          <w:b/>
          <w:bCs/>
          <w:szCs w:val="26"/>
        </w:rPr>
        <w:lastRenderedPageBreak/>
        <w:t>7.</w:t>
      </w:r>
      <w:r w:rsidRPr="00F1714B">
        <w:rPr>
          <w:rFonts w:eastAsia="Calibri" w:cs="Times New Roman"/>
          <w:b/>
          <w:bCs/>
          <w:szCs w:val="26"/>
        </w:rPr>
        <w:tab/>
        <w:t xml:space="preserve">52 Pa. Code § 64.74 </w:t>
      </w:r>
    </w:p>
    <w:p w14:paraId="34346EA2" w14:textId="77777777" w:rsidR="00F84C00" w:rsidRPr="00F1714B" w:rsidRDefault="00F84C00" w:rsidP="00CE5247">
      <w:pPr>
        <w:keepNext/>
        <w:keepLines/>
        <w:spacing w:line="240" w:lineRule="auto"/>
        <w:ind w:left="2160"/>
        <w:rPr>
          <w:rFonts w:eastAsia="Calibri" w:cs="Times New Roman"/>
          <w:b/>
          <w:bCs/>
          <w:szCs w:val="26"/>
        </w:rPr>
      </w:pPr>
      <w:r w:rsidRPr="00F1714B">
        <w:rPr>
          <w:rFonts w:eastAsia="Calibri" w:cs="Times New Roman"/>
          <w:b/>
          <w:bCs/>
          <w:szCs w:val="26"/>
        </w:rPr>
        <w:t>(Procedures upon customer contact before suspension)</w:t>
      </w:r>
    </w:p>
    <w:p w14:paraId="5A850262" w14:textId="77777777" w:rsidR="00F84C00" w:rsidRPr="00F1714B" w:rsidRDefault="00F84C00" w:rsidP="00CE5247">
      <w:pPr>
        <w:keepNext/>
        <w:keepLines/>
        <w:spacing w:line="240" w:lineRule="auto"/>
        <w:rPr>
          <w:rFonts w:eastAsia="Calibri" w:cs="Times New Roman"/>
          <w:szCs w:val="26"/>
        </w:rPr>
      </w:pPr>
    </w:p>
    <w:p w14:paraId="3BB95905" w14:textId="77777777" w:rsidR="00F84C00" w:rsidRPr="00F1714B" w:rsidRDefault="00F84C00" w:rsidP="001F45FB">
      <w:pPr>
        <w:keepNext/>
        <w:keepLines/>
        <w:rPr>
          <w:rFonts w:eastAsia="Calibri" w:cs="Times New Roman"/>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we stated </w:t>
      </w:r>
      <w:r w:rsidRPr="00F1714B">
        <w:rPr>
          <w:rFonts w:eastAsia="Calibri" w:cs="Times New Roman"/>
          <w:szCs w:val="26"/>
        </w:rPr>
        <w:t>that these procedures outlined in Section 64.74 are of material help to consumers and can substantially contribute to the avoidance of undesirable service suspensions and even terminations, as well as in a consequent reduction of informal and formal complaints that reach this Commission for adjudication and resolution.  We also determined that these procedures are equally applicable to residential services, including basic local exchange services, that are provided in both competitive and noncompetitive wire centers of the same telecommunications utility and of particular benefit to low-income consumers and households that are eligible and receive Lifeline services in both competitive and noncompetitive wire centers.  Lastly, we also determined that the regulation should be changed with respect to its references to interexchange carrier (IXC) services and billings.  Therefore, we proposed the retention of Section 64.74 and its uniform applicability in all geographic areas and proposed an amendment to Section 64.74 to eliminate the term “other than IXC toll charges” in subsection 64.74(a)(3) and to eliminate subsection 64.74(a)(5).</w:t>
      </w:r>
    </w:p>
    <w:p w14:paraId="5098F27A" w14:textId="77777777" w:rsidR="00F84C00" w:rsidRPr="00F1714B" w:rsidRDefault="00F84C00" w:rsidP="001F45FB">
      <w:pPr>
        <w:rPr>
          <w:rFonts w:eastAsia="Calibri" w:cs="Times New Roman"/>
          <w:szCs w:val="26"/>
        </w:rPr>
      </w:pPr>
    </w:p>
    <w:p w14:paraId="169B0E1C" w14:textId="77777777" w:rsidR="00F84C00" w:rsidRPr="00F1714B" w:rsidRDefault="00F84C00" w:rsidP="001F45F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55790F34" w14:textId="77777777" w:rsidR="00F84C00" w:rsidRPr="00F1714B" w:rsidRDefault="00F84C00" w:rsidP="001F45FB">
      <w:pPr>
        <w:ind w:firstLine="720"/>
        <w:rPr>
          <w:rFonts w:eastAsia="Calibri" w:cs="Times New Roman"/>
        </w:rPr>
      </w:pPr>
      <w:r w:rsidRPr="00F1714B">
        <w:rPr>
          <w:rFonts w:eastAsia="Calibri" w:cs="Times New Roman"/>
        </w:rPr>
        <w:t>The OCA supports the Commission’s proposal to retain this rule in all geographic areas, modified to eliminate outdated references to “toll” and “IXC” services, noting that the rule’s procedures “can substantially contribute to the avoidance of undesirable service suspensions and even terminations, as well as in a consequent reduction of informal and formal complaints that reach this Commission for adjudication and resolution.”  OCA Comments at 34.</w:t>
      </w:r>
    </w:p>
    <w:p w14:paraId="20491F3A" w14:textId="77777777" w:rsidR="00F84C00" w:rsidRPr="00F1714B" w:rsidRDefault="00F84C00" w:rsidP="001F45FB">
      <w:pPr>
        <w:rPr>
          <w:rFonts w:eastAsia="Calibri" w:cs="Times New Roman"/>
          <w:b/>
          <w:szCs w:val="26"/>
        </w:rPr>
      </w:pPr>
    </w:p>
    <w:p w14:paraId="303FA5AD" w14:textId="77777777" w:rsidR="00F84C00" w:rsidRPr="00F1714B" w:rsidRDefault="00F84C00" w:rsidP="001F45FB">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14C39AC4" w14:textId="77777777" w:rsidR="00F84C00" w:rsidRPr="00F1714B" w:rsidRDefault="00F84C00" w:rsidP="001F45FB">
      <w:pPr>
        <w:tabs>
          <w:tab w:val="left" w:pos="720"/>
          <w:tab w:val="left" w:pos="1440"/>
        </w:tabs>
        <w:rPr>
          <w:rFonts w:eastAsia="Calibri" w:cs="Times New Roman"/>
          <w:bCs/>
          <w:szCs w:val="26"/>
        </w:rPr>
      </w:pPr>
      <w:r w:rsidRPr="00F1714B">
        <w:rPr>
          <w:rFonts w:eastAsia="Calibri" w:cs="Times New Roman"/>
          <w:bCs/>
          <w:szCs w:val="26"/>
        </w:rPr>
        <w:tab/>
        <w:t xml:space="preserve">Consistent with our discussion in the </w:t>
      </w:r>
      <w:r w:rsidRPr="00F1714B">
        <w:rPr>
          <w:rFonts w:eastAsia="Calibri" w:cs="Times New Roman"/>
          <w:bCs/>
          <w:i/>
          <w:iCs/>
          <w:szCs w:val="26"/>
        </w:rPr>
        <w:t>NPRM Order</w:t>
      </w:r>
      <w:r w:rsidRPr="00F1714B">
        <w:rPr>
          <w:rFonts w:eastAsia="Calibri" w:cs="Times New Roman"/>
          <w:bCs/>
          <w:szCs w:val="26"/>
        </w:rPr>
        <w:t xml:space="preserve">, we adopt our proposal to retain this regulation for all geographic areas.  Accordingly, the retention of Sections </w:t>
      </w:r>
      <w:r w:rsidRPr="00F1714B">
        <w:rPr>
          <w:rFonts w:eastAsia="Calibri" w:cs="Times New Roman"/>
          <w:bCs/>
          <w:szCs w:val="26"/>
        </w:rPr>
        <w:lastRenderedPageBreak/>
        <w:t>64.74 in Chapter 64 of Title 52 of the Pa. Code will be reflected in the final-form regulation set forth in the Annex.</w:t>
      </w:r>
    </w:p>
    <w:p w14:paraId="2F151E88" w14:textId="77777777" w:rsidR="00F84C00" w:rsidRPr="00F1714B" w:rsidRDefault="00F84C00" w:rsidP="00F84C00">
      <w:pPr>
        <w:rPr>
          <w:rFonts w:eastAsia="Calibri" w:cs="Times New Roman"/>
          <w:szCs w:val="26"/>
        </w:rPr>
      </w:pPr>
    </w:p>
    <w:p w14:paraId="58410C44" w14:textId="77777777" w:rsidR="00F84C00" w:rsidRPr="00F1714B" w:rsidRDefault="00F84C00" w:rsidP="00F84C00">
      <w:pPr>
        <w:spacing w:line="240" w:lineRule="auto"/>
        <w:ind w:left="2160" w:hanging="720"/>
        <w:rPr>
          <w:rFonts w:eastAsia="Calibri" w:cs="Times New Roman"/>
          <w:b/>
          <w:bCs/>
          <w:szCs w:val="26"/>
        </w:rPr>
      </w:pPr>
      <w:r w:rsidRPr="00F1714B">
        <w:rPr>
          <w:rFonts w:eastAsia="Calibri" w:cs="Times New Roman"/>
          <w:b/>
          <w:bCs/>
          <w:szCs w:val="26"/>
        </w:rPr>
        <w:t>8.</w:t>
      </w:r>
      <w:r w:rsidRPr="00F1714B">
        <w:rPr>
          <w:rFonts w:eastAsia="Calibri" w:cs="Times New Roman"/>
          <w:b/>
          <w:bCs/>
          <w:szCs w:val="26"/>
        </w:rPr>
        <w:tab/>
        <w:t>52 Pa. Code § 64.75 (Exceptions for suspension based on occurrences harmful to person or property)</w:t>
      </w:r>
    </w:p>
    <w:p w14:paraId="528063C5" w14:textId="77777777" w:rsidR="00F84C00" w:rsidRPr="00F1714B" w:rsidRDefault="00F84C00" w:rsidP="00F84C00">
      <w:pPr>
        <w:spacing w:line="240" w:lineRule="auto"/>
        <w:rPr>
          <w:rFonts w:eastAsia="Calibri" w:cs="Times New Roman"/>
          <w:szCs w:val="26"/>
        </w:rPr>
      </w:pPr>
    </w:p>
    <w:p w14:paraId="228058F5" w14:textId="08C9BD30" w:rsidR="00F84C00" w:rsidRPr="00F1714B" w:rsidRDefault="00F84C00" w:rsidP="001F45FB">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we stated that based on the exigent circumstances that this regulation addresses, the regulation should be retained and uniformly apply in all geographic areas. </w:t>
      </w:r>
    </w:p>
    <w:p w14:paraId="30E1610F" w14:textId="77777777" w:rsidR="00F84C00" w:rsidRPr="00F1714B" w:rsidRDefault="00F84C00" w:rsidP="001F45FB">
      <w:pPr>
        <w:tabs>
          <w:tab w:val="left" w:pos="720"/>
          <w:tab w:val="left" w:pos="1440"/>
        </w:tabs>
        <w:rPr>
          <w:rFonts w:eastAsia="Calibri" w:cs="Times New Roman"/>
          <w:bCs/>
          <w:szCs w:val="26"/>
        </w:rPr>
      </w:pPr>
    </w:p>
    <w:p w14:paraId="51553CD0" w14:textId="77777777" w:rsidR="00F84C00" w:rsidRPr="00F1714B" w:rsidRDefault="00F84C00" w:rsidP="001F45F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4E0AD286" w14:textId="77777777" w:rsidR="00F84C00" w:rsidRPr="00F1714B" w:rsidRDefault="00F84C00" w:rsidP="001F45FB">
      <w:pPr>
        <w:ind w:firstLine="720"/>
        <w:rPr>
          <w:rFonts w:eastAsia="Calibri" w:cs="Times New Roman"/>
        </w:rPr>
      </w:pPr>
      <w:r w:rsidRPr="00F1714B">
        <w:rPr>
          <w:rFonts w:eastAsia="Calibri" w:cs="Times New Roman"/>
        </w:rPr>
        <w:t>The OCA supports the Commission’s proposal to retain this rule in all geographic areas.  OCA Comments at 34.</w:t>
      </w:r>
    </w:p>
    <w:p w14:paraId="103B4C27" w14:textId="77777777" w:rsidR="00F84C00" w:rsidRPr="00F1714B" w:rsidRDefault="00F84C00" w:rsidP="001F45FB">
      <w:pPr>
        <w:rPr>
          <w:rFonts w:eastAsia="Calibri" w:cs="Times New Roman"/>
          <w:b/>
          <w:szCs w:val="26"/>
        </w:rPr>
      </w:pPr>
    </w:p>
    <w:p w14:paraId="4DE5361B" w14:textId="77777777" w:rsidR="00F84C00" w:rsidRPr="00F1714B" w:rsidRDefault="00F84C00" w:rsidP="001F45FB">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6D597DA7" w14:textId="48F47BD6" w:rsidR="00F84C00" w:rsidRPr="00F1714B" w:rsidRDefault="00A42B1C" w:rsidP="001F45FB">
      <w:pPr>
        <w:ind w:firstLine="720"/>
        <w:rPr>
          <w:rFonts w:eastAsia="Calibri" w:cs="Times New Roman"/>
          <w:bCs/>
          <w:szCs w:val="26"/>
        </w:rPr>
      </w:pPr>
      <w:r w:rsidRPr="00F1714B">
        <w:rPr>
          <w:rFonts w:eastAsia="Calibri" w:cs="Times New Roman"/>
          <w:bCs/>
          <w:szCs w:val="26"/>
        </w:rPr>
        <w:t xml:space="preserve">Consistent with our discussion in the </w:t>
      </w:r>
      <w:r w:rsidRPr="00F1714B">
        <w:rPr>
          <w:rFonts w:eastAsia="Calibri" w:cs="Times New Roman"/>
          <w:bCs/>
          <w:i/>
          <w:iCs/>
          <w:szCs w:val="26"/>
        </w:rPr>
        <w:t>NPRM Order</w:t>
      </w:r>
      <w:r w:rsidR="00096647" w:rsidRPr="00F1714B">
        <w:rPr>
          <w:rFonts w:eastAsia="Calibri" w:cs="Times New Roman"/>
          <w:bCs/>
          <w:szCs w:val="26"/>
        </w:rPr>
        <w:t>,</w:t>
      </w:r>
      <w:r w:rsidR="00F84C00" w:rsidRPr="00F1714B">
        <w:rPr>
          <w:rFonts w:eastAsia="Calibri" w:cs="Times New Roman"/>
          <w:bCs/>
          <w:szCs w:val="26"/>
        </w:rPr>
        <w:t xml:space="preserve"> we will adopt our proposal to retain Section 64.75 in Chapter 64 of Title 52 of the Pa. Code for competitive and noncompetitive local calling areas.  Accordingly, we take no further action to modify our prior determination to retain Section 64.75 in Chapter 64 of Title 52 of the Pa. Code in the final-form regulation set forth in the Annex.</w:t>
      </w:r>
    </w:p>
    <w:p w14:paraId="4EFC5F69" w14:textId="77777777" w:rsidR="00F2152F" w:rsidRPr="00F1714B" w:rsidRDefault="00F2152F" w:rsidP="001F45FB">
      <w:pPr>
        <w:ind w:firstLine="720"/>
        <w:rPr>
          <w:rFonts w:eastAsia="Calibri" w:cs="Times New Roman"/>
          <w:bCs/>
          <w:szCs w:val="26"/>
        </w:rPr>
      </w:pPr>
    </w:p>
    <w:p w14:paraId="1D365353" w14:textId="77777777" w:rsidR="00F84C00" w:rsidRPr="00F1714B" w:rsidRDefault="00F84C00" w:rsidP="001F45FB">
      <w:pPr>
        <w:spacing w:line="240" w:lineRule="auto"/>
        <w:ind w:left="2160" w:hanging="720"/>
        <w:rPr>
          <w:rFonts w:eastAsia="Calibri" w:cs="Times New Roman"/>
          <w:b/>
          <w:bCs/>
          <w:szCs w:val="26"/>
        </w:rPr>
      </w:pPr>
      <w:r w:rsidRPr="00F1714B">
        <w:rPr>
          <w:rFonts w:eastAsia="Calibri" w:cs="Times New Roman"/>
          <w:b/>
          <w:bCs/>
          <w:szCs w:val="26"/>
        </w:rPr>
        <w:t>9.</w:t>
      </w:r>
      <w:r w:rsidRPr="00F1714B">
        <w:rPr>
          <w:rFonts w:eastAsia="Calibri" w:cs="Times New Roman"/>
          <w:b/>
          <w:bCs/>
          <w:szCs w:val="26"/>
        </w:rPr>
        <w:tab/>
        <w:t>52 Pa. Code § 64.81 (Limited notice upon noncompliance with report or order)</w:t>
      </w:r>
    </w:p>
    <w:p w14:paraId="4827611B" w14:textId="77777777" w:rsidR="00F84C00" w:rsidRPr="00F1714B" w:rsidRDefault="00F84C00" w:rsidP="001F45FB">
      <w:pPr>
        <w:spacing w:line="240" w:lineRule="auto"/>
        <w:rPr>
          <w:rFonts w:eastAsia="Calibri" w:cs="Times New Roman"/>
          <w:szCs w:val="26"/>
        </w:rPr>
      </w:pPr>
    </w:p>
    <w:p w14:paraId="29C52D5D" w14:textId="77777777" w:rsidR="00F84C00" w:rsidRPr="00F1714B" w:rsidRDefault="00F84C00" w:rsidP="00C327CB">
      <w:pPr>
        <w:rPr>
          <w:rFonts w:eastAsia="Calibri" w:cs="Times New Roman"/>
          <w:bCs/>
          <w:szCs w:val="26"/>
        </w:rPr>
      </w:pPr>
      <w:r w:rsidRPr="00F1714B">
        <w:rPr>
          <w:rFonts w:eastAsia="Calibri" w:cs="Times New Roman"/>
          <w:bCs/>
          <w:szCs w:val="26"/>
        </w:rPr>
        <w:tab/>
        <w:t xml:space="preserve">Section 64.81 addresses the circumstances where a customer does not comply with a dispute, informal or formal complaint resolution, and the original grounds for suspension are then revived, and the LEC can suspend subject to a 24-hour advanced notice by telephone.  We temporarily waived this regulation in the </w:t>
      </w:r>
      <w:r w:rsidRPr="00F1714B">
        <w:rPr>
          <w:rFonts w:eastAsia="Calibri" w:cs="Times New Roman"/>
          <w:bCs/>
          <w:i/>
          <w:szCs w:val="26"/>
        </w:rPr>
        <w:t>Reclassification Order</w:t>
      </w:r>
      <w:r w:rsidRPr="00F1714B">
        <w:rPr>
          <w:rFonts w:eastAsia="Calibri" w:cs="Times New Roman"/>
          <w:bCs/>
          <w:szCs w:val="26"/>
        </w:rPr>
        <w:t xml:space="preserve"> </w:t>
      </w:r>
      <w:r w:rsidRPr="00F1714B">
        <w:rPr>
          <w:rFonts w:eastAsia="Calibri" w:cs="Times New Roman"/>
          <w:bCs/>
          <w:szCs w:val="26"/>
        </w:rPr>
        <w:lastRenderedPageBreak/>
        <w:t>for Verizon.</w:t>
      </w:r>
      <w:r w:rsidRPr="00F1714B">
        <w:rPr>
          <w:rFonts w:eastAsia="Calibri" w:cs="Times New Roman"/>
          <w:bCs/>
          <w:szCs w:val="26"/>
          <w:vertAlign w:val="superscript"/>
        </w:rPr>
        <w:footnoteReference w:id="99"/>
      </w:r>
      <w:r w:rsidRPr="00F1714B">
        <w:rPr>
          <w:rFonts w:eastAsia="Calibri" w:cs="Times New Roman"/>
          <w:bCs/>
          <w:szCs w:val="26"/>
        </w:rPr>
        <w:t xml:space="preserve">  Consistent with our approach for this entire regulatory Chapter, we proposed that Section 64.81 be retained in its entirety and apply in all geographic areas.</w:t>
      </w:r>
    </w:p>
    <w:p w14:paraId="0C6A197D" w14:textId="77777777" w:rsidR="00F84C00" w:rsidRPr="00F1714B" w:rsidRDefault="00F84C00" w:rsidP="00C327CB">
      <w:pPr>
        <w:rPr>
          <w:rFonts w:eastAsia="Calibri" w:cs="Times New Roman"/>
          <w:bCs/>
          <w:szCs w:val="26"/>
        </w:rPr>
      </w:pPr>
    </w:p>
    <w:p w14:paraId="5D607593" w14:textId="77777777" w:rsidR="00F84C00" w:rsidRPr="00F1714B" w:rsidRDefault="00F84C00" w:rsidP="00C327C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588B65D6" w14:textId="77777777" w:rsidR="00F84C00" w:rsidRPr="00F1714B" w:rsidRDefault="00F84C00" w:rsidP="00C327CB">
      <w:pPr>
        <w:ind w:firstLine="720"/>
        <w:rPr>
          <w:rFonts w:eastAsia="Calibri" w:cs="Times New Roman"/>
        </w:rPr>
      </w:pPr>
      <w:r w:rsidRPr="00F1714B">
        <w:rPr>
          <w:rFonts w:eastAsia="Calibri" w:cs="Times New Roman"/>
        </w:rPr>
        <w:t>The OCA supports the Commission’s proposal to retain this rule in all geographic areas. OCA Comments at 32 and 35.</w:t>
      </w:r>
    </w:p>
    <w:p w14:paraId="76CEAFFC" w14:textId="77777777" w:rsidR="00F84C00" w:rsidRPr="00F1714B" w:rsidRDefault="00F84C00" w:rsidP="00C327CB">
      <w:pPr>
        <w:rPr>
          <w:rFonts w:eastAsia="Calibri" w:cs="Times New Roman"/>
          <w:b/>
          <w:szCs w:val="26"/>
        </w:rPr>
      </w:pPr>
    </w:p>
    <w:p w14:paraId="7242504D" w14:textId="77777777" w:rsidR="00F84C00" w:rsidRPr="00F1714B" w:rsidRDefault="00F84C00" w:rsidP="00C327CB">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750FA09E" w14:textId="3FF6AE07" w:rsidR="00F84C00" w:rsidRPr="00F1714B" w:rsidRDefault="00531A18" w:rsidP="00C327CB">
      <w:pPr>
        <w:ind w:firstLine="720"/>
        <w:rPr>
          <w:rFonts w:eastAsia="Calibri" w:cs="Times New Roman"/>
          <w:bCs/>
          <w:szCs w:val="26"/>
        </w:rPr>
      </w:pPr>
      <w:r w:rsidRPr="00F1714B">
        <w:rPr>
          <w:rFonts w:eastAsia="Calibri" w:cs="Times New Roman"/>
          <w:bCs/>
          <w:szCs w:val="26"/>
        </w:rPr>
        <w:t xml:space="preserve">Consistent with our discussion in the </w:t>
      </w:r>
      <w:r w:rsidRPr="00F1714B">
        <w:rPr>
          <w:rFonts w:eastAsia="Calibri" w:cs="Times New Roman"/>
          <w:bCs/>
          <w:i/>
          <w:iCs/>
          <w:szCs w:val="26"/>
        </w:rPr>
        <w:t>NPRM Order</w:t>
      </w:r>
      <w:r w:rsidR="00096647" w:rsidRPr="00F1714B">
        <w:rPr>
          <w:rFonts w:eastAsia="Calibri" w:cs="Times New Roman"/>
          <w:bCs/>
          <w:szCs w:val="26"/>
        </w:rPr>
        <w:t xml:space="preserve">, </w:t>
      </w:r>
      <w:r w:rsidR="00F84C00" w:rsidRPr="00F1714B">
        <w:rPr>
          <w:rFonts w:eastAsia="Calibri" w:cs="Times New Roman"/>
          <w:bCs/>
          <w:szCs w:val="26"/>
        </w:rPr>
        <w:t>we will adopt our proposal to retain Section 64.81 in Chapter 64 of Title 52 of the Pa. Code for competitive and noncompetitive local calling areas.  Accordingly, we take no further action to modify our prior determination to retain Section 64.81 in Chapter 64 of Title 52 of the Pa. Code in the final-form regulation set forth in the Annex.</w:t>
      </w:r>
    </w:p>
    <w:p w14:paraId="01B599CA" w14:textId="77777777" w:rsidR="00D6310B" w:rsidRPr="00F1714B" w:rsidRDefault="00D6310B" w:rsidP="00C327CB">
      <w:pPr>
        <w:ind w:firstLine="720"/>
        <w:rPr>
          <w:rFonts w:eastAsia="Calibri" w:cs="Times New Roman"/>
          <w:bCs/>
          <w:szCs w:val="26"/>
        </w:rPr>
      </w:pPr>
    </w:p>
    <w:p w14:paraId="5BD0DB56" w14:textId="77777777" w:rsidR="00B737B0" w:rsidRPr="00F1714B" w:rsidRDefault="00F84C00" w:rsidP="00F84C00">
      <w:pPr>
        <w:spacing w:line="240" w:lineRule="auto"/>
        <w:ind w:left="2160" w:hanging="720"/>
        <w:rPr>
          <w:rFonts w:eastAsia="Calibri" w:cs="Times New Roman"/>
          <w:b/>
          <w:bCs/>
          <w:szCs w:val="26"/>
        </w:rPr>
      </w:pPr>
      <w:r w:rsidRPr="00F1714B">
        <w:rPr>
          <w:rFonts w:eastAsia="Calibri" w:cs="Times New Roman"/>
          <w:b/>
          <w:bCs/>
          <w:szCs w:val="26"/>
        </w:rPr>
        <w:t>10.</w:t>
      </w:r>
      <w:r w:rsidRPr="00F1714B">
        <w:rPr>
          <w:rFonts w:eastAsia="Calibri" w:cs="Times New Roman"/>
          <w:b/>
          <w:bCs/>
          <w:szCs w:val="26"/>
        </w:rPr>
        <w:tab/>
        <w:t xml:space="preserve">52 Pa. Code§§ 64.101—64.109 (Emergency provisions) and </w:t>
      </w:r>
    </w:p>
    <w:p w14:paraId="7391B6F8" w14:textId="5B6C10E4" w:rsidR="00F84C00" w:rsidRPr="00F1714B" w:rsidRDefault="00B737B0" w:rsidP="001B781E">
      <w:pPr>
        <w:spacing w:line="240" w:lineRule="auto"/>
        <w:ind w:left="2160"/>
        <w:rPr>
          <w:rFonts w:eastAsia="Calibri" w:cs="Times New Roman"/>
          <w:b/>
          <w:bCs/>
          <w:szCs w:val="26"/>
        </w:rPr>
      </w:pPr>
      <w:r w:rsidRPr="00F1714B">
        <w:rPr>
          <w:rFonts w:eastAsia="Calibri" w:cs="Times New Roman"/>
          <w:b/>
          <w:bCs/>
          <w:szCs w:val="26"/>
        </w:rPr>
        <w:t xml:space="preserve">52 Pa. Code </w:t>
      </w:r>
      <w:r w:rsidR="00F84C00" w:rsidRPr="00F1714B">
        <w:rPr>
          <w:rFonts w:eastAsia="Calibri" w:cs="Times New Roman"/>
          <w:b/>
          <w:bCs/>
          <w:szCs w:val="26"/>
        </w:rPr>
        <w:t>§ 64.111 (Third Party Notification)</w:t>
      </w:r>
    </w:p>
    <w:p w14:paraId="382545C0" w14:textId="77777777" w:rsidR="00F84C00" w:rsidRPr="00F1714B" w:rsidRDefault="00F84C00" w:rsidP="00F84C00">
      <w:pPr>
        <w:spacing w:line="240" w:lineRule="auto"/>
        <w:rPr>
          <w:rFonts w:eastAsia="Calibri" w:cs="Times New Roman"/>
          <w:szCs w:val="26"/>
        </w:rPr>
      </w:pPr>
    </w:p>
    <w:p w14:paraId="08F1A1C2" w14:textId="6D74D059" w:rsidR="00F84C00" w:rsidRPr="00F1714B" w:rsidRDefault="00F84C00" w:rsidP="00C327CB">
      <w:pPr>
        <w:tabs>
          <w:tab w:val="left" w:pos="720"/>
          <w:tab w:val="left" w:pos="1440"/>
        </w:tabs>
        <w:rPr>
          <w:rFonts w:eastAsia="Calibri" w:cs="Times New Roman"/>
          <w:bCs/>
          <w:szCs w:val="26"/>
        </w:rPr>
      </w:pPr>
      <w:r w:rsidRPr="00F1714B">
        <w:rPr>
          <w:rFonts w:eastAsia="Calibri" w:cs="Times New Roman"/>
          <w:b/>
          <w:bCs/>
          <w:szCs w:val="26"/>
        </w:rPr>
        <w:tab/>
      </w:r>
      <w:r w:rsidRPr="00F1714B">
        <w:rPr>
          <w:rFonts w:eastAsia="Calibri" w:cs="Times New Roman"/>
          <w:szCs w:val="26"/>
        </w:rPr>
        <w:t xml:space="preserve">In the </w:t>
      </w:r>
      <w:r w:rsidRPr="00F1714B">
        <w:rPr>
          <w:rFonts w:eastAsia="Calibri" w:cs="Times New Roman"/>
          <w:i/>
          <w:iCs/>
          <w:szCs w:val="26"/>
        </w:rPr>
        <w:t>NPRM Order</w:t>
      </w:r>
      <w:r w:rsidRPr="00F1714B">
        <w:rPr>
          <w:rFonts w:eastAsia="Calibri" w:cs="Times New Roman"/>
          <w:szCs w:val="26"/>
        </w:rPr>
        <w:t>, we noted that these regulations</w:t>
      </w:r>
      <w:r w:rsidRPr="00F1714B">
        <w:rPr>
          <w:rFonts w:eastAsia="Calibri" w:cs="Times New Roman"/>
          <w:bCs/>
          <w:szCs w:val="26"/>
        </w:rPr>
        <w:t xml:space="preserve"> were retained in both competitive and noncompetitive wire centers in the </w:t>
      </w:r>
      <w:r w:rsidRPr="00F1714B">
        <w:rPr>
          <w:rFonts w:eastAsia="Calibri" w:cs="Times New Roman"/>
          <w:bCs/>
          <w:i/>
          <w:iCs/>
          <w:szCs w:val="26"/>
        </w:rPr>
        <w:t xml:space="preserve">Reclassification Order </w:t>
      </w:r>
      <w:r w:rsidRPr="00F1714B">
        <w:rPr>
          <w:rFonts w:eastAsia="Calibri" w:cs="Times New Roman"/>
          <w:bCs/>
          <w:szCs w:val="26"/>
        </w:rPr>
        <w:t>and further noted that no valid reasons had been presented to convince us that customers do not rely on these important provisions.  Therefore, we proposed to retain these regulations without amendment.</w:t>
      </w:r>
    </w:p>
    <w:p w14:paraId="3569D6A7" w14:textId="77777777" w:rsidR="00D6310B" w:rsidRPr="00F1714B" w:rsidRDefault="00D6310B" w:rsidP="00C327CB">
      <w:pPr>
        <w:tabs>
          <w:tab w:val="left" w:pos="720"/>
          <w:tab w:val="left" w:pos="1440"/>
        </w:tabs>
        <w:rPr>
          <w:rFonts w:eastAsia="Calibri" w:cs="Times New Roman"/>
          <w:bCs/>
          <w:szCs w:val="26"/>
        </w:rPr>
      </w:pPr>
    </w:p>
    <w:p w14:paraId="38D73C22" w14:textId="77777777" w:rsidR="00F84C00" w:rsidRPr="00F1714B" w:rsidRDefault="00F84C00" w:rsidP="00C327C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342AC815" w14:textId="5100FDAD" w:rsidR="00F84C00" w:rsidRPr="00F1714B" w:rsidRDefault="00F84C00" w:rsidP="00C327CB">
      <w:pPr>
        <w:ind w:firstLine="720"/>
        <w:rPr>
          <w:rFonts w:eastAsia="Calibri" w:cs="Times New Roman"/>
        </w:rPr>
      </w:pPr>
      <w:r w:rsidRPr="00F1714B">
        <w:rPr>
          <w:rFonts w:eastAsia="Calibri" w:cs="Times New Roman"/>
        </w:rPr>
        <w:t>The OCA supports the Commission’s proposal to retain these rules in all geographic areas.  OCA Comments at 35.</w:t>
      </w:r>
    </w:p>
    <w:p w14:paraId="2E10C0C6" w14:textId="77777777" w:rsidR="005C6DB7" w:rsidRPr="00F1714B" w:rsidRDefault="005C6DB7" w:rsidP="00F84C00">
      <w:pPr>
        <w:ind w:firstLine="720"/>
        <w:rPr>
          <w:rFonts w:eastAsia="Calibri" w:cs="Times New Roman"/>
        </w:rPr>
      </w:pPr>
    </w:p>
    <w:p w14:paraId="11ABA7EB" w14:textId="77777777" w:rsidR="00F84C00" w:rsidRPr="00F1714B" w:rsidRDefault="00F84C00" w:rsidP="00C327CB">
      <w:pPr>
        <w:keepNext/>
        <w:keepLines/>
        <w:rPr>
          <w:rFonts w:eastAsia="Calibri" w:cs="Times New Roman"/>
          <w:b/>
          <w:szCs w:val="26"/>
        </w:rPr>
      </w:pPr>
      <w:r w:rsidRPr="00F1714B">
        <w:rPr>
          <w:rFonts w:eastAsia="Calibri" w:cs="Times New Roman"/>
          <w:b/>
          <w:szCs w:val="26"/>
        </w:rPr>
        <w:lastRenderedPageBreak/>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01559554" w14:textId="47CDAD32" w:rsidR="00F84C00" w:rsidRPr="00F1714B" w:rsidRDefault="00D439CD" w:rsidP="00C327CB">
      <w:pPr>
        <w:keepNext/>
        <w:keepLines/>
        <w:ind w:firstLine="720"/>
        <w:rPr>
          <w:rFonts w:eastAsia="Calibri" w:cs="Times New Roman"/>
          <w:bCs/>
          <w:szCs w:val="26"/>
        </w:rPr>
      </w:pPr>
      <w:r w:rsidRPr="00F1714B">
        <w:rPr>
          <w:rFonts w:eastAsia="Calibri" w:cs="Times New Roman"/>
          <w:bCs/>
          <w:szCs w:val="26"/>
        </w:rPr>
        <w:t xml:space="preserve">Consistent with our discussion in the </w:t>
      </w:r>
      <w:r w:rsidRPr="00F1714B">
        <w:rPr>
          <w:rFonts w:eastAsia="Calibri" w:cs="Times New Roman"/>
          <w:bCs/>
          <w:i/>
          <w:iCs/>
          <w:szCs w:val="26"/>
        </w:rPr>
        <w:t>NPRM Order</w:t>
      </w:r>
      <w:r w:rsidR="00F7263B" w:rsidRPr="00F1714B">
        <w:rPr>
          <w:rFonts w:eastAsia="Calibri" w:cs="Times New Roman"/>
          <w:bCs/>
          <w:szCs w:val="26"/>
        </w:rPr>
        <w:t xml:space="preserve">, </w:t>
      </w:r>
      <w:r w:rsidR="00F84C00" w:rsidRPr="00F1714B">
        <w:rPr>
          <w:rFonts w:eastAsia="Calibri" w:cs="Times New Roman"/>
          <w:bCs/>
          <w:szCs w:val="26"/>
        </w:rPr>
        <w:t xml:space="preserve">we will adopt our proposal to retain </w:t>
      </w:r>
      <w:bookmarkStart w:id="84" w:name="_Hlk81470484"/>
      <w:r w:rsidR="00F84C00" w:rsidRPr="00F1714B">
        <w:rPr>
          <w:rFonts w:eastAsia="Calibri" w:cs="Times New Roman"/>
          <w:bCs/>
          <w:szCs w:val="26"/>
        </w:rPr>
        <w:t>Sections 64.101—64.109 in Chapter 64 of Title 52 of the Pa. Code</w:t>
      </w:r>
      <w:bookmarkEnd w:id="84"/>
      <w:r w:rsidR="00F84C00" w:rsidRPr="00F1714B">
        <w:rPr>
          <w:rFonts w:eastAsia="Calibri" w:cs="Times New Roman"/>
          <w:bCs/>
          <w:szCs w:val="26"/>
        </w:rPr>
        <w:t xml:space="preserve"> for competitive and noncompetitive local calling areas.  </w:t>
      </w:r>
      <w:bookmarkStart w:id="85" w:name="_Hlk81470674"/>
      <w:r w:rsidR="00F84C00" w:rsidRPr="00F1714B">
        <w:rPr>
          <w:rFonts w:eastAsia="Calibri" w:cs="Times New Roman"/>
          <w:bCs/>
          <w:szCs w:val="26"/>
        </w:rPr>
        <w:t>Accordingly, we take no further action to modify our prior determination to retain Sections 64.101—64.109 in Chapter 64 of Title 52 of the Pa. Code in the final-form regulation set forth in the Annex.</w:t>
      </w:r>
    </w:p>
    <w:p w14:paraId="4D4EA5D6" w14:textId="77777777" w:rsidR="00D6310B" w:rsidRPr="00F1714B" w:rsidRDefault="00D6310B" w:rsidP="00C327CB">
      <w:pPr>
        <w:keepNext/>
        <w:keepLines/>
        <w:ind w:firstLine="720"/>
        <w:rPr>
          <w:rFonts w:eastAsia="Calibri" w:cs="Times New Roman"/>
          <w:bCs/>
          <w:szCs w:val="26"/>
        </w:rPr>
      </w:pPr>
    </w:p>
    <w:bookmarkEnd w:id="85"/>
    <w:p w14:paraId="4B4E5869" w14:textId="77777777" w:rsidR="00F84C00" w:rsidRPr="00F1714B" w:rsidRDefault="00F84C00" w:rsidP="00F84C00">
      <w:pPr>
        <w:keepNext/>
        <w:keepLines/>
        <w:spacing w:line="240" w:lineRule="auto"/>
        <w:rPr>
          <w:rFonts w:eastAsia="Calibri" w:cs="Times New Roman"/>
          <w:b/>
          <w:bCs/>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bCs/>
          <w:szCs w:val="26"/>
        </w:rPr>
        <w:t>F.</w:t>
      </w:r>
      <w:r w:rsidRPr="00F1714B">
        <w:rPr>
          <w:rFonts w:eastAsia="Calibri" w:cs="Times New Roman"/>
          <w:b/>
          <w:bCs/>
          <w:szCs w:val="26"/>
        </w:rPr>
        <w:tab/>
        <w:t xml:space="preserve">Subchapter F (Termination of Service) </w:t>
      </w:r>
    </w:p>
    <w:p w14:paraId="17A28406" w14:textId="77777777" w:rsidR="00F84C00" w:rsidRPr="00F1714B" w:rsidRDefault="00F84C00" w:rsidP="00F84C00">
      <w:pPr>
        <w:keepNext/>
        <w:keepLines/>
        <w:spacing w:line="240" w:lineRule="auto"/>
        <w:ind w:left="1440" w:firstLine="720"/>
        <w:rPr>
          <w:rFonts w:eastAsia="Calibri" w:cs="Times New Roman"/>
          <w:b/>
          <w:bCs/>
          <w:szCs w:val="26"/>
        </w:rPr>
      </w:pPr>
      <w:r w:rsidRPr="00F1714B">
        <w:rPr>
          <w:rFonts w:eastAsia="Calibri" w:cs="Times New Roman"/>
          <w:b/>
          <w:bCs/>
          <w:szCs w:val="26"/>
        </w:rPr>
        <w:t>52 Pa. Code §§ 64.121—64.123</w:t>
      </w:r>
    </w:p>
    <w:p w14:paraId="50AF8AE2" w14:textId="77777777" w:rsidR="00F84C00" w:rsidRPr="00F1714B" w:rsidRDefault="00F84C00" w:rsidP="00F84C00">
      <w:pPr>
        <w:keepNext/>
        <w:keepLines/>
        <w:spacing w:line="240" w:lineRule="auto"/>
        <w:rPr>
          <w:rFonts w:eastAsia="Calibri" w:cs="Times New Roman"/>
          <w:szCs w:val="26"/>
        </w:rPr>
      </w:pPr>
    </w:p>
    <w:p w14:paraId="796FDC7C" w14:textId="6AF5D74A" w:rsidR="00F84C00" w:rsidRPr="00F1714B" w:rsidRDefault="00F84C00" w:rsidP="00C327CB">
      <w:pPr>
        <w:keepNext/>
        <w:keepLines/>
        <w:tabs>
          <w:tab w:val="left" w:pos="720"/>
          <w:tab w:val="left" w:pos="1440"/>
        </w:tabs>
        <w:rPr>
          <w:rFonts w:eastAsia="Calibri" w:cs="Times New Roman"/>
          <w:bCs/>
          <w:szCs w:val="26"/>
        </w:rPr>
      </w:pPr>
      <w:r w:rsidRPr="00F1714B">
        <w:rPr>
          <w:rFonts w:eastAsia="Calibri" w:cs="Times New Roman"/>
          <w:bCs/>
          <w:szCs w:val="26"/>
        </w:rPr>
        <w:tab/>
        <w:t>The Commission temporarily waived all the Subchapter F provisions for Verizon concluding that these provisions were no longer necessary in a competitive market and noting that Verizon’s grounds for suspension and termination are covered in their Product Guides.</w:t>
      </w:r>
      <w:r w:rsidRPr="00F1714B">
        <w:rPr>
          <w:rFonts w:eastAsia="Calibri" w:cs="Times New Roman"/>
          <w:bCs/>
          <w:szCs w:val="26"/>
          <w:vertAlign w:val="superscript"/>
        </w:rPr>
        <w:footnoteReference w:id="100"/>
      </w:r>
      <w:r w:rsidRPr="00F1714B">
        <w:rPr>
          <w:rFonts w:eastAsia="Calibri" w:cs="Times New Roman"/>
          <w:bCs/>
          <w:szCs w:val="26"/>
        </w:rPr>
        <w:t xml:space="preserve">  However, for these reasons outlined in the </w:t>
      </w:r>
      <w:r w:rsidRPr="00F1714B">
        <w:rPr>
          <w:rFonts w:eastAsia="Calibri" w:cs="Times New Roman"/>
          <w:bCs/>
          <w:i/>
          <w:iCs/>
          <w:szCs w:val="26"/>
        </w:rPr>
        <w:t>NPRM Order</w:t>
      </w:r>
      <w:r w:rsidRPr="00F1714B">
        <w:rPr>
          <w:rFonts w:eastAsia="Calibri" w:cs="Times New Roman"/>
          <w:bCs/>
          <w:szCs w:val="26"/>
        </w:rPr>
        <w:t>, we proposed the retention of Subchapter F in its entirety and the uniform applicability of the subchapter in all geographic areas.</w:t>
      </w:r>
    </w:p>
    <w:p w14:paraId="536A7FD3" w14:textId="77777777" w:rsidR="00F84C00" w:rsidRPr="00F1714B" w:rsidRDefault="00F84C00" w:rsidP="00C327CB">
      <w:pPr>
        <w:keepNext/>
        <w:keepLines/>
        <w:tabs>
          <w:tab w:val="left" w:pos="720"/>
          <w:tab w:val="left" w:pos="1440"/>
        </w:tabs>
        <w:rPr>
          <w:rFonts w:eastAsia="Calibri" w:cs="Times New Roman"/>
          <w:bCs/>
          <w:szCs w:val="26"/>
        </w:rPr>
      </w:pPr>
    </w:p>
    <w:p w14:paraId="37B6A861" w14:textId="77777777" w:rsidR="00F84C00" w:rsidRPr="00F1714B" w:rsidRDefault="00F84C00" w:rsidP="00C327C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75666C33" w14:textId="54D3429C" w:rsidR="00F84C00" w:rsidRPr="00F1714B" w:rsidRDefault="00F84C00" w:rsidP="00C327CB">
      <w:pPr>
        <w:ind w:firstLine="720"/>
        <w:rPr>
          <w:rFonts w:eastAsia="Calibri" w:cs="Times New Roman"/>
        </w:rPr>
      </w:pPr>
      <w:r w:rsidRPr="00F1714B">
        <w:rPr>
          <w:rFonts w:eastAsia="Calibri" w:cs="Times New Roman"/>
        </w:rPr>
        <w:t xml:space="preserve">The OCA supports the Commission’s proposal to retain these three </w:t>
      </w:r>
      <w:r w:rsidR="009A6627" w:rsidRPr="00F1714B">
        <w:rPr>
          <w:rFonts w:eastAsia="Calibri" w:cs="Times New Roman"/>
        </w:rPr>
        <w:t xml:space="preserve">regulations </w:t>
      </w:r>
      <w:r w:rsidR="00AE1FB8" w:rsidRPr="00F1714B">
        <w:rPr>
          <w:rFonts w:eastAsia="Calibri" w:cs="Times New Roman"/>
        </w:rPr>
        <w:t xml:space="preserve">and their applicability to </w:t>
      </w:r>
      <w:r w:rsidRPr="00F1714B">
        <w:rPr>
          <w:rFonts w:eastAsia="Calibri" w:cs="Times New Roman"/>
        </w:rPr>
        <w:t>all geographic areas, noting that they “are interrelated with other provisions and important consumer protections, including the need for the utility to provide notice of the medical certificate process</w:t>
      </w:r>
      <w:r w:rsidR="00D23620" w:rsidRPr="00F1714B">
        <w:rPr>
          <w:rFonts w:eastAsia="Calibri" w:cs="Times New Roman"/>
        </w:rPr>
        <w:t>[.]</w:t>
      </w:r>
      <w:r w:rsidRPr="00F1714B">
        <w:rPr>
          <w:rFonts w:eastAsia="Calibri" w:cs="Times New Roman"/>
        </w:rPr>
        <w:t>”  OCA Comments at 35-36.</w:t>
      </w:r>
    </w:p>
    <w:p w14:paraId="7551CDFF" w14:textId="77777777" w:rsidR="00F84C00" w:rsidRPr="00F1714B" w:rsidRDefault="00F84C00" w:rsidP="00F84C00">
      <w:pPr>
        <w:rPr>
          <w:rFonts w:eastAsia="Calibri" w:cs="Times New Roman"/>
        </w:rPr>
      </w:pPr>
      <w:bookmarkStart w:id="86" w:name="_Hlk77342317"/>
    </w:p>
    <w:p w14:paraId="5E589803" w14:textId="77777777" w:rsidR="00F84C00" w:rsidRPr="00F1714B" w:rsidRDefault="00F84C00" w:rsidP="00F84C00">
      <w:pPr>
        <w:ind w:firstLine="720"/>
        <w:rPr>
          <w:rFonts w:eastAsia="Calibri" w:cs="Times New Roman"/>
        </w:rPr>
      </w:pPr>
      <w:r w:rsidRPr="00F1714B">
        <w:rPr>
          <w:rFonts w:eastAsia="Calibri" w:cs="Times New Roman"/>
        </w:rPr>
        <w:t>TCC/CCL propose that the Commission modify its proposed language for subsection 64.123 (Termination notice) in two ways: (1) to clarify that termination notices may be transmitted electronically; and (2) to eliminate the reference to amount due for basic service only, since in TCC/CCL’s view, competitive carriers may choose not to offer basic service. TCC/CCL Comments at 28-29.</w:t>
      </w:r>
    </w:p>
    <w:bookmarkEnd w:id="86"/>
    <w:p w14:paraId="4C3CAE52" w14:textId="5C37C693" w:rsidR="00F84C00" w:rsidRPr="00F1714B" w:rsidRDefault="00F84C00" w:rsidP="00C327CB">
      <w:pPr>
        <w:ind w:firstLine="720"/>
        <w:rPr>
          <w:rFonts w:eastAsia="Calibri" w:cs="Times New Roman"/>
        </w:rPr>
      </w:pPr>
      <w:r w:rsidRPr="00F1714B">
        <w:rPr>
          <w:rFonts w:eastAsia="Calibri" w:cs="Times New Roman"/>
        </w:rPr>
        <w:lastRenderedPageBreak/>
        <w:t xml:space="preserve">Verizon opposes the Commission’s proposal to reinstate the Subchapter F rules because in Verizon’s view, they are unnecessary and obsolete in today’s competitive marketplace, which the Commission recognized when it granted waivers from these rules in competitive exchanges in 2015.  Verizon proposes that the Commission to apply these rules only to </w:t>
      </w:r>
      <w:r w:rsidR="00A032AB" w:rsidRPr="00F1714B">
        <w:rPr>
          <w:rFonts w:eastAsia="Calibri" w:cs="Times New Roman"/>
        </w:rPr>
        <w:t xml:space="preserve">residential </w:t>
      </w:r>
      <w:r w:rsidRPr="00F1714B">
        <w:rPr>
          <w:rFonts w:eastAsia="Calibri" w:cs="Times New Roman"/>
        </w:rPr>
        <w:t xml:space="preserve">basic </w:t>
      </w:r>
      <w:r w:rsidR="00A032AB" w:rsidRPr="00F1714B">
        <w:rPr>
          <w:rFonts w:eastAsia="Calibri" w:cs="Times New Roman"/>
        </w:rPr>
        <w:t xml:space="preserve">local exchange </w:t>
      </w:r>
      <w:r w:rsidRPr="00F1714B">
        <w:rPr>
          <w:rFonts w:eastAsia="Calibri" w:cs="Times New Roman"/>
        </w:rPr>
        <w:t xml:space="preserve">service, to be sunset </w:t>
      </w:r>
      <w:r w:rsidR="00A032AB" w:rsidRPr="00F1714B">
        <w:rPr>
          <w:rFonts w:eastAsia="Calibri" w:cs="Times New Roman"/>
        </w:rPr>
        <w:t xml:space="preserve">at the </w:t>
      </w:r>
      <w:r w:rsidRPr="00F1714B">
        <w:rPr>
          <w:rFonts w:eastAsia="Calibri" w:cs="Times New Roman"/>
        </w:rPr>
        <w:t>end of 2023, with the proviso that section 1501 of the Code shall continue to govern all aspects of regulated carrier services.  Verizon Comments at 31.</w:t>
      </w:r>
    </w:p>
    <w:p w14:paraId="4EF86C36" w14:textId="77777777" w:rsidR="00F84C00" w:rsidRPr="00F1714B" w:rsidRDefault="00F84C00" w:rsidP="00C327CB">
      <w:pPr>
        <w:rPr>
          <w:rFonts w:eastAsia="Calibri" w:cs="Times New Roman"/>
          <w:b/>
          <w:szCs w:val="26"/>
        </w:rPr>
      </w:pPr>
    </w:p>
    <w:p w14:paraId="2B5C2717" w14:textId="77777777" w:rsidR="00F84C00" w:rsidRPr="00F1714B" w:rsidRDefault="00F84C00" w:rsidP="00C327CB">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09545E2C" w14:textId="402E496B" w:rsidR="00F84C00" w:rsidRDefault="00D23620" w:rsidP="00C327CB">
      <w:pPr>
        <w:ind w:firstLine="720"/>
        <w:rPr>
          <w:rFonts w:eastAsia="Calibri" w:cs="Times New Roman"/>
          <w:bCs/>
          <w:szCs w:val="26"/>
        </w:rPr>
      </w:pPr>
      <w:r w:rsidRPr="00F1714B">
        <w:rPr>
          <w:rFonts w:eastAsia="Calibri" w:cs="Times New Roman"/>
          <w:bCs/>
          <w:szCs w:val="26"/>
        </w:rPr>
        <w:t>For reasons previously explained, t</w:t>
      </w:r>
      <w:r w:rsidR="00F84C00" w:rsidRPr="00F1714B">
        <w:rPr>
          <w:rFonts w:eastAsia="Calibri" w:cs="Times New Roman"/>
          <w:bCs/>
          <w:szCs w:val="26"/>
        </w:rPr>
        <w:t xml:space="preserve">he Commission rejects </w:t>
      </w:r>
      <w:r w:rsidRPr="00F1714B">
        <w:rPr>
          <w:rFonts w:eastAsia="Calibri" w:cs="Times New Roman"/>
          <w:bCs/>
          <w:szCs w:val="26"/>
        </w:rPr>
        <w:t xml:space="preserve">Verizon’s </w:t>
      </w:r>
      <w:r w:rsidR="00F84C00" w:rsidRPr="00F1714B">
        <w:rPr>
          <w:rFonts w:eastAsia="Calibri" w:cs="Times New Roman"/>
          <w:bCs/>
          <w:szCs w:val="26"/>
        </w:rPr>
        <w:t>adverse comments to its proposed retention of Subchapter F</w:t>
      </w:r>
      <w:r w:rsidR="00341730" w:rsidRPr="00F1714B">
        <w:rPr>
          <w:rFonts w:eastAsia="Calibri" w:cs="Times New Roman"/>
          <w:bCs/>
          <w:szCs w:val="26"/>
        </w:rPr>
        <w:t>,</w:t>
      </w:r>
      <w:r w:rsidR="00F84C00" w:rsidRPr="00F1714B">
        <w:rPr>
          <w:rFonts w:eastAsia="Calibri" w:cs="Times New Roman"/>
          <w:bCs/>
          <w:szCs w:val="26"/>
        </w:rPr>
        <w:t xml:space="preserve"> and we will adopt our proposal to retain Subchapter F in Chapter 64 of Title 52 of the Pa. Code for competitive and noncompetitive local calling areas, consistent with our discussion in the </w:t>
      </w:r>
      <w:r w:rsidR="00F84C00" w:rsidRPr="00F1714B">
        <w:rPr>
          <w:rFonts w:eastAsia="Calibri" w:cs="Times New Roman"/>
          <w:bCs/>
          <w:i/>
          <w:iCs/>
          <w:szCs w:val="26"/>
        </w:rPr>
        <w:t>NPRM Order</w:t>
      </w:r>
      <w:r w:rsidR="00F84C00" w:rsidRPr="00F1714B">
        <w:rPr>
          <w:rFonts w:eastAsia="Calibri" w:cs="Times New Roman"/>
          <w:bCs/>
          <w:szCs w:val="26"/>
        </w:rPr>
        <w:t xml:space="preserve">.  </w:t>
      </w:r>
    </w:p>
    <w:p w14:paraId="4AC36084" w14:textId="77777777" w:rsidR="00C327CB" w:rsidRPr="00F1714B" w:rsidRDefault="00C327CB" w:rsidP="00C327CB">
      <w:pPr>
        <w:ind w:firstLine="720"/>
        <w:rPr>
          <w:rFonts w:eastAsia="Calibri" w:cs="Times New Roman"/>
          <w:bCs/>
          <w:szCs w:val="26"/>
        </w:rPr>
      </w:pPr>
    </w:p>
    <w:p w14:paraId="04AD7609" w14:textId="47FBAB8E" w:rsidR="00F84C00" w:rsidRPr="00F1714B" w:rsidRDefault="00F84C00" w:rsidP="00C327CB">
      <w:pPr>
        <w:rPr>
          <w:rFonts w:eastAsia="Calibri" w:cs="Times New Roman"/>
          <w:bCs/>
          <w:szCs w:val="26"/>
        </w:rPr>
      </w:pPr>
      <w:r w:rsidRPr="00F1714B">
        <w:rPr>
          <w:rFonts w:eastAsia="Calibri" w:cs="Times New Roman"/>
          <w:bCs/>
          <w:szCs w:val="26"/>
        </w:rPr>
        <w:tab/>
        <w:t xml:space="preserve">We reject TCC/CCL’s suggested change with respect to basic </w:t>
      </w:r>
      <w:r w:rsidR="00A032AB" w:rsidRPr="00F1714B">
        <w:rPr>
          <w:rFonts w:eastAsia="Calibri" w:cs="Times New Roman"/>
          <w:bCs/>
          <w:szCs w:val="26"/>
        </w:rPr>
        <w:t xml:space="preserve">local exchange </w:t>
      </w:r>
      <w:r w:rsidRPr="00F1714B">
        <w:rPr>
          <w:rFonts w:eastAsia="Calibri" w:cs="Times New Roman"/>
          <w:bCs/>
          <w:szCs w:val="26"/>
        </w:rPr>
        <w:t xml:space="preserve">service </w:t>
      </w:r>
      <w:r w:rsidR="00CE3244" w:rsidRPr="00F1714B">
        <w:rPr>
          <w:rFonts w:eastAsia="Calibri" w:cs="Times New Roman"/>
          <w:bCs/>
          <w:szCs w:val="26"/>
        </w:rPr>
        <w:t>as</w:t>
      </w:r>
      <w:r w:rsidRPr="00F1714B">
        <w:rPr>
          <w:rFonts w:eastAsia="Calibri" w:cs="Times New Roman"/>
          <w:bCs/>
          <w:szCs w:val="26"/>
        </w:rPr>
        <w:t xml:space="preserve"> unnecessary because the current regulation does not require a LEC to specify an amount past due for basic service if the LEC does not provide basic service.  </w:t>
      </w:r>
      <w:r w:rsidR="00CE3244" w:rsidRPr="00F1714B">
        <w:rPr>
          <w:rFonts w:eastAsia="Calibri" w:cs="Times New Roman"/>
          <w:bCs/>
          <w:szCs w:val="26"/>
        </w:rPr>
        <w:t xml:space="preserve">However, we agree with TCC/CCL’s recommendation that we allow electronic transmittal of termination notices. TCC/CCL Comments at 28. Consistent with our goal of modernizing our rules to reflect current technology, we shall modify Section 64.123 to permit electronic transmittal of telephone termination notices as long as the customer consents specifically to receiving termination notices electronically.  We further note that our rules allow a LEC to transmit bills electronically so this outcome is entirely consistent what we allow for billing.  </w:t>
      </w:r>
    </w:p>
    <w:p w14:paraId="0FF00A3F" w14:textId="77777777" w:rsidR="00B737B0" w:rsidRPr="00F1714B" w:rsidRDefault="00B737B0" w:rsidP="00A21B42">
      <w:pPr>
        <w:rPr>
          <w:rFonts w:eastAsia="Calibri" w:cs="Times New Roman"/>
          <w:bCs/>
          <w:szCs w:val="26"/>
        </w:rPr>
      </w:pPr>
    </w:p>
    <w:p w14:paraId="4A97FBDA" w14:textId="77777777" w:rsidR="00F84C00" w:rsidRPr="00F1714B" w:rsidRDefault="00F84C00" w:rsidP="001B781E">
      <w:pPr>
        <w:keepNext/>
        <w:keepLines/>
        <w:spacing w:line="240" w:lineRule="auto"/>
        <w:ind w:left="720"/>
        <w:rPr>
          <w:rFonts w:eastAsia="Calibri" w:cs="Times New Roman"/>
          <w:b/>
          <w:bCs/>
          <w:szCs w:val="26"/>
        </w:rPr>
      </w:pPr>
      <w:r w:rsidRPr="00F1714B">
        <w:rPr>
          <w:rFonts w:eastAsia="Calibri" w:cs="Times New Roman"/>
          <w:b/>
          <w:bCs/>
          <w:szCs w:val="26"/>
        </w:rPr>
        <w:lastRenderedPageBreak/>
        <w:t>G.</w:t>
      </w:r>
      <w:r w:rsidRPr="00F1714B">
        <w:rPr>
          <w:rFonts w:eastAsia="Calibri" w:cs="Times New Roman"/>
          <w:b/>
          <w:bCs/>
          <w:szCs w:val="26"/>
        </w:rPr>
        <w:tab/>
        <w:t>Subchapter G (Disputes; Informal and Formal Complaints)</w:t>
      </w:r>
    </w:p>
    <w:p w14:paraId="43A5BF46" w14:textId="77777777" w:rsidR="00F84C00" w:rsidRPr="00F1714B" w:rsidRDefault="00F84C00" w:rsidP="001B781E">
      <w:pPr>
        <w:keepNext/>
        <w:keepLines/>
        <w:spacing w:line="240" w:lineRule="auto"/>
        <w:ind w:left="1440"/>
        <w:rPr>
          <w:rFonts w:eastAsia="Calibri" w:cs="Times New Roman"/>
          <w:bCs/>
          <w:szCs w:val="26"/>
        </w:rPr>
      </w:pPr>
      <w:r w:rsidRPr="00F1714B">
        <w:rPr>
          <w:rFonts w:eastAsia="Calibri" w:cs="Times New Roman"/>
          <w:b/>
          <w:szCs w:val="26"/>
        </w:rPr>
        <w:t xml:space="preserve">52 Pa. Code §§ 64.151 – 64.154 </w:t>
      </w:r>
    </w:p>
    <w:p w14:paraId="48A7BB8B" w14:textId="77777777" w:rsidR="00F84C00" w:rsidRPr="00F1714B" w:rsidRDefault="00F84C00" w:rsidP="001B781E">
      <w:pPr>
        <w:keepNext/>
        <w:keepLines/>
        <w:spacing w:line="240" w:lineRule="auto"/>
        <w:rPr>
          <w:rFonts w:eastAsia="Calibri" w:cs="Times New Roman"/>
          <w:szCs w:val="26"/>
        </w:rPr>
      </w:pPr>
    </w:p>
    <w:p w14:paraId="65D2988A" w14:textId="495FBF86" w:rsidR="00F84C00" w:rsidRPr="00F1714B" w:rsidRDefault="00F84C00" w:rsidP="001B781E">
      <w:pPr>
        <w:keepNext/>
        <w:keepLines/>
        <w:tabs>
          <w:tab w:val="left" w:pos="720"/>
          <w:tab w:val="left" w:pos="1440"/>
        </w:tabs>
        <w:rPr>
          <w:rFonts w:eastAsia="Calibri" w:cs="Times New Roman"/>
          <w:bCs/>
          <w:szCs w:val="26"/>
        </w:rPr>
      </w:pPr>
      <w:r w:rsidRPr="00F1714B">
        <w:rPr>
          <w:rFonts w:eastAsia="Calibri" w:cs="Times New Roman"/>
          <w:bCs/>
          <w:szCs w:val="26"/>
        </w:rPr>
        <w:tab/>
        <w:t xml:space="preserve">We did not grant a waiver of Subchapter G in the </w:t>
      </w:r>
      <w:r w:rsidRPr="00F1714B">
        <w:rPr>
          <w:rFonts w:eastAsia="Calibri" w:cs="Times New Roman"/>
          <w:bCs/>
          <w:i/>
          <w:iCs/>
          <w:szCs w:val="26"/>
        </w:rPr>
        <w:t xml:space="preserve">Reclassification Order </w:t>
      </w:r>
      <w:r w:rsidRPr="00F1714B">
        <w:rPr>
          <w:rFonts w:eastAsia="Calibri" w:cs="Times New Roman"/>
          <w:bCs/>
          <w:szCs w:val="26"/>
        </w:rPr>
        <w:t>for Verizon since a customer has a legal right to file an informal or a formal service complaint with the Commission, and we wanted to ensure and control the complaint process.</w:t>
      </w:r>
      <w:r w:rsidRPr="00F1714B">
        <w:rPr>
          <w:rFonts w:eastAsia="Calibri" w:cs="Times New Roman"/>
          <w:bCs/>
          <w:szCs w:val="26"/>
          <w:vertAlign w:val="superscript"/>
        </w:rPr>
        <w:footnoteReference w:id="101"/>
      </w:r>
      <w:r w:rsidRPr="00F1714B">
        <w:rPr>
          <w:rFonts w:eastAsia="Calibri" w:cs="Times New Roman"/>
          <w:bCs/>
          <w:szCs w:val="26"/>
        </w:rPr>
        <w:t xml:space="preserve">  However, the Commission proposed a streamlined warm transfer process available for all Verizon retail customers in competitive wire centers who </w:t>
      </w:r>
      <w:r w:rsidR="001E361D" w:rsidRPr="00F1714B">
        <w:rPr>
          <w:rFonts w:eastAsia="Calibri" w:cs="Times New Roman"/>
          <w:bCs/>
          <w:szCs w:val="26"/>
        </w:rPr>
        <w:t>submitted</w:t>
      </w:r>
      <w:r w:rsidRPr="00F1714B">
        <w:rPr>
          <w:rFonts w:eastAsia="Calibri" w:cs="Times New Roman"/>
          <w:bCs/>
          <w:szCs w:val="26"/>
        </w:rPr>
        <w:t xml:space="preserve"> an informal complaint to BCS about service and also </w:t>
      </w:r>
      <w:r w:rsidR="001E361D" w:rsidRPr="00F1714B">
        <w:rPr>
          <w:rFonts w:eastAsia="Calibri" w:cs="Times New Roman"/>
          <w:bCs/>
          <w:szCs w:val="26"/>
        </w:rPr>
        <w:t>added</w:t>
      </w:r>
      <w:r w:rsidRPr="00F1714B">
        <w:rPr>
          <w:rFonts w:eastAsia="Calibri" w:cs="Times New Roman"/>
          <w:bCs/>
          <w:szCs w:val="26"/>
        </w:rPr>
        <w:t xml:space="preserve"> billing-related complaints.</w:t>
      </w:r>
    </w:p>
    <w:p w14:paraId="5B32C631" w14:textId="77777777" w:rsidR="00F84C00" w:rsidRPr="00F1714B" w:rsidRDefault="00F84C00" w:rsidP="001B781E">
      <w:pPr>
        <w:keepNext/>
        <w:keepLines/>
        <w:tabs>
          <w:tab w:val="left" w:pos="720"/>
          <w:tab w:val="left" w:pos="1440"/>
        </w:tabs>
        <w:rPr>
          <w:rFonts w:eastAsia="Calibri" w:cs="Times New Roman"/>
          <w:bCs/>
          <w:szCs w:val="26"/>
        </w:rPr>
      </w:pPr>
      <w:r w:rsidRPr="00F1714B">
        <w:rPr>
          <w:rFonts w:eastAsia="Calibri" w:cs="Times New Roman"/>
          <w:bCs/>
          <w:szCs w:val="26"/>
        </w:rPr>
        <w:tab/>
      </w:r>
    </w:p>
    <w:p w14:paraId="45EA1A65" w14:textId="049F10A5" w:rsidR="00F84C00" w:rsidRPr="00F1714B" w:rsidRDefault="00F84C00" w:rsidP="00C327CB">
      <w:pPr>
        <w:keepNext/>
        <w:keepLines/>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we determined that we should preserve the full scope and protections provided to residential </w:t>
      </w:r>
      <w:r w:rsidR="009754F1" w:rsidRPr="00F1714B">
        <w:rPr>
          <w:rFonts w:eastAsia="Calibri" w:cs="Times New Roman"/>
          <w:bCs/>
          <w:szCs w:val="26"/>
        </w:rPr>
        <w:t xml:space="preserve">basic </w:t>
      </w:r>
      <w:r w:rsidRPr="00F1714B">
        <w:rPr>
          <w:rFonts w:eastAsia="Calibri" w:cs="Times New Roman"/>
          <w:bCs/>
          <w:szCs w:val="26"/>
        </w:rPr>
        <w:t xml:space="preserve">local </w:t>
      </w:r>
      <w:r w:rsidR="009754F1" w:rsidRPr="00F1714B">
        <w:rPr>
          <w:rFonts w:eastAsia="Calibri" w:cs="Times New Roman"/>
          <w:bCs/>
          <w:szCs w:val="26"/>
        </w:rPr>
        <w:t xml:space="preserve">exchange </w:t>
      </w:r>
      <w:r w:rsidRPr="00F1714B">
        <w:rPr>
          <w:rFonts w:eastAsia="Calibri" w:cs="Times New Roman"/>
          <w:bCs/>
          <w:szCs w:val="26"/>
        </w:rPr>
        <w:t xml:space="preserve">service customers, whether in competitive or </w:t>
      </w:r>
      <w:r w:rsidR="00D23620" w:rsidRPr="00F1714B">
        <w:rPr>
          <w:rFonts w:eastAsia="Calibri" w:cs="Times New Roman"/>
          <w:bCs/>
          <w:szCs w:val="26"/>
        </w:rPr>
        <w:t>noncompetitive</w:t>
      </w:r>
      <w:r w:rsidRPr="00F1714B">
        <w:rPr>
          <w:rFonts w:eastAsia="Calibri" w:cs="Times New Roman"/>
          <w:bCs/>
          <w:szCs w:val="26"/>
        </w:rPr>
        <w:t xml:space="preserve"> areas.  Thus, in consideration of our determination that we should have uniform standards across all geographic areas on matters affecting customer service suspension or termination, we proposed to retain the entirety of Subchapter G throughout all geographic areas.  Notwithstanding, we also proposed amendments to relevant Subchapter G regulations to add new language to provide </w:t>
      </w:r>
      <w:r w:rsidRPr="00F1714B">
        <w:rPr>
          <w:rFonts w:eastAsia="Calibri" w:cs="Times New Roman"/>
          <w:color w:val="000000"/>
          <w:szCs w:val="26"/>
        </w:rPr>
        <w:t>all jurisdictional LECs with the option to participate in a warm transfer or similar program for service and/or billing</w:t>
      </w:r>
      <w:r w:rsidR="009754F1" w:rsidRPr="00F1714B">
        <w:rPr>
          <w:rFonts w:eastAsia="Calibri" w:cs="Times New Roman"/>
          <w:color w:val="000000"/>
          <w:szCs w:val="26"/>
        </w:rPr>
        <w:t>-</w:t>
      </w:r>
      <w:r w:rsidRPr="00F1714B">
        <w:rPr>
          <w:rFonts w:eastAsia="Calibri" w:cs="Times New Roman"/>
          <w:color w:val="000000"/>
          <w:szCs w:val="26"/>
        </w:rPr>
        <w:t xml:space="preserve">related disputes made to BCS.  </w:t>
      </w:r>
    </w:p>
    <w:p w14:paraId="4103714E" w14:textId="77777777" w:rsidR="00F84C00" w:rsidRPr="00F1714B" w:rsidRDefault="00F84C00" w:rsidP="00C327CB">
      <w:pPr>
        <w:tabs>
          <w:tab w:val="left" w:pos="720"/>
          <w:tab w:val="left" w:pos="1440"/>
        </w:tabs>
        <w:rPr>
          <w:rFonts w:eastAsia="Calibri" w:cs="Times New Roman"/>
          <w:bCs/>
          <w:szCs w:val="26"/>
        </w:rPr>
      </w:pPr>
    </w:p>
    <w:p w14:paraId="3C1E844B" w14:textId="77777777" w:rsidR="00F84C00" w:rsidRPr="00F1714B" w:rsidRDefault="00F84C00" w:rsidP="00C327CB">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79C60B9B" w14:textId="06015AE8" w:rsidR="00F84C00" w:rsidRDefault="00F84C00" w:rsidP="00C327CB">
      <w:pPr>
        <w:ind w:firstLine="720"/>
        <w:rPr>
          <w:rFonts w:eastAsia="Calibri" w:cs="Times New Roman"/>
        </w:rPr>
      </w:pPr>
      <w:r w:rsidRPr="00F1714B">
        <w:rPr>
          <w:rFonts w:eastAsia="Calibri" w:cs="Times New Roman"/>
        </w:rPr>
        <w:t>The OCA supports the Commission’s proposal to retain these informal complaint procedures and to add a warm transfer option, noting that the option could allay “consumer frustration when the consumer is unable contact an actual utility customer service representative to address a service or billing concern.”  OCA Comments at 37.</w:t>
      </w:r>
    </w:p>
    <w:p w14:paraId="7D0935E4" w14:textId="77777777" w:rsidR="00C327CB" w:rsidRPr="00F1714B" w:rsidRDefault="00C327CB" w:rsidP="00C327CB">
      <w:pPr>
        <w:ind w:firstLine="720"/>
        <w:rPr>
          <w:rFonts w:eastAsia="Calibri" w:cs="Times New Roman"/>
        </w:rPr>
      </w:pPr>
    </w:p>
    <w:p w14:paraId="5FD96475" w14:textId="4EC18A8E" w:rsidR="00F84C00" w:rsidRPr="00F1714B" w:rsidRDefault="00F84C00" w:rsidP="00F84C00">
      <w:pPr>
        <w:ind w:firstLine="720"/>
        <w:rPr>
          <w:rFonts w:eastAsia="Calibri" w:cs="Times New Roman"/>
        </w:rPr>
      </w:pPr>
      <w:r w:rsidRPr="00F1714B">
        <w:rPr>
          <w:rFonts w:eastAsia="Calibri" w:cs="Times New Roman"/>
        </w:rPr>
        <w:t xml:space="preserve">Referring to the Commission’s proposed “warm transfer” option, TCC/CCL refer the Commission to </w:t>
      </w:r>
      <w:r w:rsidR="009754F1" w:rsidRPr="00F1714B">
        <w:rPr>
          <w:rFonts w:eastAsia="Calibri" w:cs="Times New Roman"/>
        </w:rPr>
        <w:t xml:space="preserve">our </w:t>
      </w:r>
      <w:r w:rsidRPr="00F1714B">
        <w:rPr>
          <w:rFonts w:eastAsia="Calibri" w:cs="Times New Roman"/>
        </w:rPr>
        <w:t xml:space="preserve">comments relative to subsection 63.15 (Complaint procedures) </w:t>
      </w:r>
      <w:r w:rsidRPr="00F1714B">
        <w:rPr>
          <w:rFonts w:eastAsia="Calibri" w:cs="Times New Roman"/>
        </w:rPr>
        <w:lastRenderedPageBreak/>
        <w:t>and “question whether the new process should be specified in both Chapter 63 and Chapter 64, or whether a single reference is more appropriate.” TCC/CCL Comments a 29.</w:t>
      </w:r>
    </w:p>
    <w:p w14:paraId="31EFB452" w14:textId="77777777" w:rsidR="00F84C00" w:rsidRPr="00F1714B" w:rsidRDefault="00F84C00" w:rsidP="00F84C00">
      <w:pPr>
        <w:ind w:firstLine="720"/>
        <w:rPr>
          <w:rFonts w:eastAsia="Calibri" w:cs="Times New Roman"/>
        </w:rPr>
      </w:pPr>
    </w:p>
    <w:p w14:paraId="53E58322" w14:textId="03FC09A1" w:rsidR="00F84C00" w:rsidRPr="00F1714B" w:rsidRDefault="00F84C00" w:rsidP="00C327CB">
      <w:pPr>
        <w:ind w:firstLine="720"/>
        <w:rPr>
          <w:rFonts w:eastAsia="Calibri" w:cs="Times New Roman"/>
        </w:rPr>
      </w:pPr>
      <w:r w:rsidRPr="00F1714B">
        <w:rPr>
          <w:rFonts w:eastAsia="Calibri" w:cs="Times New Roman"/>
        </w:rPr>
        <w:t xml:space="preserve">Verizon opposes retention of Chapter 64 dispute and complaint process, even in the modified form proposed by the Commission.  Verizon Comments at 31.  Verizon proposes to eliminate subchapter G and replace it with “a much simpler and customer friendly dispute resolution framework” by which BCS will accept informal complaints only relating to </w:t>
      </w:r>
      <w:bookmarkStart w:id="87" w:name="_Hlk81408905"/>
      <w:r w:rsidRPr="00F1714B">
        <w:rPr>
          <w:rFonts w:eastAsia="Calibri" w:cs="Times New Roman"/>
        </w:rPr>
        <w:t xml:space="preserve">residential </w:t>
      </w:r>
      <w:r w:rsidR="00D23620" w:rsidRPr="00F1714B">
        <w:rPr>
          <w:rFonts w:eastAsia="Calibri" w:cs="Times New Roman"/>
        </w:rPr>
        <w:t>standalone</w:t>
      </w:r>
      <w:r w:rsidRPr="00F1714B">
        <w:rPr>
          <w:rFonts w:eastAsia="Calibri" w:cs="Times New Roman"/>
        </w:rPr>
        <w:t xml:space="preserve"> noncompetitive service</w:t>
      </w:r>
      <w:bookmarkEnd w:id="87"/>
      <w:r w:rsidRPr="00F1714B">
        <w:rPr>
          <w:rFonts w:eastAsia="Calibri" w:cs="Times New Roman"/>
        </w:rPr>
        <w:t xml:space="preserve">, utilize the </w:t>
      </w:r>
      <w:r w:rsidR="00D23620" w:rsidRPr="00F1714B">
        <w:rPr>
          <w:rFonts w:eastAsia="Calibri" w:cs="Times New Roman"/>
        </w:rPr>
        <w:t xml:space="preserve">warm transfer </w:t>
      </w:r>
      <w:r w:rsidRPr="00F1714B">
        <w:rPr>
          <w:rFonts w:eastAsia="Calibri" w:cs="Times New Roman"/>
        </w:rPr>
        <w:t xml:space="preserve">option, and refer any other complaints relating to regulated service directly to the carrier. Verizon Comments at 31-32.  Verizon proposes to sunset the informal complaint process entirely by </w:t>
      </w:r>
      <w:r w:rsidR="009754F1" w:rsidRPr="00F1714B">
        <w:rPr>
          <w:rFonts w:eastAsia="Calibri" w:cs="Times New Roman"/>
        </w:rPr>
        <w:t xml:space="preserve">the </w:t>
      </w:r>
      <w:r w:rsidRPr="00F1714B">
        <w:rPr>
          <w:rFonts w:eastAsia="Calibri" w:cs="Times New Roman"/>
        </w:rPr>
        <w:t>end of 2023.  Verizon further proposes to replace the formal complaint process with a new process whereby all formal complaints relating retail telecommunications service shall be subject to mandatory mediation.  Verizon Comments at 32.</w:t>
      </w:r>
    </w:p>
    <w:p w14:paraId="26E484EC" w14:textId="77777777" w:rsidR="00F84C00" w:rsidRPr="00F1714B" w:rsidRDefault="00F84C00" w:rsidP="00C327CB">
      <w:pPr>
        <w:rPr>
          <w:rFonts w:eastAsia="Calibri" w:cs="Times New Roman"/>
          <w:b/>
          <w:szCs w:val="26"/>
        </w:rPr>
      </w:pPr>
    </w:p>
    <w:p w14:paraId="27CC15D9" w14:textId="77777777" w:rsidR="00F84C00" w:rsidRPr="00F1714B" w:rsidRDefault="00F84C00" w:rsidP="00C327CB">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7C86A67D" w14:textId="77777777" w:rsidR="00232258" w:rsidRPr="00F1714B" w:rsidRDefault="00F84C00" w:rsidP="00C327CB">
      <w:pPr>
        <w:tabs>
          <w:tab w:val="left" w:pos="720"/>
          <w:tab w:val="left" w:pos="1440"/>
        </w:tabs>
        <w:rPr>
          <w:rFonts w:eastAsia="Calibri" w:cs="Times New Roman"/>
          <w:bCs/>
          <w:szCs w:val="26"/>
        </w:rPr>
      </w:pPr>
      <w:r w:rsidRPr="00F1714B">
        <w:rPr>
          <w:rFonts w:eastAsia="Calibri" w:cs="Times New Roman"/>
          <w:bCs/>
          <w:szCs w:val="26"/>
        </w:rPr>
        <w:tab/>
        <w:t>The Commission rejects any adverse comments to its proposed retention of Subchapter G</w:t>
      </w:r>
      <w:r w:rsidR="00341730" w:rsidRPr="00F1714B">
        <w:rPr>
          <w:rFonts w:eastAsia="Calibri" w:cs="Times New Roman"/>
          <w:bCs/>
          <w:szCs w:val="26"/>
        </w:rPr>
        <w:t>,</w:t>
      </w:r>
      <w:r w:rsidRPr="00F1714B">
        <w:rPr>
          <w:rFonts w:eastAsia="Calibri" w:cs="Times New Roman"/>
          <w:bCs/>
          <w:szCs w:val="26"/>
        </w:rPr>
        <w:t xml:space="preserve"> and we will adopt our proposal to retain Subchapter G in Chapter 64 of Title 52 of the Pa. Code for competitive and noncompetitive local calling areas, consistent with our discussion in the </w:t>
      </w:r>
      <w:r w:rsidRPr="00F1714B">
        <w:rPr>
          <w:rFonts w:eastAsia="Calibri" w:cs="Times New Roman"/>
          <w:bCs/>
          <w:i/>
          <w:iCs/>
          <w:szCs w:val="26"/>
        </w:rPr>
        <w:t>NPRM Order</w:t>
      </w:r>
      <w:r w:rsidRPr="00F1714B">
        <w:rPr>
          <w:rFonts w:eastAsia="Calibri" w:cs="Times New Roman"/>
          <w:bCs/>
          <w:szCs w:val="26"/>
        </w:rPr>
        <w:t xml:space="preserve">.  We also adopt our proposal to add a warm transfer process to the Subchapter G regulations in the final form regulations.  We agree with OCA’s assessment that the warm transfer process will facilitate more and higher quality interactions between consumers and LEC customer-facing representatives.  </w:t>
      </w:r>
    </w:p>
    <w:p w14:paraId="31AB5544" w14:textId="77777777" w:rsidR="00232258" w:rsidRPr="00F1714B" w:rsidRDefault="00232258" w:rsidP="00F84C00">
      <w:pPr>
        <w:tabs>
          <w:tab w:val="left" w:pos="720"/>
          <w:tab w:val="left" w:pos="1440"/>
        </w:tabs>
        <w:rPr>
          <w:rFonts w:eastAsia="Calibri" w:cs="Times New Roman"/>
          <w:bCs/>
          <w:szCs w:val="26"/>
        </w:rPr>
      </w:pPr>
    </w:p>
    <w:p w14:paraId="5B6EDD94" w14:textId="4881587E" w:rsidR="00F84C00" w:rsidRPr="00F1714B" w:rsidRDefault="00232258" w:rsidP="00F84C00">
      <w:pPr>
        <w:tabs>
          <w:tab w:val="left" w:pos="720"/>
          <w:tab w:val="left" w:pos="1440"/>
        </w:tabs>
        <w:rPr>
          <w:rFonts w:eastAsia="Calibri" w:cs="Times New Roman"/>
          <w:bCs/>
          <w:szCs w:val="26"/>
        </w:rPr>
      </w:pPr>
      <w:r w:rsidRPr="00F1714B">
        <w:rPr>
          <w:rFonts w:eastAsia="Calibri" w:cs="Times New Roman"/>
          <w:bCs/>
          <w:szCs w:val="26"/>
        </w:rPr>
        <w:tab/>
      </w:r>
      <w:r w:rsidR="00F84C00" w:rsidRPr="00F1714B">
        <w:rPr>
          <w:rFonts w:eastAsia="Calibri" w:cs="Times New Roman"/>
          <w:bCs/>
          <w:szCs w:val="26"/>
        </w:rPr>
        <w:t xml:space="preserve">We disagree with Verizon that we should restrict the informal complaint process to residential </w:t>
      </w:r>
      <w:r w:rsidR="00D23620" w:rsidRPr="00F1714B">
        <w:rPr>
          <w:rFonts w:eastAsia="Calibri" w:cs="Times New Roman"/>
          <w:bCs/>
          <w:szCs w:val="26"/>
        </w:rPr>
        <w:t>standalone</w:t>
      </w:r>
      <w:r w:rsidR="00F84C00" w:rsidRPr="00F1714B">
        <w:rPr>
          <w:rFonts w:eastAsia="Calibri" w:cs="Times New Roman"/>
          <w:bCs/>
          <w:szCs w:val="26"/>
        </w:rPr>
        <w:t xml:space="preserve"> noncompetitive service, and we find no legal or factual support for such a restriction.  Nor do we find any merit to Verizon’s suggestion that we sunset the informal complaint process entirely or require that all formal complaints be subject to </w:t>
      </w:r>
      <w:r w:rsidR="00F84C00" w:rsidRPr="00F1714B">
        <w:rPr>
          <w:rFonts w:eastAsia="Calibri" w:cs="Times New Roman"/>
          <w:bCs/>
          <w:szCs w:val="26"/>
        </w:rPr>
        <w:lastRenderedPageBreak/>
        <w:t xml:space="preserve">mediation.  </w:t>
      </w:r>
      <w:r w:rsidR="00C145F6" w:rsidRPr="00F1714B">
        <w:rPr>
          <w:rFonts w:eastAsia="Calibri" w:cs="Times New Roman"/>
          <w:bCs/>
          <w:szCs w:val="26"/>
        </w:rPr>
        <w:t>As previously discussed</w:t>
      </w:r>
      <w:r w:rsidR="00442190" w:rsidRPr="00F1714B">
        <w:rPr>
          <w:rFonts w:eastAsia="Calibri" w:cs="Times New Roman"/>
          <w:bCs/>
          <w:szCs w:val="26"/>
        </w:rPr>
        <w:t xml:space="preserve">, </w:t>
      </w:r>
      <w:r w:rsidR="00C145F6" w:rsidRPr="00F1714B">
        <w:rPr>
          <w:szCs w:val="26"/>
        </w:rPr>
        <w:t xml:space="preserve">the Commission is required under the Code to promulgate regulations </w:t>
      </w:r>
      <w:r w:rsidR="00452A66" w:rsidRPr="00F1714B">
        <w:rPr>
          <w:szCs w:val="26"/>
        </w:rPr>
        <w:t>that allow</w:t>
      </w:r>
      <w:r w:rsidR="00C145F6" w:rsidRPr="00F1714B">
        <w:rPr>
          <w:szCs w:val="26"/>
        </w:rPr>
        <w:t xml:space="preserve"> for a consumer to make an informal complaint with the Commission’s BCS, </w:t>
      </w:r>
      <w:r w:rsidR="00ED047D" w:rsidRPr="00F1714B">
        <w:rPr>
          <w:szCs w:val="26"/>
        </w:rPr>
        <w:t>and</w:t>
      </w:r>
      <w:r w:rsidR="00C145F6" w:rsidRPr="00F1714B">
        <w:rPr>
          <w:szCs w:val="26"/>
        </w:rPr>
        <w:t xml:space="preserve"> BCS is required under the Code to receive, investigate and issue final determination on all informal complaints.  </w:t>
      </w:r>
      <w:r w:rsidR="00F84C00" w:rsidRPr="00F1714B">
        <w:rPr>
          <w:rFonts w:eastAsia="Calibri" w:cs="Times New Roman"/>
          <w:bCs/>
          <w:szCs w:val="26"/>
        </w:rPr>
        <w:t>And</w:t>
      </w:r>
      <w:r w:rsidRPr="00F1714B">
        <w:rPr>
          <w:rFonts w:eastAsia="Calibri" w:cs="Times New Roman"/>
          <w:bCs/>
          <w:szCs w:val="26"/>
        </w:rPr>
        <w:t>,</w:t>
      </w:r>
      <w:r w:rsidR="00F84C00" w:rsidRPr="00F1714B">
        <w:rPr>
          <w:rFonts w:eastAsia="Calibri" w:cs="Times New Roman"/>
          <w:bCs/>
          <w:szCs w:val="26"/>
        </w:rPr>
        <w:t xml:space="preserve"> the Commission’s existing rules provide for mediation when appropriate</w:t>
      </w:r>
      <w:r w:rsidR="009754F1" w:rsidRPr="00F1714B">
        <w:rPr>
          <w:rFonts w:eastAsia="Calibri" w:cs="Times New Roman"/>
          <w:bCs/>
          <w:szCs w:val="26"/>
        </w:rPr>
        <w:t xml:space="preserve"> but without mandating it on any party, particularly residential cust</w:t>
      </w:r>
      <w:r w:rsidRPr="00F1714B">
        <w:rPr>
          <w:rFonts w:eastAsia="Calibri" w:cs="Times New Roman"/>
          <w:bCs/>
          <w:szCs w:val="26"/>
        </w:rPr>
        <w:t>o</w:t>
      </w:r>
      <w:r w:rsidR="009754F1" w:rsidRPr="00F1714B">
        <w:rPr>
          <w:rFonts w:eastAsia="Calibri" w:cs="Times New Roman"/>
          <w:bCs/>
          <w:szCs w:val="26"/>
        </w:rPr>
        <w:t>mers</w:t>
      </w:r>
      <w:r w:rsidR="00F84C00" w:rsidRPr="00F1714B">
        <w:rPr>
          <w:rFonts w:eastAsia="Calibri" w:cs="Times New Roman"/>
          <w:bCs/>
          <w:szCs w:val="26"/>
        </w:rPr>
        <w:t>.  Accordingly, we retain Subchapter G in Chapter 64 of Title 52 of the Pa. Code as modified in the final-form regulation set forth in the Annex.</w:t>
      </w:r>
    </w:p>
    <w:p w14:paraId="47375600" w14:textId="77777777" w:rsidR="00F84C00" w:rsidRPr="00F1714B" w:rsidRDefault="00F84C00" w:rsidP="00F84C00">
      <w:pPr>
        <w:tabs>
          <w:tab w:val="left" w:pos="720"/>
          <w:tab w:val="left" w:pos="1440"/>
        </w:tabs>
        <w:rPr>
          <w:rFonts w:eastAsia="Calibri" w:cs="Times New Roman"/>
          <w:bCs/>
          <w:szCs w:val="26"/>
        </w:rPr>
      </w:pPr>
    </w:p>
    <w:p w14:paraId="30EB12AC" w14:textId="77777777" w:rsidR="00F84C00" w:rsidRPr="00F1714B" w:rsidRDefault="00F84C00" w:rsidP="00F84C00">
      <w:pPr>
        <w:keepNext/>
        <w:keepLines/>
        <w:spacing w:line="240" w:lineRule="auto"/>
        <w:ind w:left="720"/>
        <w:rPr>
          <w:rFonts w:eastAsia="Calibri" w:cs="Times New Roman"/>
          <w:b/>
          <w:bCs/>
          <w:szCs w:val="26"/>
        </w:rPr>
      </w:pPr>
      <w:r w:rsidRPr="00F1714B">
        <w:rPr>
          <w:rFonts w:eastAsia="Calibri" w:cs="Times New Roman"/>
          <w:b/>
          <w:bCs/>
          <w:szCs w:val="26"/>
        </w:rPr>
        <w:t>H.</w:t>
      </w:r>
      <w:r w:rsidRPr="00F1714B">
        <w:rPr>
          <w:rFonts w:eastAsia="Calibri" w:cs="Times New Roman"/>
          <w:b/>
          <w:bCs/>
          <w:szCs w:val="26"/>
        </w:rPr>
        <w:tab/>
        <w:t>Subchapter H (Restoration of Service)</w:t>
      </w:r>
    </w:p>
    <w:p w14:paraId="45380DB3" w14:textId="77777777" w:rsidR="00F84C00" w:rsidRPr="00F1714B" w:rsidRDefault="00F84C00" w:rsidP="00F84C00">
      <w:pPr>
        <w:keepNext/>
        <w:keepLines/>
        <w:spacing w:line="240" w:lineRule="auto"/>
        <w:ind w:left="1080" w:firstLine="360"/>
        <w:rPr>
          <w:rFonts w:eastAsia="Calibri" w:cs="Times New Roman"/>
          <w:b/>
          <w:bCs/>
          <w:szCs w:val="26"/>
        </w:rPr>
      </w:pPr>
      <w:r w:rsidRPr="00F1714B">
        <w:rPr>
          <w:rFonts w:eastAsia="Calibri" w:cs="Times New Roman"/>
          <w:b/>
          <w:bCs/>
          <w:szCs w:val="26"/>
        </w:rPr>
        <w:t>52 Pa. Code §§ 64.181—64.182</w:t>
      </w:r>
    </w:p>
    <w:p w14:paraId="1272753B" w14:textId="77777777" w:rsidR="00F84C00" w:rsidRPr="00F1714B" w:rsidRDefault="00F84C00" w:rsidP="00F84C00">
      <w:pPr>
        <w:keepNext/>
        <w:keepLines/>
        <w:spacing w:line="240" w:lineRule="auto"/>
        <w:rPr>
          <w:rFonts w:eastAsia="Calibri" w:cs="Times New Roman"/>
          <w:szCs w:val="26"/>
        </w:rPr>
      </w:pPr>
    </w:p>
    <w:p w14:paraId="4C080CCF" w14:textId="77777777"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Reclassification Order</w:t>
      </w:r>
      <w:r w:rsidRPr="00F1714B">
        <w:rPr>
          <w:rFonts w:eastAsia="Calibri" w:cs="Times New Roman"/>
          <w:bCs/>
          <w:szCs w:val="26"/>
        </w:rPr>
        <w:t>, the Commission temporarily waived all of Subchapter H as to Verizon’s provision of residential service in competitive wire centers.</w:t>
      </w:r>
      <w:r w:rsidRPr="00F1714B">
        <w:rPr>
          <w:rFonts w:eastAsia="Calibri" w:cs="Times New Roman"/>
          <w:bCs/>
          <w:szCs w:val="26"/>
          <w:vertAlign w:val="superscript"/>
        </w:rPr>
        <w:footnoteReference w:id="102"/>
      </w:r>
      <w:r w:rsidRPr="00F1714B">
        <w:rPr>
          <w:rFonts w:eastAsia="Calibri" w:cs="Times New Roman"/>
          <w:bCs/>
          <w:szCs w:val="26"/>
        </w:rPr>
        <w:t xml:space="preserve">  In the </w:t>
      </w:r>
      <w:r w:rsidRPr="00F1714B">
        <w:rPr>
          <w:rFonts w:eastAsia="Calibri" w:cs="Times New Roman"/>
          <w:bCs/>
          <w:i/>
          <w:iCs/>
          <w:szCs w:val="26"/>
        </w:rPr>
        <w:t>NPRM Order</w:t>
      </w:r>
      <w:r w:rsidRPr="00F1714B">
        <w:rPr>
          <w:rFonts w:eastAsia="Calibri" w:cs="Times New Roman"/>
          <w:bCs/>
          <w:szCs w:val="26"/>
        </w:rPr>
        <w:t xml:space="preserve">, we determined that Section 64.182 is unnecessary and proposed to rescind it.  However, consistent with our previous proposals to permanently retain the applicability of certain service suspension and termination regulations for both competitive and noncompetitive wire centers, we proposed the following: (1) the </w:t>
      </w:r>
      <w:r w:rsidRPr="00F1714B">
        <w:rPr>
          <w:rFonts w:eastAsia="Calibri" w:cs="Times New Roman"/>
          <w:szCs w:val="26"/>
        </w:rPr>
        <w:t>retention of Section 64.181 for all geographic areas; (2) the amendment of Section 64.181 to include reference to “product guides or other similar documents” in addition to a LEC’s lawful tariff to the extent those terms are applicable to the particular service.</w:t>
      </w:r>
      <w:r w:rsidRPr="00F1714B" w:rsidDel="0010394D">
        <w:rPr>
          <w:rFonts w:eastAsia="Calibri" w:cs="Times New Roman"/>
          <w:szCs w:val="26"/>
        </w:rPr>
        <w:t xml:space="preserve"> </w:t>
      </w:r>
    </w:p>
    <w:p w14:paraId="6BE039C3" w14:textId="77777777" w:rsidR="00F84C00" w:rsidRPr="00F1714B" w:rsidRDefault="00F84C00" w:rsidP="00F84C00">
      <w:pPr>
        <w:rPr>
          <w:rFonts w:eastAsia="Calibri" w:cs="Times New Roman"/>
          <w:szCs w:val="26"/>
        </w:rPr>
      </w:pPr>
    </w:p>
    <w:p w14:paraId="1414E282" w14:textId="77777777" w:rsidR="00F84C00" w:rsidRPr="00F1714B" w:rsidRDefault="00F84C00" w:rsidP="00131F5E">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004241AA"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retain Section 64.181 in all geographic areas, with minor revisions to acknowledge existence of a pricing guide or tariff, and to eliminate Section 64.182.  OCA Comments at 37.</w:t>
      </w:r>
    </w:p>
    <w:p w14:paraId="08DDBF39" w14:textId="77777777" w:rsidR="00F84C00" w:rsidRPr="00F1714B" w:rsidRDefault="00F84C00" w:rsidP="00F84C00">
      <w:pPr>
        <w:ind w:firstLine="720"/>
        <w:rPr>
          <w:rFonts w:eastAsia="Calibri" w:cs="Times New Roman"/>
        </w:rPr>
      </w:pPr>
    </w:p>
    <w:p w14:paraId="3DFDA47B" w14:textId="71981D55" w:rsidR="00F84C00" w:rsidRPr="00F1714B" w:rsidRDefault="00F84C00" w:rsidP="00F84C00">
      <w:pPr>
        <w:ind w:firstLine="720"/>
        <w:rPr>
          <w:rFonts w:eastAsia="Calibri" w:cs="Times New Roman"/>
        </w:rPr>
      </w:pPr>
      <w:r w:rsidRPr="00F1714B">
        <w:rPr>
          <w:rFonts w:eastAsia="Calibri" w:cs="Times New Roman"/>
        </w:rPr>
        <w:t xml:space="preserve">Verizon opposes the Commission’s proposal to reinstate the Subchapter H rules because in Verizon’s view, they are unnecessary and obsolete in today’s competitive </w:t>
      </w:r>
      <w:r w:rsidRPr="00F1714B">
        <w:rPr>
          <w:rFonts w:eastAsia="Calibri" w:cs="Times New Roman"/>
        </w:rPr>
        <w:lastRenderedPageBreak/>
        <w:t xml:space="preserve">marketplace, which the Commission recognized when it granted waivers from these rules in competitive exchanges in 2015.  Verizon Comments at 31.  Verizon proposes that the Commission to apply these rules only to basic residential telephone service, to be sunset </w:t>
      </w:r>
      <w:r w:rsidR="009754F1" w:rsidRPr="00F1714B">
        <w:rPr>
          <w:rFonts w:eastAsia="Calibri" w:cs="Times New Roman"/>
        </w:rPr>
        <w:t xml:space="preserve">at the </w:t>
      </w:r>
      <w:r w:rsidRPr="00F1714B">
        <w:rPr>
          <w:rFonts w:eastAsia="Calibri" w:cs="Times New Roman"/>
        </w:rPr>
        <w:t>end of 2023, with the proviso that section 1501 of the Code shall continue to govern all aspects of regulated carrier services.  Verizon Comments at 31.</w:t>
      </w:r>
    </w:p>
    <w:p w14:paraId="469BE26F" w14:textId="77777777" w:rsidR="00F84C00" w:rsidRPr="00F1714B" w:rsidRDefault="00F84C00" w:rsidP="00F84C00">
      <w:pPr>
        <w:ind w:firstLine="720"/>
        <w:rPr>
          <w:rFonts w:eastAsia="Calibri" w:cs="Times New Roman"/>
        </w:rPr>
      </w:pPr>
    </w:p>
    <w:p w14:paraId="654A8C1F" w14:textId="77777777" w:rsidR="00F84C00" w:rsidRPr="00F1714B" w:rsidRDefault="00F84C00" w:rsidP="00F84C00">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77EE6C42" w14:textId="23AA64E4"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bCs/>
          <w:szCs w:val="26"/>
        </w:rPr>
        <w:tab/>
        <w:t xml:space="preserve"> The Commission rejects </w:t>
      </w:r>
      <w:r w:rsidR="00D23620" w:rsidRPr="00F1714B">
        <w:rPr>
          <w:rFonts w:eastAsia="Calibri" w:cs="Times New Roman"/>
          <w:bCs/>
          <w:szCs w:val="26"/>
        </w:rPr>
        <w:t xml:space="preserve">Verizon’s </w:t>
      </w:r>
      <w:r w:rsidRPr="00F1714B">
        <w:rPr>
          <w:rFonts w:eastAsia="Calibri" w:cs="Times New Roman"/>
          <w:bCs/>
          <w:szCs w:val="26"/>
        </w:rPr>
        <w:t>adverse comments to its proposed retention of Subchapter H, Section 64.181</w:t>
      </w:r>
      <w:r w:rsidR="00D23620" w:rsidRPr="00F1714B">
        <w:rPr>
          <w:rFonts w:eastAsia="Calibri" w:cs="Times New Roman"/>
          <w:bCs/>
          <w:szCs w:val="26"/>
        </w:rPr>
        <w:t xml:space="preserve"> for reasons previously stated</w:t>
      </w:r>
      <w:r w:rsidRPr="00F1714B">
        <w:rPr>
          <w:rFonts w:eastAsia="Calibri" w:cs="Times New Roman"/>
          <w:bCs/>
          <w:szCs w:val="26"/>
        </w:rPr>
        <w:t xml:space="preserve">, and we will adopt our proposal to retain this regulation for competitive and noncompetitive local calling areas, consistent with our discussion in the </w:t>
      </w:r>
      <w:r w:rsidRPr="00F1714B">
        <w:rPr>
          <w:rFonts w:eastAsia="Calibri" w:cs="Times New Roman"/>
          <w:bCs/>
          <w:i/>
          <w:iCs/>
          <w:szCs w:val="26"/>
        </w:rPr>
        <w:t>NPRM Order</w:t>
      </w:r>
      <w:r w:rsidRPr="00F1714B">
        <w:rPr>
          <w:rFonts w:eastAsia="Calibri" w:cs="Times New Roman"/>
          <w:bCs/>
          <w:szCs w:val="26"/>
        </w:rPr>
        <w:t xml:space="preserve">.  We also adopt our proposal to modify Section 64.181 as set forth in the Annex to the </w:t>
      </w:r>
      <w:r w:rsidRPr="00F1714B">
        <w:rPr>
          <w:rFonts w:eastAsia="Calibri" w:cs="Times New Roman"/>
          <w:bCs/>
          <w:i/>
          <w:iCs/>
          <w:szCs w:val="26"/>
        </w:rPr>
        <w:t>NPRM Order</w:t>
      </w:r>
      <w:r w:rsidRPr="00F1714B">
        <w:rPr>
          <w:rFonts w:eastAsia="Calibri" w:cs="Times New Roman"/>
          <w:bCs/>
          <w:szCs w:val="26"/>
        </w:rPr>
        <w:t>.  Finally, we adopt our proposal to rescind Section 64.182 not</w:t>
      </w:r>
      <w:r w:rsidR="00D23620" w:rsidRPr="00F1714B">
        <w:rPr>
          <w:rFonts w:eastAsia="Calibri" w:cs="Times New Roman"/>
          <w:bCs/>
          <w:szCs w:val="26"/>
        </w:rPr>
        <w:t>ing</w:t>
      </w:r>
      <w:r w:rsidRPr="00F1714B">
        <w:rPr>
          <w:rFonts w:eastAsia="Calibri" w:cs="Times New Roman"/>
          <w:bCs/>
          <w:szCs w:val="26"/>
        </w:rPr>
        <w:t xml:space="preserve"> that no party opposes that recission.  </w:t>
      </w:r>
      <w:bookmarkStart w:id="88" w:name="_Hlk81471412"/>
      <w:r w:rsidRPr="00F1714B">
        <w:rPr>
          <w:rFonts w:eastAsia="Calibri" w:cs="Times New Roman"/>
          <w:bCs/>
          <w:szCs w:val="26"/>
        </w:rPr>
        <w:t>Accordingly, the retention of Section 64.181 as modified</w:t>
      </w:r>
      <w:r w:rsidR="00341730" w:rsidRPr="00F1714B">
        <w:rPr>
          <w:rFonts w:eastAsia="Calibri" w:cs="Times New Roman"/>
          <w:bCs/>
          <w:szCs w:val="26"/>
        </w:rPr>
        <w:t>,</w:t>
      </w:r>
      <w:r w:rsidRPr="00F1714B">
        <w:rPr>
          <w:rFonts w:eastAsia="Calibri" w:cs="Times New Roman"/>
          <w:bCs/>
          <w:szCs w:val="26"/>
        </w:rPr>
        <w:t xml:space="preserve"> and the rescission of Section 64.182 from Chapter 64 of Title 52 of the Pa. Code will be incorporated in the final-form regulation set forth in the Annex.</w:t>
      </w:r>
    </w:p>
    <w:bookmarkEnd w:id="88"/>
    <w:p w14:paraId="10BC0881" w14:textId="77777777" w:rsidR="00F84C00" w:rsidRPr="00F1714B" w:rsidRDefault="00F84C00" w:rsidP="00F84C00">
      <w:pPr>
        <w:rPr>
          <w:rFonts w:eastAsia="Calibri" w:cs="Times New Roman"/>
          <w:b/>
          <w:szCs w:val="26"/>
        </w:rPr>
      </w:pPr>
    </w:p>
    <w:p w14:paraId="189EFF54" w14:textId="77777777" w:rsidR="00F84C00" w:rsidRPr="00F1714B" w:rsidRDefault="00F84C00" w:rsidP="00F84C00">
      <w:pPr>
        <w:spacing w:line="240" w:lineRule="auto"/>
        <w:rPr>
          <w:rFonts w:eastAsia="Calibri" w:cs="Times New Roman"/>
          <w:b/>
          <w:bCs/>
          <w:szCs w:val="26"/>
        </w:rPr>
      </w:pPr>
      <w:r w:rsidRPr="00F1714B">
        <w:rPr>
          <w:rFonts w:eastAsia="Calibri" w:cs="Times New Roman"/>
          <w:b/>
          <w:szCs w:val="26"/>
        </w:rPr>
        <w:tab/>
      </w:r>
      <w:r w:rsidRPr="00F1714B">
        <w:rPr>
          <w:rFonts w:eastAsia="Calibri" w:cs="Times New Roman"/>
          <w:b/>
          <w:bCs/>
          <w:szCs w:val="26"/>
        </w:rPr>
        <w:t>I.</w:t>
      </w:r>
      <w:r w:rsidRPr="00F1714B">
        <w:rPr>
          <w:rFonts w:eastAsia="Calibri" w:cs="Times New Roman"/>
          <w:b/>
          <w:bCs/>
          <w:szCs w:val="26"/>
        </w:rPr>
        <w:tab/>
      </w:r>
      <w:bookmarkStart w:id="89" w:name="_Hlk83384457"/>
      <w:r w:rsidRPr="00F1714B">
        <w:rPr>
          <w:rFonts w:eastAsia="Calibri" w:cs="Times New Roman"/>
          <w:b/>
          <w:bCs/>
          <w:szCs w:val="26"/>
        </w:rPr>
        <w:t>Subchapter I (Public Information; Record Maintenance)</w:t>
      </w:r>
    </w:p>
    <w:p w14:paraId="26B5F16A" w14:textId="77777777" w:rsidR="00F84C00" w:rsidRPr="00F1714B" w:rsidRDefault="00F84C00" w:rsidP="00F84C00">
      <w:pPr>
        <w:keepNext/>
        <w:spacing w:line="240" w:lineRule="auto"/>
        <w:ind w:left="1440"/>
        <w:rPr>
          <w:rFonts w:eastAsia="Calibri" w:cs="Times New Roman"/>
          <w:b/>
          <w:bCs/>
          <w:szCs w:val="26"/>
        </w:rPr>
      </w:pPr>
      <w:r w:rsidRPr="00F1714B">
        <w:rPr>
          <w:rFonts w:eastAsia="Calibri" w:cs="Times New Roman"/>
          <w:b/>
          <w:bCs/>
          <w:szCs w:val="26"/>
        </w:rPr>
        <w:t xml:space="preserve">52 Pa. Code § 64.191 (Public Information); </w:t>
      </w:r>
    </w:p>
    <w:p w14:paraId="2CFB3651" w14:textId="77777777" w:rsidR="00F84C00" w:rsidRPr="00F1714B" w:rsidRDefault="00F84C00" w:rsidP="00F84C00">
      <w:pPr>
        <w:keepNext/>
        <w:spacing w:line="240" w:lineRule="auto"/>
        <w:ind w:left="1440"/>
        <w:rPr>
          <w:rFonts w:eastAsia="Calibri" w:cs="Times New Roman"/>
          <w:b/>
          <w:bCs/>
          <w:szCs w:val="26"/>
        </w:rPr>
      </w:pPr>
      <w:r w:rsidRPr="00F1714B">
        <w:rPr>
          <w:rFonts w:eastAsia="Calibri" w:cs="Times New Roman"/>
          <w:b/>
          <w:bCs/>
          <w:szCs w:val="26"/>
        </w:rPr>
        <w:t>52 Pa. Code § 64.192 (Record Maintenance)</w:t>
      </w:r>
    </w:p>
    <w:p w14:paraId="3C5F8DDA" w14:textId="77777777" w:rsidR="00F84C00" w:rsidRPr="00F1714B" w:rsidRDefault="00F84C00" w:rsidP="00F84C00">
      <w:pPr>
        <w:keepNext/>
        <w:spacing w:line="240" w:lineRule="auto"/>
        <w:ind w:left="720" w:firstLine="720"/>
        <w:rPr>
          <w:rFonts w:eastAsia="Calibri" w:cs="Times New Roman"/>
          <w:b/>
          <w:bCs/>
          <w:szCs w:val="26"/>
        </w:rPr>
      </w:pPr>
    </w:p>
    <w:bookmarkEnd w:id="89"/>
    <w:p w14:paraId="38D1C886" w14:textId="1B87AB7A"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The two separate regulations in Subchapter I address the requirements of fair marketing.  In the </w:t>
      </w:r>
      <w:r w:rsidRPr="00F1714B">
        <w:rPr>
          <w:rFonts w:eastAsia="Calibri" w:cs="Times New Roman"/>
          <w:bCs/>
          <w:i/>
          <w:szCs w:val="26"/>
        </w:rPr>
        <w:t>Reclassification Order</w:t>
      </w:r>
      <w:r w:rsidRPr="00F1714B">
        <w:rPr>
          <w:rFonts w:eastAsia="Calibri" w:cs="Times New Roman"/>
          <w:bCs/>
          <w:szCs w:val="26"/>
        </w:rPr>
        <w:t xml:space="preserve"> we temporarily waived Section 64.191(f) and (g) for Verizon as no longer necessary in a competitive environment.  However, we concluded that Sections 64.191 (a)—(d) provide necessary regulatory provisions governing applications for service and disclosure of information about available services to potential customers.  Since many customers receive bundled services, the Commission </w:t>
      </w:r>
      <w:r w:rsidRPr="00F1714B">
        <w:rPr>
          <w:rFonts w:eastAsia="Calibri" w:cs="Times New Roman"/>
          <w:bCs/>
          <w:szCs w:val="26"/>
        </w:rPr>
        <w:lastRenderedPageBreak/>
        <w:t>previously granted Verizon a waiver of Section 64.191(e) which addresses toll presubscription.</w:t>
      </w:r>
      <w:r w:rsidRPr="00F1714B">
        <w:rPr>
          <w:rFonts w:eastAsia="Calibri" w:cs="Times New Roman"/>
          <w:bCs/>
          <w:szCs w:val="26"/>
          <w:vertAlign w:val="superscript"/>
        </w:rPr>
        <w:footnoteReference w:id="103"/>
      </w:r>
      <w:r w:rsidRPr="00F1714B">
        <w:rPr>
          <w:rFonts w:eastAsia="Calibri" w:cs="Times New Roman"/>
          <w:bCs/>
          <w:szCs w:val="26"/>
        </w:rPr>
        <w:t xml:space="preserve">  </w:t>
      </w:r>
    </w:p>
    <w:p w14:paraId="63069ED5" w14:textId="77777777" w:rsidR="00F84C00" w:rsidRPr="00F1714B" w:rsidRDefault="00F84C00" w:rsidP="00F84C00">
      <w:pPr>
        <w:tabs>
          <w:tab w:val="left" w:pos="720"/>
          <w:tab w:val="left" w:pos="1440"/>
        </w:tabs>
        <w:rPr>
          <w:rFonts w:eastAsia="Calibri" w:cs="Times New Roman"/>
          <w:bCs/>
          <w:szCs w:val="26"/>
        </w:rPr>
      </w:pPr>
    </w:p>
    <w:p w14:paraId="10084FA3" w14:textId="52040537" w:rsidR="00F84C00" w:rsidRPr="00F1714B" w:rsidRDefault="00F84C00" w:rsidP="00F84C00">
      <w:pPr>
        <w:tabs>
          <w:tab w:val="left" w:pos="720"/>
          <w:tab w:val="left" w:pos="1440"/>
        </w:tabs>
        <w:rPr>
          <w:rFonts w:eastAsia="Calibri" w:cs="Times New Roman"/>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w:t>
      </w:r>
      <w:r w:rsidRPr="00F1714B">
        <w:rPr>
          <w:rFonts w:eastAsia="Calibri" w:cs="Times New Roman"/>
          <w:szCs w:val="26"/>
        </w:rPr>
        <w:t xml:space="preserve">we determined that it is necessary that both parties, the customer and the LEC, know their rights and responsibilities when entering a new service arrangement and thus, we proposed the permanent retention of Sections 64.191(a)—(d) and (f)—(g) for all geographic areas.  However, in the Annex to the </w:t>
      </w:r>
      <w:r w:rsidRPr="00F1714B">
        <w:rPr>
          <w:rFonts w:eastAsia="Calibri" w:cs="Times New Roman"/>
          <w:i/>
          <w:iCs/>
          <w:szCs w:val="26"/>
        </w:rPr>
        <w:t>NPRM Order</w:t>
      </w:r>
      <w:r w:rsidRPr="00F1714B">
        <w:rPr>
          <w:rFonts w:eastAsia="Calibri" w:cs="Times New Roman"/>
          <w:szCs w:val="26"/>
        </w:rPr>
        <w:t xml:space="preserve">, we also proposed to amend 64.191(g) to require this information be made only to new customers and thereafter only upon request.  </w:t>
      </w:r>
    </w:p>
    <w:p w14:paraId="29E3D62A" w14:textId="77777777" w:rsidR="00F84C00" w:rsidRPr="00F1714B" w:rsidRDefault="00F84C00" w:rsidP="00F84C00">
      <w:pPr>
        <w:tabs>
          <w:tab w:val="left" w:pos="720"/>
          <w:tab w:val="left" w:pos="1440"/>
        </w:tabs>
        <w:rPr>
          <w:rFonts w:eastAsia="Calibri" w:cs="Times New Roman"/>
          <w:szCs w:val="26"/>
        </w:rPr>
      </w:pPr>
    </w:p>
    <w:p w14:paraId="249BDAB5" w14:textId="1D387F2C" w:rsidR="00F84C00" w:rsidRPr="00F1714B" w:rsidRDefault="00F84C00" w:rsidP="00F84C00">
      <w:pPr>
        <w:tabs>
          <w:tab w:val="left" w:pos="720"/>
          <w:tab w:val="left" w:pos="1440"/>
        </w:tabs>
        <w:rPr>
          <w:rFonts w:eastAsia="Calibri" w:cs="Times New Roman"/>
          <w:szCs w:val="26"/>
        </w:rPr>
      </w:pPr>
      <w:r w:rsidRPr="00F1714B">
        <w:rPr>
          <w:rFonts w:eastAsia="Calibri" w:cs="Times New Roman"/>
          <w:szCs w:val="26"/>
        </w:rPr>
        <w:tab/>
        <w:t xml:space="preserve">With regard to Section 64.191(e) and being cognizant of the fact that many of our ILECS were previously granted </w:t>
      </w:r>
      <w:r w:rsidRPr="00F1714B">
        <w:rPr>
          <w:rFonts w:eastAsia="Calibri" w:cs="Times New Roman"/>
        </w:rPr>
        <w:t>a temporary waiver of this regulatory section,</w:t>
      </w:r>
      <w:r w:rsidRPr="00F1714B">
        <w:rPr>
          <w:rFonts w:eastAsia="Calibri" w:cs="Times New Roman"/>
          <w:vertAlign w:val="superscript"/>
        </w:rPr>
        <w:footnoteReference w:id="104"/>
      </w:r>
      <w:r w:rsidRPr="00F1714B">
        <w:rPr>
          <w:rFonts w:eastAsia="Calibri" w:cs="Times New Roman"/>
        </w:rPr>
        <w:t xml:space="preserve"> we determined that </w:t>
      </w:r>
      <w:r w:rsidRPr="00F1714B">
        <w:rPr>
          <w:rFonts w:eastAsia="Calibri" w:cs="Times New Roman"/>
          <w:szCs w:val="26"/>
        </w:rPr>
        <w:t xml:space="preserve">this regulation was no longer relevant and proposed its rescission in the </w:t>
      </w:r>
      <w:r w:rsidRPr="00F1714B">
        <w:rPr>
          <w:rFonts w:eastAsia="Calibri" w:cs="Times New Roman"/>
          <w:i/>
          <w:iCs/>
          <w:szCs w:val="26"/>
        </w:rPr>
        <w:t>NPRM Order</w:t>
      </w:r>
      <w:r w:rsidRPr="00F1714B">
        <w:rPr>
          <w:rFonts w:eastAsia="Calibri" w:cs="Times New Roman"/>
          <w:szCs w:val="26"/>
        </w:rPr>
        <w:t>.</w:t>
      </w:r>
    </w:p>
    <w:p w14:paraId="0A22163E" w14:textId="77777777" w:rsidR="00F84C00" w:rsidRPr="00F1714B" w:rsidRDefault="00F84C00" w:rsidP="00F84C00">
      <w:pPr>
        <w:tabs>
          <w:tab w:val="left" w:pos="720"/>
          <w:tab w:val="left" w:pos="1440"/>
        </w:tabs>
        <w:rPr>
          <w:rFonts w:eastAsia="Calibri" w:cs="Times New Roman"/>
          <w:szCs w:val="26"/>
        </w:rPr>
      </w:pPr>
    </w:p>
    <w:p w14:paraId="58BBFCBF"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szCs w:val="26"/>
        </w:rPr>
        <w:tab/>
        <w:t xml:space="preserve">Additionally, </w:t>
      </w:r>
      <w:r w:rsidRPr="00F1714B">
        <w:rPr>
          <w:rFonts w:eastAsia="Calibri" w:cs="Times New Roman"/>
          <w:bCs/>
          <w:szCs w:val="26"/>
        </w:rPr>
        <w:t xml:space="preserve">we concluded that the record retention requirement in Section 64.192 can and does assist when various disputes arise as well as in the resolution of informal and formal complaints.  We determined that since such record generation, retention and storage are being performed through electronic means in the ordinary course of business of telecommunications utilities by their respective billing and operational support systems, that the requirement to maintain such records uniformly for residential services provided in both competitive and noncompetitive wire centers does not appear to constitute an administrative burden.  Thus, we proposed to retain Section 64.192 for all geographic areas. </w:t>
      </w:r>
    </w:p>
    <w:p w14:paraId="3EDC1C61" w14:textId="77777777" w:rsidR="00F84C00" w:rsidRPr="00F1714B" w:rsidRDefault="00F84C00" w:rsidP="00F84C00">
      <w:pPr>
        <w:tabs>
          <w:tab w:val="left" w:pos="720"/>
          <w:tab w:val="left" w:pos="1440"/>
        </w:tabs>
        <w:rPr>
          <w:rFonts w:eastAsia="Calibri" w:cs="Times New Roman"/>
          <w:bCs/>
          <w:szCs w:val="26"/>
        </w:rPr>
      </w:pPr>
    </w:p>
    <w:p w14:paraId="1D398BC8" w14:textId="77777777" w:rsidR="00F84C00" w:rsidRPr="00F1714B" w:rsidRDefault="00F84C00" w:rsidP="00131F5E">
      <w:pPr>
        <w:ind w:left="1440" w:firstLine="720"/>
        <w:rPr>
          <w:rFonts w:eastAsia="Calibri" w:cs="Times New Roman"/>
          <w:b/>
          <w:szCs w:val="26"/>
        </w:rPr>
      </w:pPr>
      <w:r w:rsidRPr="00F1714B">
        <w:rPr>
          <w:rFonts w:eastAsia="Calibri" w:cs="Times New Roman"/>
          <w:b/>
          <w:szCs w:val="26"/>
        </w:rPr>
        <w:lastRenderedPageBreak/>
        <w:t>a.</w:t>
      </w:r>
      <w:r w:rsidRPr="00F1714B">
        <w:rPr>
          <w:rFonts w:eastAsia="Calibri" w:cs="Times New Roman"/>
          <w:b/>
          <w:szCs w:val="26"/>
        </w:rPr>
        <w:tab/>
        <w:t>Comments and Replies</w:t>
      </w:r>
    </w:p>
    <w:p w14:paraId="43B449A1" w14:textId="6E069AA7" w:rsidR="00F84C00" w:rsidRPr="00F1714B" w:rsidRDefault="00F84C00" w:rsidP="00F84C00">
      <w:pPr>
        <w:ind w:firstLine="720"/>
        <w:rPr>
          <w:rFonts w:eastAsia="Calibri" w:cs="Times New Roman"/>
        </w:rPr>
      </w:pPr>
      <w:r w:rsidRPr="00F1714B">
        <w:rPr>
          <w:rFonts w:eastAsia="Calibri" w:cs="Times New Roman"/>
        </w:rPr>
        <w:t>With respect to subparts (a) and (b) of subsection 64.191, IRRC notes with approval a commentator’s suggestion that “basic service” should be replaced with “of service for which the applicant is eligible” “since some LECs may not provide ‘basic service’ as contemplated in this regulation.”  IRRC Comments at 9.</w:t>
      </w:r>
    </w:p>
    <w:p w14:paraId="0E67E205" w14:textId="77777777" w:rsidR="00902857" w:rsidRPr="00F1714B" w:rsidRDefault="00902857" w:rsidP="00F84C00">
      <w:pPr>
        <w:ind w:firstLine="720"/>
        <w:rPr>
          <w:rFonts w:eastAsia="Calibri" w:cs="Times New Roman"/>
        </w:rPr>
      </w:pPr>
    </w:p>
    <w:p w14:paraId="76797463" w14:textId="77777777" w:rsidR="00F84C00" w:rsidRPr="00F1714B" w:rsidRDefault="00F84C00" w:rsidP="00F84C00">
      <w:pPr>
        <w:ind w:firstLine="720"/>
        <w:rPr>
          <w:rFonts w:eastAsia="Calibri" w:cs="Times New Roman"/>
        </w:rPr>
      </w:pPr>
      <w:r w:rsidRPr="00F1714B">
        <w:rPr>
          <w:rFonts w:eastAsia="Calibri" w:cs="Times New Roman"/>
        </w:rPr>
        <w:t>Additionally, with respect to subpart (f) of subsection 64.191, IRRC agrees with a commentator that “this provision can be deleted as it is no longer relevant given the movement away from saturation delivery of white page directories.”  IRRC Comments at 9.</w:t>
      </w:r>
    </w:p>
    <w:p w14:paraId="2C72DE12" w14:textId="77777777" w:rsidR="00F84C00" w:rsidRPr="00F1714B" w:rsidRDefault="00F84C00" w:rsidP="00F84C00">
      <w:pPr>
        <w:ind w:firstLine="720"/>
        <w:rPr>
          <w:rFonts w:eastAsia="Calibri" w:cs="Times New Roman"/>
        </w:rPr>
      </w:pPr>
    </w:p>
    <w:p w14:paraId="4DBE25CA"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retain this rule in all geographic areas, and to revise the rule to eliminate reference to toll presubscription and to only require that information be provided to new customers.  OCA Comments at 38.  OCA further proposes to eliminate the reference to “telephone directory” in subsection 64.191(f)(4) as “no longer relevant.”  OCA Comments at 38.  OCA also supports the Commission’s proposal to retain Section 64.191 rule in all geographic areas, noting that “this regulation and information covered is still needed and relevant, given the use of the “warm transfer” approach to management of consumer disputes as well consumer concerns arising from the copper to fiber network transition.”  OCA Comments at 39.</w:t>
      </w:r>
    </w:p>
    <w:p w14:paraId="12BC9AA4" w14:textId="77777777" w:rsidR="00F84C00" w:rsidRPr="00F1714B" w:rsidRDefault="00F84C00" w:rsidP="00F84C00">
      <w:pPr>
        <w:rPr>
          <w:rFonts w:eastAsia="Calibri" w:cs="Times New Roman"/>
        </w:rPr>
      </w:pPr>
    </w:p>
    <w:p w14:paraId="68853A67" w14:textId="77777777" w:rsidR="00F84C00" w:rsidRPr="00F1714B" w:rsidRDefault="00F84C00" w:rsidP="00F84C00">
      <w:pPr>
        <w:ind w:firstLine="720"/>
        <w:rPr>
          <w:rFonts w:eastAsia="Calibri" w:cs="Times New Roman"/>
        </w:rPr>
      </w:pPr>
      <w:r w:rsidRPr="00F1714B">
        <w:rPr>
          <w:rFonts w:eastAsia="Calibri" w:cs="Times New Roman"/>
        </w:rPr>
        <w:t>TCC/CCL propose that the Commission modify its proposed language for this rule to eliminate references to basic service, since in TCC/CCL’s view, competitive carriers may choose not to offer basic service.  TCC/CCL Comments at 29.</w:t>
      </w:r>
    </w:p>
    <w:p w14:paraId="5A1E5D6E" w14:textId="77777777" w:rsidR="00F84C00" w:rsidRPr="00F1714B" w:rsidRDefault="00F84C00" w:rsidP="00F84C00">
      <w:pPr>
        <w:rPr>
          <w:rFonts w:eastAsia="Calibri" w:cs="Times New Roman"/>
        </w:rPr>
      </w:pPr>
    </w:p>
    <w:p w14:paraId="59F320E6" w14:textId="1B7386BD" w:rsidR="00F84C00" w:rsidRPr="00F1714B" w:rsidRDefault="00F84C00" w:rsidP="00131F5E">
      <w:pPr>
        <w:ind w:firstLine="720"/>
        <w:rPr>
          <w:rFonts w:eastAsia="Calibri" w:cs="Times New Roman"/>
        </w:rPr>
      </w:pPr>
      <w:bookmarkStart w:id="90" w:name="_Hlk75958679"/>
      <w:r w:rsidRPr="00F1714B">
        <w:rPr>
          <w:rFonts w:eastAsia="Calibri" w:cs="Times New Roman"/>
        </w:rPr>
        <w:t xml:space="preserve">Verizon opposes the Commission’s proposal to retain the Subchapter I rules because in Verizon’s view, they are unnecessary and obsolete in today’s competitive marketplace.  </w:t>
      </w:r>
      <w:bookmarkEnd w:id="90"/>
      <w:r w:rsidRPr="00F1714B">
        <w:rPr>
          <w:rFonts w:eastAsia="Calibri" w:cs="Times New Roman"/>
        </w:rPr>
        <w:t xml:space="preserve">According to Verizon, “consumers today value the streamlined interactions </w:t>
      </w:r>
      <w:r w:rsidRPr="00F1714B">
        <w:rPr>
          <w:rFonts w:eastAsia="Calibri" w:cs="Times New Roman"/>
        </w:rPr>
        <w:lastRenderedPageBreak/>
        <w:t xml:space="preserve">typical of unregulated providers” but the rules force regulated carriers “to communicate in an annoying and confusing manner.”  Verizon Comments at 32. </w:t>
      </w:r>
    </w:p>
    <w:p w14:paraId="5F41EC86" w14:textId="77777777" w:rsidR="00F84C00" w:rsidRPr="00F1714B" w:rsidRDefault="00F84C00" w:rsidP="00131F5E">
      <w:pPr>
        <w:rPr>
          <w:rFonts w:eastAsia="Calibri" w:cs="Times New Roman"/>
          <w:b/>
          <w:szCs w:val="26"/>
        </w:rPr>
      </w:pPr>
    </w:p>
    <w:p w14:paraId="7F1BA9C4" w14:textId="77777777" w:rsidR="00F84C00" w:rsidRPr="00F1714B" w:rsidRDefault="00F84C00" w:rsidP="00F84C00">
      <w:pPr>
        <w:keepNext/>
        <w:keepLines/>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634CC348" w14:textId="3CB99D04" w:rsidR="00F84C00" w:rsidRPr="00F1714B" w:rsidRDefault="00F84C00" w:rsidP="00F84C00">
      <w:pPr>
        <w:keepNext/>
        <w:keepLines/>
        <w:tabs>
          <w:tab w:val="left" w:pos="720"/>
          <w:tab w:val="left" w:pos="1440"/>
        </w:tabs>
        <w:rPr>
          <w:rFonts w:eastAsia="Calibri" w:cs="Times New Roman"/>
          <w:bCs/>
          <w:szCs w:val="26"/>
        </w:rPr>
      </w:pPr>
      <w:r w:rsidRPr="00F1714B">
        <w:rPr>
          <w:rFonts w:eastAsia="Calibri" w:cs="Times New Roman"/>
          <w:szCs w:val="26"/>
        </w:rPr>
        <w:tab/>
        <w:t xml:space="preserve">Ensuring that both parties to a new service know their rights and responsibilities affords protection to both the customer and the provider.  However, in our continual effort to balance burdens on providers with protections for customers, </w:t>
      </w:r>
      <w:r w:rsidR="00902857" w:rsidRPr="00F1714B">
        <w:rPr>
          <w:rFonts w:eastAsia="Calibri" w:cs="Times New Roman"/>
          <w:szCs w:val="26"/>
        </w:rPr>
        <w:t xml:space="preserve">we </w:t>
      </w:r>
      <w:r w:rsidRPr="00F1714B">
        <w:rPr>
          <w:rFonts w:eastAsia="Calibri" w:cs="Times New Roman"/>
          <w:szCs w:val="26"/>
        </w:rPr>
        <w:t>narrow</w:t>
      </w:r>
      <w:r w:rsidR="00902857" w:rsidRPr="00F1714B">
        <w:rPr>
          <w:rFonts w:eastAsia="Calibri" w:cs="Times New Roman"/>
          <w:szCs w:val="26"/>
        </w:rPr>
        <w:t>ed</w:t>
      </w:r>
      <w:r w:rsidRPr="00F1714B">
        <w:rPr>
          <w:rFonts w:eastAsia="Calibri" w:cs="Times New Roman"/>
          <w:szCs w:val="26"/>
        </w:rPr>
        <w:t xml:space="preserve"> the provision of this information to new customers only </w:t>
      </w:r>
      <w:r w:rsidR="00902857" w:rsidRPr="00F1714B">
        <w:rPr>
          <w:rFonts w:eastAsia="Calibri" w:cs="Times New Roman"/>
          <w:szCs w:val="26"/>
        </w:rPr>
        <w:t xml:space="preserve">to </w:t>
      </w:r>
      <w:r w:rsidRPr="00F1714B">
        <w:rPr>
          <w:rFonts w:eastAsia="Calibri" w:cs="Times New Roman"/>
          <w:szCs w:val="26"/>
        </w:rPr>
        <w:t>reduce our providers’ burdens while still protecting all parties to the transaction.</w:t>
      </w:r>
      <w:r w:rsidRPr="00F1714B">
        <w:rPr>
          <w:rFonts w:eastAsia="Calibri" w:cs="Times New Roman"/>
          <w:bCs/>
          <w:szCs w:val="26"/>
        </w:rPr>
        <w:t xml:space="preserve"> </w:t>
      </w:r>
    </w:p>
    <w:p w14:paraId="12EC7D65"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r>
    </w:p>
    <w:p w14:paraId="1593562C" w14:textId="37C964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r>
      <w:bookmarkStart w:id="91" w:name="_Hlk81413293"/>
      <w:r w:rsidRPr="00F1714B">
        <w:rPr>
          <w:rFonts w:eastAsia="Calibri" w:cs="Times New Roman"/>
          <w:bCs/>
          <w:szCs w:val="26"/>
        </w:rPr>
        <w:t xml:space="preserve">The Commission rejects </w:t>
      </w:r>
      <w:r w:rsidR="00902857" w:rsidRPr="00F1714B">
        <w:rPr>
          <w:rFonts w:eastAsia="Calibri" w:cs="Times New Roman"/>
          <w:bCs/>
          <w:szCs w:val="26"/>
        </w:rPr>
        <w:t xml:space="preserve">Verizon’s </w:t>
      </w:r>
      <w:r w:rsidRPr="00F1714B">
        <w:rPr>
          <w:rFonts w:eastAsia="Calibri" w:cs="Times New Roman"/>
          <w:bCs/>
          <w:szCs w:val="26"/>
        </w:rPr>
        <w:t xml:space="preserve">adverse comments to its proposed retention of Subchapter I, Sections 64.191 and 64.192 for competitive and noncompetitive local calling areas, </w:t>
      </w:r>
      <w:r w:rsidR="00902857" w:rsidRPr="00F1714B">
        <w:rPr>
          <w:rFonts w:eastAsia="Calibri" w:cs="Times New Roman"/>
          <w:bCs/>
          <w:szCs w:val="26"/>
        </w:rPr>
        <w:t xml:space="preserve">for reasons previously stated and </w:t>
      </w:r>
      <w:r w:rsidRPr="00F1714B">
        <w:rPr>
          <w:rFonts w:eastAsia="Calibri" w:cs="Times New Roman"/>
          <w:bCs/>
          <w:szCs w:val="26"/>
        </w:rPr>
        <w:t xml:space="preserve">consistent with the discussion in the </w:t>
      </w:r>
      <w:r w:rsidRPr="00F1714B">
        <w:rPr>
          <w:rFonts w:eastAsia="Calibri" w:cs="Times New Roman"/>
          <w:bCs/>
          <w:i/>
          <w:iCs/>
          <w:szCs w:val="26"/>
        </w:rPr>
        <w:t>NPRM Order</w:t>
      </w:r>
      <w:r w:rsidRPr="00F1714B">
        <w:rPr>
          <w:rFonts w:eastAsia="Calibri" w:cs="Times New Roman"/>
          <w:bCs/>
          <w:szCs w:val="26"/>
        </w:rPr>
        <w:t>.  However</w:t>
      </w:r>
      <w:r w:rsidR="00341730" w:rsidRPr="00F1714B">
        <w:rPr>
          <w:rFonts w:eastAsia="Calibri" w:cs="Times New Roman"/>
          <w:bCs/>
          <w:szCs w:val="26"/>
        </w:rPr>
        <w:t>,</w:t>
      </w:r>
      <w:r w:rsidRPr="00F1714B">
        <w:rPr>
          <w:rFonts w:eastAsia="Calibri" w:cs="Times New Roman"/>
          <w:bCs/>
          <w:szCs w:val="26"/>
        </w:rPr>
        <w:t xml:space="preserve"> we agree with the comments of TCC/CCL relative to basic service and we will further modify Section 64.191(a) and (b) to replace the word “basic” with the generic term “telecommunications.”  Accordingly, the retention of Sections 64.191 and 64.192 in Chapter 64 of Title 52 of the Pa.  Code as modified will be incorporated in the final-form regulation set forth in the Annex.</w:t>
      </w:r>
    </w:p>
    <w:bookmarkEnd w:id="91"/>
    <w:p w14:paraId="505D9E97" w14:textId="77777777" w:rsidR="00F84C00" w:rsidRPr="00F1714B" w:rsidRDefault="00F84C00" w:rsidP="00F84C00">
      <w:pPr>
        <w:tabs>
          <w:tab w:val="left" w:pos="720"/>
          <w:tab w:val="left" w:pos="1440"/>
        </w:tabs>
        <w:rPr>
          <w:rFonts w:eastAsia="Calibri" w:cs="Times New Roman"/>
          <w:szCs w:val="26"/>
        </w:rPr>
      </w:pPr>
    </w:p>
    <w:p w14:paraId="3299E112" w14:textId="77777777" w:rsidR="00F84C00" w:rsidRPr="00F1714B" w:rsidRDefault="00F84C00" w:rsidP="00F84C00">
      <w:pPr>
        <w:spacing w:line="240" w:lineRule="auto"/>
        <w:ind w:left="1440" w:hanging="720"/>
        <w:rPr>
          <w:rFonts w:eastAsia="Calibri" w:cs="Times New Roman"/>
          <w:b/>
          <w:bCs/>
          <w:szCs w:val="26"/>
        </w:rPr>
      </w:pPr>
      <w:r w:rsidRPr="00F1714B">
        <w:rPr>
          <w:rFonts w:eastAsia="Calibri" w:cs="Times New Roman"/>
          <w:b/>
          <w:bCs/>
          <w:szCs w:val="26"/>
        </w:rPr>
        <w:t>J.</w:t>
      </w:r>
      <w:r w:rsidRPr="00F1714B">
        <w:rPr>
          <w:rFonts w:eastAsia="Calibri" w:cs="Times New Roman"/>
          <w:b/>
          <w:bCs/>
          <w:szCs w:val="26"/>
        </w:rPr>
        <w:tab/>
        <w:t xml:space="preserve">Subchapter J (Annual Reporting Requirements) </w:t>
      </w:r>
    </w:p>
    <w:p w14:paraId="545C3DB0" w14:textId="77777777" w:rsidR="00F84C00" w:rsidRPr="00F1714B" w:rsidRDefault="00F84C00" w:rsidP="00F84C00">
      <w:pPr>
        <w:spacing w:line="240" w:lineRule="auto"/>
        <w:ind w:left="1440"/>
        <w:rPr>
          <w:rFonts w:eastAsia="Calibri" w:cs="Times New Roman"/>
          <w:b/>
          <w:bCs/>
          <w:szCs w:val="26"/>
        </w:rPr>
      </w:pPr>
      <w:r w:rsidRPr="00F1714B">
        <w:rPr>
          <w:rFonts w:eastAsia="Calibri" w:cs="Times New Roman"/>
          <w:b/>
          <w:bCs/>
          <w:szCs w:val="26"/>
        </w:rPr>
        <w:t>52 Pa. Code §§ 64.201—64.202</w:t>
      </w:r>
    </w:p>
    <w:p w14:paraId="71B77415" w14:textId="77777777" w:rsidR="00F84C00" w:rsidRPr="00F1714B" w:rsidRDefault="00F84C00" w:rsidP="00F84C00">
      <w:pPr>
        <w:spacing w:line="240" w:lineRule="auto"/>
        <w:contextualSpacing/>
        <w:rPr>
          <w:rFonts w:eastAsia="Calibri" w:cs="Times New Roman"/>
          <w:szCs w:val="26"/>
        </w:rPr>
      </w:pPr>
    </w:p>
    <w:p w14:paraId="25ED4018" w14:textId="77777777" w:rsidR="00F84C00" w:rsidRPr="00F1714B" w:rsidRDefault="00F84C00" w:rsidP="002E62CB">
      <w:pPr>
        <w:tabs>
          <w:tab w:val="left" w:pos="720"/>
          <w:tab w:val="left" w:pos="1440"/>
        </w:tabs>
        <w:ind w:firstLine="720"/>
        <w:rPr>
          <w:rFonts w:eastAsia="Calibri" w:cs="Times New Roman"/>
          <w:b/>
          <w:bCs/>
          <w:szCs w:val="26"/>
        </w:rPr>
      </w:pPr>
      <w:r w:rsidRPr="00F1714B">
        <w:rPr>
          <w:rFonts w:eastAsia="Calibri" w:cs="Times New Roman"/>
          <w:b/>
          <w:bCs/>
          <w:szCs w:val="26"/>
        </w:rPr>
        <w:tab/>
        <w:t>1.</w:t>
      </w:r>
      <w:r w:rsidRPr="00F1714B">
        <w:rPr>
          <w:rFonts w:eastAsia="Calibri" w:cs="Times New Roman"/>
          <w:b/>
          <w:bCs/>
          <w:szCs w:val="26"/>
        </w:rPr>
        <w:tab/>
        <w:t xml:space="preserve">52 Pa. Code § </w:t>
      </w:r>
      <w:bookmarkStart w:id="92" w:name="_Hlk83385268"/>
      <w:r w:rsidRPr="00F1714B">
        <w:rPr>
          <w:rFonts w:eastAsia="Calibri" w:cs="Times New Roman"/>
          <w:b/>
          <w:bCs/>
          <w:szCs w:val="26"/>
        </w:rPr>
        <w:t>64.201 (Reporting Requirements</w:t>
      </w:r>
      <w:bookmarkEnd w:id="92"/>
      <w:r w:rsidRPr="00F1714B">
        <w:rPr>
          <w:rFonts w:eastAsia="Calibri" w:cs="Times New Roman"/>
          <w:b/>
          <w:bCs/>
          <w:szCs w:val="26"/>
        </w:rPr>
        <w:t>)</w:t>
      </w:r>
    </w:p>
    <w:p w14:paraId="0BD1E033"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The Commission granted Verizon a temporary waiver of many, but not all, of the Section 64.201(b) reporting requirements for the 153 competitive wire centers.</w:t>
      </w:r>
      <w:r w:rsidRPr="00F1714B">
        <w:rPr>
          <w:rFonts w:eastAsia="Calibri" w:cs="Times New Roman"/>
          <w:bCs/>
          <w:szCs w:val="26"/>
          <w:vertAlign w:val="superscript"/>
        </w:rPr>
        <w:footnoteReference w:id="105"/>
      </w:r>
      <w:r w:rsidRPr="00F1714B">
        <w:rPr>
          <w:rFonts w:eastAsia="Calibri" w:cs="Times New Roman"/>
          <w:bCs/>
          <w:szCs w:val="26"/>
        </w:rPr>
        <w:t xml:space="preserve">  However, Verizon remained subject to the Section 64.201(a) annual reporting requirement that imposes on each LEC with residential accounts the obligation to file a report providing information that is set forth in Section 64.201(b).</w:t>
      </w:r>
      <w:r w:rsidRPr="00F1714B">
        <w:rPr>
          <w:rFonts w:eastAsia="Calibri" w:cs="Times New Roman"/>
          <w:bCs/>
          <w:szCs w:val="26"/>
          <w:vertAlign w:val="superscript"/>
        </w:rPr>
        <w:footnoteReference w:id="106"/>
      </w:r>
      <w:r w:rsidRPr="00F1714B">
        <w:rPr>
          <w:rFonts w:eastAsia="Calibri" w:cs="Times New Roman"/>
          <w:bCs/>
          <w:szCs w:val="26"/>
        </w:rPr>
        <w:t xml:space="preserve">  Specifically, </w:t>
      </w:r>
      <w:r w:rsidRPr="00F1714B">
        <w:rPr>
          <w:rFonts w:eastAsia="Calibri" w:cs="Times New Roman"/>
          <w:bCs/>
          <w:szCs w:val="26"/>
        </w:rPr>
        <w:lastRenderedPageBreak/>
        <w:t xml:space="preserve">Verizon was required to continue to comply with Section 64.201(a) and the following Section 64.201(b) provisions: (b)(2)(i), (b)(4)(i), (b)(5), (b)(6), (b)(7), (b)(8)(i), (b)(9)(i), and (b)(10)(i).  </w:t>
      </w:r>
    </w:p>
    <w:p w14:paraId="0D92C44B"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r>
    </w:p>
    <w:p w14:paraId="52813AD3" w14:textId="432A80B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 xml:space="preserve">In the </w:t>
      </w:r>
      <w:r w:rsidRPr="00F1714B">
        <w:rPr>
          <w:rFonts w:eastAsia="Calibri" w:cs="Times New Roman"/>
          <w:bCs/>
          <w:i/>
          <w:iCs/>
          <w:szCs w:val="26"/>
        </w:rPr>
        <w:t>NPRM Order,</w:t>
      </w:r>
      <w:r w:rsidRPr="00F1714B">
        <w:rPr>
          <w:rFonts w:eastAsia="Calibri" w:cs="Times New Roman"/>
          <w:bCs/>
          <w:szCs w:val="26"/>
        </w:rPr>
        <w:t xml:space="preserve"> the Commission determined that these reporting requirements for residential account information relative to non-basic and toll service data are no longer necessary in any area.  Consequently, in the Annex to the </w:t>
      </w:r>
      <w:r w:rsidRPr="00F1714B">
        <w:rPr>
          <w:rFonts w:eastAsia="Calibri" w:cs="Times New Roman"/>
          <w:bCs/>
          <w:i/>
          <w:iCs/>
          <w:szCs w:val="26"/>
        </w:rPr>
        <w:t>NPRM Order</w:t>
      </w:r>
      <w:r w:rsidRPr="00F1714B">
        <w:rPr>
          <w:rFonts w:eastAsia="Calibri" w:cs="Times New Roman"/>
          <w:bCs/>
          <w:szCs w:val="26"/>
        </w:rPr>
        <w:t xml:space="preserve">, we proposed to rescind 64.201(b)(2)(ii), (iii), and (iv); 64.201(b)(4)(ii), (iii), and (iv); 64.201(b)(8)(ii), (iii), and (iv); 64.201(b)(9)(ii), (iii), and (iv); 64.201(b)(10)(ii), (iii), and (iv); and 64.201(b)(11) and thereby limit each reporting requirement to basic </w:t>
      </w:r>
      <w:r w:rsidR="00902857" w:rsidRPr="00F1714B">
        <w:rPr>
          <w:rFonts w:eastAsia="Calibri" w:cs="Times New Roman"/>
          <w:bCs/>
          <w:szCs w:val="26"/>
        </w:rPr>
        <w:t xml:space="preserve">local exchange </w:t>
      </w:r>
      <w:r w:rsidRPr="00F1714B">
        <w:rPr>
          <w:rFonts w:eastAsia="Calibri" w:cs="Times New Roman"/>
          <w:bCs/>
          <w:szCs w:val="26"/>
        </w:rPr>
        <w:t xml:space="preserve">service.  </w:t>
      </w:r>
    </w:p>
    <w:p w14:paraId="42BA98BA" w14:textId="77777777" w:rsidR="00F84C00" w:rsidRPr="00F1714B" w:rsidRDefault="00F84C00" w:rsidP="00F84C00">
      <w:pPr>
        <w:tabs>
          <w:tab w:val="left" w:pos="720"/>
          <w:tab w:val="left" w:pos="1440"/>
        </w:tabs>
        <w:rPr>
          <w:rFonts w:eastAsia="Calibri" w:cs="Times New Roman"/>
          <w:bCs/>
          <w:szCs w:val="26"/>
        </w:rPr>
      </w:pPr>
    </w:p>
    <w:p w14:paraId="0B81FCE0" w14:textId="77777777" w:rsidR="00F84C00" w:rsidRPr="00F1714B" w:rsidRDefault="00F84C00" w:rsidP="00F84C00">
      <w:pPr>
        <w:tabs>
          <w:tab w:val="left" w:pos="720"/>
          <w:tab w:val="left" w:pos="1440"/>
        </w:tabs>
        <w:rPr>
          <w:rFonts w:eastAsia="Calibri" w:cs="Times New Roman"/>
          <w:bCs/>
          <w:szCs w:val="26"/>
        </w:rPr>
      </w:pPr>
      <w:r w:rsidRPr="00F1714B">
        <w:rPr>
          <w:rFonts w:eastAsia="Calibri" w:cs="Times New Roman"/>
          <w:bCs/>
          <w:szCs w:val="26"/>
        </w:rPr>
        <w:tab/>
        <w:t>However, because we also determined that the retention of the other reporting provisions in this subchapter continued to provide useful information regarding the status and assist our understanding of changes in the residential telecommunications services market, we proposed to retain the remaining reporting requirements in Section 64.201, including the previously temporarily waived subsections (b)(1) and (3) for all geographic areas.</w:t>
      </w:r>
    </w:p>
    <w:p w14:paraId="14CEE708" w14:textId="77777777" w:rsidR="00F84C00" w:rsidRPr="00F1714B" w:rsidRDefault="00F84C00" w:rsidP="00F84C00">
      <w:pPr>
        <w:spacing w:after="200" w:line="276" w:lineRule="auto"/>
        <w:rPr>
          <w:rFonts w:eastAsia="Calibri" w:cs="Times New Roman"/>
          <w:bCs/>
          <w:szCs w:val="26"/>
        </w:rPr>
      </w:pPr>
    </w:p>
    <w:p w14:paraId="6081E696" w14:textId="1304F4E5" w:rsidR="00F84C00" w:rsidRPr="00F1714B" w:rsidRDefault="00F84C00" w:rsidP="00F84C00">
      <w:pPr>
        <w:ind w:firstLine="720"/>
        <w:rPr>
          <w:rFonts w:eastAsia="Calibri" w:cs="Times New Roman"/>
          <w:bCs/>
          <w:szCs w:val="26"/>
        </w:rPr>
      </w:pPr>
      <w:r w:rsidRPr="00F1714B">
        <w:rPr>
          <w:rFonts w:eastAsia="Calibri" w:cs="Times New Roman"/>
          <w:bCs/>
          <w:szCs w:val="26"/>
        </w:rPr>
        <w:t>Additionally, since we have retained some Chapter 64 regulations, Section 64.202 (Petition for waiver) remain</w:t>
      </w:r>
      <w:r w:rsidR="00AE1D0D" w:rsidRPr="00F1714B">
        <w:rPr>
          <w:rFonts w:eastAsia="Calibri" w:cs="Times New Roman"/>
          <w:bCs/>
          <w:szCs w:val="26"/>
        </w:rPr>
        <w:t>ed</w:t>
      </w:r>
      <w:r w:rsidRPr="00F1714B">
        <w:rPr>
          <w:rFonts w:eastAsia="Calibri" w:cs="Times New Roman"/>
          <w:bCs/>
          <w:szCs w:val="26"/>
        </w:rPr>
        <w:t xml:space="preserve"> relevant.</w:t>
      </w:r>
      <w:r w:rsidRPr="00F1714B">
        <w:rPr>
          <w:rFonts w:eastAsia="Calibri" w:cs="Times New Roman"/>
          <w:bCs/>
          <w:szCs w:val="26"/>
          <w:vertAlign w:val="superscript"/>
        </w:rPr>
        <w:footnoteReference w:id="107"/>
      </w:r>
      <w:r w:rsidRPr="00F1714B">
        <w:rPr>
          <w:rFonts w:eastAsia="Calibri" w:cs="Times New Roman"/>
          <w:bCs/>
          <w:szCs w:val="26"/>
        </w:rPr>
        <w:t xml:space="preserve">  Thus, we proposed to retain this regulation in all geographic areas. </w:t>
      </w:r>
    </w:p>
    <w:p w14:paraId="7277E9AC" w14:textId="77777777" w:rsidR="00F84C00" w:rsidRPr="00F1714B" w:rsidRDefault="00F84C00" w:rsidP="00F84C00">
      <w:pPr>
        <w:ind w:left="1440" w:firstLine="720"/>
        <w:rPr>
          <w:rFonts w:eastAsia="Calibri" w:cs="Times New Roman"/>
          <w:bCs/>
          <w:szCs w:val="26"/>
        </w:rPr>
      </w:pPr>
    </w:p>
    <w:p w14:paraId="7D4C5BE0" w14:textId="77777777" w:rsidR="00F84C00" w:rsidRPr="00F1714B" w:rsidRDefault="00F84C00" w:rsidP="00E410DE">
      <w:pPr>
        <w:keepNext/>
        <w:keepLines/>
        <w:ind w:left="1440" w:firstLine="720"/>
        <w:rPr>
          <w:rFonts w:eastAsia="Calibri" w:cs="Times New Roman"/>
          <w:b/>
          <w:szCs w:val="26"/>
        </w:rPr>
      </w:pPr>
      <w:r w:rsidRPr="00F1714B">
        <w:rPr>
          <w:rFonts w:eastAsia="Calibri" w:cs="Times New Roman"/>
          <w:b/>
          <w:szCs w:val="26"/>
        </w:rPr>
        <w:lastRenderedPageBreak/>
        <w:t>a.</w:t>
      </w:r>
      <w:r w:rsidRPr="00F1714B">
        <w:rPr>
          <w:rFonts w:eastAsia="Calibri" w:cs="Times New Roman"/>
          <w:b/>
          <w:szCs w:val="26"/>
        </w:rPr>
        <w:tab/>
        <w:t>Comments and Replies</w:t>
      </w:r>
    </w:p>
    <w:p w14:paraId="756D8BE5" w14:textId="77777777" w:rsidR="00F84C00" w:rsidRPr="00F1714B" w:rsidRDefault="00F84C00" w:rsidP="00E410DE">
      <w:pPr>
        <w:keepNext/>
        <w:keepLines/>
        <w:ind w:firstLine="720"/>
        <w:rPr>
          <w:rFonts w:eastAsia="Calibri" w:cs="Times New Roman"/>
        </w:rPr>
      </w:pPr>
      <w:r w:rsidRPr="00F1714B">
        <w:rPr>
          <w:rFonts w:eastAsia="Calibri" w:cs="Times New Roman"/>
        </w:rPr>
        <w:t>Noting that “[r]etaining [Section 64.201] will assist in providing useful information regarding the impact of… ‘warm transfer’ arrangements,” IRRC asks the Commission “to explain the need and rationale for eliminating this periodic reporting.”  IRRC Comments at 10.</w:t>
      </w:r>
    </w:p>
    <w:p w14:paraId="069CC336" w14:textId="77777777" w:rsidR="00F84C00" w:rsidRPr="00F1714B" w:rsidRDefault="00F84C00" w:rsidP="00F84C00">
      <w:pPr>
        <w:ind w:firstLine="720"/>
        <w:rPr>
          <w:rFonts w:eastAsia="Calibri" w:cs="Times New Roman"/>
        </w:rPr>
      </w:pPr>
    </w:p>
    <w:p w14:paraId="70C3D049" w14:textId="758CD991" w:rsidR="00F84C00" w:rsidRPr="00F1714B" w:rsidRDefault="00F84C00" w:rsidP="00824E13">
      <w:pPr>
        <w:ind w:firstLine="720"/>
        <w:rPr>
          <w:rFonts w:eastAsia="Calibri" w:cs="Times New Roman"/>
        </w:rPr>
      </w:pPr>
      <w:r w:rsidRPr="00F1714B">
        <w:rPr>
          <w:rFonts w:eastAsia="Calibri" w:cs="Times New Roman"/>
        </w:rPr>
        <w:t xml:space="preserve">Noting a commentator’s objection to the reporting requirements of §§ 64.201(b)(2), 64.201(b)(4), 64.201(b)(9) and 64.201(b)(10) as “outside the jurisdiction” of the Commission, IRRC asks the Commission </w:t>
      </w:r>
      <w:r w:rsidR="00AE1D0D" w:rsidRPr="00F1714B">
        <w:rPr>
          <w:rFonts w:eastAsia="Calibri" w:cs="Times New Roman"/>
        </w:rPr>
        <w:t xml:space="preserve">to </w:t>
      </w:r>
      <w:r w:rsidRPr="00F1714B">
        <w:rPr>
          <w:rFonts w:eastAsia="Calibri" w:cs="Times New Roman"/>
        </w:rPr>
        <w:t>“explain the need for these provisions in a revised Preamble to the final-form rulemaking.”  IRRC Comments at 10.</w:t>
      </w:r>
      <w:r w:rsidR="00824E13" w:rsidRPr="00F1714B">
        <w:rPr>
          <w:rFonts w:eastAsia="Calibri" w:cs="Times New Roman"/>
        </w:rPr>
        <w:t xml:space="preserve">  </w:t>
      </w:r>
      <w:r w:rsidRPr="00F1714B">
        <w:rPr>
          <w:rFonts w:eastAsia="Calibri" w:cs="Times New Roman"/>
        </w:rPr>
        <w:t>IRRC also notes a commentator</w:t>
      </w:r>
      <w:r w:rsidR="00AE1D0D" w:rsidRPr="00F1714B">
        <w:rPr>
          <w:rFonts w:eastAsia="Calibri" w:cs="Times New Roman"/>
        </w:rPr>
        <w:t>’s</w:t>
      </w:r>
      <w:r w:rsidRPr="00F1714B">
        <w:rPr>
          <w:rFonts w:eastAsia="Calibri" w:cs="Times New Roman"/>
        </w:rPr>
        <w:t xml:space="preserve"> suggest</w:t>
      </w:r>
      <w:r w:rsidR="00AE1D0D" w:rsidRPr="00F1714B">
        <w:rPr>
          <w:rFonts w:eastAsia="Calibri" w:cs="Times New Roman"/>
        </w:rPr>
        <w:t>ion</w:t>
      </w:r>
      <w:r w:rsidRPr="00F1714B">
        <w:rPr>
          <w:rFonts w:eastAsia="Calibri" w:cs="Times New Roman"/>
        </w:rPr>
        <w:t xml:space="preserve"> that “where ‘basic service’ appears in § 64.201(relating to reporting requirements), it should be replaced with ‘telecommunication services,” and recommends that the Commission “should make certain that it is consistent in its use of terms throughout the text of the regulation.”  IRRC Comments at 10.</w:t>
      </w:r>
    </w:p>
    <w:p w14:paraId="231A7BC7" w14:textId="77777777" w:rsidR="00F84C00" w:rsidRPr="00F1714B" w:rsidRDefault="00F84C00" w:rsidP="00F84C00">
      <w:pPr>
        <w:ind w:firstLine="720"/>
        <w:rPr>
          <w:rFonts w:eastAsia="Calibri" w:cs="Times New Roman"/>
        </w:rPr>
      </w:pPr>
    </w:p>
    <w:p w14:paraId="4A0B537D" w14:textId="208419AF" w:rsidR="00F84C00" w:rsidRPr="00F1714B" w:rsidRDefault="00F84C00" w:rsidP="00F84C00">
      <w:pPr>
        <w:ind w:firstLine="720"/>
        <w:rPr>
          <w:rFonts w:eastAsia="Calibri" w:cs="Times New Roman"/>
        </w:rPr>
      </w:pPr>
      <w:r w:rsidRPr="00F1714B">
        <w:rPr>
          <w:rFonts w:eastAsia="Calibri" w:cs="Times New Roman"/>
        </w:rPr>
        <w:t>The OCA opposes the Commission’s proposal to rescind subsection 64.201(b)(11), requiring reporting of the total number of Chapter 64 disputes, because “that this tally is an important measure which should be retained [and] is particularly important given the Commission’s proposed option for LECs to participate in a ‘warm transfer’ arrangement to expedite receipt and resolution by the LEC of consumer complaints to the Bureau of Consumer Services.”  OCA Comments at 40.  OCA supports the remainder of the Commission’s proposal to retain this rule with substantial modifications to eliminate reporting of non-basic and toll service that is no longer necessary.  OCA Comments at 39-40.</w:t>
      </w:r>
    </w:p>
    <w:p w14:paraId="2F8EC637" w14:textId="77777777" w:rsidR="00F84C00" w:rsidRPr="00F1714B" w:rsidRDefault="00F84C00" w:rsidP="00F84C00">
      <w:pPr>
        <w:ind w:firstLine="720"/>
        <w:rPr>
          <w:rFonts w:eastAsia="Calibri" w:cs="Times New Roman"/>
        </w:rPr>
      </w:pPr>
    </w:p>
    <w:p w14:paraId="135703B9" w14:textId="77777777" w:rsidR="00F84C00" w:rsidRPr="00F1714B" w:rsidRDefault="00F84C00" w:rsidP="00F84C00">
      <w:pPr>
        <w:ind w:firstLine="720"/>
        <w:rPr>
          <w:rFonts w:eastAsia="Calibri" w:cs="Times New Roman"/>
        </w:rPr>
      </w:pPr>
      <w:r w:rsidRPr="00F1714B">
        <w:rPr>
          <w:rFonts w:eastAsia="Calibri" w:cs="Times New Roman"/>
        </w:rPr>
        <w:t xml:space="preserve">TCC/CCL propose that the Commission modify its proposed language for this rule in two ways: (1) to eliminate several reporting requirements which, in TCC/CCL’s view, “do not implicate the areas over which the Commission retains jurisdiction”; and (2) to </w:t>
      </w:r>
      <w:r w:rsidRPr="00F1714B">
        <w:rPr>
          <w:rFonts w:eastAsia="Calibri" w:cs="Times New Roman"/>
        </w:rPr>
        <w:lastRenderedPageBreak/>
        <w:t>replace references to “basic service” with “telecommunications service,” since in TCC/CCL’s view, competitive carriers may choose to offer services other than basic service.  TCC/CCL Comments at 30.</w:t>
      </w:r>
    </w:p>
    <w:p w14:paraId="0C369E96" w14:textId="77777777" w:rsidR="00F84C00" w:rsidRPr="00F1714B" w:rsidRDefault="00F84C00" w:rsidP="00F84C00">
      <w:pPr>
        <w:rPr>
          <w:rFonts w:eastAsia="Calibri" w:cs="Times New Roman"/>
        </w:rPr>
      </w:pPr>
    </w:p>
    <w:p w14:paraId="266E93D2" w14:textId="33CB9B51" w:rsidR="00F84C00" w:rsidRPr="00F1714B" w:rsidRDefault="00F84C00" w:rsidP="00F84C00">
      <w:pPr>
        <w:ind w:firstLine="720"/>
        <w:rPr>
          <w:rFonts w:eastAsia="Calibri" w:cs="Times New Roman"/>
        </w:rPr>
      </w:pPr>
      <w:r w:rsidRPr="00F1714B">
        <w:rPr>
          <w:rFonts w:eastAsia="Calibri" w:cs="Times New Roman"/>
        </w:rPr>
        <w:t>The OCA also supports the Commission’s proposal to retain Section 64.202 in all geographic areas.  OCA Comments at 40.</w:t>
      </w:r>
    </w:p>
    <w:p w14:paraId="25124513" w14:textId="77777777" w:rsidR="00902857" w:rsidRPr="00F1714B" w:rsidRDefault="00902857" w:rsidP="00F84C00">
      <w:pPr>
        <w:ind w:firstLine="720"/>
        <w:rPr>
          <w:rFonts w:eastAsia="Calibri" w:cs="Times New Roman"/>
        </w:rPr>
      </w:pPr>
    </w:p>
    <w:p w14:paraId="7B29A305" w14:textId="77777777" w:rsidR="00F84C00" w:rsidRPr="00F1714B" w:rsidRDefault="00F84C00" w:rsidP="00F84C00">
      <w:pPr>
        <w:ind w:firstLine="720"/>
        <w:rPr>
          <w:rFonts w:cs="Times New Roman"/>
          <w:szCs w:val="26"/>
        </w:rPr>
      </w:pPr>
      <w:r w:rsidRPr="00F1714B">
        <w:rPr>
          <w:rFonts w:cs="Times New Roman"/>
          <w:szCs w:val="26"/>
        </w:rPr>
        <w:t>Verizon opposes the Commission’s proposal to retain the Chapter 64, Subchapter J rules because in Verizon’s view, they are unnecessary and obsolete in today’s competitive marketplace, provide no benefit to consumers, and impose burdens that unregulated carriers do not bear.  Verizon Comments at 33.  According to Verizon, these rules and related reports “belong to the now nonexistent rate-of-return structure” and unduly burden regulatory carriers only.  Verizon Comments at 33.  Verizon posits that the Commission may continue to monitor affordability of basic residential service by reviewing publicly available price guides.  Verizon Comments at 33.</w:t>
      </w:r>
    </w:p>
    <w:p w14:paraId="075FFED1" w14:textId="77777777" w:rsidR="00F84C00" w:rsidRPr="00F1714B" w:rsidRDefault="00F84C00" w:rsidP="00F84C00">
      <w:pPr>
        <w:rPr>
          <w:rFonts w:eastAsia="Calibri" w:cs="Times New Roman"/>
          <w:b/>
          <w:szCs w:val="26"/>
        </w:rPr>
      </w:pPr>
    </w:p>
    <w:p w14:paraId="08BF3F1E" w14:textId="77777777" w:rsidR="00F84C00" w:rsidRPr="00F1714B" w:rsidRDefault="00F84C00" w:rsidP="00F84C00">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2BE5154D" w14:textId="399E9FA2" w:rsidR="00F84C00" w:rsidRPr="00F1714B" w:rsidRDefault="00F84C00" w:rsidP="00A21B42">
      <w:pPr>
        <w:ind w:firstLine="720"/>
        <w:rPr>
          <w:rFonts w:eastAsia="Calibri" w:cs="Times New Roman"/>
          <w:bCs/>
          <w:szCs w:val="26"/>
        </w:rPr>
      </w:pPr>
      <w:r w:rsidRPr="00F1714B">
        <w:rPr>
          <w:rFonts w:eastAsia="Calibri" w:cs="Times New Roman"/>
          <w:bCs/>
          <w:szCs w:val="26"/>
        </w:rPr>
        <w:t xml:space="preserve">The Commission rejects any adverse comments to its proposed retention of Subchapter J, Sections 64.201 and 64.202, and we will adopt our proposal to retain these regulations </w:t>
      </w:r>
      <w:r w:rsidR="00482F9A" w:rsidRPr="00F1714B">
        <w:rPr>
          <w:rFonts w:eastAsia="Calibri" w:cs="Times New Roman"/>
          <w:bCs/>
          <w:szCs w:val="26"/>
        </w:rPr>
        <w:t xml:space="preserve">and limit their application to basic local exchange service </w:t>
      </w:r>
      <w:r w:rsidRPr="00F1714B">
        <w:rPr>
          <w:rFonts w:eastAsia="Calibri" w:cs="Times New Roman"/>
          <w:bCs/>
          <w:szCs w:val="26"/>
        </w:rPr>
        <w:t xml:space="preserve">for competitive and noncompetitive local calling areas, consistent with our discussion in the </w:t>
      </w:r>
      <w:r w:rsidRPr="00F1714B">
        <w:rPr>
          <w:rFonts w:eastAsia="Calibri" w:cs="Times New Roman"/>
          <w:bCs/>
          <w:i/>
          <w:iCs/>
          <w:szCs w:val="26"/>
        </w:rPr>
        <w:t>NPRM Order</w:t>
      </w:r>
      <w:r w:rsidRPr="00F1714B">
        <w:rPr>
          <w:rFonts w:eastAsia="Calibri" w:cs="Times New Roman"/>
          <w:bCs/>
          <w:szCs w:val="26"/>
        </w:rPr>
        <w:t xml:space="preserve">.  We also adopt our proposal to modify Section 64.201 as set forth in the Annex to the </w:t>
      </w:r>
      <w:r w:rsidRPr="00F1714B">
        <w:rPr>
          <w:rFonts w:eastAsia="Calibri" w:cs="Times New Roman"/>
          <w:bCs/>
          <w:i/>
          <w:iCs/>
          <w:szCs w:val="26"/>
        </w:rPr>
        <w:t>NPRM Order</w:t>
      </w:r>
      <w:r w:rsidRPr="00F1714B">
        <w:rPr>
          <w:rFonts w:eastAsia="Calibri" w:cs="Times New Roman"/>
          <w:bCs/>
          <w:szCs w:val="26"/>
        </w:rPr>
        <w:t>.</w:t>
      </w:r>
    </w:p>
    <w:p w14:paraId="4861E969" w14:textId="77777777" w:rsidR="00A21B42" w:rsidRPr="00F1714B" w:rsidRDefault="00A21B42" w:rsidP="00A21B42">
      <w:pPr>
        <w:ind w:firstLine="720"/>
        <w:rPr>
          <w:rFonts w:eastAsia="Calibri" w:cs="Times New Roman"/>
          <w:b/>
          <w:bCs/>
          <w:szCs w:val="26"/>
        </w:rPr>
      </w:pPr>
    </w:p>
    <w:p w14:paraId="2D006411" w14:textId="41500B46" w:rsidR="00A21B42" w:rsidRPr="00F1714B" w:rsidRDefault="00F84C00" w:rsidP="00A21B42">
      <w:pPr>
        <w:rPr>
          <w:rFonts w:eastAsia="Calibri" w:cs="Times New Roman"/>
          <w:bCs/>
          <w:szCs w:val="26"/>
        </w:rPr>
      </w:pPr>
      <w:r w:rsidRPr="00F1714B">
        <w:rPr>
          <w:rFonts w:eastAsia="Calibri" w:cs="Times New Roman"/>
          <w:bCs/>
          <w:szCs w:val="26"/>
        </w:rPr>
        <w:tab/>
      </w:r>
      <w:r w:rsidR="00482F9A" w:rsidRPr="00F1714B">
        <w:rPr>
          <w:rFonts w:eastAsia="Calibri" w:cs="Times New Roman"/>
          <w:bCs/>
          <w:szCs w:val="26"/>
        </w:rPr>
        <w:t>Consequently, w</w:t>
      </w:r>
      <w:r w:rsidR="0044747E" w:rsidRPr="00F1714B">
        <w:rPr>
          <w:rFonts w:eastAsia="Calibri" w:cs="Times New Roman"/>
          <w:bCs/>
          <w:szCs w:val="26"/>
        </w:rPr>
        <w:t xml:space="preserve">e reject the comments of TCC/CCL and IRRC relative to replacing the term “basic” service with “telecommunications” service in the final form regulations because our intent is to limit Section 64.201’s reporting obligations to basic local exchange service only.  Using “telecommunications” would broaden, not limit, the reporting obligations.  </w:t>
      </w:r>
      <w:r w:rsidR="00824E13" w:rsidRPr="00F1714B">
        <w:rPr>
          <w:rFonts w:eastAsia="Calibri" w:cs="Times New Roman"/>
          <w:bCs/>
          <w:szCs w:val="26"/>
        </w:rPr>
        <w:t>As previously noted, t</w:t>
      </w:r>
      <w:r w:rsidR="002510AB" w:rsidRPr="00F1714B">
        <w:rPr>
          <w:rFonts w:eastAsia="Calibri" w:cs="Times New Roman"/>
          <w:bCs/>
          <w:szCs w:val="26"/>
        </w:rPr>
        <w:t xml:space="preserve">he Commission in the Annex to the </w:t>
      </w:r>
      <w:r w:rsidR="002510AB" w:rsidRPr="00F1714B">
        <w:rPr>
          <w:rFonts w:eastAsia="Calibri" w:cs="Times New Roman"/>
          <w:bCs/>
          <w:i/>
          <w:iCs/>
          <w:szCs w:val="26"/>
        </w:rPr>
        <w:t xml:space="preserve">NPRM </w:t>
      </w:r>
      <w:r w:rsidR="002510AB" w:rsidRPr="00F1714B">
        <w:rPr>
          <w:rFonts w:eastAsia="Calibri" w:cs="Times New Roman"/>
          <w:bCs/>
          <w:i/>
          <w:iCs/>
          <w:szCs w:val="26"/>
        </w:rPr>
        <w:lastRenderedPageBreak/>
        <w:t xml:space="preserve">Order </w:t>
      </w:r>
      <w:r w:rsidR="002510AB" w:rsidRPr="00F1714B">
        <w:rPr>
          <w:rFonts w:eastAsia="Calibri" w:cs="Times New Roman"/>
          <w:bCs/>
          <w:szCs w:val="26"/>
        </w:rPr>
        <w:t xml:space="preserve">proposed to </w:t>
      </w:r>
      <w:r w:rsidR="00824E13" w:rsidRPr="00F1714B">
        <w:rPr>
          <w:rFonts w:eastAsia="Calibri" w:cs="Times New Roman"/>
          <w:bCs/>
          <w:szCs w:val="26"/>
        </w:rPr>
        <w:t>limit</w:t>
      </w:r>
      <w:r w:rsidR="002510AB" w:rsidRPr="00F1714B">
        <w:rPr>
          <w:rFonts w:eastAsia="Calibri" w:cs="Times New Roman"/>
          <w:bCs/>
          <w:szCs w:val="26"/>
        </w:rPr>
        <w:t xml:space="preserve"> the Section 64.201 reporting requirements to basic local exchange service.  </w:t>
      </w:r>
      <w:r w:rsidR="00824E13" w:rsidRPr="00F1714B">
        <w:rPr>
          <w:rFonts w:eastAsia="Calibri" w:cs="Times New Roman"/>
          <w:bCs/>
          <w:szCs w:val="26"/>
        </w:rPr>
        <w:t>We</w:t>
      </w:r>
      <w:r w:rsidR="002510AB" w:rsidRPr="00F1714B">
        <w:rPr>
          <w:rFonts w:eastAsia="Calibri" w:cs="Times New Roman"/>
          <w:bCs/>
          <w:szCs w:val="26"/>
        </w:rPr>
        <w:t xml:space="preserve"> </w:t>
      </w:r>
      <w:r w:rsidR="00824E13" w:rsidRPr="00F1714B">
        <w:rPr>
          <w:rFonts w:eastAsia="Calibri" w:cs="Times New Roman"/>
          <w:bCs/>
          <w:szCs w:val="26"/>
        </w:rPr>
        <w:t>will maintain</w:t>
      </w:r>
      <w:r w:rsidR="002510AB" w:rsidRPr="00F1714B">
        <w:rPr>
          <w:rFonts w:eastAsia="Calibri" w:cs="Times New Roman"/>
          <w:bCs/>
          <w:szCs w:val="26"/>
        </w:rPr>
        <w:t xml:space="preserve"> this approach, as the retained reporting requirements could provide useful information to assist our understanding of changes in the residential telecommunications services market in general and the basic service market in particular.</w:t>
      </w:r>
    </w:p>
    <w:p w14:paraId="51D3CB5B" w14:textId="22B4371D" w:rsidR="00F84C00" w:rsidRPr="00F1714B" w:rsidRDefault="00F84C00" w:rsidP="00F84C00">
      <w:pPr>
        <w:rPr>
          <w:rFonts w:eastAsia="Calibri" w:cs="Times New Roman"/>
          <w:bCs/>
          <w:szCs w:val="26"/>
        </w:rPr>
      </w:pPr>
      <w:r w:rsidRPr="00F1714B">
        <w:rPr>
          <w:rFonts w:eastAsia="Calibri" w:cs="Times New Roman"/>
          <w:bCs/>
          <w:szCs w:val="26"/>
        </w:rPr>
        <w:t>We also agree with the comments of OCA relative to retention of subsection (11) regarding total number of disputes handled.  We will revise Section 64.201 accordingly in the final form regulations.</w:t>
      </w:r>
    </w:p>
    <w:p w14:paraId="452D5646" w14:textId="77777777" w:rsidR="00F84C00" w:rsidRPr="00F1714B" w:rsidRDefault="00F84C00" w:rsidP="00F84C00">
      <w:pPr>
        <w:tabs>
          <w:tab w:val="left" w:pos="720"/>
          <w:tab w:val="left" w:pos="1440"/>
        </w:tabs>
        <w:rPr>
          <w:rFonts w:eastAsia="Calibri" w:cs="Times New Roman"/>
          <w:szCs w:val="26"/>
        </w:rPr>
      </w:pPr>
    </w:p>
    <w:p w14:paraId="77538AB3" w14:textId="77777777" w:rsidR="00F84C00" w:rsidRPr="00F1714B" w:rsidRDefault="00F84C00" w:rsidP="00A21B42">
      <w:pPr>
        <w:keepNext/>
        <w:keepLines/>
        <w:spacing w:line="240" w:lineRule="auto"/>
        <w:ind w:left="720"/>
        <w:rPr>
          <w:rFonts w:eastAsia="Calibri" w:cs="Times New Roman"/>
          <w:b/>
          <w:bCs/>
          <w:szCs w:val="26"/>
        </w:rPr>
      </w:pPr>
      <w:r w:rsidRPr="00F1714B">
        <w:rPr>
          <w:rFonts w:eastAsia="Calibri" w:cs="Times New Roman"/>
          <w:b/>
          <w:bCs/>
          <w:szCs w:val="26"/>
        </w:rPr>
        <w:t>K.</w:t>
      </w:r>
      <w:r w:rsidRPr="00F1714B">
        <w:rPr>
          <w:rFonts w:eastAsia="Calibri" w:cs="Times New Roman"/>
          <w:szCs w:val="26"/>
        </w:rPr>
        <w:tab/>
      </w:r>
      <w:r w:rsidRPr="00F1714B">
        <w:rPr>
          <w:rFonts w:eastAsia="Calibri" w:cs="Times New Roman"/>
          <w:b/>
          <w:bCs/>
          <w:szCs w:val="26"/>
        </w:rPr>
        <w:t>Subchapter K (General Provisions)</w:t>
      </w:r>
    </w:p>
    <w:p w14:paraId="5AFCFBF9" w14:textId="77777777" w:rsidR="00F84C00" w:rsidRPr="00F1714B" w:rsidRDefault="00F84C00" w:rsidP="00A21B42">
      <w:pPr>
        <w:keepNext/>
        <w:keepLines/>
        <w:spacing w:line="240" w:lineRule="auto"/>
        <w:ind w:left="1080" w:firstLine="360"/>
        <w:rPr>
          <w:rFonts w:eastAsia="Calibri" w:cs="Times New Roman"/>
          <w:b/>
          <w:bCs/>
          <w:szCs w:val="26"/>
        </w:rPr>
      </w:pPr>
      <w:r w:rsidRPr="00F1714B">
        <w:rPr>
          <w:rFonts w:eastAsia="Calibri" w:cs="Times New Roman"/>
          <w:b/>
          <w:bCs/>
          <w:szCs w:val="26"/>
        </w:rPr>
        <w:t>52 Pa. Code §§ 64.211—64.213</w:t>
      </w:r>
    </w:p>
    <w:p w14:paraId="365B5E8B" w14:textId="77777777" w:rsidR="00F84C00" w:rsidRPr="00F1714B" w:rsidRDefault="00F84C00" w:rsidP="00A21B42">
      <w:pPr>
        <w:keepNext/>
        <w:keepLines/>
        <w:spacing w:line="240" w:lineRule="auto"/>
        <w:rPr>
          <w:rFonts w:eastAsia="Calibri" w:cs="Times New Roman"/>
          <w:szCs w:val="26"/>
        </w:rPr>
      </w:pPr>
    </w:p>
    <w:p w14:paraId="6A46C13A" w14:textId="41B780CB" w:rsidR="00F84C00" w:rsidRPr="00F1714B" w:rsidRDefault="00F84C00" w:rsidP="00A21B42">
      <w:pPr>
        <w:keepNext/>
        <w:keepLines/>
        <w:tabs>
          <w:tab w:val="left" w:pos="720"/>
          <w:tab w:val="left" w:pos="1440"/>
        </w:tabs>
        <w:rPr>
          <w:rFonts w:eastAsia="Calibri" w:cs="Times New Roman"/>
          <w:b/>
          <w:bCs/>
          <w:szCs w:val="26"/>
        </w:rPr>
      </w:pPr>
      <w:r w:rsidRPr="00F1714B">
        <w:rPr>
          <w:rFonts w:eastAsia="Calibri" w:cs="Times New Roman"/>
          <w:bCs/>
          <w:szCs w:val="26"/>
        </w:rPr>
        <w:tab/>
        <w:t xml:space="preserve">In the </w:t>
      </w:r>
      <w:r w:rsidRPr="00F1714B">
        <w:rPr>
          <w:rFonts w:eastAsia="Calibri" w:cs="Times New Roman"/>
          <w:bCs/>
          <w:i/>
          <w:iCs/>
          <w:szCs w:val="26"/>
        </w:rPr>
        <w:t>Reclassification Order</w:t>
      </w:r>
      <w:r w:rsidRPr="00F1714B">
        <w:rPr>
          <w:rFonts w:eastAsia="Calibri" w:cs="Times New Roman"/>
          <w:bCs/>
          <w:szCs w:val="26"/>
        </w:rPr>
        <w:t>, we temporarily waived Section 64.211 in Verizon’s competitive wire centers.</w:t>
      </w:r>
      <w:r w:rsidRPr="00F1714B">
        <w:rPr>
          <w:rFonts w:eastAsia="Calibri" w:cs="Times New Roman"/>
          <w:bCs/>
          <w:szCs w:val="26"/>
          <w:vertAlign w:val="superscript"/>
        </w:rPr>
        <w:footnoteReference w:id="108"/>
      </w:r>
      <w:r w:rsidRPr="00F1714B">
        <w:rPr>
          <w:rFonts w:eastAsia="Calibri" w:cs="Times New Roman"/>
          <w:bCs/>
          <w:szCs w:val="26"/>
        </w:rPr>
        <w:t xml:space="preserve">  </w:t>
      </w:r>
      <w:r w:rsidR="00D9364B" w:rsidRPr="00F1714B">
        <w:rPr>
          <w:rFonts w:eastAsia="Calibri" w:cs="Times New Roman"/>
          <w:bCs/>
          <w:szCs w:val="26"/>
        </w:rPr>
        <w:t xml:space="preserve">In the </w:t>
      </w:r>
      <w:r w:rsidRPr="00F1714B">
        <w:rPr>
          <w:rFonts w:eastAsia="Calibri" w:cs="Times New Roman"/>
          <w:bCs/>
          <w:i/>
          <w:iCs/>
          <w:szCs w:val="26"/>
        </w:rPr>
        <w:t>NPRM Order</w:t>
      </w:r>
      <w:r w:rsidRPr="00F1714B">
        <w:rPr>
          <w:rFonts w:eastAsia="Calibri" w:cs="Times New Roman"/>
          <w:bCs/>
          <w:szCs w:val="26"/>
        </w:rPr>
        <w:t>, we proposed to rescind Section 64.211.  However, since we retained certain Chapter 64 regulations, we also proposed to retain Sections 64.212 and 64.213 as they currently exist because Section 64.212 governs waiver requests and Section 64.213 governs the effect of tariff provisions that are inconsistent, and these regulations potentially remained useful.”</w:t>
      </w:r>
      <w:r w:rsidRPr="00F1714B">
        <w:rPr>
          <w:rFonts w:eastAsia="Calibri" w:cs="Times New Roman"/>
          <w:bCs/>
          <w:szCs w:val="26"/>
          <w:vertAlign w:val="superscript"/>
        </w:rPr>
        <w:footnoteReference w:id="109"/>
      </w:r>
      <w:r w:rsidRPr="00F1714B">
        <w:rPr>
          <w:rFonts w:eastAsia="Calibri" w:cs="Times New Roman"/>
          <w:bCs/>
          <w:szCs w:val="26"/>
        </w:rPr>
        <w:t xml:space="preserve">  </w:t>
      </w:r>
    </w:p>
    <w:p w14:paraId="376FB9E5" w14:textId="77777777" w:rsidR="00F84C00" w:rsidRPr="00F1714B" w:rsidRDefault="00F84C00" w:rsidP="00A21B42">
      <w:pPr>
        <w:rPr>
          <w:rFonts w:eastAsia="Calibri" w:cs="Times New Roman"/>
          <w:szCs w:val="26"/>
        </w:rPr>
      </w:pPr>
    </w:p>
    <w:p w14:paraId="543B4847" w14:textId="77777777" w:rsidR="00F84C00" w:rsidRPr="00F1714B" w:rsidRDefault="00F84C00" w:rsidP="00B12FA2">
      <w:pPr>
        <w:ind w:left="1440" w:firstLine="720"/>
        <w:rPr>
          <w:rFonts w:eastAsia="Calibri" w:cs="Times New Roman"/>
          <w:b/>
          <w:szCs w:val="26"/>
        </w:rPr>
      </w:pPr>
      <w:r w:rsidRPr="00F1714B">
        <w:rPr>
          <w:rFonts w:eastAsia="Calibri" w:cs="Times New Roman"/>
          <w:b/>
          <w:szCs w:val="26"/>
        </w:rPr>
        <w:t>a.</w:t>
      </w:r>
      <w:r w:rsidRPr="00F1714B">
        <w:rPr>
          <w:rFonts w:eastAsia="Calibri" w:cs="Times New Roman"/>
          <w:b/>
          <w:szCs w:val="26"/>
        </w:rPr>
        <w:tab/>
        <w:t>Comments and Replies</w:t>
      </w:r>
    </w:p>
    <w:p w14:paraId="0150AD94" w14:textId="77777777" w:rsidR="00F84C00" w:rsidRPr="00F1714B" w:rsidRDefault="00F84C00" w:rsidP="00F84C00">
      <w:pPr>
        <w:ind w:firstLine="720"/>
        <w:rPr>
          <w:rFonts w:eastAsia="Calibri" w:cs="Times New Roman"/>
        </w:rPr>
      </w:pPr>
      <w:r w:rsidRPr="00F1714B">
        <w:rPr>
          <w:rFonts w:eastAsia="Calibri" w:cs="Times New Roman"/>
        </w:rPr>
        <w:t>The OCA supports the Commission’s proposal to rescind 64.211 in all geographic areas as unnecessary.  OCA Comments at 40.  Additionally, OCA supports the Commission’s proposal to retain Section 64.212 and 64.213 in all geographic areas.  OCA Comments at 41.</w:t>
      </w:r>
    </w:p>
    <w:p w14:paraId="0F1FBBD1" w14:textId="77777777" w:rsidR="00F84C00" w:rsidRPr="00F1714B" w:rsidRDefault="00F84C00" w:rsidP="00F84C00">
      <w:pPr>
        <w:rPr>
          <w:rFonts w:eastAsia="Calibri" w:cs="Times New Roman"/>
          <w:b/>
          <w:szCs w:val="26"/>
        </w:rPr>
      </w:pPr>
    </w:p>
    <w:p w14:paraId="4F750B7B" w14:textId="77777777" w:rsidR="00F84C00" w:rsidRPr="00F1714B" w:rsidRDefault="00F84C00" w:rsidP="00F84C00">
      <w:pPr>
        <w:rPr>
          <w:rFonts w:eastAsia="Calibri" w:cs="Times New Roman"/>
          <w:b/>
          <w:szCs w:val="26"/>
        </w:rPr>
      </w:pPr>
      <w:r w:rsidRPr="00F1714B">
        <w:rPr>
          <w:rFonts w:eastAsia="Calibri" w:cs="Times New Roman"/>
          <w:b/>
          <w:szCs w:val="26"/>
        </w:rPr>
        <w:tab/>
      </w:r>
      <w:r w:rsidRPr="00F1714B">
        <w:rPr>
          <w:rFonts w:eastAsia="Calibri" w:cs="Times New Roman"/>
          <w:b/>
          <w:szCs w:val="26"/>
        </w:rPr>
        <w:tab/>
      </w:r>
      <w:r w:rsidRPr="00F1714B">
        <w:rPr>
          <w:rFonts w:eastAsia="Calibri" w:cs="Times New Roman"/>
          <w:b/>
          <w:szCs w:val="26"/>
        </w:rPr>
        <w:tab/>
        <w:t>b.</w:t>
      </w:r>
      <w:r w:rsidRPr="00F1714B">
        <w:rPr>
          <w:rFonts w:eastAsia="Calibri" w:cs="Times New Roman"/>
          <w:b/>
          <w:szCs w:val="26"/>
        </w:rPr>
        <w:tab/>
        <w:t>Discussion and Resolution</w:t>
      </w:r>
    </w:p>
    <w:p w14:paraId="584648C2" w14:textId="5DB12C7D" w:rsidR="00F84C00" w:rsidRPr="00F1714B" w:rsidRDefault="00F84C00" w:rsidP="00834241">
      <w:pPr>
        <w:ind w:firstLine="720"/>
        <w:rPr>
          <w:rFonts w:eastAsia="Calibri" w:cs="Times New Roman"/>
          <w:bCs/>
          <w:szCs w:val="26"/>
        </w:rPr>
      </w:pPr>
      <w:r w:rsidRPr="00F1714B">
        <w:rPr>
          <w:rFonts w:eastAsia="Calibri" w:cs="Times New Roman"/>
          <w:bCs/>
          <w:szCs w:val="26"/>
        </w:rPr>
        <w:t xml:space="preserve">Consistent with our discussion in the </w:t>
      </w:r>
      <w:r w:rsidRPr="00F1714B">
        <w:rPr>
          <w:rFonts w:eastAsia="Calibri" w:cs="Times New Roman"/>
          <w:bCs/>
          <w:i/>
          <w:iCs/>
          <w:szCs w:val="26"/>
        </w:rPr>
        <w:t>NPRM Order</w:t>
      </w:r>
      <w:r w:rsidRPr="00F1714B">
        <w:rPr>
          <w:rFonts w:eastAsia="Calibri" w:cs="Times New Roman"/>
          <w:bCs/>
          <w:szCs w:val="26"/>
        </w:rPr>
        <w:t xml:space="preserve">, we will adopt our proposal to retain Subchapter K, Sections 64.212 and 64.213 for competitive and noncompetitive local calling areas, and to rescind Section 64.211.  Accordingly, the retention of Sections </w:t>
      </w:r>
      <w:r w:rsidRPr="00F1714B">
        <w:rPr>
          <w:rFonts w:eastAsia="Calibri" w:cs="Times New Roman"/>
          <w:bCs/>
          <w:szCs w:val="26"/>
        </w:rPr>
        <w:lastRenderedPageBreak/>
        <w:t>64.212 and 64.213 and the rescission of Section 64.211 from Chapter 64 of Title 52 of the Pa. Code will be incorporated in the final-form regulation set forth in the Annex.</w:t>
      </w:r>
    </w:p>
    <w:p w14:paraId="75C1CBB3" w14:textId="532C1868" w:rsidR="00341730" w:rsidRPr="00F1714B" w:rsidRDefault="00341730" w:rsidP="00834241">
      <w:pPr>
        <w:ind w:firstLine="720"/>
        <w:rPr>
          <w:rFonts w:eastAsia="Calibri" w:cs="Times New Roman"/>
          <w:bCs/>
          <w:szCs w:val="26"/>
        </w:rPr>
      </w:pPr>
    </w:p>
    <w:p w14:paraId="3DB19C86" w14:textId="09BD7F4B" w:rsidR="001B3461" w:rsidRPr="00F1714B" w:rsidRDefault="00341730" w:rsidP="00341730">
      <w:pPr>
        <w:widowControl w:val="0"/>
        <w:jc w:val="center"/>
        <w:rPr>
          <w:rFonts w:cs="Times New Roman"/>
          <w:b/>
          <w:bCs/>
          <w:szCs w:val="26"/>
        </w:rPr>
      </w:pPr>
      <w:r w:rsidRPr="00F1714B">
        <w:rPr>
          <w:rFonts w:cs="Times New Roman"/>
          <w:b/>
          <w:bCs/>
          <w:szCs w:val="26"/>
        </w:rPr>
        <w:t>C</w:t>
      </w:r>
      <w:r w:rsidR="001B3461" w:rsidRPr="00F1714B">
        <w:rPr>
          <w:rFonts w:cs="Times New Roman"/>
          <w:b/>
          <w:bCs/>
          <w:szCs w:val="26"/>
        </w:rPr>
        <w:t>ONCLUSION</w:t>
      </w:r>
    </w:p>
    <w:p w14:paraId="4B30F23A" w14:textId="3438464D" w:rsidR="005E503D" w:rsidRPr="00F1714B" w:rsidRDefault="002F0D8F" w:rsidP="005E503D">
      <w:pPr>
        <w:widowControl w:val="0"/>
        <w:ind w:firstLine="720"/>
        <w:rPr>
          <w:rFonts w:cs="Times New Roman"/>
          <w:szCs w:val="26"/>
        </w:rPr>
      </w:pPr>
      <w:r w:rsidRPr="00F1714B">
        <w:rPr>
          <w:rFonts w:cs="Times New Roman"/>
          <w:szCs w:val="26"/>
        </w:rPr>
        <w:t xml:space="preserve">We again thank those interested parties who filed comments on the proposed subsections of the regulation.  </w:t>
      </w:r>
      <w:r w:rsidR="005E503D" w:rsidRPr="00F1714B">
        <w:rPr>
          <w:rFonts w:cs="Times New Roman"/>
          <w:szCs w:val="26"/>
        </w:rPr>
        <w:t xml:space="preserve">The </w:t>
      </w:r>
      <w:r w:rsidR="00A858AE" w:rsidRPr="00F1714B">
        <w:rPr>
          <w:rFonts w:cs="Times New Roman"/>
          <w:szCs w:val="26"/>
        </w:rPr>
        <w:t xml:space="preserve">determinations the Commission has made </w:t>
      </w:r>
      <w:r w:rsidR="005E503D" w:rsidRPr="00F1714B">
        <w:rPr>
          <w:rFonts w:cs="Times New Roman"/>
          <w:szCs w:val="26"/>
        </w:rPr>
        <w:t xml:space="preserve">in this Final Rulemaking </w:t>
      </w:r>
      <w:r w:rsidR="00A858AE" w:rsidRPr="00F1714B">
        <w:rPr>
          <w:rFonts w:cs="Times New Roman"/>
          <w:szCs w:val="26"/>
        </w:rPr>
        <w:t xml:space="preserve">and the </w:t>
      </w:r>
      <w:r w:rsidR="005E503D" w:rsidRPr="00F1714B">
        <w:rPr>
          <w:rFonts w:cs="Times New Roman"/>
          <w:szCs w:val="26"/>
        </w:rPr>
        <w:t xml:space="preserve">changes </w:t>
      </w:r>
      <w:r w:rsidR="00A858AE" w:rsidRPr="00F1714B">
        <w:rPr>
          <w:rFonts w:cs="Times New Roman"/>
          <w:szCs w:val="26"/>
        </w:rPr>
        <w:t xml:space="preserve">we have adopted to our telecom regulations in the final-form regulation set forth in accompanying Annex </w:t>
      </w:r>
      <w:r w:rsidR="005E503D" w:rsidRPr="00F1714B">
        <w:rPr>
          <w:rFonts w:cs="Times New Roman"/>
          <w:szCs w:val="26"/>
        </w:rPr>
        <w:t xml:space="preserve">are driven by multiple factors, including the presence of competition, industry technological changes, and consumer demand for convenience with their telecommunications services.  </w:t>
      </w:r>
      <w:r w:rsidR="00A858AE" w:rsidRPr="00F1714B">
        <w:rPr>
          <w:rFonts w:cs="Times New Roman"/>
          <w:szCs w:val="26"/>
        </w:rPr>
        <w:t xml:space="preserve">The Commission </w:t>
      </w:r>
      <w:r w:rsidR="005E503D" w:rsidRPr="00F1714B">
        <w:rPr>
          <w:rFonts w:cs="Times New Roman"/>
          <w:szCs w:val="26"/>
        </w:rPr>
        <w:t>concede</w:t>
      </w:r>
      <w:r w:rsidR="00A858AE" w:rsidRPr="00F1714B">
        <w:rPr>
          <w:rFonts w:cs="Times New Roman"/>
          <w:szCs w:val="26"/>
        </w:rPr>
        <w:t xml:space="preserve">s </w:t>
      </w:r>
      <w:r w:rsidR="005E503D" w:rsidRPr="00F1714B">
        <w:rPr>
          <w:rFonts w:cs="Times New Roman"/>
          <w:szCs w:val="26"/>
        </w:rPr>
        <w:t xml:space="preserve">that there may be work left to do, as our Chapter 63 abandonment, change of control, and universal service fund regulations for example will remain unchanged after this proceeding.  Nevertheless, this rulemaking represents a significant step forward in modernizing our telecommunications regulations, including eliminating regulatory obligations that are no longer necessary or appropriate and modifying regulatory obligations to better reflect today’s market realities.  In </w:t>
      </w:r>
      <w:r w:rsidR="00A858AE" w:rsidRPr="00F1714B">
        <w:rPr>
          <w:rFonts w:cs="Times New Roman"/>
          <w:szCs w:val="26"/>
        </w:rPr>
        <w:t>our</w:t>
      </w:r>
      <w:r w:rsidR="005E503D" w:rsidRPr="00F1714B">
        <w:rPr>
          <w:rFonts w:cs="Times New Roman"/>
          <w:szCs w:val="26"/>
        </w:rPr>
        <w:t xml:space="preserve"> view, the proposed changes from this proceeding bring Pennsylvania ILECs closer to regulatory parity with their competitors, which is one of the stated policy goals in Chapter 30 of the Code.</w:t>
      </w:r>
      <w:r w:rsidR="005E503D" w:rsidRPr="00F1714B">
        <w:rPr>
          <w:rFonts w:cs="Times New Roman"/>
          <w:szCs w:val="26"/>
          <w:vertAlign w:val="superscript"/>
        </w:rPr>
        <w:footnoteReference w:id="110"/>
      </w:r>
      <w:r w:rsidR="005E503D" w:rsidRPr="00F1714B">
        <w:rPr>
          <w:rFonts w:cs="Times New Roman"/>
          <w:szCs w:val="26"/>
        </w:rPr>
        <w:t xml:space="preserve">   </w:t>
      </w:r>
    </w:p>
    <w:p w14:paraId="2FC983D2" w14:textId="77777777" w:rsidR="005E503D" w:rsidRPr="00F1714B" w:rsidRDefault="005E503D" w:rsidP="005E503D">
      <w:pPr>
        <w:widowControl w:val="0"/>
        <w:ind w:firstLine="720"/>
        <w:rPr>
          <w:rFonts w:cs="Times New Roman"/>
          <w:szCs w:val="26"/>
        </w:rPr>
      </w:pPr>
    </w:p>
    <w:p w14:paraId="5891A676" w14:textId="589F8373" w:rsidR="001B3461" w:rsidRPr="00F1714B" w:rsidRDefault="005E503D" w:rsidP="00011E6D">
      <w:pPr>
        <w:widowControl w:val="0"/>
        <w:ind w:firstLine="720"/>
        <w:rPr>
          <w:rFonts w:cs="Times New Roman"/>
          <w:szCs w:val="26"/>
        </w:rPr>
      </w:pPr>
      <w:r w:rsidRPr="00F1714B">
        <w:rPr>
          <w:rFonts w:cs="Times New Roman"/>
          <w:szCs w:val="26"/>
        </w:rPr>
        <w:t>At the same time, the Commission needs to balance the needs of utilities and consumers when making decisions.  The surgical approach that we have taken with our telecommunications regulations does just that; it allows our jurisdictional carriers to better compete in today’s marketplace, while still maintaining the consumer protections necessary to ensure the provision of reasonably continuous, modern, and safe service.</w:t>
      </w:r>
      <w:r w:rsidR="00A858AE" w:rsidRPr="00F1714B">
        <w:rPr>
          <w:rFonts w:cs="Times New Roman"/>
          <w:szCs w:val="26"/>
        </w:rPr>
        <w:t xml:space="preserve">  </w:t>
      </w:r>
      <w:r w:rsidR="00011E6D" w:rsidRPr="00F1714B">
        <w:rPr>
          <w:rFonts w:cs="Times New Roman"/>
          <w:szCs w:val="26"/>
        </w:rPr>
        <w:t xml:space="preserve">Accordingly, under Sections 501, 504, 505, 506, 1501, 1504, 1507, 1508, 1509, and 3011—3019 of the Public Utility Code, 66 Pa.C.S. §§ 501, 504, 505, 506, 1501, 1504, </w:t>
      </w:r>
      <w:r w:rsidR="00011E6D" w:rsidRPr="00F1714B">
        <w:rPr>
          <w:rFonts w:cs="Times New Roman"/>
          <w:szCs w:val="26"/>
        </w:rPr>
        <w:lastRenderedPageBreak/>
        <w:t>1507, 1508, 1509, and 3011—3019; Section 201 of the act of July 31, 1968 (P.L. 769, No. 240), known as the Commonwealth Documents Law (45 P.S. § 1201), and the regulations promulgated thereunder at 1 Pa. Code §§ 7.1, 7.2 and 7.5; Section 204(b) of the Commonwealth Attorneys Act (71 P.S. § 732 204(b)); Section 5 of the Regulatory Review Act (71 P.S. § 745.5); and Section 612 of The Administrative Code of 1929 (71 P.S. § 232), and the regulations promulgated thereunder at 4 Pa. Code §§ 7.231—7.234,</w:t>
      </w:r>
      <w:r w:rsidR="002F0D8F" w:rsidRPr="00F1714B">
        <w:rPr>
          <w:rFonts w:cs="Times New Roman"/>
          <w:szCs w:val="26"/>
        </w:rPr>
        <w:t xml:space="preserve"> we </w:t>
      </w:r>
      <w:r w:rsidR="009C1DF6" w:rsidRPr="00F1714B">
        <w:rPr>
          <w:rFonts w:cs="Times New Roman"/>
          <w:szCs w:val="26"/>
        </w:rPr>
        <w:t xml:space="preserve">amend </w:t>
      </w:r>
      <w:r w:rsidR="002F0D8F" w:rsidRPr="00F1714B">
        <w:rPr>
          <w:rFonts w:cs="Times New Roman"/>
          <w:szCs w:val="26"/>
        </w:rPr>
        <w:t>the</w:t>
      </w:r>
      <w:r w:rsidR="009C1DF6" w:rsidRPr="00F1714B">
        <w:rPr>
          <w:rFonts w:cs="Times New Roman"/>
          <w:szCs w:val="26"/>
        </w:rPr>
        <w:t xml:space="preserve"> </w:t>
      </w:r>
      <w:r w:rsidR="002F0D8F" w:rsidRPr="00F1714B">
        <w:rPr>
          <w:rFonts w:cs="Times New Roman"/>
          <w:szCs w:val="26"/>
        </w:rPr>
        <w:t>regulations at 52 Pa. Code §§ 53.57—53.60 and 52 Pa. Code Chapters 63 &amp; 64, as set forth in Annex A</w:t>
      </w:r>
      <w:r w:rsidR="00011E6D" w:rsidRPr="00F1714B">
        <w:rPr>
          <w:rFonts w:cs="Times New Roman"/>
          <w:szCs w:val="26"/>
        </w:rPr>
        <w:t xml:space="preserve">; </w:t>
      </w:r>
      <w:r w:rsidR="001B3461" w:rsidRPr="00F1714B">
        <w:rPr>
          <w:rFonts w:cs="Times New Roman"/>
          <w:b/>
          <w:szCs w:val="26"/>
        </w:rPr>
        <w:t>THEREFORE,</w:t>
      </w:r>
      <w:r w:rsidR="00EC71C9" w:rsidRPr="00F1714B">
        <w:rPr>
          <w:rFonts w:cs="Times New Roman"/>
          <w:b/>
          <w:szCs w:val="26"/>
        </w:rPr>
        <w:t xml:space="preserve"> </w:t>
      </w:r>
    </w:p>
    <w:p w14:paraId="6BF6D79A" w14:textId="77777777" w:rsidR="007D57C7" w:rsidRPr="00F1714B" w:rsidRDefault="007D57C7" w:rsidP="00E55426">
      <w:pPr>
        <w:rPr>
          <w:rFonts w:cs="Times New Roman"/>
          <w:b/>
          <w:bCs/>
          <w:szCs w:val="26"/>
        </w:rPr>
      </w:pPr>
      <w:bookmarkStart w:id="93" w:name="_Hlk51596699"/>
    </w:p>
    <w:p w14:paraId="66ABEB62" w14:textId="37F3C252" w:rsidR="001B3461" w:rsidRPr="00436A48" w:rsidRDefault="001B3461" w:rsidP="00E55426">
      <w:pPr>
        <w:rPr>
          <w:rFonts w:cs="Times New Roman"/>
          <w:b/>
          <w:bCs/>
          <w:szCs w:val="26"/>
        </w:rPr>
      </w:pPr>
      <w:bookmarkStart w:id="94" w:name="_Hlk89680389"/>
      <w:r w:rsidRPr="00436A48">
        <w:rPr>
          <w:rFonts w:cs="Times New Roman"/>
          <w:b/>
          <w:bCs/>
          <w:szCs w:val="26"/>
        </w:rPr>
        <w:t>IT IS ORDERED:</w:t>
      </w:r>
    </w:p>
    <w:p w14:paraId="1D72965D" w14:textId="77777777" w:rsidR="00341730" w:rsidRPr="00436A48" w:rsidRDefault="00341730" w:rsidP="00E55426">
      <w:pPr>
        <w:rPr>
          <w:rFonts w:cs="Times New Roman"/>
          <w:b/>
          <w:bCs/>
          <w:szCs w:val="26"/>
        </w:rPr>
      </w:pPr>
    </w:p>
    <w:p w14:paraId="6E38EBCF" w14:textId="3C94B5C8" w:rsidR="001B3461" w:rsidRPr="00436A48" w:rsidRDefault="001B3461" w:rsidP="00E55426">
      <w:pPr>
        <w:ind w:firstLine="720"/>
        <w:rPr>
          <w:rFonts w:cs="Times New Roman"/>
          <w:szCs w:val="26"/>
        </w:rPr>
      </w:pPr>
      <w:r w:rsidRPr="00436A48">
        <w:rPr>
          <w:rFonts w:cs="Times New Roman"/>
          <w:szCs w:val="26"/>
        </w:rPr>
        <w:t>1.</w:t>
      </w:r>
      <w:r w:rsidRPr="00436A48">
        <w:rPr>
          <w:rFonts w:cs="Times New Roman"/>
          <w:szCs w:val="26"/>
        </w:rPr>
        <w:tab/>
        <w:t xml:space="preserve">That </w:t>
      </w:r>
      <w:r w:rsidR="00EA5D1E" w:rsidRPr="00436A48">
        <w:rPr>
          <w:rFonts w:cs="Times New Roman"/>
          <w:szCs w:val="26"/>
        </w:rPr>
        <w:t>Chapters 53, 63 and 64 of Title 52 of the Pennsylvania Code are hereby amended as set forth in Annex A hereto.</w:t>
      </w:r>
    </w:p>
    <w:p w14:paraId="300E86FC" w14:textId="385D3668" w:rsidR="0086799B" w:rsidRPr="00436A48" w:rsidRDefault="0086799B" w:rsidP="00E55426">
      <w:pPr>
        <w:ind w:firstLine="720"/>
        <w:rPr>
          <w:rFonts w:cs="Times New Roman"/>
          <w:szCs w:val="26"/>
        </w:rPr>
      </w:pPr>
    </w:p>
    <w:p w14:paraId="6BB5B49D" w14:textId="48BF2A17" w:rsidR="0086799B" w:rsidRPr="00436A48" w:rsidRDefault="0086799B" w:rsidP="0086799B">
      <w:pPr>
        <w:ind w:firstLine="720"/>
        <w:rPr>
          <w:rFonts w:cs="Times New Roman"/>
          <w:szCs w:val="26"/>
        </w:rPr>
      </w:pPr>
      <w:r w:rsidRPr="00436A48">
        <w:rPr>
          <w:rFonts w:cs="Times New Roman"/>
          <w:szCs w:val="26"/>
        </w:rPr>
        <w:t>2.</w:t>
      </w:r>
      <w:r w:rsidRPr="00436A48">
        <w:rPr>
          <w:rFonts w:cs="Times New Roman"/>
          <w:szCs w:val="26"/>
        </w:rPr>
        <w:tab/>
        <w:t xml:space="preserve">That the </w:t>
      </w:r>
      <w:r w:rsidR="00436A48" w:rsidRPr="00436A48">
        <w:rPr>
          <w:rFonts w:cs="Times New Roman"/>
          <w:szCs w:val="26"/>
        </w:rPr>
        <w:t>Law Bureau</w:t>
      </w:r>
      <w:r w:rsidRPr="00436A48">
        <w:rPr>
          <w:rFonts w:cs="Times New Roman"/>
          <w:szCs w:val="26"/>
        </w:rPr>
        <w:t xml:space="preserve"> shall certify this order and Annex A and deposit them </w:t>
      </w:r>
    </w:p>
    <w:p w14:paraId="34DED68F" w14:textId="1DACF9B2" w:rsidR="0086799B" w:rsidRPr="00436A48" w:rsidRDefault="0086799B" w:rsidP="0086799B">
      <w:pPr>
        <w:rPr>
          <w:rFonts w:cs="Times New Roman"/>
          <w:szCs w:val="26"/>
        </w:rPr>
      </w:pPr>
      <w:r w:rsidRPr="00436A48">
        <w:rPr>
          <w:rFonts w:cs="Times New Roman"/>
          <w:szCs w:val="26"/>
        </w:rPr>
        <w:t xml:space="preserve">with the Legislative Bureau for publication in the </w:t>
      </w:r>
      <w:r w:rsidRPr="00436A48">
        <w:rPr>
          <w:rFonts w:cs="Times New Roman"/>
          <w:i/>
          <w:iCs/>
          <w:szCs w:val="26"/>
        </w:rPr>
        <w:t>Pennsylvania Bulletin</w:t>
      </w:r>
      <w:r w:rsidRPr="00436A48">
        <w:rPr>
          <w:rFonts w:cs="Times New Roman"/>
          <w:szCs w:val="26"/>
        </w:rPr>
        <w:t>.</w:t>
      </w:r>
    </w:p>
    <w:p w14:paraId="0FF3EA59" w14:textId="77777777" w:rsidR="000371D5" w:rsidRPr="00436A48" w:rsidRDefault="000371D5" w:rsidP="0086799B">
      <w:pPr>
        <w:rPr>
          <w:rFonts w:cs="Times New Roman"/>
          <w:szCs w:val="26"/>
        </w:rPr>
      </w:pPr>
    </w:p>
    <w:p w14:paraId="3C22FED1" w14:textId="30224BE8" w:rsidR="0086799B" w:rsidRPr="00436A48" w:rsidRDefault="0086799B" w:rsidP="0086799B">
      <w:pPr>
        <w:ind w:firstLine="720"/>
        <w:rPr>
          <w:rFonts w:cs="Times New Roman"/>
          <w:szCs w:val="26"/>
        </w:rPr>
      </w:pPr>
      <w:r w:rsidRPr="00436A48">
        <w:rPr>
          <w:rFonts w:cs="Times New Roman"/>
          <w:szCs w:val="26"/>
        </w:rPr>
        <w:t>3.</w:t>
      </w:r>
      <w:r w:rsidRPr="00436A48">
        <w:rPr>
          <w:rFonts w:cs="Times New Roman"/>
          <w:szCs w:val="26"/>
        </w:rPr>
        <w:tab/>
        <w:t xml:space="preserve">That the </w:t>
      </w:r>
      <w:r w:rsidR="00436A48" w:rsidRPr="00436A48">
        <w:rPr>
          <w:rFonts w:cs="Times New Roman"/>
          <w:szCs w:val="26"/>
        </w:rPr>
        <w:t>Law Bureau</w:t>
      </w:r>
      <w:r w:rsidRPr="00436A48">
        <w:rPr>
          <w:rFonts w:cs="Times New Roman"/>
          <w:szCs w:val="26"/>
        </w:rPr>
        <w:t xml:space="preserve"> shall submit this order and Annex A to the Office of </w:t>
      </w:r>
    </w:p>
    <w:p w14:paraId="25966DB8" w14:textId="2CB4E71E" w:rsidR="0086799B" w:rsidRPr="00436A48" w:rsidRDefault="0086799B" w:rsidP="0086799B">
      <w:pPr>
        <w:rPr>
          <w:rFonts w:cs="Times New Roman"/>
          <w:szCs w:val="26"/>
        </w:rPr>
      </w:pPr>
      <w:r w:rsidRPr="00436A48">
        <w:rPr>
          <w:rFonts w:cs="Times New Roman"/>
          <w:szCs w:val="26"/>
        </w:rPr>
        <w:t>Attorney General for approval as to legality.</w:t>
      </w:r>
    </w:p>
    <w:p w14:paraId="33133D38" w14:textId="77777777" w:rsidR="00834241" w:rsidRPr="00436A48" w:rsidRDefault="00834241" w:rsidP="0086799B">
      <w:pPr>
        <w:rPr>
          <w:rFonts w:cs="Times New Roman"/>
          <w:szCs w:val="26"/>
        </w:rPr>
      </w:pPr>
    </w:p>
    <w:p w14:paraId="16FC04DD" w14:textId="7050C1B2" w:rsidR="0086799B" w:rsidRPr="00436A48" w:rsidRDefault="0086799B" w:rsidP="0086799B">
      <w:pPr>
        <w:ind w:firstLine="720"/>
        <w:rPr>
          <w:rFonts w:cs="Times New Roman"/>
          <w:szCs w:val="26"/>
        </w:rPr>
      </w:pPr>
      <w:r w:rsidRPr="00436A48">
        <w:rPr>
          <w:rFonts w:cs="Times New Roman"/>
          <w:szCs w:val="26"/>
        </w:rPr>
        <w:t>4.</w:t>
      </w:r>
      <w:r w:rsidRPr="00436A48">
        <w:rPr>
          <w:rFonts w:cs="Times New Roman"/>
          <w:szCs w:val="26"/>
        </w:rPr>
        <w:tab/>
        <w:t xml:space="preserve">That the </w:t>
      </w:r>
      <w:r w:rsidR="00436A48" w:rsidRPr="00436A48">
        <w:rPr>
          <w:rFonts w:cs="Times New Roman"/>
          <w:szCs w:val="26"/>
        </w:rPr>
        <w:t>Law Bureau</w:t>
      </w:r>
      <w:r w:rsidRPr="00436A48">
        <w:rPr>
          <w:rFonts w:cs="Times New Roman"/>
          <w:szCs w:val="26"/>
        </w:rPr>
        <w:t xml:space="preserve"> shall submit this order and Annex A to the Governor's Budget Office for review of fiscal impact.</w:t>
      </w:r>
    </w:p>
    <w:p w14:paraId="5D533DAB" w14:textId="77777777" w:rsidR="0086799B" w:rsidRPr="00436A48" w:rsidRDefault="0086799B" w:rsidP="0086799B">
      <w:pPr>
        <w:ind w:firstLine="720"/>
        <w:rPr>
          <w:rFonts w:cs="Times New Roman"/>
          <w:szCs w:val="26"/>
        </w:rPr>
      </w:pPr>
    </w:p>
    <w:p w14:paraId="5D71A97A" w14:textId="55E94D87" w:rsidR="0086799B" w:rsidRPr="00436A48" w:rsidRDefault="0086799B" w:rsidP="0086799B">
      <w:pPr>
        <w:ind w:firstLine="720"/>
        <w:rPr>
          <w:rFonts w:cs="Times New Roman"/>
          <w:szCs w:val="26"/>
        </w:rPr>
      </w:pPr>
      <w:r w:rsidRPr="00436A48">
        <w:rPr>
          <w:rFonts w:cs="Times New Roman"/>
          <w:szCs w:val="26"/>
        </w:rPr>
        <w:t>5.</w:t>
      </w:r>
      <w:r w:rsidRPr="00436A48">
        <w:rPr>
          <w:rFonts w:cs="Times New Roman"/>
          <w:szCs w:val="26"/>
        </w:rPr>
        <w:tab/>
        <w:t xml:space="preserve">That the </w:t>
      </w:r>
      <w:r w:rsidR="00436A48" w:rsidRPr="00436A48">
        <w:rPr>
          <w:rFonts w:cs="Times New Roman"/>
          <w:szCs w:val="26"/>
        </w:rPr>
        <w:t>Law Bureau</w:t>
      </w:r>
      <w:r w:rsidRPr="00436A48">
        <w:rPr>
          <w:rFonts w:cs="Times New Roman"/>
          <w:szCs w:val="26"/>
        </w:rPr>
        <w:t xml:space="preserve"> shall submit this order and Annex A for review by the designated standing committees of both houses of the General Assembly, and for review and approval by the Independent Regulatory Review Commission.</w:t>
      </w:r>
    </w:p>
    <w:p w14:paraId="6C7F9DC9" w14:textId="77777777" w:rsidR="0086799B" w:rsidRPr="00436A48" w:rsidRDefault="0086799B" w:rsidP="0086799B">
      <w:pPr>
        <w:ind w:firstLine="720"/>
        <w:rPr>
          <w:rFonts w:cs="Times New Roman"/>
          <w:szCs w:val="26"/>
        </w:rPr>
      </w:pPr>
    </w:p>
    <w:p w14:paraId="2734177B" w14:textId="0BD48FA0" w:rsidR="0086799B" w:rsidRPr="00436A48" w:rsidRDefault="009F7F4B" w:rsidP="00A858AE">
      <w:pPr>
        <w:keepNext/>
        <w:keepLines/>
        <w:ind w:firstLine="720"/>
        <w:rPr>
          <w:rFonts w:cs="Times New Roman"/>
          <w:szCs w:val="26"/>
        </w:rPr>
      </w:pPr>
      <w:r w:rsidRPr="00436A48">
        <w:rPr>
          <w:rFonts w:cs="Times New Roman"/>
          <w:szCs w:val="26"/>
        </w:rPr>
        <w:lastRenderedPageBreak/>
        <w:t>6</w:t>
      </w:r>
      <w:r w:rsidR="0086799B" w:rsidRPr="00436A48">
        <w:rPr>
          <w:rFonts w:cs="Times New Roman"/>
          <w:szCs w:val="26"/>
        </w:rPr>
        <w:t>.</w:t>
      </w:r>
      <w:r w:rsidR="0086799B" w:rsidRPr="00436A48">
        <w:rPr>
          <w:rFonts w:cs="Times New Roman"/>
          <w:szCs w:val="26"/>
        </w:rPr>
        <w:tab/>
      </w:r>
      <w:r w:rsidRPr="00436A48">
        <w:rPr>
          <w:rFonts w:cs="Times New Roman"/>
          <w:szCs w:val="26"/>
        </w:rPr>
        <w:t>That the Secretary’s Bureau will serve copy of this Order and Annex A upon the Pennsylvania Telephone Association, all the participating parties in the Advanced Notice of Proposed Rulemaking, the Office of Consumer Advocate, the Office of Small Business Advocate, and the Commission’s Bureau of Investigation and Enforcement.</w:t>
      </w:r>
    </w:p>
    <w:p w14:paraId="1475899A" w14:textId="77777777" w:rsidR="0086799B" w:rsidRPr="00436A48" w:rsidRDefault="0086799B" w:rsidP="0086799B">
      <w:pPr>
        <w:ind w:firstLine="720"/>
        <w:rPr>
          <w:rFonts w:cs="Times New Roman"/>
          <w:szCs w:val="26"/>
        </w:rPr>
      </w:pPr>
    </w:p>
    <w:p w14:paraId="189090AD" w14:textId="33B7AAE9" w:rsidR="004D4535" w:rsidRPr="00436A48" w:rsidRDefault="009F7F4B" w:rsidP="009F7F4B">
      <w:pPr>
        <w:ind w:firstLine="720"/>
        <w:rPr>
          <w:rFonts w:cs="Times New Roman"/>
          <w:szCs w:val="26"/>
        </w:rPr>
      </w:pPr>
      <w:r w:rsidRPr="00436A48">
        <w:rPr>
          <w:rFonts w:cs="Times New Roman"/>
          <w:szCs w:val="26"/>
        </w:rPr>
        <w:t>7</w:t>
      </w:r>
      <w:r w:rsidR="001B3461" w:rsidRPr="00436A48">
        <w:rPr>
          <w:rFonts w:cs="Times New Roman"/>
          <w:szCs w:val="26"/>
        </w:rPr>
        <w:t>.</w:t>
      </w:r>
      <w:r w:rsidR="001B3461" w:rsidRPr="00436A48">
        <w:rPr>
          <w:rFonts w:cs="Times New Roman"/>
          <w:szCs w:val="26"/>
        </w:rPr>
        <w:tab/>
      </w:r>
      <w:r w:rsidRPr="00436A48">
        <w:rPr>
          <w:rFonts w:cs="Times New Roman"/>
          <w:szCs w:val="26"/>
        </w:rPr>
        <w:t>That the contact person</w:t>
      </w:r>
      <w:r w:rsidR="00F627A5">
        <w:rPr>
          <w:rFonts w:cs="Times New Roman"/>
          <w:szCs w:val="26"/>
        </w:rPr>
        <w:t>s</w:t>
      </w:r>
      <w:r w:rsidRPr="00436A48">
        <w:rPr>
          <w:rFonts w:cs="Times New Roman"/>
          <w:szCs w:val="26"/>
        </w:rPr>
        <w:t xml:space="preserve"> for this rulemaking </w:t>
      </w:r>
      <w:r w:rsidR="00F627A5">
        <w:rPr>
          <w:rFonts w:cs="Times New Roman"/>
          <w:szCs w:val="26"/>
        </w:rPr>
        <w:t>are</w:t>
      </w:r>
      <w:r w:rsidRPr="00436A48">
        <w:rPr>
          <w:rFonts w:cs="Times New Roman"/>
          <w:szCs w:val="26"/>
        </w:rPr>
        <w:t xml:space="preserve"> </w:t>
      </w:r>
      <w:r w:rsidR="00DB7724" w:rsidRPr="00436A48">
        <w:rPr>
          <w:rFonts w:cs="Times New Roman"/>
          <w:szCs w:val="26"/>
        </w:rPr>
        <w:t xml:space="preserve">Deputy Chief Counsel </w:t>
      </w:r>
      <w:r w:rsidRPr="00436A48">
        <w:rPr>
          <w:rFonts w:cs="Times New Roman"/>
          <w:szCs w:val="26"/>
        </w:rPr>
        <w:t>David E. Screven, Law Bureau</w:t>
      </w:r>
      <w:r w:rsidR="00FE4B1D">
        <w:rPr>
          <w:rFonts w:cs="Times New Roman"/>
          <w:szCs w:val="26"/>
        </w:rPr>
        <w:t>,</w:t>
      </w:r>
      <w:r w:rsidRPr="00436A48">
        <w:rPr>
          <w:rFonts w:cs="Times New Roman"/>
          <w:szCs w:val="26"/>
        </w:rPr>
        <w:t xml:space="preserve"> (717) 787-2126, </w:t>
      </w:r>
      <w:hyperlink r:id="rId8" w:history="1">
        <w:r w:rsidRPr="00436A48">
          <w:rPr>
            <w:rStyle w:val="Hyperlink"/>
            <w:rFonts w:cs="Times New Roman"/>
            <w:szCs w:val="26"/>
          </w:rPr>
          <w:t>dscreven@pa.gov</w:t>
        </w:r>
      </w:hyperlink>
      <w:r w:rsidR="00F627A5">
        <w:rPr>
          <w:color w:val="1F497D"/>
        </w:rPr>
        <w:t xml:space="preserve">, </w:t>
      </w:r>
      <w:r w:rsidR="00F627A5" w:rsidRPr="00F627A5">
        <w:t>and Assistant Counsel Christopher Van de Verg</w:t>
      </w:r>
      <w:r w:rsidR="00FE4B1D">
        <w:t>,</w:t>
      </w:r>
      <w:r w:rsidR="00F627A5" w:rsidRPr="00F627A5">
        <w:t xml:space="preserve"> (717) 783-3459</w:t>
      </w:r>
      <w:r w:rsidR="00F627A5">
        <w:rPr>
          <w:color w:val="1F497D"/>
        </w:rPr>
        <w:t xml:space="preserve">, </w:t>
      </w:r>
      <w:hyperlink r:id="rId9" w:history="1">
        <w:r w:rsidR="00F627A5">
          <w:rPr>
            <w:rStyle w:val="Hyperlink"/>
          </w:rPr>
          <w:t>cvandeverg@pa.gov</w:t>
        </w:r>
      </w:hyperlink>
      <w:r w:rsidR="00F627A5">
        <w:rPr>
          <w:color w:val="1F497D"/>
        </w:rPr>
        <w:t>.</w:t>
      </w:r>
      <w:r w:rsidRPr="00436A48">
        <w:rPr>
          <w:rFonts w:cs="Times New Roman"/>
          <w:szCs w:val="26"/>
        </w:rPr>
        <w:t xml:space="preserve">  Alternate formats of this document are available for persons with disabilities and may be obtained by contacting Karen Thorne, Regulatory Coordinator, (717) 7</w:t>
      </w:r>
      <w:r w:rsidR="004D4535" w:rsidRPr="00436A48">
        <w:rPr>
          <w:rFonts w:cs="Times New Roman"/>
          <w:szCs w:val="26"/>
        </w:rPr>
        <w:t>72</w:t>
      </w:r>
      <w:r w:rsidRPr="00436A48">
        <w:rPr>
          <w:rFonts w:cs="Times New Roman"/>
          <w:szCs w:val="26"/>
        </w:rPr>
        <w:t>-</w:t>
      </w:r>
      <w:r w:rsidR="004D4535" w:rsidRPr="00436A48">
        <w:rPr>
          <w:rFonts w:cs="Times New Roman"/>
          <w:szCs w:val="26"/>
        </w:rPr>
        <w:t xml:space="preserve">4597, </w:t>
      </w:r>
      <w:hyperlink r:id="rId10" w:history="1">
        <w:r w:rsidR="004D4535" w:rsidRPr="00436A48">
          <w:rPr>
            <w:rStyle w:val="Hyperlink"/>
            <w:rFonts w:cs="Times New Roman"/>
            <w:szCs w:val="26"/>
          </w:rPr>
          <w:t>kathorne@pa.gov</w:t>
        </w:r>
      </w:hyperlink>
      <w:r w:rsidR="004D4535" w:rsidRPr="00436A48">
        <w:rPr>
          <w:rFonts w:cs="Times New Roman"/>
          <w:szCs w:val="26"/>
        </w:rPr>
        <w:t>.</w:t>
      </w:r>
    </w:p>
    <w:p w14:paraId="36608F84" w14:textId="77777777" w:rsidR="00EA2FBA" w:rsidRPr="00436A48" w:rsidRDefault="00EA2FBA" w:rsidP="00EA2FBA">
      <w:pPr>
        <w:ind w:firstLine="720"/>
        <w:rPr>
          <w:rFonts w:cs="Times New Roman"/>
          <w:szCs w:val="26"/>
        </w:rPr>
      </w:pPr>
    </w:p>
    <w:p w14:paraId="2AA72D48" w14:textId="5D877BF1" w:rsidR="00151DB0" w:rsidRPr="00436A48" w:rsidRDefault="009F7F4B" w:rsidP="00EA2FBA">
      <w:pPr>
        <w:ind w:firstLine="720"/>
        <w:rPr>
          <w:rFonts w:cs="Times New Roman"/>
          <w:szCs w:val="26"/>
        </w:rPr>
      </w:pPr>
      <w:r w:rsidRPr="00436A48">
        <w:rPr>
          <w:rFonts w:cs="Times New Roman"/>
          <w:szCs w:val="26"/>
        </w:rPr>
        <w:t>8</w:t>
      </w:r>
      <w:r w:rsidR="00151DB0" w:rsidRPr="00436A48">
        <w:rPr>
          <w:rFonts w:cs="Times New Roman"/>
          <w:szCs w:val="26"/>
        </w:rPr>
        <w:t>.</w:t>
      </w:r>
      <w:r w:rsidR="00151DB0" w:rsidRPr="00436A48">
        <w:rPr>
          <w:rFonts w:cs="Times New Roman"/>
          <w:szCs w:val="26"/>
        </w:rPr>
        <w:tab/>
        <w:t xml:space="preserve">That a copy of this Order will be published on the Commission’s website at </w:t>
      </w:r>
      <w:hyperlink r:id="rId11" w:history="1">
        <w:r w:rsidR="00151DB0" w:rsidRPr="00436A48">
          <w:rPr>
            <w:rStyle w:val="Hyperlink"/>
            <w:rFonts w:cs="Times New Roman"/>
            <w:szCs w:val="26"/>
          </w:rPr>
          <w:t>http://www.puc.pa.gov</w:t>
        </w:r>
      </w:hyperlink>
      <w:r w:rsidR="000371D5" w:rsidRPr="00436A48">
        <w:rPr>
          <w:rFonts w:cs="Times New Roman"/>
          <w:szCs w:val="26"/>
        </w:rPr>
        <w:t>.</w:t>
      </w:r>
    </w:p>
    <w:p w14:paraId="2D86FE27" w14:textId="12C1D500" w:rsidR="005A3DA6" w:rsidRPr="00436A48" w:rsidRDefault="005A3DA6" w:rsidP="00EA2FBA">
      <w:pPr>
        <w:ind w:firstLine="720"/>
        <w:rPr>
          <w:rFonts w:cs="Times New Roman"/>
          <w:szCs w:val="26"/>
        </w:rPr>
      </w:pPr>
    </w:p>
    <w:p w14:paraId="31152004" w14:textId="06CF4E8F" w:rsidR="005A3DA6" w:rsidRPr="00F1714B" w:rsidRDefault="00EA4D2E" w:rsidP="00EA4D2E">
      <w:pPr>
        <w:keepNext/>
        <w:keepLines/>
        <w:ind w:firstLine="720"/>
        <w:rPr>
          <w:rFonts w:cs="Times New Roman"/>
          <w:szCs w:val="26"/>
        </w:rPr>
      </w:pPr>
      <w:r w:rsidRPr="00436A48">
        <w:rPr>
          <w:rFonts w:cs="Times New Roman"/>
          <w:szCs w:val="26"/>
        </w:rPr>
        <w:t>9</w:t>
      </w:r>
      <w:r w:rsidR="005A3DA6" w:rsidRPr="00436A48">
        <w:rPr>
          <w:rFonts w:cs="Times New Roman"/>
          <w:szCs w:val="26"/>
        </w:rPr>
        <w:t>.</w:t>
      </w:r>
      <w:r w:rsidR="005A3DA6" w:rsidRPr="00436A48">
        <w:rPr>
          <w:rFonts w:cs="Times New Roman"/>
          <w:szCs w:val="26"/>
        </w:rPr>
        <w:tab/>
        <w:t xml:space="preserve">That the final regulations embodied in Annex A shall become effective upon publication in the </w:t>
      </w:r>
      <w:r w:rsidR="005A3DA6" w:rsidRPr="00436A48">
        <w:rPr>
          <w:rFonts w:cs="Times New Roman"/>
          <w:i/>
          <w:iCs/>
          <w:szCs w:val="26"/>
        </w:rPr>
        <w:t>Pennsylvania Bulletin</w:t>
      </w:r>
      <w:r w:rsidR="005A3DA6" w:rsidRPr="00436A48">
        <w:rPr>
          <w:rFonts w:cs="Times New Roman"/>
          <w:szCs w:val="26"/>
        </w:rPr>
        <w:t>.</w:t>
      </w:r>
      <w:r w:rsidR="002E4CAD" w:rsidRPr="002E4CAD">
        <w:rPr>
          <w:noProof/>
        </w:rPr>
        <w:t xml:space="preserve"> </w:t>
      </w:r>
    </w:p>
    <w:bookmarkEnd w:id="93"/>
    <w:bookmarkEnd w:id="94"/>
    <w:p w14:paraId="43188FF7" w14:textId="7F6F3734" w:rsidR="001B3461" w:rsidRPr="00F1714B" w:rsidRDefault="001B3461" w:rsidP="00EA4D2E">
      <w:pPr>
        <w:keepNext/>
        <w:keepLines/>
        <w:jc w:val="center"/>
        <w:rPr>
          <w:rFonts w:cs="Times New Roman"/>
          <w:szCs w:val="26"/>
        </w:rPr>
      </w:pPr>
    </w:p>
    <w:p w14:paraId="2057C914" w14:textId="5A057B05" w:rsidR="001B3461" w:rsidRPr="00F1714B" w:rsidRDefault="002E4CAD" w:rsidP="00EA4D2E">
      <w:pPr>
        <w:keepNext/>
        <w:keepLines/>
        <w:tabs>
          <w:tab w:val="left" w:pos="5057"/>
        </w:tabs>
        <w:autoSpaceDE w:val="0"/>
        <w:autoSpaceDN w:val="0"/>
        <w:adjustRightInd w:val="0"/>
        <w:spacing w:line="240" w:lineRule="auto"/>
        <w:ind w:left="5057"/>
        <w:rPr>
          <w:rFonts w:eastAsia="Times New Roman" w:cs="Times New Roman"/>
          <w:b/>
          <w:bCs/>
          <w:szCs w:val="26"/>
        </w:rPr>
      </w:pPr>
      <w:r>
        <w:rPr>
          <w:noProof/>
        </w:rPr>
        <w:drawing>
          <wp:anchor distT="0" distB="0" distL="114300" distR="114300" simplePos="0" relativeHeight="251659264" behindDoc="1" locked="0" layoutInCell="1" allowOverlap="1" wp14:anchorId="0F885AC0" wp14:editId="6A145D1B">
            <wp:simplePos x="0" y="0"/>
            <wp:positionH relativeFrom="column">
              <wp:posOffset>3162300</wp:posOffset>
            </wp:positionH>
            <wp:positionV relativeFrom="paragraph">
              <wp:posOffset>30480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B3461" w:rsidRPr="00F1714B">
        <w:rPr>
          <w:rFonts w:eastAsia="Times New Roman" w:cs="Times New Roman"/>
          <w:b/>
          <w:bCs/>
          <w:szCs w:val="26"/>
        </w:rPr>
        <w:t>BY THE COMMISSION</w:t>
      </w:r>
    </w:p>
    <w:p w14:paraId="732FBC70" w14:textId="0FF27C41" w:rsidR="001B3461" w:rsidRPr="00F1714B" w:rsidRDefault="001B3461" w:rsidP="00EA4D2E">
      <w:pPr>
        <w:keepNext/>
        <w:keepLines/>
        <w:tabs>
          <w:tab w:val="left" w:pos="5057"/>
        </w:tabs>
        <w:overflowPunct w:val="0"/>
        <w:autoSpaceDE w:val="0"/>
        <w:autoSpaceDN w:val="0"/>
        <w:adjustRightInd w:val="0"/>
        <w:spacing w:line="240" w:lineRule="auto"/>
        <w:textAlignment w:val="baseline"/>
        <w:rPr>
          <w:rFonts w:eastAsia="Times New Roman" w:cs="Times New Roman"/>
          <w:b/>
          <w:bCs/>
          <w:szCs w:val="26"/>
        </w:rPr>
      </w:pPr>
    </w:p>
    <w:p w14:paraId="6E3DFE54" w14:textId="77777777" w:rsidR="0074577C" w:rsidRPr="00F1714B" w:rsidRDefault="0074577C" w:rsidP="00EA4D2E">
      <w:pPr>
        <w:keepNext/>
        <w:keepLines/>
        <w:tabs>
          <w:tab w:val="left" w:pos="5057"/>
        </w:tabs>
        <w:overflowPunct w:val="0"/>
        <w:autoSpaceDE w:val="0"/>
        <w:autoSpaceDN w:val="0"/>
        <w:adjustRightInd w:val="0"/>
        <w:spacing w:line="240" w:lineRule="auto"/>
        <w:textAlignment w:val="baseline"/>
        <w:rPr>
          <w:rFonts w:eastAsia="Times New Roman" w:cs="Times New Roman"/>
          <w:b/>
          <w:bCs/>
          <w:szCs w:val="26"/>
        </w:rPr>
      </w:pPr>
    </w:p>
    <w:p w14:paraId="095D0A2E" w14:textId="77777777" w:rsidR="001B3461" w:rsidRPr="00F1714B" w:rsidRDefault="001B3461" w:rsidP="00EA4D2E">
      <w:pPr>
        <w:keepNext/>
        <w:keepLines/>
        <w:tabs>
          <w:tab w:val="left" w:pos="5057"/>
        </w:tabs>
        <w:overflowPunct w:val="0"/>
        <w:autoSpaceDE w:val="0"/>
        <w:autoSpaceDN w:val="0"/>
        <w:adjustRightInd w:val="0"/>
        <w:spacing w:line="240" w:lineRule="auto"/>
        <w:textAlignment w:val="baseline"/>
        <w:rPr>
          <w:rFonts w:eastAsia="Times New Roman" w:cs="Times New Roman"/>
          <w:b/>
          <w:bCs/>
          <w:szCs w:val="26"/>
        </w:rPr>
      </w:pPr>
    </w:p>
    <w:p w14:paraId="515C32FE" w14:textId="77777777" w:rsidR="001B3461" w:rsidRPr="00F1714B" w:rsidRDefault="001B3461" w:rsidP="00EA4D2E">
      <w:pPr>
        <w:keepNext/>
        <w:keepLines/>
        <w:tabs>
          <w:tab w:val="left" w:pos="5062"/>
        </w:tabs>
        <w:autoSpaceDE w:val="0"/>
        <w:autoSpaceDN w:val="0"/>
        <w:adjustRightInd w:val="0"/>
        <w:spacing w:line="240" w:lineRule="auto"/>
        <w:ind w:left="5062"/>
        <w:rPr>
          <w:rFonts w:eastAsia="Times New Roman" w:cs="Times New Roman"/>
          <w:szCs w:val="26"/>
        </w:rPr>
      </w:pPr>
      <w:r w:rsidRPr="00F1714B">
        <w:rPr>
          <w:rFonts w:eastAsia="Times New Roman" w:cs="Times New Roman"/>
          <w:szCs w:val="26"/>
        </w:rPr>
        <w:t>Rosemary Chiavetta</w:t>
      </w:r>
    </w:p>
    <w:p w14:paraId="591D2186" w14:textId="77777777" w:rsidR="001B3461" w:rsidRPr="00F1714B" w:rsidRDefault="001B3461" w:rsidP="00EA4D2E">
      <w:pPr>
        <w:keepNext/>
        <w:keepLines/>
        <w:tabs>
          <w:tab w:val="left" w:pos="5062"/>
        </w:tabs>
        <w:autoSpaceDE w:val="0"/>
        <w:autoSpaceDN w:val="0"/>
        <w:adjustRightInd w:val="0"/>
        <w:spacing w:line="240" w:lineRule="auto"/>
        <w:ind w:left="5062"/>
        <w:rPr>
          <w:rFonts w:eastAsia="Times New Roman" w:cs="Times New Roman"/>
          <w:szCs w:val="26"/>
        </w:rPr>
      </w:pPr>
      <w:r w:rsidRPr="00F1714B">
        <w:rPr>
          <w:rFonts w:eastAsia="Times New Roman" w:cs="Times New Roman"/>
          <w:szCs w:val="26"/>
        </w:rPr>
        <w:t>Secretary</w:t>
      </w:r>
    </w:p>
    <w:p w14:paraId="4D9BF70F" w14:textId="77777777" w:rsidR="001B3461" w:rsidRPr="00F1714B" w:rsidRDefault="001B3461" w:rsidP="00EA4D2E">
      <w:pPr>
        <w:keepNext/>
        <w:keepLines/>
        <w:tabs>
          <w:tab w:val="left" w:pos="5062"/>
        </w:tabs>
        <w:overflowPunct w:val="0"/>
        <w:autoSpaceDE w:val="0"/>
        <w:autoSpaceDN w:val="0"/>
        <w:adjustRightInd w:val="0"/>
        <w:spacing w:line="240" w:lineRule="auto"/>
        <w:textAlignment w:val="baseline"/>
        <w:rPr>
          <w:rFonts w:eastAsia="Times New Roman" w:cs="Times New Roman"/>
          <w:szCs w:val="26"/>
        </w:rPr>
      </w:pPr>
    </w:p>
    <w:p w14:paraId="7361CB12" w14:textId="77777777" w:rsidR="001B3461" w:rsidRPr="00F1714B" w:rsidRDefault="001B3461" w:rsidP="00EA4D2E">
      <w:pPr>
        <w:keepNext/>
        <w:keepLines/>
        <w:tabs>
          <w:tab w:val="left" w:pos="204"/>
        </w:tabs>
        <w:autoSpaceDE w:val="0"/>
        <w:autoSpaceDN w:val="0"/>
        <w:adjustRightInd w:val="0"/>
        <w:spacing w:line="240" w:lineRule="auto"/>
        <w:rPr>
          <w:rFonts w:eastAsia="Times New Roman" w:cs="Times New Roman"/>
          <w:szCs w:val="26"/>
        </w:rPr>
      </w:pPr>
      <w:r w:rsidRPr="00F1714B">
        <w:rPr>
          <w:rFonts w:eastAsia="Times New Roman" w:cs="Times New Roman"/>
          <w:szCs w:val="26"/>
        </w:rPr>
        <w:t>(SEAL)</w:t>
      </w:r>
    </w:p>
    <w:p w14:paraId="09B85C77" w14:textId="77777777" w:rsidR="001B3461" w:rsidRPr="00F1714B" w:rsidRDefault="001B3461" w:rsidP="00EA2FBA">
      <w:pPr>
        <w:tabs>
          <w:tab w:val="left" w:pos="204"/>
        </w:tabs>
        <w:autoSpaceDE w:val="0"/>
        <w:autoSpaceDN w:val="0"/>
        <w:adjustRightInd w:val="0"/>
        <w:spacing w:line="240" w:lineRule="auto"/>
        <w:rPr>
          <w:rFonts w:eastAsia="Times New Roman" w:cs="Times New Roman"/>
          <w:szCs w:val="26"/>
        </w:rPr>
      </w:pPr>
    </w:p>
    <w:p w14:paraId="00BFFC81" w14:textId="317E2751" w:rsidR="001B3461" w:rsidRPr="00F1714B" w:rsidRDefault="001B3461" w:rsidP="00EA2FBA">
      <w:pPr>
        <w:tabs>
          <w:tab w:val="left" w:pos="204"/>
        </w:tabs>
        <w:autoSpaceDE w:val="0"/>
        <w:autoSpaceDN w:val="0"/>
        <w:adjustRightInd w:val="0"/>
        <w:spacing w:line="240" w:lineRule="auto"/>
        <w:rPr>
          <w:rFonts w:eastAsia="Times New Roman" w:cs="Times New Roman"/>
          <w:szCs w:val="26"/>
        </w:rPr>
      </w:pPr>
      <w:r w:rsidRPr="00F1714B">
        <w:rPr>
          <w:rFonts w:eastAsia="Times New Roman" w:cs="Times New Roman"/>
          <w:szCs w:val="26"/>
        </w:rPr>
        <w:t xml:space="preserve">ORDER ADOPTED:  </w:t>
      </w:r>
      <w:r w:rsidR="0081795E" w:rsidRPr="00F1714B">
        <w:rPr>
          <w:rFonts w:eastAsia="Times New Roman" w:cs="Times New Roman"/>
          <w:szCs w:val="26"/>
        </w:rPr>
        <w:t>October 28</w:t>
      </w:r>
      <w:r w:rsidR="00094475" w:rsidRPr="00F1714B">
        <w:rPr>
          <w:rFonts w:eastAsia="Times New Roman" w:cs="Times New Roman"/>
          <w:szCs w:val="26"/>
        </w:rPr>
        <w:t>, 2021</w:t>
      </w:r>
    </w:p>
    <w:p w14:paraId="0AA30DE5" w14:textId="77777777" w:rsidR="00341730" w:rsidRPr="00F1714B" w:rsidRDefault="00341730" w:rsidP="00341730">
      <w:pPr>
        <w:spacing w:after="160" w:line="240" w:lineRule="auto"/>
        <w:contextualSpacing/>
        <w:rPr>
          <w:rFonts w:eastAsia="Times New Roman" w:cs="Times New Roman"/>
          <w:szCs w:val="26"/>
        </w:rPr>
      </w:pPr>
    </w:p>
    <w:p w14:paraId="2ED4929D" w14:textId="103F69CA" w:rsidR="00C97309" w:rsidRPr="00EB01FF" w:rsidRDefault="001B3461" w:rsidP="00341730">
      <w:pPr>
        <w:spacing w:after="160" w:line="240" w:lineRule="auto"/>
        <w:contextualSpacing/>
        <w:rPr>
          <w:rFonts w:cs="Times New Roman"/>
          <w:szCs w:val="26"/>
        </w:rPr>
      </w:pPr>
      <w:r w:rsidRPr="00F1714B">
        <w:rPr>
          <w:rFonts w:eastAsia="Times New Roman" w:cs="Times New Roman"/>
          <w:szCs w:val="26"/>
        </w:rPr>
        <w:t>ORDER ENTERED:</w:t>
      </w:r>
      <w:r w:rsidRPr="00EB01FF">
        <w:rPr>
          <w:rFonts w:eastAsia="Times New Roman" w:cs="Times New Roman"/>
          <w:szCs w:val="26"/>
        </w:rPr>
        <w:t xml:space="preserve">  </w:t>
      </w:r>
      <w:bookmarkStart w:id="95" w:name="63.102."/>
      <w:bookmarkStart w:id="96" w:name="63.103."/>
      <w:bookmarkStart w:id="97" w:name="63.104."/>
      <w:bookmarkStart w:id="98" w:name="63.105."/>
      <w:bookmarkStart w:id="99" w:name="63.106."/>
      <w:bookmarkStart w:id="100" w:name="63.107."/>
      <w:bookmarkStart w:id="101" w:name="63.108."/>
      <w:bookmarkStart w:id="102" w:name="63.109."/>
      <w:bookmarkStart w:id="103" w:name="63.111."/>
      <w:bookmarkStart w:id="104" w:name="63.112."/>
      <w:bookmarkStart w:id="105" w:name="63.112a."/>
      <w:bookmarkStart w:id="106" w:name="63.113—63.118."/>
      <w:bookmarkStart w:id="107" w:name="63.131."/>
      <w:bookmarkStart w:id="108" w:name="63.132."/>
      <w:bookmarkStart w:id="109" w:name="63.133."/>
      <w:bookmarkStart w:id="110" w:name="63.134."/>
      <w:bookmarkStart w:id="111" w:name="63.135."/>
      <w:bookmarkStart w:id="112" w:name="63.136."/>
      <w:bookmarkStart w:id="113" w:name="63.137."/>
      <w:bookmarkStart w:id="114" w:name="64.15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2E4CAD">
        <w:rPr>
          <w:rFonts w:eastAsia="Times New Roman" w:cs="Times New Roman"/>
          <w:szCs w:val="26"/>
        </w:rPr>
        <w:t>December 9, 2021</w:t>
      </w:r>
    </w:p>
    <w:sectPr w:rsidR="00C97309" w:rsidRPr="00EB01FF" w:rsidSect="00AD4D7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EADA" w14:textId="77777777" w:rsidR="00494697" w:rsidRDefault="00494697" w:rsidP="001B3461">
      <w:pPr>
        <w:spacing w:line="240" w:lineRule="auto"/>
      </w:pPr>
      <w:r>
        <w:separator/>
      </w:r>
    </w:p>
  </w:endnote>
  <w:endnote w:type="continuationSeparator" w:id="0">
    <w:p w14:paraId="5474A40B" w14:textId="77777777" w:rsidR="00494697" w:rsidRDefault="00494697" w:rsidP="001B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6274"/>
      <w:docPartObj>
        <w:docPartGallery w:val="Page Numbers (Bottom of Page)"/>
        <w:docPartUnique/>
      </w:docPartObj>
    </w:sdtPr>
    <w:sdtEndPr>
      <w:rPr>
        <w:noProof/>
      </w:rPr>
    </w:sdtEndPr>
    <w:sdtContent>
      <w:p w14:paraId="6306445F" w14:textId="77777777" w:rsidR="00D70873" w:rsidRDefault="00096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9E9AD" w14:textId="77777777" w:rsidR="00D70873" w:rsidRDefault="002E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CE49" w14:textId="77777777" w:rsidR="00494697" w:rsidRDefault="00494697" w:rsidP="001B3461">
      <w:pPr>
        <w:spacing w:line="240" w:lineRule="auto"/>
      </w:pPr>
      <w:r>
        <w:separator/>
      </w:r>
    </w:p>
  </w:footnote>
  <w:footnote w:type="continuationSeparator" w:id="0">
    <w:p w14:paraId="7257728E" w14:textId="77777777" w:rsidR="00494697" w:rsidRDefault="00494697" w:rsidP="001B3461">
      <w:pPr>
        <w:spacing w:line="240" w:lineRule="auto"/>
      </w:pPr>
      <w:r>
        <w:continuationSeparator/>
      </w:r>
    </w:p>
  </w:footnote>
  <w:footnote w:id="1">
    <w:p w14:paraId="6249A287" w14:textId="1DE357CC" w:rsidR="00CF2BD4" w:rsidRPr="00F1714B" w:rsidRDefault="00CF2BD4" w:rsidP="00F1714B">
      <w:pPr>
        <w:pStyle w:val="FootnoteText"/>
      </w:pPr>
      <w:r w:rsidRPr="00F1714B">
        <w:rPr>
          <w:rStyle w:val="FootnoteReference"/>
        </w:rPr>
        <w:footnoteRef/>
      </w:r>
      <w:r w:rsidRPr="00F1714B">
        <w:t xml:space="preserve"> </w:t>
      </w:r>
      <w:r w:rsidRPr="00F1714B">
        <w:rPr>
          <w:i/>
          <w:iCs/>
        </w:rPr>
        <w:t>Rulemaking to Comply with the Competitive Classification of Telecommunication Retail Services Under 66 Pa.C.S § 3016(a); General Review of Regulations 52 Pa. Code, Chapter 53, Chapter 63 and Chapter 64</w:t>
      </w:r>
      <w:r w:rsidRPr="00F1714B">
        <w:t>, Docket No. L-2018-3001391 (Order entered September 21, 2020).</w:t>
      </w:r>
    </w:p>
    <w:p w14:paraId="2B1E1FD1" w14:textId="3DED0B48" w:rsidR="00CF2BD4" w:rsidRPr="00F1714B" w:rsidRDefault="00CF2BD4" w:rsidP="00F1714B">
      <w:pPr>
        <w:pStyle w:val="FootnoteText"/>
      </w:pPr>
    </w:p>
  </w:footnote>
  <w:footnote w:id="2">
    <w:p w14:paraId="0B3A39B6" w14:textId="0334A688" w:rsidR="005F4960" w:rsidRPr="00F1714B" w:rsidRDefault="005F4960" w:rsidP="00F1714B">
      <w:pPr>
        <w:spacing w:line="240" w:lineRule="auto"/>
        <w:rPr>
          <w:sz w:val="22"/>
        </w:rPr>
      </w:pPr>
      <w:r w:rsidRPr="00F1714B">
        <w:rPr>
          <w:rStyle w:val="FootnoteReference"/>
          <w:sz w:val="22"/>
        </w:rPr>
        <w:footnoteRef/>
      </w:r>
      <w:r w:rsidRPr="00F1714B">
        <w:rPr>
          <w:sz w:val="22"/>
        </w:rPr>
        <w:t xml:space="preserve"> </w:t>
      </w:r>
      <w:bookmarkStart w:id="2" w:name="_Hlk77765704"/>
      <w:r w:rsidRPr="00F1714B">
        <w:rPr>
          <w:i/>
          <w:iCs/>
          <w:sz w:val="22"/>
        </w:rPr>
        <w:t>See Joint Petition of Verizon Pennsylvania LLC And Verizon North LLC for Competitive Classification of all Retail Services in Certain Geographic Areas and for a Waiver of Regulations for Competitive Services</w:t>
      </w:r>
      <w:r w:rsidRPr="00F1714B">
        <w:rPr>
          <w:sz w:val="22"/>
        </w:rPr>
        <w:t xml:space="preserve">, Docket Nos. </w:t>
      </w:r>
      <w:r w:rsidRPr="00F1714B">
        <w:rPr>
          <w:rFonts w:eastAsia="Calibri" w:cs="Times New Roman"/>
          <w:bCs/>
          <w:sz w:val="22"/>
        </w:rPr>
        <w:t>P-2014-2446303 and P­2014­2446304</w:t>
      </w:r>
      <w:bookmarkEnd w:id="2"/>
      <w:r w:rsidRPr="00F1714B">
        <w:rPr>
          <w:rFonts w:eastAsia="Calibri" w:cs="Times New Roman"/>
          <w:bCs/>
          <w:sz w:val="22"/>
        </w:rPr>
        <w:t xml:space="preserve"> (Joint Petition)</w:t>
      </w:r>
      <w:r w:rsidR="000C323E" w:rsidRPr="00F1714B">
        <w:rPr>
          <w:rFonts w:eastAsia="Calibri" w:cs="Times New Roman"/>
          <w:bCs/>
          <w:sz w:val="22"/>
        </w:rPr>
        <w:t>.</w:t>
      </w:r>
    </w:p>
  </w:footnote>
  <w:footnote w:id="3">
    <w:p w14:paraId="583B0103" w14:textId="1EB83FBA" w:rsidR="003C0D2C" w:rsidRPr="00F1714B" w:rsidRDefault="003C0D2C" w:rsidP="00F1714B">
      <w:pPr>
        <w:pStyle w:val="FootnoteText"/>
        <w:rPr>
          <w:sz w:val="22"/>
          <w:szCs w:val="22"/>
        </w:rPr>
      </w:pPr>
      <w:r w:rsidRPr="00F1714B">
        <w:rPr>
          <w:rStyle w:val="FootnoteReference"/>
        </w:rPr>
        <w:footnoteRef/>
      </w:r>
      <w:r w:rsidRPr="00F1714B">
        <w:t xml:space="preserve"> </w:t>
      </w:r>
      <w:r w:rsidR="001342EB" w:rsidRPr="00F1714B">
        <w:rPr>
          <w:sz w:val="22"/>
          <w:szCs w:val="22"/>
        </w:rPr>
        <w:t xml:space="preserve">A local exchange is a geographic area where all local exchange service subscribers can call each other without incurring any sort of toll or long distance fees. The term “wire center,” which is a group of local exchange customers all served by the same central office or remote terminal, was a term utilized in the </w:t>
      </w:r>
      <w:r w:rsidR="001342EB" w:rsidRPr="00F1714B">
        <w:rPr>
          <w:i/>
          <w:iCs/>
          <w:sz w:val="22"/>
          <w:szCs w:val="22"/>
        </w:rPr>
        <w:t>Verizon Reclassification</w:t>
      </w:r>
      <w:r w:rsidR="001342EB" w:rsidRPr="00F1714B">
        <w:rPr>
          <w:sz w:val="22"/>
          <w:szCs w:val="22"/>
        </w:rPr>
        <w:t xml:space="preserve"> proceeding since it was specific to Verizon’s network design.  For example, although many exchanges are comprised of just one wire center, there are exchanges that are comprised of multiple wire centers.  </w:t>
      </w:r>
    </w:p>
  </w:footnote>
  <w:footnote w:id="4">
    <w:p w14:paraId="0BBD2E17" w14:textId="57C9CC1E" w:rsidR="005F4960" w:rsidRPr="00F1714B" w:rsidRDefault="005F4960" w:rsidP="00F1714B">
      <w:pPr>
        <w:pStyle w:val="FootnoteText"/>
        <w:rPr>
          <w:sz w:val="22"/>
          <w:szCs w:val="22"/>
        </w:rPr>
      </w:pPr>
      <w:r w:rsidRPr="00F1714B">
        <w:rPr>
          <w:rStyle w:val="FootnoteReference"/>
          <w:sz w:val="22"/>
          <w:szCs w:val="22"/>
        </w:rPr>
        <w:footnoteRef/>
      </w:r>
      <w:r w:rsidRPr="00F1714B">
        <w:rPr>
          <w:sz w:val="22"/>
          <w:szCs w:val="22"/>
        </w:rPr>
        <w:t xml:space="preserve"> Specifically, Verizon </w:t>
      </w:r>
      <w:r w:rsidR="001B5BF3" w:rsidRPr="00F1714B">
        <w:rPr>
          <w:sz w:val="22"/>
          <w:szCs w:val="22"/>
        </w:rPr>
        <w:t>sought</w:t>
      </w:r>
      <w:r w:rsidRPr="00F1714B">
        <w:rPr>
          <w:sz w:val="22"/>
          <w:szCs w:val="22"/>
        </w:rPr>
        <w:t xml:space="preserve"> competitive classification of its remaining services not currently classified as competitive in 194 of its </w:t>
      </w:r>
      <w:r w:rsidR="006C1D96" w:rsidRPr="00F1714B">
        <w:rPr>
          <w:sz w:val="22"/>
          <w:szCs w:val="22"/>
        </w:rPr>
        <w:t xml:space="preserve">total </w:t>
      </w:r>
      <w:r w:rsidRPr="00F1714B">
        <w:rPr>
          <w:sz w:val="22"/>
          <w:szCs w:val="22"/>
        </w:rPr>
        <w:t>504 wire centers in Pennsylvania.</w:t>
      </w:r>
    </w:p>
  </w:footnote>
  <w:footnote w:id="5">
    <w:p w14:paraId="617F00DD" w14:textId="0E771F12" w:rsidR="005F4960" w:rsidRPr="00F1714B" w:rsidRDefault="005F496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See generally Joint P</w:t>
      </w:r>
      <w:r w:rsidR="00C8081A" w:rsidRPr="00F1714B">
        <w:rPr>
          <w:i/>
          <w:iCs/>
          <w:sz w:val="22"/>
          <w:szCs w:val="22"/>
        </w:rPr>
        <w:t>etition</w:t>
      </w:r>
      <w:r w:rsidRPr="00F1714B">
        <w:rPr>
          <w:i/>
          <w:iCs/>
          <w:sz w:val="22"/>
          <w:szCs w:val="22"/>
        </w:rPr>
        <w:t>.</w:t>
      </w:r>
    </w:p>
  </w:footnote>
  <w:footnote w:id="6">
    <w:p w14:paraId="2B1A4FF8" w14:textId="78016E1E" w:rsidR="005F4960" w:rsidRPr="00F1714B" w:rsidRDefault="005F496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p>
  </w:footnote>
  <w:footnote w:id="7">
    <w:p w14:paraId="7EF86945" w14:textId="37EDAEC2" w:rsidR="00CD41F1" w:rsidRPr="00F1714B" w:rsidRDefault="00CD41F1" w:rsidP="00F1714B">
      <w:pPr>
        <w:pStyle w:val="FootnoteText"/>
        <w:rPr>
          <w:sz w:val="22"/>
          <w:szCs w:val="22"/>
        </w:rPr>
      </w:pPr>
      <w:r w:rsidRPr="00F1714B">
        <w:rPr>
          <w:rStyle w:val="FootnoteReference"/>
          <w:sz w:val="22"/>
          <w:szCs w:val="22"/>
        </w:rPr>
        <w:footnoteRef/>
      </w:r>
      <w:r w:rsidRPr="00F1714B">
        <w:rPr>
          <w:sz w:val="22"/>
          <w:szCs w:val="22"/>
        </w:rPr>
        <w:t xml:space="preserve"> </w:t>
      </w:r>
      <w:r w:rsidR="005F4960" w:rsidRPr="00F1714B">
        <w:rPr>
          <w:i/>
          <w:iCs/>
          <w:sz w:val="22"/>
          <w:szCs w:val="22"/>
        </w:rPr>
        <w:t>See Joint Petition of Verizon Pennsylvania LLC And Verizon North LLC for Competitive Classification of all Retail Services in Certain Geographic Areas and for a Waiver of Regulations for Competitive Services</w:t>
      </w:r>
      <w:r w:rsidR="005F4960" w:rsidRPr="00F1714B">
        <w:rPr>
          <w:sz w:val="22"/>
          <w:szCs w:val="22"/>
        </w:rPr>
        <w:t xml:space="preserve">, Docket Nos. </w:t>
      </w:r>
      <w:r w:rsidR="005F4960" w:rsidRPr="00F1714B">
        <w:rPr>
          <w:bCs/>
          <w:sz w:val="22"/>
          <w:szCs w:val="22"/>
        </w:rPr>
        <w:t xml:space="preserve">P-2014-2446303 and P­2014­2446304 (Order entered March </w:t>
      </w:r>
      <w:r w:rsidR="003B09C8" w:rsidRPr="00F1714B">
        <w:rPr>
          <w:bCs/>
          <w:sz w:val="22"/>
          <w:szCs w:val="22"/>
        </w:rPr>
        <w:t>4</w:t>
      </w:r>
      <w:r w:rsidR="005F4960" w:rsidRPr="00F1714B">
        <w:rPr>
          <w:bCs/>
          <w:sz w:val="22"/>
          <w:szCs w:val="22"/>
        </w:rPr>
        <w:t>, 2015) (</w:t>
      </w:r>
      <w:r w:rsidR="005F4960" w:rsidRPr="00F1714B">
        <w:rPr>
          <w:bCs/>
          <w:i/>
          <w:iCs/>
          <w:sz w:val="22"/>
          <w:szCs w:val="22"/>
        </w:rPr>
        <w:t>Reclassification Order</w:t>
      </w:r>
      <w:r w:rsidR="005F4960" w:rsidRPr="00F1714B">
        <w:rPr>
          <w:bCs/>
          <w:sz w:val="22"/>
          <w:szCs w:val="22"/>
        </w:rPr>
        <w:t>)</w:t>
      </w:r>
      <w:r w:rsidRPr="00F1714B">
        <w:rPr>
          <w:sz w:val="22"/>
          <w:szCs w:val="22"/>
        </w:rPr>
        <w:t>.</w:t>
      </w:r>
    </w:p>
  </w:footnote>
  <w:footnote w:id="8">
    <w:p w14:paraId="18337E1D" w14:textId="71CB275D" w:rsidR="004444A5" w:rsidRPr="00F1714B" w:rsidRDefault="004444A5" w:rsidP="00F1714B">
      <w:pPr>
        <w:pStyle w:val="FootnoteText"/>
        <w:rPr>
          <w:sz w:val="22"/>
          <w:szCs w:val="22"/>
        </w:rPr>
      </w:pPr>
      <w:r w:rsidRPr="00F1714B">
        <w:rPr>
          <w:rStyle w:val="FootnoteReference"/>
          <w:sz w:val="22"/>
          <w:szCs w:val="22"/>
        </w:rPr>
        <w:footnoteRef/>
      </w:r>
      <w:r w:rsidRPr="00F1714B">
        <w:rPr>
          <w:sz w:val="22"/>
          <w:szCs w:val="22"/>
        </w:rPr>
        <w:t xml:space="preserve"> </w:t>
      </w:r>
      <w:r w:rsidR="00C37819" w:rsidRPr="00F1714B">
        <w:rPr>
          <w:i/>
          <w:iCs/>
          <w:sz w:val="22"/>
          <w:szCs w:val="22"/>
        </w:rPr>
        <w:t>Id.</w:t>
      </w:r>
      <w:r w:rsidRPr="00F1714B">
        <w:rPr>
          <w:i/>
          <w:iCs/>
          <w:sz w:val="22"/>
          <w:szCs w:val="22"/>
        </w:rPr>
        <w:t xml:space="preserve"> </w:t>
      </w:r>
      <w:r w:rsidRPr="00F1714B">
        <w:rPr>
          <w:sz w:val="22"/>
          <w:szCs w:val="22"/>
        </w:rPr>
        <w:t>at 103.</w:t>
      </w:r>
    </w:p>
  </w:footnote>
  <w:footnote w:id="9">
    <w:p w14:paraId="04A70EEF" w14:textId="3456186D" w:rsidR="00DB0CD0" w:rsidRPr="00F1714B" w:rsidRDefault="00DB0CD0" w:rsidP="00F1714B">
      <w:pPr>
        <w:pStyle w:val="FootnoteText"/>
        <w:rPr>
          <w:sz w:val="22"/>
          <w:szCs w:val="22"/>
        </w:rPr>
      </w:pPr>
      <w:r w:rsidRPr="00F1714B">
        <w:rPr>
          <w:rStyle w:val="FootnoteReference"/>
          <w:sz w:val="22"/>
          <w:szCs w:val="22"/>
        </w:rPr>
        <w:footnoteRef/>
      </w:r>
      <w:r w:rsidRPr="00F1714B">
        <w:rPr>
          <w:sz w:val="22"/>
          <w:szCs w:val="22"/>
        </w:rPr>
        <w:t xml:space="preserve"> </w:t>
      </w:r>
      <w:r w:rsidR="00B06AD3" w:rsidRPr="00F1714B">
        <w:rPr>
          <w:bCs/>
          <w:i/>
          <w:sz w:val="22"/>
          <w:szCs w:val="22"/>
        </w:rPr>
        <w:t xml:space="preserve">Id. </w:t>
      </w:r>
      <w:r w:rsidRPr="00F1714B">
        <w:rPr>
          <w:bCs/>
          <w:sz w:val="22"/>
          <w:szCs w:val="22"/>
        </w:rPr>
        <w:t xml:space="preserve">at </w:t>
      </w:r>
      <w:r w:rsidR="00B06AD3" w:rsidRPr="00F1714B">
        <w:rPr>
          <w:bCs/>
          <w:sz w:val="22"/>
          <w:szCs w:val="22"/>
        </w:rPr>
        <w:t xml:space="preserve">76, 103 and </w:t>
      </w:r>
      <w:r w:rsidRPr="00F1714B">
        <w:rPr>
          <w:bCs/>
          <w:sz w:val="22"/>
          <w:szCs w:val="22"/>
        </w:rPr>
        <w:t xml:space="preserve">127 (Ordering Paragraph 17).  </w:t>
      </w:r>
    </w:p>
  </w:footnote>
  <w:footnote w:id="10">
    <w:p w14:paraId="77073AFC" w14:textId="77777777" w:rsidR="00B06AD3" w:rsidRPr="00F1714B" w:rsidRDefault="00B06AD3" w:rsidP="00F1714B">
      <w:pPr>
        <w:pStyle w:val="FootnoteText"/>
        <w:rPr>
          <w:sz w:val="22"/>
          <w:szCs w:val="22"/>
        </w:rPr>
      </w:pPr>
      <w:r w:rsidRPr="00F1714B">
        <w:rPr>
          <w:rStyle w:val="FootnoteReference"/>
          <w:sz w:val="22"/>
          <w:szCs w:val="22"/>
        </w:rPr>
        <w:footnoteRef/>
      </w:r>
      <w:r w:rsidRPr="00F1714B">
        <w:rPr>
          <w:sz w:val="22"/>
          <w:szCs w:val="22"/>
        </w:rPr>
        <w:t xml:space="preserve"> The temporary waivers that were granted to Verizon were also applicable to Competitive Local Exchange Carriers (CLECs) operating in the 153 competitive wire centers. </w:t>
      </w:r>
      <w:r w:rsidRPr="00F1714B">
        <w:rPr>
          <w:i/>
          <w:sz w:val="22"/>
          <w:szCs w:val="22"/>
        </w:rPr>
        <w:t xml:space="preserve">Reclassification Order </w:t>
      </w:r>
      <w:r w:rsidRPr="00F1714B">
        <w:rPr>
          <w:sz w:val="22"/>
          <w:szCs w:val="22"/>
        </w:rPr>
        <w:t>at 124 (Ordering Paragraph 4).</w:t>
      </w:r>
    </w:p>
  </w:footnote>
  <w:footnote w:id="11">
    <w:p w14:paraId="4E038B96" w14:textId="65F3E02B" w:rsidR="005638DD" w:rsidRPr="00F1714B" w:rsidRDefault="005638DD"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eastAsia="Calibri"/>
          <w:bCs/>
          <w:i/>
          <w:iCs/>
          <w:sz w:val="22"/>
          <w:szCs w:val="22"/>
        </w:rPr>
        <w:t>Id</w:t>
      </w:r>
      <w:r w:rsidRPr="00F1714B">
        <w:rPr>
          <w:rFonts w:eastAsia="Calibri"/>
          <w:bCs/>
          <w:i/>
          <w:sz w:val="22"/>
          <w:szCs w:val="22"/>
        </w:rPr>
        <w:t xml:space="preserve">. </w:t>
      </w:r>
      <w:r w:rsidRPr="00F1714B">
        <w:rPr>
          <w:bCs/>
          <w:sz w:val="22"/>
          <w:szCs w:val="22"/>
        </w:rPr>
        <w:t>at 56, 76, 104.</w:t>
      </w:r>
    </w:p>
  </w:footnote>
  <w:footnote w:id="12">
    <w:p w14:paraId="055E5C6D" w14:textId="28DE7CEC" w:rsidR="002609E2" w:rsidRPr="00F1714B" w:rsidRDefault="002609E2" w:rsidP="00F1714B">
      <w:pPr>
        <w:pStyle w:val="FootnoteText"/>
        <w:rPr>
          <w:sz w:val="22"/>
          <w:szCs w:val="22"/>
        </w:rPr>
      </w:pPr>
      <w:r w:rsidRPr="00F1714B">
        <w:rPr>
          <w:rStyle w:val="FootnoteReference"/>
          <w:sz w:val="22"/>
          <w:szCs w:val="22"/>
        </w:rPr>
        <w:footnoteRef/>
      </w:r>
      <w:r w:rsidRPr="00F1714B">
        <w:rPr>
          <w:sz w:val="22"/>
          <w:szCs w:val="22"/>
        </w:rPr>
        <w:t xml:space="preserve"> </w:t>
      </w:r>
      <w:r w:rsidR="007A2B3C" w:rsidRPr="00F1714B">
        <w:rPr>
          <w:i/>
          <w:iCs/>
          <w:sz w:val="22"/>
          <w:szCs w:val="22"/>
        </w:rPr>
        <w:t>Id.</w:t>
      </w:r>
      <w:r w:rsidRPr="00F1714B">
        <w:rPr>
          <w:sz w:val="22"/>
          <w:szCs w:val="22"/>
        </w:rPr>
        <w:t xml:space="preserve"> at 126-27.</w:t>
      </w:r>
    </w:p>
  </w:footnote>
  <w:footnote w:id="13">
    <w:p w14:paraId="5E22FF3A" w14:textId="4207986B" w:rsidR="005F4960" w:rsidRPr="00F1714B" w:rsidRDefault="005F4960" w:rsidP="00F1714B">
      <w:pPr>
        <w:pStyle w:val="FootnoteText"/>
        <w:rPr>
          <w:rFonts w:cs="Times New Roman"/>
          <w:sz w:val="22"/>
          <w:szCs w:val="22"/>
        </w:rPr>
      </w:pPr>
      <w:r w:rsidRPr="00F1714B">
        <w:rPr>
          <w:rStyle w:val="FootnoteReference"/>
          <w:rFonts w:cs="Times New Roman"/>
          <w:sz w:val="22"/>
          <w:szCs w:val="22"/>
        </w:rPr>
        <w:footnoteRef/>
      </w:r>
      <w:r w:rsidRPr="00F1714B">
        <w:rPr>
          <w:rFonts w:cs="Times New Roman"/>
          <w:sz w:val="22"/>
          <w:szCs w:val="22"/>
        </w:rPr>
        <w:t xml:space="preserve"> </w:t>
      </w:r>
      <w:r w:rsidRPr="00F1714B">
        <w:rPr>
          <w:rFonts w:cs="Times New Roman"/>
          <w:i/>
          <w:sz w:val="22"/>
          <w:szCs w:val="22"/>
        </w:rPr>
        <w:t>See also</w:t>
      </w:r>
      <w:r w:rsidRPr="00F1714B">
        <w:rPr>
          <w:rFonts w:cs="Times New Roman"/>
          <w:sz w:val="22"/>
          <w:szCs w:val="22"/>
        </w:rPr>
        <w:t xml:space="preserve"> </w:t>
      </w:r>
      <w:r w:rsidRPr="00F1714B">
        <w:rPr>
          <w:rFonts w:cs="Times New Roman"/>
          <w:i/>
          <w:iCs/>
          <w:sz w:val="22"/>
          <w:szCs w:val="22"/>
        </w:rPr>
        <w:t>Tentative Implementation Opinion and Order at Joint Petition of Verizon Pennsylvania LLC and Verizon North LLC for Competitive Classification of All Retail Services in Certain Geographic Areas and for a Waiver of Regulations for Competitive Services,</w:t>
      </w:r>
      <w:r w:rsidRPr="00F1714B">
        <w:rPr>
          <w:rFonts w:cs="Times New Roman"/>
          <w:sz w:val="22"/>
          <w:szCs w:val="22"/>
        </w:rPr>
        <w:t xml:space="preserve"> Docket Nos. P-2014-2446303 and P­2014</w:t>
      </w:r>
      <w:r w:rsidRPr="00F1714B">
        <w:rPr>
          <w:rFonts w:cs="Times New Roman"/>
          <w:sz w:val="22"/>
          <w:szCs w:val="22"/>
        </w:rPr>
        <w:noBreakHyphen/>
        <w:t>2446304 (Order entered June 1, 2015) (</w:t>
      </w:r>
      <w:r w:rsidRPr="00F1714B">
        <w:rPr>
          <w:rFonts w:cs="Times New Roman"/>
          <w:i/>
          <w:iCs/>
          <w:sz w:val="22"/>
          <w:szCs w:val="22"/>
        </w:rPr>
        <w:t>2015</w:t>
      </w:r>
      <w:r w:rsidRPr="00F1714B">
        <w:rPr>
          <w:rFonts w:cs="Times New Roman"/>
          <w:sz w:val="22"/>
          <w:szCs w:val="22"/>
        </w:rPr>
        <w:t xml:space="preserve"> </w:t>
      </w:r>
      <w:r w:rsidRPr="00F1714B">
        <w:rPr>
          <w:rFonts w:cs="Times New Roman"/>
          <w:i/>
          <w:sz w:val="22"/>
          <w:szCs w:val="22"/>
        </w:rPr>
        <w:t>Tentative Implementation Order</w:t>
      </w:r>
      <w:r w:rsidRPr="00F1714B">
        <w:rPr>
          <w:rFonts w:cs="Times New Roman"/>
          <w:sz w:val="22"/>
          <w:szCs w:val="22"/>
        </w:rPr>
        <w:t>)</w:t>
      </w:r>
      <w:r w:rsidR="00212C61" w:rsidRPr="00F1714B">
        <w:rPr>
          <w:rFonts w:cs="Times New Roman"/>
          <w:sz w:val="22"/>
          <w:szCs w:val="22"/>
        </w:rPr>
        <w:t>;</w:t>
      </w:r>
      <w:r w:rsidRPr="00F1714B">
        <w:rPr>
          <w:rFonts w:cs="Times New Roman"/>
          <w:sz w:val="22"/>
          <w:szCs w:val="22"/>
        </w:rPr>
        <w:t xml:space="preserve"> </w:t>
      </w:r>
      <w:r w:rsidRPr="00F1714B">
        <w:rPr>
          <w:rFonts w:cs="Times New Roman"/>
          <w:i/>
          <w:iCs/>
          <w:sz w:val="22"/>
          <w:szCs w:val="22"/>
        </w:rPr>
        <w:t>Final Implementation Opinion and Order at Joint Petition of Verizon Pennsylvania LLC and Verizon North LLC for Competitive Classification of All Retail Services in Certain Geographic Areas and for a Waiver of Regulations for Competitive Services</w:t>
      </w:r>
      <w:r w:rsidRPr="00F1714B">
        <w:rPr>
          <w:rFonts w:cs="Times New Roman"/>
          <w:sz w:val="22"/>
          <w:szCs w:val="22"/>
        </w:rPr>
        <w:t>, Docket Nos. P-2014-2446303 and P-2014-2446304 (Order entered September 11, 2015) (</w:t>
      </w:r>
      <w:r w:rsidRPr="00F1714B">
        <w:rPr>
          <w:rFonts w:cs="Times New Roman"/>
          <w:i/>
          <w:sz w:val="22"/>
          <w:szCs w:val="22"/>
        </w:rPr>
        <w:t>Final Implementation Order</w:t>
      </w:r>
      <w:r w:rsidRPr="00F1714B">
        <w:rPr>
          <w:rFonts w:cs="Times New Roman"/>
          <w:sz w:val="22"/>
          <w:szCs w:val="22"/>
        </w:rPr>
        <w:t>)</w:t>
      </w:r>
      <w:r w:rsidR="00212C61" w:rsidRPr="00F1714B">
        <w:rPr>
          <w:rFonts w:cs="Times New Roman"/>
          <w:sz w:val="22"/>
          <w:szCs w:val="22"/>
        </w:rPr>
        <w:t>;</w:t>
      </w:r>
      <w:r w:rsidRPr="00F1714B">
        <w:rPr>
          <w:rFonts w:cs="Times New Roman"/>
          <w:sz w:val="22"/>
          <w:szCs w:val="22"/>
        </w:rPr>
        <w:t xml:space="preserve"> and </w:t>
      </w:r>
      <w:r w:rsidRPr="00F1714B">
        <w:rPr>
          <w:rFonts w:cs="Times New Roman"/>
          <w:i/>
          <w:iCs/>
          <w:sz w:val="22"/>
          <w:szCs w:val="22"/>
        </w:rPr>
        <w:t>Reporting Order at Joint Petition of Verizon Pennsylvania LLC and Verizon North LLC for Competitive Classification of All Retail Services in Certain Geographic Areas and for a Waiver of Regulations for Competitive Services</w:t>
      </w:r>
      <w:r w:rsidRPr="00F1714B">
        <w:rPr>
          <w:rFonts w:cs="Times New Roman"/>
          <w:sz w:val="22"/>
          <w:szCs w:val="22"/>
        </w:rPr>
        <w:t>, Docket Nos. P­2014­2446303 and P-2014-2446304 (Order entered September 11, 2015) (</w:t>
      </w:r>
      <w:r w:rsidRPr="00F1714B">
        <w:rPr>
          <w:rFonts w:cs="Times New Roman"/>
          <w:i/>
          <w:sz w:val="22"/>
          <w:szCs w:val="22"/>
        </w:rPr>
        <w:t>Reporting Order</w:t>
      </w:r>
      <w:r w:rsidRPr="00F1714B">
        <w:rPr>
          <w:rFonts w:cs="Times New Roman"/>
          <w:sz w:val="22"/>
          <w:szCs w:val="22"/>
        </w:rPr>
        <w:t xml:space="preserve">); </w:t>
      </w:r>
      <w:r w:rsidRPr="00F1714B">
        <w:rPr>
          <w:rFonts w:cs="Times New Roman"/>
          <w:i/>
          <w:iCs/>
          <w:sz w:val="22"/>
          <w:szCs w:val="22"/>
        </w:rPr>
        <w:t>see also</w:t>
      </w:r>
      <w:r w:rsidRPr="00F1714B">
        <w:rPr>
          <w:rFonts w:cs="Times New Roman"/>
          <w:sz w:val="22"/>
          <w:szCs w:val="22"/>
        </w:rPr>
        <w:t xml:space="preserve"> Docket Nos. P-2014-2446303, P-2014-2446304, Secretarial Letters entered December 8, 2016 and January 10, 2017.</w:t>
      </w:r>
    </w:p>
  </w:footnote>
  <w:footnote w:id="14">
    <w:p w14:paraId="35438872" w14:textId="1932CB75" w:rsidR="00F1000D" w:rsidRPr="00F1714B" w:rsidRDefault="00F1000D"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Reclassification Order</w:t>
      </w:r>
      <w:r w:rsidR="00B33676" w:rsidRPr="00F1714B">
        <w:rPr>
          <w:sz w:val="22"/>
          <w:szCs w:val="22"/>
        </w:rPr>
        <w:t>,</w:t>
      </w:r>
      <w:r w:rsidRPr="00F1714B">
        <w:rPr>
          <w:sz w:val="22"/>
          <w:szCs w:val="22"/>
        </w:rPr>
        <w:t xml:space="preserve"> at </w:t>
      </w:r>
      <w:r w:rsidRPr="00F1714B">
        <w:rPr>
          <w:bCs/>
          <w:sz w:val="22"/>
          <w:szCs w:val="22"/>
        </w:rPr>
        <w:t xml:space="preserve">76, 103 and 127 (Ordering Paragraph 17).  </w:t>
      </w:r>
    </w:p>
  </w:footnote>
  <w:footnote w:id="15">
    <w:p w14:paraId="1AEB6EB6" w14:textId="5844B020" w:rsidR="00CD41F1" w:rsidRPr="00F1714B" w:rsidRDefault="00CD41F1"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i/>
          <w:sz w:val="22"/>
          <w:szCs w:val="22"/>
        </w:rPr>
        <w:t xml:space="preserve">Rulemaking to Comply with the Competitive Classification of Telecommunications Retail Services Under 66 Pa.C.S. § 3016(a); General Review of Regulations 52 Pa. Code, Chapter 63 and </w:t>
      </w:r>
      <w:r w:rsidRPr="00F1714B">
        <w:rPr>
          <w:bCs/>
          <w:iCs/>
          <w:sz w:val="22"/>
          <w:szCs w:val="22"/>
        </w:rPr>
        <w:t xml:space="preserve">64, </w:t>
      </w:r>
      <w:r w:rsidRPr="00F1714B">
        <w:rPr>
          <w:iCs/>
          <w:sz w:val="22"/>
          <w:szCs w:val="22"/>
        </w:rPr>
        <w:t>Docket</w:t>
      </w:r>
      <w:r w:rsidRPr="00F1714B">
        <w:rPr>
          <w:sz w:val="22"/>
          <w:szCs w:val="22"/>
        </w:rPr>
        <w:t xml:space="preserve"> No. L-2018-3001391, (Advanced Notice of Proposed Rulemaking Order entered July 12, 2018), 48 Pa.B. 4792 (Aug. 4, 2018)</w:t>
      </w:r>
      <w:r w:rsidR="003C0D2C" w:rsidRPr="00F1714B">
        <w:rPr>
          <w:sz w:val="22"/>
          <w:szCs w:val="22"/>
        </w:rPr>
        <w:t>.</w:t>
      </w:r>
    </w:p>
  </w:footnote>
  <w:footnote w:id="16">
    <w:p w14:paraId="0346010B" w14:textId="1A1ED909" w:rsidR="005B21BD" w:rsidRPr="00F1714B" w:rsidRDefault="005B21BD"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sz w:val="22"/>
          <w:szCs w:val="22"/>
        </w:rPr>
        <w:t>48 Pa.B. 4794.</w:t>
      </w:r>
    </w:p>
  </w:footnote>
  <w:footnote w:id="17">
    <w:p w14:paraId="0B41566C" w14:textId="253793F5" w:rsidR="005B21BD" w:rsidRPr="00F1714B" w:rsidRDefault="005B21BD" w:rsidP="00F1714B">
      <w:pPr>
        <w:spacing w:line="240" w:lineRule="auto"/>
        <w:contextualSpacing/>
        <w:rPr>
          <w:sz w:val="22"/>
        </w:rPr>
      </w:pPr>
      <w:r w:rsidRPr="00F1714B">
        <w:rPr>
          <w:rStyle w:val="FootnoteReference"/>
          <w:sz w:val="22"/>
        </w:rPr>
        <w:footnoteRef/>
      </w:r>
      <w:r w:rsidRPr="00F1714B">
        <w:rPr>
          <w:sz w:val="22"/>
        </w:rPr>
        <w:t xml:space="preserve"> </w:t>
      </w:r>
      <w:r w:rsidR="007F6C75" w:rsidRPr="00F1714B">
        <w:rPr>
          <w:sz w:val="22"/>
        </w:rPr>
        <w:t xml:space="preserve">Verizon, </w:t>
      </w:r>
      <w:r w:rsidRPr="00F1714B">
        <w:rPr>
          <w:rFonts w:cs="Times New Roman"/>
          <w:bCs/>
          <w:sz w:val="22"/>
        </w:rPr>
        <w:t>AT&amp;T Corp. and Teleport Communications America, LLC (collectively AT&amp;T); Coalition for Affordable Utility Services and Energy Efficiency (CAUSE­PA); Communications Workers of America (CWA); Dex Media, Inc. d/b/a “Dex YP” (Dex Media); Pennsylvania Office of Consumer Advocate (OCA); Tenny Journal Communications (Tenny Journal)</w:t>
      </w:r>
      <w:r w:rsidR="007F6C75" w:rsidRPr="00F1714B">
        <w:rPr>
          <w:rFonts w:cs="Times New Roman"/>
          <w:bCs/>
          <w:sz w:val="22"/>
        </w:rPr>
        <w:t xml:space="preserve">; and </w:t>
      </w:r>
      <w:r w:rsidR="00855ED0" w:rsidRPr="00F1714B">
        <w:rPr>
          <w:rFonts w:cs="Times New Roman"/>
          <w:bCs/>
          <w:sz w:val="22"/>
        </w:rPr>
        <w:t xml:space="preserve">the following companies hereafter referred to as the Rural ILECs or RLECs: </w:t>
      </w:r>
      <w:r w:rsidR="007F6C75" w:rsidRPr="00F1714B">
        <w:rPr>
          <w:rFonts w:cs="Times New Roman"/>
          <w:bCs/>
          <w:sz w:val="22"/>
        </w:rPr>
        <w:t xml:space="preserve">Armstrong Telephone Company – North; Armstrong Telephone Company – Pennsylvania; Bentleyville Communications Company; Citizens Telecommunications Company of New York, Inc.; Citizens Telephone Company of Kecksburg; Consolidated Communications of Pennsylvania Company, LLC; Frontier Communications Commonwealth Telephone Company; Frontier Communications of Breezewood, LLC; Frontier Communications of Canton, LLC; Frontier Communications of Lakewood, LLC; Frontier Communications of Oswayo River, LLC; Frontier Communications of Pennsylvania, LLC; Hancock Telephone Company; Hickory Telephone Company; Ironton Telephone Company; Lackawaxen Telecommunications Services, Inc.; Laurel Highland Telephone Company; Marianna &amp; Scenery Hill Telephone Company; </w:t>
      </w:r>
      <w:r w:rsidR="00855ED0" w:rsidRPr="00F1714B">
        <w:rPr>
          <w:rFonts w:cs="Times New Roman"/>
          <w:bCs/>
          <w:sz w:val="22"/>
        </w:rPr>
        <w:t xml:space="preserve">The </w:t>
      </w:r>
      <w:r w:rsidR="007F6C75" w:rsidRPr="00F1714B">
        <w:rPr>
          <w:rFonts w:cs="Times New Roman"/>
          <w:bCs/>
          <w:sz w:val="22"/>
        </w:rPr>
        <w:t>North-Eastern Pennsylvania Telephone Company; North Penn Telephone Company; Palmerton Telephone Company; Pennsylvania Telephone Company; Pymatuning Independent Telephone Company; South Canaan Telephone Company; TDS Telecom/Deposit Telephone Company; TDS Telecom/Mahanoy &amp; Mahantango</w:t>
      </w:r>
      <w:r w:rsidR="00F67501" w:rsidRPr="00F1714B">
        <w:rPr>
          <w:rFonts w:cs="Times New Roman"/>
          <w:bCs/>
          <w:sz w:val="22"/>
        </w:rPr>
        <w:t xml:space="preserve"> </w:t>
      </w:r>
      <w:r w:rsidR="007F6C75" w:rsidRPr="00F1714B">
        <w:rPr>
          <w:rFonts w:cs="Times New Roman"/>
          <w:bCs/>
          <w:sz w:val="22"/>
        </w:rPr>
        <w:t>Telephone Company; TDS Telecom/Sugar Valley Telephone Company; The United Telephone Company of Pennsylvania; LLC d/b/a CenturyLink; Venus Telephone Corporation; West Side Telephone Company; Windstream Buffalo Valley, Inc.; Windstream Conestoga, Inc.; Windstream D&amp;E, Inc.; Windstream Pennsylvania, LLC and Yukon-Waltz Telephone Company</w:t>
      </w:r>
      <w:r w:rsidRPr="00F1714B">
        <w:rPr>
          <w:rFonts w:cs="Times New Roman"/>
          <w:bCs/>
          <w:sz w:val="22"/>
        </w:rPr>
        <w:t>.</w:t>
      </w:r>
    </w:p>
  </w:footnote>
  <w:footnote w:id="18">
    <w:p w14:paraId="2AA6A679" w14:textId="350DE277" w:rsidR="001342EB" w:rsidRPr="00F1714B" w:rsidRDefault="001342EB" w:rsidP="00F1714B">
      <w:pPr>
        <w:pStyle w:val="FootnoteText"/>
      </w:pPr>
      <w:r w:rsidRPr="00F1714B">
        <w:rPr>
          <w:rStyle w:val="FootnoteReference"/>
        </w:rPr>
        <w:footnoteRef/>
      </w:r>
      <w:r w:rsidRPr="00F1714B">
        <w:t xml:space="preserve"> </w:t>
      </w:r>
      <w:r w:rsidRPr="00F1714B">
        <w:rPr>
          <w:sz w:val="22"/>
          <w:szCs w:val="22"/>
        </w:rPr>
        <w:t xml:space="preserve">In our </w:t>
      </w:r>
      <w:r w:rsidRPr="00F1714B">
        <w:rPr>
          <w:i/>
          <w:iCs/>
          <w:sz w:val="22"/>
          <w:szCs w:val="22"/>
        </w:rPr>
        <w:t>NPRM Order</w:t>
      </w:r>
      <w:r w:rsidRPr="00F1714B">
        <w:rPr>
          <w:sz w:val="22"/>
          <w:szCs w:val="22"/>
        </w:rPr>
        <w:t xml:space="preserve">, we determined to use the “wire center or other geographic area defined by the public utility” to encompass networks that are not broken into wire centers.” </w:t>
      </w:r>
    </w:p>
  </w:footnote>
  <w:footnote w:id="19">
    <w:p w14:paraId="153E7FD7" w14:textId="3203190C" w:rsidR="00E95280" w:rsidRPr="00F1714B" w:rsidRDefault="00E95280" w:rsidP="00F1714B">
      <w:pPr>
        <w:pStyle w:val="FootnoteText"/>
        <w:rPr>
          <w:iCs/>
          <w:sz w:val="22"/>
          <w:szCs w:val="22"/>
        </w:rPr>
      </w:pPr>
      <w:r w:rsidRPr="00F1714B">
        <w:rPr>
          <w:rStyle w:val="FootnoteReference"/>
          <w:sz w:val="22"/>
          <w:szCs w:val="22"/>
        </w:rPr>
        <w:footnoteRef/>
      </w:r>
      <w:r w:rsidRPr="00F1714B">
        <w:rPr>
          <w:sz w:val="22"/>
          <w:szCs w:val="22"/>
        </w:rPr>
        <w:t xml:space="preserve"> </w:t>
      </w:r>
      <w:bookmarkStart w:id="3" w:name="_Hlk77763667"/>
      <w:r w:rsidRPr="00F1714B">
        <w:rPr>
          <w:bCs/>
          <w:i/>
          <w:sz w:val="22"/>
          <w:szCs w:val="22"/>
        </w:rPr>
        <w:t>Joint Petition of Verizon Pennsylvania LLC and Verizon North LLC for Competitive Classification of All Retail Services in Certain Geographic Areas and for a Waiver of Regulations for Competitive Services; Rulemaking to Comply with the Competitive Classification of Telecommunications Retail Services Under 66 Pa.C.S. § 3016(a); General Review of Regulations 52 Pa. Code, Chapter 63 and 64</w:t>
      </w:r>
      <w:r w:rsidRPr="00F1714B">
        <w:rPr>
          <w:bCs/>
          <w:iCs/>
          <w:sz w:val="22"/>
          <w:szCs w:val="22"/>
        </w:rPr>
        <w:t xml:space="preserve">, Docket Nos. P-2014-2446303, P-2014-2446304, L-2018-3001391 (Order entered February </w:t>
      </w:r>
      <w:r w:rsidR="000C3E97" w:rsidRPr="00F1714B">
        <w:rPr>
          <w:bCs/>
          <w:iCs/>
          <w:sz w:val="22"/>
          <w:szCs w:val="22"/>
        </w:rPr>
        <w:t>6</w:t>
      </w:r>
      <w:r w:rsidRPr="00F1714B">
        <w:rPr>
          <w:bCs/>
          <w:iCs/>
          <w:sz w:val="22"/>
          <w:szCs w:val="22"/>
        </w:rPr>
        <w:t>, 2020)</w:t>
      </w:r>
      <w:r w:rsidR="000C3E97" w:rsidRPr="00F1714B">
        <w:rPr>
          <w:bCs/>
          <w:iCs/>
          <w:sz w:val="22"/>
          <w:szCs w:val="22"/>
        </w:rPr>
        <w:t xml:space="preserve"> (</w:t>
      </w:r>
      <w:r w:rsidR="00B52664" w:rsidRPr="00F1714B">
        <w:rPr>
          <w:bCs/>
          <w:i/>
          <w:sz w:val="22"/>
          <w:szCs w:val="22"/>
        </w:rPr>
        <w:t xml:space="preserve">February 2020 </w:t>
      </w:r>
      <w:r w:rsidR="000C3E97" w:rsidRPr="00F1714B">
        <w:rPr>
          <w:bCs/>
          <w:i/>
          <w:sz w:val="22"/>
          <w:szCs w:val="22"/>
        </w:rPr>
        <w:t>Tentative Order</w:t>
      </w:r>
      <w:r w:rsidR="000C3E97" w:rsidRPr="00F1714B">
        <w:rPr>
          <w:bCs/>
          <w:iCs/>
          <w:sz w:val="22"/>
          <w:szCs w:val="22"/>
        </w:rPr>
        <w:t>)</w:t>
      </w:r>
      <w:r w:rsidRPr="00F1714B">
        <w:rPr>
          <w:bCs/>
          <w:iCs/>
          <w:sz w:val="22"/>
          <w:szCs w:val="22"/>
        </w:rPr>
        <w:t>.</w:t>
      </w:r>
      <w:bookmarkEnd w:id="3"/>
    </w:p>
  </w:footnote>
  <w:footnote w:id="20">
    <w:p w14:paraId="07A5AF21" w14:textId="55C5B45F" w:rsidR="00842D2B" w:rsidRPr="00F1714B" w:rsidRDefault="00842D2B"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i/>
          <w:sz w:val="22"/>
          <w:szCs w:val="22"/>
        </w:rPr>
        <w:t>Joint Petition of Verizon Pennsylvania LLC and Verizon North LLC for Competitive Classification of All Retail Services in Certain Geographic Areas and for a Waiver of Regulations for Competitive Services; Rulemaking to Comply with the Competitive Classification of Telecommunications Retail Services Under 66 Pa.C.S. § 3016(a); General Review of Regulations 52 Pa. Code, Chapter 63 and 64</w:t>
      </w:r>
      <w:r w:rsidRPr="00F1714B">
        <w:rPr>
          <w:bCs/>
          <w:iCs/>
          <w:sz w:val="22"/>
          <w:szCs w:val="22"/>
        </w:rPr>
        <w:t>, Docket Nos. P-2014-2446303, P-2014-2446304, L-2018-3001391 (Order entered February 27, 2020) (</w:t>
      </w:r>
      <w:r w:rsidR="00B52664" w:rsidRPr="00F1714B">
        <w:rPr>
          <w:bCs/>
          <w:i/>
          <w:sz w:val="22"/>
          <w:szCs w:val="22"/>
        </w:rPr>
        <w:t xml:space="preserve">February 2020 </w:t>
      </w:r>
      <w:r w:rsidRPr="00F1714B">
        <w:rPr>
          <w:bCs/>
          <w:i/>
          <w:sz w:val="22"/>
          <w:szCs w:val="22"/>
        </w:rPr>
        <w:t>F</w:t>
      </w:r>
      <w:r w:rsidR="000C3E97" w:rsidRPr="00F1714B">
        <w:rPr>
          <w:bCs/>
          <w:i/>
          <w:sz w:val="22"/>
          <w:szCs w:val="22"/>
        </w:rPr>
        <w:t xml:space="preserve">inal </w:t>
      </w:r>
      <w:r w:rsidRPr="00F1714B">
        <w:rPr>
          <w:bCs/>
          <w:i/>
          <w:sz w:val="22"/>
          <w:szCs w:val="22"/>
        </w:rPr>
        <w:t>Order</w:t>
      </w:r>
      <w:r w:rsidRPr="00F1714B">
        <w:rPr>
          <w:bCs/>
          <w:iCs/>
          <w:sz w:val="22"/>
          <w:szCs w:val="22"/>
        </w:rPr>
        <w:t>).</w:t>
      </w:r>
    </w:p>
  </w:footnote>
  <w:footnote w:id="21">
    <w:p w14:paraId="607F1B02" w14:textId="6F5D3893" w:rsidR="00D7422C" w:rsidRPr="00F1714B" w:rsidRDefault="00D7422C" w:rsidP="00F1714B">
      <w:pPr>
        <w:pStyle w:val="FootnoteText"/>
        <w:rPr>
          <w:sz w:val="22"/>
          <w:szCs w:val="22"/>
        </w:rPr>
      </w:pPr>
      <w:r w:rsidRPr="00F1714B">
        <w:rPr>
          <w:rStyle w:val="FootnoteReference"/>
          <w:sz w:val="22"/>
          <w:szCs w:val="22"/>
        </w:rPr>
        <w:footnoteRef/>
      </w:r>
      <w:r w:rsidRPr="00F1714B">
        <w:rPr>
          <w:sz w:val="22"/>
          <w:szCs w:val="22"/>
        </w:rPr>
        <w:t xml:space="preserve"> </w:t>
      </w:r>
      <w:r w:rsidR="00B52664" w:rsidRPr="00F1714B">
        <w:rPr>
          <w:i/>
          <w:iCs/>
          <w:sz w:val="22"/>
          <w:szCs w:val="22"/>
        </w:rPr>
        <w:t>Id.</w:t>
      </w:r>
      <w:r w:rsidRPr="00F1714B">
        <w:rPr>
          <w:sz w:val="22"/>
          <w:szCs w:val="22"/>
        </w:rPr>
        <w:t xml:space="preserve"> at 8-9.</w:t>
      </w:r>
    </w:p>
  </w:footnote>
  <w:footnote w:id="22">
    <w:p w14:paraId="180255F1" w14:textId="4222889B" w:rsidR="000C3E97" w:rsidRPr="00F1714B" w:rsidRDefault="000C3E97"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r w:rsidRPr="00F1714B">
        <w:rPr>
          <w:sz w:val="22"/>
          <w:szCs w:val="22"/>
        </w:rPr>
        <w:t>. at 9-10.</w:t>
      </w:r>
    </w:p>
  </w:footnote>
  <w:footnote w:id="23">
    <w:p w14:paraId="75B82FEF" w14:textId="24B37B49" w:rsidR="00D7422C" w:rsidRPr="00F1714B" w:rsidRDefault="00D7422C"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r w:rsidRPr="00F1714B">
        <w:rPr>
          <w:sz w:val="22"/>
          <w:szCs w:val="22"/>
        </w:rPr>
        <w:t>.</w:t>
      </w:r>
    </w:p>
  </w:footnote>
  <w:footnote w:id="24">
    <w:p w14:paraId="2282F7E2" w14:textId="0DD664A7" w:rsidR="00073D49" w:rsidRPr="00F1714B" w:rsidRDefault="00073D49"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r w:rsidRPr="00F1714B">
        <w:rPr>
          <w:sz w:val="22"/>
          <w:szCs w:val="22"/>
        </w:rPr>
        <w:t xml:space="preserve"> at 12.</w:t>
      </w:r>
    </w:p>
  </w:footnote>
  <w:footnote w:id="25">
    <w:p w14:paraId="6CD2C61B" w14:textId="35F0E38B" w:rsidR="000B234A" w:rsidRPr="00F1714B" w:rsidRDefault="000B234A"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sz w:val="22"/>
          <w:szCs w:val="22"/>
        </w:rPr>
        <w:t xml:space="preserve">Concurrently with the filing of their October 3, </w:t>
      </w:r>
      <w:r w:rsidR="00DD7D4E" w:rsidRPr="00F1714B">
        <w:rPr>
          <w:rFonts w:cs="Times New Roman"/>
          <w:sz w:val="22"/>
          <w:szCs w:val="22"/>
        </w:rPr>
        <w:t>2018,</w:t>
      </w:r>
      <w:r w:rsidRPr="00F1714B">
        <w:rPr>
          <w:rFonts w:cs="Times New Roman"/>
          <w:sz w:val="22"/>
          <w:szCs w:val="22"/>
        </w:rPr>
        <w:t xml:space="preserve"> initial comments in response to the AN</w:t>
      </w:r>
      <w:r w:rsidR="0075729B" w:rsidRPr="00F1714B">
        <w:rPr>
          <w:rFonts w:cs="Times New Roman"/>
          <w:sz w:val="22"/>
          <w:szCs w:val="22"/>
        </w:rPr>
        <w:t>PRM</w:t>
      </w:r>
      <w:r w:rsidRPr="00F1714B">
        <w:rPr>
          <w:rFonts w:cs="Times New Roman"/>
          <w:sz w:val="22"/>
          <w:szCs w:val="22"/>
        </w:rPr>
        <w:t>, the participating 35 Rural ILECs also jointly filed a petition at Docket No. P-2018-3005224 seeking the temporary waiver of certain Chapter 63 and 64 regulations</w:t>
      </w:r>
      <w:r w:rsidRPr="00F1714B">
        <w:rPr>
          <w:rFonts w:cs="Times New Roman"/>
          <w:i/>
          <w:iCs/>
          <w:sz w:val="22"/>
          <w:szCs w:val="22"/>
        </w:rPr>
        <w:t xml:space="preserve"> (RLEC Petition</w:t>
      </w:r>
      <w:r w:rsidRPr="00F1714B">
        <w:rPr>
          <w:rFonts w:cs="Times New Roman"/>
          <w:sz w:val="22"/>
          <w:szCs w:val="22"/>
        </w:rPr>
        <w:t xml:space="preserve">).  The </w:t>
      </w:r>
      <w:r w:rsidRPr="00F1714B">
        <w:rPr>
          <w:rFonts w:cs="Times New Roman"/>
          <w:i/>
          <w:iCs/>
          <w:sz w:val="22"/>
          <w:szCs w:val="22"/>
        </w:rPr>
        <w:t>RLEC Petition</w:t>
      </w:r>
      <w:r w:rsidRPr="00F1714B">
        <w:rPr>
          <w:rFonts w:cs="Times New Roman"/>
          <w:sz w:val="22"/>
          <w:szCs w:val="22"/>
        </w:rPr>
        <w:t xml:space="preserve"> sought the waiver of certain Chapter 63 and 64 regulations “until such a time as the Commission complet</w:t>
      </w:r>
      <w:r w:rsidR="000C3E97" w:rsidRPr="00F1714B">
        <w:rPr>
          <w:rFonts w:cs="Times New Roman"/>
          <w:sz w:val="22"/>
          <w:szCs w:val="22"/>
        </w:rPr>
        <w:t xml:space="preserve">ed </w:t>
      </w:r>
      <w:r w:rsidRPr="00F1714B">
        <w:rPr>
          <w:rFonts w:cs="Times New Roman"/>
          <w:sz w:val="22"/>
          <w:szCs w:val="22"/>
        </w:rPr>
        <w:t xml:space="preserve">its rulemaking proceeding at Docket No. L­2018-3001391.”  The Commission granted in </w:t>
      </w:r>
      <w:r w:rsidR="00DD7D4E" w:rsidRPr="00F1714B">
        <w:rPr>
          <w:rFonts w:cs="Times New Roman"/>
          <w:sz w:val="22"/>
          <w:szCs w:val="22"/>
        </w:rPr>
        <w:t>part and</w:t>
      </w:r>
      <w:r w:rsidRPr="00F1714B">
        <w:rPr>
          <w:rFonts w:cs="Times New Roman"/>
          <w:sz w:val="22"/>
          <w:szCs w:val="22"/>
        </w:rPr>
        <w:t xml:space="preserve"> denied in part</w:t>
      </w:r>
      <w:r w:rsidR="003846CA" w:rsidRPr="00F1714B">
        <w:rPr>
          <w:rFonts w:cs="Times New Roman"/>
          <w:sz w:val="22"/>
          <w:szCs w:val="22"/>
        </w:rPr>
        <w:t>,</w:t>
      </w:r>
      <w:r w:rsidRPr="00F1714B">
        <w:rPr>
          <w:rFonts w:cs="Times New Roman"/>
          <w:sz w:val="22"/>
          <w:szCs w:val="22"/>
        </w:rPr>
        <w:t xml:space="preserve"> the </w:t>
      </w:r>
      <w:r w:rsidR="000C3E97" w:rsidRPr="00F1714B">
        <w:rPr>
          <w:rFonts w:cs="Times New Roman"/>
          <w:i/>
          <w:iCs/>
          <w:sz w:val="22"/>
          <w:szCs w:val="22"/>
        </w:rPr>
        <w:t xml:space="preserve">RLEC </w:t>
      </w:r>
      <w:r w:rsidRPr="00F1714B">
        <w:rPr>
          <w:rFonts w:cs="Times New Roman"/>
          <w:i/>
          <w:iCs/>
          <w:sz w:val="22"/>
          <w:szCs w:val="22"/>
        </w:rPr>
        <w:t>Petition</w:t>
      </w:r>
      <w:r w:rsidRPr="00F1714B">
        <w:rPr>
          <w:rFonts w:cs="Times New Roman"/>
          <w:sz w:val="22"/>
          <w:szCs w:val="22"/>
        </w:rPr>
        <w:t xml:space="preserve"> at its July 20, </w:t>
      </w:r>
      <w:r w:rsidR="00DD7D4E" w:rsidRPr="00F1714B">
        <w:rPr>
          <w:rFonts w:cs="Times New Roman"/>
          <w:sz w:val="22"/>
          <w:szCs w:val="22"/>
        </w:rPr>
        <w:t>2020,</w:t>
      </w:r>
      <w:r w:rsidRPr="00F1714B">
        <w:rPr>
          <w:rFonts w:cs="Times New Roman"/>
          <w:sz w:val="22"/>
          <w:szCs w:val="22"/>
        </w:rPr>
        <w:t xml:space="preserve"> Public Meeting.  </w:t>
      </w:r>
      <w:r w:rsidRPr="00F1714B">
        <w:rPr>
          <w:rFonts w:cs="Times New Roman"/>
          <w:i/>
          <w:iCs/>
          <w:sz w:val="22"/>
          <w:szCs w:val="22"/>
        </w:rPr>
        <w:t>See Petition of the Rural Incumbent Local Exchange Carriers for Temporary Waiver of Certain Chapter 63 and 64 Regulations</w:t>
      </w:r>
      <w:r w:rsidRPr="00F1714B">
        <w:rPr>
          <w:rFonts w:cs="Times New Roman"/>
          <w:sz w:val="22"/>
          <w:szCs w:val="22"/>
        </w:rPr>
        <w:t>, Docket No. P-2018-3005224 (Order entered July 28, 2020) (</w:t>
      </w:r>
      <w:r w:rsidRPr="00F1714B">
        <w:rPr>
          <w:rFonts w:cs="Times New Roman"/>
          <w:i/>
          <w:iCs/>
          <w:sz w:val="22"/>
          <w:szCs w:val="22"/>
        </w:rPr>
        <w:t>RLEC Directory and Toll Presubscription Order)</w:t>
      </w:r>
      <w:r w:rsidRPr="00F1714B">
        <w:rPr>
          <w:rFonts w:cs="Times New Roman"/>
          <w:sz w:val="22"/>
          <w:szCs w:val="22"/>
        </w:rPr>
        <w:t>.</w:t>
      </w:r>
      <w:r w:rsidR="000C3E97" w:rsidRPr="00F1714B">
        <w:rPr>
          <w:rFonts w:cs="Times New Roman"/>
          <w:sz w:val="22"/>
          <w:szCs w:val="22"/>
        </w:rPr>
        <w:t xml:space="preserve">  </w:t>
      </w:r>
    </w:p>
  </w:footnote>
  <w:footnote w:id="26">
    <w:p w14:paraId="32590621" w14:textId="77777777" w:rsidR="00F07C89" w:rsidRPr="00F1714B" w:rsidRDefault="00F07C89" w:rsidP="00F1714B">
      <w:pPr>
        <w:pStyle w:val="FootnoteText"/>
        <w:rPr>
          <w:sz w:val="22"/>
          <w:szCs w:val="22"/>
        </w:rPr>
      </w:pPr>
      <w:r w:rsidRPr="00F1714B">
        <w:rPr>
          <w:rStyle w:val="FootnoteReference"/>
          <w:sz w:val="22"/>
          <w:szCs w:val="22"/>
        </w:rPr>
        <w:footnoteRef/>
      </w:r>
      <w:r w:rsidRPr="00F1714B">
        <w:rPr>
          <w:sz w:val="22"/>
          <w:szCs w:val="22"/>
        </w:rPr>
        <w:t xml:space="preserve"> OCA Comments at 6-7.</w:t>
      </w:r>
    </w:p>
  </w:footnote>
  <w:footnote w:id="27">
    <w:p w14:paraId="2F430F4F" w14:textId="0E33061F" w:rsidR="00A75275" w:rsidRPr="00F1714B" w:rsidRDefault="00A75275"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Rulemaking to Comply with the Competitive Classification of Telecommunication Retail Services Under 66</w:t>
      </w:r>
      <w:r w:rsidR="008002D5" w:rsidRPr="00F1714B">
        <w:rPr>
          <w:i/>
          <w:iCs/>
          <w:sz w:val="22"/>
          <w:szCs w:val="22"/>
        </w:rPr>
        <w:t xml:space="preserve"> </w:t>
      </w:r>
      <w:r w:rsidRPr="00F1714B">
        <w:rPr>
          <w:i/>
          <w:iCs/>
          <w:sz w:val="22"/>
          <w:szCs w:val="22"/>
        </w:rPr>
        <w:t>Pa.</w:t>
      </w:r>
      <w:r w:rsidR="008002D5" w:rsidRPr="00F1714B">
        <w:rPr>
          <w:i/>
          <w:iCs/>
          <w:sz w:val="22"/>
          <w:szCs w:val="22"/>
        </w:rPr>
        <w:t xml:space="preserve"> </w:t>
      </w:r>
      <w:r w:rsidRPr="00F1714B">
        <w:rPr>
          <w:i/>
          <w:iCs/>
          <w:sz w:val="22"/>
          <w:szCs w:val="22"/>
        </w:rPr>
        <w:t>C.S § 3016(a); General Review of Regulations 52 Pa. Code, Chapter 53, Chapter 63 and Chapter 64</w:t>
      </w:r>
      <w:r w:rsidRPr="00F1714B">
        <w:rPr>
          <w:sz w:val="22"/>
          <w:szCs w:val="22"/>
        </w:rPr>
        <w:t>, Docket No. L-2018-3001391 (Order entered September 21. 2020) (</w:t>
      </w:r>
      <w:r w:rsidRPr="00F1714B">
        <w:rPr>
          <w:i/>
          <w:iCs/>
          <w:sz w:val="22"/>
          <w:szCs w:val="22"/>
        </w:rPr>
        <w:t>NPRM Order</w:t>
      </w:r>
      <w:r w:rsidRPr="00F1714B">
        <w:rPr>
          <w:sz w:val="22"/>
          <w:szCs w:val="22"/>
        </w:rPr>
        <w:t>)</w:t>
      </w:r>
      <w:r w:rsidR="00380EF3" w:rsidRPr="00F1714B">
        <w:rPr>
          <w:sz w:val="22"/>
          <w:szCs w:val="22"/>
        </w:rPr>
        <w:t>.</w:t>
      </w:r>
    </w:p>
  </w:footnote>
  <w:footnote w:id="28">
    <w:p w14:paraId="1D239D87" w14:textId="77777777" w:rsidR="002C2EFE" w:rsidRPr="00F1714B" w:rsidRDefault="002C2EFE"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sz w:val="22"/>
          <w:szCs w:val="22"/>
        </w:rPr>
        <w:t>51 Pa.B. 1999.</w:t>
      </w:r>
    </w:p>
  </w:footnote>
  <w:footnote w:id="29">
    <w:p w14:paraId="10AA9484" w14:textId="77777777" w:rsidR="0085258C" w:rsidRPr="00F1714B" w:rsidRDefault="0085258C" w:rsidP="00F1714B">
      <w:pPr>
        <w:pStyle w:val="FootnoteText"/>
        <w:rPr>
          <w:rFonts w:cs="Times New Roman"/>
          <w:sz w:val="22"/>
          <w:szCs w:val="22"/>
        </w:rPr>
      </w:pPr>
      <w:r w:rsidRPr="00F1714B">
        <w:rPr>
          <w:rStyle w:val="FootnoteReference"/>
          <w:rFonts w:cs="Times New Roman"/>
          <w:sz w:val="22"/>
          <w:szCs w:val="22"/>
        </w:rPr>
        <w:footnoteRef/>
      </w:r>
      <w:r w:rsidRPr="00F1714B">
        <w:rPr>
          <w:rFonts w:cs="Times New Roman"/>
          <w:sz w:val="22"/>
          <w:szCs w:val="22"/>
        </w:rPr>
        <w:t xml:space="preserve"> </w:t>
      </w:r>
      <w:r w:rsidRPr="00F1714B">
        <w:rPr>
          <w:rFonts w:cs="Times New Roman"/>
          <w:i/>
          <w:iCs/>
          <w:sz w:val="22"/>
          <w:szCs w:val="22"/>
        </w:rPr>
        <w:t xml:space="preserve">See </w:t>
      </w:r>
      <w:r w:rsidRPr="00F1714B">
        <w:rPr>
          <w:rFonts w:cs="Times New Roman"/>
          <w:sz w:val="22"/>
          <w:szCs w:val="22"/>
        </w:rPr>
        <w:t>66 Pa. C.S. § 3019(b)(2).</w:t>
      </w:r>
    </w:p>
  </w:footnote>
  <w:footnote w:id="30">
    <w:p w14:paraId="77C14215" w14:textId="2E12EE3B" w:rsidR="00C377F7" w:rsidRPr="00F1714B" w:rsidDel="00C377F7" w:rsidRDefault="00304816" w:rsidP="00F1714B">
      <w:pPr>
        <w:pStyle w:val="FootnoteText"/>
        <w:rPr>
          <w:sz w:val="22"/>
          <w:szCs w:val="22"/>
        </w:rPr>
      </w:pPr>
      <w:r w:rsidRPr="00F1714B">
        <w:rPr>
          <w:rStyle w:val="FootnoteReference"/>
          <w:sz w:val="22"/>
          <w:szCs w:val="22"/>
        </w:rPr>
        <w:footnoteRef/>
      </w:r>
      <w:r w:rsidRPr="00F1714B">
        <w:rPr>
          <w:sz w:val="22"/>
          <w:szCs w:val="22"/>
        </w:rPr>
        <w:t xml:space="preserve"> </w:t>
      </w:r>
      <w:bookmarkStart w:id="11" w:name="_Hlk87271771"/>
      <w:r w:rsidRPr="00F1714B">
        <w:rPr>
          <w:i/>
          <w:iCs/>
          <w:sz w:val="22"/>
          <w:szCs w:val="22"/>
        </w:rPr>
        <w:t>Petition of MCImetro Access Transmission Services LLC d/b/a Verizon Access Transmission Services for a Waiver of the Commission’s Regulations at 52 Pa. Code §§ 53.58 and 53.59 to Permit Detariffing of Services to Enterprise and Large Business Customers</w:t>
      </w:r>
      <w:r w:rsidRPr="00F1714B">
        <w:rPr>
          <w:sz w:val="22"/>
          <w:szCs w:val="22"/>
        </w:rPr>
        <w:t>, Docket No. P-2009-2082991 (Order entered June 3, 2009);</w:t>
      </w:r>
      <w:r w:rsidR="00693878" w:rsidRPr="00F1714B">
        <w:rPr>
          <w:sz w:val="22"/>
          <w:szCs w:val="22"/>
        </w:rPr>
        <w:t xml:space="preserve"> </w:t>
      </w:r>
      <w:bookmarkEnd w:id="11"/>
      <w:r w:rsidR="00CB6018" w:rsidRPr="00F1714B">
        <w:rPr>
          <w:i/>
          <w:iCs/>
          <w:sz w:val="22"/>
          <w:szCs w:val="22"/>
        </w:rPr>
        <w:t>Petition of MCImetro Access Transmission Services LLC d/b/a Verizon Access Transmission Services for a Waiver of the Commission’s Regulations at 52 Pa. Code §§ 53.58 and 53.59 to Permit Detariffing of Services to Enterprise and Large Business Customers</w:t>
      </w:r>
      <w:r w:rsidR="00CB6018" w:rsidRPr="00F1714B">
        <w:rPr>
          <w:sz w:val="22"/>
          <w:szCs w:val="22"/>
        </w:rPr>
        <w:t>, P-2011- 2267522 (Order entered</w:t>
      </w:r>
      <w:r w:rsidR="00CB6018" w:rsidRPr="00F1714B">
        <w:rPr>
          <w:rFonts w:eastAsia="Times New Roman" w:cs="Times New Roman"/>
          <w:sz w:val="26"/>
          <w:szCs w:val="26"/>
        </w:rPr>
        <w:t xml:space="preserve"> </w:t>
      </w:r>
      <w:r w:rsidR="00CB6018" w:rsidRPr="00F1714B">
        <w:rPr>
          <w:sz w:val="22"/>
          <w:szCs w:val="22"/>
        </w:rPr>
        <w:t xml:space="preserve">April 26, 2012); </w:t>
      </w:r>
      <w:r w:rsidRPr="00F1714B">
        <w:rPr>
          <w:i/>
          <w:iCs/>
          <w:sz w:val="22"/>
          <w:szCs w:val="22"/>
        </w:rPr>
        <w:t>Petition of AT&amp;T Communications of Pennsylvania, LLC, for a Waiver of the Commission’s Regulations at 52 Pa. Code §§ 53.58 and 53.59 to Permit Detariffing of Services to Enterprise and Large Business Customers</w:t>
      </w:r>
      <w:r w:rsidRPr="00F1714B">
        <w:rPr>
          <w:sz w:val="22"/>
          <w:szCs w:val="22"/>
        </w:rPr>
        <w:t xml:space="preserve">, Docket Nos. P-2009-2137972, P-2010-2164470, P-2010-2164472 (Order entered June 21, 2012); </w:t>
      </w:r>
      <w:r w:rsidRPr="00F1714B">
        <w:rPr>
          <w:i/>
          <w:iCs/>
          <w:sz w:val="22"/>
          <w:szCs w:val="22"/>
        </w:rPr>
        <w:t>Petition of Windstream Communications, Inc. for a Waiver of the Commission</w:t>
      </w:r>
      <w:r w:rsidR="003846CA" w:rsidRPr="00F1714B">
        <w:rPr>
          <w:i/>
          <w:iCs/>
          <w:sz w:val="22"/>
          <w:szCs w:val="22"/>
        </w:rPr>
        <w:t>’</w:t>
      </w:r>
      <w:r w:rsidRPr="00F1714B">
        <w:rPr>
          <w:i/>
          <w:iCs/>
          <w:sz w:val="22"/>
          <w:szCs w:val="22"/>
        </w:rPr>
        <w:t>s Regulations at 52 Pa. Code §§ 53.58 and 53.59 To Permit Detariffing Services to Enterprise and Large Business Customers</w:t>
      </w:r>
      <w:r w:rsidRPr="00F1714B">
        <w:rPr>
          <w:sz w:val="22"/>
          <w:szCs w:val="22"/>
        </w:rPr>
        <w:t xml:space="preserve">, Docket No. P-2012-2327799 (Order entered December 5, 2012); </w:t>
      </w:r>
      <w:r w:rsidR="00CB6018" w:rsidRPr="00F1714B">
        <w:rPr>
          <w:i/>
          <w:iCs/>
          <w:sz w:val="22"/>
          <w:szCs w:val="22"/>
        </w:rPr>
        <w:t>Petition of MCImetro Access Transmission Services LLC d/b/a Verizon Access Transmission Services for a Waiver of the Commission’s Regulations at 52 Pa. Code §§ 53.58 and 53.59 to Permit Detariffing of Services to Enterprise and Large Business Customers</w:t>
      </w:r>
      <w:r w:rsidR="00CB6018" w:rsidRPr="00F1714B">
        <w:rPr>
          <w:sz w:val="22"/>
          <w:szCs w:val="22"/>
        </w:rPr>
        <w:t xml:space="preserve">, Docket No. </w:t>
      </w:r>
      <w:r w:rsidR="00CB6018" w:rsidRPr="00F1714B">
        <w:rPr>
          <w:sz w:val="22"/>
        </w:rPr>
        <w:t>P-2016-2556207</w:t>
      </w:r>
      <w:r w:rsidR="00CB6018" w:rsidRPr="00F1714B">
        <w:rPr>
          <w:sz w:val="22"/>
          <w:szCs w:val="22"/>
        </w:rPr>
        <w:t xml:space="preserve"> (Order entered September 1, 2016) </w:t>
      </w:r>
      <w:r w:rsidRPr="00F1714B">
        <w:rPr>
          <w:sz w:val="22"/>
          <w:szCs w:val="22"/>
        </w:rPr>
        <w:t xml:space="preserve">and </w:t>
      </w:r>
      <w:r w:rsidRPr="00F1714B">
        <w:rPr>
          <w:i/>
          <w:iCs/>
          <w:sz w:val="22"/>
          <w:szCs w:val="22"/>
        </w:rPr>
        <w:t>Petition of AT&amp;T Corp. and Teleport Communications of America, LLC for Extension of Waiver of Commission’s Regulations at 52 Pa. Code §§ 53.58 and 53.59 to Permit Detariffing of Services to Enterprise and Large Business Customers</w:t>
      </w:r>
      <w:r w:rsidRPr="00F1714B">
        <w:rPr>
          <w:sz w:val="22"/>
          <w:szCs w:val="22"/>
        </w:rPr>
        <w:t>, Docket No. P-2016-2575097 (Order entered February 9, 2017)</w:t>
      </w:r>
      <w:r w:rsidR="00CB6018" w:rsidRPr="00F1714B">
        <w:rPr>
          <w:sz w:val="22"/>
          <w:szCs w:val="22"/>
        </w:rPr>
        <w:t>.</w:t>
      </w:r>
    </w:p>
    <w:p w14:paraId="7EA83075" w14:textId="75971C93" w:rsidR="00304816" w:rsidRPr="00F1714B" w:rsidRDefault="00304816" w:rsidP="00F1714B">
      <w:pPr>
        <w:pStyle w:val="FootnoteText"/>
        <w:rPr>
          <w:sz w:val="22"/>
          <w:szCs w:val="22"/>
        </w:rPr>
      </w:pPr>
    </w:p>
  </w:footnote>
  <w:footnote w:id="31">
    <w:p w14:paraId="1255E069" w14:textId="77777777" w:rsidR="00F51F57" w:rsidRPr="00F1714B" w:rsidRDefault="00F51F57"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sz w:val="22"/>
          <w:szCs w:val="22"/>
        </w:rPr>
        <w:t>66 Pa.C.S. § 3012.</w:t>
      </w:r>
    </w:p>
  </w:footnote>
  <w:footnote w:id="32">
    <w:p w14:paraId="0840FFF4" w14:textId="033B396B" w:rsidR="000756EB" w:rsidRPr="00F1714B" w:rsidRDefault="000756EB"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See</w:t>
      </w:r>
      <w:r w:rsidRPr="00F1714B">
        <w:rPr>
          <w:sz w:val="22"/>
          <w:szCs w:val="22"/>
        </w:rPr>
        <w:t xml:space="preserve"> 66 Pa.C.S. §§ 3012 and 3016(a)(1).</w:t>
      </w:r>
    </w:p>
  </w:footnote>
  <w:footnote w:id="33">
    <w:p w14:paraId="2CCB575B" w14:textId="77777777" w:rsidR="00151311" w:rsidRPr="00F1714B" w:rsidRDefault="00151311"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See</w:t>
      </w:r>
      <w:r w:rsidRPr="00F1714B">
        <w:rPr>
          <w:sz w:val="22"/>
          <w:szCs w:val="22"/>
        </w:rPr>
        <w:t xml:space="preserve"> 66 Pa.C.S. § 3012.</w:t>
      </w:r>
    </w:p>
  </w:footnote>
  <w:footnote w:id="34">
    <w:p w14:paraId="05E3DB1C" w14:textId="5DF0411C" w:rsidR="00F12F14" w:rsidRPr="00F1714B" w:rsidRDefault="00F12F14" w:rsidP="00F1714B">
      <w:pPr>
        <w:pStyle w:val="FootnoteText"/>
        <w:rPr>
          <w:sz w:val="22"/>
          <w:szCs w:val="22"/>
        </w:rPr>
      </w:pPr>
      <w:r w:rsidRPr="00F1714B">
        <w:rPr>
          <w:rStyle w:val="FootnoteReference"/>
          <w:sz w:val="22"/>
          <w:szCs w:val="22"/>
        </w:rPr>
        <w:footnoteRef/>
      </w:r>
      <w:r w:rsidRPr="00F1714B">
        <w:rPr>
          <w:sz w:val="22"/>
          <w:szCs w:val="22"/>
        </w:rPr>
        <w:t xml:space="preserve"> </w:t>
      </w:r>
      <w:r w:rsidR="00B7732E" w:rsidRPr="00F1714B">
        <w:rPr>
          <w:i/>
          <w:iCs/>
          <w:sz w:val="22"/>
          <w:szCs w:val="22"/>
        </w:rPr>
        <w:t>Rulemaking Re Updating and Revising Existing Filing Requirement Regulations 52 Pa. Code §§ 53.52-53.53 –</w:t>
      </w:r>
      <w:r w:rsidR="00F84556" w:rsidRPr="00F1714B">
        <w:rPr>
          <w:i/>
          <w:iCs/>
          <w:sz w:val="22"/>
          <w:szCs w:val="22"/>
        </w:rPr>
        <w:t xml:space="preserve"> </w:t>
      </w:r>
      <w:r w:rsidR="00B7732E" w:rsidRPr="00F1714B">
        <w:rPr>
          <w:i/>
          <w:iCs/>
          <w:sz w:val="22"/>
          <w:szCs w:val="22"/>
        </w:rPr>
        <w:t>Telecommunication Utilities</w:t>
      </w:r>
      <w:r w:rsidR="00B7732E" w:rsidRPr="00F1714B">
        <w:rPr>
          <w:sz w:val="22"/>
          <w:szCs w:val="22"/>
        </w:rPr>
        <w:t xml:space="preserve">, Docket No. L-00940095 (Order entered </w:t>
      </w:r>
      <w:r w:rsidR="003815D0" w:rsidRPr="00F1714B">
        <w:rPr>
          <w:sz w:val="22"/>
          <w:szCs w:val="22"/>
        </w:rPr>
        <w:t xml:space="preserve">June 2, 2000); </w:t>
      </w:r>
      <w:r w:rsidR="003815D0" w:rsidRPr="00F1714B">
        <w:rPr>
          <w:i/>
          <w:iCs/>
          <w:sz w:val="22"/>
          <w:szCs w:val="22"/>
        </w:rPr>
        <w:t xml:space="preserve">see also </w:t>
      </w:r>
      <w:r w:rsidR="00ED172F" w:rsidRPr="00F1714B">
        <w:rPr>
          <w:sz w:val="22"/>
          <w:szCs w:val="22"/>
        </w:rPr>
        <w:t>30 Pa.B. 6202.</w:t>
      </w:r>
    </w:p>
  </w:footnote>
  <w:footnote w:id="35">
    <w:p w14:paraId="4F4D64D7" w14:textId="7F8974B7" w:rsidR="003815D0" w:rsidRPr="00F1714B" w:rsidRDefault="003815D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p>
  </w:footnote>
  <w:footnote w:id="36">
    <w:p w14:paraId="23FE2EB0" w14:textId="706D3955" w:rsidR="007E508F" w:rsidRPr="00F1714B" w:rsidRDefault="007E508F" w:rsidP="00F1714B">
      <w:pPr>
        <w:pStyle w:val="FootnoteText"/>
        <w:rPr>
          <w:sz w:val="22"/>
          <w:szCs w:val="22"/>
        </w:rPr>
      </w:pPr>
      <w:r w:rsidRPr="00F1714B">
        <w:rPr>
          <w:rStyle w:val="FootnoteReference"/>
          <w:sz w:val="22"/>
          <w:szCs w:val="22"/>
        </w:rPr>
        <w:footnoteRef/>
      </w:r>
      <w:r w:rsidRPr="00F1714B">
        <w:rPr>
          <w:sz w:val="22"/>
          <w:szCs w:val="22"/>
        </w:rPr>
        <w:t xml:space="preserve"> 66 Pa.C.S. § 3016(b).</w:t>
      </w:r>
    </w:p>
  </w:footnote>
  <w:footnote w:id="37">
    <w:p w14:paraId="5C465151" w14:textId="77777777" w:rsidR="004F62C7" w:rsidRPr="00F1714B" w:rsidRDefault="004F62C7"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w:t>
      </w:r>
      <w:r w:rsidRPr="00F1714B">
        <w:rPr>
          <w:sz w:val="22"/>
          <w:szCs w:val="22"/>
        </w:rPr>
        <w:t>e 66 Pa.C.S. § 3011(8).</w:t>
      </w:r>
    </w:p>
  </w:footnote>
  <w:footnote w:id="38">
    <w:p w14:paraId="1BC68FF2" w14:textId="77777777" w:rsidR="00B15941" w:rsidRPr="00F1714B" w:rsidRDefault="00B15941"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See</w:t>
      </w:r>
      <w:r w:rsidRPr="00F1714B">
        <w:rPr>
          <w:sz w:val="22"/>
          <w:szCs w:val="22"/>
        </w:rPr>
        <w:t xml:space="preserve"> 52 Pa. Code § 53.58(b); </w:t>
      </w:r>
      <w:r w:rsidRPr="00F1714B">
        <w:rPr>
          <w:i/>
          <w:iCs/>
          <w:sz w:val="22"/>
          <w:szCs w:val="22"/>
        </w:rPr>
        <w:t>see generally</w:t>
      </w:r>
      <w:r w:rsidRPr="00F1714B">
        <w:rPr>
          <w:sz w:val="22"/>
          <w:szCs w:val="22"/>
        </w:rPr>
        <w:t xml:space="preserve">, </w:t>
      </w:r>
      <w:r w:rsidRPr="00F1714B">
        <w:rPr>
          <w:i/>
          <w:iCs/>
          <w:sz w:val="22"/>
          <w:szCs w:val="22"/>
        </w:rPr>
        <w:t>Reclassification Order</w:t>
      </w:r>
      <w:r w:rsidRPr="00F1714B">
        <w:rPr>
          <w:sz w:val="22"/>
          <w:szCs w:val="22"/>
        </w:rPr>
        <w:t>.</w:t>
      </w:r>
    </w:p>
  </w:footnote>
  <w:footnote w:id="39">
    <w:p w14:paraId="402EBC4C" w14:textId="77777777" w:rsidR="00505AFD" w:rsidRPr="00F1714B" w:rsidRDefault="00505AFD"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Joint Petition of Nextlink Pennsylvania, Inc., et al.</w:t>
      </w:r>
      <w:r w:rsidRPr="00F1714B">
        <w:rPr>
          <w:sz w:val="22"/>
          <w:szCs w:val="22"/>
        </w:rPr>
        <w:t>, Docket Nos. P-00991648, P-00991649, Order entered September 30, 1999, at 246-249, 196 PUR4th 172, 279-80 (</w:t>
      </w:r>
      <w:r w:rsidRPr="00F1714B">
        <w:rPr>
          <w:i/>
          <w:iCs/>
          <w:sz w:val="22"/>
          <w:szCs w:val="22"/>
        </w:rPr>
        <w:t>Global Order</w:t>
      </w:r>
      <w:r w:rsidRPr="00F1714B">
        <w:rPr>
          <w:sz w:val="22"/>
          <w:szCs w:val="22"/>
        </w:rPr>
        <w:t xml:space="preserve">), </w:t>
      </w:r>
      <w:r w:rsidRPr="00F1714B">
        <w:rPr>
          <w:i/>
          <w:iCs/>
          <w:sz w:val="22"/>
          <w:szCs w:val="22"/>
        </w:rPr>
        <w:t>aff’d, Bell Atlantic-Pennsylvania, Inc. v. Pa. Pub. Util. Comm’n</w:t>
      </w:r>
      <w:r w:rsidRPr="00F1714B">
        <w:rPr>
          <w:sz w:val="22"/>
          <w:szCs w:val="22"/>
        </w:rPr>
        <w:t xml:space="preserve">, 763 A.2d 440 (Pa. Cmwlth. 2000), </w:t>
      </w:r>
      <w:r w:rsidRPr="00F1714B">
        <w:rPr>
          <w:i/>
          <w:iCs/>
          <w:sz w:val="22"/>
          <w:szCs w:val="22"/>
        </w:rPr>
        <w:t>vacated in part sub nom. MCI Worldcom Inc. v. Pa. Pub. Util. Comm’n</w:t>
      </w:r>
      <w:r w:rsidRPr="00F1714B">
        <w:rPr>
          <w:sz w:val="22"/>
          <w:szCs w:val="22"/>
        </w:rPr>
        <w:t>, 844 A.2d 1239 (Pa. 2004).</w:t>
      </w:r>
    </w:p>
  </w:footnote>
  <w:footnote w:id="40">
    <w:p w14:paraId="7F54A251" w14:textId="77777777" w:rsidR="000E61E4" w:rsidRPr="00F1714B" w:rsidRDefault="000E61E4" w:rsidP="00F1714B">
      <w:pPr>
        <w:pStyle w:val="FootnoteText"/>
        <w:rPr>
          <w:sz w:val="22"/>
          <w:szCs w:val="22"/>
        </w:rPr>
      </w:pPr>
      <w:r w:rsidRPr="00F1714B">
        <w:rPr>
          <w:rStyle w:val="FootnoteReference"/>
          <w:sz w:val="22"/>
          <w:szCs w:val="22"/>
        </w:rPr>
        <w:footnoteRef/>
      </w:r>
      <w:r w:rsidRPr="00F1714B">
        <w:rPr>
          <w:sz w:val="22"/>
          <w:szCs w:val="22"/>
        </w:rPr>
        <w:t xml:space="preserve"> To be clear, this same tariff parity would apply to competitive entrants for any retail service classified as competitive under Section 3016(a) or (b) of the Code.</w:t>
      </w:r>
    </w:p>
    <w:p w14:paraId="6CE3FE4D" w14:textId="77777777" w:rsidR="000E61E4" w:rsidRPr="00F1714B" w:rsidRDefault="000E61E4" w:rsidP="00F1714B">
      <w:pPr>
        <w:pStyle w:val="FootnoteText"/>
        <w:rPr>
          <w:sz w:val="22"/>
          <w:szCs w:val="22"/>
        </w:rPr>
      </w:pPr>
    </w:p>
  </w:footnote>
  <w:footnote w:id="41">
    <w:p w14:paraId="56227FC7" w14:textId="6006DAA5" w:rsidR="002A3317" w:rsidRPr="00F1714B" w:rsidRDefault="002A3317"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sz w:val="22"/>
          <w:szCs w:val="22"/>
        </w:rPr>
        <w:t xml:space="preserve">Joint Petition at </w:t>
      </w:r>
      <w:r w:rsidR="008E029B" w:rsidRPr="00F1714B">
        <w:rPr>
          <w:bCs/>
          <w:sz w:val="22"/>
          <w:szCs w:val="22"/>
        </w:rPr>
        <w:t xml:space="preserve">3, </w:t>
      </w:r>
      <w:r w:rsidR="008E029B" w:rsidRPr="00F1714B">
        <w:rPr>
          <w:rFonts w:cs="Times New Roman"/>
          <w:bCs/>
          <w:sz w:val="22"/>
          <w:szCs w:val="22"/>
        </w:rPr>
        <w:t xml:space="preserve">¶ </w:t>
      </w:r>
      <w:r w:rsidR="008E029B" w:rsidRPr="00F1714B">
        <w:rPr>
          <w:bCs/>
          <w:sz w:val="22"/>
          <w:szCs w:val="22"/>
        </w:rPr>
        <w:t>6.</w:t>
      </w:r>
    </w:p>
  </w:footnote>
  <w:footnote w:id="42">
    <w:p w14:paraId="32659AD3" w14:textId="71D56D8C" w:rsidR="00704623" w:rsidRPr="00F1714B" w:rsidRDefault="00704623"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i/>
          <w:sz w:val="22"/>
          <w:szCs w:val="22"/>
        </w:rPr>
        <w:t>Reclassification Order</w:t>
      </w:r>
      <w:r w:rsidRPr="00F1714B">
        <w:rPr>
          <w:bCs/>
          <w:sz w:val="22"/>
          <w:szCs w:val="22"/>
        </w:rPr>
        <w:t xml:space="preserve"> at 79.</w:t>
      </w:r>
    </w:p>
  </w:footnote>
  <w:footnote w:id="43">
    <w:p w14:paraId="6324D425" w14:textId="7DD4505A" w:rsidR="0017477C" w:rsidRPr="00F1714B" w:rsidRDefault="0017477C"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iCs/>
          <w:sz w:val="22"/>
          <w:szCs w:val="22"/>
        </w:rPr>
        <w:t xml:space="preserve">Id.  </w:t>
      </w:r>
    </w:p>
  </w:footnote>
  <w:footnote w:id="44">
    <w:p w14:paraId="535199C7" w14:textId="48BBD8F2" w:rsidR="009A6BBA" w:rsidRPr="00F1714B" w:rsidRDefault="009A6BBA" w:rsidP="00F1714B">
      <w:pPr>
        <w:pStyle w:val="FootnoteText"/>
        <w:rPr>
          <w:sz w:val="22"/>
          <w:szCs w:val="22"/>
        </w:rPr>
      </w:pPr>
      <w:r w:rsidRPr="00F1714B">
        <w:rPr>
          <w:rStyle w:val="FootnoteReference"/>
          <w:sz w:val="22"/>
          <w:szCs w:val="22"/>
        </w:rPr>
        <w:footnoteRef/>
      </w:r>
      <w:r w:rsidRPr="00F1714B">
        <w:rPr>
          <w:sz w:val="22"/>
          <w:szCs w:val="22"/>
        </w:rPr>
        <w:t xml:space="preserve"> </w:t>
      </w:r>
      <w:r w:rsidR="00B41A90" w:rsidRPr="00F1714B">
        <w:rPr>
          <w:rFonts w:cs="Times New Roman"/>
          <w:bCs/>
          <w:i/>
          <w:sz w:val="22"/>
          <w:szCs w:val="22"/>
        </w:rPr>
        <w:t>Reclassification Order</w:t>
      </w:r>
      <w:r w:rsidR="00B41A90" w:rsidRPr="00F1714B">
        <w:rPr>
          <w:rFonts w:cs="Times New Roman"/>
          <w:bCs/>
          <w:sz w:val="22"/>
          <w:szCs w:val="22"/>
        </w:rPr>
        <w:t xml:space="preserve"> at 79.</w:t>
      </w:r>
    </w:p>
  </w:footnote>
  <w:footnote w:id="45">
    <w:p w14:paraId="3F76B081" w14:textId="20D32E3E" w:rsidR="00CD41F1" w:rsidRPr="00F1714B" w:rsidRDefault="00CD41F1" w:rsidP="00F1714B">
      <w:pPr>
        <w:pStyle w:val="FootnoteText"/>
        <w:rPr>
          <w:sz w:val="22"/>
          <w:szCs w:val="22"/>
        </w:rPr>
      </w:pPr>
      <w:r w:rsidRPr="00F1714B">
        <w:rPr>
          <w:rStyle w:val="FootnoteReference"/>
          <w:sz w:val="22"/>
          <w:szCs w:val="22"/>
        </w:rPr>
        <w:footnoteRef/>
      </w:r>
      <w:r w:rsidRPr="00F1714B">
        <w:rPr>
          <w:sz w:val="22"/>
          <w:szCs w:val="22"/>
        </w:rPr>
        <w:t xml:space="preserve"> </w:t>
      </w:r>
      <w:r w:rsidR="0078275F" w:rsidRPr="00F1714B">
        <w:rPr>
          <w:i/>
          <w:iCs/>
          <w:sz w:val="22"/>
          <w:szCs w:val="22"/>
        </w:rPr>
        <w:t xml:space="preserve">See </w:t>
      </w:r>
      <w:r w:rsidR="0078275F" w:rsidRPr="00F1714B">
        <w:rPr>
          <w:i/>
          <w:sz w:val="22"/>
          <w:szCs w:val="22"/>
        </w:rPr>
        <w:t>AN</w:t>
      </w:r>
      <w:r w:rsidR="0075729B" w:rsidRPr="00F1714B">
        <w:rPr>
          <w:i/>
          <w:sz w:val="22"/>
          <w:szCs w:val="22"/>
        </w:rPr>
        <w:t>PRM</w:t>
      </w:r>
      <w:r w:rsidR="0078275F" w:rsidRPr="00F1714B">
        <w:rPr>
          <w:i/>
          <w:sz w:val="22"/>
          <w:szCs w:val="22"/>
        </w:rPr>
        <w:t xml:space="preserve"> Order</w:t>
      </w:r>
      <w:r w:rsidR="0078275F" w:rsidRPr="00F1714B">
        <w:rPr>
          <w:sz w:val="22"/>
          <w:szCs w:val="22"/>
        </w:rPr>
        <w:t xml:space="preserve"> at 11.</w:t>
      </w:r>
    </w:p>
  </w:footnote>
  <w:footnote w:id="46">
    <w:p w14:paraId="511BF4EE" w14:textId="3D6EDBAB" w:rsidR="008A4A4F" w:rsidRPr="00F1714B" w:rsidRDefault="008A4A4F" w:rsidP="00F1714B">
      <w:pPr>
        <w:pStyle w:val="FootnoteText"/>
        <w:rPr>
          <w:sz w:val="22"/>
          <w:szCs w:val="22"/>
        </w:rPr>
      </w:pPr>
      <w:r w:rsidRPr="00F1714B">
        <w:rPr>
          <w:rStyle w:val="FootnoteReference"/>
          <w:sz w:val="22"/>
          <w:szCs w:val="22"/>
        </w:rPr>
        <w:footnoteRef/>
      </w:r>
      <w:r w:rsidRPr="00F1714B">
        <w:rPr>
          <w:sz w:val="22"/>
          <w:szCs w:val="22"/>
        </w:rPr>
        <w:t xml:space="preserve"> On March 31, 2010, the Commission extended the Trial for an additional twelve months or until April 2011.  Although the Trial officially ended more than a year ago, BCS continues to offer Verizon customers</w:t>
      </w:r>
      <w:r w:rsidR="00725B27" w:rsidRPr="00F1714B">
        <w:rPr>
          <w:sz w:val="22"/>
          <w:szCs w:val="22"/>
        </w:rPr>
        <w:t>,</w:t>
      </w:r>
      <w:r w:rsidRPr="00F1714B">
        <w:rPr>
          <w:sz w:val="22"/>
          <w:szCs w:val="22"/>
        </w:rPr>
        <w:t xml:space="preserve"> </w:t>
      </w:r>
      <w:r w:rsidR="006B566C" w:rsidRPr="00F1714B">
        <w:rPr>
          <w:sz w:val="22"/>
          <w:szCs w:val="22"/>
        </w:rPr>
        <w:t>and Verizon continues to</w:t>
      </w:r>
      <w:r w:rsidR="000800C1" w:rsidRPr="00F1714B">
        <w:rPr>
          <w:sz w:val="22"/>
          <w:szCs w:val="22"/>
        </w:rPr>
        <w:t xml:space="preserve"> use</w:t>
      </w:r>
      <w:r w:rsidR="006B566C" w:rsidRPr="00F1714B">
        <w:rPr>
          <w:sz w:val="22"/>
          <w:szCs w:val="22"/>
        </w:rPr>
        <w:t xml:space="preserve"> </w:t>
      </w:r>
      <w:r w:rsidRPr="00F1714B">
        <w:rPr>
          <w:sz w:val="22"/>
          <w:szCs w:val="22"/>
        </w:rPr>
        <w:t xml:space="preserve">the warm transfer option.  </w:t>
      </w:r>
    </w:p>
    <w:p w14:paraId="152D52D2" w14:textId="3890339D" w:rsidR="008A4A4F" w:rsidRPr="00F1714B" w:rsidRDefault="008A4A4F" w:rsidP="00F1714B">
      <w:pPr>
        <w:pStyle w:val="FootnoteText"/>
        <w:rPr>
          <w:sz w:val="22"/>
          <w:szCs w:val="22"/>
        </w:rPr>
      </w:pPr>
    </w:p>
  </w:footnote>
  <w:footnote w:id="47">
    <w:p w14:paraId="51C3919F" w14:textId="5F7FACD6" w:rsidR="00E759E5" w:rsidRPr="00F1714B" w:rsidRDefault="00E759E5" w:rsidP="00F1714B">
      <w:pPr>
        <w:pStyle w:val="FootnoteText"/>
      </w:pPr>
      <w:r w:rsidRPr="00F1714B">
        <w:rPr>
          <w:rStyle w:val="FootnoteReference"/>
        </w:rPr>
        <w:footnoteRef/>
      </w:r>
      <w:r w:rsidRPr="00F1714B">
        <w:t xml:space="preserve"> </w:t>
      </w:r>
      <w:r w:rsidR="00B82323" w:rsidRPr="00F1714B">
        <w:rPr>
          <w:i/>
          <w:iCs/>
        </w:rPr>
        <w:t xml:space="preserve">See Reclassification Order </w:t>
      </w:r>
      <w:r w:rsidR="00B82323" w:rsidRPr="00F1714B">
        <w:t>at 7, 60-61.</w:t>
      </w:r>
      <w:r w:rsidRPr="00F1714B">
        <w:t xml:space="preserve"> </w:t>
      </w:r>
    </w:p>
  </w:footnote>
  <w:footnote w:id="48">
    <w:p w14:paraId="0FAEC086" w14:textId="60AACA85" w:rsidR="00B9027A" w:rsidRPr="00F1714B" w:rsidRDefault="00B9027A"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80.</w:t>
      </w:r>
    </w:p>
  </w:footnote>
  <w:footnote w:id="49">
    <w:p w14:paraId="475E0D52" w14:textId="2A568393" w:rsidR="00CD41F1" w:rsidRPr="00F1714B" w:rsidRDefault="00CD41F1"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 xml:space="preserve">Joint Petition and Notice of the United Telephone Company of Pennsylvania LLC d/b/a CenturyLink, Verizon Pennsylvania LLC and Verizon North LLC and Dex Media, Inc. to reduce Distribution of Print Telephone Directories and Transition to Digital Publication or, Alternatively, for </w:t>
      </w:r>
      <w:r w:rsidR="00F03ECE" w:rsidRPr="00F1714B">
        <w:rPr>
          <w:i/>
          <w:iCs/>
          <w:sz w:val="22"/>
          <w:szCs w:val="22"/>
        </w:rPr>
        <w:t>R</w:t>
      </w:r>
      <w:r w:rsidRPr="00F1714B">
        <w:rPr>
          <w:i/>
          <w:iCs/>
          <w:sz w:val="22"/>
          <w:szCs w:val="22"/>
        </w:rPr>
        <w:t xml:space="preserve">elief of 52 Pa. Code </w:t>
      </w:r>
      <w:r w:rsidRPr="00F1714B">
        <w:rPr>
          <w:rFonts w:cs="Times New Roman"/>
          <w:i/>
          <w:iCs/>
          <w:sz w:val="22"/>
          <w:szCs w:val="22"/>
        </w:rPr>
        <w:t>§ </w:t>
      </w:r>
      <w:r w:rsidRPr="00F1714B">
        <w:rPr>
          <w:i/>
          <w:iCs/>
          <w:sz w:val="22"/>
          <w:szCs w:val="22"/>
        </w:rPr>
        <w:t>64.191(g)</w:t>
      </w:r>
      <w:r w:rsidRPr="00F1714B">
        <w:rPr>
          <w:sz w:val="22"/>
          <w:szCs w:val="22"/>
        </w:rPr>
        <w:t>, Docket No. P-2017-2610359 (Order entered August 31, 2017) (</w:t>
      </w:r>
      <w:r w:rsidRPr="00F1714B">
        <w:rPr>
          <w:i/>
          <w:sz w:val="22"/>
          <w:szCs w:val="22"/>
        </w:rPr>
        <w:t>2017 Directories Order</w:t>
      </w:r>
      <w:r w:rsidRPr="00F1714B">
        <w:rPr>
          <w:sz w:val="22"/>
          <w:szCs w:val="22"/>
        </w:rPr>
        <w:t xml:space="preserve">).  </w:t>
      </w:r>
    </w:p>
  </w:footnote>
  <w:footnote w:id="50">
    <w:p w14:paraId="1AFE30B7" w14:textId="77777777" w:rsidR="00317793" w:rsidRPr="00F1714B" w:rsidRDefault="00317793"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See RLEC Directory and Toll Presubscription Order</w:t>
      </w:r>
      <w:r w:rsidRPr="00F1714B">
        <w:rPr>
          <w:sz w:val="22"/>
          <w:szCs w:val="22"/>
        </w:rPr>
        <w:t>.</w:t>
      </w:r>
    </w:p>
  </w:footnote>
  <w:footnote w:id="51">
    <w:p w14:paraId="4EFE88A3" w14:textId="77777777" w:rsidR="00317793" w:rsidRPr="00F1714B" w:rsidRDefault="00317793"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Joint Notice and Petition of the Frontier Communications Companies to Reduce Mass Distribution of Printed Telephone Directories</w:t>
      </w:r>
      <w:r w:rsidRPr="00F1714B">
        <w:rPr>
          <w:sz w:val="22"/>
          <w:szCs w:val="22"/>
        </w:rPr>
        <w:t>, Docket No. P-2019-3007831 (Order entered April 11, 2019).</w:t>
      </w:r>
    </w:p>
  </w:footnote>
  <w:footnote w:id="52">
    <w:p w14:paraId="600548BB" w14:textId="5C87FD29" w:rsidR="00747A79" w:rsidRPr="00F1714B" w:rsidRDefault="00747A79"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81, 141 (Appendix D).  </w:t>
      </w:r>
    </w:p>
  </w:footnote>
  <w:footnote w:id="53">
    <w:p w14:paraId="15CA2BC1" w14:textId="5557F173" w:rsidR="00747A79" w:rsidRPr="00F1714B" w:rsidRDefault="00747A79"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p>
  </w:footnote>
  <w:footnote w:id="54">
    <w:p w14:paraId="057E7042" w14:textId="49C3B47E" w:rsidR="00765854" w:rsidRPr="00F1714B" w:rsidRDefault="00765854"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bCs/>
          <w:i/>
          <w:sz w:val="22"/>
          <w:szCs w:val="22"/>
        </w:rPr>
        <w:t>Reclassification Order</w:t>
      </w:r>
      <w:r w:rsidRPr="00F1714B">
        <w:rPr>
          <w:bCs/>
          <w:sz w:val="22"/>
          <w:szCs w:val="22"/>
        </w:rPr>
        <w:t xml:space="preserve"> at 80.</w:t>
      </w:r>
    </w:p>
  </w:footnote>
  <w:footnote w:id="55">
    <w:p w14:paraId="5F7EBA92" w14:textId="50FE40A4" w:rsidR="00E80A63" w:rsidRPr="00F1714B" w:rsidRDefault="00E80A63"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Id.</w:t>
      </w:r>
      <w:r w:rsidRPr="00F1714B">
        <w:rPr>
          <w:rFonts w:cs="Times New Roman"/>
          <w:bCs/>
          <w:iCs/>
          <w:sz w:val="22"/>
          <w:szCs w:val="22"/>
        </w:rPr>
        <w:t>;</w:t>
      </w:r>
      <w:r w:rsidRPr="00F1714B">
        <w:rPr>
          <w:rFonts w:cs="Times New Roman"/>
          <w:bCs/>
          <w:i/>
          <w:sz w:val="22"/>
          <w:szCs w:val="22"/>
        </w:rPr>
        <w:t xml:space="preserve"> Final Implementation Order</w:t>
      </w:r>
      <w:r w:rsidRPr="00F1714B">
        <w:rPr>
          <w:rFonts w:cs="Times New Roman"/>
          <w:bCs/>
          <w:sz w:val="22"/>
          <w:szCs w:val="22"/>
        </w:rPr>
        <w:t xml:space="preserve"> at 17.</w:t>
      </w:r>
    </w:p>
  </w:footnote>
  <w:footnote w:id="56">
    <w:p w14:paraId="3DBE620E" w14:textId="77777777" w:rsidR="00CA786D" w:rsidRPr="00F1714B" w:rsidRDefault="00CA786D" w:rsidP="00F1714B">
      <w:pPr>
        <w:pStyle w:val="FootnoteText"/>
      </w:pPr>
      <w:r w:rsidRPr="00F1714B">
        <w:rPr>
          <w:rStyle w:val="FootnoteReference"/>
        </w:rPr>
        <w:footnoteRef/>
      </w:r>
      <w:r w:rsidRPr="00F1714B">
        <w:rPr>
          <w:rFonts w:cs="Times New Roman"/>
        </w:rPr>
        <w:t xml:space="preserve"> </w:t>
      </w:r>
      <w:r w:rsidRPr="00F1714B">
        <w:rPr>
          <w:rFonts w:cs="Times New Roman"/>
          <w:sz w:val="22"/>
          <w:szCs w:val="22"/>
        </w:rPr>
        <w:t>Section 1312 of the Code, 66 Pa. C.S. § 1312, addresses the Commission’s authority to direct refunds in a proceeding.</w:t>
      </w:r>
    </w:p>
  </w:footnote>
  <w:footnote w:id="57">
    <w:p w14:paraId="5893B6E4" w14:textId="73F3AE21" w:rsidR="00A86D58" w:rsidRPr="00F1714B" w:rsidRDefault="00A86D58"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82.</w:t>
      </w:r>
    </w:p>
  </w:footnote>
  <w:footnote w:id="58">
    <w:p w14:paraId="09B7C299" w14:textId="0D9C0C3E" w:rsidR="00756A96" w:rsidRPr="00F1714B" w:rsidRDefault="00756A96" w:rsidP="00F1714B">
      <w:pPr>
        <w:pStyle w:val="FootnoteText"/>
        <w:rPr>
          <w:bCs/>
          <w:sz w:val="22"/>
          <w:szCs w:val="22"/>
        </w:rPr>
      </w:pPr>
      <w:r w:rsidRPr="00F1714B">
        <w:rPr>
          <w:rStyle w:val="FootnoteReference"/>
          <w:sz w:val="22"/>
          <w:szCs w:val="22"/>
        </w:rPr>
        <w:footnoteRef/>
      </w:r>
      <w:r w:rsidRPr="00F1714B">
        <w:rPr>
          <w:sz w:val="22"/>
          <w:szCs w:val="22"/>
        </w:rPr>
        <w:t xml:space="preserve"> </w:t>
      </w:r>
      <w:r w:rsidRPr="00F1714B">
        <w:rPr>
          <w:bCs/>
          <w:sz w:val="22"/>
          <w:szCs w:val="22"/>
        </w:rPr>
        <w:t>We note that conventional methods of RB/ROR regulation are still relevant not only for some RLECs under Chapter 30 in Pennsylvania but also in the computation of wholesale interconnection unbundled network element costs and rates that are derived through the total element long-run incremental cost method.</w:t>
      </w:r>
    </w:p>
  </w:footnote>
  <w:footnote w:id="59">
    <w:p w14:paraId="5B7A32EC" w14:textId="6DB2387A" w:rsidR="0038021C" w:rsidRPr="00F1714B" w:rsidRDefault="0038021C" w:rsidP="00F1714B">
      <w:pPr>
        <w:pStyle w:val="FootnoteText"/>
        <w:rPr>
          <w:sz w:val="22"/>
          <w:szCs w:val="22"/>
        </w:rPr>
      </w:pPr>
      <w:r w:rsidRPr="00F1714B">
        <w:rPr>
          <w:rStyle w:val="FootnoteReference"/>
          <w:sz w:val="22"/>
          <w:szCs w:val="22"/>
        </w:rPr>
        <w:footnoteRef/>
      </w:r>
      <w:r w:rsidRPr="00F1714B">
        <w:rPr>
          <w:sz w:val="22"/>
          <w:szCs w:val="22"/>
        </w:rPr>
        <w:t xml:space="preserve"> </w:t>
      </w:r>
      <w:r w:rsidR="002939A0" w:rsidRPr="00F1714B">
        <w:rPr>
          <w:i/>
          <w:iCs/>
          <w:sz w:val="22"/>
          <w:szCs w:val="22"/>
        </w:rPr>
        <w:t>Verizon v. FCC</w:t>
      </w:r>
      <w:r w:rsidR="002939A0" w:rsidRPr="00F1714B">
        <w:rPr>
          <w:sz w:val="22"/>
          <w:szCs w:val="22"/>
        </w:rPr>
        <w:t>, 770 F.3d 961, 962 (D.C. Cir. 2014).</w:t>
      </w:r>
    </w:p>
  </w:footnote>
  <w:footnote w:id="60">
    <w:p w14:paraId="1972385F" w14:textId="7BEF8393" w:rsidR="00526792" w:rsidRPr="00F1714B" w:rsidRDefault="00526792" w:rsidP="00F1714B">
      <w:pPr>
        <w:pStyle w:val="FootnoteText"/>
        <w:rPr>
          <w:sz w:val="22"/>
          <w:szCs w:val="22"/>
        </w:rPr>
      </w:pPr>
      <w:r w:rsidRPr="00F1714B">
        <w:rPr>
          <w:rStyle w:val="FootnoteReference"/>
          <w:sz w:val="22"/>
          <w:szCs w:val="22"/>
        </w:rPr>
        <w:footnoteRef/>
      </w:r>
      <w:r w:rsidRPr="00F1714B">
        <w:rPr>
          <w:sz w:val="22"/>
          <w:szCs w:val="22"/>
        </w:rPr>
        <w:t xml:space="preserve"> </w:t>
      </w:r>
      <w:r w:rsidR="00F84C00" w:rsidRPr="00F1714B">
        <w:rPr>
          <w:i/>
          <w:iCs/>
        </w:rPr>
        <w:t>See Comprehensive Review of the Uniform System of Accounts, Jurisdictional Separations and Referral to the Federal-State Joint Board</w:t>
      </w:r>
      <w:r w:rsidR="00F84C00" w:rsidRPr="00F1714B">
        <w:t>, Report and Order, WC Docket No. 14–130, CC Docket 80–286, 32 FCC Rcd 1735 (2017).</w:t>
      </w:r>
    </w:p>
  </w:footnote>
  <w:footnote w:id="61">
    <w:p w14:paraId="74634374" w14:textId="77777777" w:rsidR="003D11F0" w:rsidRPr="00F1714B" w:rsidRDefault="003D11F0" w:rsidP="00F1714B">
      <w:pPr>
        <w:pStyle w:val="FootnoteText"/>
        <w:rPr>
          <w:i/>
          <w:iCs/>
          <w:sz w:val="22"/>
          <w:szCs w:val="22"/>
        </w:rPr>
      </w:pPr>
      <w:r w:rsidRPr="00F1714B">
        <w:rPr>
          <w:rStyle w:val="FootnoteReference"/>
          <w:sz w:val="22"/>
          <w:szCs w:val="22"/>
        </w:rPr>
        <w:footnoteRef/>
      </w:r>
      <w:r w:rsidRPr="00F1714B">
        <w:rPr>
          <w:sz w:val="22"/>
          <w:szCs w:val="22"/>
        </w:rPr>
        <w:t xml:space="preserve"> 73 P.S. § 176 </w:t>
      </w:r>
      <w:r w:rsidRPr="00F1714B">
        <w:rPr>
          <w:i/>
          <w:iCs/>
          <w:sz w:val="22"/>
          <w:szCs w:val="22"/>
        </w:rPr>
        <w:t>et seq.</w:t>
      </w:r>
    </w:p>
  </w:footnote>
  <w:footnote w:id="62">
    <w:p w14:paraId="41A25BD7" w14:textId="77777777" w:rsidR="00AB74E0" w:rsidRPr="00F1714B" w:rsidRDefault="00AB74E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i/>
          <w:sz w:val="22"/>
          <w:szCs w:val="22"/>
        </w:rPr>
        <w:t>Reclassification Order</w:t>
      </w:r>
      <w:r w:rsidRPr="00F1714B">
        <w:rPr>
          <w:rFonts w:cs="Times New Roman"/>
          <w:sz w:val="22"/>
          <w:szCs w:val="22"/>
        </w:rPr>
        <w:t xml:space="preserve"> at 85.  </w:t>
      </w:r>
    </w:p>
  </w:footnote>
  <w:footnote w:id="63">
    <w:p w14:paraId="59BF6E26" w14:textId="77777777" w:rsidR="00661A0F" w:rsidRPr="00F1714B" w:rsidRDefault="00661A0F"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i/>
          <w:sz w:val="22"/>
          <w:szCs w:val="22"/>
        </w:rPr>
        <w:t>Id.</w:t>
      </w:r>
    </w:p>
  </w:footnote>
  <w:footnote w:id="64">
    <w:p w14:paraId="59CDF73C" w14:textId="62DCF020" w:rsidR="009B206B" w:rsidRPr="00F1714B" w:rsidRDefault="009B206B" w:rsidP="00F1714B">
      <w:pPr>
        <w:pStyle w:val="FootnoteText"/>
        <w:rPr>
          <w:sz w:val="22"/>
          <w:szCs w:val="22"/>
        </w:rPr>
      </w:pPr>
      <w:r w:rsidRPr="00F1714B">
        <w:rPr>
          <w:rStyle w:val="FootnoteReference"/>
          <w:sz w:val="22"/>
          <w:szCs w:val="22"/>
        </w:rPr>
        <w:footnoteRef/>
      </w:r>
      <w:r w:rsidRPr="00F1714B">
        <w:rPr>
          <w:sz w:val="22"/>
          <w:szCs w:val="22"/>
        </w:rPr>
        <w:t xml:space="preserve"> </w:t>
      </w:r>
      <w:r w:rsidR="00153FD0" w:rsidRPr="00F1714B">
        <w:rPr>
          <w:i/>
          <w:sz w:val="22"/>
          <w:szCs w:val="22"/>
        </w:rPr>
        <w:t>Id.</w:t>
      </w:r>
      <w:r w:rsidRPr="00F1714B">
        <w:rPr>
          <w:sz w:val="22"/>
          <w:szCs w:val="22"/>
        </w:rPr>
        <w:t xml:space="preserve"> at 86.</w:t>
      </w:r>
    </w:p>
  </w:footnote>
  <w:footnote w:id="65">
    <w:p w14:paraId="526D1A22" w14:textId="77777777" w:rsidR="0031370E" w:rsidRPr="00F1714B" w:rsidRDefault="0031370E"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sz w:val="22"/>
          <w:szCs w:val="22"/>
        </w:rPr>
        <w:t>Id.</w:t>
      </w:r>
      <w:r w:rsidRPr="00F1714B">
        <w:rPr>
          <w:sz w:val="22"/>
          <w:szCs w:val="22"/>
        </w:rPr>
        <w:t xml:space="preserve"> at 85.</w:t>
      </w:r>
    </w:p>
  </w:footnote>
  <w:footnote w:id="66">
    <w:p w14:paraId="3BB47CF7" w14:textId="50F4D457" w:rsidR="007E196E" w:rsidRPr="00F1714B" w:rsidRDefault="007E196E" w:rsidP="00F1714B">
      <w:pPr>
        <w:pStyle w:val="FootnoteText"/>
        <w:rPr>
          <w:sz w:val="22"/>
          <w:szCs w:val="22"/>
        </w:rPr>
      </w:pPr>
      <w:r w:rsidRPr="00F1714B">
        <w:rPr>
          <w:rStyle w:val="FootnoteReference"/>
          <w:sz w:val="22"/>
          <w:szCs w:val="22"/>
        </w:rPr>
        <w:footnoteRef/>
      </w:r>
      <w:r w:rsidRPr="00F1714B">
        <w:rPr>
          <w:sz w:val="22"/>
          <w:szCs w:val="22"/>
        </w:rPr>
        <w:t xml:space="preserve"> </w:t>
      </w:r>
      <w:r w:rsidR="00153FD0" w:rsidRPr="00F1714B">
        <w:rPr>
          <w:i/>
          <w:sz w:val="22"/>
          <w:szCs w:val="22"/>
        </w:rPr>
        <w:t>Id.</w:t>
      </w:r>
      <w:r w:rsidRPr="00F1714B">
        <w:rPr>
          <w:sz w:val="22"/>
          <w:szCs w:val="22"/>
        </w:rPr>
        <w:t xml:space="preserve"> at 85.</w:t>
      </w:r>
    </w:p>
  </w:footnote>
  <w:footnote w:id="67">
    <w:p w14:paraId="78EADEFF" w14:textId="77777777" w:rsidR="00BB1824" w:rsidRPr="00F1714B" w:rsidRDefault="00BB1824"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p>
  </w:footnote>
  <w:footnote w:id="68">
    <w:p w14:paraId="315100E2" w14:textId="2C0365A7" w:rsidR="00BC0523" w:rsidRPr="00F1714B" w:rsidRDefault="00BC0523"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87.  </w:t>
      </w:r>
    </w:p>
  </w:footnote>
  <w:footnote w:id="69">
    <w:p w14:paraId="1A218DA0" w14:textId="490EAD32" w:rsidR="00796F94" w:rsidRPr="00F1714B" w:rsidRDefault="00796F94"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Id</w:t>
      </w:r>
      <w:r w:rsidRPr="00F1714B">
        <w:rPr>
          <w:rFonts w:cs="Times New Roman"/>
          <w:bCs/>
          <w:sz w:val="22"/>
          <w:szCs w:val="22"/>
        </w:rPr>
        <w:t>. at 87-88.</w:t>
      </w:r>
    </w:p>
  </w:footnote>
  <w:footnote w:id="70">
    <w:p w14:paraId="01F2CE22" w14:textId="69B08B73" w:rsidR="00392F8E" w:rsidRPr="00F1714B" w:rsidRDefault="00392F8E"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87. </w:t>
      </w:r>
    </w:p>
  </w:footnote>
  <w:footnote w:id="71">
    <w:p w14:paraId="781CB471" w14:textId="6E76734B" w:rsidR="00917B6A" w:rsidRPr="00F1714B" w:rsidRDefault="00917B6A"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85, 88, and 124 (Ordering Paragraph 2).</w:t>
      </w:r>
    </w:p>
  </w:footnote>
  <w:footnote w:id="72">
    <w:p w14:paraId="7E4572F4" w14:textId="2833ED5C" w:rsidR="00262765" w:rsidRPr="00F1714B" w:rsidRDefault="00262765"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iCs/>
          <w:sz w:val="22"/>
          <w:szCs w:val="22"/>
        </w:rPr>
        <w:t xml:space="preserve">Reclassification Order </w:t>
      </w:r>
      <w:r w:rsidRPr="00F1714B">
        <w:rPr>
          <w:rFonts w:cs="Times New Roman"/>
          <w:bCs/>
          <w:sz w:val="22"/>
          <w:szCs w:val="22"/>
        </w:rPr>
        <w:t xml:space="preserve">at 85.  </w:t>
      </w:r>
    </w:p>
  </w:footnote>
  <w:footnote w:id="73">
    <w:p w14:paraId="3E154FF4" w14:textId="778FF25C" w:rsidR="005C6CDE" w:rsidRPr="00F1714B" w:rsidRDefault="005C6CDE"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86.</w:t>
      </w:r>
    </w:p>
  </w:footnote>
  <w:footnote w:id="74">
    <w:p w14:paraId="777E3F8A" w14:textId="77777777" w:rsidR="0032160D" w:rsidRPr="00F1714B" w:rsidRDefault="0032160D" w:rsidP="00F1714B">
      <w:pPr>
        <w:pStyle w:val="ListParagraph"/>
        <w:tabs>
          <w:tab w:val="left" w:pos="0"/>
        </w:tabs>
        <w:ind w:left="0"/>
        <w:rPr>
          <w:sz w:val="22"/>
        </w:rPr>
      </w:pPr>
      <w:r w:rsidRPr="00F1714B">
        <w:rPr>
          <w:rStyle w:val="FootnoteReference"/>
          <w:sz w:val="22"/>
        </w:rPr>
        <w:footnoteRef/>
      </w:r>
      <w:r w:rsidRPr="00F1714B">
        <w:rPr>
          <w:sz w:val="22"/>
        </w:rPr>
        <w:t xml:space="preserve"> </w:t>
      </w:r>
      <w:r w:rsidRPr="00F1714B">
        <w:rPr>
          <w:rFonts w:cs="Times New Roman"/>
          <w:i/>
          <w:sz w:val="22"/>
        </w:rPr>
        <w:t>Reclassification Order</w:t>
      </w:r>
      <w:r w:rsidRPr="00F1714B">
        <w:rPr>
          <w:rFonts w:cs="Times New Roman"/>
          <w:sz w:val="22"/>
        </w:rPr>
        <w:t xml:space="preserve"> at 88.</w:t>
      </w:r>
    </w:p>
  </w:footnote>
  <w:footnote w:id="75">
    <w:p w14:paraId="1D586B49" w14:textId="311347F5" w:rsidR="003D1924" w:rsidRPr="00F1714B" w:rsidRDefault="003D1924" w:rsidP="00F1714B">
      <w:pPr>
        <w:pStyle w:val="FootnoteText"/>
      </w:pPr>
      <w:r w:rsidRPr="00F1714B">
        <w:rPr>
          <w:rStyle w:val="FootnoteReference"/>
          <w:sz w:val="22"/>
          <w:szCs w:val="22"/>
        </w:rPr>
        <w:footnoteRef/>
      </w:r>
      <w:r w:rsidRPr="00F1714B">
        <w:rPr>
          <w:sz w:val="22"/>
          <w:szCs w:val="22"/>
        </w:rPr>
        <w:t xml:space="preserve"> While</w:t>
      </w:r>
      <w:r w:rsidR="00F330EA" w:rsidRPr="00F1714B">
        <w:rPr>
          <w:sz w:val="22"/>
          <w:szCs w:val="22"/>
        </w:rPr>
        <w:t xml:space="preserve"> </w:t>
      </w:r>
      <w:r w:rsidRPr="00F1714B">
        <w:rPr>
          <w:rFonts w:cs="Times New Roman"/>
          <w:sz w:val="22"/>
          <w:szCs w:val="22"/>
        </w:rPr>
        <w:t xml:space="preserve">we </w:t>
      </w:r>
      <w:r w:rsidR="00360A2C" w:rsidRPr="00F1714B">
        <w:rPr>
          <w:rFonts w:cs="Times New Roman"/>
          <w:sz w:val="22"/>
          <w:szCs w:val="22"/>
        </w:rPr>
        <w:t xml:space="preserve">had </w:t>
      </w:r>
      <w:r w:rsidRPr="00F1714B">
        <w:rPr>
          <w:rFonts w:cs="Times New Roman"/>
          <w:sz w:val="22"/>
          <w:szCs w:val="22"/>
        </w:rPr>
        <w:t>propose</w:t>
      </w:r>
      <w:r w:rsidR="00360A2C" w:rsidRPr="00F1714B">
        <w:rPr>
          <w:rFonts w:cs="Times New Roman"/>
          <w:sz w:val="22"/>
          <w:szCs w:val="22"/>
        </w:rPr>
        <w:t xml:space="preserve">d </w:t>
      </w:r>
      <w:r w:rsidRPr="00F1714B">
        <w:rPr>
          <w:rFonts w:cs="Times New Roman"/>
          <w:sz w:val="22"/>
          <w:szCs w:val="22"/>
        </w:rPr>
        <w:t>to rescind Subchapter H and I as obsolete</w:t>
      </w:r>
      <w:r w:rsidR="00B802ED" w:rsidRPr="00F1714B">
        <w:rPr>
          <w:rFonts w:cs="Times New Roman"/>
          <w:sz w:val="22"/>
          <w:szCs w:val="22"/>
        </w:rPr>
        <w:t>,</w:t>
      </w:r>
      <w:r w:rsidR="00360A2C" w:rsidRPr="00F1714B">
        <w:rPr>
          <w:rFonts w:cs="Times New Roman"/>
          <w:sz w:val="22"/>
          <w:szCs w:val="22"/>
        </w:rPr>
        <w:t xml:space="preserve"> Subchapter I of Chapter 63 has already been reserved in a previous rulemaking; thus, there is no reason to rescind it in this rulemaking proceeding.  </w:t>
      </w:r>
    </w:p>
  </w:footnote>
  <w:footnote w:id="76">
    <w:p w14:paraId="67F35695" w14:textId="77777777" w:rsidR="00F84C00" w:rsidRPr="00F1714B" w:rsidRDefault="00F84C00" w:rsidP="00F1714B">
      <w:pPr>
        <w:tabs>
          <w:tab w:val="left" w:pos="720"/>
          <w:tab w:val="left" w:pos="1440"/>
        </w:tabs>
        <w:spacing w:line="240" w:lineRule="auto"/>
        <w:rPr>
          <w:rFonts w:cs="Times New Roman"/>
          <w:sz w:val="22"/>
        </w:rPr>
      </w:pPr>
      <w:r w:rsidRPr="00F1714B">
        <w:rPr>
          <w:rStyle w:val="FootnoteReference"/>
          <w:rFonts w:cs="Times New Roman"/>
          <w:sz w:val="22"/>
        </w:rPr>
        <w:footnoteRef/>
      </w:r>
      <w:r w:rsidRPr="00F1714B">
        <w:rPr>
          <w:rFonts w:cs="Times New Roman"/>
          <w:sz w:val="22"/>
        </w:rPr>
        <w:t xml:space="preserve"> </w:t>
      </w:r>
      <w:r w:rsidRPr="00F1714B">
        <w:rPr>
          <w:rFonts w:cs="Times New Roman"/>
          <w:bCs/>
          <w:i/>
          <w:sz w:val="22"/>
        </w:rPr>
        <w:t>Reclassification Order</w:t>
      </w:r>
      <w:r w:rsidRPr="00F1714B">
        <w:rPr>
          <w:rFonts w:cs="Times New Roman"/>
          <w:bCs/>
          <w:sz w:val="22"/>
        </w:rPr>
        <w:t xml:space="preserve"> at 90-103.</w:t>
      </w:r>
    </w:p>
  </w:footnote>
  <w:footnote w:id="77">
    <w:p w14:paraId="7D4D7867" w14:textId="1A1A2CC7" w:rsidR="00F84C00" w:rsidRPr="00F1714B" w:rsidRDefault="00F84C00" w:rsidP="00F1714B">
      <w:pPr>
        <w:pStyle w:val="FootnoteText"/>
        <w:rPr>
          <w:rFonts w:cs="Times New Roman"/>
          <w:sz w:val="22"/>
          <w:szCs w:val="22"/>
        </w:rPr>
      </w:pPr>
      <w:r w:rsidRPr="00F1714B">
        <w:rPr>
          <w:rStyle w:val="FootnoteReference"/>
          <w:rFonts w:cs="Times New Roman"/>
          <w:sz w:val="22"/>
          <w:szCs w:val="22"/>
        </w:rPr>
        <w:footnoteRef/>
      </w:r>
      <w:r w:rsidRPr="00F1714B">
        <w:rPr>
          <w:rFonts w:cs="Times New Roman"/>
          <w:sz w:val="22"/>
          <w:szCs w:val="22"/>
        </w:rPr>
        <w:t xml:space="preserve"> </w:t>
      </w:r>
      <w:r w:rsidR="00846A80" w:rsidRPr="00F1714B">
        <w:rPr>
          <w:rFonts w:cs="Times New Roman"/>
          <w:bCs/>
          <w:i/>
          <w:sz w:val="22"/>
          <w:szCs w:val="22"/>
        </w:rPr>
        <w:t>Id.</w:t>
      </w:r>
      <w:r w:rsidRPr="00F1714B">
        <w:rPr>
          <w:rFonts w:cs="Times New Roman"/>
          <w:bCs/>
          <w:sz w:val="22"/>
          <w:szCs w:val="22"/>
        </w:rPr>
        <w:t xml:space="preserve"> at 93-94</w:t>
      </w:r>
    </w:p>
  </w:footnote>
  <w:footnote w:id="78">
    <w:p w14:paraId="2011054D"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Infra</w:t>
      </w:r>
      <w:r w:rsidRPr="00F1714B">
        <w:rPr>
          <w:sz w:val="22"/>
          <w:szCs w:val="22"/>
        </w:rPr>
        <w:t>. at 18-24.</w:t>
      </w:r>
    </w:p>
  </w:footnote>
  <w:footnote w:id="79">
    <w:p w14:paraId="05EE191B" w14:textId="32FB623C" w:rsidR="00F84C00" w:rsidRPr="00F1714B" w:rsidRDefault="00F84C00" w:rsidP="00F1714B">
      <w:pPr>
        <w:tabs>
          <w:tab w:val="left" w:pos="720"/>
          <w:tab w:val="left" w:pos="1440"/>
        </w:tabs>
        <w:spacing w:line="240" w:lineRule="auto"/>
        <w:rPr>
          <w:rFonts w:cs="Times New Roman"/>
          <w:sz w:val="22"/>
        </w:rPr>
      </w:pPr>
      <w:r w:rsidRPr="00F1714B">
        <w:rPr>
          <w:rStyle w:val="FootnoteReference"/>
          <w:rFonts w:cs="Times New Roman"/>
          <w:sz w:val="22"/>
        </w:rPr>
        <w:footnoteRef/>
      </w:r>
      <w:r w:rsidRPr="00F1714B">
        <w:rPr>
          <w:rFonts w:cs="Times New Roman"/>
          <w:sz w:val="22"/>
        </w:rPr>
        <w:t xml:space="preserve"> </w:t>
      </w:r>
      <w:r w:rsidRPr="00F1714B">
        <w:rPr>
          <w:rFonts w:cs="Times New Roman"/>
          <w:i/>
          <w:sz w:val="22"/>
        </w:rPr>
        <w:t>Reclassification Order</w:t>
      </w:r>
      <w:r w:rsidRPr="00F1714B">
        <w:rPr>
          <w:rFonts w:cs="Times New Roman"/>
          <w:sz w:val="22"/>
        </w:rPr>
        <w:t xml:space="preserve"> at 95.</w:t>
      </w:r>
    </w:p>
  </w:footnote>
  <w:footnote w:id="80">
    <w:p w14:paraId="06326C12"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Infra</w:t>
      </w:r>
      <w:r w:rsidRPr="00F1714B">
        <w:rPr>
          <w:sz w:val="22"/>
          <w:szCs w:val="22"/>
        </w:rPr>
        <w:t>. at 18-24.</w:t>
      </w:r>
    </w:p>
  </w:footnote>
  <w:footnote w:id="81">
    <w:p w14:paraId="5768AD1A"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sz w:val="22"/>
          <w:szCs w:val="22"/>
        </w:rPr>
        <w:t>Reclassification Order</w:t>
      </w:r>
      <w:r w:rsidRPr="00F1714B">
        <w:rPr>
          <w:sz w:val="22"/>
          <w:szCs w:val="22"/>
        </w:rPr>
        <w:t xml:space="preserve"> at 62.  </w:t>
      </w:r>
    </w:p>
  </w:footnote>
  <w:footnote w:id="82">
    <w:p w14:paraId="65C5B1FC"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Id.</w:t>
      </w:r>
    </w:p>
  </w:footnote>
  <w:footnote w:id="83">
    <w:p w14:paraId="6C49EDD5" w14:textId="77777777" w:rsidR="00F84C00" w:rsidRPr="00F1714B" w:rsidRDefault="00F84C00" w:rsidP="00F1714B">
      <w:pPr>
        <w:tabs>
          <w:tab w:val="left" w:pos="720"/>
          <w:tab w:val="left" w:pos="1440"/>
        </w:tabs>
        <w:spacing w:line="240" w:lineRule="auto"/>
        <w:rPr>
          <w:rFonts w:cs="Times New Roman"/>
        </w:rPr>
      </w:pPr>
      <w:r w:rsidRPr="00F1714B">
        <w:rPr>
          <w:rStyle w:val="FootnoteReference"/>
          <w:rFonts w:cs="Times New Roman"/>
        </w:rPr>
        <w:footnoteRef/>
      </w:r>
      <w:r w:rsidRPr="00F1714B">
        <w:rPr>
          <w:rFonts w:cs="Times New Roman"/>
        </w:rPr>
        <w:t xml:space="preserve"> </w:t>
      </w:r>
      <w:r w:rsidRPr="00F1714B">
        <w:rPr>
          <w:rFonts w:cs="Times New Roman"/>
          <w:bCs/>
          <w:i/>
        </w:rPr>
        <w:t>Reclassification Order</w:t>
      </w:r>
      <w:r w:rsidRPr="00F1714B">
        <w:rPr>
          <w:rFonts w:cs="Times New Roman"/>
          <w:bCs/>
        </w:rPr>
        <w:t xml:space="preserve"> at 97.</w:t>
      </w:r>
    </w:p>
  </w:footnote>
  <w:footnote w:id="84">
    <w:p w14:paraId="6B35E3AF" w14:textId="77777777" w:rsidR="00F84C00" w:rsidRPr="00F1714B" w:rsidRDefault="00F84C00" w:rsidP="00F1714B">
      <w:pPr>
        <w:pStyle w:val="FootnoteText"/>
        <w:rPr>
          <w:rFonts w:cs="Times New Roman"/>
          <w:sz w:val="22"/>
          <w:szCs w:val="22"/>
        </w:rPr>
      </w:pPr>
      <w:r w:rsidRPr="00F1714B">
        <w:rPr>
          <w:rStyle w:val="FootnoteReference"/>
          <w:rFonts w:cs="Times New Roman"/>
          <w:sz w:val="22"/>
          <w:szCs w:val="22"/>
        </w:rPr>
        <w:footnoteRef/>
      </w:r>
      <w:r w:rsidRPr="00F1714B">
        <w:rPr>
          <w:rFonts w:cs="Times New Roman"/>
          <w:sz w:val="22"/>
          <w:szCs w:val="22"/>
        </w:rPr>
        <w:t xml:space="preserve"> </w:t>
      </w:r>
      <w:r w:rsidRPr="00F1714B">
        <w:rPr>
          <w:rFonts w:cs="Times New Roman"/>
          <w:i/>
          <w:iCs/>
          <w:sz w:val="22"/>
          <w:szCs w:val="22"/>
        </w:rPr>
        <w:t>Id.</w:t>
      </w:r>
    </w:p>
  </w:footnote>
  <w:footnote w:id="85">
    <w:p w14:paraId="1E0B90F0"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97.</w:t>
      </w:r>
    </w:p>
  </w:footnote>
  <w:footnote w:id="86">
    <w:p w14:paraId="3CC4115E"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Id</w:t>
      </w:r>
      <w:r w:rsidRPr="00F1714B">
        <w:rPr>
          <w:rFonts w:cs="Times New Roman"/>
          <w:bCs/>
          <w:sz w:val="22"/>
          <w:szCs w:val="22"/>
        </w:rPr>
        <w:t xml:space="preserve">.  </w:t>
      </w:r>
    </w:p>
  </w:footnote>
  <w:footnote w:id="87">
    <w:p w14:paraId="17F13339"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98-100.</w:t>
      </w:r>
    </w:p>
  </w:footnote>
  <w:footnote w:id="88">
    <w:p w14:paraId="1B46DE5C"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Infra</w:t>
      </w:r>
      <w:r w:rsidRPr="00F1714B">
        <w:rPr>
          <w:sz w:val="22"/>
          <w:szCs w:val="22"/>
        </w:rPr>
        <w:t>. at 18-24.</w:t>
      </w:r>
    </w:p>
  </w:footnote>
  <w:footnote w:id="89">
    <w:p w14:paraId="08CD424C"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  </w:t>
      </w:r>
    </w:p>
  </w:footnote>
  <w:footnote w:id="90">
    <w:p w14:paraId="45750D0A" w14:textId="0C150A63"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OCA Comments at 39-40, citing </w:t>
      </w:r>
      <w:r w:rsidRPr="00F1714B">
        <w:rPr>
          <w:i/>
          <w:iCs/>
          <w:sz w:val="22"/>
          <w:szCs w:val="22"/>
        </w:rPr>
        <w:t>Neil and Gilda Altman v. Verizon Pennsylvania LLC</w:t>
      </w:r>
      <w:r w:rsidRPr="00F1714B">
        <w:rPr>
          <w:sz w:val="22"/>
          <w:szCs w:val="22"/>
        </w:rPr>
        <w:t>, Docket No. C</w:t>
      </w:r>
      <w:r w:rsidRPr="00F1714B">
        <w:rPr>
          <w:rFonts w:cs="Times New Roman"/>
          <w:sz w:val="22"/>
          <w:szCs w:val="22"/>
        </w:rPr>
        <w:t>­</w:t>
      </w:r>
      <w:r w:rsidRPr="00F1714B">
        <w:rPr>
          <w:sz w:val="22"/>
          <w:szCs w:val="22"/>
        </w:rPr>
        <w:t>2015-2515583 (Order entered November 18, 2016) (</w:t>
      </w:r>
      <w:r w:rsidRPr="00F1714B">
        <w:rPr>
          <w:i/>
          <w:iCs/>
          <w:sz w:val="22"/>
          <w:szCs w:val="22"/>
        </w:rPr>
        <w:t>Altman</w:t>
      </w:r>
      <w:r w:rsidRPr="00F1714B">
        <w:rPr>
          <w:sz w:val="22"/>
          <w:szCs w:val="22"/>
        </w:rPr>
        <w:t xml:space="preserve">).  OCA indicates that Verizon cited Section 64.61(3) as support for the possible suspension of service, but the presiding Administrative Law Judge found Section 64.61(3) inapplicable on the particular facts.  OCA Comments at 40, citing the </w:t>
      </w:r>
      <w:r w:rsidRPr="00F1714B">
        <w:rPr>
          <w:i/>
          <w:iCs/>
          <w:sz w:val="22"/>
          <w:szCs w:val="22"/>
        </w:rPr>
        <w:t>Altman</w:t>
      </w:r>
      <w:r w:rsidRPr="00F1714B">
        <w:rPr>
          <w:sz w:val="22"/>
          <w:szCs w:val="22"/>
        </w:rPr>
        <w:t xml:space="preserve"> Initial Decision at 14-15.</w:t>
      </w:r>
    </w:p>
  </w:footnote>
  <w:footnote w:id="91">
    <w:p w14:paraId="368211A6" w14:textId="1E3C3DF3"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OCA Comments at 40-41, citing to </w:t>
      </w:r>
      <w:r w:rsidRPr="00F1714B">
        <w:rPr>
          <w:i/>
          <w:sz w:val="22"/>
          <w:szCs w:val="22"/>
        </w:rPr>
        <w:t>Irwin Fox v. Verizon Pennsylvania LLC</w:t>
      </w:r>
      <w:r w:rsidRPr="00F1714B">
        <w:rPr>
          <w:sz w:val="22"/>
          <w:szCs w:val="22"/>
        </w:rPr>
        <w:t>, Docket No. C-2016-2576094 (Order entered July 18, 2018) (</w:t>
      </w:r>
      <w:r w:rsidRPr="00F1714B">
        <w:rPr>
          <w:i/>
          <w:iCs/>
          <w:sz w:val="22"/>
          <w:szCs w:val="22"/>
        </w:rPr>
        <w:t>Fox</w:t>
      </w:r>
      <w:r w:rsidRPr="00F1714B">
        <w:rPr>
          <w:sz w:val="22"/>
          <w:szCs w:val="22"/>
        </w:rPr>
        <w:t>).</w:t>
      </w:r>
    </w:p>
  </w:footnote>
  <w:footnote w:id="92">
    <w:p w14:paraId="36EBDF0D"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OCA Comments at 40-41, citing to </w:t>
      </w:r>
      <w:r w:rsidRPr="00F1714B">
        <w:rPr>
          <w:i/>
          <w:iCs/>
          <w:sz w:val="22"/>
          <w:szCs w:val="22"/>
        </w:rPr>
        <w:t>Fox</w:t>
      </w:r>
      <w:r w:rsidRPr="00F1714B">
        <w:rPr>
          <w:sz w:val="22"/>
          <w:szCs w:val="22"/>
        </w:rPr>
        <w:t xml:space="preserve"> at 9.</w:t>
      </w:r>
    </w:p>
  </w:footnote>
  <w:footnote w:id="93">
    <w:p w14:paraId="11D8D615"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OCA Comments at 41, citing </w:t>
      </w:r>
      <w:r w:rsidRPr="00F1714B">
        <w:rPr>
          <w:i/>
          <w:iCs/>
          <w:sz w:val="22"/>
          <w:szCs w:val="22"/>
        </w:rPr>
        <w:t xml:space="preserve">Altman </w:t>
      </w:r>
      <w:r w:rsidRPr="00F1714B">
        <w:rPr>
          <w:sz w:val="22"/>
          <w:szCs w:val="22"/>
        </w:rPr>
        <w:t xml:space="preserve">at 4, Ordering Paragraph 5.  OCA also notes that the FCC has eliminated the requirement of a “direct notice to retail customers” in copper retirement network transitions.  </w:t>
      </w:r>
      <w:r w:rsidRPr="00F1714B">
        <w:rPr>
          <w:i/>
          <w:iCs/>
          <w:sz w:val="22"/>
          <w:szCs w:val="22"/>
        </w:rPr>
        <w:t>Id.</w:t>
      </w:r>
      <w:r w:rsidRPr="00F1714B">
        <w:rPr>
          <w:sz w:val="22"/>
          <w:szCs w:val="22"/>
        </w:rPr>
        <w:t xml:space="preserve"> at 41, n.79.</w:t>
      </w:r>
    </w:p>
  </w:footnote>
  <w:footnote w:id="94">
    <w:p w14:paraId="4699ADBC"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OCA Comments at 39.</w:t>
      </w:r>
    </w:p>
  </w:footnote>
  <w:footnote w:id="95">
    <w:p w14:paraId="10AAD16D"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w:t>
      </w:r>
    </w:p>
  </w:footnote>
  <w:footnote w:id="96">
    <w:p w14:paraId="04310B0F" w14:textId="77777777" w:rsidR="00F84C00" w:rsidRPr="00F1714B" w:rsidRDefault="00F84C00" w:rsidP="00F1714B">
      <w:pPr>
        <w:tabs>
          <w:tab w:val="left" w:pos="720"/>
          <w:tab w:val="left" w:pos="1440"/>
        </w:tabs>
        <w:rPr>
          <w:rFonts w:cs="Times New Roman"/>
        </w:rPr>
      </w:pPr>
      <w:r w:rsidRPr="00F1714B">
        <w:rPr>
          <w:rStyle w:val="FootnoteReference"/>
          <w:rFonts w:cs="Times New Roman"/>
        </w:rPr>
        <w:footnoteRef/>
      </w:r>
      <w:r w:rsidRPr="00F1714B">
        <w:rPr>
          <w:rFonts w:cs="Times New Roman"/>
        </w:rPr>
        <w:t xml:space="preserve"> </w:t>
      </w:r>
      <w:r w:rsidRPr="00F1714B">
        <w:rPr>
          <w:rFonts w:cs="Times New Roman"/>
          <w:bCs/>
          <w:i/>
        </w:rPr>
        <w:t>Reclassification Order</w:t>
      </w:r>
      <w:r w:rsidRPr="00F1714B">
        <w:rPr>
          <w:rFonts w:cs="Times New Roman"/>
          <w:bCs/>
        </w:rPr>
        <w:t xml:space="preserve"> at 99.</w:t>
      </w:r>
    </w:p>
  </w:footnote>
  <w:footnote w:id="97">
    <w:p w14:paraId="6881E45C"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  </w:t>
      </w:r>
    </w:p>
  </w:footnote>
  <w:footnote w:id="98">
    <w:p w14:paraId="5A229A2D" w14:textId="6DE9A07C" w:rsidR="00F84C00" w:rsidRPr="00F1714B" w:rsidRDefault="00F84C00" w:rsidP="00F1714B">
      <w:pPr>
        <w:pStyle w:val="FootnoteText"/>
      </w:pPr>
      <w:r w:rsidRPr="00F1714B">
        <w:rPr>
          <w:rStyle w:val="FootnoteReference"/>
        </w:rPr>
        <w:footnoteRef/>
      </w:r>
      <w:r w:rsidRPr="00F1714B">
        <w:t xml:space="preserve"> </w:t>
      </w:r>
      <w:r w:rsidRPr="00F1714B">
        <w:rPr>
          <w:rFonts w:cs="Times New Roman"/>
          <w:bCs/>
          <w:i/>
          <w:szCs w:val="26"/>
        </w:rPr>
        <w:t>Reclassification Order</w:t>
      </w:r>
      <w:r w:rsidRPr="00F1714B">
        <w:rPr>
          <w:rFonts w:cs="Times New Roman"/>
          <w:bCs/>
          <w:szCs w:val="26"/>
        </w:rPr>
        <w:t xml:space="preserve"> at 99</w:t>
      </w:r>
      <w:r w:rsidR="000F73EF" w:rsidRPr="00F1714B">
        <w:rPr>
          <w:rFonts w:cs="Times New Roman"/>
          <w:bCs/>
          <w:szCs w:val="26"/>
        </w:rPr>
        <w:t>.</w:t>
      </w:r>
    </w:p>
  </w:footnote>
  <w:footnote w:id="99">
    <w:p w14:paraId="7C819ABE"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w:t>
      </w:r>
    </w:p>
  </w:footnote>
  <w:footnote w:id="100">
    <w:p w14:paraId="131A6888" w14:textId="7EFE8CF0"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 </w:t>
      </w:r>
      <w:r w:rsidRPr="00F1714B">
        <w:rPr>
          <w:rFonts w:cs="Times New Roman"/>
          <w:bCs/>
          <w:i/>
          <w:sz w:val="22"/>
          <w:szCs w:val="22"/>
        </w:rPr>
        <w:t>A</w:t>
      </w:r>
      <w:r w:rsidR="0075729B" w:rsidRPr="00F1714B">
        <w:rPr>
          <w:rFonts w:cs="Times New Roman"/>
          <w:bCs/>
          <w:i/>
          <w:sz w:val="22"/>
          <w:szCs w:val="22"/>
        </w:rPr>
        <w:t>N</w:t>
      </w:r>
      <w:r w:rsidR="00B36EB4" w:rsidRPr="00F1714B">
        <w:rPr>
          <w:rFonts w:cs="Times New Roman"/>
          <w:bCs/>
          <w:i/>
          <w:sz w:val="22"/>
          <w:szCs w:val="22"/>
        </w:rPr>
        <w:t>PRM</w:t>
      </w:r>
      <w:r w:rsidRPr="00F1714B">
        <w:rPr>
          <w:rFonts w:cs="Times New Roman"/>
          <w:bCs/>
          <w:i/>
          <w:sz w:val="22"/>
          <w:szCs w:val="22"/>
        </w:rPr>
        <w:t xml:space="preserve"> Order</w:t>
      </w:r>
      <w:r w:rsidRPr="00F1714B">
        <w:rPr>
          <w:rFonts w:cs="Times New Roman"/>
          <w:bCs/>
          <w:sz w:val="22"/>
          <w:szCs w:val="22"/>
        </w:rPr>
        <w:t xml:space="preserve"> at 19-20.</w:t>
      </w:r>
    </w:p>
  </w:footnote>
  <w:footnote w:id="101">
    <w:p w14:paraId="7728E678"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100-01; </w:t>
      </w:r>
      <w:r w:rsidRPr="00F1714B">
        <w:rPr>
          <w:rFonts w:cs="Times New Roman"/>
          <w:bCs/>
          <w:i/>
          <w:iCs/>
          <w:sz w:val="22"/>
          <w:szCs w:val="22"/>
        </w:rPr>
        <w:t>s</w:t>
      </w:r>
      <w:r w:rsidRPr="00F1714B">
        <w:rPr>
          <w:rFonts w:cs="Times New Roman"/>
          <w:bCs/>
          <w:i/>
          <w:sz w:val="22"/>
          <w:szCs w:val="22"/>
        </w:rPr>
        <w:t xml:space="preserve">ee </w:t>
      </w:r>
      <w:r w:rsidRPr="00F1714B">
        <w:rPr>
          <w:rFonts w:cs="Times New Roman"/>
          <w:bCs/>
          <w:sz w:val="22"/>
          <w:szCs w:val="22"/>
        </w:rPr>
        <w:t>66 Pa.C.S. §§ 308(b)(1) and 701.</w:t>
      </w:r>
    </w:p>
  </w:footnote>
  <w:footnote w:id="102">
    <w:p w14:paraId="771E8B37"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Reclassification Order</w:t>
      </w:r>
      <w:r w:rsidRPr="00F1714B">
        <w:rPr>
          <w:rFonts w:cs="Times New Roman"/>
          <w:bCs/>
          <w:sz w:val="22"/>
          <w:szCs w:val="22"/>
        </w:rPr>
        <w:t xml:space="preserve"> at 99, 144.</w:t>
      </w:r>
    </w:p>
  </w:footnote>
  <w:footnote w:id="103">
    <w:p w14:paraId="69CFC679" w14:textId="62FE9E18"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Joint Petition of Verizon Pennsylvania, Inc. and Verizon North, Inc. for a Waiver of the Commission’s Order Dated May 9, 1997, et al.</w:t>
      </w:r>
      <w:r w:rsidRPr="00F1714B">
        <w:rPr>
          <w:rFonts w:cs="Times New Roman"/>
          <w:bCs/>
          <w:sz w:val="22"/>
          <w:szCs w:val="22"/>
        </w:rPr>
        <w:t>, Docket Nos. I-00940034 and P­00072348 (Tentative Order entered September 24, 2008</w:t>
      </w:r>
      <w:r w:rsidR="001B781E" w:rsidRPr="00F1714B">
        <w:rPr>
          <w:rFonts w:cs="Times New Roman"/>
          <w:bCs/>
          <w:sz w:val="22"/>
          <w:szCs w:val="22"/>
        </w:rPr>
        <w:t xml:space="preserve"> and </w:t>
      </w:r>
      <w:r w:rsidRPr="00F1714B">
        <w:rPr>
          <w:rFonts w:cs="Times New Roman"/>
          <w:bCs/>
          <w:sz w:val="22"/>
          <w:szCs w:val="22"/>
        </w:rPr>
        <w:t xml:space="preserve">Final Order </w:t>
      </w:r>
      <w:r w:rsidR="003544EB" w:rsidRPr="00F1714B">
        <w:rPr>
          <w:rFonts w:cs="Times New Roman"/>
          <w:bCs/>
          <w:sz w:val="22"/>
          <w:szCs w:val="22"/>
        </w:rPr>
        <w:t xml:space="preserve">entered </w:t>
      </w:r>
      <w:r w:rsidRPr="00F1714B">
        <w:rPr>
          <w:rFonts w:cs="Times New Roman"/>
          <w:bCs/>
          <w:sz w:val="22"/>
          <w:szCs w:val="22"/>
        </w:rPr>
        <w:t>October 6, 2008</w:t>
      </w:r>
      <w:r w:rsidR="001B781E" w:rsidRPr="00F1714B">
        <w:rPr>
          <w:rFonts w:cs="Times New Roman"/>
          <w:bCs/>
          <w:sz w:val="22"/>
          <w:szCs w:val="22"/>
        </w:rPr>
        <w:t xml:space="preserve">: </w:t>
      </w:r>
      <w:r w:rsidR="001B781E" w:rsidRPr="00F1714B">
        <w:rPr>
          <w:rFonts w:cs="Times New Roman"/>
          <w:bCs/>
          <w:i/>
          <w:iCs/>
          <w:sz w:val="22"/>
          <w:szCs w:val="22"/>
        </w:rPr>
        <w:t xml:space="preserve">see </w:t>
      </w:r>
      <w:r w:rsidR="003544EB" w:rsidRPr="00F1714B">
        <w:rPr>
          <w:rFonts w:cs="Times New Roman"/>
          <w:bCs/>
          <w:i/>
          <w:iCs/>
          <w:sz w:val="22"/>
          <w:szCs w:val="22"/>
        </w:rPr>
        <w:t>also</w:t>
      </w:r>
      <w:r w:rsidR="003544EB" w:rsidRPr="00F1714B">
        <w:rPr>
          <w:rFonts w:cs="Times New Roman"/>
          <w:bCs/>
          <w:sz w:val="22"/>
          <w:szCs w:val="22"/>
        </w:rPr>
        <w:t xml:space="preserve"> </w:t>
      </w:r>
      <w:r w:rsidRPr="00F1714B">
        <w:rPr>
          <w:rFonts w:cs="Times New Roman"/>
          <w:bCs/>
          <w:sz w:val="22"/>
          <w:szCs w:val="22"/>
        </w:rPr>
        <w:t>Secretarial Letter dated January 22, 2009) (</w:t>
      </w:r>
      <w:r w:rsidRPr="00F1714B">
        <w:rPr>
          <w:rFonts w:cs="Times New Roman"/>
          <w:bCs/>
          <w:i/>
          <w:sz w:val="22"/>
          <w:szCs w:val="22"/>
        </w:rPr>
        <w:t>May 9, 1997</w:t>
      </w:r>
      <w:r w:rsidRPr="00F1714B">
        <w:rPr>
          <w:rFonts w:cs="Times New Roman"/>
          <w:bCs/>
          <w:sz w:val="22"/>
          <w:szCs w:val="22"/>
        </w:rPr>
        <w:t xml:space="preserve"> </w:t>
      </w:r>
      <w:r w:rsidRPr="00F1714B">
        <w:rPr>
          <w:rFonts w:cs="Times New Roman"/>
          <w:bCs/>
          <w:i/>
          <w:sz w:val="22"/>
          <w:szCs w:val="22"/>
        </w:rPr>
        <w:t>Implementation Order</w:t>
      </w:r>
      <w:r w:rsidRPr="00F1714B">
        <w:rPr>
          <w:rFonts w:cs="Times New Roman"/>
          <w:bCs/>
          <w:sz w:val="22"/>
          <w:szCs w:val="22"/>
        </w:rPr>
        <w:t xml:space="preserve">).  </w:t>
      </w:r>
    </w:p>
  </w:footnote>
  <w:footnote w:id="104">
    <w:p w14:paraId="62FDF5C8"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i/>
          <w:iCs/>
          <w:sz w:val="22"/>
          <w:szCs w:val="22"/>
        </w:rPr>
        <w:t xml:space="preserve">RLEC Directory and Toll Presubscription Order </w:t>
      </w:r>
      <w:r w:rsidRPr="00F1714B">
        <w:rPr>
          <w:rFonts w:cs="Times New Roman"/>
          <w:sz w:val="22"/>
          <w:szCs w:val="22"/>
        </w:rPr>
        <w:t>at 10-11.</w:t>
      </w:r>
    </w:p>
  </w:footnote>
  <w:footnote w:id="105">
    <w:p w14:paraId="43CAF417"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rFonts w:cs="Times New Roman"/>
          <w:bCs/>
          <w:i/>
          <w:sz w:val="22"/>
          <w:szCs w:val="22"/>
        </w:rPr>
        <w:t xml:space="preserve">Reclassification Order </w:t>
      </w:r>
      <w:r w:rsidRPr="00F1714B">
        <w:rPr>
          <w:rFonts w:cs="Times New Roman"/>
          <w:bCs/>
          <w:sz w:val="22"/>
          <w:szCs w:val="22"/>
        </w:rPr>
        <w:t xml:space="preserve">at 102.  </w:t>
      </w:r>
    </w:p>
  </w:footnote>
  <w:footnote w:id="106">
    <w:p w14:paraId="5C02E88D"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sz w:val="22"/>
          <w:szCs w:val="22"/>
        </w:rPr>
        <w:t>See Final Implementation Order</w:t>
      </w:r>
      <w:r w:rsidRPr="00F1714B">
        <w:rPr>
          <w:sz w:val="22"/>
          <w:szCs w:val="22"/>
        </w:rPr>
        <w:t xml:space="preserve"> at 32.  </w:t>
      </w:r>
    </w:p>
  </w:footnote>
  <w:footnote w:id="107">
    <w:p w14:paraId="76A04D06" w14:textId="33D3F229"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sz w:val="22"/>
          <w:szCs w:val="22"/>
        </w:rPr>
        <w:t>ANPR</w:t>
      </w:r>
      <w:r w:rsidR="00011950" w:rsidRPr="00F1714B">
        <w:rPr>
          <w:i/>
          <w:sz w:val="22"/>
          <w:szCs w:val="22"/>
        </w:rPr>
        <w:t>M Order</w:t>
      </w:r>
      <w:r w:rsidRPr="00F1714B">
        <w:rPr>
          <w:sz w:val="22"/>
          <w:szCs w:val="22"/>
        </w:rPr>
        <w:t xml:space="preserve"> at 21; </w:t>
      </w:r>
      <w:r w:rsidRPr="00F1714B">
        <w:rPr>
          <w:i/>
          <w:sz w:val="22"/>
          <w:szCs w:val="22"/>
        </w:rPr>
        <w:t>Reclassification Order</w:t>
      </w:r>
      <w:r w:rsidRPr="00F1714B">
        <w:rPr>
          <w:sz w:val="22"/>
          <w:szCs w:val="22"/>
        </w:rPr>
        <w:t xml:space="preserve"> at 103.</w:t>
      </w:r>
    </w:p>
  </w:footnote>
  <w:footnote w:id="108">
    <w:p w14:paraId="7EB7DD48"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iCs/>
          <w:sz w:val="22"/>
          <w:szCs w:val="22"/>
        </w:rPr>
        <w:t>Reclassification Order</w:t>
      </w:r>
      <w:r w:rsidRPr="00F1714B">
        <w:rPr>
          <w:sz w:val="22"/>
          <w:szCs w:val="22"/>
        </w:rPr>
        <w:t xml:space="preserve"> at 22.</w:t>
      </w:r>
    </w:p>
  </w:footnote>
  <w:footnote w:id="109">
    <w:p w14:paraId="6EB107F8" w14:textId="77777777" w:rsidR="00F84C00" w:rsidRPr="00F1714B" w:rsidRDefault="00F84C00" w:rsidP="00F1714B">
      <w:pPr>
        <w:pStyle w:val="FootnoteText"/>
        <w:rPr>
          <w:sz w:val="22"/>
          <w:szCs w:val="22"/>
        </w:rPr>
      </w:pPr>
      <w:r w:rsidRPr="00F1714B">
        <w:rPr>
          <w:rStyle w:val="FootnoteReference"/>
          <w:sz w:val="22"/>
          <w:szCs w:val="22"/>
        </w:rPr>
        <w:footnoteRef/>
      </w:r>
      <w:r w:rsidRPr="00F1714B">
        <w:rPr>
          <w:sz w:val="22"/>
          <w:szCs w:val="22"/>
        </w:rPr>
        <w:t xml:space="preserve"> </w:t>
      </w:r>
      <w:r w:rsidRPr="00F1714B">
        <w:rPr>
          <w:i/>
          <w:sz w:val="22"/>
          <w:szCs w:val="22"/>
        </w:rPr>
        <w:t>Id</w:t>
      </w:r>
      <w:r w:rsidRPr="00F1714B">
        <w:rPr>
          <w:sz w:val="22"/>
          <w:szCs w:val="22"/>
        </w:rPr>
        <w:t>.</w:t>
      </w:r>
    </w:p>
  </w:footnote>
  <w:footnote w:id="110">
    <w:p w14:paraId="00CFE481" w14:textId="77777777" w:rsidR="005E503D" w:rsidRPr="008D0CA5" w:rsidRDefault="005E503D" w:rsidP="00F1714B">
      <w:pPr>
        <w:pStyle w:val="FootnoteText"/>
        <w:rPr>
          <w:rFonts w:cs="Times New Roman"/>
        </w:rPr>
      </w:pPr>
      <w:r w:rsidRPr="00F1714B">
        <w:rPr>
          <w:rStyle w:val="FootnoteReference"/>
        </w:rPr>
        <w:footnoteRef/>
      </w:r>
      <w:r w:rsidRPr="00F1714B">
        <w:rPr>
          <w:rFonts w:cs="Times New Roman"/>
        </w:rPr>
        <w:t xml:space="preserve"> Chapter 30 recognizes that “the regulatory obligations imposed upon the incumbent local exchange telecommunications companies should be reduced to levels more consistent with those imposed upon competing alternative service providers.  66 Pa. C.S. § 3011(13).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05"/>
    <w:multiLevelType w:val="hybridMultilevel"/>
    <w:tmpl w:val="C4CC7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BA5"/>
    <w:multiLevelType w:val="hybridMultilevel"/>
    <w:tmpl w:val="992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3FB1"/>
    <w:multiLevelType w:val="hybridMultilevel"/>
    <w:tmpl w:val="4F10A6B4"/>
    <w:lvl w:ilvl="0" w:tplc="E24880C2">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E0CAB"/>
    <w:multiLevelType w:val="hybridMultilevel"/>
    <w:tmpl w:val="0A023B86"/>
    <w:lvl w:ilvl="0" w:tplc="FE0CC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04210"/>
    <w:multiLevelType w:val="hybridMultilevel"/>
    <w:tmpl w:val="F754F052"/>
    <w:lvl w:ilvl="0" w:tplc="815662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7B166C9"/>
    <w:multiLevelType w:val="hybridMultilevel"/>
    <w:tmpl w:val="3C20EE34"/>
    <w:lvl w:ilvl="0" w:tplc="CEAE904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D62C39"/>
    <w:multiLevelType w:val="hybridMultilevel"/>
    <w:tmpl w:val="FA50779A"/>
    <w:lvl w:ilvl="0" w:tplc="D9DA1C0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952"/>
    <w:multiLevelType w:val="hybridMultilevel"/>
    <w:tmpl w:val="118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236C"/>
    <w:multiLevelType w:val="hybridMultilevel"/>
    <w:tmpl w:val="28F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6274"/>
    <w:multiLevelType w:val="hybridMultilevel"/>
    <w:tmpl w:val="336041E8"/>
    <w:lvl w:ilvl="0" w:tplc="6E2C0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A03925"/>
    <w:multiLevelType w:val="hybridMultilevel"/>
    <w:tmpl w:val="EFB0CD48"/>
    <w:lvl w:ilvl="0" w:tplc="7A06B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FC3AAB"/>
    <w:multiLevelType w:val="hybridMultilevel"/>
    <w:tmpl w:val="71E0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10B8F"/>
    <w:multiLevelType w:val="hybridMultilevel"/>
    <w:tmpl w:val="60AE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D95415"/>
    <w:multiLevelType w:val="hybridMultilevel"/>
    <w:tmpl w:val="CD8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B5581"/>
    <w:multiLevelType w:val="hybridMultilevel"/>
    <w:tmpl w:val="AD1804BC"/>
    <w:lvl w:ilvl="0" w:tplc="643CDEC4">
      <w:start w:val="1"/>
      <w:numFmt w:val="upperRoman"/>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E802FB8"/>
    <w:multiLevelType w:val="hybridMultilevel"/>
    <w:tmpl w:val="090C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E61CC"/>
    <w:multiLevelType w:val="multilevel"/>
    <w:tmpl w:val="19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915141"/>
    <w:multiLevelType w:val="hybridMultilevel"/>
    <w:tmpl w:val="6860939C"/>
    <w:lvl w:ilvl="0" w:tplc="C552898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7D2692"/>
    <w:multiLevelType w:val="hybridMultilevel"/>
    <w:tmpl w:val="F2B8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307098"/>
    <w:multiLevelType w:val="hybridMultilevel"/>
    <w:tmpl w:val="7944B548"/>
    <w:lvl w:ilvl="0" w:tplc="044E8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0D71E9"/>
    <w:multiLevelType w:val="hybridMultilevel"/>
    <w:tmpl w:val="884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B1184"/>
    <w:multiLevelType w:val="hybridMultilevel"/>
    <w:tmpl w:val="2116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80294F"/>
    <w:multiLevelType w:val="hybridMultilevel"/>
    <w:tmpl w:val="7E26F480"/>
    <w:lvl w:ilvl="0" w:tplc="4AA656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6930"/>
        </w:tabs>
        <w:ind w:left="693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9DD5A6B"/>
    <w:multiLevelType w:val="hybridMultilevel"/>
    <w:tmpl w:val="F914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8"/>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5"/>
  </w:num>
  <w:num w:numId="9">
    <w:abstractNumId w:val="16"/>
  </w:num>
  <w:num w:numId="10">
    <w:abstractNumId w:val="18"/>
  </w:num>
  <w:num w:numId="11">
    <w:abstractNumId w:val="21"/>
  </w:num>
  <w:num w:numId="12">
    <w:abstractNumId w:val="9"/>
  </w:num>
  <w:num w:numId="13">
    <w:abstractNumId w:val="1"/>
  </w:num>
  <w:num w:numId="14">
    <w:abstractNumId w:val="2"/>
  </w:num>
  <w:num w:numId="15">
    <w:abstractNumId w:val="13"/>
  </w:num>
  <w:num w:numId="16">
    <w:abstractNumId w:val="22"/>
  </w:num>
  <w:num w:numId="17">
    <w:abstractNumId w:val="4"/>
  </w:num>
  <w:num w:numId="18">
    <w:abstractNumId w:val="5"/>
  </w:num>
  <w:num w:numId="19">
    <w:abstractNumId w:val="3"/>
  </w:num>
  <w:num w:numId="20">
    <w:abstractNumId w:val="11"/>
  </w:num>
  <w:num w:numId="21">
    <w:abstractNumId w:val="10"/>
  </w:num>
  <w:num w:numId="22">
    <w:abstractNumId w:val="20"/>
  </w:num>
  <w:num w:numId="23">
    <w:abstractNumId w:val="17"/>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61"/>
    <w:rsid w:val="0000057D"/>
    <w:rsid w:val="00000639"/>
    <w:rsid w:val="000009FA"/>
    <w:rsid w:val="00000B89"/>
    <w:rsid w:val="00000CBF"/>
    <w:rsid w:val="000015F4"/>
    <w:rsid w:val="00001B50"/>
    <w:rsid w:val="000028F7"/>
    <w:rsid w:val="0000295C"/>
    <w:rsid w:val="00002C96"/>
    <w:rsid w:val="00002D65"/>
    <w:rsid w:val="00002F87"/>
    <w:rsid w:val="000038F9"/>
    <w:rsid w:val="000044BF"/>
    <w:rsid w:val="00004814"/>
    <w:rsid w:val="0000481F"/>
    <w:rsid w:val="00004A2F"/>
    <w:rsid w:val="000052DC"/>
    <w:rsid w:val="0000602C"/>
    <w:rsid w:val="00006672"/>
    <w:rsid w:val="0000669D"/>
    <w:rsid w:val="00006D1B"/>
    <w:rsid w:val="00007276"/>
    <w:rsid w:val="00007C24"/>
    <w:rsid w:val="00010387"/>
    <w:rsid w:val="00011273"/>
    <w:rsid w:val="00011950"/>
    <w:rsid w:val="00011E6D"/>
    <w:rsid w:val="00011FE6"/>
    <w:rsid w:val="0001250C"/>
    <w:rsid w:val="00013338"/>
    <w:rsid w:val="0001352E"/>
    <w:rsid w:val="00013A67"/>
    <w:rsid w:val="00013DB4"/>
    <w:rsid w:val="00014C0A"/>
    <w:rsid w:val="00015537"/>
    <w:rsid w:val="000160ED"/>
    <w:rsid w:val="000162B4"/>
    <w:rsid w:val="00016880"/>
    <w:rsid w:val="00016D31"/>
    <w:rsid w:val="00016ED6"/>
    <w:rsid w:val="00016FCF"/>
    <w:rsid w:val="00017243"/>
    <w:rsid w:val="000172F4"/>
    <w:rsid w:val="0002098A"/>
    <w:rsid w:val="00020FE5"/>
    <w:rsid w:val="00021188"/>
    <w:rsid w:val="0002118F"/>
    <w:rsid w:val="000218EC"/>
    <w:rsid w:val="00021AD9"/>
    <w:rsid w:val="00021CEF"/>
    <w:rsid w:val="000225F6"/>
    <w:rsid w:val="00022A33"/>
    <w:rsid w:val="00022C21"/>
    <w:rsid w:val="000235A2"/>
    <w:rsid w:val="00023B32"/>
    <w:rsid w:val="00023D57"/>
    <w:rsid w:val="00023DA7"/>
    <w:rsid w:val="00023E18"/>
    <w:rsid w:val="00025132"/>
    <w:rsid w:val="00025430"/>
    <w:rsid w:val="0002593C"/>
    <w:rsid w:val="00025A2B"/>
    <w:rsid w:val="00025FF9"/>
    <w:rsid w:val="00027090"/>
    <w:rsid w:val="00027AB0"/>
    <w:rsid w:val="00027B0A"/>
    <w:rsid w:val="00027DDF"/>
    <w:rsid w:val="00027E3E"/>
    <w:rsid w:val="00030A6F"/>
    <w:rsid w:val="000312B5"/>
    <w:rsid w:val="00032C49"/>
    <w:rsid w:val="0003328A"/>
    <w:rsid w:val="00034A0E"/>
    <w:rsid w:val="000353F8"/>
    <w:rsid w:val="00035A37"/>
    <w:rsid w:val="000366B0"/>
    <w:rsid w:val="000366C9"/>
    <w:rsid w:val="00036EFF"/>
    <w:rsid w:val="00037134"/>
    <w:rsid w:val="000371D5"/>
    <w:rsid w:val="00040213"/>
    <w:rsid w:val="0004030D"/>
    <w:rsid w:val="00041BC2"/>
    <w:rsid w:val="00041D49"/>
    <w:rsid w:val="00042033"/>
    <w:rsid w:val="000429DD"/>
    <w:rsid w:val="00042C84"/>
    <w:rsid w:val="0004304A"/>
    <w:rsid w:val="000444CE"/>
    <w:rsid w:val="00044CC6"/>
    <w:rsid w:val="0004521D"/>
    <w:rsid w:val="00045B2D"/>
    <w:rsid w:val="000463BD"/>
    <w:rsid w:val="00046432"/>
    <w:rsid w:val="00046F41"/>
    <w:rsid w:val="0004742C"/>
    <w:rsid w:val="0004788E"/>
    <w:rsid w:val="00047ABE"/>
    <w:rsid w:val="00050CE7"/>
    <w:rsid w:val="00050E40"/>
    <w:rsid w:val="00051211"/>
    <w:rsid w:val="0005141D"/>
    <w:rsid w:val="000514E5"/>
    <w:rsid w:val="000515DD"/>
    <w:rsid w:val="000516E0"/>
    <w:rsid w:val="00051B70"/>
    <w:rsid w:val="00052725"/>
    <w:rsid w:val="000529D1"/>
    <w:rsid w:val="000548F7"/>
    <w:rsid w:val="00054D57"/>
    <w:rsid w:val="00055357"/>
    <w:rsid w:val="0005679D"/>
    <w:rsid w:val="00056847"/>
    <w:rsid w:val="000568EF"/>
    <w:rsid w:val="00057A01"/>
    <w:rsid w:val="00057CA8"/>
    <w:rsid w:val="000600E4"/>
    <w:rsid w:val="00060459"/>
    <w:rsid w:val="00060D5E"/>
    <w:rsid w:val="00060E9E"/>
    <w:rsid w:val="00060FBA"/>
    <w:rsid w:val="00062122"/>
    <w:rsid w:val="00062EF8"/>
    <w:rsid w:val="00063165"/>
    <w:rsid w:val="0006335D"/>
    <w:rsid w:val="00063442"/>
    <w:rsid w:val="00063600"/>
    <w:rsid w:val="00064E48"/>
    <w:rsid w:val="00064F0D"/>
    <w:rsid w:val="00064FF9"/>
    <w:rsid w:val="000651C3"/>
    <w:rsid w:val="00065221"/>
    <w:rsid w:val="00065E68"/>
    <w:rsid w:val="0006666D"/>
    <w:rsid w:val="000667F3"/>
    <w:rsid w:val="00066CC4"/>
    <w:rsid w:val="00067568"/>
    <w:rsid w:val="00067B3A"/>
    <w:rsid w:val="00070994"/>
    <w:rsid w:val="000714D1"/>
    <w:rsid w:val="00071757"/>
    <w:rsid w:val="00071D79"/>
    <w:rsid w:val="00072661"/>
    <w:rsid w:val="00072738"/>
    <w:rsid w:val="000731FB"/>
    <w:rsid w:val="00073479"/>
    <w:rsid w:val="00073789"/>
    <w:rsid w:val="00073955"/>
    <w:rsid w:val="00073A04"/>
    <w:rsid w:val="00073AB0"/>
    <w:rsid w:val="00073B35"/>
    <w:rsid w:val="00073D49"/>
    <w:rsid w:val="00074678"/>
    <w:rsid w:val="000746E5"/>
    <w:rsid w:val="0007490B"/>
    <w:rsid w:val="00074D55"/>
    <w:rsid w:val="00074EBA"/>
    <w:rsid w:val="00074F07"/>
    <w:rsid w:val="0007501B"/>
    <w:rsid w:val="000756EB"/>
    <w:rsid w:val="000762B7"/>
    <w:rsid w:val="00076402"/>
    <w:rsid w:val="00076493"/>
    <w:rsid w:val="000765CF"/>
    <w:rsid w:val="00076C46"/>
    <w:rsid w:val="0007784A"/>
    <w:rsid w:val="000779D4"/>
    <w:rsid w:val="00077F71"/>
    <w:rsid w:val="000800C1"/>
    <w:rsid w:val="000803F4"/>
    <w:rsid w:val="000804FA"/>
    <w:rsid w:val="00080C2A"/>
    <w:rsid w:val="00080DD8"/>
    <w:rsid w:val="00081487"/>
    <w:rsid w:val="0008195B"/>
    <w:rsid w:val="00081B0C"/>
    <w:rsid w:val="00084911"/>
    <w:rsid w:val="00084F6C"/>
    <w:rsid w:val="0008527A"/>
    <w:rsid w:val="000857CF"/>
    <w:rsid w:val="00085BC4"/>
    <w:rsid w:val="00085CF3"/>
    <w:rsid w:val="000866F0"/>
    <w:rsid w:val="000869F4"/>
    <w:rsid w:val="00087F11"/>
    <w:rsid w:val="00090432"/>
    <w:rsid w:val="00090473"/>
    <w:rsid w:val="0009054E"/>
    <w:rsid w:val="000908EB"/>
    <w:rsid w:val="00090F2D"/>
    <w:rsid w:val="00091214"/>
    <w:rsid w:val="00091265"/>
    <w:rsid w:val="000913F1"/>
    <w:rsid w:val="00091413"/>
    <w:rsid w:val="00091C17"/>
    <w:rsid w:val="000937E9"/>
    <w:rsid w:val="00093D7A"/>
    <w:rsid w:val="00094475"/>
    <w:rsid w:val="00094486"/>
    <w:rsid w:val="000947BD"/>
    <w:rsid w:val="000952A8"/>
    <w:rsid w:val="000953F0"/>
    <w:rsid w:val="00095A13"/>
    <w:rsid w:val="00096162"/>
    <w:rsid w:val="00096647"/>
    <w:rsid w:val="000968B0"/>
    <w:rsid w:val="00096D76"/>
    <w:rsid w:val="00097908"/>
    <w:rsid w:val="000A0C0F"/>
    <w:rsid w:val="000A1400"/>
    <w:rsid w:val="000A1AC6"/>
    <w:rsid w:val="000A1B6F"/>
    <w:rsid w:val="000A1B83"/>
    <w:rsid w:val="000A1EEE"/>
    <w:rsid w:val="000A29B0"/>
    <w:rsid w:val="000A2C71"/>
    <w:rsid w:val="000A33F7"/>
    <w:rsid w:val="000A3481"/>
    <w:rsid w:val="000A42CE"/>
    <w:rsid w:val="000A4B83"/>
    <w:rsid w:val="000A5491"/>
    <w:rsid w:val="000A551D"/>
    <w:rsid w:val="000A588E"/>
    <w:rsid w:val="000A5D06"/>
    <w:rsid w:val="000A6244"/>
    <w:rsid w:val="000A6864"/>
    <w:rsid w:val="000A6A37"/>
    <w:rsid w:val="000A6BF3"/>
    <w:rsid w:val="000A7979"/>
    <w:rsid w:val="000A7B5B"/>
    <w:rsid w:val="000A7C6A"/>
    <w:rsid w:val="000B1DCC"/>
    <w:rsid w:val="000B234A"/>
    <w:rsid w:val="000B24B4"/>
    <w:rsid w:val="000B282C"/>
    <w:rsid w:val="000B2F63"/>
    <w:rsid w:val="000B3A31"/>
    <w:rsid w:val="000B438C"/>
    <w:rsid w:val="000B4A75"/>
    <w:rsid w:val="000B4BD6"/>
    <w:rsid w:val="000B5733"/>
    <w:rsid w:val="000B5914"/>
    <w:rsid w:val="000B643E"/>
    <w:rsid w:val="000B685D"/>
    <w:rsid w:val="000B694A"/>
    <w:rsid w:val="000B6AE6"/>
    <w:rsid w:val="000B6D0C"/>
    <w:rsid w:val="000B7100"/>
    <w:rsid w:val="000B7390"/>
    <w:rsid w:val="000B7D22"/>
    <w:rsid w:val="000C010A"/>
    <w:rsid w:val="000C0161"/>
    <w:rsid w:val="000C10F6"/>
    <w:rsid w:val="000C18E7"/>
    <w:rsid w:val="000C19F0"/>
    <w:rsid w:val="000C1A1E"/>
    <w:rsid w:val="000C21B2"/>
    <w:rsid w:val="000C24CA"/>
    <w:rsid w:val="000C30B0"/>
    <w:rsid w:val="000C323E"/>
    <w:rsid w:val="000C3E97"/>
    <w:rsid w:val="000C4417"/>
    <w:rsid w:val="000C4632"/>
    <w:rsid w:val="000C474B"/>
    <w:rsid w:val="000C4FD3"/>
    <w:rsid w:val="000C5409"/>
    <w:rsid w:val="000C5CB2"/>
    <w:rsid w:val="000C6085"/>
    <w:rsid w:val="000C6A8C"/>
    <w:rsid w:val="000C6E93"/>
    <w:rsid w:val="000C6F00"/>
    <w:rsid w:val="000C73DD"/>
    <w:rsid w:val="000C7769"/>
    <w:rsid w:val="000C7A5C"/>
    <w:rsid w:val="000C7DC5"/>
    <w:rsid w:val="000D05C3"/>
    <w:rsid w:val="000D0D41"/>
    <w:rsid w:val="000D0D48"/>
    <w:rsid w:val="000D1C75"/>
    <w:rsid w:val="000D1FCB"/>
    <w:rsid w:val="000D2166"/>
    <w:rsid w:val="000D3291"/>
    <w:rsid w:val="000D3616"/>
    <w:rsid w:val="000D38B8"/>
    <w:rsid w:val="000D4079"/>
    <w:rsid w:val="000D5412"/>
    <w:rsid w:val="000D5C6A"/>
    <w:rsid w:val="000D5DE9"/>
    <w:rsid w:val="000D6A05"/>
    <w:rsid w:val="000D6BE4"/>
    <w:rsid w:val="000E0035"/>
    <w:rsid w:val="000E0382"/>
    <w:rsid w:val="000E0ED0"/>
    <w:rsid w:val="000E12CF"/>
    <w:rsid w:val="000E138A"/>
    <w:rsid w:val="000E1564"/>
    <w:rsid w:val="000E2455"/>
    <w:rsid w:val="000E2EB7"/>
    <w:rsid w:val="000E41F1"/>
    <w:rsid w:val="000E4451"/>
    <w:rsid w:val="000E4B0B"/>
    <w:rsid w:val="000E51E0"/>
    <w:rsid w:val="000E54AB"/>
    <w:rsid w:val="000E5A0E"/>
    <w:rsid w:val="000E5C92"/>
    <w:rsid w:val="000E5E9F"/>
    <w:rsid w:val="000E61E4"/>
    <w:rsid w:val="000E65D8"/>
    <w:rsid w:val="000E681B"/>
    <w:rsid w:val="000E7373"/>
    <w:rsid w:val="000E73D5"/>
    <w:rsid w:val="000E7A3E"/>
    <w:rsid w:val="000E7E54"/>
    <w:rsid w:val="000F0449"/>
    <w:rsid w:val="000F0C90"/>
    <w:rsid w:val="000F12F8"/>
    <w:rsid w:val="000F1418"/>
    <w:rsid w:val="000F1423"/>
    <w:rsid w:val="000F1737"/>
    <w:rsid w:val="000F195B"/>
    <w:rsid w:val="000F1ED7"/>
    <w:rsid w:val="000F2267"/>
    <w:rsid w:val="000F2730"/>
    <w:rsid w:val="000F2B6D"/>
    <w:rsid w:val="000F2E3E"/>
    <w:rsid w:val="000F34C8"/>
    <w:rsid w:val="000F4641"/>
    <w:rsid w:val="000F4804"/>
    <w:rsid w:val="000F4BAF"/>
    <w:rsid w:val="000F528C"/>
    <w:rsid w:val="000F54CB"/>
    <w:rsid w:val="000F5894"/>
    <w:rsid w:val="000F5D90"/>
    <w:rsid w:val="000F6367"/>
    <w:rsid w:val="000F699A"/>
    <w:rsid w:val="000F6C38"/>
    <w:rsid w:val="000F73EF"/>
    <w:rsid w:val="000F768A"/>
    <w:rsid w:val="000F7CDB"/>
    <w:rsid w:val="0010049A"/>
    <w:rsid w:val="001004FE"/>
    <w:rsid w:val="001008B0"/>
    <w:rsid w:val="00100A83"/>
    <w:rsid w:val="00100D13"/>
    <w:rsid w:val="001011AE"/>
    <w:rsid w:val="001020C2"/>
    <w:rsid w:val="001026F2"/>
    <w:rsid w:val="00102C9B"/>
    <w:rsid w:val="0010394D"/>
    <w:rsid w:val="001048A8"/>
    <w:rsid w:val="00104AA4"/>
    <w:rsid w:val="001063C6"/>
    <w:rsid w:val="0010687C"/>
    <w:rsid w:val="0011067C"/>
    <w:rsid w:val="00110CD5"/>
    <w:rsid w:val="001114C3"/>
    <w:rsid w:val="00111712"/>
    <w:rsid w:val="00111C34"/>
    <w:rsid w:val="00112383"/>
    <w:rsid w:val="001129CF"/>
    <w:rsid w:val="00112A40"/>
    <w:rsid w:val="001132FF"/>
    <w:rsid w:val="0011354E"/>
    <w:rsid w:val="00113C62"/>
    <w:rsid w:val="00113EAB"/>
    <w:rsid w:val="0011431E"/>
    <w:rsid w:val="00114860"/>
    <w:rsid w:val="00114C63"/>
    <w:rsid w:val="001150D5"/>
    <w:rsid w:val="00115EC0"/>
    <w:rsid w:val="00115F87"/>
    <w:rsid w:val="00116420"/>
    <w:rsid w:val="00117692"/>
    <w:rsid w:val="001178DC"/>
    <w:rsid w:val="00120D99"/>
    <w:rsid w:val="0012100A"/>
    <w:rsid w:val="001211FA"/>
    <w:rsid w:val="001213BA"/>
    <w:rsid w:val="0012233C"/>
    <w:rsid w:val="00122B6A"/>
    <w:rsid w:val="00122F98"/>
    <w:rsid w:val="00123571"/>
    <w:rsid w:val="001236B3"/>
    <w:rsid w:val="001239EA"/>
    <w:rsid w:val="00124668"/>
    <w:rsid w:val="00125422"/>
    <w:rsid w:val="00125698"/>
    <w:rsid w:val="00125D0F"/>
    <w:rsid w:val="001274CB"/>
    <w:rsid w:val="001277EC"/>
    <w:rsid w:val="00127C86"/>
    <w:rsid w:val="0013027F"/>
    <w:rsid w:val="0013173B"/>
    <w:rsid w:val="00131815"/>
    <w:rsid w:val="00131B7F"/>
    <w:rsid w:val="00131F5E"/>
    <w:rsid w:val="00131FDA"/>
    <w:rsid w:val="00132806"/>
    <w:rsid w:val="00132BCD"/>
    <w:rsid w:val="00133575"/>
    <w:rsid w:val="00133F59"/>
    <w:rsid w:val="001342EB"/>
    <w:rsid w:val="001342FA"/>
    <w:rsid w:val="001343CD"/>
    <w:rsid w:val="00134E47"/>
    <w:rsid w:val="0013597C"/>
    <w:rsid w:val="00135DB5"/>
    <w:rsid w:val="001400C8"/>
    <w:rsid w:val="001411B2"/>
    <w:rsid w:val="0014202A"/>
    <w:rsid w:val="001439E3"/>
    <w:rsid w:val="00143F80"/>
    <w:rsid w:val="00144162"/>
    <w:rsid w:val="00144D53"/>
    <w:rsid w:val="00144FF6"/>
    <w:rsid w:val="0014557E"/>
    <w:rsid w:val="001458D8"/>
    <w:rsid w:val="00146910"/>
    <w:rsid w:val="00146A2F"/>
    <w:rsid w:val="00147D00"/>
    <w:rsid w:val="00147DEC"/>
    <w:rsid w:val="00150A78"/>
    <w:rsid w:val="00150F83"/>
    <w:rsid w:val="00151251"/>
    <w:rsid w:val="001512A6"/>
    <w:rsid w:val="00151311"/>
    <w:rsid w:val="0015194B"/>
    <w:rsid w:val="00151D29"/>
    <w:rsid w:val="00151DB0"/>
    <w:rsid w:val="00152CDB"/>
    <w:rsid w:val="00153C83"/>
    <w:rsid w:val="00153FD0"/>
    <w:rsid w:val="00153FD3"/>
    <w:rsid w:val="00154801"/>
    <w:rsid w:val="00154E5C"/>
    <w:rsid w:val="00155319"/>
    <w:rsid w:val="001554AE"/>
    <w:rsid w:val="00155879"/>
    <w:rsid w:val="00156696"/>
    <w:rsid w:val="00156B41"/>
    <w:rsid w:val="0015739E"/>
    <w:rsid w:val="0015748D"/>
    <w:rsid w:val="0015793C"/>
    <w:rsid w:val="001579CD"/>
    <w:rsid w:val="00157AA3"/>
    <w:rsid w:val="00157E59"/>
    <w:rsid w:val="00160231"/>
    <w:rsid w:val="001604F5"/>
    <w:rsid w:val="0016072E"/>
    <w:rsid w:val="001610DE"/>
    <w:rsid w:val="00161551"/>
    <w:rsid w:val="001624F8"/>
    <w:rsid w:val="001626E7"/>
    <w:rsid w:val="00162915"/>
    <w:rsid w:val="001629A6"/>
    <w:rsid w:val="00162D3D"/>
    <w:rsid w:val="001630CA"/>
    <w:rsid w:val="00163C22"/>
    <w:rsid w:val="00163EAA"/>
    <w:rsid w:val="001651E6"/>
    <w:rsid w:val="00165270"/>
    <w:rsid w:val="00165419"/>
    <w:rsid w:val="0016589F"/>
    <w:rsid w:val="001677E3"/>
    <w:rsid w:val="001679A6"/>
    <w:rsid w:val="00167E00"/>
    <w:rsid w:val="00170011"/>
    <w:rsid w:val="001711C7"/>
    <w:rsid w:val="00171FD4"/>
    <w:rsid w:val="001722AA"/>
    <w:rsid w:val="0017234B"/>
    <w:rsid w:val="0017298A"/>
    <w:rsid w:val="00172C45"/>
    <w:rsid w:val="00172D14"/>
    <w:rsid w:val="0017302E"/>
    <w:rsid w:val="00173041"/>
    <w:rsid w:val="00173A5E"/>
    <w:rsid w:val="00174396"/>
    <w:rsid w:val="0017477C"/>
    <w:rsid w:val="00174806"/>
    <w:rsid w:val="00174CAC"/>
    <w:rsid w:val="001759E4"/>
    <w:rsid w:val="00175DAD"/>
    <w:rsid w:val="00175DD9"/>
    <w:rsid w:val="00175FA1"/>
    <w:rsid w:val="001762B6"/>
    <w:rsid w:val="00177001"/>
    <w:rsid w:val="001773B9"/>
    <w:rsid w:val="0017756B"/>
    <w:rsid w:val="00177A9F"/>
    <w:rsid w:val="00180204"/>
    <w:rsid w:val="00180583"/>
    <w:rsid w:val="00182124"/>
    <w:rsid w:val="00182A9D"/>
    <w:rsid w:val="00182AFF"/>
    <w:rsid w:val="00183437"/>
    <w:rsid w:val="00183942"/>
    <w:rsid w:val="00183A78"/>
    <w:rsid w:val="00184076"/>
    <w:rsid w:val="00184094"/>
    <w:rsid w:val="00184B48"/>
    <w:rsid w:val="00184BEA"/>
    <w:rsid w:val="00185DD8"/>
    <w:rsid w:val="001860B6"/>
    <w:rsid w:val="001862DC"/>
    <w:rsid w:val="00186793"/>
    <w:rsid w:val="00186F9C"/>
    <w:rsid w:val="001870CD"/>
    <w:rsid w:val="001876B9"/>
    <w:rsid w:val="00191966"/>
    <w:rsid w:val="00192544"/>
    <w:rsid w:val="00192641"/>
    <w:rsid w:val="001929DE"/>
    <w:rsid w:val="00192E09"/>
    <w:rsid w:val="00193643"/>
    <w:rsid w:val="00194BBF"/>
    <w:rsid w:val="0019558E"/>
    <w:rsid w:val="00195A7F"/>
    <w:rsid w:val="00196005"/>
    <w:rsid w:val="00196402"/>
    <w:rsid w:val="001965DB"/>
    <w:rsid w:val="0019671C"/>
    <w:rsid w:val="00196A35"/>
    <w:rsid w:val="00196C08"/>
    <w:rsid w:val="00196C4B"/>
    <w:rsid w:val="0019791D"/>
    <w:rsid w:val="001A006C"/>
    <w:rsid w:val="001A0290"/>
    <w:rsid w:val="001A0A96"/>
    <w:rsid w:val="001A0C83"/>
    <w:rsid w:val="001A0FCA"/>
    <w:rsid w:val="001A1573"/>
    <w:rsid w:val="001A216B"/>
    <w:rsid w:val="001A284F"/>
    <w:rsid w:val="001A2A7E"/>
    <w:rsid w:val="001A2B66"/>
    <w:rsid w:val="001A305A"/>
    <w:rsid w:val="001A3432"/>
    <w:rsid w:val="001A389F"/>
    <w:rsid w:val="001A3B10"/>
    <w:rsid w:val="001A3BC2"/>
    <w:rsid w:val="001A3C85"/>
    <w:rsid w:val="001A444D"/>
    <w:rsid w:val="001A4859"/>
    <w:rsid w:val="001A4FE9"/>
    <w:rsid w:val="001A57E2"/>
    <w:rsid w:val="001A5DF4"/>
    <w:rsid w:val="001A767E"/>
    <w:rsid w:val="001A789F"/>
    <w:rsid w:val="001A78AE"/>
    <w:rsid w:val="001A7AF9"/>
    <w:rsid w:val="001A7E01"/>
    <w:rsid w:val="001A7F14"/>
    <w:rsid w:val="001B02AB"/>
    <w:rsid w:val="001B09DE"/>
    <w:rsid w:val="001B13E4"/>
    <w:rsid w:val="001B150A"/>
    <w:rsid w:val="001B16FE"/>
    <w:rsid w:val="001B1C8E"/>
    <w:rsid w:val="001B1F56"/>
    <w:rsid w:val="001B2535"/>
    <w:rsid w:val="001B3461"/>
    <w:rsid w:val="001B34BC"/>
    <w:rsid w:val="001B3CB7"/>
    <w:rsid w:val="001B452D"/>
    <w:rsid w:val="001B4A5C"/>
    <w:rsid w:val="001B4B62"/>
    <w:rsid w:val="001B4DC8"/>
    <w:rsid w:val="001B4F60"/>
    <w:rsid w:val="001B535C"/>
    <w:rsid w:val="001B5B3E"/>
    <w:rsid w:val="001B5B7D"/>
    <w:rsid w:val="001B5BF3"/>
    <w:rsid w:val="001B5E98"/>
    <w:rsid w:val="001B63B1"/>
    <w:rsid w:val="001B6521"/>
    <w:rsid w:val="001B6C06"/>
    <w:rsid w:val="001B781E"/>
    <w:rsid w:val="001B7B16"/>
    <w:rsid w:val="001C01B9"/>
    <w:rsid w:val="001C095C"/>
    <w:rsid w:val="001C09CF"/>
    <w:rsid w:val="001C10F9"/>
    <w:rsid w:val="001C1161"/>
    <w:rsid w:val="001C11FC"/>
    <w:rsid w:val="001C12F1"/>
    <w:rsid w:val="001C19B9"/>
    <w:rsid w:val="001C2069"/>
    <w:rsid w:val="001C2AF0"/>
    <w:rsid w:val="001C2F6A"/>
    <w:rsid w:val="001C3F4A"/>
    <w:rsid w:val="001C4161"/>
    <w:rsid w:val="001C443D"/>
    <w:rsid w:val="001C49A9"/>
    <w:rsid w:val="001C4DEA"/>
    <w:rsid w:val="001C4FE0"/>
    <w:rsid w:val="001C59CF"/>
    <w:rsid w:val="001C5CD1"/>
    <w:rsid w:val="001C61ED"/>
    <w:rsid w:val="001C66B3"/>
    <w:rsid w:val="001C6C05"/>
    <w:rsid w:val="001C6D9B"/>
    <w:rsid w:val="001C79BE"/>
    <w:rsid w:val="001C79FC"/>
    <w:rsid w:val="001C7AF8"/>
    <w:rsid w:val="001D03DF"/>
    <w:rsid w:val="001D076B"/>
    <w:rsid w:val="001D16B3"/>
    <w:rsid w:val="001D1D63"/>
    <w:rsid w:val="001D2120"/>
    <w:rsid w:val="001D3129"/>
    <w:rsid w:val="001D381E"/>
    <w:rsid w:val="001D3991"/>
    <w:rsid w:val="001D4409"/>
    <w:rsid w:val="001D47E7"/>
    <w:rsid w:val="001D4A14"/>
    <w:rsid w:val="001D5555"/>
    <w:rsid w:val="001D58C8"/>
    <w:rsid w:val="001D5BE4"/>
    <w:rsid w:val="001D61AE"/>
    <w:rsid w:val="001D6222"/>
    <w:rsid w:val="001D6360"/>
    <w:rsid w:val="001D6C9A"/>
    <w:rsid w:val="001D6EA0"/>
    <w:rsid w:val="001D7B80"/>
    <w:rsid w:val="001D7E07"/>
    <w:rsid w:val="001E036F"/>
    <w:rsid w:val="001E0B27"/>
    <w:rsid w:val="001E0FA1"/>
    <w:rsid w:val="001E1620"/>
    <w:rsid w:val="001E1AE7"/>
    <w:rsid w:val="001E2AC0"/>
    <w:rsid w:val="001E2F24"/>
    <w:rsid w:val="001E32FE"/>
    <w:rsid w:val="001E3569"/>
    <w:rsid w:val="001E361D"/>
    <w:rsid w:val="001E3B1A"/>
    <w:rsid w:val="001E4A66"/>
    <w:rsid w:val="001E5F60"/>
    <w:rsid w:val="001E74FE"/>
    <w:rsid w:val="001E7E75"/>
    <w:rsid w:val="001F0969"/>
    <w:rsid w:val="001F0DCA"/>
    <w:rsid w:val="001F0E5C"/>
    <w:rsid w:val="001F1506"/>
    <w:rsid w:val="001F2CE6"/>
    <w:rsid w:val="001F2DA8"/>
    <w:rsid w:val="001F3165"/>
    <w:rsid w:val="001F3CC2"/>
    <w:rsid w:val="001F3FE7"/>
    <w:rsid w:val="001F4271"/>
    <w:rsid w:val="001F45FB"/>
    <w:rsid w:val="001F4BBC"/>
    <w:rsid w:val="001F4C8A"/>
    <w:rsid w:val="001F4D23"/>
    <w:rsid w:val="001F641B"/>
    <w:rsid w:val="001F64FC"/>
    <w:rsid w:val="001F69B3"/>
    <w:rsid w:val="001F6BC3"/>
    <w:rsid w:val="001F7A8E"/>
    <w:rsid w:val="0020054A"/>
    <w:rsid w:val="002006F6"/>
    <w:rsid w:val="0020103D"/>
    <w:rsid w:val="00201434"/>
    <w:rsid w:val="00201988"/>
    <w:rsid w:val="002024E7"/>
    <w:rsid w:val="002025CA"/>
    <w:rsid w:val="00202C47"/>
    <w:rsid w:val="0020316E"/>
    <w:rsid w:val="00203432"/>
    <w:rsid w:val="00203631"/>
    <w:rsid w:val="0020401A"/>
    <w:rsid w:val="00204A36"/>
    <w:rsid w:val="00204AB0"/>
    <w:rsid w:val="002050A2"/>
    <w:rsid w:val="00205A46"/>
    <w:rsid w:val="0021047D"/>
    <w:rsid w:val="00210774"/>
    <w:rsid w:val="00210B1B"/>
    <w:rsid w:val="0021222A"/>
    <w:rsid w:val="00212B30"/>
    <w:rsid w:val="00212C61"/>
    <w:rsid w:val="00213686"/>
    <w:rsid w:val="0021368C"/>
    <w:rsid w:val="00213C65"/>
    <w:rsid w:val="00214474"/>
    <w:rsid w:val="00214854"/>
    <w:rsid w:val="002148FD"/>
    <w:rsid w:val="00214F9A"/>
    <w:rsid w:val="00215913"/>
    <w:rsid w:val="00215B65"/>
    <w:rsid w:val="00215F3A"/>
    <w:rsid w:val="00216714"/>
    <w:rsid w:val="00216B0A"/>
    <w:rsid w:val="00216C2D"/>
    <w:rsid w:val="00216E48"/>
    <w:rsid w:val="00217690"/>
    <w:rsid w:val="00217E55"/>
    <w:rsid w:val="002203F9"/>
    <w:rsid w:val="002206C9"/>
    <w:rsid w:val="00220ADF"/>
    <w:rsid w:val="00222B6F"/>
    <w:rsid w:val="00222EDF"/>
    <w:rsid w:val="002236C1"/>
    <w:rsid w:val="00223A91"/>
    <w:rsid w:val="00223E86"/>
    <w:rsid w:val="00223E93"/>
    <w:rsid w:val="00224339"/>
    <w:rsid w:val="002245BB"/>
    <w:rsid w:val="0022463C"/>
    <w:rsid w:val="0022497C"/>
    <w:rsid w:val="00224B07"/>
    <w:rsid w:val="00224B44"/>
    <w:rsid w:val="00224F97"/>
    <w:rsid w:val="002253B0"/>
    <w:rsid w:val="00225640"/>
    <w:rsid w:val="00225A3E"/>
    <w:rsid w:val="00225CC2"/>
    <w:rsid w:val="002262E5"/>
    <w:rsid w:val="002267AE"/>
    <w:rsid w:val="002271C1"/>
    <w:rsid w:val="00227B32"/>
    <w:rsid w:val="002304AE"/>
    <w:rsid w:val="002307A4"/>
    <w:rsid w:val="00230805"/>
    <w:rsid w:val="00230996"/>
    <w:rsid w:val="0023147C"/>
    <w:rsid w:val="00231905"/>
    <w:rsid w:val="00231969"/>
    <w:rsid w:val="00232258"/>
    <w:rsid w:val="002322F7"/>
    <w:rsid w:val="0023252A"/>
    <w:rsid w:val="00232AE9"/>
    <w:rsid w:val="00232B23"/>
    <w:rsid w:val="00232E87"/>
    <w:rsid w:val="00233184"/>
    <w:rsid w:val="00233476"/>
    <w:rsid w:val="0023381D"/>
    <w:rsid w:val="002338E4"/>
    <w:rsid w:val="00233C0B"/>
    <w:rsid w:val="002343EA"/>
    <w:rsid w:val="002344A9"/>
    <w:rsid w:val="00235111"/>
    <w:rsid w:val="00235A37"/>
    <w:rsid w:val="0023646A"/>
    <w:rsid w:val="00236683"/>
    <w:rsid w:val="002409D8"/>
    <w:rsid w:val="00240AC0"/>
    <w:rsid w:val="00240ED1"/>
    <w:rsid w:val="00241D16"/>
    <w:rsid w:val="00241FDF"/>
    <w:rsid w:val="00242A4E"/>
    <w:rsid w:val="00243D30"/>
    <w:rsid w:val="0024482A"/>
    <w:rsid w:val="00244883"/>
    <w:rsid w:val="00245573"/>
    <w:rsid w:val="002459B7"/>
    <w:rsid w:val="00245A8E"/>
    <w:rsid w:val="0024695A"/>
    <w:rsid w:val="00246B96"/>
    <w:rsid w:val="00247025"/>
    <w:rsid w:val="00247479"/>
    <w:rsid w:val="00247B52"/>
    <w:rsid w:val="002503A5"/>
    <w:rsid w:val="0025078A"/>
    <w:rsid w:val="00250A11"/>
    <w:rsid w:val="00250A34"/>
    <w:rsid w:val="002510AB"/>
    <w:rsid w:val="002516F2"/>
    <w:rsid w:val="0025172E"/>
    <w:rsid w:val="00251A9A"/>
    <w:rsid w:val="00251D89"/>
    <w:rsid w:val="00251F46"/>
    <w:rsid w:val="002520A6"/>
    <w:rsid w:val="0025233B"/>
    <w:rsid w:val="0025397F"/>
    <w:rsid w:val="00253C71"/>
    <w:rsid w:val="00254324"/>
    <w:rsid w:val="00255541"/>
    <w:rsid w:val="002555A8"/>
    <w:rsid w:val="00255EBC"/>
    <w:rsid w:val="002565EE"/>
    <w:rsid w:val="002570CE"/>
    <w:rsid w:val="00257331"/>
    <w:rsid w:val="002575FE"/>
    <w:rsid w:val="00257DC4"/>
    <w:rsid w:val="00257E26"/>
    <w:rsid w:val="0026000E"/>
    <w:rsid w:val="0026082A"/>
    <w:rsid w:val="002609E2"/>
    <w:rsid w:val="00261373"/>
    <w:rsid w:val="00261481"/>
    <w:rsid w:val="00262275"/>
    <w:rsid w:val="00262705"/>
    <w:rsid w:val="00262765"/>
    <w:rsid w:val="00262816"/>
    <w:rsid w:val="0026376D"/>
    <w:rsid w:val="00263CEA"/>
    <w:rsid w:val="0026462F"/>
    <w:rsid w:val="00264A81"/>
    <w:rsid w:val="00264E7D"/>
    <w:rsid w:val="0026632F"/>
    <w:rsid w:val="002672D9"/>
    <w:rsid w:val="0026731D"/>
    <w:rsid w:val="002678D8"/>
    <w:rsid w:val="00267A55"/>
    <w:rsid w:val="002704D1"/>
    <w:rsid w:val="00270B80"/>
    <w:rsid w:val="00271145"/>
    <w:rsid w:val="00271288"/>
    <w:rsid w:val="00271DA0"/>
    <w:rsid w:val="002727D3"/>
    <w:rsid w:val="00272A19"/>
    <w:rsid w:val="00272B83"/>
    <w:rsid w:val="00272EB3"/>
    <w:rsid w:val="00273FBE"/>
    <w:rsid w:val="002740A6"/>
    <w:rsid w:val="00274525"/>
    <w:rsid w:val="00274740"/>
    <w:rsid w:val="00274EA5"/>
    <w:rsid w:val="00274EC9"/>
    <w:rsid w:val="0027626F"/>
    <w:rsid w:val="002762F3"/>
    <w:rsid w:val="00276E7F"/>
    <w:rsid w:val="00276EF2"/>
    <w:rsid w:val="00277532"/>
    <w:rsid w:val="002801A7"/>
    <w:rsid w:val="002804DC"/>
    <w:rsid w:val="002805CF"/>
    <w:rsid w:val="00280670"/>
    <w:rsid w:val="002808D1"/>
    <w:rsid w:val="002811CB"/>
    <w:rsid w:val="0028134C"/>
    <w:rsid w:val="00281CF4"/>
    <w:rsid w:val="00281D53"/>
    <w:rsid w:val="00282003"/>
    <w:rsid w:val="00282368"/>
    <w:rsid w:val="002823DB"/>
    <w:rsid w:val="00282696"/>
    <w:rsid w:val="00282792"/>
    <w:rsid w:val="00283060"/>
    <w:rsid w:val="00283414"/>
    <w:rsid w:val="00284807"/>
    <w:rsid w:val="00284EB6"/>
    <w:rsid w:val="00285203"/>
    <w:rsid w:val="002858F1"/>
    <w:rsid w:val="002865AB"/>
    <w:rsid w:val="002866E2"/>
    <w:rsid w:val="00286F0B"/>
    <w:rsid w:val="002873B4"/>
    <w:rsid w:val="002908F4"/>
    <w:rsid w:val="00290A63"/>
    <w:rsid w:val="00290C52"/>
    <w:rsid w:val="002911CA"/>
    <w:rsid w:val="0029149C"/>
    <w:rsid w:val="00291DB1"/>
    <w:rsid w:val="0029364F"/>
    <w:rsid w:val="002939A0"/>
    <w:rsid w:val="00293D06"/>
    <w:rsid w:val="00293D24"/>
    <w:rsid w:val="0029425C"/>
    <w:rsid w:val="00294716"/>
    <w:rsid w:val="00295BBA"/>
    <w:rsid w:val="00295D7B"/>
    <w:rsid w:val="00295EC8"/>
    <w:rsid w:val="00296561"/>
    <w:rsid w:val="00296C17"/>
    <w:rsid w:val="00296ED6"/>
    <w:rsid w:val="00297469"/>
    <w:rsid w:val="0029763E"/>
    <w:rsid w:val="00297C24"/>
    <w:rsid w:val="00297EB1"/>
    <w:rsid w:val="002A0342"/>
    <w:rsid w:val="002A13EF"/>
    <w:rsid w:val="002A158D"/>
    <w:rsid w:val="002A1866"/>
    <w:rsid w:val="002A1EEE"/>
    <w:rsid w:val="002A1F69"/>
    <w:rsid w:val="002A249A"/>
    <w:rsid w:val="002A2599"/>
    <w:rsid w:val="002A2AEE"/>
    <w:rsid w:val="002A3317"/>
    <w:rsid w:val="002A34FF"/>
    <w:rsid w:val="002A43CE"/>
    <w:rsid w:val="002A4614"/>
    <w:rsid w:val="002A55B3"/>
    <w:rsid w:val="002A59BF"/>
    <w:rsid w:val="002A5F6D"/>
    <w:rsid w:val="002A6C32"/>
    <w:rsid w:val="002A7B5D"/>
    <w:rsid w:val="002A7E30"/>
    <w:rsid w:val="002B2759"/>
    <w:rsid w:val="002B2B2D"/>
    <w:rsid w:val="002B3065"/>
    <w:rsid w:val="002B34D0"/>
    <w:rsid w:val="002B3D6B"/>
    <w:rsid w:val="002B40CD"/>
    <w:rsid w:val="002B4A74"/>
    <w:rsid w:val="002B4BF7"/>
    <w:rsid w:val="002B58D9"/>
    <w:rsid w:val="002B59DC"/>
    <w:rsid w:val="002B5F31"/>
    <w:rsid w:val="002B615E"/>
    <w:rsid w:val="002B65A6"/>
    <w:rsid w:val="002B676A"/>
    <w:rsid w:val="002B67A4"/>
    <w:rsid w:val="002B687E"/>
    <w:rsid w:val="002B6BE4"/>
    <w:rsid w:val="002B6CF7"/>
    <w:rsid w:val="002B7C84"/>
    <w:rsid w:val="002B7D17"/>
    <w:rsid w:val="002C04D6"/>
    <w:rsid w:val="002C0DA4"/>
    <w:rsid w:val="002C0F2E"/>
    <w:rsid w:val="002C1059"/>
    <w:rsid w:val="002C1133"/>
    <w:rsid w:val="002C1860"/>
    <w:rsid w:val="002C1B71"/>
    <w:rsid w:val="002C1F15"/>
    <w:rsid w:val="002C21CF"/>
    <w:rsid w:val="002C2E34"/>
    <w:rsid w:val="002C2EFE"/>
    <w:rsid w:val="002C2FE9"/>
    <w:rsid w:val="002C31FD"/>
    <w:rsid w:val="002C3411"/>
    <w:rsid w:val="002C3CA7"/>
    <w:rsid w:val="002C418F"/>
    <w:rsid w:val="002C4BB4"/>
    <w:rsid w:val="002C5112"/>
    <w:rsid w:val="002C68BC"/>
    <w:rsid w:val="002C696E"/>
    <w:rsid w:val="002C6C9A"/>
    <w:rsid w:val="002C7460"/>
    <w:rsid w:val="002D0DB7"/>
    <w:rsid w:val="002D0DE0"/>
    <w:rsid w:val="002D2008"/>
    <w:rsid w:val="002D262A"/>
    <w:rsid w:val="002D27BC"/>
    <w:rsid w:val="002D2BF4"/>
    <w:rsid w:val="002D2C4C"/>
    <w:rsid w:val="002D3258"/>
    <w:rsid w:val="002D39B9"/>
    <w:rsid w:val="002D5DEB"/>
    <w:rsid w:val="002D5EF2"/>
    <w:rsid w:val="002D6149"/>
    <w:rsid w:val="002D6B15"/>
    <w:rsid w:val="002D6B4B"/>
    <w:rsid w:val="002D6DA1"/>
    <w:rsid w:val="002D7243"/>
    <w:rsid w:val="002D7297"/>
    <w:rsid w:val="002D7761"/>
    <w:rsid w:val="002D77D8"/>
    <w:rsid w:val="002D7AFC"/>
    <w:rsid w:val="002D7C97"/>
    <w:rsid w:val="002E03EE"/>
    <w:rsid w:val="002E150C"/>
    <w:rsid w:val="002E1865"/>
    <w:rsid w:val="002E1A00"/>
    <w:rsid w:val="002E288B"/>
    <w:rsid w:val="002E2CBE"/>
    <w:rsid w:val="002E2FA8"/>
    <w:rsid w:val="002E3321"/>
    <w:rsid w:val="002E35DB"/>
    <w:rsid w:val="002E3CA5"/>
    <w:rsid w:val="002E44C1"/>
    <w:rsid w:val="002E47CE"/>
    <w:rsid w:val="002E4CAD"/>
    <w:rsid w:val="002E51A9"/>
    <w:rsid w:val="002E5409"/>
    <w:rsid w:val="002E5575"/>
    <w:rsid w:val="002E5C6C"/>
    <w:rsid w:val="002E62CB"/>
    <w:rsid w:val="002E6F17"/>
    <w:rsid w:val="002E6FBD"/>
    <w:rsid w:val="002E73FC"/>
    <w:rsid w:val="002F036A"/>
    <w:rsid w:val="002F0D8F"/>
    <w:rsid w:val="002F0E47"/>
    <w:rsid w:val="002F1AD1"/>
    <w:rsid w:val="002F1DB7"/>
    <w:rsid w:val="002F20DE"/>
    <w:rsid w:val="002F2ADD"/>
    <w:rsid w:val="002F2E07"/>
    <w:rsid w:val="002F374E"/>
    <w:rsid w:val="002F3789"/>
    <w:rsid w:val="002F386E"/>
    <w:rsid w:val="002F4ADD"/>
    <w:rsid w:val="002F4B38"/>
    <w:rsid w:val="002F5710"/>
    <w:rsid w:val="002F5D4B"/>
    <w:rsid w:val="002F7C92"/>
    <w:rsid w:val="00300094"/>
    <w:rsid w:val="00300719"/>
    <w:rsid w:val="003013EB"/>
    <w:rsid w:val="003020D2"/>
    <w:rsid w:val="00302334"/>
    <w:rsid w:val="00302A41"/>
    <w:rsid w:val="003033C1"/>
    <w:rsid w:val="0030428F"/>
    <w:rsid w:val="003046D2"/>
    <w:rsid w:val="00304816"/>
    <w:rsid w:val="00305220"/>
    <w:rsid w:val="00305FB6"/>
    <w:rsid w:val="0030637C"/>
    <w:rsid w:val="00306705"/>
    <w:rsid w:val="00306C36"/>
    <w:rsid w:val="00306F51"/>
    <w:rsid w:val="00306FCE"/>
    <w:rsid w:val="00306FFD"/>
    <w:rsid w:val="00307ECA"/>
    <w:rsid w:val="00307F56"/>
    <w:rsid w:val="0031001F"/>
    <w:rsid w:val="00310357"/>
    <w:rsid w:val="00310F38"/>
    <w:rsid w:val="00311547"/>
    <w:rsid w:val="00311755"/>
    <w:rsid w:val="00311BBF"/>
    <w:rsid w:val="0031370E"/>
    <w:rsid w:val="0031379B"/>
    <w:rsid w:val="003138DD"/>
    <w:rsid w:val="00314001"/>
    <w:rsid w:val="00314237"/>
    <w:rsid w:val="00314352"/>
    <w:rsid w:val="00314B86"/>
    <w:rsid w:val="00316088"/>
    <w:rsid w:val="003161AE"/>
    <w:rsid w:val="0031661A"/>
    <w:rsid w:val="003167B2"/>
    <w:rsid w:val="00316A6A"/>
    <w:rsid w:val="00317793"/>
    <w:rsid w:val="0031793C"/>
    <w:rsid w:val="003179FC"/>
    <w:rsid w:val="0032009E"/>
    <w:rsid w:val="003201EC"/>
    <w:rsid w:val="00320246"/>
    <w:rsid w:val="003208CC"/>
    <w:rsid w:val="0032111E"/>
    <w:rsid w:val="003213AB"/>
    <w:rsid w:val="0032160D"/>
    <w:rsid w:val="00321858"/>
    <w:rsid w:val="00322241"/>
    <w:rsid w:val="003225C1"/>
    <w:rsid w:val="003228A4"/>
    <w:rsid w:val="00322DAD"/>
    <w:rsid w:val="00323CFF"/>
    <w:rsid w:val="0032423A"/>
    <w:rsid w:val="00324E92"/>
    <w:rsid w:val="003254FA"/>
    <w:rsid w:val="003255DD"/>
    <w:rsid w:val="00325E08"/>
    <w:rsid w:val="00326DB7"/>
    <w:rsid w:val="00327B79"/>
    <w:rsid w:val="00327D33"/>
    <w:rsid w:val="00327E4D"/>
    <w:rsid w:val="00330B1E"/>
    <w:rsid w:val="00330F79"/>
    <w:rsid w:val="0033131B"/>
    <w:rsid w:val="003317DC"/>
    <w:rsid w:val="00331AAB"/>
    <w:rsid w:val="00331F70"/>
    <w:rsid w:val="00332ECC"/>
    <w:rsid w:val="00332F7E"/>
    <w:rsid w:val="00333C29"/>
    <w:rsid w:val="0033445D"/>
    <w:rsid w:val="00334EC2"/>
    <w:rsid w:val="00335090"/>
    <w:rsid w:val="0033542B"/>
    <w:rsid w:val="00335933"/>
    <w:rsid w:val="00335A3E"/>
    <w:rsid w:val="00335C0C"/>
    <w:rsid w:val="00335C3F"/>
    <w:rsid w:val="00336493"/>
    <w:rsid w:val="00340BAB"/>
    <w:rsid w:val="00341730"/>
    <w:rsid w:val="00341B15"/>
    <w:rsid w:val="003428D8"/>
    <w:rsid w:val="00343C88"/>
    <w:rsid w:val="003444C4"/>
    <w:rsid w:val="00344CCE"/>
    <w:rsid w:val="00344D84"/>
    <w:rsid w:val="00345DF0"/>
    <w:rsid w:val="003461A8"/>
    <w:rsid w:val="003469E5"/>
    <w:rsid w:val="00347093"/>
    <w:rsid w:val="00350992"/>
    <w:rsid w:val="00350DDA"/>
    <w:rsid w:val="00351055"/>
    <w:rsid w:val="003512E4"/>
    <w:rsid w:val="003517BE"/>
    <w:rsid w:val="0035180D"/>
    <w:rsid w:val="003529C6"/>
    <w:rsid w:val="00352BFB"/>
    <w:rsid w:val="00353D64"/>
    <w:rsid w:val="00354319"/>
    <w:rsid w:val="003543FE"/>
    <w:rsid w:val="00354445"/>
    <w:rsid w:val="003544EB"/>
    <w:rsid w:val="0035499C"/>
    <w:rsid w:val="003553DE"/>
    <w:rsid w:val="00355CE6"/>
    <w:rsid w:val="003561DF"/>
    <w:rsid w:val="003562CA"/>
    <w:rsid w:val="0035667D"/>
    <w:rsid w:val="00356A47"/>
    <w:rsid w:val="00356D17"/>
    <w:rsid w:val="00356FE5"/>
    <w:rsid w:val="003576AF"/>
    <w:rsid w:val="00357ECB"/>
    <w:rsid w:val="00360232"/>
    <w:rsid w:val="003604A4"/>
    <w:rsid w:val="003606D7"/>
    <w:rsid w:val="00360947"/>
    <w:rsid w:val="00360A2C"/>
    <w:rsid w:val="00360F4F"/>
    <w:rsid w:val="003614A7"/>
    <w:rsid w:val="003617F3"/>
    <w:rsid w:val="0036194A"/>
    <w:rsid w:val="00361B7C"/>
    <w:rsid w:val="00361FC0"/>
    <w:rsid w:val="00362593"/>
    <w:rsid w:val="0036324F"/>
    <w:rsid w:val="00363B77"/>
    <w:rsid w:val="00363CB3"/>
    <w:rsid w:val="00363CC0"/>
    <w:rsid w:val="00363DC4"/>
    <w:rsid w:val="00364002"/>
    <w:rsid w:val="0036411C"/>
    <w:rsid w:val="00364C72"/>
    <w:rsid w:val="00364CB5"/>
    <w:rsid w:val="003651A8"/>
    <w:rsid w:val="0036528E"/>
    <w:rsid w:val="0036580C"/>
    <w:rsid w:val="00365A87"/>
    <w:rsid w:val="003662BF"/>
    <w:rsid w:val="003662F8"/>
    <w:rsid w:val="003665AC"/>
    <w:rsid w:val="00366928"/>
    <w:rsid w:val="00367186"/>
    <w:rsid w:val="00367BFE"/>
    <w:rsid w:val="00367DB7"/>
    <w:rsid w:val="00367EFD"/>
    <w:rsid w:val="003706CB"/>
    <w:rsid w:val="00370CC9"/>
    <w:rsid w:val="00370CFF"/>
    <w:rsid w:val="00370E58"/>
    <w:rsid w:val="00371C4E"/>
    <w:rsid w:val="00372227"/>
    <w:rsid w:val="00372A67"/>
    <w:rsid w:val="00372F63"/>
    <w:rsid w:val="00373948"/>
    <w:rsid w:val="00374B72"/>
    <w:rsid w:val="00374FE2"/>
    <w:rsid w:val="00375130"/>
    <w:rsid w:val="003754D2"/>
    <w:rsid w:val="00375525"/>
    <w:rsid w:val="003757B5"/>
    <w:rsid w:val="00375A56"/>
    <w:rsid w:val="00375C57"/>
    <w:rsid w:val="0037616B"/>
    <w:rsid w:val="0037691B"/>
    <w:rsid w:val="0037796C"/>
    <w:rsid w:val="0038021C"/>
    <w:rsid w:val="0038037B"/>
    <w:rsid w:val="003807F7"/>
    <w:rsid w:val="00380EF3"/>
    <w:rsid w:val="00380FD2"/>
    <w:rsid w:val="003812F7"/>
    <w:rsid w:val="003815D0"/>
    <w:rsid w:val="00381616"/>
    <w:rsid w:val="003819A0"/>
    <w:rsid w:val="00381AF3"/>
    <w:rsid w:val="00381F09"/>
    <w:rsid w:val="00382A64"/>
    <w:rsid w:val="00382AB9"/>
    <w:rsid w:val="00382B28"/>
    <w:rsid w:val="00382B86"/>
    <w:rsid w:val="00382B95"/>
    <w:rsid w:val="00382E59"/>
    <w:rsid w:val="00383255"/>
    <w:rsid w:val="0038336D"/>
    <w:rsid w:val="003846CA"/>
    <w:rsid w:val="00384BB1"/>
    <w:rsid w:val="00384C59"/>
    <w:rsid w:val="00384D76"/>
    <w:rsid w:val="00385A23"/>
    <w:rsid w:val="00385EFB"/>
    <w:rsid w:val="00386619"/>
    <w:rsid w:val="003867E1"/>
    <w:rsid w:val="0038695C"/>
    <w:rsid w:val="00386D4A"/>
    <w:rsid w:val="00386E3C"/>
    <w:rsid w:val="00387110"/>
    <w:rsid w:val="0038774F"/>
    <w:rsid w:val="00387C78"/>
    <w:rsid w:val="0039037C"/>
    <w:rsid w:val="003907F2"/>
    <w:rsid w:val="00390968"/>
    <w:rsid w:val="00390B11"/>
    <w:rsid w:val="00390E38"/>
    <w:rsid w:val="00391FE0"/>
    <w:rsid w:val="003928BD"/>
    <w:rsid w:val="00392997"/>
    <w:rsid w:val="003929D4"/>
    <w:rsid w:val="00392F8E"/>
    <w:rsid w:val="00394475"/>
    <w:rsid w:val="00394A22"/>
    <w:rsid w:val="00395BFC"/>
    <w:rsid w:val="00396133"/>
    <w:rsid w:val="003964B8"/>
    <w:rsid w:val="003970E8"/>
    <w:rsid w:val="003971CB"/>
    <w:rsid w:val="003974CC"/>
    <w:rsid w:val="00397F27"/>
    <w:rsid w:val="003A0463"/>
    <w:rsid w:val="003A06B6"/>
    <w:rsid w:val="003A0764"/>
    <w:rsid w:val="003A084F"/>
    <w:rsid w:val="003A0AD9"/>
    <w:rsid w:val="003A0BF9"/>
    <w:rsid w:val="003A1489"/>
    <w:rsid w:val="003A148F"/>
    <w:rsid w:val="003A1CBA"/>
    <w:rsid w:val="003A2413"/>
    <w:rsid w:val="003A248F"/>
    <w:rsid w:val="003A29A2"/>
    <w:rsid w:val="003A2AFC"/>
    <w:rsid w:val="003A4A11"/>
    <w:rsid w:val="003A4CF5"/>
    <w:rsid w:val="003A4CFD"/>
    <w:rsid w:val="003A53A6"/>
    <w:rsid w:val="003A59A5"/>
    <w:rsid w:val="003A5A38"/>
    <w:rsid w:val="003A6208"/>
    <w:rsid w:val="003A6A36"/>
    <w:rsid w:val="003A6FC2"/>
    <w:rsid w:val="003A7046"/>
    <w:rsid w:val="003B09C8"/>
    <w:rsid w:val="003B119E"/>
    <w:rsid w:val="003B16CD"/>
    <w:rsid w:val="003B16DF"/>
    <w:rsid w:val="003B20B5"/>
    <w:rsid w:val="003B245B"/>
    <w:rsid w:val="003B2A51"/>
    <w:rsid w:val="003B2E00"/>
    <w:rsid w:val="003B35F3"/>
    <w:rsid w:val="003B367B"/>
    <w:rsid w:val="003B3BE8"/>
    <w:rsid w:val="003B3EF1"/>
    <w:rsid w:val="003B59D4"/>
    <w:rsid w:val="003B5A0E"/>
    <w:rsid w:val="003B5C1F"/>
    <w:rsid w:val="003B5D75"/>
    <w:rsid w:val="003B6D5A"/>
    <w:rsid w:val="003C0918"/>
    <w:rsid w:val="003C0B35"/>
    <w:rsid w:val="003C0D13"/>
    <w:rsid w:val="003C0D2C"/>
    <w:rsid w:val="003C1C8C"/>
    <w:rsid w:val="003C1E7B"/>
    <w:rsid w:val="003C208F"/>
    <w:rsid w:val="003C21BB"/>
    <w:rsid w:val="003C270D"/>
    <w:rsid w:val="003C28E7"/>
    <w:rsid w:val="003C2B95"/>
    <w:rsid w:val="003C2ED7"/>
    <w:rsid w:val="003C3A5A"/>
    <w:rsid w:val="003C41AC"/>
    <w:rsid w:val="003C4972"/>
    <w:rsid w:val="003C5DB5"/>
    <w:rsid w:val="003C6145"/>
    <w:rsid w:val="003C6520"/>
    <w:rsid w:val="003C756B"/>
    <w:rsid w:val="003C7789"/>
    <w:rsid w:val="003C77DB"/>
    <w:rsid w:val="003C7CE6"/>
    <w:rsid w:val="003D0438"/>
    <w:rsid w:val="003D0665"/>
    <w:rsid w:val="003D0C87"/>
    <w:rsid w:val="003D11F0"/>
    <w:rsid w:val="003D1497"/>
    <w:rsid w:val="003D163E"/>
    <w:rsid w:val="003D1924"/>
    <w:rsid w:val="003D2559"/>
    <w:rsid w:val="003D2ECF"/>
    <w:rsid w:val="003D34B6"/>
    <w:rsid w:val="003D3F31"/>
    <w:rsid w:val="003D408F"/>
    <w:rsid w:val="003D44E2"/>
    <w:rsid w:val="003D451E"/>
    <w:rsid w:val="003D4E4B"/>
    <w:rsid w:val="003D5181"/>
    <w:rsid w:val="003D5FF4"/>
    <w:rsid w:val="003D64C3"/>
    <w:rsid w:val="003E0723"/>
    <w:rsid w:val="003E10D7"/>
    <w:rsid w:val="003E13B9"/>
    <w:rsid w:val="003E159D"/>
    <w:rsid w:val="003E1DC3"/>
    <w:rsid w:val="003E2958"/>
    <w:rsid w:val="003E3649"/>
    <w:rsid w:val="003E3752"/>
    <w:rsid w:val="003E3D32"/>
    <w:rsid w:val="003E44AB"/>
    <w:rsid w:val="003E485C"/>
    <w:rsid w:val="003E4CA3"/>
    <w:rsid w:val="003E567C"/>
    <w:rsid w:val="003E636E"/>
    <w:rsid w:val="003E6492"/>
    <w:rsid w:val="003E65C8"/>
    <w:rsid w:val="003E6D8B"/>
    <w:rsid w:val="003E7049"/>
    <w:rsid w:val="003E736B"/>
    <w:rsid w:val="003E739F"/>
    <w:rsid w:val="003E7A47"/>
    <w:rsid w:val="003E7E03"/>
    <w:rsid w:val="003E7EDF"/>
    <w:rsid w:val="003F0727"/>
    <w:rsid w:val="003F15A9"/>
    <w:rsid w:val="003F198D"/>
    <w:rsid w:val="003F2586"/>
    <w:rsid w:val="003F2FE7"/>
    <w:rsid w:val="003F3328"/>
    <w:rsid w:val="003F3EAA"/>
    <w:rsid w:val="003F40F2"/>
    <w:rsid w:val="003F43F7"/>
    <w:rsid w:val="003F47CE"/>
    <w:rsid w:val="003F4B9E"/>
    <w:rsid w:val="003F4CAA"/>
    <w:rsid w:val="003F5288"/>
    <w:rsid w:val="003F5A93"/>
    <w:rsid w:val="003F5D67"/>
    <w:rsid w:val="003F5E4D"/>
    <w:rsid w:val="003F6B9C"/>
    <w:rsid w:val="004004E8"/>
    <w:rsid w:val="0040075F"/>
    <w:rsid w:val="00401AC5"/>
    <w:rsid w:val="00402215"/>
    <w:rsid w:val="00402EB4"/>
    <w:rsid w:val="004036E2"/>
    <w:rsid w:val="00403A9D"/>
    <w:rsid w:val="00403B7E"/>
    <w:rsid w:val="00403EF3"/>
    <w:rsid w:val="00404169"/>
    <w:rsid w:val="0040441D"/>
    <w:rsid w:val="004048C9"/>
    <w:rsid w:val="004049A2"/>
    <w:rsid w:val="00405178"/>
    <w:rsid w:val="00405360"/>
    <w:rsid w:val="00406049"/>
    <w:rsid w:val="004061A2"/>
    <w:rsid w:val="00406BD0"/>
    <w:rsid w:val="004075C6"/>
    <w:rsid w:val="00407F75"/>
    <w:rsid w:val="00410525"/>
    <w:rsid w:val="0041129C"/>
    <w:rsid w:val="00411B33"/>
    <w:rsid w:val="00411CC9"/>
    <w:rsid w:val="004121A3"/>
    <w:rsid w:val="00412309"/>
    <w:rsid w:val="0041259F"/>
    <w:rsid w:val="00412726"/>
    <w:rsid w:val="004138CA"/>
    <w:rsid w:val="00413A23"/>
    <w:rsid w:val="00414023"/>
    <w:rsid w:val="0041425D"/>
    <w:rsid w:val="00414823"/>
    <w:rsid w:val="00414D98"/>
    <w:rsid w:val="00414ED6"/>
    <w:rsid w:val="00416234"/>
    <w:rsid w:val="0041651B"/>
    <w:rsid w:val="0041731C"/>
    <w:rsid w:val="00417460"/>
    <w:rsid w:val="00417E3E"/>
    <w:rsid w:val="00421193"/>
    <w:rsid w:val="0042124F"/>
    <w:rsid w:val="004212D0"/>
    <w:rsid w:val="00421AA7"/>
    <w:rsid w:val="004225D8"/>
    <w:rsid w:val="00422F5E"/>
    <w:rsid w:val="00422FA5"/>
    <w:rsid w:val="0042309C"/>
    <w:rsid w:val="004235FD"/>
    <w:rsid w:val="00423917"/>
    <w:rsid w:val="004242BC"/>
    <w:rsid w:val="0042430D"/>
    <w:rsid w:val="004243D4"/>
    <w:rsid w:val="004248A9"/>
    <w:rsid w:val="00424A6C"/>
    <w:rsid w:val="00425928"/>
    <w:rsid w:val="0042595E"/>
    <w:rsid w:val="00425F7A"/>
    <w:rsid w:val="00425FEE"/>
    <w:rsid w:val="0042642E"/>
    <w:rsid w:val="00426C94"/>
    <w:rsid w:val="00427120"/>
    <w:rsid w:val="00427CE5"/>
    <w:rsid w:val="004311B1"/>
    <w:rsid w:val="004315BE"/>
    <w:rsid w:val="00431E6F"/>
    <w:rsid w:val="00432684"/>
    <w:rsid w:val="004329A6"/>
    <w:rsid w:val="00432B20"/>
    <w:rsid w:val="00432FBB"/>
    <w:rsid w:val="00433157"/>
    <w:rsid w:val="004336A9"/>
    <w:rsid w:val="00433807"/>
    <w:rsid w:val="00433946"/>
    <w:rsid w:val="00433EC7"/>
    <w:rsid w:val="0043481F"/>
    <w:rsid w:val="00434D41"/>
    <w:rsid w:val="004351F3"/>
    <w:rsid w:val="00435549"/>
    <w:rsid w:val="0043604B"/>
    <w:rsid w:val="004361B6"/>
    <w:rsid w:val="00436A48"/>
    <w:rsid w:val="00437B36"/>
    <w:rsid w:val="00440805"/>
    <w:rsid w:val="004409D2"/>
    <w:rsid w:val="00440C7B"/>
    <w:rsid w:val="00441044"/>
    <w:rsid w:val="004414E4"/>
    <w:rsid w:val="00442190"/>
    <w:rsid w:val="004423DE"/>
    <w:rsid w:val="00442A20"/>
    <w:rsid w:val="00442D60"/>
    <w:rsid w:val="00442ECD"/>
    <w:rsid w:val="00443121"/>
    <w:rsid w:val="0044345C"/>
    <w:rsid w:val="00443801"/>
    <w:rsid w:val="004444A5"/>
    <w:rsid w:val="00444612"/>
    <w:rsid w:val="00444865"/>
    <w:rsid w:val="00444F26"/>
    <w:rsid w:val="00445012"/>
    <w:rsid w:val="0044558B"/>
    <w:rsid w:val="00446107"/>
    <w:rsid w:val="00446EAD"/>
    <w:rsid w:val="00447190"/>
    <w:rsid w:val="0044747E"/>
    <w:rsid w:val="00447857"/>
    <w:rsid w:val="00447A64"/>
    <w:rsid w:val="0045015A"/>
    <w:rsid w:val="00450390"/>
    <w:rsid w:val="0045175E"/>
    <w:rsid w:val="00451A1E"/>
    <w:rsid w:val="00451BCE"/>
    <w:rsid w:val="00452A66"/>
    <w:rsid w:val="00452D88"/>
    <w:rsid w:val="00452F7A"/>
    <w:rsid w:val="004530B5"/>
    <w:rsid w:val="004539E2"/>
    <w:rsid w:val="00453E5D"/>
    <w:rsid w:val="0045457C"/>
    <w:rsid w:val="004546A8"/>
    <w:rsid w:val="00454926"/>
    <w:rsid w:val="00454C1F"/>
    <w:rsid w:val="00454C5B"/>
    <w:rsid w:val="0045517A"/>
    <w:rsid w:val="00455D46"/>
    <w:rsid w:val="00456423"/>
    <w:rsid w:val="00457242"/>
    <w:rsid w:val="004603D5"/>
    <w:rsid w:val="004614FB"/>
    <w:rsid w:val="00461C25"/>
    <w:rsid w:val="0046201D"/>
    <w:rsid w:val="00462309"/>
    <w:rsid w:val="004625ED"/>
    <w:rsid w:val="004628C4"/>
    <w:rsid w:val="00462D87"/>
    <w:rsid w:val="00462F35"/>
    <w:rsid w:val="00463598"/>
    <w:rsid w:val="004642D3"/>
    <w:rsid w:val="00464BB7"/>
    <w:rsid w:val="00464E0C"/>
    <w:rsid w:val="004652DA"/>
    <w:rsid w:val="00465596"/>
    <w:rsid w:val="004656E2"/>
    <w:rsid w:val="004673AA"/>
    <w:rsid w:val="00467789"/>
    <w:rsid w:val="00467BC2"/>
    <w:rsid w:val="00467C3C"/>
    <w:rsid w:val="004708B7"/>
    <w:rsid w:val="0047094F"/>
    <w:rsid w:val="004709FD"/>
    <w:rsid w:val="00471D03"/>
    <w:rsid w:val="0047278F"/>
    <w:rsid w:val="004730A7"/>
    <w:rsid w:val="0047314A"/>
    <w:rsid w:val="004745BE"/>
    <w:rsid w:val="00474DBD"/>
    <w:rsid w:val="00475504"/>
    <w:rsid w:val="00475C35"/>
    <w:rsid w:val="00476123"/>
    <w:rsid w:val="0047635C"/>
    <w:rsid w:val="0047679F"/>
    <w:rsid w:val="004767EC"/>
    <w:rsid w:val="00476C77"/>
    <w:rsid w:val="004776FD"/>
    <w:rsid w:val="00477D44"/>
    <w:rsid w:val="0048052D"/>
    <w:rsid w:val="004807ED"/>
    <w:rsid w:val="00481072"/>
    <w:rsid w:val="004818E8"/>
    <w:rsid w:val="00482178"/>
    <w:rsid w:val="00482F9A"/>
    <w:rsid w:val="00483C94"/>
    <w:rsid w:val="00483E72"/>
    <w:rsid w:val="00483E78"/>
    <w:rsid w:val="00484D9D"/>
    <w:rsid w:val="00484EED"/>
    <w:rsid w:val="00484FD4"/>
    <w:rsid w:val="00485103"/>
    <w:rsid w:val="00486796"/>
    <w:rsid w:val="00486CDA"/>
    <w:rsid w:val="00486CF4"/>
    <w:rsid w:val="0048736F"/>
    <w:rsid w:val="00490D81"/>
    <w:rsid w:val="00491965"/>
    <w:rsid w:val="00492CCB"/>
    <w:rsid w:val="00493643"/>
    <w:rsid w:val="00494168"/>
    <w:rsid w:val="00494697"/>
    <w:rsid w:val="00494996"/>
    <w:rsid w:val="00494B84"/>
    <w:rsid w:val="0049557C"/>
    <w:rsid w:val="004955FD"/>
    <w:rsid w:val="0049635B"/>
    <w:rsid w:val="00496917"/>
    <w:rsid w:val="00496C61"/>
    <w:rsid w:val="00497381"/>
    <w:rsid w:val="004973C2"/>
    <w:rsid w:val="004A02C2"/>
    <w:rsid w:val="004A0A6E"/>
    <w:rsid w:val="004A0E8B"/>
    <w:rsid w:val="004A1A50"/>
    <w:rsid w:val="004A224F"/>
    <w:rsid w:val="004A2405"/>
    <w:rsid w:val="004A24CE"/>
    <w:rsid w:val="004A29F8"/>
    <w:rsid w:val="004A45D0"/>
    <w:rsid w:val="004A471E"/>
    <w:rsid w:val="004A4FBA"/>
    <w:rsid w:val="004A4FED"/>
    <w:rsid w:val="004A5331"/>
    <w:rsid w:val="004A5348"/>
    <w:rsid w:val="004A554A"/>
    <w:rsid w:val="004A560D"/>
    <w:rsid w:val="004A5A63"/>
    <w:rsid w:val="004A5EF1"/>
    <w:rsid w:val="004A5FBB"/>
    <w:rsid w:val="004A7011"/>
    <w:rsid w:val="004A75D3"/>
    <w:rsid w:val="004A796C"/>
    <w:rsid w:val="004B038D"/>
    <w:rsid w:val="004B0654"/>
    <w:rsid w:val="004B1AA4"/>
    <w:rsid w:val="004B1D30"/>
    <w:rsid w:val="004B24F1"/>
    <w:rsid w:val="004B2DEB"/>
    <w:rsid w:val="004B2F0B"/>
    <w:rsid w:val="004B3123"/>
    <w:rsid w:val="004B37E8"/>
    <w:rsid w:val="004B3942"/>
    <w:rsid w:val="004B466B"/>
    <w:rsid w:val="004B47A1"/>
    <w:rsid w:val="004B4D1B"/>
    <w:rsid w:val="004B4F77"/>
    <w:rsid w:val="004B6FED"/>
    <w:rsid w:val="004B73A6"/>
    <w:rsid w:val="004C0099"/>
    <w:rsid w:val="004C091C"/>
    <w:rsid w:val="004C0D90"/>
    <w:rsid w:val="004C0E60"/>
    <w:rsid w:val="004C117E"/>
    <w:rsid w:val="004C147F"/>
    <w:rsid w:val="004C28E4"/>
    <w:rsid w:val="004C35D1"/>
    <w:rsid w:val="004C3853"/>
    <w:rsid w:val="004C3884"/>
    <w:rsid w:val="004C38C5"/>
    <w:rsid w:val="004C4B5F"/>
    <w:rsid w:val="004C54E0"/>
    <w:rsid w:val="004C57DF"/>
    <w:rsid w:val="004C58FC"/>
    <w:rsid w:val="004C63BF"/>
    <w:rsid w:val="004C6663"/>
    <w:rsid w:val="004C6890"/>
    <w:rsid w:val="004C6FFE"/>
    <w:rsid w:val="004C7201"/>
    <w:rsid w:val="004D00C6"/>
    <w:rsid w:val="004D01CA"/>
    <w:rsid w:val="004D079C"/>
    <w:rsid w:val="004D0943"/>
    <w:rsid w:val="004D18FD"/>
    <w:rsid w:val="004D2771"/>
    <w:rsid w:val="004D296F"/>
    <w:rsid w:val="004D2B3D"/>
    <w:rsid w:val="004D2B4D"/>
    <w:rsid w:val="004D35B9"/>
    <w:rsid w:val="004D39E1"/>
    <w:rsid w:val="004D3F66"/>
    <w:rsid w:val="004D4535"/>
    <w:rsid w:val="004D4D5B"/>
    <w:rsid w:val="004D51AC"/>
    <w:rsid w:val="004D5786"/>
    <w:rsid w:val="004D5FCD"/>
    <w:rsid w:val="004D68E1"/>
    <w:rsid w:val="004D69C2"/>
    <w:rsid w:val="004D7173"/>
    <w:rsid w:val="004D728A"/>
    <w:rsid w:val="004D73DA"/>
    <w:rsid w:val="004D74EB"/>
    <w:rsid w:val="004D75A7"/>
    <w:rsid w:val="004E0275"/>
    <w:rsid w:val="004E052C"/>
    <w:rsid w:val="004E0C00"/>
    <w:rsid w:val="004E0E98"/>
    <w:rsid w:val="004E10AA"/>
    <w:rsid w:val="004E1175"/>
    <w:rsid w:val="004E1747"/>
    <w:rsid w:val="004E319C"/>
    <w:rsid w:val="004E3C34"/>
    <w:rsid w:val="004E642B"/>
    <w:rsid w:val="004E6590"/>
    <w:rsid w:val="004E6928"/>
    <w:rsid w:val="004E6A2B"/>
    <w:rsid w:val="004E7A51"/>
    <w:rsid w:val="004E7A7D"/>
    <w:rsid w:val="004E7FD2"/>
    <w:rsid w:val="004F0053"/>
    <w:rsid w:val="004F0180"/>
    <w:rsid w:val="004F0901"/>
    <w:rsid w:val="004F1738"/>
    <w:rsid w:val="004F1B6D"/>
    <w:rsid w:val="004F1DCF"/>
    <w:rsid w:val="004F26F0"/>
    <w:rsid w:val="004F2BA8"/>
    <w:rsid w:val="004F48A5"/>
    <w:rsid w:val="004F4D0F"/>
    <w:rsid w:val="004F4E3B"/>
    <w:rsid w:val="004F5135"/>
    <w:rsid w:val="004F62C7"/>
    <w:rsid w:val="004F6CA2"/>
    <w:rsid w:val="004F7314"/>
    <w:rsid w:val="004F74DF"/>
    <w:rsid w:val="004F7CE7"/>
    <w:rsid w:val="0050003B"/>
    <w:rsid w:val="0050052A"/>
    <w:rsid w:val="00500B0B"/>
    <w:rsid w:val="00500C36"/>
    <w:rsid w:val="00500CBF"/>
    <w:rsid w:val="00500D29"/>
    <w:rsid w:val="00501A2E"/>
    <w:rsid w:val="00501A76"/>
    <w:rsid w:val="00501C67"/>
    <w:rsid w:val="005029BC"/>
    <w:rsid w:val="00502E75"/>
    <w:rsid w:val="005048C8"/>
    <w:rsid w:val="00504F67"/>
    <w:rsid w:val="00505120"/>
    <w:rsid w:val="00505365"/>
    <w:rsid w:val="00505AFD"/>
    <w:rsid w:val="00505F60"/>
    <w:rsid w:val="00506E10"/>
    <w:rsid w:val="005078E1"/>
    <w:rsid w:val="00507C18"/>
    <w:rsid w:val="00507D32"/>
    <w:rsid w:val="00510A19"/>
    <w:rsid w:val="00510F37"/>
    <w:rsid w:val="005114D3"/>
    <w:rsid w:val="0051255F"/>
    <w:rsid w:val="0051273C"/>
    <w:rsid w:val="005128C0"/>
    <w:rsid w:val="00512E47"/>
    <w:rsid w:val="005133EF"/>
    <w:rsid w:val="00513803"/>
    <w:rsid w:val="005139AE"/>
    <w:rsid w:val="00514622"/>
    <w:rsid w:val="00514A3A"/>
    <w:rsid w:val="00514C5F"/>
    <w:rsid w:val="0051564F"/>
    <w:rsid w:val="0051579F"/>
    <w:rsid w:val="00516DA5"/>
    <w:rsid w:val="0051793A"/>
    <w:rsid w:val="00520A4F"/>
    <w:rsid w:val="005212B0"/>
    <w:rsid w:val="0052148E"/>
    <w:rsid w:val="00521554"/>
    <w:rsid w:val="0052170D"/>
    <w:rsid w:val="00521CFB"/>
    <w:rsid w:val="0052225C"/>
    <w:rsid w:val="00522262"/>
    <w:rsid w:val="0052247B"/>
    <w:rsid w:val="005226FB"/>
    <w:rsid w:val="005231E8"/>
    <w:rsid w:val="00523B7D"/>
    <w:rsid w:val="00523EA4"/>
    <w:rsid w:val="00523FDB"/>
    <w:rsid w:val="005240CF"/>
    <w:rsid w:val="00524AB4"/>
    <w:rsid w:val="00524C1D"/>
    <w:rsid w:val="005255F0"/>
    <w:rsid w:val="005256E3"/>
    <w:rsid w:val="005263F4"/>
    <w:rsid w:val="00526792"/>
    <w:rsid w:val="005272DC"/>
    <w:rsid w:val="005302D9"/>
    <w:rsid w:val="005303BF"/>
    <w:rsid w:val="00530FBB"/>
    <w:rsid w:val="00531213"/>
    <w:rsid w:val="00531A18"/>
    <w:rsid w:val="00531BD2"/>
    <w:rsid w:val="00533818"/>
    <w:rsid w:val="00533CF9"/>
    <w:rsid w:val="005343EC"/>
    <w:rsid w:val="005344C8"/>
    <w:rsid w:val="0053549A"/>
    <w:rsid w:val="005354A7"/>
    <w:rsid w:val="0053625D"/>
    <w:rsid w:val="00536EC8"/>
    <w:rsid w:val="00540E14"/>
    <w:rsid w:val="005412C6"/>
    <w:rsid w:val="0054289B"/>
    <w:rsid w:val="00542931"/>
    <w:rsid w:val="0054327E"/>
    <w:rsid w:val="00543322"/>
    <w:rsid w:val="005439F9"/>
    <w:rsid w:val="0054456B"/>
    <w:rsid w:val="005448A9"/>
    <w:rsid w:val="00545652"/>
    <w:rsid w:val="00545879"/>
    <w:rsid w:val="005459B1"/>
    <w:rsid w:val="00545BAA"/>
    <w:rsid w:val="005467A9"/>
    <w:rsid w:val="00546E60"/>
    <w:rsid w:val="00546F40"/>
    <w:rsid w:val="00547C73"/>
    <w:rsid w:val="00550104"/>
    <w:rsid w:val="00550252"/>
    <w:rsid w:val="005503B5"/>
    <w:rsid w:val="005508C1"/>
    <w:rsid w:val="00551340"/>
    <w:rsid w:val="005538B9"/>
    <w:rsid w:val="00553938"/>
    <w:rsid w:val="00553AEB"/>
    <w:rsid w:val="005547CA"/>
    <w:rsid w:val="00555B4D"/>
    <w:rsid w:val="00555C00"/>
    <w:rsid w:val="00555C06"/>
    <w:rsid w:val="00555C82"/>
    <w:rsid w:val="005563C5"/>
    <w:rsid w:val="00556444"/>
    <w:rsid w:val="0055659E"/>
    <w:rsid w:val="005566C0"/>
    <w:rsid w:val="0055704B"/>
    <w:rsid w:val="00557DF2"/>
    <w:rsid w:val="00560432"/>
    <w:rsid w:val="00560E3F"/>
    <w:rsid w:val="005614A4"/>
    <w:rsid w:val="0056160E"/>
    <w:rsid w:val="005617DB"/>
    <w:rsid w:val="005626EE"/>
    <w:rsid w:val="00562970"/>
    <w:rsid w:val="00562A09"/>
    <w:rsid w:val="005638DD"/>
    <w:rsid w:val="00564D47"/>
    <w:rsid w:val="00564D5D"/>
    <w:rsid w:val="0056514F"/>
    <w:rsid w:val="00565569"/>
    <w:rsid w:val="00566382"/>
    <w:rsid w:val="00566B90"/>
    <w:rsid w:val="00566D58"/>
    <w:rsid w:val="0056710C"/>
    <w:rsid w:val="00567309"/>
    <w:rsid w:val="00567737"/>
    <w:rsid w:val="00567B5E"/>
    <w:rsid w:val="005705A2"/>
    <w:rsid w:val="00570D2A"/>
    <w:rsid w:val="005711E3"/>
    <w:rsid w:val="0057144F"/>
    <w:rsid w:val="00571E1B"/>
    <w:rsid w:val="00572979"/>
    <w:rsid w:val="00572A02"/>
    <w:rsid w:val="00572A16"/>
    <w:rsid w:val="00573CC5"/>
    <w:rsid w:val="00576427"/>
    <w:rsid w:val="00576753"/>
    <w:rsid w:val="00576CC3"/>
    <w:rsid w:val="00576EB7"/>
    <w:rsid w:val="00577647"/>
    <w:rsid w:val="005802A6"/>
    <w:rsid w:val="005805B3"/>
    <w:rsid w:val="0058102E"/>
    <w:rsid w:val="00581473"/>
    <w:rsid w:val="00581B25"/>
    <w:rsid w:val="00582907"/>
    <w:rsid w:val="00583A77"/>
    <w:rsid w:val="00584650"/>
    <w:rsid w:val="00584C13"/>
    <w:rsid w:val="005856F7"/>
    <w:rsid w:val="00585BB0"/>
    <w:rsid w:val="0058623B"/>
    <w:rsid w:val="00586F2B"/>
    <w:rsid w:val="00587458"/>
    <w:rsid w:val="0059147A"/>
    <w:rsid w:val="005916D7"/>
    <w:rsid w:val="005923DF"/>
    <w:rsid w:val="00592493"/>
    <w:rsid w:val="00593780"/>
    <w:rsid w:val="00593C6D"/>
    <w:rsid w:val="0059443F"/>
    <w:rsid w:val="00595CB8"/>
    <w:rsid w:val="00596671"/>
    <w:rsid w:val="00596AC0"/>
    <w:rsid w:val="00597F91"/>
    <w:rsid w:val="005A00E2"/>
    <w:rsid w:val="005A0C22"/>
    <w:rsid w:val="005A17E0"/>
    <w:rsid w:val="005A1DBE"/>
    <w:rsid w:val="005A2E43"/>
    <w:rsid w:val="005A350E"/>
    <w:rsid w:val="005A38D9"/>
    <w:rsid w:val="005A3DA6"/>
    <w:rsid w:val="005A3FF9"/>
    <w:rsid w:val="005A40C0"/>
    <w:rsid w:val="005A4EB5"/>
    <w:rsid w:val="005A53E5"/>
    <w:rsid w:val="005A5A83"/>
    <w:rsid w:val="005A65C6"/>
    <w:rsid w:val="005A6CF8"/>
    <w:rsid w:val="005A7453"/>
    <w:rsid w:val="005A7641"/>
    <w:rsid w:val="005A7CDC"/>
    <w:rsid w:val="005B01DA"/>
    <w:rsid w:val="005B118A"/>
    <w:rsid w:val="005B21BD"/>
    <w:rsid w:val="005B2BA4"/>
    <w:rsid w:val="005B2E43"/>
    <w:rsid w:val="005B3E46"/>
    <w:rsid w:val="005B47B6"/>
    <w:rsid w:val="005B49CC"/>
    <w:rsid w:val="005B4B98"/>
    <w:rsid w:val="005B532A"/>
    <w:rsid w:val="005B5EAB"/>
    <w:rsid w:val="005B6057"/>
    <w:rsid w:val="005B65C1"/>
    <w:rsid w:val="005B6BA1"/>
    <w:rsid w:val="005B7334"/>
    <w:rsid w:val="005C0886"/>
    <w:rsid w:val="005C093B"/>
    <w:rsid w:val="005C110A"/>
    <w:rsid w:val="005C1690"/>
    <w:rsid w:val="005C2309"/>
    <w:rsid w:val="005C3022"/>
    <w:rsid w:val="005C3C81"/>
    <w:rsid w:val="005C3DCE"/>
    <w:rsid w:val="005C4252"/>
    <w:rsid w:val="005C492E"/>
    <w:rsid w:val="005C51E5"/>
    <w:rsid w:val="005C55E7"/>
    <w:rsid w:val="005C62C4"/>
    <w:rsid w:val="005C6747"/>
    <w:rsid w:val="005C6972"/>
    <w:rsid w:val="005C6BC4"/>
    <w:rsid w:val="005C6CC2"/>
    <w:rsid w:val="005C6CDE"/>
    <w:rsid w:val="005C6D82"/>
    <w:rsid w:val="005C6DB7"/>
    <w:rsid w:val="005C7172"/>
    <w:rsid w:val="005C740F"/>
    <w:rsid w:val="005C7BF3"/>
    <w:rsid w:val="005C7E75"/>
    <w:rsid w:val="005D2C4E"/>
    <w:rsid w:val="005D2C97"/>
    <w:rsid w:val="005D2D2D"/>
    <w:rsid w:val="005D2F22"/>
    <w:rsid w:val="005D317E"/>
    <w:rsid w:val="005D36C0"/>
    <w:rsid w:val="005D3758"/>
    <w:rsid w:val="005D398B"/>
    <w:rsid w:val="005D3D7E"/>
    <w:rsid w:val="005D408D"/>
    <w:rsid w:val="005D445E"/>
    <w:rsid w:val="005D44ED"/>
    <w:rsid w:val="005D45B9"/>
    <w:rsid w:val="005D4745"/>
    <w:rsid w:val="005D4A28"/>
    <w:rsid w:val="005D4A49"/>
    <w:rsid w:val="005D50EE"/>
    <w:rsid w:val="005D51DC"/>
    <w:rsid w:val="005D550E"/>
    <w:rsid w:val="005D5698"/>
    <w:rsid w:val="005D56FB"/>
    <w:rsid w:val="005D5D49"/>
    <w:rsid w:val="005D65EB"/>
    <w:rsid w:val="005D6616"/>
    <w:rsid w:val="005D6B9C"/>
    <w:rsid w:val="005D6C81"/>
    <w:rsid w:val="005D6E6A"/>
    <w:rsid w:val="005D7AD2"/>
    <w:rsid w:val="005E07EA"/>
    <w:rsid w:val="005E09FE"/>
    <w:rsid w:val="005E15ED"/>
    <w:rsid w:val="005E1E58"/>
    <w:rsid w:val="005E1FE5"/>
    <w:rsid w:val="005E2356"/>
    <w:rsid w:val="005E2692"/>
    <w:rsid w:val="005E2A95"/>
    <w:rsid w:val="005E2C7D"/>
    <w:rsid w:val="005E2E98"/>
    <w:rsid w:val="005E306A"/>
    <w:rsid w:val="005E4737"/>
    <w:rsid w:val="005E47B7"/>
    <w:rsid w:val="005E4872"/>
    <w:rsid w:val="005E503D"/>
    <w:rsid w:val="005E5E51"/>
    <w:rsid w:val="005E6B21"/>
    <w:rsid w:val="005E6B93"/>
    <w:rsid w:val="005E7F5F"/>
    <w:rsid w:val="005F07DF"/>
    <w:rsid w:val="005F1512"/>
    <w:rsid w:val="005F159B"/>
    <w:rsid w:val="005F18FC"/>
    <w:rsid w:val="005F1CCE"/>
    <w:rsid w:val="005F1FFC"/>
    <w:rsid w:val="005F27A9"/>
    <w:rsid w:val="005F34B7"/>
    <w:rsid w:val="005F357F"/>
    <w:rsid w:val="005F3B54"/>
    <w:rsid w:val="005F4176"/>
    <w:rsid w:val="005F4960"/>
    <w:rsid w:val="005F4970"/>
    <w:rsid w:val="005F4AEF"/>
    <w:rsid w:val="005F5D22"/>
    <w:rsid w:val="005F5E47"/>
    <w:rsid w:val="005F5F54"/>
    <w:rsid w:val="005F67D6"/>
    <w:rsid w:val="005F718B"/>
    <w:rsid w:val="005F72A7"/>
    <w:rsid w:val="0060096C"/>
    <w:rsid w:val="00600B29"/>
    <w:rsid w:val="00600FDA"/>
    <w:rsid w:val="00600FF1"/>
    <w:rsid w:val="0060103B"/>
    <w:rsid w:val="006016F7"/>
    <w:rsid w:val="006019F7"/>
    <w:rsid w:val="00601BA4"/>
    <w:rsid w:val="0060278D"/>
    <w:rsid w:val="00602ADB"/>
    <w:rsid w:val="00602EAB"/>
    <w:rsid w:val="00603059"/>
    <w:rsid w:val="00603CA6"/>
    <w:rsid w:val="00604E53"/>
    <w:rsid w:val="006052D2"/>
    <w:rsid w:val="00605502"/>
    <w:rsid w:val="00605A8C"/>
    <w:rsid w:val="006063DC"/>
    <w:rsid w:val="00606A67"/>
    <w:rsid w:val="00606D65"/>
    <w:rsid w:val="00607067"/>
    <w:rsid w:val="00607200"/>
    <w:rsid w:val="0060777C"/>
    <w:rsid w:val="00607784"/>
    <w:rsid w:val="00607A7C"/>
    <w:rsid w:val="00607AFD"/>
    <w:rsid w:val="00610757"/>
    <w:rsid w:val="00610920"/>
    <w:rsid w:val="00611243"/>
    <w:rsid w:val="00611989"/>
    <w:rsid w:val="00611B85"/>
    <w:rsid w:val="00611D7F"/>
    <w:rsid w:val="00612AA1"/>
    <w:rsid w:val="00614192"/>
    <w:rsid w:val="00615F95"/>
    <w:rsid w:val="00615FE9"/>
    <w:rsid w:val="006168F7"/>
    <w:rsid w:val="00616D2B"/>
    <w:rsid w:val="00617790"/>
    <w:rsid w:val="00617BF3"/>
    <w:rsid w:val="00617EB3"/>
    <w:rsid w:val="00617EDE"/>
    <w:rsid w:val="006221D1"/>
    <w:rsid w:val="00623066"/>
    <w:rsid w:val="00623829"/>
    <w:rsid w:val="0062398E"/>
    <w:rsid w:val="0062403C"/>
    <w:rsid w:val="00624F62"/>
    <w:rsid w:val="0062526A"/>
    <w:rsid w:val="00625F18"/>
    <w:rsid w:val="0062618A"/>
    <w:rsid w:val="0062677C"/>
    <w:rsid w:val="006271D8"/>
    <w:rsid w:val="00627783"/>
    <w:rsid w:val="00627A89"/>
    <w:rsid w:val="00627BA1"/>
    <w:rsid w:val="00627CF9"/>
    <w:rsid w:val="00630B26"/>
    <w:rsid w:val="00630DFB"/>
    <w:rsid w:val="00632DA8"/>
    <w:rsid w:val="00633C6E"/>
    <w:rsid w:val="00634046"/>
    <w:rsid w:val="006341CE"/>
    <w:rsid w:val="0063507A"/>
    <w:rsid w:val="00635256"/>
    <w:rsid w:val="006359D6"/>
    <w:rsid w:val="00635C4C"/>
    <w:rsid w:val="006362A5"/>
    <w:rsid w:val="006366AD"/>
    <w:rsid w:val="00636EE0"/>
    <w:rsid w:val="00636F25"/>
    <w:rsid w:val="00637777"/>
    <w:rsid w:val="00637D11"/>
    <w:rsid w:val="00637EAC"/>
    <w:rsid w:val="0064043E"/>
    <w:rsid w:val="00640763"/>
    <w:rsid w:val="0064085D"/>
    <w:rsid w:val="00640A91"/>
    <w:rsid w:val="00641C3C"/>
    <w:rsid w:val="00641D8B"/>
    <w:rsid w:val="00642863"/>
    <w:rsid w:val="006428DA"/>
    <w:rsid w:val="0064299E"/>
    <w:rsid w:val="00644099"/>
    <w:rsid w:val="006445F4"/>
    <w:rsid w:val="0064484F"/>
    <w:rsid w:val="00644CB3"/>
    <w:rsid w:val="00644CFB"/>
    <w:rsid w:val="00644D8D"/>
    <w:rsid w:val="00645386"/>
    <w:rsid w:val="00646348"/>
    <w:rsid w:val="00646AE4"/>
    <w:rsid w:val="00646FC1"/>
    <w:rsid w:val="00647097"/>
    <w:rsid w:val="0064750B"/>
    <w:rsid w:val="006475DD"/>
    <w:rsid w:val="00647B90"/>
    <w:rsid w:val="00650C2A"/>
    <w:rsid w:val="0065359F"/>
    <w:rsid w:val="00653CD2"/>
    <w:rsid w:val="00654EC8"/>
    <w:rsid w:val="00655003"/>
    <w:rsid w:val="00655E3F"/>
    <w:rsid w:val="0065643D"/>
    <w:rsid w:val="0065666C"/>
    <w:rsid w:val="006566E6"/>
    <w:rsid w:val="00656B45"/>
    <w:rsid w:val="00656D6F"/>
    <w:rsid w:val="00656DD6"/>
    <w:rsid w:val="00657A32"/>
    <w:rsid w:val="00660977"/>
    <w:rsid w:val="006618FF"/>
    <w:rsid w:val="00661A0F"/>
    <w:rsid w:val="00661EE6"/>
    <w:rsid w:val="0066236A"/>
    <w:rsid w:val="006626BC"/>
    <w:rsid w:val="006638CD"/>
    <w:rsid w:val="00663CD6"/>
    <w:rsid w:val="006645E0"/>
    <w:rsid w:val="00664CC1"/>
    <w:rsid w:val="00664D68"/>
    <w:rsid w:val="006650A8"/>
    <w:rsid w:val="006650B1"/>
    <w:rsid w:val="00665A30"/>
    <w:rsid w:val="0066608B"/>
    <w:rsid w:val="00666B9E"/>
    <w:rsid w:val="00666F57"/>
    <w:rsid w:val="0066702E"/>
    <w:rsid w:val="00667207"/>
    <w:rsid w:val="00667683"/>
    <w:rsid w:val="006705BD"/>
    <w:rsid w:val="006705DB"/>
    <w:rsid w:val="00670931"/>
    <w:rsid w:val="00670DAA"/>
    <w:rsid w:val="00671092"/>
    <w:rsid w:val="006729E7"/>
    <w:rsid w:val="00672E92"/>
    <w:rsid w:val="006730F7"/>
    <w:rsid w:val="0067316E"/>
    <w:rsid w:val="0067365B"/>
    <w:rsid w:val="00673932"/>
    <w:rsid w:val="00673993"/>
    <w:rsid w:val="00673F68"/>
    <w:rsid w:val="00674063"/>
    <w:rsid w:val="00674CD4"/>
    <w:rsid w:val="00675287"/>
    <w:rsid w:val="00675C87"/>
    <w:rsid w:val="006774D9"/>
    <w:rsid w:val="006778A6"/>
    <w:rsid w:val="00680649"/>
    <w:rsid w:val="00680A64"/>
    <w:rsid w:val="00681440"/>
    <w:rsid w:val="00681C32"/>
    <w:rsid w:val="006823D5"/>
    <w:rsid w:val="006828E7"/>
    <w:rsid w:val="00682F3F"/>
    <w:rsid w:val="006830B0"/>
    <w:rsid w:val="00683608"/>
    <w:rsid w:val="00683789"/>
    <w:rsid w:val="00684D63"/>
    <w:rsid w:val="00684DE1"/>
    <w:rsid w:val="006854A5"/>
    <w:rsid w:val="00686284"/>
    <w:rsid w:val="0068641A"/>
    <w:rsid w:val="0068656B"/>
    <w:rsid w:val="00686A2D"/>
    <w:rsid w:val="006873D3"/>
    <w:rsid w:val="00690E5F"/>
    <w:rsid w:val="006911FB"/>
    <w:rsid w:val="006914DA"/>
    <w:rsid w:val="006923D5"/>
    <w:rsid w:val="0069265B"/>
    <w:rsid w:val="00692CBF"/>
    <w:rsid w:val="00692E99"/>
    <w:rsid w:val="00692F82"/>
    <w:rsid w:val="00693878"/>
    <w:rsid w:val="0069495A"/>
    <w:rsid w:val="0069510B"/>
    <w:rsid w:val="00695215"/>
    <w:rsid w:val="00695B10"/>
    <w:rsid w:val="006962BD"/>
    <w:rsid w:val="0069645D"/>
    <w:rsid w:val="00696715"/>
    <w:rsid w:val="00697016"/>
    <w:rsid w:val="00697701"/>
    <w:rsid w:val="00697FAF"/>
    <w:rsid w:val="00697FFE"/>
    <w:rsid w:val="006A1AD6"/>
    <w:rsid w:val="006A2D23"/>
    <w:rsid w:val="006A30D4"/>
    <w:rsid w:val="006A34DB"/>
    <w:rsid w:val="006A385A"/>
    <w:rsid w:val="006A43C8"/>
    <w:rsid w:val="006A4582"/>
    <w:rsid w:val="006A5292"/>
    <w:rsid w:val="006A5719"/>
    <w:rsid w:val="006A5A22"/>
    <w:rsid w:val="006A5B43"/>
    <w:rsid w:val="006A5D52"/>
    <w:rsid w:val="006A61CE"/>
    <w:rsid w:val="006A66F8"/>
    <w:rsid w:val="006A7CA4"/>
    <w:rsid w:val="006A7D8C"/>
    <w:rsid w:val="006B02C5"/>
    <w:rsid w:val="006B0BED"/>
    <w:rsid w:val="006B12A5"/>
    <w:rsid w:val="006B1573"/>
    <w:rsid w:val="006B1758"/>
    <w:rsid w:val="006B1892"/>
    <w:rsid w:val="006B1BE6"/>
    <w:rsid w:val="006B1E6F"/>
    <w:rsid w:val="006B29C9"/>
    <w:rsid w:val="006B42EF"/>
    <w:rsid w:val="006B4D57"/>
    <w:rsid w:val="006B5142"/>
    <w:rsid w:val="006B5332"/>
    <w:rsid w:val="006B566C"/>
    <w:rsid w:val="006B6C77"/>
    <w:rsid w:val="006B7CE0"/>
    <w:rsid w:val="006C0F60"/>
    <w:rsid w:val="006C153E"/>
    <w:rsid w:val="006C1D96"/>
    <w:rsid w:val="006C1FAE"/>
    <w:rsid w:val="006C2202"/>
    <w:rsid w:val="006C2DA3"/>
    <w:rsid w:val="006C2EA8"/>
    <w:rsid w:val="006C3330"/>
    <w:rsid w:val="006C44D3"/>
    <w:rsid w:val="006C5869"/>
    <w:rsid w:val="006C66A7"/>
    <w:rsid w:val="006C6FF4"/>
    <w:rsid w:val="006C765D"/>
    <w:rsid w:val="006C7E08"/>
    <w:rsid w:val="006D018A"/>
    <w:rsid w:val="006D0A94"/>
    <w:rsid w:val="006D1F6A"/>
    <w:rsid w:val="006D2476"/>
    <w:rsid w:val="006D25C0"/>
    <w:rsid w:val="006D2761"/>
    <w:rsid w:val="006D29EC"/>
    <w:rsid w:val="006D2E59"/>
    <w:rsid w:val="006D318E"/>
    <w:rsid w:val="006D38C4"/>
    <w:rsid w:val="006D3BED"/>
    <w:rsid w:val="006D3D47"/>
    <w:rsid w:val="006D3D71"/>
    <w:rsid w:val="006D3DA5"/>
    <w:rsid w:val="006D59D6"/>
    <w:rsid w:val="006D5ABF"/>
    <w:rsid w:val="006D5CCF"/>
    <w:rsid w:val="006D5FCC"/>
    <w:rsid w:val="006D623D"/>
    <w:rsid w:val="006D649C"/>
    <w:rsid w:val="006D6DF1"/>
    <w:rsid w:val="006D7ABE"/>
    <w:rsid w:val="006E14F5"/>
    <w:rsid w:val="006E2278"/>
    <w:rsid w:val="006E2558"/>
    <w:rsid w:val="006E36A9"/>
    <w:rsid w:val="006E3E08"/>
    <w:rsid w:val="006E3E2B"/>
    <w:rsid w:val="006E4D8E"/>
    <w:rsid w:val="006E502B"/>
    <w:rsid w:val="006E5466"/>
    <w:rsid w:val="006E579F"/>
    <w:rsid w:val="006E6502"/>
    <w:rsid w:val="006E78A2"/>
    <w:rsid w:val="006E7A56"/>
    <w:rsid w:val="006E7A65"/>
    <w:rsid w:val="006F00BF"/>
    <w:rsid w:val="006F036B"/>
    <w:rsid w:val="006F07F2"/>
    <w:rsid w:val="006F0803"/>
    <w:rsid w:val="006F10EC"/>
    <w:rsid w:val="006F19F0"/>
    <w:rsid w:val="006F20CC"/>
    <w:rsid w:val="006F237E"/>
    <w:rsid w:val="006F2BC1"/>
    <w:rsid w:val="006F310F"/>
    <w:rsid w:val="006F3442"/>
    <w:rsid w:val="006F41C0"/>
    <w:rsid w:val="006F4857"/>
    <w:rsid w:val="006F51B9"/>
    <w:rsid w:val="006F5887"/>
    <w:rsid w:val="006F6841"/>
    <w:rsid w:val="006F6899"/>
    <w:rsid w:val="006F6ECA"/>
    <w:rsid w:val="006F71C3"/>
    <w:rsid w:val="006F742F"/>
    <w:rsid w:val="006F770E"/>
    <w:rsid w:val="006F777B"/>
    <w:rsid w:val="006F79D8"/>
    <w:rsid w:val="006F7BB7"/>
    <w:rsid w:val="006F7F57"/>
    <w:rsid w:val="007003BC"/>
    <w:rsid w:val="007007B9"/>
    <w:rsid w:val="00700807"/>
    <w:rsid w:val="00700A1D"/>
    <w:rsid w:val="00700C8E"/>
    <w:rsid w:val="007011E2"/>
    <w:rsid w:val="00701970"/>
    <w:rsid w:val="00701AE6"/>
    <w:rsid w:val="007021A2"/>
    <w:rsid w:val="007034D4"/>
    <w:rsid w:val="00703C4F"/>
    <w:rsid w:val="00703FD0"/>
    <w:rsid w:val="00704286"/>
    <w:rsid w:val="00704623"/>
    <w:rsid w:val="00705587"/>
    <w:rsid w:val="0070594E"/>
    <w:rsid w:val="00705CD9"/>
    <w:rsid w:val="00706AAC"/>
    <w:rsid w:val="00706C43"/>
    <w:rsid w:val="00706E3E"/>
    <w:rsid w:val="00706E4D"/>
    <w:rsid w:val="0070746C"/>
    <w:rsid w:val="007077CA"/>
    <w:rsid w:val="00707885"/>
    <w:rsid w:val="007105F0"/>
    <w:rsid w:val="007107C2"/>
    <w:rsid w:val="0071154A"/>
    <w:rsid w:val="00711579"/>
    <w:rsid w:val="00711D09"/>
    <w:rsid w:val="00712816"/>
    <w:rsid w:val="00712CD8"/>
    <w:rsid w:val="00712CFC"/>
    <w:rsid w:val="00714B53"/>
    <w:rsid w:val="00714B6B"/>
    <w:rsid w:val="00714CE9"/>
    <w:rsid w:val="00714D1C"/>
    <w:rsid w:val="00715673"/>
    <w:rsid w:val="007166B8"/>
    <w:rsid w:val="007169C4"/>
    <w:rsid w:val="00716FB6"/>
    <w:rsid w:val="007173AB"/>
    <w:rsid w:val="00717C87"/>
    <w:rsid w:val="00717F19"/>
    <w:rsid w:val="0072001B"/>
    <w:rsid w:val="0072014B"/>
    <w:rsid w:val="00720283"/>
    <w:rsid w:val="007203CA"/>
    <w:rsid w:val="007207BC"/>
    <w:rsid w:val="0072086B"/>
    <w:rsid w:val="00720BFE"/>
    <w:rsid w:val="00721479"/>
    <w:rsid w:val="0072149A"/>
    <w:rsid w:val="00721E67"/>
    <w:rsid w:val="00722260"/>
    <w:rsid w:val="007223C7"/>
    <w:rsid w:val="00723061"/>
    <w:rsid w:val="00723369"/>
    <w:rsid w:val="007234FE"/>
    <w:rsid w:val="007242C5"/>
    <w:rsid w:val="0072466E"/>
    <w:rsid w:val="00724AC5"/>
    <w:rsid w:val="00724B48"/>
    <w:rsid w:val="00725071"/>
    <w:rsid w:val="00725B27"/>
    <w:rsid w:val="00726326"/>
    <w:rsid w:val="00726482"/>
    <w:rsid w:val="00727217"/>
    <w:rsid w:val="0072784C"/>
    <w:rsid w:val="00731413"/>
    <w:rsid w:val="0073162A"/>
    <w:rsid w:val="00731995"/>
    <w:rsid w:val="00732AFA"/>
    <w:rsid w:val="00732C79"/>
    <w:rsid w:val="00732D04"/>
    <w:rsid w:val="00732F80"/>
    <w:rsid w:val="007335BC"/>
    <w:rsid w:val="007347AE"/>
    <w:rsid w:val="00735290"/>
    <w:rsid w:val="00736123"/>
    <w:rsid w:val="00737C14"/>
    <w:rsid w:val="00737DB4"/>
    <w:rsid w:val="00740374"/>
    <w:rsid w:val="00741024"/>
    <w:rsid w:val="007415F4"/>
    <w:rsid w:val="0074249A"/>
    <w:rsid w:val="00742E9A"/>
    <w:rsid w:val="00744413"/>
    <w:rsid w:val="0074482C"/>
    <w:rsid w:val="00744B2F"/>
    <w:rsid w:val="0074577C"/>
    <w:rsid w:val="00745A2C"/>
    <w:rsid w:val="007464D0"/>
    <w:rsid w:val="00746C10"/>
    <w:rsid w:val="007470AB"/>
    <w:rsid w:val="00747862"/>
    <w:rsid w:val="00747A79"/>
    <w:rsid w:val="00747E17"/>
    <w:rsid w:val="00750045"/>
    <w:rsid w:val="007508F1"/>
    <w:rsid w:val="007517DD"/>
    <w:rsid w:val="00751F47"/>
    <w:rsid w:val="0075247F"/>
    <w:rsid w:val="0075282C"/>
    <w:rsid w:val="00752A55"/>
    <w:rsid w:val="007545A8"/>
    <w:rsid w:val="0075570B"/>
    <w:rsid w:val="00755C0B"/>
    <w:rsid w:val="0075680A"/>
    <w:rsid w:val="00756918"/>
    <w:rsid w:val="00756A96"/>
    <w:rsid w:val="00756B0B"/>
    <w:rsid w:val="007570A9"/>
    <w:rsid w:val="0075729B"/>
    <w:rsid w:val="007574FB"/>
    <w:rsid w:val="00760614"/>
    <w:rsid w:val="00760A1D"/>
    <w:rsid w:val="00760FC5"/>
    <w:rsid w:val="00762550"/>
    <w:rsid w:val="00762824"/>
    <w:rsid w:val="00762BD1"/>
    <w:rsid w:val="00762E1F"/>
    <w:rsid w:val="00763491"/>
    <w:rsid w:val="0076396D"/>
    <w:rsid w:val="0076409A"/>
    <w:rsid w:val="007645D5"/>
    <w:rsid w:val="00765174"/>
    <w:rsid w:val="00765854"/>
    <w:rsid w:val="00765AD1"/>
    <w:rsid w:val="00766487"/>
    <w:rsid w:val="007667A3"/>
    <w:rsid w:val="0076726B"/>
    <w:rsid w:val="00770010"/>
    <w:rsid w:val="00770C43"/>
    <w:rsid w:val="00771357"/>
    <w:rsid w:val="00771794"/>
    <w:rsid w:val="007720ED"/>
    <w:rsid w:val="007731CA"/>
    <w:rsid w:val="00773376"/>
    <w:rsid w:val="00773648"/>
    <w:rsid w:val="00773777"/>
    <w:rsid w:val="0077379B"/>
    <w:rsid w:val="007739C0"/>
    <w:rsid w:val="00773EBD"/>
    <w:rsid w:val="00774182"/>
    <w:rsid w:val="00774974"/>
    <w:rsid w:val="007751C3"/>
    <w:rsid w:val="0077536C"/>
    <w:rsid w:val="007756A6"/>
    <w:rsid w:val="00775716"/>
    <w:rsid w:val="00775DE3"/>
    <w:rsid w:val="007767E1"/>
    <w:rsid w:val="00776B96"/>
    <w:rsid w:val="00776F51"/>
    <w:rsid w:val="0077729B"/>
    <w:rsid w:val="00777718"/>
    <w:rsid w:val="0078023D"/>
    <w:rsid w:val="00781B4A"/>
    <w:rsid w:val="007823BE"/>
    <w:rsid w:val="0078273B"/>
    <w:rsid w:val="0078275F"/>
    <w:rsid w:val="007833D4"/>
    <w:rsid w:val="0078360C"/>
    <w:rsid w:val="00783E90"/>
    <w:rsid w:val="007841A1"/>
    <w:rsid w:val="00784915"/>
    <w:rsid w:val="00785286"/>
    <w:rsid w:val="007857A0"/>
    <w:rsid w:val="00785A8C"/>
    <w:rsid w:val="00785D62"/>
    <w:rsid w:val="007861C4"/>
    <w:rsid w:val="00786BE9"/>
    <w:rsid w:val="00787489"/>
    <w:rsid w:val="00787910"/>
    <w:rsid w:val="00787BDB"/>
    <w:rsid w:val="00787F27"/>
    <w:rsid w:val="0079157D"/>
    <w:rsid w:val="00792409"/>
    <w:rsid w:val="007924A5"/>
    <w:rsid w:val="007932A7"/>
    <w:rsid w:val="00793306"/>
    <w:rsid w:val="00793D52"/>
    <w:rsid w:val="007940D3"/>
    <w:rsid w:val="007941D5"/>
    <w:rsid w:val="00794E57"/>
    <w:rsid w:val="00795487"/>
    <w:rsid w:val="0079556B"/>
    <w:rsid w:val="00795B82"/>
    <w:rsid w:val="00795E5A"/>
    <w:rsid w:val="0079602D"/>
    <w:rsid w:val="00796454"/>
    <w:rsid w:val="00796C5A"/>
    <w:rsid w:val="00796F94"/>
    <w:rsid w:val="00796FD0"/>
    <w:rsid w:val="00797004"/>
    <w:rsid w:val="00797DEF"/>
    <w:rsid w:val="00797F11"/>
    <w:rsid w:val="007A0551"/>
    <w:rsid w:val="007A0A92"/>
    <w:rsid w:val="007A0BAF"/>
    <w:rsid w:val="007A1063"/>
    <w:rsid w:val="007A1200"/>
    <w:rsid w:val="007A1EAF"/>
    <w:rsid w:val="007A203D"/>
    <w:rsid w:val="007A235C"/>
    <w:rsid w:val="007A2B3C"/>
    <w:rsid w:val="007A2B7B"/>
    <w:rsid w:val="007A3360"/>
    <w:rsid w:val="007A3D26"/>
    <w:rsid w:val="007A3F96"/>
    <w:rsid w:val="007A4309"/>
    <w:rsid w:val="007A4323"/>
    <w:rsid w:val="007A4374"/>
    <w:rsid w:val="007A44D4"/>
    <w:rsid w:val="007A466D"/>
    <w:rsid w:val="007A4BCC"/>
    <w:rsid w:val="007A4BF7"/>
    <w:rsid w:val="007A4DE9"/>
    <w:rsid w:val="007A4E94"/>
    <w:rsid w:val="007A600E"/>
    <w:rsid w:val="007A65BB"/>
    <w:rsid w:val="007A70B8"/>
    <w:rsid w:val="007A7B68"/>
    <w:rsid w:val="007B1BE1"/>
    <w:rsid w:val="007B1FE0"/>
    <w:rsid w:val="007B1FF8"/>
    <w:rsid w:val="007B28BE"/>
    <w:rsid w:val="007B2B10"/>
    <w:rsid w:val="007B2FCB"/>
    <w:rsid w:val="007B2FF9"/>
    <w:rsid w:val="007B375D"/>
    <w:rsid w:val="007B3AA2"/>
    <w:rsid w:val="007B402B"/>
    <w:rsid w:val="007B45BE"/>
    <w:rsid w:val="007B57B3"/>
    <w:rsid w:val="007B6870"/>
    <w:rsid w:val="007B6CA4"/>
    <w:rsid w:val="007B78D4"/>
    <w:rsid w:val="007C0485"/>
    <w:rsid w:val="007C09EF"/>
    <w:rsid w:val="007C117F"/>
    <w:rsid w:val="007C13C7"/>
    <w:rsid w:val="007C1898"/>
    <w:rsid w:val="007C25F7"/>
    <w:rsid w:val="007C3C5A"/>
    <w:rsid w:val="007C4FB5"/>
    <w:rsid w:val="007C52C8"/>
    <w:rsid w:val="007C55B7"/>
    <w:rsid w:val="007C5AC3"/>
    <w:rsid w:val="007C729D"/>
    <w:rsid w:val="007C77C0"/>
    <w:rsid w:val="007C7F9E"/>
    <w:rsid w:val="007D0922"/>
    <w:rsid w:val="007D0FF8"/>
    <w:rsid w:val="007D16B6"/>
    <w:rsid w:val="007D1782"/>
    <w:rsid w:val="007D1FDA"/>
    <w:rsid w:val="007D2184"/>
    <w:rsid w:val="007D2615"/>
    <w:rsid w:val="007D2B32"/>
    <w:rsid w:val="007D2EA2"/>
    <w:rsid w:val="007D3510"/>
    <w:rsid w:val="007D3A38"/>
    <w:rsid w:val="007D3AB9"/>
    <w:rsid w:val="007D4889"/>
    <w:rsid w:val="007D48E3"/>
    <w:rsid w:val="007D4EBC"/>
    <w:rsid w:val="007D551D"/>
    <w:rsid w:val="007D57C7"/>
    <w:rsid w:val="007D61D9"/>
    <w:rsid w:val="007D64DA"/>
    <w:rsid w:val="007D6648"/>
    <w:rsid w:val="007D66E3"/>
    <w:rsid w:val="007D6DC9"/>
    <w:rsid w:val="007E04B3"/>
    <w:rsid w:val="007E0B7D"/>
    <w:rsid w:val="007E196E"/>
    <w:rsid w:val="007E199E"/>
    <w:rsid w:val="007E1C61"/>
    <w:rsid w:val="007E1D39"/>
    <w:rsid w:val="007E2CB1"/>
    <w:rsid w:val="007E2F45"/>
    <w:rsid w:val="007E38DA"/>
    <w:rsid w:val="007E3AF8"/>
    <w:rsid w:val="007E3FCC"/>
    <w:rsid w:val="007E4296"/>
    <w:rsid w:val="007E435C"/>
    <w:rsid w:val="007E4A6A"/>
    <w:rsid w:val="007E508F"/>
    <w:rsid w:val="007E5166"/>
    <w:rsid w:val="007E5182"/>
    <w:rsid w:val="007E5517"/>
    <w:rsid w:val="007E562E"/>
    <w:rsid w:val="007E5CE0"/>
    <w:rsid w:val="007E5D53"/>
    <w:rsid w:val="007E6489"/>
    <w:rsid w:val="007E7157"/>
    <w:rsid w:val="007E7491"/>
    <w:rsid w:val="007E77A4"/>
    <w:rsid w:val="007E7F91"/>
    <w:rsid w:val="007F00DC"/>
    <w:rsid w:val="007F064A"/>
    <w:rsid w:val="007F0AEB"/>
    <w:rsid w:val="007F1849"/>
    <w:rsid w:val="007F1ABA"/>
    <w:rsid w:val="007F1B07"/>
    <w:rsid w:val="007F1C44"/>
    <w:rsid w:val="007F2485"/>
    <w:rsid w:val="007F2603"/>
    <w:rsid w:val="007F300F"/>
    <w:rsid w:val="007F462E"/>
    <w:rsid w:val="007F48AE"/>
    <w:rsid w:val="007F5E31"/>
    <w:rsid w:val="007F6A20"/>
    <w:rsid w:val="007F6C75"/>
    <w:rsid w:val="007F752F"/>
    <w:rsid w:val="007F75EE"/>
    <w:rsid w:val="007F76C1"/>
    <w:rsid w:val="007F7760"/>
    <w:rsid w:val="007F7CE6"/>
    <w:rsid w:val="008002D5"/>
    <w:rsid w:val="0080036B"/>
    <w:rsid w:val="00800A86"/>
    <w:rsid w:val="00801F8A"/>
    <w:rsid w:val="0080394E"/>
    <w:rsid w:val="00803D8E"/>
    <w:rsid w:val="008042B4"/>
    <w:rsid w:val="008049D2"/>
    <w:rsid w:val="00804AF9"/>
    <w:rsid w:val="0080527F"/>
    <w:rsid w:val="00806083"/>
    <w:rsid w:val="008071B8"/>
    <w:rsid w:val="008071E0"/>
    <w:rsid w:val="008071F1"/>
    <w:rsid w:val="00807A31"/>
    <w:rsid w:val="008104A3"/>
    <w:rsid w:val="00810E95"/>
    <w:rsid w:val="00811160"/>
    <w:rsid w:val="00811669"/>
    <w:rsid w:val="008117A4"/>
    <w:rsid w:val="008117FB"/>
    <w:rsid w:val="00812FAF"/>
    <w:rsid w:val="00813087"/>
    <w:rsid w:val="008133DB"/>
    <w:rsid w:val="008135C3"/>
    <w:rsid w:val="008138DD"/>
    <w:rsid w:val="00813E72"/>
    <w:rsid w:val="008148A1"/>
    <w:rsid w:val="00814B35"/>
    <w:rsid w:val="00814E25"/>
    <w:rsid w:val="00815405"/>
    <w:rsid w:val="008154C0"/>
    <w:rsid w:val="0081589A"/>
    <w:rsid w:val="00815BCA"/>
    <w:rsid w:val="00816726"/>
    <w:rsid w:val="008169DB"/>
    <w:rsid w:val="00816C0C"/>
    <w:rsid w:val="00817283"/>
    <w:rsid w:val="008176D6"/>
    <w:rsid w:val="0081795E"/>
    <w:rsid w:val="00817A2A"/>
    <w:rsid w:val="00817CC5"/>
    <w:rsid w:val="00821072"/>
    <w:rsid w:val="008215EE"/>
    <w:rsid w:val="00821FE5"/>
    <w:rsid w:val="00822B1B"/>
    <w:rsid w:val="00822C55"/>
    <w:rsid w:val="00822EC1"/>
    <w:rsid w:val="00824387"/>
    <w:rsid w:val="008244C0"/>
    <w:rsid w:val="008248EC"/>
    <w:rsid w:val="00824E13"/>
    <w:rsid w:val="00825005"/>
    <w:rsid w:val="008250E5"/>
    <w:rsid w:val="00825245"/>
    <w:rsid w:val="008254D2"/>
    <w:rsid w:val="00825EA6"/>
    <w:rsid w:val="00825FA2"/>
    <w:rsid w:val="008264CA"/>
    <w:rsid w:val="00827806"/>
    <w:rsid w:val="00827E56"/>
    <w:rsid w:val="008304A0"/>
    <w:rsid w:val="00830824"/>
    <w:rsid w:val="00830B43"/>
    <w:rsid w:val="00830F9D"/>
    <w:rsid w:val="00831A9C"/>
    <w:rsid w:val="008320E9"/>
    <w:rsid w:val="00832673"/>
    <w:rsid w:val="00833380"/>
    <w:rsid w:val="008339BE"/>
    <w:rsid w:val="00833A0B"/>
    <w:rsid w:val="00833B88"/>
    <w:rsid w:val="00833E92"/>
    <w:rsid w:val="00833FDD"/>
    <w:rsid w:val="00834241"/>
    <w:rsid w:val="00834A39"/>
    <w:rsid w:val="00834B8E"/>
    <w:rsid w:val="0083506E"/>
    <w:rsid w:val="008355E3"/>
    <w:rsid w:val="0083664E"/>
    <w:rsid w:val="008367A5"/>
    <w:rsid w:val="00836D6B"/>
    <w:rsid w:val="00836FD4"/>
    <w:rsid w:val="008379EC"/>
    <w:rsid w:val="00840090"/>
    <w:rsid w:val="00840104"/>
    <w:rsid w:val="00840CEC"/>
    <w:rsid w:val="008416B4"/>
    <w:rsid w:val="0084219F"/>
    <w:rsid w:val="00842D2B"/>
    <w:rsid w:val="008435A3"/>
    <w:rsid w:val="00843FD8"/>
    <w:rsid w:val="008457B6"/>
    <w:rsid w:val="0084580A"/>
    <w:rsid w:val="008466F8"/>
    <w:rsid w:val="00846A80"/>
    <w:rsid w:val="00846BB1"/>
    <w:rsid w:val="00846EB1"/>
    <w:rsid w:val="00847506"/>
    <w:rsid w:val="00847659"/>
    <w:rsid w:val="00847A80"/>
    <w:rsid w:val="008504E1"/>
    <w:rsid w:val="00850CEC"/>
    <w:rsid w:val="00851660"/>
    <w:rsid w:val="00851DC6"/>
    <w:rsid w:val="00851EBC"/>
    <w:rsid w:val="0085205B"/>
    <w:rsid w:val="0085258C"/>
    <w:rsid w:val="008525D0"/>
    <w:rsid w:val="00852860"/>
    <w:rsid w:val="00852B7F"/>
    <w:rsid w:val="0085310D"/>
    <w:rsid w:val="0085351C"/>
    <w:rsid w:val="00853554"/>
    <w:rsid w:val="008540D2"/>
    <w:rsid w:val="00854119"/>
    <w:rsid w:val="0085433B"/>
    <w:rsid w:val="00855854"/>
    <w:rsid w:val="00855967"/>
    <w:rsid w:val="00855DBC"/>
    <w:rsid w:val="00855ED0"/>
    <w:rsid w:val="00856008"/>
    <w:rsid w:val="00856583"/>
    <w:rsid w:val="008566F7"/>
    <w:rsid w:val="0085680C"/>
    <w:rsid w:val="00856C0A"/>
    <w:rsid w:val="00860102"/>
    <w:rsid w:val="0086098D"/>
    <w:rsid w:val="008619B5"/>
    <w:rsid w:val="00861D45"/>
    <w:rsid w:val="00862573"/>
    <w:rsid w:val="00862907"/>
    <w:rsid w:val="00862DEF"/>
    <w:rsid w:val="00863389"/>
    <w:rsid w:val="008633A6"/>
    <w:rsid w:val="008634FD"/>
    <w:rsid w:val="008635C3"/>
    <w:rsid w:val="008636E8"/>
    <w:rsid w:val="008637C2"/>
    <w:rsid w:val="00863C2F"/>
    <w:rsid w:val="0086481A"/>
    <w:rsid w:val="008648FD"/>
    <w:rsid w:val="008649E4"/>
    <w:rsid w:val="00865BF4"/>
    <w:rsid w:val="0086609E"/>
    <w:rsid w:val="00866128"/>
    <w:rsid w:val="00866E6D"/>
    <w:rsid w:val="00866EE9"/>
    <w:rsid w:val="00866FFC"/>
    <w:rsid w:val="00867412"/>
    <w:rsid w:val="0086799B"/>
    <w:rsid w:val="00870377"/>
    <w:rsid w:val="0087046E"/>
    <w:rsid w:val="008710C7"/>
    <w:rsid w:val="008712CF"/>
    <w:rsid w:val="00872936"/>
    <w:rsid w:val="00872C82"/>
    <w:rsid w:val="00872EEB"/>
    <w:rsid w:val="00873C6C"/>
    <w:rsid w:val="00873CD4"/>
    <w:rsid w:val="008755E2"/>
    <w:rsid w:val="00875624"/>
    <w:rsid w:val="00875D05"/>
    <w:rsid w:val="00876114"/>
    <w:rsid w:val="00877046"/>
    <w:rsid w:val="0087790E"/>
    <w:rsid w:val="00877B70"/>
    <w:rsid w:val="00880185"/>
    <w:rsid w:val="00880621"/>
    <w:rsid w:val="00880C91"/>
    <w:rsid w:val="00881046"/>
    <w:rsid w:val="00881206"/>
    <w:rsid w:val="008828EE"/>
    <w:rsid w:val="00882EBB"/>
    <w:rsid w:val="00883823"/>
    <w:rsid w:val="00883D53"/>
    <w:rsid w:val="00883FB1"/>
    <w:rsid w:val="0088497E"/>
    <w:rsid w:val="00885458"/>
    <w:rsid w:val="00885BF0"/>
    <w:rsid w:val="00885D60"/>
    <w:rsid w:val="00886519"/>
    <w:rsid w:val="00886BAE"/>
    <w:rsid w:val="00886FA8"/>
    <w:rsid w:val="00887647"/>
    <w:rsid w:val="008879D1"/>
    <w:rsid w:val="00887EBC"/>
    <w:rsid w:val="008905EC"/>
    <w:rsid w:val="0089216C"/>
    <w:rsid w:val="008935DF"/>
    <w:rsid w:val="008937FA"/>
    <w:rsid w:val="008947AB"/>
    <w:rsid w:val="008950D7"/>
    <w:rsid w:val="00895564"/>
    <w:rsid w:val="00895782"/>
    <w:rsid w:val="00895AE5"/>
    <w:rsid w:val="00895BBE"/>
    <w:rsid w:val="00896A36"/>
    <w:rsid w:val="00896C2C"/>
    <w:rsid w:val="0089755D"/>
    <w:rsid w:val="008A049D"/>
    <w:rsid w:val="008A05FC"/>
    <w:rsid w:val="008A2631"/>
    <w:rsid w:val="008A2B3B"/>
    <w:rsid w:val="008A2F04"/>
    <w:rsid w:val="008A317B"/>
    <w:rsid w:val="008A382E"/>
    <w:rsid w:val="008A4A4F"/>
    <w:rsid w:val="008A4C3F"/>
    <w:rsid w:val="008A53F1"/>
    <w:rsid w:val="008A5661"/>
    <w:rsid w:val="008A6150"/>
    <w:rsid w:val="008A6E39"/>
    <w:rsid w:val="008A6E67"/>
    <w:rsid w:val="008A764C"/>
    <w:rsid w:val="008A7D9A"/>
    <w:rsid w:val="008B0538"/>
    <w:rsid w:val="008B1B67"/>
    <w:rsid w:val="008B1FEA"/>
    <w:rsid w:val="008B353A"/>
    <w:rsid w:val="008B4746"/>
    <w:rsid w:val="008B5217"/>
    <w:rsid w:val="008B5949"/>
    <w:rsid w:val="008B599E"/>
    <w:rsid w:val="008B5DF1"/>
    <w:rsid w:val="008B5EE5"/>
    <w:rsid w:val="008B6A3B"/>
    <w:rsid w:val="008B71AF"/>
    <w:rsid w:val="008B727A"/>
    <w:rsid w:val="008B7884"/>
    <w:rsid w:val="008B7FF7"/>
    <w:rsid w:val="008C0D94"/>
    <w:rsid w:val="008C1047"/>
    <w:rsid w:val="008C1770"/>
    <w:rsid w:val="008C1887"/>
    <w:rsid w:val="008C1DD6"/>
    <w:rsid w:val="008C20EB"/>
    <w:rsid w:val="008C20F6"/>
    <w:rsid w:val="008C2301"/>
    <w:rsid w:val="008C2359"/>
    <w:rsid w:val="008C308F"/>
    <w:rsid w:val="008C30DF"/>
    <w:rsid w:val="008C3259"/>
    <w:rsid w:val="008C4F92"/>
    <w:rsid w:val="008C63D4"/>
    <w:rsid w:val="008C70AF"/>
    <w:rsid w:val="008C7659"/>
    <w:rsid w:val="008D0166"/>
    <w:rsid w:val="008D0362"/>
    <w:rsid w:val="008D182F"/>
    <w:rsid w:val="008D2DE8"/>
    <w:rsid w:val="008D3226"/>
    <w:rsid w:val="008D32EE"/>
    <w:rsid w:val="008D35DD"/>
    <w:rsid w:val="008D42A6"/>
    <w:rsid w:val="008D45C7"/>
    <w:rsid w:val="008D4760"/>
    <w:rsid w:val="008D4B8A"/>
    <w:rsid w:val="008D5016"/>
    <w:rsid w:val="008D5DDE"/>
    <w:rsid w:val="008D6344"/>
    <w:rsid w:val="008D63C2"/>
    <w:rsid w:val="008D6455"/>
    <w:rsid w:val="008D6491"/>
    <w:rsid w:val="008D76A7"/>
    <w:rsid w:val="008E008C"/>
    <w:rsid w:val="008E029B"/>
    <w:rsid w:val="008E02BA"/>
    <w:rsid w:val="008E030C"/>
    <w:rsid w:val="008E0760"/>
    <w:rsid w:val="008E0C9B"/>
    <w:rsid w:val="008E1249"/>
    <w:rsid w:val="008E1372"/>
    <w:rsid w:val="008E19BF"/>
    <w:rsid w:val="008E2500"/>
    <w:rsid w:val="008E253A"/>
    <w:rsid w:val="008E2FC6"/>
    <w:rsid w:val="008E2FD9"/>
    <w:rsid w:val="008E3D3D"/>
    <w:rsid w:val="008E3DFF"/>
    <w:rsid w:val="008E3EDF"/>
    <w:rsid w:val="008E4550"/>
    <w:rsid w:val="008E4738"/>
    <w:rsid w:val="008E49D0"/>
    <w:rsid w:val="008E49D2"/>
    <w:rsid w:val="008E4C9B"/>
    <w:rsid w:val="008E5050"/>
    <w:rsid w:val="008E52F4"/>
    <w:rsid w:val="008E57B0"/>
    <w:rsid w:val="008E5882"/>
    <w:rsid w:val="008E5C0B"/>
    <w:rsid w:val="008E683D"/>
    <w:rsid w:val="008E75C3"/>
    <w:rsid w:val="008E75FD"/>
    <w:rsid w:val="008E77B4"/>
    <w:rsid w:val="008E7A63"/>
    <w:rsid w:val="008F020A"/>
    <w:rsid w:val="008F0245"/>
    <w:rsid w:val="008F0D88"/>
    <w:rsid w:val="008F0F58"/>
    <w:rsid w:val="008F3400"/>
    <w:rsid w:val="008F3B09"/>
    <w:rsid w:val="008F3D37"/>
    <w:rsid w:val="008F4955"/>
    <w:rsid w:val="008F4CD1"/>
    <w:rsid w:val="008F4E88"/>
    <w:rsid w:val="008F50CE"/>
    <w:rsid w:val="008F65CF"/>
    <w:rsid w:val="008F672F"/>
    <w:rsid w:val="008F6906"/>
    <w:rsid w:val="008F6D42"/>
    <w:rsid w:val="008F7920"/>
    <w:rsid w:val="009001C6"/>
    <w:rsid w:val="00900380"/>
    <w:rsid w:val="00900E6F"/>
    <w:rsid w:val="00901372"/>
    <w:rsid w:val="009027C0"/>
    <w:rsid w:val="00902857"/>
    <w:rsid w:val="00903333"/>
    <w:rsid w:val="00903480"/>
    <w:rsid w:val="009041C4"/>
    <w:rsid w:val="00904594"/>
    <w:rsid w:val="009049F8"/>
    <w:rsid w:val="00904F3E"/>
    <w:rsid w:val="009050BC"/>
    <w:rsid w:val="00905137"/>
    <w:rsid w:val="00905D6E"/>
    <w:rsid w:val="009060D5"/>
    <w:rsid w:val="0090738A"/>
    <w:rsid w:val="009075E2"/>
    <w:rsid w:val="009077F7"/>
    <w:rsid w:val="00910428"/>
    <w:rsid w:val="00910588"/>
    <w:rsid w:val="009106F4"/>
    <w:rsid w:val="00910794"/>
    <w:rsid w:val="00911841"/>
    <w:rsid w:val="00912247"/>
    <w:rsid w:val="009123CD"/>
    <w:rsid w:val="00914B72"/>
    <w:rsid w:val="00914F52"/>
    <w:rsid w:val="00915309"/>
    <w:rsid w:val="009153DF"/>
    <w:rsid w:val="009155C7"/>
    <w:rsid w:val="00916866"/>
    <w:rsid w:val="009171E4"/>
    <w:rsid w:val="0091737C"/>
    <w:rsid w:val="009174F2"/>
    <w:rsid w:val="00917B6A"/>
    <w:rsid w:val="0092095B"/>
    <w:rsid w:val="00920DF6"/>
    <w:rsid w:val="00920E35"/>
    <w:rsid w:val="009214C3"/>
    <w:rsid w:val="00921E46"/>
    <w:rsid w:val="00922DB7"/>
    <w:rsid w:val="00922F8D"/>
    <w:rsid w:val="00923528"/>
    <w:rsid w:val="0092378C"/>
    <w:rsid w:val="0092389E"/>
    <w:rsid w:val="00924E9C"/>
    <w:rsid w:val="00924FEE"/>
    <w:rsid w:val="00926084"/>
    <w:rsid w:val="009260A1"/>
    <w:rsid w:val="00926CC9"/>
    <w:rsid w:val="00926DF8"/>
    <w:rsid w:val="00927051"/>
    <w:rsid w:val="009275ED"/>
    <w:rsid w:val="0092776B"/>
    <w:rsid w:val="0092776E"/>
    <w:rsid w:val="00930602"/>
    <w:rsid w:val="009306CF"/>
    <w:rsid w:val="00931025"/>
    <w:rsid w:val="00931BDD"/>
    <w:rsid w:val="00931F3E"/>
    <w:rsid w:val="0093256E"/>
    <w:rsid w:val="0093259A"/>
    <w:rsid w:val="009327AD"/>
    <w:rsid w:val="00932C4E"/>
    <w:rsid w:val="00932EE2"/>
    <w:rsid w:val="00933985"/>
    <w:rsid w:val="009350AC"/>
    <w:rsid w:val="0093630A"/>
    <w:rsid w:val="009365F7"/>
    <w:rsid w:val="00936A3B"/>
    <w:rsid w:val="00940278"/>
    <w:rsid w:val="00940FD7"/>
    <w:rsid w:val="009410FF"/>
    <w:rsid w:val="009416AA"/>
    <w:rsid w:val="00941BDC"/>
    <w:rsid w:val="00942E67"/>
    <w:rsid w:val="00943BC0"/>
    <w:rsid w:val="00943D5F"/>
    <w:rsid w:val="009447EA"/>
    <w:rsid w:val="00944C00"/>
    <w:rsid w:val="00945783"/>
    <w:rsid w:val="00945AB0"/>
    <w:rsid w:val="0094613C"/>
    <w:rsid w:val="0094619B"/>
    <w:rsid w:val="009463C5"/>
    <w:rsid w:val="00946563"/>
    <w:rsid w:val="00946928"/>
    <w:rsid w:val="00946B1F"/>
    <w:rsid w:val="00946F47"/>
    <w:rsid w:val="0094770A"/>
    <w:rsid w:val="00947765"/>
    <w:rsid w:val="00947925"/>
    <w:rsid w:val="0095028E"/>
    <w:rsid w:val="0095058F"/>
    <w:rsid w:val="00950CAC"/>
    <w:rsid w:val="0095171D"/>
    <w:rsid w:val="009522E8"/>
    <w:rsid w:val="00952423"/>
    <w:rsid w:val="009527D5"/>
    <w:rsid w:val="00952B2E"/>
    <w:rsid w:val="00952DCA"/>
    <w:rsid w:val="0095342C"/>
    <w:rsid w:val="00953A13"/>
    <w:rsid w:val="00953C53"/>
    <w:rsid w:val="0095490F"/>
    <w:rsid w:val="00955199"/>
    <w:rsid w:val="009559A0"/>
    <w:rsid w:val="00956352"/>
    <w:rsid w:val="0095697B"/>
    <w:rsid w:val="00956981"/>
    <w:rsid w:val="00956F06"/>
    <w:rsid w:val="00956FC9"/>
    <w:rsid w:val="00957839"/>
    <w:rsid w:val="00957B00"/>
    <w:rsid w:val="00957E67"/>
    <w:rsid w:val="00957F49"/>
    <w:rsid w:val="00960448"/>
    <w:rsid w:val="0096092E"/>
    <w:rsid w:val="00960986"/>
    <w:rsid w:val="00960CAB"/>
    <w:rsid w:val="009610E0"/>
    <w:rsid w:val="0096165A"/>
    <w:rsid w:val="00961F0F"/>
    <w:rsid w:val="00962037"/>
    <w:rsid w:val="00962840"/>
    <w:rsid w:val="00962FAB"/>
    <w:rsid w:val="00963657"/>
    <w:rsid w:val="00963B50"/>
    <w:rsid w:val="00964419"/>
    <w:rsid w:val="00964583"/>
    <w:rsid w:val="00964B5C"/>
    <w:rsid w:val="00965B9D"/>
    <w:rsid w:val="00966501"/>
    <w:rsid w:val="00966542"/>
    <w:rsid w:val="009669E9"/>
    <w:rsid w:val="009678F9"/>
    <w:rsid w:val="00967A0C"/>
    <w:rsid w:val="00967AFD"/>
    <w:rsid w:val="009708FB"/>
    <w:rsid w:val="009708FF"/>
    <w:rsid w:val="009713BA"/>
    <w:rsid w:val="009724E2"/>
    <w:rsid w:val="009726BB"/>
    <w:rsid w:val="00973048"/>
    <w:rsid w:val="0097357A"/>
    <w:rsid w:val="009738D1"/>
    <w:rsid w:val="00974CC5"/>
    <w:rsid w:val="00975214"/>
    <w:rsid w:val="009754F1"/>
    <w:rsid w:val="00976194"/>
    <w:rsid w:val="009761AF"/>
    <w:rsid w:val="00976CF0"/>
    <w:rsid w:val="009770E6"/>
    <w:rsid w:val="00977817"/>
    <w:rsid w:val="00977FDC"/>
    <w:rsid w:val="009800DE"/>
    <w:rsid w:val="00980E50"/>
    <w:rsid w:val="009817EC"/>
    <w:rsid w:val="00981E07"/>
    <w:rsid w:val="00982015"/>
    <w:rsid w:val="0098275B"/>
    <w:rsid w:val="009827B0"/>
    <w:rsid w:val="00982949"/>
    <w:rsid w:val="00982A97"/>
    <w:rsid w:val="00983231"/>
    <w:rsid w:val="0098375B"/>
    <w:rsid w:val="00983F71"/>
    <w:rsid w:val="00984346"/>
    <w:rsid w:val="0098469D"/>
    <w:rsid w:val="00984CF7"/>
    <w:rsid w:val="00984F7D"/>
    <w:rsid w:val="009853F8"/>
    <w:rsid w:val="0098555C"/>
    <w:rsid w:val="0098580B"/>
    <w:rsid w:val="009862FD"/>
    <w:rsid w:val="009863B0"/>
    <w:rsid w:val="00987144"/>
    <w:rsid w:val="00987150"/>
    <w:rsid w:val="00987CCD"/>
    <w:rsid w:val="00991268"/>
    <w:rsid w:val="0099181C"/>
    <w:rsid w:val="00991B18"/>
    <w:rsid w:val="00992F94"/>
    <w:rsid w:val="00993466"/>
    <w:rsid w:val="00993E26"/>
    <w:rsid w:val="00994C09"/>
    <w:rsid w:val="00994CF7"/>
    <w:rsid w:val="00995121"/>
    <w:rsid w:val="00995B06"/>
    <w:rsid w:val="009A072B"/>
    <w:rsid w:val="009A12C8"/>
    <w:rsid w:val="009A16F5"/>
    <w:rsid w:val="009A184E"/>
    <w:rsid w:val="009A1947"/>
    <w:rsid w:val="009A1DD2"/>
    <w:rsid w:val="009A1F28"/>
    <w:rsid w:val="009A2427"/>
    <w:rsid w:val="009A2575"/>
    <w:rsid w:val="009A2EA4"/>
    <w:rsid w:val="009A325D"/>
    <w:rsid w:val="009A3E45"/>
    <w:rsid w:val="009A4021"/>
    <w:rsid w:val="009A4120"/>
    <w:rsid w:val="009A4708"/>
    <w:rsid w:val="009A4D03"/>
    <w:rsid w:val="009A510A"/>
    <w:rsid w:val="009A552C"/>
    <w:rsid w:val="009A5736"/>
    <w:rsid w:val="009A57A0"/>
    <w:rsid w:val="009A6627"/>
    <w:rsid w:val="009A6BBA"/>
    <w:rsid w:val="009A7182"/>
    <w:rsid w:val="009A7665"/>
    <w:rsid w:val="009B067C"/>
    <w:rsid w:val="009B1A44"/>
    <w:rsid w:val="009B1FBA"/>
    <w:rsid w:val="009B206B"/>
    <w:rsid w:val="009B211E"/>
    <w:rsid w:val="009B3E42"/>
    <w:rsid w:val="009B469D"/>
    <w:rsid w:val="009B47C2"/>
    <w:rsid w:val="009B4883"/>
    <w:rsid w:val="009B4999"/>
    <w:rsid w:val="009B5563"/>
    <w:rsid w:val="009B62CB"/>
    <w:rsid w:val="009B6302"/>
    <w:rsid w:val="009B689C"/>
    <w:rsid w:val="009B6B37"/>
    <w:rsid w:val="009B713C"/>
    <w:rsid w:val="009B73F7"/>
    <w:rsid w:val="009B79C6"/>
    <w:rsid w:val="009C18E3"/>
    <w:rsid w:val="009C1C88"/>
    <w:rsid w:val="009C1DF6"/>
    <w:rsid w:val="009C1F43"/>
    <w:rsid w:val="009C2209"/>
    <w:rsid w:val="009C231E"/>
    <w:rsid w:val="009C23EE"/>
    <w:rsid w:val="009C2596"/>
    <w:rsid w:val="009C28E9"/>
    <w:rsid w:val="009C2A25"/>
    <w:rsid w:val="009C3033"/>
    <w:rsid w:val="009C477A"/>
    <w:rsid w:val="009C4EAC"/>
    <w:rsid w:val="009C568C"/>
    <w:rsid w:val="009C5CA8"/>
    <w:rsid w:val="009C5FDC"/>
    <w:rsid w:val="009C60E7"/>
    <w:rsid w:val="009C611D"/>
    <w:rsid w:val="009C7D81"/>
    <w:rsid w:val="009D0684"/>
    <w:rsid w:val="009D10FB"/>
    <w:rsid w:val="009D18F7"/>
    <w:rsid w:val="009D19DB"/>
    <w:rsid w:val="009D2A3D"/>
    <w:rsid w:val="009D2C3F"/>
    <w:rsid w:val="009D2E44"/>
    <w:rsid w:val="009D2E4A"/>
    <w:rsid w:val="009D3C00"/>
    <w:rsid w:val="009D47FB"/>
    <w:rsid w:val="009D4E01"/>
    <w:rsid w:val="009D518F"/>
    <w:rsid w:val="009D5413"/>
    <w:rsid w:val="009D5897"/>
    <w:rsid w:val="009D6170"/>
    <w:rsid w:val="009D65AD"/>
    <w:rsid w:val="009D7A34"/>
    <w:rsid w:val="009E04FC"/>
    <w:rsid w:val="009E0EEA"/>
    <w:rsid w:val="009E16AA"/>
    <w:rsid w:val="009E1A4C"/>
    <w:rsid w:val="009E1D40"/>
    <w:rsid w:val="009E1D80"/>
    <w:rsid w:val="009E2668"/>
    <w:rsid w:val="009E2958"/>
    <w:rsid w:val="009E2C6E"/>
    <w:rsid w:val="009E373A"/>
    <w:rsid w:val="009E3AA6"/>
    <w:rsid w:val="009E3C13"/>
    <w:rsid w:val="009E51A3"/>
    <w:rsid w:val="009E529C"/>
    <w:rsid w:val="009E55D1"/>
    <w:rsid w:val="009E5DCF"/>
    <w:rsid w:val="009E5DE7"/>
    <w:rsid w:val="009E6E8C"/>
    <w:rsid w:val="009E71CE"/>
    <w:rsid w:val="009E72C4"/>
    <w:rsid w:val="009E7BD0"/>
    <w:rsid w:val="009F04C3"/>
    <w:rsid w:val="009F04D0"/>
    <w:rsid w:val="009F0C82"/>
    <w:rsid w:val="009F10B1"/>
    <w:rsid w:val="009F20AD"/>
    <w:rsid w:val="009F2B07"/>
    <w:rsid w:val="009F5321"/>
    <w:rsid w:val="009F5436"/>
    <w:rsid w:val="009F591E"/>
    <w:rsid w:val="009F5E7B"/>
    <w:rsid w:val="009F627D"/>
    <w:rsid w:val="009F6C00"/>
    <w:rsid w:val="009F7407"/>
    <w:rsid w:val="009F7492"/>
    <w:rsid w:val="009F7F4B"/>
    <w:rsid w:val="00A01483"/>
    <w:rsid w:val="00A01CA5"/>
    <w:rsid w:val="00A01EB2"/>
    <w:rsid w:val="00A0236C"/>
    <w:rsid w:val="00A026B0"/>
    <w:rsid w:val="00A02A1D"/>
    <w:rsid w:val="00A03189"/>
    <w:rsid w:val="00A032AB"/>
    <w:rsid w:val="00A0367B"/>
    <w:rsid w:val="00A04D33"/>
    <w:rsid w:val="00A04ED2"/>
    <w:rsid w:val="00A05389"/>
    <w:rsid w:val="00A05F3B"/>
    <w:rsid w:val="00A06660"/>
    <w:rsid w:val="00A06CFE"/>
    <w:rsid w:val="00A06D99"/>
    <w:rsid w:val="00A06FC8"/>
    <w:rsid w:val="00A071D9"/>
    <w:rsid w:val="00A073D7"/>
    <w:rsid w:val="00A07A6D"/>
    <w:rsid w:val="00A10308"/>
    <w:rsid w:val="00A10383"/>
    <w:rsid w:val="00A10588"/>
    <w:rsid w:val="00A105A4"/>
    <w:rsid w:val="00A109C6"/>
    <w:rsid w:val="00A11BEA"/>
    <w:rsid w:val="00A11E90"/>
    <w:rsid w:val="00A123B8"/>
    <w:rsid w:val="00A123FF"/>
    <w:rsid w:val="00A126A0"/>
    <w:rsid w:val="00A12BD7"/>
    <w:rsid w:val="00A134CA"/>
    <w:rsid w:val="00A13B2E"/>
    <w:rsid w:val="00A14012"/>
    <w:rsid w:val="00A144E8"/>
    <w:rsid w:val="00A14806"/>
    <w:rsid w:val="00A14F31"/>
    <w:rsid w:val="00A1579D"/>
    <w:rsid w:val="00A159AB"/>
    <w:rsid w:val="00A16146"/>
    <w:rsid w:val="00A178D9"/>
    <w:rsid w:val="00A17A2B"/>
    <w:rsid w:val="00A17DF7"/>
    <w:rsid w:val="00A2092E"/>
    <w:rsid w:val="00A20A0B"/>
    <w:rsid w:val="00A20C4B"/>
    <w:rsid w:val="00A20D04"/>
    <w:rsid w:val="00A20EE4"/>
    <w:rsid w:val="00A21295"/>
    <w:rsid w:val="00A21670"/>
    <w:rsid w:val="00A21B42"/>
    <w:rsid w:val="00A21CED"/>
    <w:rsid w:val="00A21D8C"/>
    <w:rsid w:val="00A220C9"/>
    <w:rsid w:val="00A2220E"/>
    <w:rsid w:val="00A2223E"/>
    <w:rsid w:val="00A22419"/>
    <w:rsid w:val="00A22B7C"/>
    <w:rsid w:val="00A24201"/>
    <w:rsid w:val="00A24DBF"/>
    <w:rsid w:val="00A24FFA"/>
    <w:rsid w:val="00A2521C"/>
    <w:rsid w:val="00A252E0"/>
    <w:rsid w:val="00A25511"/>
    <w:rsid w:val="00A261E4"/>
    <w:rsid w:val="00A26590"/>
    <w:rsid w:val="00A26775"/>
    <w:rsid w:val="00A26A40"/>
    <w:rsid w:val="00A26A74"/>
    <w:rsid w:val="00A26EAB"/>
    <w:rsid w:val="00A274A5"/>
    <w:rsid w:val="00A274F5"/>
    <w:rsid w:val="00A27B63"/>
    <w:rsid w:val="00A27BF2"/>
    <w:rsid w:val="00A3049D"/>
    <w:rsid w:val="00A309A1"/>
    <w:rsid w:val="00A3106B"/>
    <w:rsid w:val="00A315BD"/>
    <w:rsid w:val="00A320E5"/>
    <w:rsid w:val="00A320E7"/>
    <w:rsid w:val="00A33003"/>
    <w:rsid w:val="00A33098"/>
    <w:rsid w:val="00A334C0"/>
    <w:rsid w:val="00A33E27"/>
    <w:rsid w:val="00A341D5"/>
    <w:rsid w:val="00A35E60"/>
    <w:rsid w:val="00A36B6B"/>
    <w:rsid w:val="00A36CBD"/>
    <w:rsid w:val="00A36E5A"/>
    <w:rsid w:val="00A37DFF"/>
    <w:rsid w:val="00A4010F"/>
    <w:rsid w:val="00A402D3"/>
    <w:rsid w:val="00A40BAD"/>
    <w:rsid w:val="00A40F81"/>
    <w:rsid w:val="00A4121B"/>
    <w:rsid w:val="00A41BC7"/>
    <w:rsid w:val="00A4263D"/>
    <w:rsid w:val="00A42B1C"/>
    <w:rsid w:val="00A42FDD"/>
    <w:rsid w:val="00A4335E"/>
    <w:rsid w:val="00A433E7"/>
    <w:rsid w:val="00A4475E"/>
    <w:rsid w:val="00A4538A"/>
    <w:rsid w:val="00A45647"/>
    <w:rsid w:val="00A462F9"/>
    <w:rsid w:val="00A46304"/>
    <w:rsid w:val="00A467C7"/>
    <w:rsid w:val="00A468B2"/>
    <w:rsid w:val="00A46ACA"/>
    <w:rsid w:val="00A47E52"/>
    <w:rsid w:val="00A47F18"/>
    <w:rsid w:val="00A502AD"/>
    <w:rsid w:val="00A5059E"/>
    <w:rsid w:val="00A51441"/>
    <w:rsid w:val="00A51511"/>
    <w:rsid w:val="00A5234C"/>
    <w:rsid w:val="00A52F9F"/>
    <w:rsid w:val="00A52FEA"/>
    <w:rsid w:val="00A534FF"/>
    <w:rsid w:val="00A53867"/>
    <w:rsid w:val="00A53C88"/>
    <w:rsid w:val="00A54BBF"/>
    <w:rsid w:val="00A54F67"/>
    <w:rsid w:val="00A55094"/>
    <w:rsid w:val="00A55AAA"/>
    <w:rsid w:val="00A55C75"/>
    <w:rsid w:val="00A55FEF"/>
    <w:rsid w:val="00A5602F"/>
    <w:rsid w:val="00A57DC7"/>
    <w:rsid w:val="00A60801"/>
    <w:rsid w:val="00A61835"/>
    <w:rsid w:val="00A61E05"/>
    <w:rsid w:val="00A62FFC"/>
    <w:rsid w:val="00A63051"/>
    <w:rsid w:val="00A63BAF"/>
    <w:rsid w:val="00A63BB1"/>
    <w:rsid w:val="00A63E18"/>
    <w:rsid w:val="00A64585"/>
    <w:rsid w:val="00A659C0"/>
    <w:rsid w:val="00A6608A"/>
    <w:rsid w:val="00A66642"/>
    <w:rsid w:val="00A66B22"/>
    <w:rsid w:val="00A679DD"/>
    <w:rsid w:val="00A679FB"/>
    <w:rsid w:val="00A70845"/>
    <w:rsid w:val="00A71169"/>
    <w:rsid w:val="00A712E2"/>
    <w:rsid w:val="00A71466"/>
    <w:rsid w:val="00A71B3E"/>
    <w:rsid w:val="00A72652"/>
    <w:rsid w:val="00A72758"/>
    <w:rsid w:val="00A72CAD"/>
    <w:rsid w:val="00A73343"/>
    <w:rsid w:val="00A73459"/>
    <w:rsid w:val="00A7348B"/>
    <w:rsid w:val="00A7518E"/>
    <w:rsid w:val="00A75275"/>
    <w:rsid w:val="00A75461"/>
    <w:rsid w:val="00A75A66"/>
    <w:rsid w:val="00A75DCA"/>
    <w:rsid w:val="00A77AF9"/>
    <w:rsid w:val="00A81C01"/>
    <w:rsid w:val="00A81CBE"/>
    <w:rsid w:val="00A81CFA"/>
    <w:rsid w:val="00A81EF9"/>
    <w:rsid w:val="00A8247A"/>
    <w:rsid w:val="00A828BE"/>
    <w:rsid w:val="00A82C7E"/>
    <w:rsid w:val="00A82D56"/>
    <w:rsid w:val="00A82EBE"/>
    <w:rsid w:val="00A833C0"/>
    <w:rsid w:val="00A8381B"/>
    <w:rsid w:val="00A83BF6"/>
    <w:rsid w:val="00A83F10"/>
    <w:rsid w:val="00A84C05"/>
    <w:rsid w:val="00A8538A"/>
    <w:rsid w:val="00A85644"/>
    <w:rsid w:val="00A858AE"/>
    <w:rsid w:val="00A85AD0"/>
    <w:rsid w:val="00A85CD2"/>
    <w:rsid w:val="00A85EC7"/>
    <w:rsid w:val="00A86996"/>
    <w:rsid w:val="00A86D58"/>
    <w:rsid w:val="00A87124"/>
    <w:rsid w:val="00A87299"/>
    <w:rsid w:val="00A8734B"/>
    <w:rsid w:val="00A9006F"/>
    <w:rsid w:val="00A907F5"/>
    <w:rsid w:val="00A90F50"/>
    <w:rsid w:val="00A9151B"/>
    <w:rsid w:val="00A9161B"/>
    <w:rsid w:val="00A91852"/>
    <w:rsid w:val="00A91E82"/>
    <w:rsid w:val="00A92DCC"/>
    <w:rsid w:val="00A92E1A"/>
    <w:rsid w:val="00A93573"/>
    <w:rsid w:val="00A9390E"/>
    <w:rsid w:val="00A945C2"/>
    <w:rsid w:val="00A946E4"/>
    <w:rsid w:val="00A94712"/>
    <w:rsid w:val="00A94B96"/>
    <w:rsid w:val="00A94DB0"/>
    <w:rsid w:val="00A958D9"/>
    <w:rsid w:val="00A95B94"/>
    <w:rsid w:val="00A95FB2"/>
    <w:rsid w:val="00A96496"/>
    <w:rsid w:val="00A97CB5"/>
    <w:rsid w:val="00AA055D"/>
    <w:rsid w:val="00AA120F"/>
    <w:rsid w:val="00AA2953"/>
    <w:rsid w:val="00AA2D48"/>
    <w:rsid w:val="00AA38CD"/>
    <w:rsid w:val="00AA3B05"/>
    <w:rsid w:val="00AA3B46"/>
    <w:rsid w:val="00AA49A0"/>
    <w:rsid w:val="00AA4C76"/>
    <w:rsid w:val="00AA4F38"/>
    <w:rsid w:val="00AA5063"/>
    <w:rsid w:val="00AA59AF"/>
    <w:rsid w:val="00AA5B07"/>
    <w:rsid w:val="00AA6236"/>
    <w:rsid w:val="00AA6482"/>
    <w:rsid w:val="00AA7713"/>
    <w:rsid w:val="00AB1515"/>
    <w:rsid w:val="00AB176B"/>
    <w:rsid w:val="00AB2655"/>
    <w:rsid w:val="00AB2A9F"/>
    <w:rsid w:val="00AB2B54"/>
    <w:rsid w:val="00AB2C2D"/>
    <w:rsid w:val="00AB3DEE"/>
    <w:rsid w:val="00AB4A10"/>
    <w:rsid w:val="00AB4A4E"/>
    <w:rsid w:val="00AB4EB6"/>
    <w:rsid w:val="00AB5A9C"/>
    <w:rsid w:val="00AB5B39"/>
    <w:rsid w:val="00AB6819"/>
    <w:rsid w:val="00AB6A02"/>
    <w:rsid w:val="00AB74E0"/>
    <w:rsid w:val="00AB7D6E"/>
    <w:rsid w:val="00AC05B6"/>
    <w:rsid w:val="00AC1309"/>
    <w:rsid w:val="00AC1868"/>
    <w:rsid w:val="00AC19AC"/>
    <w:rsid w:val="00AC1F0B"/>
    <w:rsid w:val="00AC22B4"/>
    <w:rsid w:val="00AC2AD6"/>
    <w:rsid w:val="00AC3B4E"/>
    <w:rsid w:val="00AC40C5"/>
    <w:rsid w:val="00AC4B75"/>
    <w:rsid w:val="00AC56AD"/>
    <w:rsid w:val="00AC56D8"/>
    <w:rsid w:val="00AC5F87"/>
    <w:rsid w:val="00AC60EF"/>
    <w:rsid w:val="00AC6A24"/>
    <w:rsid w:val="00AC6FAB"/>
    <w:rsid w:val="00AC70AC"/>
    <w:rsid w:val="00AC7EE5"/>
    <w:rsid w:val="00AD0262"/>
    <w:rsid w:val="00AD1879"/>
    <w:rsid w:val="00AD21AB"/>
    <w:rsid w:val="00AD28CD"/>
    <w:rsid w:val="00AD28D8"/>
    <w:rsid w:val="00AD2FB5"/>
    <w:rsid w:val="00AD30E1"/>
    <w:rsid w:val="00AD359B"/>
    <w:rsid w:val="00AD4360"/>
    <w:rsid w:val="00AD4D72"/>
    <w:rsid w:val="00AD5150"/>
    <w:rsid w:val="00AD5CAD"/>
    <w:rsid w:val="00AD5EC8"/>
    <w:rsid w:val="00AD7581"/>
    <w:rsid w:val="00AE049F"/>
    <w:rsid w:val="00AE0537"/>
    <w:rsid w:val="00AE18EE"/>
    <w:rsid w:val="00AE1BCF"/>
    <w:rsid w:val="00AE1D0D"/>
    <w:rsid w:val="00AE1FB8"/>
    <w:rsid w:val="00AE2CF1"/>
    <w:rsid w:val="00AE3CDE"/>
    <w:rsid w:val="00AE3E0C"/>
    <w:rsid w:val="00AE3ECD"/>
    <w:rsid w:val="00AE3F21"/>
    <w:rsid w:val="00AE47AB"/>
    <w:rsid w:val="00AE4E8A"/>
    <w:rsid w:val="00AE53E2"/>
    <w:rsid w:val="00AE5762"/>
    <w:rsid w:val="00AE5C8D"/>
    <w:rsid w:val="00AE63AA"/>
    <w:rsid w:val="00AE6689"/>
    <w:rsid w:val="00AE67A2"/>
    <w:rsid w:val="00AE6C74"/>
    <w:rsid w:val="00AE764E"/>
    <w:rsid w:val="00AE7DC2"/>
    <w:rsid w:val="00AF0F5A"/>
    <w:rsid w:val="00AF1292"/>
    <w:rsid w:val="00AF1E0C"/>
    <w:rsid w:val="00AF325F"/>
    <w:rsid w:val="00AF488C"/>
    <w:rsid w:val="00AF4AB1"/>
    <w:rsid w:val="00AF5200"/>
    <w:rsid w:val="00AF5318"/>
    <w:rsid w:val="00AF5664"/>
    <w:rsid w:val="00AF5B2C"/>
    <w:rsid w:val="00AF641D"/>
    <w:rsid w:val="00AF6437"/>
    <w:rsid w:val="00AF6631"/>
    <w:rsid w:val="00AF68E3"/>
    <w:rsid w:val="00AF6975"/>
    <w:rsid w:val="00AF6BEE"/>
    <w:rsid w:val="00AF7019"/>
    <w:rsid w:val="00AF717F"/>
    <w:rsid w:val="00AF7522"/>
    <w:rsid w:val="00AF7618"/>
    <w:rsid w:val="00B00545"/>
    <w:rsid w:val="00B00BE7"/>
    <w:rsid w:val="00B00C9D"/>
    <w:rsid w:val="00B00D5D"/>
    <w:rsid w:val="00B01073"/>
    <w:rsid w:val="00B0124E"/>
    <w:rsid w:val="00B01578"/>
    <w:rsid w:val="00B0181E"/>
    <w:rsid w:val="00B0206B"/>
    <w:rsid w:val="00B03B62"/>
    <w:rsid w:val="00B03C8A"/>
    <w:rsid w:val="00B0464A"/>
    <w:rsid w:val="00B0521D"/>
    <w:rsid w:val="00B05472"/>
    <w:rsid w:val="00B0566F"/>
    <w:rsid w:val="00B05728"/>
    <w:rsid w:val="00B0590F"/>
    <w:rsid w:val="00B06AD3"/>
    <w:rsid w:val="00B07195"/>
    <w:rsid w:val="00B07C58"/>
    <w:rsid w:val="00B07CF2"/>
    <w:rsid w:val="00B07F0B"/>
    <w:rsid w:val="00B1044A"/>
    <w:rsid w:val="00B10492"/>
    <w:rsid w:val="00B10EFD"/>
    <w:rsid w:val="00B11554"/>
    <w:rsid w:val="00B115BF"/>
    <w:rsid w:val="00B11B47"/>
    <w:rsid w:val="00B11B79"/>
    <w:rsid w:val="00B1238C"/>
    <w:rsid w:val="00B129E0"/>
    <w:rsid w:val="00B12FA2"/>
    <w:rsid w:val="00B1425F"/>
    <w:rsid w:val="00B142E8"/>
    <w:rsid w:val="00B142F3"/>
    <w:rsid w:val="00B15327"/>
    <w:rsid w:val="00B15941"/>
    <w:rsid w:val="00B15DB0"/>
    <w:rsid w:val="00B15EC8"/>
    <w:rsid w:val="00B16A8C"/>
    <w:rsid w:val="00B1767A"/>
    <w:rsid w:val="00B17689"/>
    <w:rsid w:val="00B17AA8"/>
    <w:rsid w:val="00B2044D"/>
    <w:rsid w:val="00B20C5B"/>
    <w:rsid w:val="00B20FCF"/>
    <w:rsid w:val="00B2197E"/>
    <w:rsid w:val="00B21DB3"/>
    <w:rsid w:val="00B22BB8"/>
    <w:rsid w:val="00B22C6F"/>
    <w:rsid w:val="00B23206"/>
    <w:rsid w:val="00B241CE"/>
    <w:rsid w:val="00B25A02"/>
    <w:rsid w:val="00B25ACC"/>
    <w:rsid w:val="00B25D46"/>
    <w:rsid w:val="00B2604D"/>
    <w:rsid w:val="00B2794D"/>
    <w:rsid w:val="00B27EC5"/>
    <w:rsid w:val="00B30469"/>
    <w:rsid w:val="00B31148"/>
    <w:rsid w:val="00B3144F"/>
    <w:rsid w:val="00B31B23"/>
    <w:rsid w:val="00B31BB0"/>
    <w:rsid w:val="00B3330F"/>
    <w:rsid w:val="00B3365D"/>
    <w:rsid w:val="00B33676"/>
    <w:rsid w:val="00B33ADB"/>
    <w:rsid w:val="00B33D02"/>
    <w:rsid w:val="00B34218"/>
    <w:rsid w:val="00B34405"/>
    <w:rsid w:val="00B34FEA"/>
    <w:rsid w:val="00B356C9"/>
    <w:rsid w:val="00B35F58"/>
    <w:rsid w:val="00B36189"/>
    <w:rsid w:val="00B36EB4"/>
    <w:rsid w:val="00B3741A"/>
    <w:rsid w:val="00B37734"/>
    <w:rsid w:val="00B418FC"/>
    <w:rsid w:val="00B41A7F"/>
    <w:rsid w:val="00B41A90"/>
    <w:rsid w:val="00B42208"/>
    <w:rsid w:val="00B43742"/>
    <w:rsid w:val="00B438AC"/>
    <w:rsid w:val="00B4402D"/>
    <w:rsid w:val="00B440C5"/>
    <w:rsid w:val="00B44663"/>
    <w:rsid w:val="00B448B5"/>
    <w:rsid w:val="00B44A8E"/>
    <w:rsid w:val="00B461B3"/>
    <w:rsid w:val="00B466BE"/>
    <w:rsid w:val="00B4791B"/>
    <w:rsid w:val="00B47FB5"/>
    <w:rsid w:val="00B5020F"/>
    <w:rsid w:val="00B514BF"/>
    <w:rsid w:val="00B5168D"/>
    <w:rsid w:val="00B52600"/>
    <w:rsid w:val="00B52664"/>
    <w:rsid w:val="00B52862"/>
    <w:rsid w:val="00B528F4"/>
    <w:rsid w:val="00B52B82"/>
    <w:rsid w:val="00B5332F"/>
    <w:rsid w:val="00B53F89"/>
    <w:rsid w:val="00B54480"/>
    <w:rsid w:val="00B54687"/>
    <w:rsid w:val="00B54C08"/>
    <w:rsid w:val="00B54D6F"/>
    <w:rsid w:val="00B54D7F"/>
    <w:rsid w:val="00B54E6F"/>
    <w:rsid w:val="00B550EA"/>
    <w:rsid w:val="00B554CF"/>
    <w:rsid w:val="00B55593"/>
    <w:rsid w:val="00B5589C"/>
    <w:rsid w:val="00B558EB"/>
    <w:rsid w:val="00B559BA"/>
    <w:rsid w:val="00B55CB7"/>
    <w:rsid w:val="00B56155"/>
    <w:rsid w:val="00B56257"/>
    <w:rsid w:val="00B56A77"/>
    <w:rsid w:val="00B571D8"/>
    <w:rsid w:val="00B578F4"/>
    <w:rsid w:val="00B5795F"/>
    <w:rsid w:val="00B57AD4"/>
    <w:rsid w:val="00B60461"/>
    <w:rsid w:val="00B6049D"/>
    <w:rsid w:val="00B6050C"/>
    <w:rsid w:val="00B60631"/>
    <w:rsid w:val="00B6129A"/>
    <w:rsid w:val="00B61388"/>
    <w:rsid w:val="00B63416"/>
    <w:rsid w:val="00B63423"/>
    <w:rsid w:val="00B63FE2"/>
    <w:rsid w:val="00B64609"/>
    <w:rsid w:val="00B6462E"/>
    <w:rsid w:val="00B64DF1"/>
    <w:rsid w:val="00B653AB"/>
    <w:rsid w:val="00B657C7"/>
    <w:rsid w:val="00B6587E"/>
    <w:rsid w:val="00B65C10"/>
    <w:rsid w:val="00B66F04"/>
    <w:rsid w:val="00B672EC"/>
    <w:rsid w:val="00B672FD"/>
    <w:rsid w:val="00B70389"/>
    <w:rsid w:val="00B70617"/>
    <w:rsid w:val="00B70707"/>
    <w:rsid w:val="00B70AD8"/>
    <w:rsid w:val="00B712E4"/>
    <w:rsid w:val="00B7185E"/>
    <w:rsid w:val="00B71B5F"/>
    <w:rsid w:val="00B71CFA"/>
    <w:rsid w:val="00B72E15"/>
    <w:rsid w:val="00B737B0"/>
    <w:rsid w:val="00B73F9D"/>
    <w:rsid w:val="00B74C6E"/>
    <w:rsid w:val="00B7563B"/>
    <w:rsid w:val="00B75958"/>
    <w:rsid w:val="00B75A40"/>
    <w:rsid w:val="00B75CCB"/>
    <w:rsid w:val="00B7607A"/>
    <w:rsid w:val="00B760E6"/>
    <w:rsid w:val="00B76205"/>
    <w:rsid w:val="00B762DD"/>
    <w:rsid w:val="00B76629"/>
    <w:rsid w:val="00B76C58"/>
    <w:rsid w:val="00B76E71"/>
    <w:rsid w:val="00B7732E"/>
    <w:rsid w:val="00B77707"/>
    <w:rsid w:val="00B77DFC"/>
    <w:rsid w:val="00B802ED"/>
    <w:rsid w:val="00B80343"/>
    <w:rsid w:val="00B80EC4"/>
    <w:rsid w:val="00B822CB"/>
    <w:rsid w:val="00B82323"/>
    <w:rsid w:val="00B829EF"/>
    <w:rsid w:val="00B82CF2"/>
    <w:rsid w:val="00B82F0B"/>
    <w:rsid w:val="00B837C4"/>
    <w:rsid w:val="00B839BA"/>
    <w:rsid w:val="00B843FA"/>
    <w:rsid w:val="00B84908"/>
    <w:rsid w:val="00B84A7D"/>
    <w:rsid w:val="00B84CFB"/>
    <w:rsid w:val="00B860F8"/>
    <w:rsid w:val="00B86334"/>
    <w:rsid w:val="00B87029"/>
    <w:rsid w:val="00B878F8"/>
    <w:rsid w:val="00B900C3"/>
    <w:rsid w:val="00B90203"/>
    <w:rsid w:val="00B9027A"/>
    <w:rsid w:val="00B907B4"/>
    <w:rsid w:val="00B92712"/>
    <w:rsid w:val="00B92E3B"/>
    <w:rsid w:val="00B9373E"/>
    <w:rsid w:val="00B93913"/>
    <w:rsid w:val="00B93B97"/>
    <w:rsid w:val="00B93BBD"/>
    <w:rsid w:val="00B9447A"/>
    <w:rsid w:val="00B94AEB"/>
    <w:rsid w:val="00B95660"/>
    <w:rsid w:val="00B95760"/>
    <w:rsid w:val="00B95F24"/>
    <w:rsid w:val="00B9622E"/>
    <w:rsid w:val="00B96309"/>
    <w:rsid w:val="00B964AE"/>
    <w:rsid w:val="00B966BE"/>
    <w:rsid w:val="00B968E6"/>
    <w:rsid w:val="00B97A16"/>
    <w:rsid w:val="00B97AFD"/>
    <w:rsid w:val="00B97C64"/>
    <w:rsid w:val="00B97F6A"/>
    <w:rsid w:val="00BA034D"/>
    <w:rsid w:val="00BA0711"/>
    <w:rsid w:val="00BA083C"/>
    <w:rsid w:val="00BA156A"/>
    <w:rsid w:val="00BA1E38"/>
    <w:rsid w:val="00BA2A1D"/>
    <w:rsid w:val="00BA2F1B"/>
    <w:rsid w:val="00BA3D01"/>
    <w:rsid w:val="00BA4AC2"/>
    <w:rsid w:val="00BA54EE"/>
    <w:rsid w:val="00BA5885"/>
    <w:rsid w:val="00BA58EC"/>
    <w:rsid w:val="00BA5E91"/>
    <w:rsid w:val="00BB00D7"/>
    <w:rsid w:val="00BB0A59"/>
    <w:rsid w:val="00BB0EB0"/>
    <w:rsid w:val="00BB1533"/>
    <w:rsid w:val="00BB173C"/>
    <w:rsid w:val="00BB1824"/>
    <w:rsid w:val="00BB2E06"/>
    <w:rsid w:val="00BB33ED"/>
    <w:rsid w:val="00BB3ECE"/>
    <w:rsid w:val="00BB4BB0"/>
    <w:rsid w:val="00BB5045"/>
    <w:rsid w:val="00BB535C"/>
    <w:rsid w:val="00BB59F2"/>
    <w:rsid w:val="00BB5DA3"/>
    <w:rsid w:val="00BB5FA1"/>
    <w:rsid w:val="00BB62DC"/>
    <w:rsid w:val="00BB67EC"/>
    <w:rsid w:val="00BB693D"/>
    <w:rsid w:val="00BB6C62"/>
    <w:rsid w:val="00BB7786"/>
    <w:rsid w:val="00BC0019"/>
    <w:rsid w:val="00BC0523"/>
    <w:rsid w:val="00BC1AC7"/>
    <w:rsid w:val="00BC1E3E"/>
    <w:rsid w:val="00BC24A5"/>
    <w:rsid w:val="00BC317A"/>
    <w:rsid w:val="00BC3971"/>
    <w:rsid w:val="00BC4125"/>
    <w:rsid w:val="00BC42FB"/>
    <w:rsid w:val="00BC4446"/>
    <w:rsid w:val="00BC4DD2"/>
    <w:rsid w:val="00BC69EE"/>
    <w:rsid w:val="00BC6F70"/>
    <w:rsid w:val="00BC7472"/>
    <w:rsid w:val="00BC76E0"/>
    <w:rsid w:val="00BD029A"/>
    <w:rsid w:val="00BD0437"/>
    <w:rsid w:val="00BD0631"/>
    <w:rsid w:val="00BD06BC"/>
    <w:rsid w:val="00BD130E"/>
    <w:rsid w:val="00BD1A18"/>
    <w:rsid w:val="00BD1D4C"/>
    <w:rsid w:val="00BD2405"/>
    <w:rsid w:val="00BD27F0"/>
    <w:rsid w:val="00BD2FE9"/>
    <w:rsid w:val="00BD36D4"/>
    <w:rsid w:val="00BD42ED"/>
    <w:rsid w:val="00BD4E48"/>
    <w:rsid w:val="00BD50DA"/>
    <w:rsid w:val="00BD535C"/>
    <w:rsid w:val="00BD586E"/>
    <w:rsid w:val="00BD649F"/>
    <w:rsid w:val="00BD6A29"/>
    <w:rsid w:val="00BD6B95"/>
    <w:rsid w:val="00BD7278"/>
    <w:rsid w:val="00BD7337"/>
    <w:rsid w:val="00BD73FF"/>
    <w:rsid w:val="00BE050B"/>
    <w:rsid w:val="00BE0732"/>
    <w:rsid w:val="00BE1C35"/>
    <w:rsid w:val="00BE2131"/>
    <w:rsid w:val="00BE2515"/>
    <w:rsid w:val="00BE28DE"/>
    <w:rsid w:val="00BE2A59"/>
    <w:rsid w:val="00BE2E2F"/>
    <w:rsid w:val="00BE3001"/>
    <w:rsid w:val="00BE3C84"/>
    <w:rsid w:val="00BE41C7"/>
    <w:rsid w:val="00BE51C4"/>
    <w:rsid w:val="00BE5861"/>
    <w:rsid w:val="00BE688B"/>
    <w:rsid w:val="00BE6A0B"/>
    <w:rsid w:val="00BE7842"/>
    <w:rsid w:val="00BE7883"/>
    <w:rsid w:val="00BF01C3"/>
    <w:rsid w:val="00BF032C"/>
    <w:rsid w:val="00BF080F"/>
    <w:rsid w:val="00BF094C"/>
    <w:rsid w:val="00BF0AD3"/>
    <w:rsid w:val="00BF1258"/>
    <w:rsid w:val="00BF145A"/>
    <w:rsid w:val="00BF17B9"/>
    <w:rsid w:val="00BF1857"/>
    <w:rsid w:val="00BF1D4D"/>
    <w:rsid w:val="00BF230E"/>
    <w:rsid w:val="00BF308A"/>
    <w:rsid w:val="00BF3AE4"/>
    <w:rsid w:val="00BF3CE9"/>
    <w:rsid w:val="00BF41D5"/>
    <w:rsid w:val="00BF4351"/>
    <w:rsid w:val="00BF495B"/>
    <w:rsid w:val="00BF4AAA"/>
    <w:rsid w:val="00BF4C3F"/>
    <w:rsid w:val="00BF548C"/>
    <w:rsid w:val="00BF6269"/>
    <w:rsid w:val="00BF62BD"/>
    <w:rsid w:val="00BF63BA"/>
    <w:rsid w:val="00BF65CC"/>
    <w:rsid w:val="00BF701F"/>
    <w:rsid w:val="00BF7179"/>
    <w:rsid w:val="00BF7239"/>
    <w:rsid w:val="00BF765E"/>
    <w:rsid w:val="00BF7FEB"/>
    <w:rsid w:val="00C00209"/>
    <w:rsid w:val="00C0041B"/>
    <w:rsid w:val="00C014A1"/>
    <w:rsid w:val="00C0163A"/>
    <w:rsid w:val="00C02C65"/>
    <w:rsid w:val="00C02E6E"/>
    <w:rsid w:val="00C03370"/>
    <w:rsid w:val="00C03561"/>
    <w:rsid w:val="00C03B99"/>
    <w:rsid w:val="00C03C22"/>
    <w:rsid w:val="00C03DA5"/>
    <w:rsid w:val="00C0465A"/>
    <w:rsid w:val="00C047AE"/>
    <w:rsid w:val="00C04B0E"/>
    <w:rsid w:val="00C0523B"/>
    <w:rsid w:val="00C05454"/>
    <w:rsid w:val="00C056B0"/>
    <w:rsid w:val="00C057DC"/>
    <w:rsid w:val="00C05E9D"/>
    <w:rsid w:val="00C06252"/>
    <w:rsid w:val="00C06764"/>
    <w:rsid w:val="00C10711"/>
    <w:rsid w:val="00C10D52"/>
    <w:rsid w:val="00C10E14"/>
    <w:rsid w:val="00C120ED"/>
    <w:rsid w:val="00C12ACE"/>
    <w:rsid w:val="00C12D41"/>
    <w:rsid w:val="00C13BDA"/>
    <w:rsid w:val="00C141C0"/>
    <w:rsid w:val="00C145F6"/>
    <w:rsid w:val="00C14965"/>
    <w:rsid w:val="00C15157"/>
    <w:rsid w:val="00C16961"/>
    <w:rsid w:val="00C174A4"/>
    <w:rsid w:val="00C1755E"/>
    <w:rsid w:val="00C17923"/>
    <w:rsid w:val="00C2035B"/>
    <w:rsid w:val="00C20492"/>
    <w:rsid w:val="00C223A8"/>
    <w:rsid w:val="00C22E87"/>
    <w:rsid w:val="00C23692"/>
    <w:rsid w:val="00C24BA9"/>
    <w:rsid w:val="00C24D42"/>
    <w:rsid w:val="00C24EA3"/>
    <w:rsid w:val="00C25670"/>
    <w:rsid w:val="00C26939"/>
    <w:rsid w:val="00C309A5"/>
    <w:rsid w:val="00C30EE9"/>
    <w:rsid w:val="00C313FB"/>
    <w:rsid w:val="00C314C8"/>
    <w:rsid w:val="00C317A8"/>
    <w:rsid w:val="00C31856"/>
    <w:rsid w:val="00C31EFD"/>
    <w:rsid w:val="00C327CB"/>
    <w:rsid w:val="00C33043"/>
    <w:rsid w:val="00C331E3"/>
    <w:rsid w:val="00C33E8D"/>
    <w:rsid w:val="00C33FE5"/>
    <w:rsid w:val="00C34040"/>
    <w:rsid w:val="00C34A1C"/>
    <w:rsid w:val="00C34BB0"/>
    <w:rsid w:val="00C35068"/>
    <w:rsid w:val="00C35BE3"/>
    <w:rsid w:val="00C3634A"/>
    <w:rsid w:val="00C363DB"/>
    <w:rsid w:val="00C369C3"/>
    <w:rsid w:val="00C3708F"/>
    <w:rsid w:val="00C377F7"/>
    <w:rsid w:val="00C37819"/>
    <w:rsid w:val="00C41077"/>
    <w:rsid w:val="00C411C0"/>
    <w:rsid w:val="00C41D11"/>
    <w:rsid w:val="00C427A1"/>
    <w:rsid w:val="00C42B86"/>
    <w:rsid w:val="00C42EC9"/>
    <w:rsid w:val="00C42FA3"/>
    <w:rsid w:val="00C42FE7"/>
    <w:rsid w:val="00C434B3"/>
    <w:rsid w:val="00C4367C"/>
    <w:rsid w:val="00C43D82"/>
    <w:rsid w:val="00C43F66"/>
    <w:rsid w:val="00C4410B"/>
    <w:rsid w:val="00C444C7"/>
    <w:rsid w:val="00C46B21"/>
    <w:rsid w:val="00C46D07"/>
    <w:rsid w:val="00C472C2"/>
    <w:rsid w:val="00C47895"/>
    <w:rsid w:val="00C50A19"/>
    <w:rsid w:val="00C50E2D"/>
    <w:rsid w:val="00C50F35"/>
    <w:rsid w:val="00C519BF"/>
    <w:rsid w:val="00C51F84"/>
    <w:rsid w:val="00C5268B"/>
    <w:rsid w:val="00C52E02"/>
    <w:rsid w:val="00C52F80"/>
    <w:rsid w:val="00C53035"/>
    <w:rsid w:val="00C531AA"/>
    <w:rsid w:val="00C53B88"/>
    <w:rsid w:val="00C53D04"/>
    <w:rsid w:val="00C544AF"/>
    <w:rsid w:val="00C5496C"/>
    <w:rsid w:val="00C55263"/>
    <w:rsid w:val="00C552AD"/>
    <w:rsid w:val="00C558E6"/>
    <w:rsid w:val="00C55B66"/>
    <w:rsid w:val="00C55E6D"/>
    <w:rsid w:val="00C56527"/>
    <w:rsid w:val="00C5698D"/>
    <w:rsid w:val="00C57898"/>
    <w:rsid w:val="00C602A4"/>
    <w:rsid w:val="00C602BE"/>
    <w:rsid w:val="00C6089A"/>
    <w:rsid w:val="00C60C85"/>
    <w:rsid w:val="00C61407"/>
    <w:rsid w:val="00C6184F"/>
    <w:rsid w:val="00C61893"/>
    <w:rsid w:val="00C61991"/>
    <w:rsid w:val="00C61C87"/>
    <w:rsid w:val="00C62432"/>
    <w:rsid w:val="00C6298B"/>
    <w:rsid w:val="00C62B19"/>
    <w:rsid w:val="00C6325E"/>
    <w:rsid w:val="00C63AA1"/>
    <w:rsid w:val="00C64657"/>
    <w:rsid w:val="00C65728"/>
    <w:rsid w:val="00C65936"/>
    <w:rsid w:val="00C65E97"/>
    <w:rsid w:val="00C663BE"/>
    <w:rsid w:val="00C66551"/>
    <w:rsid w:val="00C667C9"/>
    <w:rsid w:val="00C66A1D"/>
    <w:rsid w:val="00C66B08"/>
    <w:rsid w:val="00C66F68"/>
    <w:rsid w:val="00C67371"/>
    <w:rsid w:val="00C67B35"/>
    <w:rsid w:val="00C67CD4"/>
    <w:rsid w:val="00C715F8"/>
    <w:rsid w:val="00C727CC"/>
    <w:rsid w:val="00C72B14"/>
    <w:rsid w:val="00C731EA"/>
    <w:rsid w:val="00C73941"/>
    <w:rsid w:val="00C73DA6"/>
    <w:rsid w:val="00C73FE2"/>
    <w:rsid w:val="00C74081"/>
    <w:rsid w:val="00C74390"/>
    <w:rsid w:val="00C74527"/>
    <w:rsid w:val="00C75CA4"/>
    <w:rsid w:val="00C7611D"/>
    <w:rsid w:val="00C768D6"/>
    <w:rsid w:val="00C769E8"/>
    <w:rsid w:val="00C76DA0"/>
    <w:rsid w:val="00C76F8D"/>
    <w:rsid w:val="00C77E7B"/>
    <w:rsid w:val="00C80444"/>
    <w:rsid w:val="00C806B0"/>
    <w:rsid w:val="00C80786"/>
    <w:rsid w:val="00C8081A"/>
    <w:rsid w:val="00C8110E"/>
    <w:rsid w:val="00C8236D"/>
    <w:rsid w:val="00C82FA6"/>
    <w:rsid w:val="00C84951"/>
    <w:rsid w:val="00C849CD"/>
    <w:rsid w:val="00C855AA"/>
    <w:rsid w:val="00C864B4"/>
    <w:rsid w:val="00C8665A"/>
    <w:rsid w:val="00C86B45"/>
    <w:rsid w:val="00C90A3D"/>
    <w:rsid w:val="00C90C65"/>
    <w:rsid w:val="00C91734"/>
    <w:rsid w:val="00C92AE9"/>
    <w:rsid w:val="00C94E0C"/>
    <w:rsid w:val="00C95335"/>
    <w:rsid w:val="00C955CA"/>
    <w:rsid w:val="00C97309"/>
    <w:rsid w:val="00C974DE"/>
    <w:rsid w:val="00C978D8"/>
    <w:rsid w:val="00CA00BB"/>
    <w:rsid w:val="00CA1037"/>
    <w:rsid w:val="00CA1066"/>
    <w:rsid w:val="00CA11C9"/>
    <w:rsid w:val="00CA1419"/>
    <w:rsid w:val="00CA17F0"/>
    <w:rsid w:val="00CA1825"/>
    <w:rsid w:val="00CA19B8"/>
    <w:rsid w:val="00CA2326"/>
    <w:rsid w:val="00CA2B6F"/>
    <w:rsid w:val="00CA2C45"/>
    <w:rsid w:val="00CA2F16"/>
    <w:rsid w:val="00CA4D2F"/>
    <w:rsid w:val="00CA58A0"/>
    <w:rsid w:val="00CA5F3D"/>
    <w:rsid w:val="00CA632E"/>
    <w:rsid w:val="00CA65AD"/>
    <w:rsid w:val="00CA7104"/>
    <w:rsid w:val="00CA73B7"/>
    <w:rsid w:val="00CA75A5"/>
    <w:rsid w:val="00CA75C7"/>
    <w:rsid w:val="00CA786D"/>
    <w:rsid w:val="00CA7C04"/>
    <w:rsid w:val="00CB0058"/>
    <w:rsid w:val="00CB0B92"/>
    <w:rsid w:val="00CB1E92"/>
    <w:rsid w:val="00CB36C0"/>
    <w:rsid w:val="00CB3C00"/>
    <w:rsid w:val="00CB4A60"/>
    <w:rsid w:val="00CB4B82"/>
    <w:rsid w:val="00CB5BE5"/>
    <w:rsid w:val="00CB5D4B"/>
    <w:rsid w:val="00CB6018"/>
    <w:rsid w:val="00CB6F66"/>
    <w:rsid w:val="00CB6FBD"/>
    <w:rsid w:val="00CB7DB9"/>
    <w:rsid w:val="00CC0C43"/>
    <w:rsid w:val="00CC0E13"/>
    <w:rsid w:val="00CC2EBD"/>
    <w:rsid w:val="00CC2FE3"/>
    <w:rsid w:val="00CC341B"/>
    <w:rsid w:val="00CC4291"/>
    <w:rsid w:val="00CC4405"/>
    <w:rsid w:val="00CC4407"/>
    <w:rsid w:val="00CC4566"/>
    <w:rsid w:val="00CC469C"/>
    <w:rsid w:val="00CC478F"/>
    <w:rsid w:val="00CC5175"/>
    <w:rsid w:val="00CC5985"/>
    <w:rsid w:val="00CC5D4C"/>
    <w:rsid w:val="00CC604A"/>
    <w:rsid w:val="00CC71A5"/>
    <w:rsid w:val="00CD03F0"/>
    <w:rsid w:val="00CD09FC"/>
    <w:rsid w:val="00CD1561"/>
    <w:rsid w:val="00CD179C"/>
    <w:rsid w:val="00CD2B14"/>
    <w:rsid w:val="00CD2FF6"/>
    <w:rsid w:val="00CD3184"/>
    <w:rsid w:val="00CD35D9"/>
    <w:rsid w:val="00CD38B8"/>
    <w:rsid w:val="00CD3F48"/>
    <w:rsid w:val="00CD41F1"/>
    <w:rsid w:val="00CD4AD8"/>
    <w:rsid w:val="00CD51FB"/>
    <w:rsid w:val="00CD574E"/>
    <w:rsid w:val="00CD7299"/>
    <w:rsid w:val="00CD74D7"/>
    <w:rsid w:val="00CD7B2A"/>
    <w:rsid w:val="00CD7DF0"/>
    <w:rsid w:val="00CE16FC"/>
    <w:rsid w:val="00CE198B"/>
    <w:rsid w:val="00CE1ADF"/>
    <w:rsid w:val="00CE1E91"/>
    <w:rsid w:val="00CE27D3"/>
    <w:rsid w:val="00CE2982"/>
    <w:rsid w:val="00CE2BD9"/>
    <w:rsid w:val="00CE2F86"/>
    <w:rsid w:val="00CE3244"/>
    <w:rsid w:val="00CE3B0E"/>
    <w:rsid w:val="00CE3C1D"/>
    <w:rsid w:val="00CE3CE2"/>
    <w:rsid w:val="00CE3D31"/>
    <w:rsid w:val="00CE4158"/>
    <w:rsid w:val="00CE4D39"/>
    <w:rsid w:val="00CE4ED2"/>
    <w:rsid w:val="00CE5247"/>
    <w:rsid w:val="00CE5952"/>
    <w:rsid w:val="00CE59DA"/>
    <w:rsid w:val="00CE6457"/>
    <w:rsid w:val="00CE649B"/>
    <w:rsid w:val="00CE6898"/>
    <w:rsid w:val="00CE689B"/>
    <w:rsid w:val="00CE72BE"/>
    <w:rsid w:val="00CE790A"/>
    <w:rsid w:val="00CE7DA8"/>
    <w:rsid w:val="00CE7F0A"/>
    <w:rsid w:val="00CF0003"/>
    <w:rsid w:val="00CF03D3"/>
    <w:rsid w:val="00CF07EC"/>
    <w:rsid w:val="00CF10CC"/>
    <w:rsid w:val="00CF2511"/>
    <w:rsid w:val="00CF2666"/>
    <w:rsid w:val="00CF2BD4"/>
    <w:rsid w:val="00CF2EF8"/>
    <w:rsid w:val="00CF402E"/>
    <w:rsid w:val="00CF51A8"/>
    <w:rsid w:val="00CF5722"/>
    <w:rsid w:val="00CF66BE"/>
    <w:rsid w:val="00D00E62"/>
    <w:rsid w:val="00D022ED"/>
    <w:rsid w:val="00D025EC"/>
    <w:rsid w:val="00D02C0A"/>
    <w:rsid w:val="00D03536"/>
    <w:rsid w:val="00D0369F"/>
    <w:rsid w:val="00D03BE6"/>
    <w:rsid w:val="00D03EB8"/>
    <w:rsid w:val="00D04741"/>
    <w:rsid w:val="00D05E32"/>
    <w:rsid w:val="00D0628C"/>
    <w:rsid w:val="00D06B7A"/>
    <w:rsid w:val="00D06F41"/>
    <w:rsid w:val="00D10A76"/>
    <w:rsid w:val="00D10B9D"/>
    <w:rsid w:val="00D10DD4"/>
    <w:rsid w:val="00D10E70"/>
    <w:rsid w:val="00D10F90"/>
    <w:rsid w:val="00D1150F"/>
    <w:rsid w:val="00D11735"/>
    <w:rsid w:val="00D11AE1"/>
    <w:rsid w:val="00D12AB5"/>
    <w:rsid w:val="00D12F97"/>
    <w:rsid w:val="00D13180"/>
    <w:rsid w:val="00D1319D"/>
    <w:rsid w:val="00D131B4"/>
    <w:rsid w:val="00D13316"/>
    <w:rsid w:val="00D13437"/>
    <w:rsid w:val="00D134BC"/>
    <w:rsid w:val="00D13BC2"/>
    <w:rsid w:val="00D144DC"/>
    <w:rsid w:val="00D1577F"/>
    <w:rsid w:val="00D16AD2"/>
    <w:rsid w:val="00D200E0"/>
    <w:rsid w:val="00D2011D"/>
    <w:rsid w:val="00D2050B"/>
    <w:rsid w:val="00D20814"/>
    <w:rsid w:val="00D20F8C"/>
    <w:rsid w:val="00D2181B"/>
    <w:rsid w:val="00D21CF3"/>
    <w:rsid w:val="00D21D39"/>
    <w:rsid w:val="00D21DFC"/>
    <w:rsid w:val="00D22450"/>
    <w:rsid w:val="00D23620"/>
    <w:rsid w:val="00D2372D"/>
    <w:rsid w:val="00D238D1"/>
    <w:rsid w:val="00D23E86"/>
    <w:rsid w:val="00D24621"/>
    <w:rsid w:val="00D24A50"/>
    <w:rsid w:val="00D24C78"/>
    <w:rsid w:val="00D25479"/>
    <w:rsid w:val="00D26945"/>
    <w:rsid w:val="00D269EF"/>
    <w:rsid w:val="00D27295"/>
    <w:rsid w:val="00D27557"/>
    <w:rsid w:val="00D27952"/>
    <w:rsid w:val="00D27A43"/>
    <w:rsid w:val="00D27EEF"/>
    <w:rsid w:val="00D301FB"/>
    <w:rsid w:val="00D30438"/>
    <w:rsid w:val="00D306B7"/>
    <w:rsid w:val="00D30E37"/>
    <w:rsid w:val="00D31076"/>
    <w:rsid w:val="00D31211"/>
    <w:rsid w:val="00D32598"/>
    <w:rsid w:val="00D32902"/>
    <w:rsid w:val="00D33BAA"/>
    <w:rsid w:val="00D34165"/>
    <w:rsid w:val="00D34215"/>
    <w:rsid w:val="00D3436A"/>
    <w:rsid w:val="00D345F4"/>
    <w:rsid w:val="00D351D0"/>
    <w:rsid w:val="00D35348"/>
    <w:rsid w:val="00D3590C"/>
    <w:rsid w:val="00D35B6F"/>
    <w:rsid w:val="00D36859"/>
    <w:rsid w:val="00D36E88"/>
    <w:rsid w:val="00D37219"/>
    <w:rsid w:val="00D37454"/>
    <w:rsid w:val="00D37A1B"/>
    <w:rsid w:val="00D37AC3"/>
    <w:rsid w:val="00D37C3E"/>
    <w:rsid w:val="00D40E10"/>
    <w:rsid w:val="00D41033"/>
    <w:rsid w:val="00D4174F"/>
    <w:rsid w:val="00D421EE"/>
    <w:rsid w:val="00D422FC"/>
    <w:rsid w:val="00D42392"/>
    <w:rsid w:val="00D428B1"/>
    <w:rsid w:val="00D42BD5"/>
    <w:rsid w:val="00D42D88"/>
    <w:rsid w:val="00D42EE6"/>
    <w:rsid w:val="00D430AC"/>
    <w:rsid w:val="00D4357E"/>
    <w:rsid w:val="00D439CD"/>
    <w:rsid w:val="00D43A2D"/>
    <w:rsid w:val="00D449E2"/>
    <w:rsid w:val="00D44A2B"/>
    <w:rsid w:val="00D44B96"/>
    <w:rsid w:val="00D44C88"/>
    <w:rsid w:val="00D4580E"/>
    <w:rsid w:val="00D45A00"/>
    <w:rsid w:val="00D463F2"/>
    <w:rsid w:val="00D465CF"/>
    <w:rsid w:val="00D46965"/>
    <w:rsid w:val="00D46B9F"/>
    <w:rsid w:val="00D47256"/>
    <w:rsid w:val="00D50750"/>
    <w:rsid w:val="00D508CE"/>
    <w:rsid w:val="00D50B64"/>
    <w:rsid w:val="00D511A0"/>
    <w:rsid w:val="00D51365"/>
    <w:rsid w:val="00D5200C"/>
    <w:rsid w:val="00D538B2"/>
    <w:rsid w:val="00D53F79"/>
    <w:rsid w:val="00D549C9"/>
    <w:rsid w:val="00D55010"/>
    <w:rsid w:val="00D55138"/>
    <w:rsid w:val="00D55FB3"/>
    <w:rsid w:val="00D60262"/>
    <w:rsid w:val="00D603C7"/>
    <w:rsid w:val="00D60537"/>
    <w:rsid w:val="00D61634"/>
    <w:rsid w:val="00D61B6D"/>
    <w:rsid w:val="00D61C06"/>
    <w:rsid w:val="00D61EFA"/>
    <w:rsid w:val="00D626C8"/>
    <w:rsid w:val="00D627DD"/>
    <w:rsid w:val="00D6310B"/>
    <w:rsid w:val="00D63B72"/>
    <w:rsid w:val="00D63BDD"/>
    <w:rsid w:val="00D6520D"/>
    <w:rsid w:val="00D65850"/>
    <w:rsid w:val="00D659ED"/>
    <w:rsid w:val="00D65DA5"/>
    <w:rsid w:val="00D6698A"/>
    <w:rsid w:val="00D66B14"/>
    <w:rsid w:val="00D67454"/>
    <w:rsid w:val="00D67614"/>
    <w:rsid w:val="00D676BA"/>
    <w:rsid w:val="00D67ACA"/>
    <w:rsid w:val="00D70E79"/>
    <w:rsid w:val="00D71268"/>
    <w:rsid w:val="00D71C1D"/>
    <w:rsid w:val="00D71F25"/>
    <w:rsid w:val="00D72076"/>
    <w:rsid w:val="00D7267E"/>
    <w:rsid w:val="00D72893"/>
    <w:rsid w:val="00D72DEE"/>
    <w:rsid w:val="00D730E6"/>
    <w:rsid w:val="00D738E1"/>
    <w:rsid w:val="00D7422C"/>
    <w:rsid w:val="00D74F0B"/>
    <w:rsid w:val="00D75077"/>
    <w:rsid w:val="00D759E0"/>
    <w:rsid w:val="00D7604A"/>
    <w:rsid w:val="00D76404"/>
    <w:rsid w:val="00D76C32"/>
    <w:rsid w:val="00D76D48"/>
    <w:rsid w:val="00D7733C"/>
    <w:rsid w:val="00D7736E"/>
    <w:rsid w:val="00D7779D"/>
    <w:rsid w:val="00D80691"/>
    <w:rsid w:val="00D81086"/>
    <w:rsid w:val="00D81FC0"/>
    <w:rsid w:val="00D821B5"/>
    <w:rsid w:val="00D82A56"/>
    <w:rsid w:val="00D82D16"/>
    <w:rsid w:val="00D831A3"/>
    <w:rsid w:val="00D83601"/>
    <w:rsid w:val="00D84936"/>
    <w:rsid w:val="00D84A6F"/>
    <w:rsid w:val="00D84DA8"/>
    <w:rsid w:val="00D85302"/>
    <w:rsid w:val="00D85551"/>
    <w:rsid w:val="00D857E9"/>
    <w:rsid w:val="00D8658B"/>
    <w:rsid w:val="00D86979"/>
    <w:rsid w:val="00D86BB2"/>
    <w:rsid w:val="00D86BC3"/>
    <w:rsid w:val="00D8749B"/>
    <w:rsid w:val="00D87844"/>
    <w:rsid w:val="00D8798A"/>
    <w:rsid w:val="00D90F99"/>
    <w:rsid w:val="00D914AA"/>
    <w:rsid w:val="00D9246E"/>
    <w:rsid w:val="00D92753"/>
    <w:rsid w:val="00D92D73"/>
    <w:rsid w:val="00D933D3"/>
    <w:rsid w:val="00D9364B"/>
    <w:rsid w:val="00D93C8F"/>
    <w:rsid w:val="00D9400E"/>
    <w:rsid w:val="00D945A5"/>
    <w:rsid w:val="00D94C96"/>
    <w:rsid w:val="00D97B38"/>
    <w:rsid w:val="00D97BCF"/>
    <w:rsid w:val="00D97F20"/>
    <w:rsid w:val="00DA086D"/>
    <w:rsid w:val="00DA0AA2"/>
    <w:rsid w:val="00DA1AF7"/>
    <w:rsid w:val="00DA214C"/>
    <w:rsid w:val="00DA259F"/>
    <w:rsid w:val="00DA2709"/>
    <w:rsid w:val="00DA2915"/>
    <w:rsid w:val="00DA2D94"/>
    <w:rsid w:val="00DA316A"/>
    <w:rsid w:val="00DA33A9"/>
    <w:rsid w:val="00DA3465"/>
    <w:rsid w:val="00DA3FC2"/>
    <w:rsid w:val="00DA46D2"/>
    <w:rsid w:val="00DA4C98"/>
    <w:rsid w:val="00DA4D90"/>
    <w:rsid w:val="00DA4EFF"/>
    <w:rsid w:val="00DA4F82"/>
    <w:rsid w:val="00DA5D35"/>
    <w:rsid w:val="00DA630D"/>
    <w:rsid w:val="00DA6ED6"/>
    <w:rsid w:val="00DA6F52"/>
    <w:rsid w:val="00DA748F"/>
    <w:rsid w:val="00DA7874"/>
    <w:rsid w:val="00DA7F5E"/>
    <w:rsid w:val="00DB0151"/>
    <w:rsid w:val="00DB0A4D"/>
    <w:rsid w:val="00DB0CD0"/>
    <w:rsid w:val="00DB19D7"/>
    <w:rsid w:val="00DB24C0"/>
    <w:rsid w:val="00DB31C0"/>
    <w:rsid w:val="00DB3B9A"/>
    <w:rsid w:val="00DB4247"/>
    <w:rsid w:val="00DB4B02"/>
    <w:rsid w:val="00DB53DE"/>
    <w:rsid w:val="00DB5BF1"/>
    <w:rsid w:val="00DB5DDC"/>
    <w:rsid w:val="00DB60C5"/>
    <w:rsid w:val="00DB69E7"/>
    <w:rsid w:val="00DB69F0"/>
    <w:rsid w:val="00DB71CC"/>
    <w:rsid w:val="00DB7724"/>
    <w:rsid w:val="00DC014E"/>
    <w:rsid w:val="00DC044A"/>
    <w:rsid w:val="00DC0E84"/>
    <w:rsid w:val="00DC0F66"/>
    <w:rsid w:val="00DC10BF"/>
    <w:rsid w:val="00DC1AA2"/>
    <w:rsid w:val="00DC20AC"/>
    <w:rsid w:val="00DC2215"/>
    <w:rsid w:val="00DC25CB"/>
    <w:rsid w:val="00DC2BE7"/>
    <w:rsid w:val="00DC3A99"/>
    <w:rsid w:val="00DC410E"/>
    <w:rsid w:val="00DC47DF"/>
    <w:rsid w:val="00DC4A17"/>
    <w:rsid w:val="00DC52B0"/>
    <w:rsid w:val="00DC5514"/>
    <w:rsid w:val="00DC5910"/>
    <w:rsid w:val="00DC59A1"/>
    <w:rsid w:val="00DC62E9"/>
    <w:rsid w:val="00DD043B"/>
    <w:rsid w:val="00DD06F9"/>
    <w:rsid w:val="00DD155E"/>
    <w:rsid w:val="00DD1D3F"/>
    <w:rsid w:val="00DD2C37"/>
    <w:rsid w:val="00DD2C87"/>
    <w:rsid w:val="00DD356B"/>
    <w:rsid w:val="00DD3805"/>
    <w:rsid w:val="00DD3AC6"/>
    <w:rsid w:val="00DD404B"/>
    <w:rsid w:val="00DD47CE"/>
    <w:rsid w:val="00DD511D"/>
    <w:rsid w:val="00DD575C"/>
    <w:rsid w:val="00DD5AE9"/>
    <w:rsid w:val="00DD5C19"/>
    <w:rsid w:val="00DD5FBF"/>
    <w:rsid w:val="00DD7766"/>
    <w:rsid w:val="00DD7D4E"/>
    <w:rsid w:val="00DE0BB7"/>
    <w:rsid w:val="00DE0FB4"/>
    <w:rsid w:val="00DE12AD"/>
    <w:rsid w:val="00DE2351"/>
    <w:rsid w:val="00DE2888"/>
    <w:rsid w:val="00DE2B1A"/>
    <w:rsid w:val="00DE2B8B"/>
    <w:rsid w:val="00DE2C46"/>
    <w:rsid w:val="00DE388E"/>
    <w:rsid w:val="00DE38B5"/>
    <w:rsid w:val="00DE394D"/>
    <w:rsid w:val="00DE3978"/>
    <w:rsid w:val="00DE4A62"/>
    <w:rsid w:val="00DE5032"/>
    <w:rsid w:val="00DE5276"/>
    <w:rsid w:val="00DE5401"/>
    <w:rsid w:val="00DE6694"/>
    <w:rsid w:val="00DF0656"/>
    <w:rsid w:val="00DF1557"/>
    <w:rsid w:val="00DF1CAD"/>
    <w:rsid w:val="00DF3CB6"/>
    <w:rsid w:val="00DF45ED"/>
    <w:rsid w:val="00DF4905"/>
    <w:rsid w:val="00DF5021"/>
    <w:rsid w:val="00DF5104"/>
    <w:rsid w:val="00DF5112"/>
    <w:rsid w:val="00DF57C1"/>
    <w:rsid w:val="00DF5AD7"/>
    <w:rsid w:val="00DF6140"/>
    <w:rsid w:val="00DF61E0"/>
    <w:rsid w:val="00DF6814"/>
    <w:rsid w:val="00DF717C"/>
    <w:rsid w:val="00DF771E"/>
    <w:rsid w:val="00DF77D1"/>
    <w:rsid w:val="00DF789A"/>
    <w:rsid w:val="00E00263"/>
    <w:rsid w:val="00E0091E"/>
    <w:rsid w:val="00E009FA"/>
    <w:rsid w:val="00E00EAD"/>
    <w:rsid w:val="00E014E9"/>
    <w:rsid w:val="00E01879"/>
    <w:rsid w:val="00E026F1"/>
    <w:rsid w:val="00E027FC"/>
    <w:rsid w:val="00E0341D"/>
    <w:rsid w:val="00E03BEB"/>
    <w:rsid w:val="00E04EC5"/>
    <w:rsid w:val="00E060B9"/>
    <w:rsid w:val="00E068CC"/>
    <w:rsid w:val="00E06E4B"/>
    <w:rsid w:val="00E070E7"/>
    <w:rsid w:val="00E07272"/>
    <w:rsid w:val="00E07337"/>
    <w:rsid w:val="00E073A2"/>
    <w:rsid w:val="00E07BE7"/>
    <w:rsid w:val="00E108A3"/>
    <w:rsid w:val="00E113E7"/>
    <w:rsid w:val="00E11CCC"/>
    <w:rsid w:val="00E12203"/>
    <w:rsid w:val="00E12F14"/>
    <w:rsid w:val="00E14070"/>
    <w:rsid w:val="00E144EF"/>
    <w:rsid w:val="00E147C9"/>
    <w:rsid w:val="00E1482C"/>
    <w:rsid w:val="00E148CF"/>
    <w:rsid w:val="00E14A0B"/>
    <w:rsid w:val="00E1519A"/>
    <w:rsid w:val="00E157D6"/>
    <w:rsid w:val="00E15B50"/>
    <w:rsid w:val="00E16490"/>
    <w:rsid w:val="00E16761"/>
    <w:rsid w:val="00E17D26"/>
    <w:rsid w:val="00E2046E"/>
    <w:rsid w:val="00E20770"/>
    <w:rsid w:val="00E21889"/>
    <w:rsid w:val="00E2242E"/>
    <w:rsid w:val="00E2293C"/>
    <w:rsid w:val="00E229FF"/>
    <w:rsid w:val="00E22E2D"/>
    <w:rsid w:val="00E241D1"/>
    <w:rsid w:val="00E242C4"/>
    <w:rsid w:val="00E2463D"/>
    <w:rsid w:val="00E24760"/>
    <w:rsid w:val="00E25786"/>
    <w:rsid w:val="00E2667E"/>
    <w:rsid w:val="00E267EA"/>
    <w:rsid w:val="00E26AF1"/>
    <w:rsid w:val="00E27273"/>
    <w:rsid w:val="00E27F12"/>
    <w:rsid w:val="00E30B79"/>
    <w:rsid w:val="00E30E8A"/>
    <w:rsid w:val="00E31606"/>
    <w:rsid w:val="00E32C97"/>
    <w:rsid w:val="00E32E2C"/>
    <w:rsid w:val="00E331D2"/>
    <w:rsid w:val="00E33B5A"/>
    <w:rsid w:val="00E33CF4"/>
    <w:rsid w:val="00E33D55"/>
    <w:rsid w:val="00E33DB9"/>
    <w:rsid w:val="00E34175"/>
    <w:rsid w:val="00E34D5B"/>
    <w:rsid w:val="00E3559A"/>
    <w:rsid w:val="00E35A20"/>
    <w:rsid w:val="00E35A71"/>
    <w:rsid w:val="00E36509"/>
    <w:rsid w:val="00E369B6"/>
    <w:rsid w:val="00E37774"/>
    <w:rsid w:val="00E37E93"/>
    <w:rsid w:val="00E40F69"/>
    <w:rsid w:val="00E410DE"/>
    <w:rsid w:val="00E41455"/>
    <w:rsid w:val="00E4146E"/>
    <w:rsid w:val="00E426E2"/>
    <w:rsid w:val="00E437FA"/>
    <w:rsid w:val="00E43EA2"/>
    <w:rsid w:val="00E43EED"/>
    <w:rsid w:val="00E4409C"/>
    <w:rsid w:val="00E44AF5"/>
    <w:rsid w:val="00E44CA0"/>
    <w:rsid w:val="00E44DC4"/>
    <w:rsid w:val="00E4579D"/>
    <w:rsid w:val="00E46708"/>
    <w:rsid w:val="00E46E6C"/>
    <w:rsid w:val="00E46F94"/>
    <w:rsid w:val="00E47AD0"/>
    <w:rsid w:val="00E5072B"/>
    <w:rsid w:val="00E50907"/>
    <w:rsid w:val="00E50E7F"/>
    <w:rsid w:val="00E50FDF"/>
    <w:rsid w:val="00E5112D"/>
    <w:rsid w:val="00E51621"/>
    <w:rsid w:val="00E51938"/>
    <w:rsid w:val="00E52136"/>
    <w:rsid w:val="00E52CA6"/>
    <w:rsid w:val="00E52EE2"/>
    <w:rsid w:val="00E5354C"/>
    <w:rsid w:val="00E5376E"/>
    <w:rsid w:val="00E53D86"/>
    <w:rsid w:val="00E53F97"/>
    <w:rsid w:val="00E541A7"/>
    <w:rsid w:val="00E544AF"/>
    <w:rsid w:val="00E551AD"/>
    <w:rsid w:val="00E55426"/>
    <w:rsid w:val="00E5595E"/>
    <w:rsid w:val="00E55AE5"/>
    <w:rsid w:val="00E56065"/>
    <w:rsid w:val="00E563EA"/>
    <w:rsid w:val="00E57413"/>
    <w:rsid w:val="00E5748C"/>
    <w:rsid w:val="00E57672"/>
    <w:rsid w:val="00E57C9E"/>
    <w:rsid w:val="00E57F53"/>
    <w:rsid w:val="00E60048"/>
    <w:rsid w:val="00E60878"/>
    <w:rsid w:val="00E6088C"/>
    <w:rsid w:val="00E60BE4"/>
    <w:rsid w:val="00E612BE"/>
    <w:rsid w:val="00E61CCE"/>
    <w:rsid w:val="00E61FE3"/>
    <w:rsid w:val="00E6214A"/>
    <w:rsid w:val="00E622F8"/>
    <w:rsid w:val="00E62565"/>
    <w:rsid w:val="00E637C1"/>
    <w:rsid w:val="00E64A2A"/>
    <w:rsid w:val="00E64DA5"/>
    <w:rsid w:val="00E66528"/>
    <w:rsid w:val="00E6686E"/>
    <w:rsid w:val="00E67177"/>
    <w:rsid w:val="00E6723E"/>
    <w:rsid w:val="00E6774F"/>
    <w:rsid w:val="00E67E53"/>
    <w:rsid w:val="00E70113"/>
    <w:rsid w:val="00E7100E"/>
    <w:rsid w:val="00E712A6"/>
    <w:rsid w:val="00E71BC9"/>
    <w:rsid w:val="00E72841"/>
    <w:rsid w:val="00E72F47"/>
    <w:rsid w:val="00E73098"/>
    <w:rsid w:val="00E747B9"/>
    <w:rsid w:val="00E74F77"/>
    <w:rsid w:val="00E752F7"/>
    <w:rsid w:val="00E758FE"/>
    <w:rsid w:val="00E759E5"/>
    <w:rsid w:val="00E761AB"/>
    <w:rsid w:val="00E765E8"/>
    <w:rsid w:val="00E76617"/>
    <w:rsid w:val="00E76AD7"/>
    <w:rsid w:val="00E7726E"/>
    <w:rsid w:val="00E774CD"/>
    <w:rsid w:val="00E77E08"/>
    <w:rsid w:val="00E800D3"/>
    <w:rsid w:val="00E80A63"/>
    <w:rsid w:val="00E80F81"/>
    <w:rsid w:val="00E816AE"/>
    <w:rsid w:val="00E82A51"/>
    <w:rsid w:val="00E83497"/>
    <w:rsid w:val="00E8397B"/>
    <w:rsid w:val="00E84C99"/>
    <w:rsid w:val="00E851B7"/>
    <w:rsid w:val="00E85756"/>
    <w:rsid w:val="00E8585C"/>
    <w:rsid w:val="00E85A12"/>
    <w:rsid w:val="00E86369"/>
    <w:rsid w:val="00E870BF"/>
    <w:rsid w:val="00E900D9"/>
    <w:rsid w:val="00E90BE0"/>
    <w:rsid w:val="00E914A0"/>
    <w:rsid w:val="00E93077"/>
    <w:rsid w:val="00E94454"/>
    <w:rsid w:val="00E94FB5"/>
    <w:rsid w:val="00E95280"/>
    <w:rsid w:val="00E957DD"/>
    <w:rsid w:val="00E960F3"/>
    <w:rsid w:val="00E965D6"/>
    <w:rsid w:val="00E96DFA"/>
    <w:rsid w:val="00E96EA8"/>
    <w:rsid w:val="00E97514"/>
    <w:rsid w:val="00E97853"/>
    <w:rsid w:val="00E97D3A"/>
    <w:rsid w:val="00EA04C7"/>
    <w:rsid w:val="00EA0554"/>
    <w:rsid w:val="00EA0588"/>
    <w:rsid w:val="00EA0974"/>
    <w:rsid w:val="00EA0CC4"/>
    <w:rsid w:val="00EA0CFA"/>
    <w:rsid w:val="00EA161A"/>
    <w:rsid w:val="00EA1751"/>
    <w:rsid w:val="00EA1C62"/>
    <w:rsid w:val="00EA2FBA"/>
    <w:rsid w:val="00EA3A23"/>
    <w:rsid w:val="00EA3C42"/>
    <w:rsid w:val="00EA3DAE"/>
    <w:rsid w:val="00EA45CB"/>
    <w:rsid w:val="00EA4D2E"/>
    <w:rsid w:val="00EA590F"/>
    <w:rsid w:val="00EA5B0D"/>
    <w:rsid w:val="00EA5D1E"/>
    <w:rsid w:val="00EA5E28"/>
    <w:rsid w:val="00EA6022"/>
    <w:rsid w:val="00EA66D8"/>
    <w:rsid w:val="00EA780B"/>
    <w:rsid w:val="00EB006F"/>
    <w:rsid w:val="00EB01B3"/>
    <w:rsid w:val="00EB01FF"/>
    <w:rsid w:val="00EB036B"/>
    <w:rsid w:val="00EB0899"/>
    <w:rsid w:val="00EB08B6"/>
    <w:rsid w:val="00EB18A6"/>
    <w:rsid w:val="00EB1D50"/>
    <w:rsid w:val="00EB2D6F"/>
    <w:rsid w:val="00EB2D9D"/>
    <w:rsid w:val="00EB334C"/>
    <w:rsid w:val="00EB42A3"/>
    <w:rsid w:val="00EB4425"/>
    <w:rsid w:val="00EB4BBD"/>
    <w:rsid w:val="00EB5164"/>
    <w:rsid w:val="00EB552E"/>
    <w:rsid w:val="00EB5CEF"/>
    <w:rsid w:val="00EB616C"/>
    <w:rsid w:val="00EB69D0"/>
    <w:rsid w:val="00EB6CD7"/>
    <w:rsid w:val="00EB6D2B"/>
    <w:rsid w:val="00EB7129"/>
    <w:rsid w:val="00EB76C2"/>
    <w:rsid w:val="00EB7DCB"/>
    <w:rsid w:val="00EC0410"/>
    <w:rsid w:val="00EC0698"/>
    <w:rsid w:val="00EC114F"/>
    <w:rsid w:val="00EC1AC7"/>
    <w:rsid w:val="00EC2180"/>
    <w:rsid w:val="00EC2540"/>
    <w:rsid w:val="00EC32CF"/>
    <w:rsid w:val="00EC38B6"/>
    <w:rsid w:val="00EC3932"/>
    <w:rsid w:val="00EC4CEE"/>
    <w:rsid w:val="00EC4EF9"/>
    <w:rsid w:val="00EC5045"/>
    <w:rsid w:val="00EC5C49"/>
    <w:rsid w:val="00EC716E"/>
    <w:rsid w:val="00EC71C9"/>
    <w:rsid w:val="00EC7C4D"/>
    <w:rsid w:val="00EC7DF7"/>
    <w:rsid w:val="00ED047D"/>
    <w:rsid w:val="00ED0A7C"/>
    <w:rsid w:val="00ED13DF"/>
    <w:rsid w:val="00ED168B"/>
    <w:rsid w:val="00ED172F"/>
    <w:rsid w:val="00ED1959"/>
    <w:rsid w:val="00ED221C"/>
    <w:rsid w:val="00ED27A3"/>
    <w:rsid w:val="00ED314F"/>
    <w:rsid w:val="00ED3369"/>
    <w:rsid w:val="00ED3B5C"/>
    <w:rsid w:val="00ED4070"/>
    <w:rsid w:val="00ED40EF"/>
    <w:rsid w:val="00ED4391"/>
    <w:rsid w:val="00ED44B3"/>
    <w:rsid w:val="00ED48CF"/>
    <w:rsid w:val="00ED4DEF"/>
    <w:rsid w:val="00ED4E01"/>
    <w:rsid w:val="00ED5CA2"/>
    <w:rsid w:val="00ED6D75"/>
    <w:rsid w:val="00ED717C"/>
    <w:rsid w:val="00ED73F1"/>
    <w:rsid w:val="00EE0CAA"/>
    <w:rsid w:val="00EE1505"/>
    <w:rsid w:val="00EE16CA"/>
    <w:rsid w:val="00EE180E"/>
    <w:rsid w:val="00EE22D1"/>
    <w:rsid w:val="00EE5475"/>
    <w:rsid w:val="00EE5C28"/>
    <w:rsid w:val="00EE5F93"/>
    <w:rsid w:val="00EE6DC5"/>
    <w:rsid w:val="00EE7467"/>
    <w:rsid w:val="00EE7537"/>
    <w:rsid w:val="00EE757A"/>
    <w:rsid w:val="00EF0C36"/>
    <w:rsid w:val="00EF10BA"/>
    <w:rsid w:val="00EF12A8"/>
    <w:rsid w:val="00EF25E8"/>
    <w:rsid w:val="00EF348D"/>
    <w:rsid w:val="00EF3935"/>
    <w:rsid w:val="00EF393C"/>
    <w:rsid w:val="00EF4203"/>
    <w:rsid w:val="00EF4266"/>
    <w:rsid w:val="00EF4295"/>
    <w:rsid w:val="00EF490F"/>
    <w:rsid w:val="00EF4B00"/>
    <w:rsid w:val="00EF4F33"/>
    <w:rsid w:val="00EF52DA"/>
    <w:rsid w:val="00EF5418"/>
    <w:rsid w:val="00EF5487"/>
    <w:rsid w:val="00EF5654"/>
    <w:rsid w:val="00EF59E9"/>
    <w:rsid w:val="00EF5BB9"/>
    <w:rsid w:val="00EF5D09"/>
    <w:rsid w:val="00EF64D4"/>
    <w:rsid w:val="00EF68AE"/>
    <w:rsid w:val="00EF718C"/>
    <w:rsid w:val="00EF7438"/>
    <w:rsid w:val="00EF78A1"/>
    <w:rsid w:val="00F002D2"/>
    <w:rsid w:val="00F006B8"/>
    <w:rsid w:val="00F006DD"/>
    <w:rsid w:val="00F00800"/>
    <w:rsid w:val="00F00B0E"/>
    <w:rsid w:val="00F01102"/>
    <w:rsid w:val="00F01608"/>
    <w:rsid w:val="00F0168A"/>
    <w:rsid w:val="00F01C33"/>
    <w:rsid w:val="00F020A4"/>
    <w:rsid w:val="00F024E3"/>
    <w:rsid w:val="00F025EB"/>
    <w:rsid w:val="00F02FD2"/>
    <w:rsid w:val="00F0332C"/>
    <w:rsid w:val="00F03773"/>
    <w:rsid w:val="00F03ECE"/>
    <w:rsid w:val="00F04149"/>
    <w:rsid w:val="00F04E38"/>
    <w:rsid w:val="00F0500D"/>
    <w:rsid w:val="00F0529C"/>
    <w:rsid w:val="00F05B76"/>
    <w:rsid w:val="00F06E81"/>
    <w:rsid w:val="00F07C89"/>
    <w:rsid w:val="00F07CFE"/>
    <w:rsid w:val="00F1000D"/>
    <w:rsid w:val="00F10EBB"/>
    <w:rsid w:val="00F11BB2"/>
    <w:rsid w:val="00F11C37"/>
    <w:rsid w:val="00F11CF1"/>
    <w:rsid w:val="00F123F2"/>
    <w:rsid w:val="00F124D5"/>
    <w:rsid w:val="00F12501"/>
    <w:rsid w:val="00F12507"/>
    <w:rsid w:val="00F1250E"/>
    <w:rsid w:val="00F12F14"/>
    <w:rsid w:val="00F131EB"/>
    <w:rsid w:val="00F13292"/>
    <w:rsid w:val="00F133E9"/>
    <w:rsid w:val="00F140D6"/>
    <w:rsid w:val="00F1433A"/>
    <w:rsid w:val="00F14462"/>
    <w:rsid w:val="00F14FDB"/>
    <w:rsid w:val="00F15308"/>
    <w:rsid w:val="00F15AC4"/>
    <w:rsid w:val="00F15EEF"/>
    <w:rsid w:val="00F16910"/>
    <w:rsid w:val="00F1714B"/>
    <w:rsid w:val="00F17BAD"/>
    <w:rsid w:val="00F200D1"/>
    <w:rsid w:val="00F20C8D"/>
    <w:rsid w:val="00F2152F"/>
    <w:rsid w:val="00F2191B"/>
    <w:rsid w:val="00F21A03"/>
    <w:rsid w:val="00F22AC3"/>
    <w:rsid w:val="00F22ED5"/>
    <w:rsid w:val="00F23430"/>
    <w:rsid w:val="00F23DAB"/>
    <w:rsid w:val="00F23DDE"/>
    <w:rsid w:val="00F245DD"/>
    <w:rsid w:val="00F24671"/>
    <w:rsid w:val="00F2619F"/>
    <w:rsid w:val="00F26E31"/>
    <w:rsid w:val="00F27338"/>
    <w:rsid w:val="00F27712"/>
    <w:rsid w:val="00F27B4F"/>
    <w:rsid w:val="00F30870"/>
    <w:rsid w:val="00F31750"/>
    <w:rsid w:val="00F31A52"/>
    <w:rsid w:val="00F32138"/>
    <w:rsid w:val="00F32EC4"/>
    <w:rsid w:val="00F330EA"/>
    <w:rsid w:val="00F3326C"/>
    <w:rsid w:val="00F33D4A"/>
    <w:rsid w:val="00F34252"/>
    <w:rsid w:val="00F34494"/>
    <w:rsid w:val="00F3458E"/>
    <w:rsid w:val="00F350AB"/>
    <w:rsid w:val="00F35127"/>
    <w:rsid w:val="00F35453"/>
    <w:rsid w:val="00F3577B"/>
    <w:rsid w:val="00F35FAD"/>
    <w:rsid w:val="00F369D1"/>
    <w:rsid w:val="00F3798A"/>
    <w:rsid w:val="00F402B2"/>
    <w:rsid w:val="00F407D2"/>
    <w:rsid w:val="00F40932"/>
    <w:rsid w:val="00F41277"/>
    <w:rsid w:val="00F412B3"/>
    <w:rsid w:val="00F419E8"/>
    <w:rsid w:val="00F4220B"/>
    <w:rsid w:val="00F426AC"/>
    <w:rsid w:val="00F44662"/>
    <w:rsid w:val="00F44742"/>
    <w:rsid w:val="00F44B7C"/>
    <w:rsid w:val="00F44D86"/>
    <w:rsid w:val="00F450C8"/>
    <w:rsid w:val="00F4534E"/>
    <w:rsid w:val="00F456D6"/>
    <w:rsid w:val="00F45C53"/>
    <w:rsid w:val="00F46032"/>
    <w:rsid w:val="00F4659E"/>
    <w:rsid w:val="00F465DA"/>
    <w:rsid w:val="00F46695"/>
    <w:rsid w:val="00F46947"/>
    <w:rsid w:val="00F469B5"/>
    <w:rsid w:val="00F469E8"/>
    <w:rsid w:val="00F4763C"/>
    <w:rsid w:val="00F47ABD"/>
    <w:rsid w:val="00F47BE9"/>
    <w:rsid w:val="00F47C2F"/>
    <w:rsid w:val="00F50232"/>
    <w:rsid w:val="00F50D93"/>
    <w:rsid w:val="00F50E87"/>
    <w:rsid w:val="00F51577"/>
    <w:rsid w:val="00F51EE2"/>
    <w:rsid w:val="00F51F57"/>
    <w:rsid w:val="00F52614"/>
    <w:rsid w:val="00F52A8D"/>
    <w:rsid w:val="00F5307F"/>
    <w:rsid w:val="00F54294"/>
    <w:rsid w:val="00F54633"/>
    <w:rsid w:val="00F54C16"/>
    <w:rsid w:val="00F55128"/>
    <w:rsid w:val="00F55B60"/>
    <w:rsid w:val="00F5628F"/>
    <w:rsid w:val="00F56567"/>
    <w:rsid w:val="00F56B4D"/>
    <w:rsid w:val="00F56C8C"/>
    <w:rsid w:val="00F57140"/>
    <w:rsid w:val="00F57830"/>
    <w:rsid w:val="00F603BF"/>
    <w:rsid w:val="00F60416"/>
    <w:rsid w:val="00F60733"/>
    <w:rsid w:val="00F61995"/>
    <w:rsid w:val="00F62323"/>
    <w:rsid w:val="00F627A5"/>
    <w:rsid w:val="00F62CA0"/>
    <w:rsid w:val="00F63651"/>
    <w:rsid w:val="00F63781"/>
    <w:rsid w:val="00F637F0"/>
    <w:rsid w:val="00F64261"/>
    <w:rsid w:val="00F64E5E"/>
    <w:rsid w:val="00F65824"/>
    <w:rsid w:val="00F65BFD"/>
    <w:rsid w:val="00F65C1E"/>
    <w:rsid w:val="00F663D4"/>
    <w:rsid w:val="00F67501"/>
    <w:rsid w:val="00F67AD5"/>
    <w:rsid w:val="00F708B3"/>
    <w:rsid w:val="00F70EB1"/>
    <w:rsid w:val="00F70F50"/>
    <w:rsid w:val="00F71420"/>
    <w:rsid w:val="00F71822"/>
    <w:rsid w:val="00F7263B"/>
    <w:rsid w:val="00F726E8"/>
    <w:rsid w:val="00F72BA8"/>
    <w:rsid w:val="00F733BA"/>
    <w:rsid w:val="00F73A46"/>
    <w:rsid w:val="00F746AC"/>
    <w:rsid w:val="00F747D8"/>
    <w:rsid w:val="00F74930"/>
    <w:rsid w:val="00F74CAE"/>
    <w:rsid w:val="00F75130"/>
    <w:rsid w:val="00F75526"/>
    <w:rsid w:val="00F7602D"/>
    <w:rsid w:val="00F767C3"/>
    <w:rsid w:val="00F769B1"/>
    <w:rsid w:val="00F76E83"/>
    <w:rsid w:val="00F7737D"/>
    <w:rsid w:val="00F7755B"/>
    <w:rsid w:val="00F7756A"/>
    <w:rsid w:val="00F77A2B"/>
    <w:rsid w:val="00F80337"/>
    <w:rsid w:val="00F8091F"/>
    <w:rsid w:val="00F80AE7"/>
    <w:rsid w:val="00F80ECC"/>
    <w:rsid w:val="00F81551"/>
    <w:rsid w:val="00F831F4"/>
    <w:rsid w:val="00F83381"/>
    <w:rsid w:val="00F84556"/>
    <w:rsid w:val="00F847CC"/>
    <w:rsid w:val="00F847CF"/>
    <w:rsid w:val="00F84C00"/>
    <w:rsid w:val="00F859D0"/>
    <w:rsid w:val="00F859F8"/>
    <w:rsid w:val="00F85C04"/>
    <w:rsid w:val="00F85EE4"/>
    <w:rsid w:val="00F862F0"/>
    <w:rsid w:val="00F86B94"/>
    <w:rsid w:val="00F900E1"/>
    <w:rsid w:val="00F90628"/>
    <w:rsid w:val="00F923F8"/>
    <w:rsid w:val="00F92818"/>
    <w:rsid w:val="00F93BBE"/>
    <w:rsid w:val="00F9404A"/>
    <w:rsid w:val="00F94717"/>
    <w:rsid w:val="00F947DB"/>
    <w:rsid w:val="00F94BB4"/>
    <w:rsid w:val="00F94D68"/>
    <w:rsid w:val="00F94D7D"/>
    <w:rsid w:val="00F95830"/>
    <w:rsid w:val="00F961A6"/>
    <w:rsid w:val="00FA015E"/>
    <w:rsid w:val="00FA0AC3"/>
    <w:rsid w:val="00FA1445"/>
    <w:rsid w:val="00FA1C09"/>
    <w:rsid w:val="00FA21EF"/>
    <w:rsid w:val="00FA2B24"/>
    <w:rsid w:val="00FA349B"/>
    <w:rsid w:val="00FA35D9"/>
    <w:rsid w:val="00FA5EA7"/>
    <w:rsid w:val="00FA643B"/>
    <w:rsid w:val="00FA647C"/>
    <w:rsid w:val="00FA66E8"/>
    <w:rsid w:val="00FA6833"/>
    <w:rsid w:val="00FA6966"/>
    <w:rsid w:val="00FA6BFA"/>
    <w:rsid w:val="00FA6EB2"/>
    <w:rsid w:val="00FA72F6"/>
    <w:rsid w:val="00FA7724"/>
    <w:rsid w:val="00FA791E"/>
    <w:rsid w:val="00FB00B8"/>
    <w:rsid w:val="00FB035D"/>
    <w:rsid w:val="00FB046E"/>
    <w:rsid w:val="00FB06CE"/>
    <w:rsid w:val="00FB087E"/>
    <w:rsid w:val="00FB11B5"/>
    <w:rsid w:val="00FB148A"/>
    <w:rsid w:val="00FB1923"/>
    <w:rsid w:val="00FB1B8F"/>
    <w:rsid w:val="00FB2717"/>
    <w:rsid w:val="00FB2AF2"/>
    <w:rsid w:val="00FB34DE"/>
    <w:rsid w:val="00FB3B13"/>
    <w:rsid w:val="00FB45D3"/>
    <w:rsid w:val="00FB476F"/>
    <w:rsid w:val="00FB52EA"/>
    <w:rsid w:val="00FB5567"/>
    <w:rsid w:val="00FB5716"/>
    <w:rsid w:val="00FB5B2E"/>
    <w:rsid w:val="00FB5B36"/>
    <w:rsid w:val="00FB63D8"/>
    <w:rsid w:val="00FB6732"/>
    <w:rsid w:val="00FB71F9"/>
    <w:rsid w:val="00FB76C0"/>
    <w:rsid w:val="00FC0139"/>
    <w:rsid w:val="00FC033E"/>
    <w:rsid w:val="00FC0D84"/>
    <w:rsid w:val="00FC178A"/>
    <w:rsid w:val="00FC29AF"/>
    <w:rsid w:val="00FC2AEA"/>
    <w:rsid w:val="00FC2E88"/>
    <w:rsid w:val="00FC333A"/>
    <w:rsid w:val="00FC3BF3"/>
    <w:rsid w:val="00FC4156"/>
    <w:rsid w:val="00FC45AD"/>
    <w:rsid w:val="00FC468F"/>
    <w:rsid w:val="00FC4B7E"/>
    <w:rsid w:val="00FC523C"/>
    <w:rsid w:val="00FC5E7E"/>
    <w:rsid w:val="00FC625D"/>
    <w:rsid w:val="00FC62FE"/>
    <w:rsid w:val="00FC6415"/>
    <w:rsid w:val="00FC6E51"/>
    <w:rsid w:val="00FC7BA4"/>
    <w:rsid w:val="00FD0306"/>
    <w:rsid w:val="00FD051B"/>
    <w:rsid w:val="00FD0F8B"/>
    <w:rsid w:val="00FD10C8"/>
    <w:rsid w:val="00FD129A"/>
    <w:rsid w:val="00FD1ACB"/>
    <w:rsid w:val="00FD2062"/>
    <w:rsid w:val="00FD2425"/>
    <w:rsid w:val="00FD24F9"/>
    <w:rsid w:val="00FD2B5E"/>
    <w:rsid w:val="00FD2F43"/>
    <w:rsid w:val="00FD35B3"/>
    <w:rsid w:val="00FD4240"/>
    <w:rsid w:val="00FD43EB"/>
    <w:rsid w:val="00FD53DF"/>
    <w:rsid w:val="00FD5EAB"/>
    <w:rsid w:val="00FD6260"/>
    <w:rsid w:val="00FD692C"/>
    <w:rsid w:val="00FD6999"/>
    <w:rsid w:val="00FD7899"/>
    <w:rsid w:val="00FD79A7"/>
    <w:rsid w:val="00FE049C"/>
    <w:rsid w:val="00FE0AE6"/>
    <w:rsid w:val="00FE0E9A"/>
    <w:rsid w:val="00FE11BD"/>
    <w:rsid w:val="00FE17FE"/>
    <w:rsid w:val="00FE182E"/>
    <w:rsid w:val="00FE300D"/>
    <w:rsid w:val="00FE357F"/>
    <w:rsid w:val="00FE3AEE"/>
    <w:rsid w:val="00FE3B93"/>
    <w:rsid w:val="00FE429C"/>
    <w:rsid w:val="00FE43B8"/>
    <w:rsid w:val="00FE443B"/>
    <w:rsid w:val="00FE4A37"/>
    <w:rsid w:val="00FE4B1D"/>
    <w:rsid w:val="00FE4FC4"/>
    <w:rsid w:val="00FE68CB"/>
    <w:rsid w:val="00FE68EE"/>
    <w:rsid w:val="00FE779B"/>
    <w:rsid w:val="00FE7803"/>
    <w:rsid w:val="00FF06EA"/>
    <w:rsid w:val="00FF0C8E"/>
    <w:rsid w:val="00FF147D"/>
    <w:rsid w:val="00FF2823"/>
    <w:rsid w:val="00FF351E"/>
    <w:rsid w:val="00FF39CA"/>
    <w:rsid w:val="00FF48CE"/>
    <w:rsid w:val="00FF48D9"/>
    <w:rsid w:val="00FF4C47"/>
    <w:rsid w:val="00FF4EB7"/>
    <w:rsid w:val="00FF55F8"/>
    <w:rsid w:val="00FF6EFF"/>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8BD7"/>
  <w15:chartTrackingRefBased/>
  <w15:docId w15:val="{FC6D7987-B2D0-40AF-AFCC-961B8DF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61"/>
    <w:pPr>
      <w:spacing w:after="0" w:line="360" w:lineRule="auto"/>
    </w:pPr>
    <w:rPr>
      <w:rFonts w:ascii="Times New Roman" w:hAnsi="Times New Roman"/>
      <w:sz w:val="26"/>
    </w:rPr>
  </w:style>
  <w:style w:type="paragraph" w:styleId="Heading1">
    <w:name w:val="heading 1"/>
    <w:basedOn w:val="Normal"/>
    <w:next w:val="Normal"/>
    <w:link w:val="Heading1Char"/>
    <w:uiPriority w:val="9"/>
    <w:qFormat/>
    <w:rsid w:val="001B3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34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B346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6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B3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B3461"/>
    <w:rPr>
      <w:rFonts w:ascii="Times New Roman" w:eastAsia="Times New Roman" w:hAnsi="Times New Roman" w:cs="Times New Roman"/>
      <w:b/>
      <w:bCs/>
      <w:sz w:val="24"/>
      <w:szCs w:val="24"/>
    </w:rPr>
  </w:style>
  <w:style w:type="paragraph" w:styleId="ListParagraph">
    <w:name w:val="List Paragraph"/>
    <w:basedOn w:val="Normal"/>
    <w:uiPriority w:val="34"/>
    <w:qFormat/>
    <w:rsid w:val="001B3461"/>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uiPriority w:val="99"/>
    <w:unhideWhenUsed/>
    <w:qFormat/>
    <w:rsid w:val="001B3461"/>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1B3461"/>
    <w:rPr>
      <w:rFonts w:ascii="Times New Roman" w:hAnsi="Times New Roman"/>
      <w:sz w:val="20"/>
      <w:szCs w:val="20"/>
    </w:rPr>
  </w:style>
  <w:style w:type="character" w:styleId="FootnoteReference">
    <w:name w:val="footnote reference"/>
    <w:aliases w:val="o,fr,Style 6,Style 20,Style 15,Style 7,Style 3,Style 9,Appel note de bas de p,Style 13,Style 11,Style 28,Style 8,Style 21,Style 4,Style 12,(NECG) Footnote Reference,Style 124,FR,Style 16,Style 17,o1,fr1,o2,fr2,o3,fr3,Style 19"/>
    <w:basedOn w:val="DefaultParagraphFont"/>
    <w:unhideWhenUsed/>
    <w:rsid w:val="001B3461"/>
    <w:rPr>
      <w:vertAlign w:val="superscript"/>
    </w:rPr>
  </w:style>
  <w:style w:type="paragraph" w:styleId="Header">
    <w:name w:val="header"/>
    <w:basedOn w:val="Normal"/>
    <w:link w:val="HeaderChar"/>
    <w:uiPriority w:val="99"/>
    <w:unhideWhenUsed/>
    <w:rsid w:val="001B3461"/>
    <w:pPr>
      <w:tabs>
        <w:tab w:val="center" w:pos="4680"/>
        <w:tab w:val="right" w:pos="9360"/>
      </w:tabs>
      <w:spacing w:line="240" w:lineRule="auto"/>
    </w:pPr>
  </w:style>
  <w:style w:type="character" w:customStyle="1" w:styleId="HeaderChar">
    <w:name w:val="Header Char"/>
    <w:basedOn w:val="DefaultParagraphFont"/>
    <w:link w:val="Header"/>
    <w:uiPriority w:val="99"/>
    <w:rsid w:val="001B3461"/>
    <w:rPr>
      <w:rFonts w:ascii="Times New Roman" w:hAnsi="Times New Roman"/>
      <w:sz w:val="26"/>
    </w:rPr>
  </w:style>
  <w:style w:type="paragraph" w:styleId="Footer">
    <w:name w:val="footer"/>
    <w:basedOn w:val="Normal"/>
    <w:link w:val="FooterChar"/>
    <w:uiPriority w:val="99"/>
    <w:unhideWhenUsed/>
    <w:rsid w:val="001B3461"/>
    <w:pPr>
      <w:tabs>
        <w:tab w:val="center" w:pos="4680"/>
        <w:tab w:val="right" w:pos="9360"/>
      </w:tabs>
      <w:spacing w:line="240" w:lineRule="auto"/>
    </w:pPr>
  </w:style>
  <w:style w:type="character" w:customStyle="1" w:styleId="FooterChar">
    <w:name w:val="Footer Char"/>
    <w:basedOn w:val="DefaultParagraphFont"/>
    <w:link w:val="Footer"/>
    <w:uiPriority w:val="99"/>
    <w:rsid w:val="001B3461"/>
    <w:rPr>
      <w:rFonts w:ascii="Times New Roman" w:hAnsi="Times New Roman"/>
      <w:sz w:val="26"/>
    </w:rPr>
  </w:style>
  <w:style w:type="paragraph" w:styleId="BalloonText">
    <w:name w:val="Balloon Text"/>
    <w:basedOn w:val="Normal"/>
    <w:link w:val="BalloonTextChar"/>
    <w:uiPriority w:val="99"/>
    <w:semiHidden/>
    <w:unhideWhenUsed/>
    <w:rsid w:val="001B34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61"/>
    <w:rPr>
      <w:rFonts w:ascii="Segoe UI" w:hAnsi="Segoe UI" w:cs="Segoe UI"/>
      <w:sz w:val="18"/>
      <w:szCs w:val="18"/>
    </w:rPr>
  </w:style>
  <w:style w:type="character" w:styleId="CommentReference">
    <w:name w:val="annotation reference"/>
    <w:basedOn w:val="DefaultParagraphFont"/>
    <w:uiPriority w:val="99"/>
    <w:semiHidden/>
    <w:unhideWhenUsed/>
    <w:rsid w:val="001B3461"/>
    <w:rPr>
      <w:sz w:val="16"/>
      <w:szCs w:val="16"/>
    </w:rPr>
  </w:style>
  <w:style w:type="paragraph" w:styleId="CommentText">
    <w:name w:val="annotation text"/>
    <w:basedOn w:val="Normal"/>
    <w:link w:val="CommentTextChar"/>
    <w:uiPriority w:val="99"/>
    <w:unhideWhenUsed/>
    <w:rsid w:val="001B3461"/>
    <w:pPr>
      <w:spacing w:line="240" w:lineRule="auto"/>
    </w:pPr>
    <w:rPr>
      <w:sz w:val="20"/>
      <w:szCs w:val="20"/>
    </w:rPr>
  </w:style>
  <w:style w:type="character" w:customStyle="1" w:styleId="CommentTextChar">
    <w:name w:val="Comment Text Char"/>
    <w:basedOn w:val="DefaultParagraphFont"/>
    <w:link w:val="CommentText"/>
    <w:uiPriority w:val="99"/>
    <w:rsid w:val="001B34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61"/>
    <w:rPr>
      <w:b/>
      <w:bCs/>
    </w:rPr>
  </w:style>
  <w:style w:type="character" w:customStyle="1" w:styleId="CommentSubjectChar">
    <w:name w:val="Comment Subject Char"/>
    <w:basedOn w:val="CommentTextChar"/>
    <w:link w:val="CommentSubject"/>
    <w:uiPriority w:val="99"/>
    <w:semiHidden/>
    <w:rsid w:val="001B3461"/>
    <w:rPr>
      <w:rFonts w:ascii="Times New Roman" w:hAnsi="Times New Roman"/>
      <w:b/>
      <w:bCs/>
      <w:sz w:val="20"/>
      <w:szCs w:val="20"/>
    </w:rPr>
  </w:style>
  <w:style w:type="character" w:customStyle="1" w:styleId="ebtext">
    <w:name w:val="ebtext"/>
    <w:basedOn w:val="DefaultParagraphFont"/>
    <w:rsid w:val="001B3461"/>
  </w:style>
  <w:style w:type="paragraph" w:styleId="NormalWeb">
    <w:name w:val="Normal (Web)"/>
    <w:basedOn w:val="Normal"/>
    <w:uiPriority w:val="99"/>
    <w:unhideWhenUsed/>
    <w:rsid w:val="001B3461"/>
    <w:pPr>
      <w:spacing w:before="100" w:beforeAutospacing="1" w:after="100" w:afterAutospacing="1" w:line="240" w:lineRule="auto"/>
    </w:pPr>
    <w:rPr>
      <w:rFonts w:eastAsia="Times New Roman" w:cs="Times New Roman"/>
      <w:sz w:val="24"/>
      <w:szCs w:val="24"/>
    </w:rPr>
  </w:style>
  <w:style w:type="paragraph" w:styleId="Revision">
    <w:name w:val="Revision"/>
    <w:hidden/>
    <w:uiPriority w:val="99"/>
    <w:semiHidden/>
    <w:rsid w:val="001B3461"/>
    <w:pPr>
      <w:spacing w:after="0" w:line="240" w:lineRule="auto"/>
    </w:pPr>
    <w:rPr>
      <w:rFonts w:ascii="Times New Roman" w:hAnsi="Times New Roman"/>
      <w:sz w:val="26"/>
    </w:rPr>
  </w:style>
  <w:style w:type="character" w:styleId="Hyperlink">
    <w:name w:val="Hyperlink"/>
    <w:basedOn w:val="DefaultParagraphFont"/>
    <w:uiPriority w:val="99"/>
    <w:unhideWhenUsed/>
    <w:rsid w:val="001B3461"/>
    <w:rPr>
      <w:color w:val="0000FF" w:themeColor="hyperlink"/>
      <w:u w:val="single"/>
    </w:rPr>
  </w:style>
  <w:style w:type="character" w:styleId="UnresolvedMention">
    <w:name w:val="Unresolved Mention"/>
    <w:basedOn w:val="DefaultParagraphFont"/>
    <w:uiPriority w:val="99"/>
    <w:semiHidden/>
    <w:unhideWhenUsed/>
    <w:rsid w:val="001B3461"/>
    <w:rPr>
      <w:color w:val="605E5C"/>
      <w:shd w:val="clear" w:color="auto" w:fill="E1DFDD"/>
    </w:rPr>
  </w:style>
  <w:style w:type="numbering" w:customStyle="1" w:styleId="NoList1">
    <w:name w:val="No List1"/>
    <w:next w:val="NoList"/>
    <w:uiPriority w:val="99"/>
    <w:semiHidden/>
    <w:unhideWhenUsed/>
    <w:rsid w:val="00133F59"/>
  </w:style>
  <w:style w:type="paragraph" w:customStyle="1" w:styleId="p3">
    <w:name w:val="p3"/>
    <w:basedOn w:val="Normal"/>
    <w:rsid w:val="00322DAD"/>
    <w:pPr>
      <w:widowControl w:val="0"/>
      <w:tabs>
        <w:tab w:val="left" w:pos="204"/>
      </w:tabs>
      <w:autoSpaceDE w:val="0"/>
      <w:autoSpaceDN w:val="0"/>
      <w:adjustRightInd w:val="0"/>
      <w:spacing w:line="240" w:lineRule="auto"/>
    </w:pPr>
    <w:rPr>
      <w:rFonts w:eastAsia="Times New Roman" w:cs="Times New Roman"/>
      <w:sz w:val="24"/>
      <w:szCs w:val="24"/>
    </w:rPr>
  </w:style>
  <w:style w:type="character" w:styleId="Emphasis">
    <w:name w:val="Emphasis"/>
    <w:basedOn w:val="DefaultParagraphFont"/>
    <w:uiPriority w:val="20"/>
    <w:qFormat/>
    <w:rsid w:val="00332F7E"/>
    <w:rPr>
      <w:i/>
      <w:iCs/>
    </w:rPr>
  </w:style>
  <w:style w:type="paragraph" w:customStyle="1" w:styleId="Heading11">
    <w:name w:val="Heading 11"/>
    <w:basedOn w:val="Normal"/>
    <w:next w:val="Normal"/>
    <w:uiPriority w:val="9"/>
    <w:qFormat/>
    <w:rsid w:val="00F84C00"/>
    <w:pPr>
      <w:keepNext/>
      <w:keepLines/>
      <w:spacing w:before="240"/>
      <w:outlineLvl w:val="0"/>
    </w:pPr>
    <w:rPr>
      <w:rFonts w:ascii="Cambria" w:eastAsia="Times New Roman" w:hAnsi="Cambria" w:cs="Times New Roman"/>
      <w:color w:val="365F91"/>
      <w:sz w:val="32"/>
      <w:szCs w:val="32"/>
    </w:rPr>
  </w:style>
  <w:style w:type="paragraph" w:customStyle="1" w:styleId="Heading31">
    <w:name w:val="Heading 31"/>
    <w:basedOn w:val="Normal"/>
    <w:next w:val="Normal"/>
    <w:uiPriority w:val="9"/>
    <w:semiHidden/>
    <w:unhideWhenUsed/>
    <w:qFormat/>
    <w:rsid w:val="00F84C00"/>
    <w:pPr>
      <w:keepNext/>
      <w:keepLines/>
      <w:spacing w:before="40"/>
      <w:outlineLvl w:val="2"/>
    </w:pPr>
    <w:rPr>
      <w:rFonts w:ascii="Cambria" w:eastAsia="Times New Roman" w:hAnsi="Cambria" w:cs="Times New Roman"/>
      <w:color w:val="243F60"/>
      <w:sz w:val="24"/>
      <w:szCs w:val="24"/>
    </w:rPr>
  </w:style>
  <w:style w:type="character" w:customStyle="1" w:styleId="Hyperlink1">
    <w:name w:val="Hyperlink1"/>
    <w:basedOn w:val="DefaultParagraphFont"/>
    <w:uiPriority w:val="99"/>
    <w:unhideWhenUsed/>
    <w:rsid w:val="00F84C00"/>
    <w:rPr>
      <w:color w:val="0000FF"/>
      <w:u w:val="single"/>
    </w:rPr>
  </w:style>
  <w:style w:type="numbering" w:customStyle="1" w:styleId="NoList11">
    <w:name w:val="No List11"/>
    <w:next w:val="NoList"/>
    <w:uiPriority w:val="99"/>
    <w:semiHidden/>
    <w:unhideWhenUsed/>
    <w:rsid w:val="00F84C00"/>
  </w:style>
  <w:style w:type="character" w:customStyle="1" w:styleId="Heading1Char1">
    <w:name w:val="Heading 1 Char1"/>
    <w:basedOn w:val="DefaultParagraphFont"/>
    <w:uiPriority w:val="9"/>
    <w:rsid w:val="00F84C00"/>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DefaultParagraphFont"/>
    <w:uiPriority w:val="9"/>
    <w:semiHidden/>
    <w:rsid w:val="00F84C00"/>
    <w:rPr>
      <w:rFonts w:asciiTheme="majorHAnsi" w:eastAsiaTheme="majorEastAsia" w:hAnsiTheme="majorHAnsi" w:cstheme="majorBidi"/>
      <w:color w:val="243F60" w:themeColor="accent1" w:themeShade="7F"/>
      <w:sz w:val="24"/>
      <w:szCs w:val="24"/>
    </w:rPr>
  </w:style>
  <w:style w:type="character" w:customStyle="1" w:styleId="hgkelc">
    <w:name w:val="hgkelc"/>
    <w:basedOn w:val="DefaultParagraphFont"/>
    <w:rsid w:val="00497381"/>
  </w:style>
  <w:style w:type="character" w:customStyle="1" w:styleId="kx21rb">
    <w:name w:val="kx21rb"/>
    <w:basedOn w:val="DefaultParagraphFont"/>
    <w:rsid w:val="00497381"/>
  </w:style>
  <w:style w:type="character" w:styleId="HTMLCite">
    <w:name w:val="HTML Cite"/>
    <w:basedOn w:val="DefaultParagraphFont"/>
    <w:uiPriority w:val="99"/>
    <w:semiHidden/>
    <w:unhideWhenUsed/>
    <w:rsid w:val="00497381"/>
    <w:rPr>
      <w:i/>
      <w:iCs/>
    </w:rPr>
  </w:style>
  <w:style w:type="character" w:customStyle="1" w:styleId="dyjrff">
    <w:name w:val="dyjrff"/>
    <w:basedOn w:val="DefaultParagraphFont"/>
    <w:rsid w:val="00497381"/>
  </w:style>
  <w:style w:type="paragraph" w:styleId="NoSpacing">
    <w:name w:val="No Spacing"/>
    <w:uiPriority w:val="1"/>
    <w:qFormat/>
    <w:rsid w:val="00E95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220">
      <w:bodyDiv w:val="1"/>
      <w:marLeft w:val="0"/>
      <w:marRight w:val="0"/>
      <w:marTop w:val="0"/>
      <w:marBottom w:val="0"/>
      <w:divBdr>
        <w:top w:val="none" w:sz="0" w:space="0" w:color="auto"/>
        <w:left w:val="none" w:sz="0" w:space="0" w:color="auto"/>
        <w:bottom w:val="none" w:sz="0" w:space="0" w:color="auto"/>
        <w:right w:val="none" w:sz="0" w:space="0" w:color="auto"/>
      </w:divBdr>
    </w:div>
    <w:div w:id="166987739">
      <w:bodyDiv w:val="1"/>
      <w:marLeft w:val="0"/>
      <w:marRight w:val="0"/>
      <w:marTop w:val="0"/>
      <w:marBottom w:val="0"/>
      <w:divBdr>
        <w:top w:val="none" w:sz="0" w:space="0" w:color="auto"/>
        <w:left w:val="none" w:sz="0" w:space="0" w:color="auto"/>
        <w:bottom w:val="none" w:sz="0" w:space="0" w:color="auto"/>
        <w:right w:val="none" w:sz="0" w:space="0" w:color="auto"/>
      </w:divBdr>
    </w:div>
    <w:div w:id="310255214">
      <w:bodyDiv w:val="1"/>
      <w:marLeft w:val="0"/>
      <w:marRight w:val="0"/>
      <w:marTop w:val="0"/>
      <w:marBottom w:val="0"/>
      <w:divBdr>
        <w:top w:val="none" w:sz="0" w:space="0" w:color="auto"/>
        <w:left w:val="none" w:sz="0" w:space="0" w:color="auto"/>
        <w:bottom w:val="none" w:sz="0" w:space="0" w:color="auto"/>
        <w:right w:val="none" w:sz="0" w:space="0" w:color="auto"/>
      </w:divBdr>
    </w:div>
    <w:div w:id="497890082">
      <w:bodyDiv w:val="1"/>
      <w:marLeft w:val="0"/>
      <w:marRight w:val="0"/>
      <w:marTop w:val="0"/>
      <w:marBottom w:val="0"/>
      <w:divBdr>
        <w:top w:val="none" w:sz="0" w:space="0" w:color="auto"/>
        <w:left w:val="none" w:sz="0" w:space="0" w:color="auto"/>
        <w:bottom w:val="none" w:sz="0" w:space="0" w:color="auto"/>
        <w:right w:val="none" w:sz="0" w:space="0" w:color="auto"/>
      </w:divBdr>
    </w:div>
    <w:div w:id="505167135">
      <w:bodyDiv w:val="1"/>
      <w:marLeft w:val="0"/>
      <w:marRight w:val="0"/>
      <w:marTop w:val="0"/>
      <w:marBottom w:val="0"/>
      <w:divBdr>
        <w:top w:val="none" w:sz="0" w:space="0" w:color="auto"/>
        <w:left w:val="none" w:sz="0" w:space="0" w:color="auto"/>
        <w:bottom w:val="none" w:sz="0" w:space="0" w:color="auto"/>
        <w:right w:val="none" w:sz="0" w:space="0" w:color="auto"/>
      </w:divBdr>
    </w:div>
    <w:div w:id="519121020">
      <w:bodyDiv w:val="1"/>
      <w:marLeft w:val="0"/>
      <w:marRight w:val="0"/>
      <w:marTop w:val="0"/>
      <w:marBottom w:val="0"/>
      <w:divBdr>
        <w:top w:val="none" w:sz="0" w:space="0" w:color="auto"/>
        <w:left w:val="none" w:sz="0" w:space="0" w:color="auto"/>
        <w:bottom w:val="none" w:sz="0" w:space="0" w:color="auto"/>
        <w:right w:val="none" w:sz="0" w:space="0" w:color="auto"/>
      </w:divBdr>
    </w:div>
    <w:div w:id="523982537">
      <w:bodyDiv w:val="1"/>
      <w:marLeft w:val="0"/>
      <w:marRight w:val="0"/>
      <w:marTop w:val="0"/>
      <w:marBottom w:val="0"/>
      <w:divBdr>
        <w:top w:val="none" w:sz="0" w:space="0" w:color="auto"/>
        <w:left w:val="none" w:sz="0" w:space="0" w:color="auto"/>
        <w:bottom w:val="none" w:sz="0" w:space="0" w:color="auto"/>
        <w:right w:val="none" w:sz="0" w:space="0" w:color="auto"/>
      </w:divBdr>
    </w:div>
    <w:div w:id="558328469">
      <w:bodyDiv w:val="1"/>
      <w:marLeft w:val="0"/>
      <w:marRight w:val="0"/>
      <w:marTop w:val="0"/>
      <w:marBottom w:val="0"/>
      <w:divBdr>
        <w:top w:val="none" w:sz="0" w:space="0" w:color="auto"/>
        <w:left w:val="none" w:sz="0" w:space="0" w:color="auto"/>
        <w:bottom w:val="none" w:sz="0" w:space="0" w:color="auto"/>
        <w:right w:val="none" w:sz="0" w:space="0" w:color="auto"/>
      </w:divBdr>
    </w:div>
    <w:div w:id="629359321">
      <w:bodyDiv w:val="1"/>
      <w:marLeft w:val="0"/>
      <w:marRight w:val="0"/>
      <w:marTop w:val="0"/>
      <w:marBottom w:val="0"/>
      <w:divBdr>
        <w:top w:val="none" w:sz="0" w:space="0" w:color="auto"/>
        <w:left w:val="none" w:sz="0" w:space="0" w:color="auto"/>
        <w:bottom w:val="none" w:sz="0" w:space="0" w:color="auto"/>
        <w:right w:val="none" w:sz="0" w:space="0" w:color="auto"/>
      </w:divBdr>
    </w:div>
    <w:div w:id="669213915">
      <w:bodyDiv w:val="1"/>
      <w:marLeft w:val="0"/>
      <w:marRight w:val="0"/>
      <w:marTop w:val="0"/>
      <w:marBottom w:val="0"/>
      <w:divBdr>
        <w:top w:val="none" w:sz="0" w:space="0" w:color="auto"/>
        <w:left w:val="none" w:sz="0" w:space="0" w:color="auto"/>
        <w:bottom w:val="none" w:sz="0" w:space="0" w:color="auto"/>
        <w:right w:val="none" w:sz="0" w:space="0" w:color="auto"/>
      </w:divBdr>
    </w:div>
    <w:div w:id="701130251">
      <w:bodyDiv w:val="1"/>
      <w:marLeft w:val="0"/>
      <w:marRight w:val="0"/>
      <w:marTop w:val="0"/>
      <w:marBottom w:val="0"/>
      <w:divBdr>
        <w:top w:val="none" w:sz="0" w:space="0" w:color="auto"/>
        <w:left w:val="none" w:sz="0" w:space="0" w:color="auto"/>
        <w:bottom w:val="none" w:sz="0" w:space="0" w:color="auto"/>
        <w:right w:val="none" w:sz="0" w:space="0" w:color="auto"/>
      </w:divBdr>
    </w:div>
    <w:div w:id="799223688">
      <w:bodyDiv w:val="1"/>
      <w:marLeft w:val="0"/>
      <w:marRight w:val="0"/>
      <w:marTop w:val="0"/>
      <w:marBottom w:val="0"/>
      <w:divBdr>
        <w:top w:val="none" w:sz="0" w:space="0" w:color="auto"/>
        <w:left w:val="none" w:sz="0" w:space="0" w:color="auto"/>
        <w:bottom w:val="none" w:sz="0" w:space="0" w:color="auto"/>
        <w:right w:val="none" w:sz="0" w:space="0" w:color="auto"/>
      </w:divBdr>
    </w:div>
    <w:div w:id="851532074">
      <w:bodyDiv w:val="1"/>
      <w:marLeft w:val="0"/>
      <w:marRight w:val="0"/>
      <w:marTop w:val="0"/>
      <w:marBottom w:val="0"/>
      <w:divBdr>
        <w:top w:val="none" w:sz="0" w:space="0" w:color="auto"/>
        <w:left w:val="none" w:sz="0" w:space="0" w:color="auto"/>
        <w:bottom w:val="none" w:sz="0" w:space="0" w:color="auto"/>
        <w:right w:val="none" w:sz="0" w:space="0" w:color="auto"/>
      </w:divBdr>
    </w:div>
    <w:div w:id="912590005">
      <w:bodyDiv w:val="1"/>
      <w:marLeft w:val="0"/>
      <w:marRight w:val="0"/>
      <w:marTop w:val="0"/>
      <w:marBottom w:val="0"/>
      <w:divBdr>
        <w:top w:val="none" w:sz="0" w:space="0" w:color="auto"/>
        <w:left w:val="none" w:sz="0" w:space="0" w:color="auto"/>
        <w:bottom w:val="none" w:sz="0" w:space="0" w:color="auto"/>
        <w:right w:val="none" w:sz="0" w:space="0" w:color="auto"/>
      </w:divBdr>
    </w:div>
    <w:div w:id="931356045">
      <w:bodyDiv w:val="1"/>
      <w:marLeft w:val="0"/>
      <w:marRight w:val="0"/>
      <w:marTop w:val="0"/>
      <w:marBottom w:val="0"/>
      <w:divBdr>
        <w:top w:val="none" w:sz="0" w:space="0" w:color="auto"/>
        <w:left w:val="none" w:sz="0" w:space="0" w:color="auto"/>
        <w:bottom w:val="none" w:sz="0" w:space="0" w:color="auto"/>
        <w:right w:val="none" w:sz="0" w:space="0" w:color="auto"/>
      </w:divBdr>
    </w:div>
    <w:div w:id="960957972">
      <w:bodyDiv w:val="1"/>
      <w:marLeft w:val="0"/>
      <w:marRight w:val="0"/>
      <w:marTop w:val="0"/>
      <w:marBottom w:val="0"/>
      <w:divBdr>
        <w:top w:val="none" w:sz="0" w:space="0" w:color="auto"/>
        <w:left w:val="none" w:sz="0" w:space="0" w:color="auto"/>
        <w:bottom w:val="none" w:sz="0" w:space="0" w:color="auto"/>
        <w:right w:val="none" w:sz="0" w:space="0" w:color="auto"/>
      </w:divBdr>
    </w:div>
    <w:div w:id="1027560016">
      <w:bodyDiv w:val="1"/>
      <w:marLeft w:val="0"/>
      <w:marRight w:val="0"/>
      <w:marTop w:val="0"/>
      <w:marBottom w:val="0"/>
      <w:divBdr>
        <w:top w:val="none" w:sz="0" w:space="0" w:color="auto"/>
        <w:left w:val="none" w:sz="0" w:space="0" w:color="auto"/>
        <w:bottom w:val="none" w:sz="0" w:space="0" w:color="auto"/>
        <w:right w:val="none" w:sz="0" w:space="0" w:color="auto"/>
      </w:divBdr>
    </w:div>
    <w:div w:id="1075933231">
      <w:bodyDiv w:val="1"/>
      <w:marLeft w:val="0"/>
      <w:marRight w:val="0"/>
      <w:marTop w:val="0"/>
      <w:marBottom w:val="0"/>
      <w:divBdr>
        <w:top w:val="none" w:sz="0" w:space="0" w:color="auto"/>
        <w:left w:val="none" w:sz="0" w:space="0" w:color="auto"/>
        <w:bottom w:val="none" w:sz="0" w:space="0" w:color="auto"/>
        <w:right w:val="none" w:sz="0" w:space="0" w:color="auto"/>
      </w:divBdr>
    </w:div>
    <w:div w:id="1148012258">
      <w:bodyDiv w:val="1"/>
      <w:marLeft w:val="0"/>
      <w:marRight w:val="0"/>
      <w:marTop w:val="0"/>
      <w:marBottom w:val="0"/>
      <w:divBdr>
        <w:top w:val="none" w:sz="0" w:space="0" w:color="auto"/>
        <w:left w:val="none" w:sz="0" w:space="0" w:color="auto"/>
        <w:bottom w:val="none" w:sz="0" w:space="0" w:color="auto"/>
        <w:right w:val="none" w:sz="0" w:space="0" w:color="auto"/>
      </w:divBdr>
    </w:div>
    <w:div w:id="1231160298">
      <w:bodyDiv w:val="1"/>
      <w:marLeft w:val="0"/>
      <w:marRight w:val="0"/>
      <w:marTop w:val="0"/>
      <w:marBottom w:val="0"/>
      <w:divBdr>
        <w:top w:val="none" w:sz="0" w:space="0" w:color="auto"/>
        <w:left w:val="none" w:sz="0" w:space="0" w:color="auto"/>
        <w:bottom w:val="none" w:sz="0" w:space="0" w:color="auto"/>
        <w:right w:val="none" w:sz="0" w:space="0" w:color="auto"/>
      </w:divBdr>
    </w:div>
    <w:div w:id="1289823630">
      <w:bodyDiv w:val="1"/>
      <w:marLeft w:val="0"/>
      <w:marRight w:val="0"/>
      <w:marTop w:val="0"/>
      <w:marBottom w:val="0"/>
      <w:divBdr>
        <w:top w:val="none" w:sz="0" w:space="0" w:color="auto"/>
        <w:left w:val="none" w:sz="0" w:space="0" w:color="auto"/>
        <w:bottom w:val="none" w:sz="0" w:space="0" w:color="auto"/>
        <w:right w:val="none" w:sz="0" w:space="0" w:color="auto"/>
      </w:divBdr>
      <w:divsChild>
        <w:div w:id="1238204012">
          <w:marLeft w:val="0"/>
          <w:marRight w:val="0"/>
          <w:marTop w:val="0"/>
          <w:marBottom w:val="0"/>
          <w:divBdr>
            <w:top w:val="none" w:sz="0" w:space="0" w:color="auto"/>
            <w:left w:val="none" w:sz="0" w:space="0" w:color="auto"/>
            <w:bottom w:val="none" w:sz="0" w:space="0" w:color="auto"/>
            <w:right w:val="none" w:sz="0" w:space="0" w:color="auto"/>
          </w:divBdr>
        </w:div>
        <w:div w:id="823156674">
          <w:marLeft w:val="0"/>
          <w:marRight w:val="0"/>
          <w:marTop w:val="0"/>
          <w:marBottom w:val="0"/>
          <w:divBdr>
            <w:top w:val="none" w:sz="0" w:space="0" w:color="auto"/>
            <w:left w:val="none" w:sz="0" w:space="0" w:color="auto"/>
            <w:bottom w:val="none" w:sz="0" w:space="0" w:color="auto"/>
            <w:right w:val="none" w:sz="0" w:space="0" w:color="auto"/>
          </w:divBdr>
          <w:divsChild>
            <w:div w:id="1389958203">
              <w:marLeft w:val="0"/>
              <w:marRight w:val="0"/>
              <w:marTop w:val="0"/>
              <w:marBottom w:val="0"/>
              <w:divBdr>
                <w:top w:val="none" w:sz="0" w:space="0" w:color="auto"/>
                <w:left w:val="none" w:sz="0" w:space="0" w:color="auto"/>
                <w:bottom w:val="none" w:sz="0" w:space="0" w:color="auto"/>
                <w:right w:val="none" w:sz="0" w:space="0" w:color="auto"/>
              </w:divBdr>
              <w:divsChild>
                <w:div w:id="815878675">
                  <w:marLeft w:val="0"/>
                  <w:marRight w:val="0"/>
                  <w:marTop w:val="0"/>
                  <w:marBottom w:val="0"/>
                  <w:divBdr>
                    <w:top w:val="none" w:sz="0" w:space="0" w:color="auto"/>
                    <w:left w:val="none" w:sz="0" w:space="0" w:color="auto"/>
                    <w:bottom w:val="none" w:sz="0" w:space="0" w:color="auto"/>
                    <w:right w:val="none" w:sz="0" w:space="0" w:color="auto"/>
                  </w:divBdr>
                  <w:divsChild>
                    <w:div w:id="14212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2459">
      <w:bodyDiv w:val="1"/>
      <w:marLeft w:val="0"/>
      <w:marRight w:val="0"/>
      <w:marTop w:val="0"/>
      <w:marBottom w:val="0"/>
      <w:divBdr>
        <w:top w:val="none" w:sz="0" w:space="0" w:color="auto"/>
        <w:left w:val="none" w:sz="0" w:space="0" w:color="auto"/>
        <w:bottom w:val="none" w:sz="0" w:space="0" w:color="auto"/>
        <w:right w:val="none" w:sz="0" w:space="0" w:color="auto"/>
      </w:divBdr>
    </w:div>
    <w:div w:id="1564876823">
      <w:bodyDiv w:val="1"/>
      <w:marLeft w:val="0"/>
      <w:marRight w:val="0"/>
      <w:marTop w:val="0"/>
      <w:marBottom w:val="0"/>
      <w:divBdr>
        <w:top w:val="none" w:sz="0" w:space="0" w:color="auto"/>
        <w:left w:val="none" w:sz="0" w:space="0" w:color="auto"/>
        <w:bottom w:val="none" w:sz="0" w:space="0" w:color="auto"/>
        <w:right w:val="none" w:sz="0" w:space="0" w:color="auto"/>
      </w:divBdr>
    </w:div>
    <w:div w:id="1621570113">
      <w:bodyDiv w:val="1"/>
      <w:marLeft w:val="0"/>
      <w:marRight w:val="0"/>
      <w:marTop w:val="0"/>
      <w:marBottom w:val="0"/>
      <w:divBdr>
        <w:top w:val="none" w:sz="0" w:space="0" w:color="auto"/>
        <w:left w:val="none" w:sz="0" w:space="0" w:color="auto"/>
        <w:bottom w:val="none" w:sz="0" w:space="0" w:color="auto"/>
        <w:right w:val="none" w:sz="0" w:space="0" w:color="auto"/>
      </w:divBdr>
    </w:div>
    <w:div w:id="1710062757">
      <w:bodyDiv w:val="1"/>
      <w:marLeft w:val="0"/>
      <w:marRight w:val="0"/>
      <w:marTop w:val="0"/>
      <w:marBottom w:val="0"/>
      <w:divBdr>
        <w:top w:val="none" w:sz="0" w:space="0" w:color="auto"/>
        <w:left w:val="none" w:sz="0" w:space="0" w:color="auto"/>
        <w:bottom w:val="none" w:sz="0" w:space="0" w:color="auto"/>
        <w:right w:val="none" w:sz="0" w:space="0" w:color="auto"/>
      </w:divBdr>
    </w:div>
    <w:div w:id="1718968647">
      <w:bodyDiv w:val="1"/>
      <w:marLeft w:val="0"/>
      <w:marRight w:val="0"/>
      <w:marTop w:val="0"/>
      <w:marBottom w:val="0"/>
      <w:divBdr>
        <w:top w:val="none" w:sz="0" w:space="0" w:color="auto"/>
        <w:left w:val="none" w:sz="0" w:space="0" w:color="auto"/>
        <w:bottom w:val="none" w:sz="0" w:space="0" w:color="auto"/>
        <w:right w:val="none" w:sz="0" w:space="0" w:color="auto"/>
      </w:divBdr>
    </w:div>
    <w:div w:id="1723944833">
      <w:bodyDiv w:val="1"/>
      <w:marLeft w:val="0"/>
      <w:marRight w:val="0"/>
      <w:marTop w:val="0"/>
      <w:marBottom w:val="0"/>
      <w:divBdr>
        <w:top w:val="none" w:sz="0" w:space="0" w:color="auto"/>
        <w:left w:val="none" w:sz="0" w:space="0" w:color="auto"/>
        <w:bottom w:val="none" w:sz="0" w:space="0" w:color="auto"/>
        <w:right w:val="none" w:sz="0" w:space="0" w:color="auto"/>
      </w:divBdr>
    </w:div>
    <w:div w:id="1738016404">
      <w:bodyDiv w:val="1"/>
      <w:marLeft w:val="0"/>
      <w:marRight w:val="0"/>
      <w:marTop w:val="0"/>
      <w:marBottom w:val="0"/>
      <w:divBdr>
        <w:top w:val="none" w:sz="0" w:space="0" w:color="auto"/>
        <w:left w:val="none" w:sz="0" w:space="0" w:color="auto"/>
        <w:bottom w:val="none" w:sz="0" w:space="0" w:color="auto"/>
        <w:right w:val="none" w:sz="0" w:space="0" w:color="auto"/>
      </w:divBdr>
    </w:div>
    <w:div w:id="1809781553">
      <w:bodyDiv w:val="1"/>
      <w:marLeft w:val="0"/>
      <w:marRight w:val="0"/>
      <w:marTop w:val="0"/>
      <w:marBottom w:val="0"/>
      <w:divBdr>
        <w:top w:val="none" w:sz="0" w:space="0" w:color="auto"/>
        <w:left w:val="none" w:sz="0" w:space="0" w:color="auto"/>
        <w:bottom w:val="none" w:sz="0" w:space="0" w:color="auto"/>
        <w:right w:val="none" w:sz="0" w:space="0" w:color="auto"/>
      </w:divBdr>
    </w:div>
    <w:div w:id="2005469249">
      <w:bodyDiv w:val="1"/>
      <w:marLeft w:val="0"/>
      <w:marRight w:val="0"/>
      <w:marTop w:val="0"/>
      <w:marBottom w:val="0"/>
      <w:divBdr>
        <w:top w:val="none" w:sz="0" w:space="0" w:color="auto"/>
        <w:left w:val="none" w:sz="0" w:space="0" w:color="auto"/>
        <w:bottom w:val="none" w:sz="0" w:space="0" w:color="auto"/>
        <w:right w:val="none" w:sz="0" w:space="0" w:color="auto"/>
      </w:divBdr>
    </w:div>
    <w:div w:id="2028284537">
      <w:bodyDiv w:val="1"/>
      <w:marLeft w:val="0"/>
      <w:marRight w:val="0"/>
      <w:marTop w:val="0"/>
      <w:marBottom w:val="0"/>
      <w:divBdr>
        <w:top w:val="none" w:sz="0" w:space="0" w:color="auto"/>
        <w:left w:val="none" w:sz="0" w:space="0" w:color="auto"/>
        <w:bottom w:val="none" w:sz="0" w:space="0" w:color="auto"/>
        <w:right w:val="none" w:sz="0" w:space="0" w:color="auto"/>
      </w:divBdr>
    </w:div>
    <w:div w:id="2037460603">
      <w:bodyDiv w:val="1"/>
      <w:marLeft w:val="0"/>
      <w:marRight w:val="0"/>
      <w:marTop w:val="0"/>
      <w:marBottom w:val="0"/>
      <w:divBdr>
        <w:top w:val="none" w:sz="0" w:space="0" w:color="auto"/>
        <w:left w:val="none" w:sz="0" w:space="0" w:color="auto"/>
        <w:bottom w:val="none" w:sz="0" w:space="0" w:color="auto"/>
        <w:right w:val="none" w:sz="0" w:space="0" w:color="auto"/>
      </w:divBdr>
    </w:div>
    <w:div w:id="2044404989">
      <w:bodyDiv w:val="1"/>
      <w:marLeft w:val="0"/>
      <w:marRight w:val="0"/>
      <w:marTop w:val="0"/>
      <w:marBottom w:val="0"/>
      <w:divBdr>
        <w:top w:val="none" w:sz="0" w:space="0" w:color="auto"/>
        <w:left w:val="none" w:sz="0" w:space="0" w:color="auto"/>
        <w:bottom w:val="none" w:sz="0" w:space="0" w:color="auto"/>
        <w:right w:val="none" w:sz="0" w:space="0" w:color="auto"/>
      </w:divBdr>
    </w:div>
    <w:div w:id="2113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reven@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orne@pa.gov" TargetMode="External"/><Relationship Id="rId4" Type="http://schemas.openxmlformats.org/officeDocument/2006/relationships/settings" Target="settings.xml"/><Relationship Id="rId9" Type="http://schemas.openxmlformats.org/officeDocument/2006/relationships/hyperlink" Target="mailto:cvandeverg@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A245-E57D-40BA-9EC9-4B67F1E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37656</Words>
  <Characters>214643</Characters>
  <Application>Microsoft Office Word</Application>
  <DocSecurity>4</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Screven, David</dc:creator>
  <cp:keywords/>
  <dc:description/>
  <cp:lastModifiedBy>Wagner, Nathan R</cp:lastModifiedBy>
  <cp:revision>2</cp:revision>
  <dcterms:created xsi:type="dcterms:W3CDTF">2021-12-09T14:05:00Z</dcterms:created>
  <dcterms:modified xsi:type="dcterms:W3CDTF">2021-12-09T14:05:00Z</dcterms:modified>
</cp:coreProperties>
</file>