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7D2E" w14:textId="097486AC" w:rsidR="00F45196" w:rsidRDefault="00F45196" w:rsidP="00121EF7">
      <w:pPr>
        <w:tabs>
          <w:tab w:val="left" w:pos="360"/>
        </w:tabs>
        <w:jc w:val="center"/>
        <w:rPr>
          <w:b/>
        </w:rPr>
      </w:pPr>
      <w:r>
        <w:rPr>
          <w:b/>
        </w:rPr>
        <w:t>BEFORE THE</w:t>
      </w:r>
    </w:p>
    <w:p w14:paraId="3D8D18DD" w14:textId="77777777" w:rsidR="00F45196" w:rsidRDefault="00F45196" w:rsidP="00121EF7">
      <w:pPr>
        <w:tabs>
          <w:tab w:val="left" w:pos="360"/>
        </w:tabs>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68FFB73D" w14:textId="4597DD89" w:rsidR="00F45196" w:rsidRDefault="00F45196" w:rsidP="00121EF7">
      <w:pPr>
        <w:tabs>
          <w:tab w:val="left" w:pos="360"/>
        </w:tabs>
        <w:jc w:val="both"/>
        <w:rPr>
          <w:b/>
        </w:rPr>
      </w:pPr>
    </w:p>
    <w:p w14:paraId="6E1A9819" w14:textId="77777777" w:rsidR="008D734E" w:rsidRDefault="008D734E" w:rsidP="00121EF7">
      <w:pPr>
        <w:tabs>
          <w:tab w:val="left" w:pos="360"/>
        </w:tabs>
        <w:jc w:val="both"/>
        <w:rPr>
          <w:b/>
        </w:rPr>
      </w:pPr>
    </w:p>
    <w:p w14:paraId="3525A103" w14:textId="77777777" w:rsidR="00F45196" w:rsidRDefault="00F45196" w:rsidP="00121EF7">
      <w:pPr>
        <w:tabs>
          <w:tab w:val="left" w:pos="360"/>
        </w:tabs>
        <w:jc w:val="both"/>
        <w:rPr>
          <w:b/>
        </w:rPr>
      </w:pPr>
    </w:p>
    <w:p w14:paraId="5DB5A3AE" w14:textId="403EC1DA" w:rsidR="008660B9" w:rsidRDefault="00AA3081" w:rsidP="008660B9">
      <w:pPr>
        <w:tabs>
          <w:tab w:val="left" w:pos="0"/>
        </w:tabs>
        <w:jc w:val="both"/>
      </w:pPr>
      <w:r>
        <w:t>Gualberto Carhuaslla and</w:t>
      </w:r>
      <w:r>
        <w:tab/>
      </w:r>
      <w:r>
        <w:tab/>
      </w:r>
      <w:r w:rsidR="008660B9">
        <w:tab/>
        <w:t xml:space="preserve"> </w:t>
      </w:r>
      <w:r w:rsidR="008660B9">
        <w:tab/>
      </w:r>
      <w:r w:rsidR="008660B9" w:rsidRPr="00560DC5">
        <w:t>:</w:t>
      </w:r>
      <w:r w:rsidR="008660B9">
        <w:tab/>
      </w:r>
      <w:r w:rsidR="008660B9">
        <w:tab/>
      </w:r>
    </w:p>
    <w:p w14:paraId="1C5543D2" w14:textId="1E410A8F" w:rsidR="008660B9" w:rsidRDefault="00AA3081" w:rsidP="008660B9">
      <w:pPr>
        <w:tabs>
          <w:tab w:val="left" w:pos="0"/>
        </w:tabs>
        <w:jc w:val="both"/>
        <w:rPr>
          <w:b/>
        </w:rPr>
      </w:pPr>
      <w:r>
        <w:t>Lisa Fedorka-Carhuaslla</w:t>
      </w:r>
      <w:r>
        <w:tab/>
      </w:r>
      <w:r w:rsidR="008660B9">
        <w:tab/>
      </w:r>
      <w:r w:rsidR="008660B9">
        <w:tab/>
      </w:r>
      <w:r w:rsidR="008660B9">
        <w:tab/>
        <w:t>:</w:t>
      </w:r>
      <w:r w:rsidR="008660B9">
        <w:tab/>
      </w:r>
      <w:r w:rsidR="008660B9">
        <w:tab/>
      </w:r>
    </w:p>
    <w:p w14:paraId="0E17A190" w14:textId="5E5E91E4" w:rsidR="008660B9" w:rsidRDefault="00AA3081" w:rsidP="008660B9">
      <w:pPr>
        <w:tabs>
          <w:tab w:val="left" w:pos="0"/>
        </w:tabs>
        <w:jc w:val="both"/>
      </w:pPr>
      <w:r>
        <w:tab/>
      </w:r>
      <w:r>
        <w:tab/>
      </w:r>
      <w:r>
        <w:tab/>
      </w:r>
      <w:r>
        <w:tab/>
      </w:r>
      <w:r w:rsidR="008660B9">
        <w:tab/>
      </w:r>
      <w:r w:rsidR="008660B9">
        <w:tab/>
      </w:r>
      <w:r w:rsidR="008660B9">
        <w:tab/>
        <w:t>:</w:t>
      </w:r>
      <w:r w:rsidR="008660B9">
        <w:tab/>
      </w:r>
      <w:r w:rsidR="008660B9">
        <w:tab/>
      </w:r>
      <w:r w:rsidR="007955AD" w:rsidRPr="007955AD">
        <w:t>C-2021-3028698</w:t>
      </w:r>
    </w:p>
    <w:p w14:paraId="4513A17A" w14:textId="384BF098" w:rsidR="007A44D1" w:rsidRDefault="00AA3081" w:rsidP="008660B9">
      <w:pPr>
        <w:tabs>
          <w:tab w:val="left" w:pos="0"/>
        </w:tabs>
        <w:jc w:val="both"/>
      </w:pPr>
      <w:r>
        <w:tab/>
        <w:t xml:space="preserve">v. </w:t>
      </w:r>
      <w:r>
        <w:tab/>
      </w:r>
      <w:r w:rsidR="007A44D1">
        <w:tab/>
      </w:r>
      <w:r w:rsidR="007A44D1">
        <w:tab/>
      </w:r>
      <w:r w:rsidR="007A44D1">
        <w:tab/>
      </w:r>
      <w:r w:rsidR="007A44D1">
        <w:tab/>
      </w:r>
      <w:r w:rsidR="007A44D1">
        <w:tab/>
        <w:t>:</w:t>
      </w:r>
      <w:r w:rsidR="007A44D1">
        <w:tab/>
      </w:r>
      <w:r w:rsidR="007A44D1">
        <w:tab/>
      </w:r>
    </w:p>
    <w:p w14:paraId="3B9DD5B9" w14:textId="77777777" w:rsidR="008660B9" w:rsidRPr="00560DC5" w:rsidRDefault="008660B9" w:rsidP="008660B9">
      <w:pPr>
        <w:tabs>
          <w:tab w:val="left" w:pos="0"/>
        </w:tabs>
        <w:jc w:val="both"/>
      </w:pPr>
      <w:r>
        <w:rPr>
          <w:b/>
        </w:rPr>
        <w:tab/>
      </w:r>
      <w:r>
        <w:rPr>
          <w:b/>
        </w:rPr>
        <w:tab/>
      </w:r>
      <w:r>
        <w:rPr>
          <w:b/>
        </w:rPr>
        <w:tab/>
      </w:r>
      <w:r>
        <w:rPr>
          <w:b/>
        </w:rPr>
        <w:tab/>
      </w:r>
      <w:r>
        <w:rPr>
          <w:b/>
        </w:rPr>
        <w:tab/>
      </w:r>
      <w:r>
        <w:rPr>
          <w:b/>
        </w:rPr>
        <w:tab/>
      </w:r>
      <w:r>
        <w:rPr>
          <w:b/>
        </w:rPr>
        <w:tab/>
      </w:r>
      <w:r w:rsidRPr="000E6924">
        <w:t>:</w:t>
      </w:r>
    </w:p>
    <w:p w14:paraId="55DCB15F" w14:textId="6F3BA473" w:rsidR="008660B9" w:rsidRDefault="00AA3081" w:rsidP="008660B9">
      <w:pPr>
        <w:tabs>
          <w:tab w:val="left" w:pos="0"/>
        </w:tabs>
        <w:jc w:val="both"/>
      </w:pPr>
      <w:r>
        <w:t>Duquesne Light Company</w:t>
      </w:r>
      <w:r w:rsidR="008660B9">
        <w:tab/>
      </w:r>
      <w:r w:rsidR="008660B9">
        <w:tab/>
      </w:r>
      <w:r w:rsidR="008660B9">
        <w:tab/>
      </w:r>
      <w:r w:rsidR="008660B9">
        <w:tab/>
      </w:r>
      <w:r w:rsidR="008660B9" w:rsidRPr="00560DC5">
        <w:t>:</w:t>
      </w:r>
      <w:r w:rsidR="008660B9">
        <w:tab/>
      </w:r>
      <w:r w:rsidR="008660B9">
        <w:tab/>
      </w:r>
    </w:p>
    <w:p w14:paraId="0E8D5F02" w14:textId="77777777" w:rsidR="008660B9" w:rsidRDefault="008660B9" w:rsidP="008660B9">
      <w:pPr>
        <w:tabs>
          <w:tab w:val="left" w:pos="0"/>
        </w:tabs>
        <w:jc w:val="both"/>
      </w:pPr>
    </w:p>
    <w:p w14:paraId="0AD8D25A" w14:textId="77777777" w:rsidR="00DF5ADC" w:rsidRDefault="00DF5ADC" w:rsidP="00121EF7">
      <w:pPr>
        <w:tabs>
          <w:tab w:val="left" w:pos="0"/>
        </w:tabs>
        <w:jc w:val="both"/>
      </w:pPr>
    </w:p>
    <w:p w14:paraId="1226A5C7" w14:textId="77777777" w:rsidR="003E299F" w:rsidRDefault="003E299F" w:rsidP="00121EF7">
      <w:pPr>
        <w:jc w:val="center"/>
        <w:rPr>
          <w:b/>
          <w:u w:val="single"/>
        </w:rPr>
      </w:pPr>
    </w:p>
    <w:p w14:paraId="6FB26E60" w14:textId="10E2CF8F" w:rsidR="00132A2C" w:rsidRPr="00C55DFF" w:rsidRDefault="00AA3081" w:rsidP="00121EF7">
      <w:pPr>
        <w:jc w:val="center"/>
        <w:rPr>
          <w:b/>
        </w:rPr>
      </w:pPr>
      <w:r>
        <w:rPr>
          <w:b/>
          <w:u w:val="single"/>
        </w:rPr>
        <w:t>FIRST</w:t>
      </w:r>
      <w:r w:rsidR="007A44D1">
        <w:rPr>
          <w:b/>
          <w:u w:val="single"/>
        </w:rPr>
        <w:t xml:space="preserve"> INTERIM</w:t>
      </w:r>
      <w:r w:rsidR="00146506" w:rsidRPr="00C55DFF">
        <w:rPr>
          <w:b/>
          <w:u w:val="single"/>
        </w:rPr>
        <w:t xml:space="preserve"> ORDER</w:t>
      </w:r>
    </w:p>
    <w:p w14:paraId="0C84E711" w14:textId="19F7D832" w:rsidR="007A44D1" w:rsidRDefault="007A44D1" w:rsidP="007A44D1">
      <w:pPr>
        <w:jc w:val="center"/>
      </w:pPr>
      <w:r>
        <w:t xml:space="preserve">Granting </w:t>
      </w:r>
      <w:r w:rsidR="00AA3081">
        <w:t>Joint Motion</w:t>
      </w:r>
    </w:p>
    <w:p w14:paraId="2BDAEDEF" w14:textId="542DAD3C" w:rsidR="007A44D1" w:rsidRDefault="007A44D1" w:rsidP="007A44D1">
      <w:pPr>
        <w:jc w:val="center"/>
      </w:pPr>
      <w:r>
        <w:t xml:space="preserve">for Protective Order </w:t>
      </w:r>
    </w:p>
    <w:p w14:paraId="294C868D" w14:textId="227AA0BB" w:rsidR="008660B9" w:rsidRPr="00AA3081" w:rsidRDefault="008660B9" w:rsidP="008D734E">
      <w:pPr>
        <w:spacing w:line="360" w:lineRule="auto"/>
        <w:rPr>
          <w:bCs/>
        </w:rPr>
      </w:pPr>
    </w:p>
    <w:p w14:paraId="5574E852" w14:textId="0AC7500D" w:rsidR="00AA3081" w:rsidRDefault="00AA3081" w:rsidP="008D734E">
      <w:pPr>
        <w:spacing w:line="360" w:lineRule="auto"/>
        <w:rPr>
          <w:bCs/>
        </w:rPr>
      </w:pPr>
      <w:r w:rsidRPr="00AA3081">
        <w:rPr>
          <w:bCs/>
        </w:rPr>
        <w:tab/>
      </w:r>
      <w:r w:rsidRPr="00AA3081">
        <w:rPr>
          <w:bCs/>
        </w:rPr>
        <w:tab/>
        <w:t xml:space="preserve">On September 20, 2021, </w:t>
      </w:r>
      <w:r>
        <w:rPr>
          <w:bCs/>
        </w:rPr>
        <w:t>Gualberto Carhuaslla and Lisa Fedorka-Carhuaslla (Complainants) filed a formal complaint with the Pennsylvania Public Utility Commission (Commission) against Duquesne Light Company (Respondent or Duquesne), alleging there were incorrect charges on the monthly billing statements.  Compl</w:t>
      </w:r>
      <w:r w:rsidR="00D72472">
        <w:rPr>
          <w:bCs/>
        </w:rPr>
        <w:t>a</w:t>
      </w:r>
      <w:r>
        <w:rPr>
          <w:bCs/>
        </w:rPr>
        <w:t xml:space="preserve">inants alleged there was a large jump in the electric charges for electric service provided in the stairwell and common areas of a 6-unit </w:t>
      </w:r>
      <w:r w:rsidR="00D72472">
        <w:rPr>
          <w:bCs/>
        </w:rPr>
        <w:t xml:space="preserve">building.  In addition, Complainants allege the electric account is listed as commercial but should be listed as personal.  </w:t>
      </w:r>
    </w:p>
    <w:p w14:paraId="1B56B7A0" w14:textId="68CF31BD" w:rsidR="00D72472" w:rsidRDefault="00D72472" w:rsidP="008D734E">
      <w:pPr>
        <w:spacing w:line="360" w:lineRule="auto"/>
        <w:rPr>
          <w:bCs/>
        </w:rPr>
      </w:pPr>
    </w:p>
    <w:p w14:paraId="55BE3471" w14:textId="77777777" w:rsidR="00E905CE" w:rsidRDefault="00D72472" w:rsidP="008D734E">
      <w:pPr>
        <w:spacing w:line="360" w:lineRule="auto"/>
        <w:rPr>
          <w:bCs/>
        </w:rPr>
      </w:pPr>
      <w:r>
        <w:rPr>
          <w:bCs/>
        </w:rPr>
        <w:tab/>
      </w:r>
      <w:r>
        <w:rPr>
          <w:bCs/>
        </w:rPr>
        <w:tab/>
        <w:t>On October 14, 2021, Duquesne filed the Answer and generally denied the allegations in the formal complaint.  Respondent averred the charges were correct for the electric service provided to the individually metered, multi-unit residential building, and Duquesne further averred it is correct to bill Complainants at the General Service Medium Commercial (GM) rate, not the personal residential rate.</w:t>
      </w:r>
    </w:p>
    <w:p w14:paraId="6A51C52C" w14:textId="77777777" w:rsidR="00E905CE" w:rsidRDefault="00E905CE" w:rsidP="008D734E">
      <w:pPr>
        <w:spacing w:line="360" w:lineRule="auto"/>
        <w:rPr>
          <w:bCs/>
        </w:rPr>
      </w:pPr>
    </w:p>
    <w:p w14:paraId="71917CA6" w14:textId="77777777" w:rsidR="00E42B64" w:rsidRDefault="00E905CE" w:rsidP="008D734E">
      <w:pPr>
        <w:spacing w:line="360" w:lineRule="auto"/>
        <w:rPr>
          <w:bCs/>
        </w:rPr>
      </w:pPr>
      <w:r>
        <w:rPr>
          <w:bCs/>
        </w:rPr>
        <w:tab/>
      </w:r>
      <w:r>
        <w:rPr>
          <w:bCs/>
        </w:rPr>
        <w:tab/>
        <w:t xml:space="preserve">On December 2, 2021, the Commission’s Office of Administrative Law Judge (OALJ) issued a hearing notice scheduling an </w:t>
      </w:r>
      <w:r w:rsidR="00E42B64">
        <w:rPr>
          <w:bCs/>
        </w:rPr>
        <w:t>initial hearing for Tuesday, January 18, 2022.  On December 8, 2021, the presiding officer issued the Prehearing Order for Telephone Hearing which outlined various procedural matters.</w:t>
      </w:r>
    </w:p>
    <w:p w14:paraId="2E9E4C56" w14:textId="77777777" w:rsidR="00E42B64" w:rsidRDefault="00E42B64" w:rsidP="008D734E">
      <w:pPr>
        <w:spacing w:line="360" w:lineRule="auto"/>
        <w:rPr>
          <w:bCs/>
        </w:rPr>
      </w:pPr>
    </w:p>
    <w:p w14:paraId="6FB41DD6" w14:textId="0F1F9349" w:rsidR="00D72472" w:rsidRDefault="00E42B64" w:rsidP="008D734E">
      <w:pPr>
        <w:spacing w:line="360" w:lineRule="auto"/>
        <w:rPr>
          <w:bCs/>
        </w:rPr>
      </w:pPr>
      <w:r>
        <w:rPr>
          <w:bCs/>
        </w:rPr>
        <w:lastRenderedPageBreak/>
        <w:tab/>
      </w:r>
      <w:r>
        <w:rPr>
          <w:bCs/>
        </w:rPr>
        <w:tab/>
        <w:t>On December 14, 2021, the parties filed a Joint Motion for Protective Order</w:t>
      </w:r>
      <w:r w:rsidR="008D582A">
        <w:rPr>
          <w:bCs/>
        </w:rPr>
        <w:t xml:space="preserve"> (Joint Motion)</w:t>
      </w:r>
      <w:r>
        <w:rPr>
          <w:bCs/>
        </w:rPr>
        <w:t xml:space="preserve">.  The parties averred </w:t>
      </w:r>
      <w:r w:rsidR="00954928">
        <w:rPr>
          <w:bCs/>
        </w:rPr>
        <w:t>proprietary information had been requested or was anticipated to be requested during the discovery phase in this proceeding.  Some of that information would be customarily treated as sensitive, proprietary or highly confidential including requests for recorded telephone calls between complainant and Duquesne’s customer service representative wherein personally identifiable customer information was exchanged.  Pursuant to 52 Pa.Code §</w:t>
      </w:r>
      <w:r w:rsidR="007955AD">
        <w:rPr>
          <w:bCs/>
        </w:rPr>
        <w:t> </w:t>
      </w:r>
      <w:r w:rsidR="00954928">
        <w:rPr>
          <w:bCs/>
        </w:rPr>
        <w:t xml:space="preserve">5.365 and § 5.362(a)(7), the parties requested the presiding officer issue a Protective Order to limit or prohibit disclosure of confidential commercial information when the potential harm to a party would be substantial and outweighs the public’s interest in having access to the information.  </w:t>
      </w:r>
      <w:r w:rsidR="00E905CE">
        <w:rPr>
          <w:bCs/>
        </w:rPr>
        <w:t xml:space="preserve"> </w:t>
      </w:r>
      <w:r w:rsidR="00D72472">
        <w:rPr>
          <w:bCs/>
        </w:rPr>
        <w:t xml:space="preserve"> </w:t>
      </w:r>
    </w:p>
    <w:p w14:paraId="3B984BC9" w14:textId="77777777" w:rsidR="00AA3081" w:rsidRPr="00AA3081" w:rsidRDefault="00AA3081" w:rsidP="008D734E">
      <w:pPr>
        <w:spacing w:line="360" w:lineRule="auto"/>
        <w:rPr>
          <w:bCs/>
        </w:rPr>
      </w:pPr>
    </w:p>
    <w:p w14:paraId="657643B8" w14:textId="78F0306D" w:rsidR="00DB173D" w:rsidRPr="00DB173D" w:rsidRDefault="00DB173D" w:rsidP="008D734E">
      <w:pPr>
        <w:spacing w:line="360" w:lineRule="auto"/>
        <w:rPr>
          <w:u w:val="single"/>
        </w:rPr>
      </w:pPr>
      <w:r w:rsidRPr="00DB173D">
        <w:rPr>
          <w:u w:val="single"/>
        </w:rPr>
        <w:t>Discussion</w:t>
      </w:r>
    </w:p>
    <w:p w14:paraId="40F81F17" w14:textId="09CD969E" w:rsidR="00053757" w:rsidRDefault="00053757" w:rsidP="008D734E">
      <w:pPr>
        <w:spacing w:line="360" w:lineRule="auto"/>
      </w:pPr>
    </w:p>
    <w:p w14:paraId="2F17D609" w14:textId="3295B5A3" w:rsidR="00053757" w:rsidRDefault="00053757" w:rsidP="008D734E">
      <w:pPr>
        <w:spacing w:line="360" w:lineRule="auto"/>
        <w:rPr>
          <w:color w:val="000000"/>
        </w:rPr>
      </w:pPr>
      <w:r>
        <w:tab/>
      </w:r>
      <w:r>
        <w:tab/>
        <w:t xml:space="preserve">Pursuant to 52 Pa.Code §§ 5.362(a)(7) and 5.365, the Commission or presiding officer may issue a Protective Order to limit or prohibit disclosure of confidential information where the potential harm to a participant would be substantial and outweighs the public’s interest in having access to the confidential information.  When considering a motion to issue a protective order, the Commission or presiding officer should consider various factors including:  the extent to which any disclosure would cause unfair economic or competitive damage; the extent to which the information may already be known by others; and the potential value of such information to the movant and the movant’s competitors and trade partners.  </w:t>
      </w:r>
    </w:p>
    <w:p w14:paraId="7780B643" w14:textId="77777777" w:rsidR="0069637B" w:rsidRDefault="0069637B" w:rsidP="008D734E">
      <w:pPr>
        <w:pStyle w:val="BodyText2"/>
        <w:spacing w:line="360" w:lineRule="auto"/>
        <w:ind w:firstLine="0"/>
        <w:jc w:val="left"/>
        <w:rPr>
          <w:rFonts w:cs="Times New Roman"/>
          <w:color w:val="000000"/>
        </w:rPr>
      </w:pPr>
    </w:p>
    <w:p w14:paraId="1FDD11C4" w14:textId="0BF969BF" w:rsidR="0069637B" w:rsidRDefault="0069637B" w:rsidP="008D734E">
      <w:pPr>
        <w:pStyle w:val="BodyText2"/>
        <w:spacing w:line="360" w:lineRule="auto"/>
        <w:ind w:firstLine="1440"/>
        <w:jc w:val="left"/>
        <w:rPr>
          <w:rFonts w:cs="Times New Roman"/>
          <w:color w:val="000000"/>
        </w:rPr>
      </w:pPr>
      <w:r w:rsidRPr="0004155B">
        <w:rPr>
          <w:rFonts w:cs="Times New Roman"/>
          <w:color w:val="000000"/>
        </w:rPr>
        <w:t xml:space="preserve">Upon consideration of the </w:t>
      </w:r>
      <w:r w:rsidR="008D582A">
        <w:rPr>
          <w:rFonts w:cs="Times New Roman"/>
          <w:color w:val="000000"/>
        </w:rPr>
        <w:t xml:space="preserve">Joint </w:t>
      </w:r>
      <w:r w:rsidRPr="0004155B">
        <w:rPr>
          <w:rFonts w:cs="Times New Roman"/>
          <w:color w:val="000000"/>
        </w:rPr>
        <w:t xml:space="preserve">Motion filed on </w:t>
      </w:r>
      <w:r w:rsidR="008D582A">
        <w:rPr>
          <w:rFonts w:cs="Times New Roman"/>
          <w:color w:val="000000"/>
        </w:rPr>
        <w:t>December 14</w:t>
      </w:r>
      <w:r w:rsidR="005A1911">
        <w:rPr>
          <w:rFonts w:cs="Times New Roman"/>
          <w:color w:val="000000"/>
        </w:rPr>
        <w:t>, 202</w:t>
      </w:r>
      <w:r w:rsidR="005C5B38">
        <w:rPr>
          <w:rFonts w:cs="Times New Roman"/>
          <w:color w:val="000000"/>
        </w:rPr>
        <w:t>1</w:t>
      </w:r>
      <w:r w:rsidR="00302B6E">
        <w:rPr>
          <w:rFonts w:cs="Times New Roman"/>
          <w:color w:val="000000"/>
        </w:rPr>
        <w:t xml:space="preserve">, and noting </w:t>
      </w:r>
      <w:r w:rsidR="008D582A">
        <w:rPr>
          <w:rFonts w:cs="Times New Roman"/>
          <w:color w:val="000000"/>
        </w:rPr>
        <w:t>the parties’ agreement</w:t>
      </w:r>
      <w:r w:rsidR="00302B6E">
        <w:rPr>
          <w:rFonts w:cs="Times New Roman"/>
          <w:color w:val="000000"/>
        </w:rPr>
        <w:t xml:space="preserve"> to its issuance</w:t>
      </w:r>
      <w:r w:rsidR="00053757">
        <w:rPr>
          <w:rFonts w:cs="Times New Roman"/>
          <w:color w:val="000000"/>
        </w:rPr>
        <w:t xml:space="preserve">, the presiding officer grants the </w:t>
      </w:r>
      <w:r w:rsidR="008D582A">
        <w:rPr>
          <w:rFonts w:cs="Times New Roman"/>
          <w:color w:val="000000"/>
        </w:rPr>
        <w:t>Joint Motion</w:t>
      </w:r>
      <w:r w:rsidR="00053757">
        <w:rPr>
          <w:rFonts w:cs="Times New Roman"/>
          <w:color w:val="000000"/>
        </w:rPr>
        <w:t xml:space="preserve"> in the Ordering Paragraphs below</w:t>
      </w:r>
      <w:r w:rsidR="009B2933">
        <w:rPr>
          <w:rFonts w:cs="Times New Roman"/>
          <w:color w:val="000000"/>
        </w:rPr>
        <w:t>.</w:t>
      </w:r>
    </w:p>
    <w:p w14:paraId="40B504E8" w14:textId="77777777" w:rsidR="008D582A" w:rsidRDefault="008D582A" w:rsidP="008D734E">
      <w:pPr>
        <w:pStyle w:val="BodyText2"/>
        <w:spacing w:line="360" w:lineRule="auto"/>
        <w:ind w:firstLine="1440"/>
        <w:jc w:val="left"/>
        <w:rPr>
          <w:rFonts w:cs="Times New Roman"/>
          <w:color w:val="000000"/>
        </w:rPr>
      </w:pPr>
    </w:p>
    <w:p w14:paraId="648E92D3" w14:textId="7630B8CC" w:rsidR="005605EF" w:rsidRDefault="005605EF" w:rsidP="008D734E">
      <w:pPr>
        <w:pStyle w:val="BodyText2"/>
        <w:spacing w:line="360" w:lineRule="auto"/>
        <w:ind w:firstLine="0"/>
        <w:jc w:val="left"/>
        <w:rPr>
          <w:rFonts w:cs="Times New Roman"/>
          <w:color w:val="000000"/>
        </w:rPr>
      </w:pPr>
    </w:p>
    <w:p w14:paraId="7ABA72F3" w14:textId="53C50DDB" w:rsidR="008D582A" w:rsidRDefault="008D582A">
      <w:pPr>
        <w:rPr>
          <w:rFonts w:eastAsiaTheme="minorHAnsi"/>
          <w:color w:val="000000"/>
        </w:rPr>
      </w:pPr>
    </w:p>
    <w:p w14:paraId="49B17209" w14:textId="37709731" w:rsidR="007955AD" w:rsidRDefault="007955AD">
      <w:pPr>
        <w:rPr>
          <w:rFonts w:eastAsiaTheme="minorHAnsi"/>
          <w:color w:val="000000"/>
        </w:rPr>
      </w:pPr>
    </w:p>
    <w:p w14:paraId="7564F70F" w14:textId="3D66E67F" w:rsidR="007955AD" w:rsidRDefault="007955AD">
      <w:pPr>
        <w:rPr>
          <w:rFonts w:eastAsiaTheme="minorHAnsi"/>
          <w:color w:val="000000"/>
        </w:rPr>
      </w:pPr>
    </w:p>
    <w:p w14:paraId="2FA56D48" w14:textId="785E2025" w:rsidR="007955AD" w:rsidRDefault="007955AD">
      <w:pPr>
        <w:rPr>
          <w:rFonts w:eastAsiaTheme="minorHAnsi"/>
          <w:color w:val="000000"/>
        </w:rPr>
      </w:pPr>
    </w:p>
    <w:p w14:paraId="4E042619" w14:textId="10367443" w:rsidR="007955AD" w:rsidRDefault="007955AD">
      <w:pPr>
        <w:rPr>
          <w:rFonts w:eastAsiaTheme="minorHAnsi"/>
          <w:color w:val="000000"/>
        </w:rPr>
      </w:pPr>
    </w:p>
    <w:p w14:paraId="1416E664" w14:textId="77777777" w:rsidR="007955AD" w:rsidRDefault="007955AD">
      <w:pPr>
        <w:rPr>
          <w:rFonts w:eastAsiaTheme="minorHAnsi"/>
          <w:color w:val="000000"/>
        </w:rPr>
      </w:pPr>
    </w:p>
    <w:p w14:paraId="67FEF6EF" w14:textId="462E5688" w:rsidR="008D734E" w:rsidRDefault="008D734E" w:rsidP="008D734E">
      <w:pPr>
        <w:pStyle w:val="BodyText2"/>
        <w:spacing w:line="360" w:lineRule="auto"/>
        <w:ind w:firstLine="0"/>
        <w:jc w:val="left"/>
        <w:rPr>
          <w:rFonts w:cs="Times New Roman"/>
          <w:color w:val="000000"/>
        </w:rPr>
      </w:pPr>
      <w:r>
        <w:rPr>
          <w:rFonts w:cs="Times New Roman"/>
          <w:color w:val="000000"/>
        </w:rPr>
        <w:lastRenderedPageBreak/>
        <w:tab/>
      </w:r>
      <w:r>
        <w:rPr>
          <w:rFonts w:cs="Times New Roman"/>
          <w:color w:val="000000"/>
        </w:rPr>
        <w:tab/>
        <w:t>THEREFORE,</w:t>
      </w:r>
    </w:p>
    <w:p w14:paraId="6D067669" w14:textId="2BF987C4" w:rsidR="008D734E" w:rsidRDefault="008D734E" w:rsidP="008D734E">
      <w:pPr>
        <w:pStyle w:val="BodyText2"/>
        <w:spacing w:line="360" w:lineRule="auto"/>
        <w:ind w:firstLine="0"/>
        <w:jc w:val="left"/>
        <w:rPr>
          <w:rFonts w:cs="Times New Roman"/>
          <w:color w:val="000000"/>
        </w:rPr>
      </w:pPr>
      <w:r>
        <w:rPr>
          <w:rFonts w:cs="Times New Roman"/>
          <w:color w:val="000000"/>
        </w:rPr>
        <w:tab/>
      </w:r>
    </w:p>
    <w:p w14:paraId="2482221F" w14:textId="1D69AC9A" w:rsidR="0069637B" w:rsidRDefault="0069637B" w:rsidP="008D734E">
      <w:pPr>
        <w:pStyle w:val="BodyText2"/>
        <w:spacing w:line="360" w:lineRule="auto"/>
        <w:ind w:left="720"/>
        <w:jc w:val="left"/>
        <w:rPr>
          <w:rFonts w:cs="Times New Roman"/>
          <w:color w:val="000000"/>
        </w:rPr>
      </w:pPr>
      <w:r w:rsidRPr="0004155B">
        <w:rPr>
          <w:rFonts w:cs="Times New Roman"/>
          <w:color w:val="000000"/>
        </w:rPr>
        <w:t>IT IS ORDERED THAT:</w:t>
      </w:r>
    </w:p>
    <w:p w14:paraId="09C61017" w14:textId="77777777" w:rsidR="00985A4F" w:rsidRDefault="00985A4F" w:rsidP="0002612D">
      <w:pPr>
        <w:pStyle w:val="ListNumber"/>
        <w:numPr>
          <w:ilvl w:val="0"/>
          <w:numId w:val="0"/>
        </w:numPr>
        <w:spacing w:after="0" w:line="360" w:lineRule="auto"/>
        <w:rPr>
          <w:rFonts w:cs="Times New Roman"/>
          <w:color w:val="000000"/>
        </w:rPr>
      </w:pPr>
    </w:p>
    <w:p w14:paraId="64035A55" w14:textId="77777777" w:rsidR="00985A4F" w:rsidRDefault="00FF6B82" w:rsidP="007955AD">
      <w:pPr>
        <w:pStyle w:val="ListNumber"/>
        <w:numPr>
          <w:ilvl w:val="0"/>
          <w:numId w:val="0"/>
        </w:numPr>
        <w:spacing w:after="0" w:line="360" w:lineRule="auto"/>
        <w:jc w:val="left"/>
      </w:pPr>
      <w:r>
        <w:rPr>
          <w:rFonts w:cs="Times New Roman"/>
          <w:color w:val="000000"/>
        </w:rPr>
        <w:tab/>
      </w:r>
      <w:r>
        <w:rPr>
          <w:rFonts w:cs="Times New Roman"/>
          <w:color w:val="000000"/>
        </w:rPr>
        <w:tab/>
        <w:t xml:space="preserve">1. </w:t>
      </w:r>
      <w:r>
        <w:rPr>
          <w:rFonts w:cs="Times New Roman"/>
          <w:color w:val="000000"/>
        </w:rPr>
        <w:tab/>
        <w:t xml:space="preserve">The </w:t>
      </w:r>
      <w:r w:rsidR="008D582A">
        <w:rPr>
          <w:rFonts w:cs="Times New Roman"/>
          <w:color w:val="000000"/>
        </w:rPr>
        <w:t xml:space="preserve">Joint </w:t>
      </w:r>
      <w:r>
        <w:rPr>
          <w:rFonts w:cs="Times New Roman"/>
          <w:color w:val="000000"/>
        </w:rPr>
        <w:t xml:space="preserve">Motion </w:t>
      </w:r>
      <w:r w:rsidR="003E5F96">
        <w:rPr>
          <w:rFonts w:cs="Times New Roman"/>
          <w:color w:val="000000"/>
        </w:rPr>
        <w:t xml:space="preserve">for Protective Order </w:t>
      </w:r>
      <w:r w:rsidR="00302B6E">
        <w:t xml:space="preserve">is hereby granted with respect to </w:t>
      </w:r>
      <w:r w:rsidR="008D582A">
        <w:t>all materials 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14:paraId="3C65943C" w14:textId="77777777" w:rsidR="00985A4F" w:rsidRDefault="00985A4F" w:rsidP="0002612D">
      <w:pPr>
        <w:pStyle w:val="ListNumber"/>
        <w:numPr>
          <w:ilvl w:val="0"/>
          <w:numId w:val="0"/>
        </w:numPr>
        <w:spacing w:after="0" w:line="360" w:lineRule="auto"/>
      </w:pPr>
    </w:p>
    <w:p w14:paraId="7E6BA253" w14:textId="77777777" w:rsidR="00985A4F" w:rsidRDefault="00985A4F" w:rsidP="007955AD">
      <w:pPr>
        <w:pStyle w:val="ListNumber"/>
        <w:numPr>
          <w:ilvl w:val="0"/>
          <w:numId w:val="0"/>
        </w:numPr>
        <w:spacing w:after="0" w:line="360" w:lineRule="auto"/>
        <w:jc w:val="left"/>
      </w:pPr>
      <w:r>
        <w:tab/>
      </w:r>
      <w:r>
        <w:tab/>
        <w:t xml:space="preserve">2. </w:t>
      </w:r>
      <w:r>
        <w:tab/>
      </w:r>
      <w:r w:rsidR="008D582A">
        <w:t>The materials or information subject to this Protective Order are all correspondence, documents, data, information, studies, methodologies and other materials which are believed by the producing Party to be of a proprietary or confidential nature, and which are so designated by being stamped “CONFIDENTIAL” or “HIGHLY CONFIDENTIAL” (hereinafter collectively referred to as “Proprietary Information”).  When a statement or exhibit is identified for the record, the portions thereof that constitute Proprietary Information shall be appropriately designated as such for the record.</w:t>
      </w:r>
    </w:p>
    <w:p w14:paraId="5233C9DF" w14:textId="77777777" w:rsidR="00985A4F" w:rsidRDefault="00985A4F" w:rsidP="0002612D">
      <w:pPr>
        <w:pStyle w:val="ListNumber"/>
        <w:numPr>
          <w:ilvl w:val="0"/>
          <w:numId w:val="0"/>
        </w:numPr>
        <w:spacing w:after="0" w:line="360" w:lineRule="auto"/>
      </w:pPr>
    </w:p>
    <w:p w14:paraId="50677EBA" w14:textId="26C6FC94" w:rsidR="008D582A" w:rsidRDefault="00985A4F" w:rsidP="00C96C36">
      <w:pPr>
        <w:pStyle w:val="ListNumber"/>
        <w:numPr>
          <w:ilvl w:val="0"/>
          <w:numId w:val="0"/>
        </w:numPr>
        <w:spacing w:after="0" w:line="360" w:lineRule="auto"/>
        <w:jc w:val="left"/>
      </w:pPr>
      <w:r>
        <w:tab/>
      </w:r>
      <w:r>
        <w:tab/>
        <w:t xml:space="preserve">3. </w:t>
      </w:r>
      <w:r>
        <w:tab/>
      </w:r>
      <w:r w:rsidR="008D582A">
        <w:t xml:space="preserve">This Protective Order applies to the following materials:  </w:t>
      </w:r>
    </w:p>
    <w:p w14:paraId="3AD4909C" w14:textId="77777777" w:rsidR="00C96C36" w:rsidRDefault="00C96C36" w:rsidP="0002612D">
      <w:pPr>
        <w:pStyle w:val="ListNumber"/>
        <w:numPr>
          <w:ilvl w:val="0"/>
          <w:numId w:val="0"/>
        </w:numPr>
        <w:spacing w:after="0" w:line="360" w:lineRule="auto"/>
      </w:pPr>
    </w:p>
    <w:p w14:paraId="2D757E49" w14:textId="2A62ECF3" w:rsidR="008D582A" w:rsidRDefault="008D582A" w:rsidP="00C96C36">
      <w:pPr>
        <w:pStyle w:val="BodyText2"/>
        <w:spacing w:line="360" w:lineRule="auto"/>
        <w:ind w:firstLine="1440"/>
        <w:jc w:val="left"/>
      </w:pPr>
      <w:r>
        <w:t>(a)</w:t>
      </w:r>
      <w:r>
        <w:tab/>
        <w:t>The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w:t>
      </w:r>
      <w:r w:rsidR="0002612D">
        <w:t>.</w:t>
      </w:r>
    </w:p>
    <w:p w14:paraId="3028F04F" w14:textId="77777777" w:rsidR="00C96C36" w:rsidRDefault="00C96C36" w:rsidP="00C96C36">
      <w:pPr>
        <w:pStyle w:val="BodyText2"/>
        <w:spacing w:line="360" w:lineRule="auto"/>
        <w:ind w:firstLine="1440"/>
        <w:jc w:val="left"/>
      </w:pPr>
    </w:p>
    <w:p w14:paraId="6DC2DD8B" w14:textId="77777777" w:rsidR="00985A4F" w:rsidRDefault="008D582A" w:rsidP="00C96C36">
      <w:pPr>
        <w:pStyle w:val="BodyText2"/>
        <w:spacing w:line="360" w:lineRule="auto"/>
        <w:ind w:firstLine="1440"/>
        <w:jc w:val="left"/>
      </w:pPr>
      <w:r>
        <w:t>(b)</w:t>
      </w:r>
      <w:r>
        <w:tab/>
        <w:t xml:space="preserve">The producing Party may designate as “HIGHLY CONFIDENTIAL” those materials that are of such a commercially sensitive nature or of such a private, personal nature that the producing Party is able to justify a heightened level of confidential protection </w:t>
      </w:r>
      <w:r>
        <w:lastRenderedPageBreak/>
        <w:t>with respect to those materials.  Each of the Parties shall endeavor to limit its designation of information as HIGHLY CONFIDENTIAL.</w:t>
      </w:r>
      <w:bookmarkStart w:id="0" w:name="_DV_M23"/>
      <w:bookmarkEnd w:id="0"/>
    </w:p>
    <w:p w14:paraId="69B3521D" w14:textId="77777777" w:rsidR="00985A4F" w:rsidRDefault="00985A4F" w:rsidP="0002612D">
      <w:pPr>
        <w:pStyle w:val="BodyText2"/>
        <w:spacing w:line="360" w:lineRule="auto"/>
        <w:ind w:firstLine="1440"/>
      </w:pPr>
    </w:p>
    <w:p w14:paraId="6A242268" w14:textId="77777777" w:rsidR="00985A4F" w:rsidRDefault="00985A4F" w:rsidP="00C96C36">
      <w:pPr>
        <w:pStyle w:val="BodyText2"/>
        <w:spacing w:line="360" w:lineRule="auto"/>
        <w:ind w:firstLine="1440"/>
        <w:jc w:val="left"/>
      </w:pPr>
      <w:r>
        <w:t xml:space="preserve">4. </w:t>
      </w:r>
      <w:r>
        <w:tab/>
      </w:r>
      <w:r w:rsidR="008D582A">
        <w:t xml:space="preserve">Proprietary Information shall be made available to counsel for the nonproducing Party, subject to the terms of this Protective Order.  Such counsel shall use or disclose the Proprietary Information only for purposes of preparing or presenting evidence, cross examination or argument in this proceeding and not in any other proceedings or matters.  To the extent required for participation in this proceeding, counsel for a Party may afford access to Proprietary Information subject to the conditions set forth in this Protective Order. </w:t>
      </w:r>
    </w:p>
    <w:p w14:paraId="114009D9" w14:textId="77777777" w:rsidR="00985A4F" w:rsidRDefault="00985A4F" w:rsidP="0002612D">
      <w:pPr>
        <w:pStyle w:val="BodyText2"/>
        <w:spacing w:line="360" w:lineRule="auto"/>
        <w:ind w:firstLine="1440"/>
      </w:pPr>
    </w:p>
    <w:p w14:paraId="66D38799" w14:textId="77777777" w:rsidR="00985A4F" w:rsidRDefault="00985A4F" w:rsidP="00C96C36">
      <w:pPr>
        <w:pStyle w:val="BodyText2"/>
        <w:spacing w:line="360" w:lineRule="auto"/>
        <w:ind w:firstLine="1440"/>
        <w:jc w:val="left"/>
      </w:pPr>
      <w:r>
        <w:t xml:space="preserve">5. </w:t>
      </w:r>
      <w:r>
        <w:tab/>
      </w:r>
      <w:r w:rsidR="008D582A">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bookmarkStart w:id="1" w:name="_DV_M24"/>
      <w:bookmarkEnd w:id="1"/>
    </w:p>
    <w:p w14:paraId="687A12FB" w14:textId="77777777" w:rsidR="00985A4F" w:rsidRDefault="00985A4F" w:rsidP="0002612D">
      <w:pPr>
        <w:pStyle w:val="BodyText2"/>
        <w:spacing w:line="360" w:lineRule="auto"/>
        <w:ind w:firstLine="1440"/>
      </w:pPr>
    </w:p>
    <w:p w14:paraId="19B7F3F7" w14:textId="71DD9E99" w:rsidR="008D582A" w:rsidRDefault="00985A4F" w:rsidP="00C96C36">
      <w:pPr>
        <w:pStyle w:val="BodyText2"/>
        <w:spacing w:line="360" w:lineRule="auto"/>
        <w:ind w:firstLine="1440"/>
        <w:jc w:val="left"/>
      </w:pPr>
      <w:r>
        <w:t xml:space="preserve">6. </w:t>
      </w:r>
      <w:r>
        <w:tab/>
      </w:r>
      <w:r w:rsidR="008D582A">
        <w:t>Proprietary Information shall be made available to a Reviewing Representative in this proceeding pursuant to the following procedures:</w:t>
      </w:r>
    </w:p>
    <w:p w14:paraId="5E1A56C8" w14:textId="77777777" w:rsidR="00C96C36" w:rsidRDefault="00C96C36" w:rsidP="0002612D">
      <w:pPr>
        <w:pStyle w:val="BodyText2"/>
        <w:spacing w:line="360" w:lineRule="auto"/>
        <w:ind w:firstLine="1440"/>
      </w:pPr>
    </w:p>
    <w:p w14:paraId="4116F97C" w14:textId="6788E030" w:rsidR="008D582A" w:rsidRDefault="008D582A" w:rsidP="00C96C36">
      <w:pPr>
        <w:numPr>
          <w:ilvl w:val="0"/>
          <w:numId w:val="11"/>
        </w:numPr>
      </w:pPr>
      <w:bookmarkStart w:id="2" w:name="_DV_M25"/>
      <w:bookmarkEnd w:id="2"/>
      <w:r>
        <w:t>Information deemed as “CONFIDENTIAL” shall be made available to a “Reviewing Representative” who is a person who has signed a Non-Disclosure Certificate and who is:</w:t>
      </w:r>
    </w:p>
    <w:p w14:paraId="090D782B" w14:textId="77777777" w:rsidR="00C96C36" w:rsidRDefault="00C96C36" w:rsidP="00C96C36">
      <w:pPr>
        <w:ind w:left="2160"/>
      </w:pPr>
    </w:p>
    <w:p w14:paraId="296DF113" w14:textId="77777777" w:rsidR="008D582A" w:rsidRDefault="008D582A" w:rsidP="00C96C36">
      <w:pPr>
        <w:pStyle w:val="BodyText2"/>
        <w:spacing w:line="240" w:lineRule="auto"/>
        <w:ind w:left="2851" w:hanging="691"/>
      </w:pPr>
      <w:r>
        <w:t>(i)</w:t>
      </w:r>
      <w:r>
        <w:tab/>
        <w:t>an attorney who has made an appearance in this proceeding for a Party;</w:t>
      </w:r>
    </w:p>
    <w:p w14:paraId="79C6365F" w14:textId="77777777" w:rsidR="008D582A" w:rsidRDefault="008D582A" w:rsidP="00C96C36">
      <w:pPr>
        <w:pStyle w:val="BodyText2"/>
        <w:spacing w:line="240" w:lineRule="auto"/>
        <w:ind w:left="2851" w:hanging="691"/>
      </w:pPr>
      <w:r>
        <w:t>(ii)</w:t>
      </w:r>
      <w:r>
        <w:tab/>
        <w:t xml:space="preserve">attorneys, paralegals, and other employees associated for purposes of this case with an attorney described in Paragraph (i); </w:t>
      </w:r>
    </w:p>
    <w:p w14:paraId="4420DDDC" w14:textId="77777777" w:rsidR="008D582A" w:rsidRDefault="008D582A" w:rsidP="00C96C36">
      <w:pPr>
        <w:pStyle w:val="BodyText2"/>
        <w:spacing w:line="240" w:lineRule="auto"/>
        <w:ind w:left="2851" w:hanging="691"/>
      </w:pPr>
      <w:r>
        <w:t>(iii)</w:t>
      </w:r>
      <w:r>
        <w:tab/>
        <w:t>an expert or an employee of an expert retained by a Party for the purpose of advising, preparing for or testifying in this proceeding;</w:t>
      </w:r>
    </w:p>
    <w:p w14:paraId="3BEC2ACC" w14:textId="77777777" w:rsidR="008D582A" w:rsidRDefault="008D582A" w:rsidP="008D582A">
      <w:pPr>
        <w:pStyle w:val="BodyText2"/>
        <w:spacing w:after="240" w:line="240" w:lineRule="auto"/>
        <w:ind w:left="2851" w:hanging="691"/>
      </w:pPr>
      <w:r>
        <w:t>(iv)</w:t>
      </w:r>
      <w:r>
        <w:tab/>
        <w:t>employees or other representatives of a Party appearing in this proceeding with significant responsibility for the docket.</w:t>
      </w:r>
    </w:p>
    <w:p w14:paraId="6E32A0D5" w14:textId="127DC8AB" w:rsidR="008D582A" w:rsidRDefault="008D582A" w:rsidP="00C96C36">
      <w:pPr>
        <w:numPr>
          <w:ilvl w:val="0"/>
          <w:numId w:val="11"/>
        </w:numPr>
      </w:pPr>
      <w:bookmarkStart w:id="3" w:name="_DV_M32"/>
      <w:bookmarkEnd w:id="3"/>
      <w:r>
        <w:lastRenderedPageBreak/>
        <w:t>Information deemed as “HIGHLY CONFIDENTIAL,” may be provided to a “Reviewing Representative” who has signed a Non-Disclosure Certificate and who is:</w:t>
      </w:r>
    </w:p>
    <w:p w14:paraId="7E87F560" w14:textId="77777777" w:rsidR="00C96C36" w:rsidRDefault="00C96C36" w:rsidP="00C96C36">
      <w:pPr>
        <w:ind w:left="2160"/>
      </w:pPr>
    </w:p>
    <w:p w14:paraId="27510B95" w14:textId="77777777" w:rsidR="008D582A" w:rsidRDefault="008D582A" w:rsidP="00C96C36">
      <w:pPr>
        <w:pStyle w:val="BodyText2"/>
        <w:spacing w:line="240" w:lineRule="auto"/>
        <w:ind w:left="2851" w:hanging="691"/>
        <w:jc w:val="left"/>
      </w:pPr>
      <w:r>
        <w:t>(i)</w:t>
      </w:r>
      <w:r>
        <w:tab/>
        <w:t>an attorney for a statutory advocate pursuant to 52 Pa. Code §1.8 or an outside counsel who has made an appearance in this proceeding for a Party;</w:t>
      </w:r>
    </w:p>
    <w:p w14:paraId="6B3624E0" w14:textId="77777777" w:rsidR="008D582A" w:rsidRDefault="008D582A" w:rsidP="00C96C36">
      <w:pPr>
        <w:pStyle w:val="BodyText2"/>
        <w:spacing w:line="240" w:lineRule="auto"/>
        <w:ind w:left="2851" w:hanging="691"/>
        <w:jc w:val="left"/>
      </w:pPr>
      <w:r>
        <w:t>(ii)</w:t>
      </w:r>
      <w:r>
        <w:tab/>
        <w:t>an attorney, paralegal, or other employee associated for purposes of this case with an attorney described in Paragraph (i);</w:t>
      </w:r>
    </w:p>
    <w:p w14:paraId="173185BC" w14:textId="77777777" w:rsidR="008D582A" w:rsidRDefault="008D582A" w:rsidP="00C96C36">
      <w:pPr>
        <w:pStyle w:val="BodyText2"/>
        <w:spacing w:line="240" w:lineRule="auto"/>
        <w:ind w:left="2851" w:hanging="691"/>
        <w:jc w:val="left"/>
      </w:pPr>
      <w:r>
        <w:t>(iii)</w:t>
      </w:r>
      <w:r>
        <w:tab/>
        <w:t>an outside expert or an employee of an outside expert retained by a Party for the purposes of advising, preparing for or testifying in this proceeding;</w:t>
      </w:r>
    </w:p>
    <w:p w14:paraId="61E4478D" w14:textId="40DD58FD" w:rsidR="008D582A" w:rsidRDefault="008D582A" w:rsidP="00C96C36">
      <w:pPr>
        <w:pStyle w:val="BodyText2"/>
        <w:spacing w:line="240" w:lineRule="auto"/>
        <w:ind w:left="2851" w:hanging="691"/>
        <w:jc w:val="left"/>
      </w:pPr>
      <w:r>
        <w:t>(iv)</w:t>
      </w:r>
      <w:r>
        <w:tab/>
        <w:t>a person designated as a Reviewing Representative for purposes of Highly Confidential Information pursuant to Paragraph 10.</w:t>
      </w:r>
    </w:p>
    <w:p w14:paraId="06ABB828" w14:textId="77777777" w:rsidR="00C96C36" w:rsidRDefault="00C96C36" w:rsidP="00C96C36">
      <w:pPr>
        <w:pStyle w:val="BodyText2"/>
        <w:spacing w:line="240" w:lineRule="auto"/>
        <w:ind w:left="2851" w:hanging="691"/>
        <w:jc w:val="left"/>
      </w:pPr>
    </w:p>
    <w:p w14:paraId="19FE6F46" w14:textId="29249D96" w:rsidR="00985A4F" w:rsidRDefault="008D582A" w:rsidP="00C96C36">
      <w:pPr>
        <w:pStyle w:val="BodyText2"/>
        <w:spacing w:line="360" w:lineRule="auto"/>
        <w:ind w:firstLine="0"/>
        <w:jc w:val="left"/>
      </w:pPr>
      <w:r>
        <w:t>Provided, further, that in accordance with the provisions of Sections 5.362 and 5.365(e) of the Commission’s rules of Practice and Procedure, 52 Pa.Code §§ 5.362</w:t>
      </w:r>
      <w:r w:rsidR="00306BC0">
        <w:t xml:space="preserve"> and</w:t>
      </w:r>
      <w:r>
        <w:t xml:space="preserve"> 5.365(e), the producing Party may, by subsequent motion or objection, seek further protection with respect to HIGHLY CONFIDENTIAL material, including but not limited to, total prohibition of disclosure or limitation of disclosure only to particular Parties.</w:t>
      </w:r>
      <w:bookmarkStart w:id="4" w:name="_DV_M34"/>
      <w:bookmarkStart w:id="5" w:name="_DV_C31"/>
      <w:bookmarkEnd w:id="4"/>
    </w:p>
    <w:p w14:paraId="7590EBA8" w14:textId="77777777" w:rsidR="00985A4F" w:rsidRDefault="00985A4F" w:rsidP="0002612D">
      <w:pPr>
        <w:pStyle w:val="BodyText2"/>
        <w:spacing w:line="360" w:lineRule="auto"/>
        <w:ind w:firstLine="0"/>
      </w:pPr>
    </w:p>
    <w:p w14:paraId="4C397FEE" w14:textId="77777777" w:rsidR="00985A4F" w:rsidRDefault="00985A4F" w:rsidP="00C96C36">
      <w:pPr>
        <w:pStyle w:val="BodyText2"/>
        <w:spacing w:line="360" w:lineRule="auto"/>
        <w:ind w:firstLine="0"/>
        <w:jc w:val="left"/>
        <w:rPr>
          <w:rStyle w:val="BodyText2Char"/>
        </w:rPr>
      </w:pPr>
      <w:r>
        <w:tab/>
      </w:r>
      <w:r>
        <w:tab/>
        <w:t xml:space="preserve">7. </w:t>
      </w:r>
      <w:r>
        <w:tab/>
      </w:r>
      <w:r w:rsidR="008D582A">
        <w:rPr>
          <w:rStyle w:val="BodyText2Char"/>
        </w:rPr>
        <w:t xml:space="preserve">Proprietary Information shall not be made available to a “Restricted Person.”  For the purpose of this </w:t>
      </w:r>
      <w:r w:rsidR="008D582A">
        <w:t xml:space="preserve">Protective </w:t>
      </w:r>
      <w:r w:rsidR="008D582A">
        <w:rPr>
          <w:rStyle w:val="BodyText2Char"/>
        </w:rPr>
        <w:t xml:space="preserve">Order, “Restricted Person” shall mean:  (a) an officer, director, stockholder, partner, owner or employee of any competitor of a Party or an employee of such an entity if the employee’s primary duties involve the development, marketing or pricing of the competitor’s products or services; (b) an officer, director, stockholder, partner, or owner of any affiliate of a competitor of a Party (including any association of competitors of a Party) or an employee of such an entity if the employee’s primary duties involve the development, marketing or pricing of the competitor’s products or services; (c) an officer, director, stockholder, owner or employee of a competitor of a Party’s customer if the Proprietary Information concerns a specific, identifiable customer of a Party; and (d) an officer, director, stockholder, owner or employee of an affiliate of a competitor of a Party’s customer if the Proprietary Information concerns a specific, identifiable customer of a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8D582A">
        <w:t xml:space="preserve">Protective </w:t>
      </w:r>
      <w:r w:rsidR="008D582A">
        <w:rPr>
          <w:rStyle w:val="BodyText2Char"/>
        </w:rPr>
        <w:lastRenderedPageBreak/>
        <w:t>Order, stocks, partnership or other ownership interests valued at more than $10,000 or constituting more than 1% interest in a business establishes a significant motive for violation.</w:t>
      </w:r>
    </w:p>
    <w:p w14:paraId="3A4C7CC3" w14:textId="77777777" w:rsidR="00985A4F" w:rsidRDefault="00985A4F" w:rsidP="0002612D">
      <w:pPr>
        <w:pStyle w:val="BodyText2"/>
        <w:spacing w:line="360" w:lineRule="auto"/>
        <w:ind w:firstLine="0"/>
        <w:rPr>
          <w:rStyle w:val="BodyText2Char"/>
        </w:rPr>
      </w:pPr>
    </w:p>
    <w:p w14:paraId="3DFC40D1" w14:textId="77777777" w:rsidR="00985A4F" w:rsidRDefault="00985A4F" w:rsidP="00C96C36">
      <w:pPr>
        <w:pStyle w:val="BodyText2"/>
        <w:spacing w:line="360" w:lineRule="auto"/>
        <w:ind w:firstLine="0"/>
        <w:jc w:val="left"/>
        <w:rPr>
          <w:rStyle w:val="BodyText2Char"/>
        </w:rPr>
      </w:pPr>
      <w:r>
        <w:rPr>
          <w:rStyle w:val="BodyText2Char"/>
        </w:rPr>
        <w:tab/>
      </w:r>
      <w:r>
        <w:rPr>
          <w:rStyle w:val="BodyText2Char"/>
        </w:rPr>
        <w:tab/>
        <w:t xml:space="preserve">8. </w:t>
      </w:r>
      <w:r>
        <w:rPr>
          <w:rStyle w:val="BodyText2Char"/>
        </w:rPr>
        <w:tab/>
      </w:r>
      <w:r w:rsidR="008D582A">
        <w:rPr>
          <w:rStyle w:val="BodyText2Char"/>
        </w:rPr>
        <w:t>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producing Party retains the right to challenge the adequacy of the written assurances that the nonproducing Party or its customers’ interests will not be jeopardized.  No other persons may have access to the Proprietary Information except as authorized by order of the Commission.</w:t>
      </w:r>
    </w:p>
    <w:p w14:paraId="2E6A7570" w14:textId="77777777" w:rsidR="00985A4F" w:rsidRDefault="00985A4F" w:rsidP="0002612D">
      <w:pPr>
        <w:pStyle w:val="BodyText2"/>
        <w:spacing w:line="360" w:lineRule="auto"/>
        <w:ind w:firstLine="0"/>
        <w:rPr>
          <w:rStyle w:val="BodyText2Char"/>
        </w:rPr>
      </w:pPr>
    </w:p>
    <w:p w14:paraId="5C5C8B37" w14:textId="5CCBFA29" w:rsidR="00985A4F" w:rsidRDefault="00985A4F" w:rsidP="00C96C36">
      <w:pPr>
        <w:pStyle w:val="BodyText2"/>
        <w:spacing w:line="360" w:lineRule="auto"/>
        <w:ind w:firstLine="0"/>
        <w:jc w:val="left"/>
        <w:rPr>
          <w:rStyle w:val="BodyText2Char"/>
        </w:rPr>
      </w:pPr>
      <w:r>
        <w:rPr>
          <w:rStyle w:val="BodyText2Char"/>
        </w:rPr>
        <w:tab/>
      </w:r>
      <w:r>
        <w:rPr>
          <w:rStyle w:val="BodyText2Char"/>
        </w:rPr>
        <w:tab/>
        <w:t xml:space="preserve">9. </w:t>
      </w:r>
      <w:r>
        <w:rPr>
          <w:rStyle w:val="BodyText2Char"/>
        </w:rPr>
        <w:tab/>
      </w:r>
      <w:r w:rsidR="008D582A">
        <w:rPr>
          <w:rStyle w:val="BodyText2Char"/>
        </w:rPr>
        <w:t xml:space="preserve">A qualified “Reviewing Representative” for “HIGHLY CONFIDENTIAL” material may review and discuss “HIGHLY CONFIDENTIAL” material with his or her client or with the entity with which he or she is employed or associated, to the extent that the client or entity is not a “Restricted Person,” but may not share with or permit the client or entity to review the “HIGHLY CONFIDENTIAL” material, provided, however, that counsel for the Bureau of Investigation and Enforcement </w:t>
      </w:r>
      <w:r w:rsidR="00306BC0">
        <w:rPr>
          <w:rStyle w:val="BodyText2Char"/>
        </w:rPr>
        <w:t>(BIE</w:t>
      </w:r>
      <w:r w:rsidR="008D582A">
        <w:rPr>
          <w:rStyle w:val="BodyText2Char"/>
        </w:rPr>
        <w:t xml:space="preserve">), Office of Consumer Advocate and Office of Small Business Advocate may share Proprietary Information with the </w:t>
      </w:r>
      <w:r w:rsidR="00306BC0">
        <w:rPr>
          <w:rStyle w:val="BodyText2Char"/>
        </w:rPr>
        <w:t xml:space="preserve">BIE </w:t>
      </w:r>
      <w:r w:rsidR="008D582A">
        <w:rPr>
          <w:rStyle w:val="BodyText2Char"/>
        </w:rPr>
        <w:t>Director, Consumer Advocate and Small Business Advocate, respectively, without obtaining a Non-Disclosure certificate from these individuals, provided, however, that these individuals otherwise abide by the terms of the Protective Order.</w:t>
      </w:r>
      <w:bookmarkStart w:id="6" w:name="_DV_M40"/>
      <w:bookmarkEnd w:id="5"/>
      <w:bookmarkEnd w:id="6"/>
    </w:p>
    <w:p w14:paraId="213F942D" w14:textId="77777777" w:rsidR="00985A4F" w:rsidRDefault="00985A4F" w:rsidP="0002612D">
      <w:pPr>
        <w:pStyle w:val="BodyText2"/>
        <w:spacing w:line="360" w:lineRule="auto"/>
        <w:ind w:firstLine="0"/>
        <w:rPr>
          <w:rStyle w:val="BodyText2Char"/>
        </w:rPr>
      </w:pPr>
    </w:p>
    <w:p w14:paraId="13FDB8A3" w14:textId="148D2EA4" w:rsidR="00985A4F" w:rsidRDefault="00985A4F" w:rsidP="00C96C36">
      <w:pPr>
        <w:pStyle w:val="BodyText2"/>
        <w:spacing w:line="360" w:lineRule="auto"/>
        <w:ind w:firstLine="0"/>
        <w:jc w:val="left"/>
      </w:pPr>
      <w:r>
        <w:rPr>
          <w:rStyle w:val="BodyText2Char"/>
        </w:rPr>
        <w:tab/>
      </w:r>
      <w:r>
        <w:rPr>
          <w:rStyle w:val="BodyText2Char"/>
        </w:rPr>
        <w:tab/>
        <w:t xml:space="preserve">10. </w:t>
      </w:r>
      <w:r>
        <w:rPr>
          <w:rStyle w:val="BodyText2Char"/>
        </w:rPr>
        <w:tab/>
      </w:r>
      <w:r w:rsidR="008D582A">
        <w:t xml:space="preserve">Proprietary Information shall be treated by the nonproducing Party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w:t>
      </w:r>
      <w:r w:rsidR="008D582A">
        <w:lastRenderedPageBreak/>
        <w:t xml:space="preserve">know the information to carry out that person’s responsibilities in this proceeding.  For </w:t>
      </w:r>
      <w:r w:rsidR="00306BC0">
        <w:rPr>
          <w:rStyle w:val="BodyText2Char"/>
        </w:rPr>
        <w:t>BIE</w:t>
      </w:r>
      <w:r w:rsidR="008D582A">
        <w:t xml:space="preserve">, the </w:t>
      </w:r>
      <w:r w:rsidR="00306BC0">
        <w:rPr>
          <w:rStyle w:val="BodyText2Char"/>
        </w:rPr>
        <w:t>BIE</w:t>
      </w:r>
      <w:r w:rsidR="00306BC0">
        <w:t xml:space="preserve"> </w:t>
      </w:r>
      <w:r w:rsidR="008D582A">
        <w:t xml:space="preserve">Prosecutor may afford access to Proprietary Information made available by Duquesne Light only to </w:t>
      </w:r>
      <w:r w:rsidR="00306BC0">
        <w:rPr>
          <w:rStyle w:val="BodyText2Char"/>
        </w:rPr>
        <w:t>BIE</w:t>
      </w:r>
      <w:r w:rsidR="00306BC0">
        <w:t>‘</w:t>
      </w:r>
      <w:r w:rsidR="008D582A">
        <w:t xml:space="preserve">s assigned and identified internal expert(s) who are full-time </w:t>
      </w:r>
      <w:r w:rsidR="00306BC0">
        <w:t>BIE</w:t>
      </w:r>
      <w:r w:rsidR="008D582A">
        <w:t xml:space="preserve"> employees and therefore subject to the terms of this Protective Order by virtue of the signature of the </w:t>
      </w:r>
      <w:r w:rsidR="00306BC0">
        <w:t>BIE</w:t>
      </w:r>
      <w:r w:rsidR="008D582A">
        <w:t xml:space="preserve"> Prosecutor affixed to his executed Non-Disclosure Certificate.  Prior to making the provided Proprietary Information available to its full-time employed expert as provided above, the </w:t>
      </w:r>
      <w:r w:rsidR="00306BC0">
        <w:t>BIE</w:t>
      </w:r>
      <w:r w:rsidR="008D582A">
        <w:t xml:space="preserve"> Prosecutor shall notify said internal expert of the existence of the Protective Order and shall provide a copy of it to that expert with an admonition that he or she is bound by its provisions for the duration of the proceeding.  Said </w:t>
      </w:r>
      <w:r w:rsidR="00306BC0">
        <w:t>BIE</w:t>
      </w:r>
      <w:r w:rsidR="008D582A">
        <w:t xml:space="preserve"> Prosecutor is responsible for ensuring that each and every full-time employed expert provided with Proprietary Information complies with all terms and conditions of the Protective Order.</w:t>
      </w:r>
    </w:p>
    <w:p w14:paraId="46C78095" w14:textId="77777777" w:rsidR="00985A4F" w:rsidRDefault="00985A4F" w:rsidP="0002612D">
      <w:pPr>
        <w:pStyle w:val="BodyText2"/>
        <w:spacing w:line="360" w:lineRule="auto"/>
        <w:ind w:firstLine="0"/>
      </w:pPr>
    </w:p>
    <w:p w14:paraId="535646FB" w14:textId="1298174A" w:rsidR="00985A4F" w:rsidRDefault="00985A4F" w:rsidP="00C96C36">
      <w:pPr>
        <w:pStyle w:val="BodyText2"/>
        <w:spacing w:line="360" w:lineRule="auto"/>
        <w:ind w:firstLine="0"/>
        <w:jc w:val="left"/>
      </w:pPr>
      <w:r>
        <w:tab/>
      </w:r>
      <w:r>
        <w:tab/>
        <w:t xml:space="preserve">11. </w:t>
      </w:r>
      <w:r>
        <w:tab/>
      </w:r>
      <w:r w:rsidR="008D582A">
        <w:t xml:space="preserve">Reviewing Representatives may not use information contained in any Proprietary Information obtained through this proceeding to give any Party or any competitor of any Party a commercial advantage.  </w:t>
      </w:r>
      <w:r w:rsidR="00306BC0">
        <w:t>If</w:t>
      </w:r>
      <w:r w:rsidR="008D582A">
        <w:t xml:space="preserve"> the nonproducing Party wishes to designate as a Reviewing Representative a person not described in Paragraph 6 above, that Party shall seek agreement from the Party producing the Proprietary Information.  If an agreement is reached, that person shall be a Reviewing Representative pursuant to Paragraph 6 above with respect to those materials.  If no agreement is reached, the nonproducing Party shall submit the disputed designation to the presiding Administrative Law Judge for resolution.</w:t>
      </w:r>
    </w:p>
    <w:p w14:paraId="5837FDA8" w14:textId="77777777" w:rsidR="00985A4F" w:rsidRDefault="00985A4F" w:rsidP="0002612D">
      <w:pPr>
        <w:pStyle w:val="BodyText2"/>
        <w:spacing w:line="360" w:lineRule="auto"/>
        <w:ind w:firstLine="0"/>
      </w:pPr>
    </w:p>
    <w:p w14:paraId="76990A4F" w14:textId="0B033306" w:rsidR="008D582A" w:rsidRDefault="00985A4F" w:rsidP="00C96C36">
      <w:pPr>
        <w:pStyle w:val="BodyText2"/>
        <w:spacing w:line="360" w:lineRule="auto"/>
        <w:ind w:firstLine="0"/>
        <w:jc w:val="left"/>
      </w:pPr>
      <w:r>
        <w:tab/>
      </w:r>
      <w:r>
        <w:tab/>
        <w:t xml:space="preserve">12. </w:t>
      </w:r>
      <w:r>
        <w:tab/>
      </w:r>
      <w:r w:rsidR="008D582A">
        <w:t>(a)</w:t>
      </w:r>
      <w:r w:rsidR="008D582A">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set forth in Appendix A hereto,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463148D8" w14:textId="77777777" w:rsidR="00985A4F" w:rsidRDefault="008D582A" w:rsidP="00C96C36">
      <w:pPr>
        <w:spacing w:line="360" w:lineRule="auto"/>
        <w:ind w:right="12"/>
      </w:pPr>
      <w:r>
        <w:lastRenderedPageBreak/>
        <w:tab/>
      </w:r>
      <w:r>
        <w:tab/>
        <w:t>(b)</w:t>
      </w:r>
      <w:r>
        <w:tab/>
        <w:t>Attorneys and outside experts qualified as Reviewing Representatives are responsible for ensuring that persons under their supervision or control comply with this Protective Order.</w:t>
      </w:r>
    </w:p>
    <w:p w14:paraId="67FA4502" w14:textId="77777777" w:rsidR="00985A4F" w:rsidRDefault="00985A4F" w:rsidP="0002612D">
      <w:pPr>
        <w:spacing w:line="360" w:lineRule="auto"/>
        <w:ind w:right="12"/>
        <w:jc w:val="both"/>
      </w:pPr>
    </w:p>
    <w:p w14:paraId="5E7E3934" w14:textId="77777777" w:rsidR="00985A4F" w:rsidRDefault="00985A4F" w:rsidP="00C96C36">
      <w:pPr>
        <w:spacing w:line="360" w:lineRule="auto"/>
        <w:ind w:right="12"/>
      </w:pPr>
      <w:r>
        <w:tab/>
      </w:r>
      <w:r>
        <w:tab/>
        <w:t xml:space="preserve">13. </w:t>
      </w:r>
      <w:r>
        <w:tab/>
      </w:r>
      <w:r w:rsidR="008D582A">
        <w:t xml:space="preserve">A producing Party shall designate data or documents as constituting or containing Proprietary Information by </w:t>
      </w:r>
      <w:bookmarkStart w:id="7" w:name="_DV_M41"/>
      <w:bookmarkEnd w:id="7"/>
      <w:r w:rsidR="008D582A">
        <w:t>stamping the documents “CONFIDENTIAL” or “HIGHLY CONFIDENTIAL.”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The Proprietary Information shall be served upon the nonproducing Party hereto only in an envelope separate from the nonproprietary materials, and the envelope shall be conspicuously marked “CONFIDENTIAL” or “HIGHLY CONFIDENTIAL.”</w:t>
      </w:r>
    </w:p>
    <w:p w14:paraId="6B721E1E" w14:textId="77777777" w:rsidR="00985A4F" w:rsidRDefault="00985A4F" w:rsidP="0002612D">
      <w:pPr>
        <w:spacing w:line="360" w:lineRule="auto"/>
        <w:ind w:right="12"/>
        <w:jc w:val="both"/>
      </w:pPr>
    </w:p>
    <w:p w14:paraId="27CF665A" w14:textId="09068A4F" w:rsidR="00985A4F" w:rsidRDefault="00985A4F" w:rsidP="00C96C36">
      <w:pPr>
        <w:spacing w:line="360" w:lineRule="auto"/>
        <w:ind w:right="12"/>
      </w:pPr>
      <w:r>
        <w:tab/>
      </w:r>
      <w:r>
        <w:tab/>
        <w:t xml:space="preserve">14. </w:t>
      </w:r>
      <w:r>
        <w:tab/>
      </w:r>
      <w:r w:rsidR="008D582A">
        <w:t>The nonproducing Party will consider and treat the Proprietary Information as within the exemptions from disclosure provided in Section 335(d) of the Public Utility Code, 66 Pa.C.S.</w:t>
      </w:r>
      <w:r w:rsidR="00A02D2B">
        <w:t>A.</w:t>
      </w:r>
      <w:r w:rsidR="008D582A">
        <w:t xml:space="preserve"> § 335(d), and is within the definition of “confidential proprietary information” in the Pennsylvania Right to Know Law, Act of February 14, 2008, P.L. 6, 65 P.S. §§ 67.101-67.3104, effective January 1, 2009, until such time as the information is found to be non-proprietary.  </w:t>
      </w:r>
      <w:r w:rsidR="00A02D2B">
        <w:t>If</w:t>
      </w:r>
      <w:r w:rsidR="008D582A">
        <w:t xml:space="preserve"> any person or entity seeks to compel the disclosure of Proprietary Information, the nonproducing Party shall promptly notify the producing Party in order to provide the producing Party an opportunity to oppose or limit such disclosure.</w:t>
      </w:r>
    </w:p>
    <w:p w14:paraId="512C6C09" w14:textId="77777777" w:rsidR="00985A4F" w:rsidRDefault="00985A4F" w:rsidP="0002612D">
      <w:pPr>
        <w:spacing w:line="360" w:lineRule="auto"/>
        <w:ind w:right="12"/>
        <w:jc w:val="both"/>
      </w:pPr>
    </w:p>
    <w:p w14:paraId="128BBF23" w14:textId="77777777" w:rsidR="0002612D" w:rsidRDefault="00985A4F" w:rsidP="00C96C36">
      <w:pPr>
        <w:spacing w:line="360" w:lineRule="auto"/>
        <w:ind w:right="12"/>
      </w:pPr>
      <w:r>
        <w:tab/>
      </w:r>
      <w:r>
        <w:tab/>
        <w:t xml:space="preserve">15. </w:t>
      </w:r>
      <w:r>
        <w:tab/>
      </w:r>
      <w:r w:rsidR="008D582A">
        <w:t>Any public reference to Proprietary Information by a Party or its Reviewing Representative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bookmarkStart w:id="8" w:name="_DV_M42"/>
      <w:bookmarkEnd w:id="8"/>
    </w:p>
    <w:p w14:paraId="57BCA4E9" w14:textId="77777777" w:rsidR="0002612D" w:rsidRDefault="0002612D" w:rsidP="0002612D">
      <w:pPr>
        <w:spacing w:line="360" w:lineRule="auto"/>
        <w:ind w:right="12"/>
        <w:jc w:val="both"/>
      </w:pPr>
    </w:p>
    <w:p w14:paraId="06AA909B" w14:textId="77777777" w:rsidR="0002612D" w:rsidRDefault="0002612D" w:rsidP="00C96C36">
      <w:pPr>
        <w:spacing w:line="360" w:lineRule="auto"/>
        <w:ind w:right="12"/>
      </w:pPr>
      <w:r>
        <w:tab/>
      </w:r>
      <w:r>
        <w:tab/>
        <w:t xml:space="preserve">16. </w:t>
      </w:r>
      <w:r>
        <w:tab/>
      </w:r>
      <w:r w:rsidR="008D582A">
        <w:t xml:space="preserve">Part of any record of this proceeding containing Proprietary Information, including but not limited to all exhibits, writings, testimony, cross examination, argument and </w:t>
      </w:r>
      <w:r w:rsidR="008D582A">
        <w:lastRenderedPageBreak/>
        <w:t xml:space="preserve">responses to discovery, and including references thereto as mentioned in Paragraph 15 above, shall be sealed for all purposes, including administrative and judicial review, unless such Proprietary Information is </w:t>
      </w:r>
      <w:bookmarkStart w:id="9" w:name="_DV_C36"/>
      <w:r w:rsidR="008D582A">
        <w:t>released</w:t>
      </w:r>
      <w:bookmarkStart w:id="10" w:name="_DV_M43"/>
      <w:bookmarkEnd w:id="9"/>
      <w:bookmarkEnd w:id="10"/>
      <w:r w:rsidR="008D582A">
        <w:t xml:space="preserve"> from the restrictions of this Protective Order, either through the agreement of the Parties or pursuant to order of the Administrative Law Judge, the Commission or appellate court.  </w:t>
      </w:r>
    </w:p>
    <w:p w14:paraId="65C92C5E" w14:textId="77777777" w:rsidR="0002612D" w:rsidRDefault="0002612D" w:rsidP="0002612D">
      <w:pPr>
        <w:spacing w:line="360" w:lineRule="auto"/>
        <w:ind w:right="12"/>
        <w:jc w:val="both"/>
      </w:pPr>
    </w:p>
    <w:p w14:paraId="22419B5A" w14:textId="77777777" w:rsidR="0002612D" w:rsidRDefault="0002612D" w:rsidP="00C96C36">
      <w:pPr>
        <w:spacing w:line="360" w:lineRule="auto"/>
        <w:ind w:right="12"/>
      </w:pPr>
      <w:r>
        <w:tab/>
      </w:r>
      <w:r>
        <w:tab/>
        <w:t xml:space="preserve">17. </w:t>
      </w:r>
      <w:r>
        <w:tab/>
      </w:r>
      <w:r w:rsidR="008D582A">
        <w:t>The nonproducing Party shall retain the right to question or challenge the confidential or proprietary nature of Proprietary Information.  If a nonproducing Party challenges the designation of a document or information as proprietary, the Party providing the information retains the burden of demonstrating that the designation is appropriate.</w:t>
      </w:r>
    </w:p>
    <w:p w14:paraId="55B8F254" w14:textId="77777777" w:rsidR="0002612D" w:rsidRDefault="0002612D" w:rsidP="0002612D">
      <w:pPr>
        <w:spacing w:line="360" w:lineRule="auto"/>
        <w:ind w:right="12"/>
        <w:jc w:val="both"/>
      </w:pPr>
    </w:p>
    <w:p w14:paraId="509D2712" w14:textId="0611B3AD" w:rsidR="0002612D" w:rsidRDefault="0002612D" w:rsidP="00C96C36">
      <w:pPr>
        <w:spacing w:line="360" w:lineRule="auto"/>
        <w:ind w:right="12"/>
      </w:pPr>
      <w:r>
        <w:tab/>
      </w:r>
      <w:r>
        <w:tab/>
        <w:t xml:space="preserve">18. </w:t>
      </w:r>
      <w:r>
        <w:tab/>
      </w:r>
      <w:r w:rsidR="008D582A">
        <w:t>Each Party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bookmarkStart w:id="11" w:name="_DV_M44"/>
      <w:bookmarkEnd w:id="11"/>
    </w:p>
    <w:p w14:paraId="7026A6A5" w14:textId="77777777" w:rsidR="0002612D" w:rsidRDefault="0002612D" w:rsidP="0002612D">
      <w:pPr>
        <w:spacing w:line="360" w:lineRule="auto"/>
        <w:ind w:right="12"/>
        <w:jc w:val="both"/>
      </w:pPr>
    </w:p>
    <w:p w14:paraId="4AB4B1D7" w14:textId="4D02352A" w:rsidR="003E5F96" w:rsidRDefault="0002612D" w:rsidP="00C96C36">
      <w:pPr>
        <w:spacing w:line="360" w:lineRule="auto"/>
        <w:ind w:right="12"/>
      </w:pPr>
      <w:r>
        <w:tab/>
      </w:r>
      <w:r>
        <w:tab/>
        <w:t xml:space="preserve">19. </w:t>
      </w:r>
      <w:r>
        <w:tab/>
      </w:r>
      <w:r w:rsidR="008D582A">
        <w:t xml:space="preserve">Within thirty (30) days after a Commission final order is entered in the above-captioned proceeding, or in the event of appeals, within thirty (30) days after appeals are finally decided, the nonproducing Party, upon request, shall either destroy or return to the producing Party all copies of all documents and other materials not entered into the record, including notes, which contain any Proprietary Information.  </w:t>
      </w:r>
      <w:r w:rsidR="00A02D2B">
        <w:t>If</w:t>
      </w:r>
      <w:r w:rsidR="008D582A">
        <w:t xml:space="preserve"> the nonproducing Party elects to destroy all copies of documents and other materials containing Proprietary Information instead of returning the copies of documents and other materials containing Proprietary Information to the producing Party, the nonproducing </w:t>
      </w:r>
      <w:r w:rsidR="008D582A" w:rsidRPr="00676AA4">
        <w:t>Party shall certify in writing to the producing Party that the Proprietary Information has been destroyed</w:t>
      </w:r>
    </w:p>
    <w:p w14:paraId="790A56A9" w14:textId="77777777" w:rsidR="00517E57" w:rsidRDefault="00517E57" w:rsidP="0002612D">
      <w:pPr>
        <w:pStyle w:val="ListNumber"/>
        <w:numPr>
          <w:ilvl w:val="0"/>
          <w:numId w:val="0"/>
        </w:numPr>
        <w:spacing w:after="0" w:line="360" w:lineRule="auto"/>
      </w:pPr>
    </w:p>
    <w:p w14:paraId="15DDCE71" w14:textId="77777777" w:rsidR="003E5F96" w:rsidRPr="003E5F96" w:rsidRDefault="003E5F96" w:rsidP="0002612D">
      <w:pPr>
        <w:pStyle w:val="ListNumber"/>
        <w:numPr>
          <w:ilvl w:val="0"/>
          <w:numId w:val="0"/>
        </w:numPr>
        <w:spacing w:after="0" w:line="360" w:lineRule="auto"/>
        <w:ind w:left="720"/>
      </w:pPr>
    </w:p>
    <w:p w14:paraId="224DADAE" w14:textId="6ACD320D" w:rsidR="00DF5ADC" w:rsidRPr="00DF5ADC" w:rsidRDefault="00DF5ADC" w:rsidP="00C96C36">
      <w:pPr>
        <w:widowControl w:val="0"/>
        <w:tabs>
          <w:tab w:val="left" w:pos="0"/>
        </w:tabs>
        <w:autoSpaceDE w:val="0"/>
        <w:autoSpaceDN w:val="0"/>
        <w:adjustRightInd w:val="0"/>
        <w:jc w:val="both"/>
        <w:rPr>
          <w:u w:val="single"/>
        </w:rPr>
      </w:pPr>
      <w:r w:rsidRPr="00DF5ADC">
        <w:t xml:space="preserve">Date:  </w:t>
      </w:r>
      <w:r w:rsidR="0002612D">
        <w:rPr>
          <w:u w:val="single"/>
        </w:rPr>
        <w:t>December 15</w:t>
      </w:r>
      <w:r w:rsidR="00302B6E">
        <w:rPr>
          <w:u w:val="single"/>
        </w:rPr>
        <w:t>, 202</w:t>
      </w:r>
      <w:r w:rsidR="00790A66">
        <w:rPr>
          <w:u w:val="single"/>
        </w:rPr>
        <w:t>1</w:t>
      </w:r>
      <w:r>
        <w:tab/>
      </w:r>
      <w:r w:rsidRPr="00DF5ADC">
        <w:tab/>
      </w:r>
      <w:r w:rsidR="0002612D">
        <w:tab/>
      </w:r>
      <w:r w:rsidRPr="00DF5ADC">
        <w:tab/>
      </w:r>
      <w:r w:rsidRPr="00DF5ADC">
        <w:tab/>
      </w:r>
      <w:r w:rsidRPr="00DF5ADC">
        <w:rPr>
          <w:u w:val="single"/>
        </w:rPr>
        <w:tab/>
      </w:r>
      <w:r w:rsidRPr="00DF5ADC">
        <w:rPr>
          <w:u w:val="single"/>
        </w:rPr>
        <w:tab/>
        <w:t>/s/</w:t>
      </w:r>
      <w:r w:rsidRPr="00DF5ADC">
        <w:rPr>
          <w:u w:val="single"/>
        </w:rPr>
        <w:tab/>
      </w:r>
      <w:r w:rsidRPr="00DF5ADC">
        <w:rPr>
          <w:u w:val="single"/>
        </w:rPr>
        <w:tab/>
      </w:r>
      <w:r w:rsidRPr="00DF5ADC">
        <w:rPr>
          <w:u w:val="single"/>
        </w:rPr>
        <w:tab/>
      </w:r>
    </w:p>
    <w:p w14:paraId="190CA289" w14:textId="77777777" w:rsidR="00DF5ADC" w:rsidRPr="00DF5ADC" w:rsidRDefault="00DF5ADC" w:rsidP="00C96C36">
      <w:pPr>
        <w:widowControl w:val="0"/>
        <w:tabs>
          <w:tab w:val="left" w:pos="0"/>
        </w:tabs>
        <w:autoSpaceDE w:val="0"/>
        <w:autoSpaceDN w:val="0"/>
        <w:adjustRightInd w:val="0"/>
        <w:jc w:val="both"/>
      </w:pPr>
      <w:r w:rsidRPr="00DF5ADC">
        <w:tab/>
      </w:r>
      <w:r w:rsidRPr="00DF5ADC">
        <w:tab/>
      </w:r>
      <w:r w:rsidRPr="00DF5ADC">
        <w:tab/>
      </w:r>
      <w:r w:rsidRPr="00DF5ADC">
        <w:tab/>
      </w:r>
      <w:r w:rsidRPr="00DF5ADC">
        <w:tab/>
      </w:r>
      <w:r w:rsidRPr="00DF5ADC">
        <w:tab/>
      </w:r>
      <w:r w:rsidRPr="00DF5ADC">
        <w:tab/>
      </w:r>
      <w:r w:rsidRPr="00DF5ADC">
        <w:tab/>
        <w:t>Katrina L. Dunderdale</w:t>
      </w:r>
    </w:p>
    <w:p w14:paraId="14C42FB3" w14:textId="77777777" w:rsidR="00DF5ADC" w:rsidRPr="00DF5ADC" w:rsidRDefault="00DF5ADC" w:rsidP="00C96C36">
      <w:pPr>
        <w:widowControl w:val="0"/>
        <w:tabs>
          <w:tab w:val="left" w:pos="0"/>
        </w:tabs>
        <w:autoSpaceDE w:val="0"/>
        <w:autoSpaceDN w:val="0"/>
        <w:adjustRightInd w:val="0"/>
        <w:jc w:val="both"/>
      </w:pPr>
      <w:r w:rsidRPr="00DF5ADC">
        <w:tab/>
      </w:r>
      <w:r w:rsidRPr="00DF5ADC">
        <w:tab/>
      </w:r>
      <w:r w:rsidRPr="00DF5ADC">
        <w:tab/>
      </w:r>
      <w:r w:rsidRPr="00DF5ADC">
        <w:tab/>
      </w:r>
      <w:r w:rsidRPr="00DF5ADC">
        <w:tab/>
      </w:r>
      <w:r w:rsidRPr="00DF5ADC">
        <w:tab/>
      </w:r>
      <w:r w:rsidRPr="00DF5ADC">
        <w:tab/>
      </w:r>
      <w:r w:rsidRPr="00DF5ADC">
        <w:tab/>
        <w:t>Administrative Law Judge</w:t>
      </w:r>
    </w:p>
    <w:p w14:paraId="4C144F8F" w14:textId="77777777" w:rsidR="00DF5ADC" w:rsidRDefault="00DF5ADC" w:rsidP="0002612D">
      <w:pPr>
        <w:sectPr w:rsidR="00DF5ADC" w:rsidSect="00DF5ADC">
          <w:footerReference w:type="default" r:id="rId8"/>
          <w:pgSz w:w="12240" w:h="15840"/>
          <w:pgMar w:top="1440" w:right="1440" w:bottom="1440" w:left="1440" w:header="720" w:footer="720" w:gutter="0"/>
          <w:cols w:space="720"/>
          <w:titlePg/>
          <w:docGrid w:linePitch="360"/>
        </w:sectPr>
      </w:pPr>
    </w:p>
    <w:p w14:paraId="18DA91A8" w14:textId="77777777" w:rsidR="00C96C36" w:rsidRDefault="00C96C36" w:rsidP="0002612D">
      <w:pPr>
        <w:spacing w:line="360" w:lineRule="auto"/>
        <w:sectPr w:rsidR="00C96C36" w:rsidSect="00054555">
          <w:footerReference w:type="default" r:id="rId9"/>
          <w:type w:val="continuous"/>
          <w:pgSz w:w="12240" w:h="15840"/>
          <w:pgMar w:top="432" w:right="1440" w:bottom="1440" w:left="1440" w:header="720" w:footer="720" w:gutter="0"/>
          <w:cols w:space="720"/>
          <w:titlePg/>
          <w:docGrid w:linePitch="360"/>
        </w:sectPr>
      </w:pPr>
    </w:p>
    <w:p w14:paraId="70DDE828" w14:textId="77777777" w:rsidR="0069637B" w:rsidRDefault="0069637B" w:rsidP="0069637B">
      <w:pPr>
        <w:contextualSpacing/>
        <w:jc w:val="center"/>
        <w:rPr>
          <w:b/>
        </w:rPr>
      </w:pPr>
      <w:r>
        <w:rPr>
          <w:b/>
        </w:rPr>
        <w:lastRenderedPageBreak/>
        <w:t>APPENDIX A</w:t>
      </w:r>
    </w:p>
    <w:p w14:paraId="0C203009" w14:textId="77777777" w:rsidR="0069637B" w:rsidRDefault="0069637B" w:rsidP="00054555">
      <w:pPr>
        <w:contextualSpacing/>
        <w:jc w:val="center"/>
        <w:rPr>
          <w:b/>
        </w:rPr>
      </w:pPr>
    </w:p>
    <w:p w14:paraId="49DF7327" w14:textId="77777777" w:rsidR="0069637B" w:rsidRDefault="0069637B" w:rsidP="00054555">
      <w:pPr>
        <w:pStyle w:val="PSNormal"/>
        <w:jc w:val="center"/>
        <w:rPr>
          <w:b/>
        </w:rPr>
      </w:pPr>
    </w:p>
    <w:p w14:paraId="1C518D9D" w14:textId="77777777" w:rsidR="0069637B" w:rsidRDefault="0069637B" w:rsidP="00054555">
      <w:pPr>
        <w:tabs>
          <w:tab w:val="left" w:pos="0"/>
        </w:tabs>
        <w:jc w:val="both"/>
        <w:rPr>
          <w:b/>
        </w:rPr>
      </w:pPr>
    </w:p>
    <w:p w14:paraId="33AA97A6" w14:textId="77777777" w:rsidR="00A02D2B" w:rsidRDefault="00A02D2B" w:rsidP="00A02D2B">
      <w:pPr>
        <w:tabs>
          <w:tab w:val="left" w:pos="360"/>
        </w:tabs>
        <w:jc w:val="both"/>
        <w:rPr>
          <w:b/>
        </w:rPr>
      </w:pPr>
    </w:p>
    <w:p w14:paraId="32888735" w14:textId="77777777" w:rsidR="00A02D2B" w:rsidRDefault="00A02D2B" w:rsidP="00FA6DE8">
      <w:pPr>
        <w:tabs>
          <w:tab w:val="left" w:pos="0"/>
        </w:tabs>
        <w:jc w:val="both"/>
      </w:pPr>
      <w:r>
        <w:t>Gualberto Carhuaslla and</w:t>
      </w:r>
      <w:r>
        <w:tab/>
      </w:r>
      <w:r>
        <w:tab/>
      </w:r>
      <w:r>
        <w:tab/>
        <w:t xml:space="preserve"> </w:t>
      </w:r>
      <w:r>
        <w:tab/>
      </w:r>
      <w:r w:rsidRPr="00560DC5">
        <w:t>:</w:t>
      </w:r>
      <w:r>
        <w:tab/>
      </w:r>
      <w:r>
        <w:tab/>
      </w:r>
    </w:p>
    <w:p w14:paraId="3AB7D62B" w14:textId="77777777" w:rsidR="00A02D2B" w:rsidRDefault="00A02D2B" w:rsidP="00FA6DE8">
      <w:pPr>
        <w:tabs>
          <w:tab w:val="left" w:pos="0"/>
        </w:tabs>
        <w:jc w:val="both"/>
        <w:rPr>
          <w:b/>
        </w:rPr>
      </w:pPr>
      <w:r>
        <w:t>Lisa Fedorka-Carhuaslla</w:t>
      </w:r>
      <w:r>
        <w:tab/>
      </w:r>
      <w:r>
        <w:tab/>
      </w:r>
      <w:r>
        <w:tab/>
      </w:r>
      <w:r>
        <w:tab/>
        <w:t>:</w:t>
      </w:r>
      <w:r>
        <w:tab/>
      </w:r>
      <w:r>
        <w:tab/>
      </w:r>
    </w:p>
    <w:p w14:paraId="39A00843" w14:textId="77777777" w:rsidR="00A02D2B" w:rsidRDefault="00A02D2B" w:rsidP="00FA6DE8">
      <w:pPr>
        <w:tabs>
          <w:tab w:val="left" w:pos="0"/>
        </w:tabs>
        <w:jc w:val="both"/>
      </w:pPr>
      <w:r>
        <w:tab/>
      </w:r>
      <w:r>
        <w:tab/>
      </w:r>
      <w:r>
        <w:tab/>
      </w:r>
      <w:r>
        <w:tab/>
      </w:r>
      <w:r>
        <w:tab/>
      </w:r>
      <w:r>
        <w:tab/>
      </w:r>
      <w:r>
        <w:tab/>
        <w:t>:</w:t>
      </w:r>
      <w:r>
        <w:tab/>
      </w:r>
      <w:r>
        <w:tab/>
      </w:r>
    </w:p>
    <w:p w14:paraId="4B69C79C" w14:textId="77777777" w:rsidR="00A02D2B" w:rsidRDefault="00A02D2B" w:rsidP="00FA6DE8">
      <w:pPr>
        <w:tabs>
          <w:tab w:val="left" w:pos="0"/>
        </w:tabs>
        <w:jc w:val="both"/>
      </w:pPr>
      <w:r>
        <w:tab/>
        <w:t xml:space="preserve">v. </w:t>
      </w:r>
      <w:r>
        <w:tab/>
      </w:r>
      <w:r>
        <w:tab/>
      </w:r>
      <w:r>
        <w:tab/>
      </w:r>
      <w:r>
        <w:tab/>
      </w:r>
      <w:r>
        <w:tab/>
      </w:r>
      <w:r>
        <w:tab/>
        <w:t xml:space="preserve">: </w:t>
      </w:r>
      <w:r>
        <w:tab/>
      </w:r>
      <w:r>
        <w:tab/>
        <w:t>C-2021-3028698</w:t>
      </w:r>
    </w:p>
    <w:p w14:paraId="341B7A46" w14:textId="77777777" w:rsidR="00A02D2B" w:rsidRPr="00560DC5" w:rsidRDefault="00A02D2B" w:rsidP="00FA6DE8">
      <w:pPr>
        <w:tabs>
          <w:tab w:val="left" w:pos="0"/>
        </w:tabs>
        <w:jc w:val="both"/>
      </w:pPr>
      <w:r>
        <w:rPr>
          <w:b/>
        </w:rPr>
        <w:tab/>
      </w:r>
      <w:r>
        <w:rPr>
          <w:b/>
        </w:rPr>
        <w:tab/>
      </w:r>
      <w:r>
        <w:rPr>
          <w:b/>
        </w:rPr>
        <w:tab/>
      </w:r>
      <w:r>
        <w:rPr>
          <w:b/>
        </w:rPr>
        <w:tab/>
      </w:r>
      <w:r>
        <w:rPr>
          <w:b/>
        </w:rPr>
        <w:tab/>
      </w:r>
      <w:r>
        <w:rPr>
          <w:b/>
        </w:rPr>
        <w:tab/>
      </w:r>
      <w:r>
        <w:rPr>
          <w:b/>
        </w:rPr>
        <w:tab/>
      </w:r>
      <w:r w:rsidRPr="000E6924">
        <w:t>:</w:t>
      </w:r>
    </w:p>
    <w:p w14:paraId="1D2E97AA" w14:textId="77777777" w:rsidR="00A02D2B" w:rsidRDefault="00A02D2B" w:rsidP="00FA6DE8">
      <w:pPr>
        <w:tabs>
          <w:tab w:val="left" w:pos="0"/>
        </w:tabs>
        <w:jc w:val="both"/>
      </w:pPr>
      <w:r>
        <w:t>Duquesne Light Company</w:t>
      </w:r>
      <w:r>
        <w:tab/>
      </w:r>
      <w:r>
        <w:tab/>
      </w:r>
      <w:r>
        <w:tab/>
      </w:r>
      <w:r>
        <w:tab/>
      </w:r>
      <w:r w:rsidRPr="00560DC5">
        <w:t>:</w:t>
      </w:r>
      <w:r>
        <w:tab/>
      </w:r>
      <w:r>
        <w:tab/>
      </w:r>
    </w:p>
    <w:p w14:paraId="1F7D0C22" w14:textId="77777777" w:rsidR="00A02D2B" w:rsidRDefault="00A02D2B" w:rsidP="00A02D2B">
      <w:pPr>
        <w:tabs>
          <w:tab w:val="left" w:pos="0"/>
        </w:tabs>
        <w:jc w:val="both"/>
      </w:pPr>
    </w:p>
    <w:p w14:paraId="1B4730BF" w14:textId="77777777" w:rsidR="00A02D2B" w:rsidRDefault="00A02D2B" w:rsidP="00A02D2B">
      <w:pPr>
        <w:tabs>
          <w:tab w:val="left" w:pos="0"/>
        </w:tabs>
        <w:jc w:val="both"/>
      </w:pPr>
    </w:p>
    <w:p w14:paraId="5BAAA8D2" w14:textId="4CBDA6FE" w:rsidR="0069637B" w:rsidRDefault="0069637B" w:rsidP="00054555">
      <w:pPr>
        <w:tabs>
          <w:tab w:val="left" w:pos="0"/>
        </w:tabs>
        <w:jc w:val="both"/>
        <w:rPr>
          <w:b/>
        </w:rPr>
      </w:pPr>
    </w:p>
    <w:p w14:paraId="22BC32F2" w14:textId="77777777" w:rsidR="005C5B38" w:rsidRDefault="005C5B38" w:rsidP="00054555">
      <w:pPr>
        <w:tabs>
          <w:tab w:val="left" w:pos="0"/>
        </w:tabs>
        <w:jc w:val="both"/>
        <w:rPr>
          <w:b/>
        </w:rPr>
      </w:pPr>
    </w:p>
    <w:p w14:paraId="5C85DF5C" w14:textId="77777777" w:rsidR="0069637B" w:rsidRPr="004E30FC" w:rsidRDefault="0069637B" w:rsidP="00054555">
      <w:pPr>
        <w:pStyle w:val="PSNormal"/>
        <w:jc w:val="center"/>
        <w:rPr>
          <w:b/>
        </w:rPr>
      </w:pPr>
      <w:r w:rsidRPr="004E30FC">
        <w:rPr>
          <w:b/>
        </w:rPr>
        <w:t>NON-DISCLOSURE CERTIFICATE</w:t>
      </w:r>
    </w:p>
    <w:p w14:paraId="43F7470A" w14:textId="77777777" w:rsidR="0069637B" w:rsidRDefault="0069637B" w:rsidP="0069637B">
      <w:pPr>
        <w:pStyle w:val="PSNormal"/>
        <w:jc w:val="left"/>
      </w:pPr>
    </w:p>
    <w:p w14:paraId="006D11F8" w14:textId="77777777" w:rsidR="0069637B" w:rsidRDefault="0069637B" w:rsidP="0069637B">
      <w:pPr>
        <w:pStyle w:val="PSNormal"/>
        <w:jc w:val="left"/>
      </w:pPr>
      <w:r>
        <w:t>TO WHOM IT MAY CONCERN:</w:t>
      </w:r>
    </w:p>
    <w:p w14:paraId="4BF5BB78" w14:textId="77777777" w:rsidR="00302B6E" w:rsidRPr="00AB5851" w:rsidRDefault="00302B6E" w:rsidP="00302B6E">
      <w:pPr>
        <w:rPr>
          <w:b/>
        </w:rPr>
      </w:pPr>
    </w:p>
    <w:p w14:paraId="2D25DA8A" w14:textId="77777777" w:rsidR="00302B6E" w:rsidRDefault="00302B6E" w:rsidP="00A02D2B">
      <w:pPr>
        <w:spacing w:line="360" w:lineRule="auto"/>
      </w:pPr>
    </w:p>
    <w:p w14:paraId="203DA1D9" w14:textId="6D1C9E22" w:rsidR="00302B6E" w:rsidRDefault="00302B6E" w:rsidP="00A02D2B">
      <w:pPr>
        <w:spacing w:line="360" w:lineRule="auto"/>
        <w:jc w:val="both"/>
      </w:pPr>
      <w:r>
        <w:t>The undersigned is a Reviewing Representative of the _______________, a party to this proceeding (Party)</w:t>
      </w:r>
      <w:r w:rsidR="00A02D2B" w:rsidRPr="00A02D2B">
        <w:rPr>
          <w:sz w:val="22"/>
          <w:szCs w:val="22"/>
        </w:rPr>
        <w:t xml:space="preserve"> </w:t>
      </w:r>
      <w:r w:rsidR="00A02D2B" w:rsidRPr="008110C1">
        <w:rPr>
          <w:sz w:val="22"/>
          <w:szCs w:val="22"/>
        </w:rPr>
        <w:t>and is not, or has no knowledge or basis for believing that he/she is a “Restricted Person” as that term is defined in Paragraph 7, page 4 of the Protective Order executed on behalf of the Party with regard to the above-referenced proceeding</w:t>
      </w:r>
      <w:r>
        <w:t xml:space="preserve">.  </w:t>
      </w:r>
      <w:r w:rsidRPr="00805565">
        <w:t>The undersigned has read and understands the Protective Order in the above-referenced proceeding, which Protective Ord</w:t>
      </w:r>
      <w:r>
        <w:t>er deals with the treatment of “Highly Confidential</w:t>
      </w:r>
      <w:r w:rsidR="00AA374E">
        <w:t>,</w:t>
      </w:r>
      <w:r>
        <w:t>”</w:t>
      </w:r>
      <w:r w:rsidR="00AA374E">
        <w:t xml:space="preserve"> “Confidential” and “Proprietary”</w:t>
      </w:r>
      <w:r>
        <w:t xml:space="preserve"> i</w:t>
      </w:r>
      <w:r w:rsidRPr="00805565">
        <w:t>nformation.  The undersigned agrees to be bound by, and comply with, the terms and conditions of said Protective Order.</w:t>
      </w:r>
    </w:p>
    <w:p w14:paraId="7776C0C5" w14:textId="77777777" w:rsidR="00302B6E" w:rsidRDefault="00302B6E" w:rsidP="00A02D2B">
      <w:pPr>
        <w:spacing w:line="360" w:lineRule="auto"/>
      </w:pPr>
    </w:p>
    <w:p w14:paraId="21CE3596" w14:textId="77777777" w:rsidR="00302B6E" w:rsidRDefault="00302B6E" w:rsidP="00A02D2B">
      <w:pPr>
        <w:spacing w:line="360" w:lineRule="auto"/>
      </w:pPr>
    </w:p>
    <w:p w14:paraId="7EEA843E" w14:textId="77777777" w:rsidR="00302B6E" w:rsidRDefault="00302B6E" w:rsidP="00302B6E"/>
    <w:p w14:paraId="6C242B06" w14:textId="77777777" w:rsidR="0069637B" w:rsidRDefault="0069637B" w:rsidP="0069637B">
      <w:pPr>
        <w:pStyle w:val="PSNormal"/>
      </w:pPr>
      <w:r>
        <w:t>__________________________________</w:t>
      </w:r>
      <w:r>
        <w:tab/>
      </w:r>
      <w:r>
        <w:tab/>
        <w:t>__________________________________</w:t>
      </w:r>
    </w:p>
    <w:p w14:paraId="4293895A" w14:textId="77777777" w:rsidR="0069637B" w:rsidRDefault="0069637B" w:rsidP="0069637B">
      <w:pPr>
        <w:pStyle w:val="PSNormal"/>
      </w:pPr>
      <w:r>
        <w:t xml:space="preserve">Name </w:t>
      </w:r>
      <w:r>
        <w:tab/>
      </w:r>
      <w:r>
        <w:tab/>
      </w:r>
      <w:r>
        <w:tab/>
      </w:r>
      <w:r>
        <w:tab/>
      </w:r>
      <w:r>
        <w:tab/>
      </w:r>
      <w:r>
        <w:tab/>
      </w:r>
      <w:r>
        <w:tab/>
        <w:t>Address</w:t>
      </w:r>
    </w:p>
    <w:p w14:paraId="31092B6C" w14:textId="77777777" w:rsidR="0069637B" w:rsidRDefault="0069637B" w:rsidP="0069637B">
      <w:pPr>
        <w:pStyle w:val="PSNormal"/>
      </w:pPr>
      <w:r>
        <w:tab/>
      </w:r>
      <w:r>
        <w:tab/>
      </w:r>
      <w:r>
        <w:tab/>
      </w:r>
      <w:r>
        <w:tab/>
      </w:r>
      <w:r>
        <w:tab/>
      </w:r>
      <w:r>
        <w:tab/>
      </w:r>
      <w:r>
        <w:tab/>
      </w:r>
    </w:p>
    <w:p w14:paraId="19D60143" w14:textId="77777777" w:rsidR="0069637B" w:rsidRDefault="0069637B" w:rsidP="0069637B">
      <w:pPr>
        <w:pStyle w:val="PSNormal"/>
      </w:pPr>
      <w:r>
        <w:t>__________________________________</w:t>
      </w:r>
      <w:r>
        <w:tab/>
      </w:r>
      <w:r>
        <w:tab/>
        <w:t>__________________________________</w:t>
      </w:r>
    </w:p>
    <w:p w14:paraId="2FB08830" w14:textId="77777777" w:rsidR="00054555" w:rsidRDefault="0069637B" w:rsidP="00054555">
      <w:pPr>
        <w:pStyle w:val="PSNormal"/>
        <w:jc w:val="left"/>
        <w:sectPr w:rsidR="00054555" w:rsidSect="00C96C36">
          <w:pgSz w:w="12240" w:h="15840"/>
          <w:pgMar w:top="432" w:right="1440" w:bottom="1440" w:left="1440" w:header="720" w:footer="720" w:gutter="0"/>
          <w:cols w:space="720"/>
          <w:titlePg/>
          <w:docGrid w:linePitch="360"/>
        </w:sectPr>
      </w:pPr>
      <w:r>
        <w:t xml:space="preserve">Signature </w:t>
      </w:r>
      <w:r>
        <w:tab/>
      </w:r>
      <w:r>
        <w:tab/>
      </w:r>
      <w:r>
        <w:tab/>
      </w:r>
      <w:r>
        <w:tab/>
      </w:r>
      <w:r>
        <w:tab/>
      </w:r>
      <w:r>
        <w:tab/>
        <w:t>Employer</w:t>
      </w:r>
    </w:p>
    <w:p w14:paraId="1B1E25DD" w14:textId="77777777" w:rsidR="008E47FE" w:rsidRPr="008E47FE" w:rsidRDefault="008E47FE" w:rsidP="008E47FE">
      <w:pPr>
        <w:spacing w:after="160"/>
        <w:contextualSpacing/>
        <w:rPr>
          <w:rFonts w:ascii="Microsoft Sans Serif" w:eastAsia="Microsoft Sans Serif" w:hAnsi="Microsoft Sans Serif" w:cs="Microsoft Sans Serif"/>
          <w:i/>
          <w:szCs w:val="22"/>
        </w:rPr>
      </w:pPr>
      <w:bookmarkStart w:id="12" w:name="_Hlk5618279"/>
    </w:p>
    <w:p w14:paraId="6E9F5B69" w14:textId="77777777" w:rsidR="008E47FE" w:rsidRPr="008E47FE" w:rsidRDefault="008E47FE" w:rsidP="008E47FE">
      <w:pPr>
        <w:spacing w:after="160"/>
        <w:contextualSpacing/>
        <w:rPr>
          <w:rFonts w:ascii="Microsoft Sans Serif" w:eastAsia="Microsoft Sans Serif" w:hAnsi="Microsoft Sans Serif" w:cs="Microsoft Sans Serif"/>
          <w:i/>
          <w:szCs w:val="22"/>
        </w:rPr>
      </w:pPr>
    </w:p>
    <w:bookmarkEnd w:id="12"/>
    <w:p w14:paraId="64E85252" w14:textId="77777777" w:rsidR="008D734E" w:rsidRDefault="008D734E" w:rsidP="00112762">
      <w:pPr>
        <w:sectPr w:rsidR="008D734E" w:rsidSect="00112762">
          <w:footerReference w:type="even" r:id="rId10"/>
          <w:footerReference w:type="default" r:id="rId11"/>
          <w:type w:val="continuous"/>
          <w:pgSz w:w="12240" w:h="15840"/>
          <w:pgMar w:top="1440" w:right="1440" w:bottom="1440" w:left="1440" w:header="720" w:footer="720" w:gutter="0"/>
          <w:pgNumType w:start="1"/>
          <w:cols w:num="2" w:space="720"/>
          <w:titlePg/>
          <w:docGrid w:linePitch="360"/>
        </w:sectPr>
      </w:pPr>
    </w:p>
    <w:p w14:paraId="01BD5484" w14:textId="77777777" w:rsidR="00EC4282" w:rsidRPr="00EC4282" w:rsidRDefault="00EC4282" w:rsidP="00EC4282">
      <w:pPr>
        <w:rPr>
          <w:rFonts w:ascii="Microsoft Sans Serif" w:eastAsia="Microsoft Sans Serif" w:hAnsi="Microsoft Sans Serif" w:cs="Microsoft Sans Serif"/>
          <w:szCs w:val="22"/>
        </w:rPr>
      </w:pPr>
    </w:p>
    <w:p w14:paraId="09327431" w14:textId="77777777" w:rsidR="00C96C36" w:rsidRDefault="00C96C36" w:rsidP="00112762">
      <w:pPr>
        <w:sectPr w:rsidR="00C96C36" w:rsidSect="002861F0">
          <w:footerReference w:type="default" r:id="rId12"/>
          <w:type w:val="continuous"/>
          <w:pgSz w:w="12240" w:h="15840"/>
          <w:pgMar w:top="1440" w:right="1440" w:bottom="1440" w:left="1440" w:header="720" w:footer="720" w:gutter="0"/>
          <w:cols w:num="2" w:space="720"/>
          <w:docGrid w:linePitch="360"/>
        </w:sectPr>
      </w:pPr>
    </w:p>
    <w:p w14:paraId="15B9D174" w14:textId="77777777" w:rsidR="00C96C36" w:rsidRPr="00C96C36" w:rsidRDefault="00C96C36" w:rsidP="00C96C36">
      <w:pPr>
        <w:spacing w:after="160" w:line="259" w:lineRule="auto"/>
        <w:rPr>
          <w:rFonts w:ascii="Microsoft Sans Serif" w:eastAsia="Microsoft Sans Serif" w:hAnsi="Microsoft Sans Serif" w:cs="Microsoft Sans Serif"/>
          <w:szCs w:val="22"/>
        </w:rPr>
      </w:pPr>
      <w:r w:rsidRPr="00C96C36">
        <w:rPr>
          <w:rFonts w:ascii="Microsoft Sans Serif" w:eastAsia="Microsoft Sans Serif" w:hAnsi="Microsoft Sans Serif" w:cs="Microsoft Sans Serif"/>
          <w:b/>
          <w:szCs w:val="22"/>
          <w:u w:val="single"/>
        </w:rPr>
        <w:lastRenderedPageBreak/>
        <w:t>C-2021-3028698 - GUALBERTO &amp; LISA CARHUASLLA v. DUQUESNE LIGHT COMPANY</w:t>
      </w:r>
      <w:r w:rsidRPr="00C96C36">
        <w:rPr>
          <w:rFonts w:ascii="Microsoft Sans Serif" w:eastAsia="Microsoft Sans Serif" w:hAnsi="Microsoft Sans Serif" w:cs="Microsoft Sans Serif"/>
          <w:b/>
          <w:szCs w:val="22"/>
          <w:u w:val="single"/>
        </w:rPr>
        <w:cr/>
      </w:r>
      <w:r w:rsidRPr="00C96C36">
        <w:rPr>
          <w:rFonts w:ascii="Microsoft Sans Serif" w:eastAsia="Microsoft Sans Serif" w:hAnsi="Microsoft Sans Serif" w:cs="Microsoft Sans Serif"/>
          <w:b/>
          <w:szCs w:val="22"/>
          <w:u w:val="single"/>
        </w:rPr>
        <w:cr/>
      </w:r>
      <w:r w:rsidRPr="00C96C36">
        <w:rPr>
          <w:rFonts w:ascii="Microsoft Sans Serif" w:eastAsia="Microsoft Sans Serif" w:hAnsi="Microsoft Sans Serif" w:cs="Microsoft Sans Serif"/>
          <w:szCs w:val="22"/>
        </w:rPr>
        <w:t>LISA FEDORKA-CARHUASLLA OWNER/OPERATOR</w:t>
      </w:r>
      <w:r w:rsidRPr="00C96C36">
        <w:rPr>
          <w:rFonts w:ascii="Microsoft Sans Serif" w:eastAsia="Microsoft Sans Serif" w:hAnsi="Microsoft Sans Serif" w:cs="Microsoft Sans Serif"/>
          <w:szCs w:val="22"/>
        </w:rPr>
        <w:cr/>
        <w:t>6366 MONITOR ST</w:t>
      </w:r>
      <w:r w:rsidRPr="00C96C36">
        <w:rPr>
          <w:rFonts w:ascii="Microsoft Sans Serif" w:eastAsia="Microsoft Sans Serif" w:hAnsi="Microsoft Sans Serif" w:cs="Microsoft Sans Serif"/>
          <w:szCs w:val="22"/>
        </w:rPr>
        <w:cr/>
        <w:t>PITTSBURGH PA  15217</w:t>
      </w:r>
      <w:r w:rsidRPr="00C96C36">
        <w:rPr>
          <w:rFonts w:ascii="Microsoft Sans Serif" w:eastAsia="Microsoft Sans Serif" w:hAnsi="Microsoft Sans Serif" w:cs="Microsoft Sans Serif"/>
          <w:szCs w:val="22"/>
        </w:rPr>
        <w:cr/>
      </w:r>
      <w:r w:rsidRPr="00C96C36">
        <w:rPr>
          <w:rFonts w:ascii="Microsoft Sans Serif" w:eastAsia="Microsoft Sans Serif" w:hAnsi="Microsoft Sans Serif" w:cs="Microsoft Sans Serif"/>
          <w:b/>
          <w:bCs/>
          <w:szCs w:val="22"/>
        </w:rPr>
        <w:t>412.537.0984</w:t>
      </w:r>
      <w:r w:rsidRPr="00C96C36">
        <w:rPr>
          <w:rFonts w:ascii="Microsoft Sans Serif" w:eastAsia="Microsoft Sans Serif" w:hAnsi="Microsoft Sans Serif" w:cs="Microsoft Sans Serif"/>
          <w:b/>
          <w:bCs/>
          <w:szCs w:val="22"/>
        </w:rPr>
        <w:cr/>
      </w:r>
      <w:r w:rsidRPr="00C96C36">
        <w:rPr>
          <w:rFonts w:ascii="Microsoft Sans Serif" w:eastAsia="Microsoft Sans Serif" w:hAnsi="Microsoft Sans Serif" w:cs="Microsoft Sans Serif"/>
          <w:szCs w:val="22"/>
        </w:rPr>
        <w:t>Accepts EService</w:t>
      </w:r>
      <w:r w:rsidRPr="00C96C36">
        <w:rPr>
          <w:rFonts w:ascii="Microsoft Sans Serif" w:eastAsia="Microsoft Sans Serif" w:hAnsi="Microsoft Sans Serif" w:cs="Microsoft Sans Serif"/>
          <w:szCs w:val="22"/>
        </w:rPr>
        <w:cr/>
      </w:r>
      <w:r w:rsidRPr="00C96C36">
        <w:rPr>
          <w:rFonts w:ascii="Microsoft Sans Serif" w:eastAsia="Microsoft Sans Serif" w:hAnsi="Microsoft Sans Serif" w:cs="Microsoft Sans Serif"/>
          <w:szCs w:val="22"/>
        </w:rPr>
        <w:cr/>
        <w:t>WILLIAM C KACZYNSKI ESQUIRE</w:t>
      </w:r>
      <w:r w:rsidRPr="00C96C36">
        <w:rPr>
          <w:rFonts w:ascii="Microsoft Sans Serif" w:eastAsia="Microsoft Sans Serif" w:hAnsi="Microsoft Sans Serif" w:cs="Microsoft Sans Serif"/>
          <w:szCs w:val="22"/>
        </w:rPr>
        <w:cr/>
        <w:t>202 FOXBURY DRIVE</w:t>
      </w:r>
      <w:r w:rsidRPr="00C96C36">
        <w:rPr>
          <w:rFonts w:ascii="Microsoft Sans Serif" w:eastAsia="Microsoft Sans Serif" w:hAnsi="Microsoft Sans Serif" w:cs="Microsoft Sans Serif"/>
          <w:szCs w:val="22"/>
        </w:rPr>
        <w:cr/>
        <w:t>PITTSBURGH PA  15205</w:t>
      </w:r>
      <w:r w:rsidRPr="00C96C36">
        <w:rPr>
          <w:rFonts w:ascii="Microsoft Sans Serif" w:eastAsia="Microsoft Sans Serif" w:hAnsi="Microsoft Sans Serif" w:cs="Microsoft Sans Serif"/>
          <w:szCs w:val="22"/>
        </w:rPr>
        <w:cr/>
      </w:r>
      <w:r w:rsidRPr="00C96C36">
        <w:rPr>
          <w:rFonts w:ascii="Microsoft Sans Serif" w:eastAsia="Microsoft Sans Serif" w:hAnsi="Microsoft Sans Serif" w:cs="Microsoft Sans Serif"/>
          <w:b/>
          <w:bCs/>
          <w:szCs w:val="22"/>
        </w:rPr>
        <w:t>412.562.9465</w:t>
      </w:r>
      <w:r w:rsidRPr="00C96C36">
        <w:rPr>
          <w:rFonts w:ascii="Microsoft Sans Serif" w:eastAsia="Microsoft Sans Serif" w:hAnsi="Microsoft Sans Serif" w:cs="Microsoft Sans Serif"/>
          <w:b/>
          <w:bCs/>
          <w:szCs w:val="22"/>
        </w:rPr>
        <w:cr/>
      </w:r>
      <w:r w:rsidRPr="00C96C36">
        <w:rPr>
          <w:rFonts w:ascii="Microsoft Sans Serif" w:eastAsia="Microsoft Sans Serif" w:hAnsi="Microsoft Sans Serif" w:cs="Microsoft Sans Serif"/>
          <w:szCs w:val="22"/>
        </w:rPr>
        <w:t>KAZLAWPGH@AOL.COM</w:t>
      </w:r>
      <w:r w:rsidRPr="00C96C36">
        <w:rPr>
          <w:rFonts w:ascii="Microsoft Sans Serif" w:eastAsia="Microsoft Sans Serif" w:hAnsi="Microsoft Sans Serif" w:cs="Microsoft Sans Serif"/>
          <w:szCs w:val="22"/>
        </w:rPr>
        <w:cr/>
      </w:r>
    </w:p>
    <w:p w14:paraId="14A5058B" w14:textId="77777777" w:rsidR="00C96C36" w:rsidRPr="00C96C36" w:rsidRDefault="00C96C36" w:rsidP="00C96C36">
      <w:pPr>
        <w:spacing w:after="160" w:line="259" w:lineRule="auto"/>
        <w:rPr>
          <w:rFonts w:ascii="Calibri" w:hAnsi="Calibri"/>
          <w:sz w:val="22"/>
          <w:szCs w:val="22"/>
        </w:rPr>
      </w:pPr>
      <w:r w:rsidRPr="00C96C36">
        <w:rPr>
          <w:rFonts w:ascii="Microsoft Sans Serif" w:eastAsia="Microsoft Sans Serif" w:hAnsi="Microsoft Sans Serif" w:cs="Microsoft Sans Serif"/>
          <w:szCs w:val="22"/>
        </w:rPr>
        <w:t>EMILY M FARAH COUNSEL</w:t>
      </w:r>
      <w:r w:rsidRPr="00C96C36">
        <w:rPr>
          <w:rFonts w:ascii="Microsoft Sans Serif" w:eastAsia="Microsoft Sans Serif" w:hAnsi="Microsoft Sans Serif" w:cs="Microsoft Sans Serif"/>
          <w:szCs w:val="22"/>
        </w:rPr>
        <w:cr/>
        <w:t>DUQUESNE LIGHT COMPANY</w:t>
      </w:r>
      <w:r w:rsidRPr="00C96C36">
        <w:rPr>
          <w:rFonts w:ascii="Microsoft Sans Serif" w:eastAsia="Microsoft Sans Serif" w:hAnsi="Microsoft Sans Serif" w:cs="Microsoft Sans Serif"/>
          <w:szCs w:val="22"/>
        </w:rPr>
        <w:cr/>
        <w:t>411 SEVENTH AVENUE</w:t>
      </w:r>
      <w:r w:rsidRPr="00C96C36">
        <w:rPr>
          <w:rFonts w:ascii="Microsoft Sans Serif" w:eastAsia="Microsoft Sans Serif" w:hAnsi="Microsoft Sans Serif" w:cs="Microsoft Sans Serif"/>
          <w:szCs w:val="22"/>
        </w:rPr>
        <w:cr/>
        <w:t>PITTSBURGH PA  15219</w:t>
      </w:r>
      <w:r w:rsidRPr="00C96C36">
        <w:rPr>
          <w:rFonts w:ascii="Microsoft Sans Serif" w:eastAsia="Microsoft Sans Serif" w:hAnsi="Microsoft Sans Serif" w:cs="Microsoft Sans Serif"/>
          <w:szCs w:val="22"/>
        </w:rPr>
        <w:cr/>
      </w:r>
      <w:r w:rsidRPr="00C96C36">
        <w:rPr>
          <w:rFonts w:ascii="Microsoft Sans Serif" w:eastAsia="Microsoft Sans Serif" w:hAnsi="Microsoft Sans Serif" w:cs="Microsoft Sans Serif"/>
          <w:b/>
          <w:bCs/>
          <w:szCs w:val="22"/>
        </w:rPr>
        <w:t>412.393.6431</w:t>
      </w:r>
      <w:r w:rsidRPr="00C96C36">
        <w:rPr>
          <w:rFonts w:ascii="Microsoft Sans Serif" w:eastAsia="Microsoft Sans Serif" w:hAnsi="Microsoft Sans Serif" w:cs="Microsoft Sans Serif"/>
          <w:b/>
          <w:bCs/>
          <w:szCs w:val="22"/>
        </w:rPr>
        <w:cr/>
      </w:r>
      <w:r w:rsidRPr="00C96C36">
        <w:rPr>
          <w:rFonts w:ascii="Microsoft Sans Serif" w:eastAsia="Microsoft Sans Serif" w:hAnsi="Microsoft Sans Serif" w:cs="Microsoft Sans Serif"/>
          <w:szCs w:val="22"/>
        </w:rPr>
        <w:t>Accepts EService</w:t>
      </w:r>
    </w:p>
    <w:p w14:paraId="68B194C5" w14:textId="7570F34B" w:rsidR="008167E7" w:rsidRDefault="008167E7" w:rsidP="00112762"/>
    <w:sectPr w:rsidR="00816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FC10" w14:textId="77777777" w:rsidR="00A02786" w:rsidRDefault="00A02786">
      <w:r>
        <w:separator/>
      </w:r>
    </w:p>
  </w:endnote>
  <w:endnote w:type="continuationSeparator" w:id="0">
    <w:p w14:paraId="39319860" w14:textId="77777777" w:rsidR="00A02786" w:rsidRDefault="00A0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000423"/>
      <w:docPartObj>
        <w:docPartGallery w:val="Page Numbers (Bottom of Page)"/>
        <w:docPartUnique/>
      </w:docPartObj>
    </w:sdtPr>
    <w:sdtEndPr>
      <w:rPr>
        <w:noProof/>
      </w:rPr>
    </w:sdtEndPr>
    <w:sdtContent>
      <w:p w14:paraId="4F208BA2" w14:textId="5989D8B3" w:rsidR="00DF5ADC" w:rsidRDefault="00DF5ADC">
        <w:pPr>
          <w:pStyle w:val="Footer"/>
          <w:jc w:val="center"/>
        </w:pPr>
        <w:r w:rsidRPr="00DF5ADC">
          <w:rPr>
            <w:sz w:val="20"/>
          </w:rPr>
          <w:fldChar w:fldCharType="begin"/>
        </w:r>
        <w:r w:rsidRPr="00DF5ADC">
          <w:rPr>
            <w:sz w:val="20"/>
          </w:rPr>
          <w:instrText xml:space="preserve"> PAGE   \* MERGEFORMAT </w:instrText>
        </w:r>
        <w:r w:rsidRPr="00DF5ADC">
          <w:rPr>
            <w:sz w:val="20"/>
          </w:rPr>
          <w:fldChar w:fldCharType="separate"/>
        </w:r>
        <w:r w:rsidRPr="00DF5ADC">
          <w:rPr>
            <w:noProof/>
            <w:sz w:val="20"/>
          </w:rPr>
          <w:t>2</w:t>
        </w:r>
        <w:r w:rsidRPr="00DF5ADC">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5A51" w14:textId="45B65E0F" w:rsidR="00DF5ADC" w:rsidRDefault="00DF5AD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EDFB" w14:textId="77777777" w:rsidR="00525310" w:rsidRDefault="00525310" w:rsidP="00564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B7AE97" w14:textId="77777777" w:rsidR="00525310" w:rsidRDefault="005253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B2D8" w14:textId="77777777" w:rsidR="00525310" w:rsidRPr="00121EF7" w:rsidRDefault="00525310" w:rsidP="00564F99">
    <w:pPr>
      <w:pStyle w:val="Footer"/>
      <w:framePr w:wrap="around" w:vAnchor="text" w:hAnchor="margin" w:xAlign="center" w:y="1"/>
      <w:rPr>
        <w:rStyle w:val="PageNumber"/>
        <w:sz w:val="20"/>
        <w:szCs w:val="20"/>
      </w:rPr>
    </w:pPr>
    <w:r w:rsidRPr="00121EF7">
      <w:rPr>
        <w:rStyle w:val="PageNumber"/>
        <w:sz w:val="20"/>
        <w:szCs w:val="20"/>
      </w:rPr>
      <w:fldChar w:fldCharType="begin"/>
    </w:r>
    <w:r w:rsidRPr="00121EF7">
      <w:rPr>
        <w:rStyle w:val="PageNumber"/>
        <w:sz w:val="20"/>
        <w:szCs w:val="20"/>
      </w:rPr>
      <w:instrText xml:space="preserve">PAGE  </w:instrText>
    </w:r>
    <w:r w:rsidRPr="00121EF7">
      <w:rPr>
        <w:rStyle w:val="PageNumber"/>
        <w:sz w:val="20"/>
        <w:szCs w:val="20"/>
      </w:rPr>
      <w:fldChar w:fldCharType="separate"/>
    </w:r>
    <w:r w:rsidR="00205C78" w:rsidRPr="00121EF7">
      <w:rPr>
        <w:rStyle w:val="PageNumber"/>
        <w:noProof/>
        <w:sz w:val="20"/>
        <w:szCs w:val="20"/>
      </w:rPr>
      <w:t>5</w:t>
    </w:r>
    <w:r w:rsidRPr="00121EF7">
      <w:rPr>
        <w:rStyle w:val="PageNumber"/>
        <w:sz w:val="20"/>
        <w:szCs w:val="20"/>
      </w:rPr>
      <w:fldChar w:fldCharType="end"/>
    </w:r>
  </w:p>
  <w:p w14:paraId="4A1FF856" w14:textId="77777777" w:rsidR="00525310" w:rsidRDefault="00525310" w:rsidP="00121E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5D05" w14:textId="77777777" w:rsidR="00EC4282" w:rsidRPr="00EC4282" w:rsidRDefault="00EC4282" w:rsidP="00EC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415E" w14:textId="77777777" w:rsidR="00A02786" w:rsidRDefault="00A02786">
      <w:r>
        <w:separator/>
      </w:r>
    </w:p>
  </w:footnote>
  <w:footnote w:type="continuationSeparator" w:id="0">
    <w:p w14:paraId="2A680895" w14:textId="77777777" w:rsidR="00A02786" w:rsidRDefault="00A02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2" w15:restartNumberingAfterBreak="0">
    <w:nsid w:val="FFFFFF88"/>
    <w:multiLevelType w:val="singleLevel"/>
    <w:tmpl w:val="8B4C67AC"/>
    <w:name w:val="PS Standard2"/>
    <w:lvl w:ilvl="0">
      <w:start w:val="1"/>
      <w:numFmt w:val="decimal"/>
      <w:pStyle w:val="ListNumber"/>
      <w:lvlText w:val="%1."/>
      <w:lvlJc w:val="left"/>
      <w:pPr>
        <w:tabs>
          <w:tab w:val="num" w:pos="1440"/>
        </w:tabs>
        <w:ind w:left="1440" w:hanging="720"/>
      </w:pPr>
      <w:rPr>
        <w:rFonts w:hint="default"/>
      </w:rPr>
    </w:lvl>
  </w:abstractNum>
  <w:abstractNum w:abstractNumId="3" w15:restartNumberingAfterBreak="0">
    <w:nsid w:val="00000006"/>
    <w:multiLevelType w:val="multilevel"/>
    <w:tmpl w:val="00000006"/>
    <w:lvl w:ilvl="0">
      <w:start w:val="7"/>
      <w:numFmt w:val="none"/>
      <w:suff w:val="nothing"/>
      <w:lvlText w:val="II"/>
      <w:lvlJc w:val="left"/>
      <w:pPr>
        <w:ind w:left="0" w:firstLine="1440"/>
      </w:pPr>
    </w:lvl>
    <w:lvl w:ilvl="1">
      <w:start w:val="1"/>
      <w:numFmt w:val="upperLetter"/>
      <w:suff w:val="nothing"/>
      <w:lvlText w:val="%2."/>
      <w:lvlJc w:val="left"/>
      <w:pPr>
        <w:ind w:left="0" w:firstLine="1440"/>
      </w:pPr>
    </w:lvl>
    <w:lvl w:ilvl="2">
      <w:start w:val="1"/>
      <w:numFmt w:val="none"/>
      <w:suff w:val="nothing"/>
      <w:lvlText w:val="II"/>
      <w:lvlJc w:val="left"/>
      <w:pPr>
        <w:ind w:left="0" w:firstLine="1440"/>
      </w:pPr>
    </w:lvl>
    <w:lvl w:ilvl="3">
      <w:start w:val="1"/>
      <w:numFmt w:val="none"/>
      <w:suff w:val="nothing"/>
      <w:lvlText w:val="II"/>
      <w:lvlJc w:val="left"/>
      <w:pPr>
        <w:ind w:left="0" w:firstLine="1440"/>
      </w:pPr>
    </w:lvl>
    <w:lvl w:ilvl="4">
      <w:start w:val="1"/>
      <w:numFmt w:val="none"/>
      <w:suff w:val="nothing"/>
      <w:lvlText w:val="II"/>
      <w:lvlJc w:val="left"/>
      <w:pPr>
        <w:ind w:left="0" w:firstLine="1440"/>
      </w:pPr>
    </w:lvl>
    <w:lvl w:ilvl="5">
      <w:start w:val="1"/>
      <w:numFmt w:val="none"/>
      <w:suff w:val="nothing"/>
      <w:lvlText w:val="II"/>
      <w:lvlJc w:val="left"/>
      <w:pPr>
        <w:ind w:left="0" w:firstLine="1440"/>
      </w:pPr>
    </w:lvl>
    <w:lvl w:ilvl="6">
      <w:start w:val="1"/>
      <w:numFmt w:val="none"/>
      <w:suff w:val="nothing"/>
      <w:lvlText w:val="II"/>
      <w:lvlJc w:val="left"/>
      <w:pPr>
        <w:ind w:left="0" w:firstLine="1440"/>
      </w:pPr>
    </w:lvl>
    <w:lvl w:ilvl="7">
      <w:start w:val="1"/>
      <w:numFmt w:val="none"/>
      <w:suff w:val="nothing"/>
      <w:lvlText w:val="II"/>
      <w:lvlJc w:val="left"/>
      <w:pPr>
        <w:ind w:left="0" w:firstLine="1440"/>
      </w:pPr>
    </w:lvl>
    <w:lvl w:ilvl="8">
      <w:start w:val="1"/>
      <w:numFmt w:val="lowerRoman"/>
      <w:suff w:val="nothing"/>
      <w:lvlText w:val="%9)"/>
      <w:lvlJc w:val="left"/>
      <w:pPr>
        <w:ind w:left="0" w:firstLine="1440"/>
      </w:pPr>
    </w:lvl>
  </w:abstractNum>
  <w:abstractNum w:abstractNumId="4" w15:restartNumberingAfterBreak="0">
    <w:nsid w:val="00973D6E"/>
    <w:multiLevelType w:val="hybridMultilevel"/>
    <w:tmpl w:val="36D88630"/>
    <w:lvl w:ilvl="0" w:tplc="C114A6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9991285"/>
    <w:multiLevelType w:val="hybridMultilevel"/>
    <w:tmpl w:val="85963C6C"/>
    <w:lvl w:ilvl="0" w:tplc="1292EAA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F2E3526"/>
    <w:multiLevelType w:val="hybridMultilevel"/>
    <w:tmpl w:val="F08CC7CA"/>
    <w:lvl w:ilvl="0" w:tplc="D70C94F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72E3320C"/>
    <w:multiLevelType w:val="hybridMultilevel"/>
    <w:tmpl w:val="04B299A8"/>
    <w:lvl w:ilvl="0" w:tplc="BD4ED3EE">
      <w:start w:val="4"/>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6"/>
  </w:num>
  <w:num w:numId="5">
    <w:abstractNumId w:val="2"/>
  </w:num>
  <w:num w:numId="6">
    <w:abstractNumId w:val="2"/>
    <w:lvlOverride w:ilvl="0">
      <w:startOverride w:val="1"/>
    </w:lvlOverride>
  </w:num>
  <w:num w:numId="7">
    <w:abstractNumId w:val="8"/>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2"/>
    <w:rsid w:val="00000FDD"/>
    <w:rsid w:val="0000213D"/>
    <w:rsid w:val="0002612D"/>
    <w:rsid w:val="00026FE3"/>
    <w:rsid w:val="00031E09"/>
    <w:rsid w:val="00035253"/>
    <w:rsid w:val="00050834"/>
    <w:rsid w:val="00053757"/>
    <w:rsid w:val="00054555"/>
    <w:rsid w:val="000549E2"/>
    <w:rsid w:val="00061865"/>
    <w:rsid w:val="00080354"/>
    <w:rsid w:val="0009175F"/>
    <w:rsid w:val="00093170"/>
    <w:rsid w:val="000B1206"/>
    <w:rsid w:val="000C2945"/>
    <w:rsid w:val="000F24DE"/>
    <w:rsid w:val="00112762"/>
    <w:rsid w:val="001148F3"/>
    <w:rsid w:val="00116914"/>
    <w:rsid w:val="00121EF7"/>
    <w:rsid w:val="00125EC7"/>
    <w:rsid w:val="00131CEE"/>
    <w:rsid w:val="00132A2C"/>
    <w:rsid w:val="00146506"/>
    <w:rsid w:val="001653F4"/>
    <w:rsid w:val="00167D9D"/>
    <w:rsid w:val="001B40DE"/>
    <w:rsid w:val="001C2D17"/>
    <w:rsid w:val="001E76AD"/>
    <w:rsid w:val="002042DA"/>
    <w:rsid w:val="00205C78"/>
    <w:rsid w:val="00214C7A"/>
    <w:rsid w:val="00243D71"/>
    <w:rsid w:val="002536DC"/>
    <w:rsid w:val="00281809"/>
    <w:rsid w:val="00291AB2"/>
    <w:rsid w:val="00294178"/>
    <w:rsid w:val="002B0F2A"/>
    <w:rsid w:val="002B732B"/>
    <w:rsid w:val="002C6437"/>
    <w:rsid w:val="002E1C6F"/>
    <w:rsid w:val="002F0CEF"/>
    <w:rsid w:val="002F350A"/>
    <w:rsid w:val="00302B6E"/>
    <w:rsid w:val="00306BC0"/>
    <w:rsid w:val="0032735D"/>
    <w:rsid w:val="0033382D"/>
    <w:rsid w:val="003522B9"/>
    <w:rsid w:val="00370502"/>
    <w:rsid w:val="003732B0"/>
    <w:rsid w:val="003B3341"/>
    <w:rsid w:val="003C2B33"/>
    <w:rsid w:val="003D1269"/>
    <w:rsid w:val="003D2106"/>
    <w:rsid w:val="003E2485"/>
    <w:rsid w:val="003E299F"/>
    <w:rsid w:val="003E4B3A"/>
    <w:rsid w:val="003E5F96"/>
    <w:rsid w:val="003F26EF"/>
    <w:rsid w:val="003F3D99"/>
    <w:rsid w:val="003F7360"/>
    <w:rsid w:val="004011C6"/>
    <w:rsid w:val="00414844"/>
    <w:rsid w:val="0044427B"/>
    <w:rsid w:val="00451AD4"/>
    <w:rsid w:val="004665BF"/>
    <w:rsid w:val="00470051"/>
    <w:rsid w:val="0048107B"/>
    <w:rsid w:val="00482484"/>
    <w:rsid w:val="00484C05"/>
    <w:rsid w:val="004A3B4D"/>
    <w:rsid w:val="004A5563"/>
    <w:rsid w:val="004B4219"/>
    <w:rsid w:val="004B47CD"/>
    <w:rsid w:val="004C51AA"/>
    <w:rsid w:val="004C5825"/>
    <w:rsid w:val="004D6945"/>
    <w:rsid w:val="004F2DD3"/>
    <w:rsid w:val="00503677"/>
    <w:rsid w:val="00517E57"/>
    <w:rsid w:val="00520CDE"/>
    <w:rsid w:val="00525310"/>
    <w:rsid w:val="0052731E"/>
    <w:rsid w:val="00540C40"/>
    <w:rsid w:val="005417D4"/>
    <w:rsid w:val="00547421"/>
    <w:rsid w:val="005551E3"/>
    <w:rsid w:val="0055592C"/>
    <w:rsid w:val="005605EF"/>
    <w:rsid w:val="00561063"/>
    <w:rsid w:val="00564F99"/>
    <w:rsid w:val="005666E9"/>
    <w:rsid w:val="005732F0"/>
    <w:rsid w:val="00591663"/>
    <w:rsid w:val="005A03AC"/>
    <w:rsid w:val="005A1911"/>
    <w:rsid w:val="005A1A7B"/>
    <w:rsid w:val="005A359D"/>
    <w:rsid w:val="005A4FB9"/>
    <w:rsid w:val="005C5B38"/>
    <w:rsid w:val="005E2030"/>
    <w:rsid w:val="005E42E2"/>
    <w:rsid w:val="005E7552"/>
    <w:rsid w:val="005F7235"/>
    <w:rsid w:val="0060033F"/>
    <w:rsid w:val="00601602"/>
    <w:rsid w:val="00603FD5"/>
    <w:rsid w:val="0060587E"/>
    <w:rsid w:val="00613F8E"/>
    <w:rsid w:val="006215C1"/>
    <w:rsid w:val="006528A6"/>
    <w:rsid w:val="0068279C"/>
    <w:rsid w:val="0069637B"/>
    <w:rsid w:val="006A080C"/>
    <w:rsid w:val="006A26E4"/>
    <w:rsid w:val="006B1678"/>
    <w:rsid w:val="006C155F"/>
    <w:rsid w:val="006C5B30"/>
    <w:rsid w:val="006D65B9"/>
    <w:rsid w:val="006E2273"/>
    <w:rsid w:val="006F1461"/>
    <w:rsid w:val="006F55F8"/>
    <w:rsid w:val="00702B1F"/>
    <w:rsid w:val="00707A7E"/>
    <w:rsid w:val="00713B6D"/>
    <w:rsid w:val="007179C6"/>
    <w:rsid w:val="0072286B"/>
    <w:rsid w:val="00725837"/>
    <w:rsid w:val="007377FE"/>
    <w:rsid w:val="007472A4"/>
    <w:rsid w:val="00756107"/>
    <w:rsid w:val="00761700"/>
    <w:rsid w:val="0077699D"/>
    <w:rsid w:val="007842DF"/>
    <w:rsid w:val="00790A66"/>
    <w:rsid w:val="007955AD"/>
    <w:rsid w:val="007A0E0D"/>
    <w:rsid w:val="007A3CB6"/>
    <w:rsid w:val="007A44D1"/>
    <w:rsid w:val="007A473A"/>
    <w:rsid w:val="007A775A"/>
    <w:rsid w:val="007D59A1"/>
    <w:rsid w:val="007F15A9"/>
    <w:rsid w:val="007F3BD1"/>
    <w:rsid w:val="00802E27"/>
    <w:rsid w:val="00807647"/>
    <w:rsid w:val="00810364"/>
    <w:rsid w:val="00810785"/>
    <w:rsid w:val="00811AAD"/>
    <w:rsid w:val="008167E7"/>
    <w:rsid w:val="008370AF"/>
    <w:rsid w:val="00846C8E"/>
    <w:rsid w:val="008630F7"/>
    <w:rsid w:val="008660B9"/>
    <w:rsid w:val="00886EE2"/>
    <w:rsid w:val="00887214"/>
    <w:rsid w:val="00891C48"/>
    <w:rsid w:val="00891C4C"/>
    <w:rsid w:val="008B6A97"/>
    <w:rsid w:val="008D2DCE"/>
    <w:rsid w:val="008D571C"/>
    <w:rsid w:val="008D582A"/>
    <w:rsid w:val="008D734E"/>
    <w:rsid w:val="008E47FE"/>
    <w:rsid w:val="008F3504"/>
    <w:rsid w:val="008F76F4"/>
    <w:rsid w:val="00902012"/>
    <w:rsid w:val="009155CD"/>
    <w:rsid w:val="00932BD3"/>
    <w:rsid w:val="009429B5"/>
    <w:rsid w:val="009547DA"/>
    <w:rsid w:val="00954928"/>
    <w:rsid w:val="009734DC"/>
    <w:rsid w:val="0097502E"/>
    <w:rsid w:val="0097593D"/>
    <w:rsid w:val="00976176"/>
    <w:rsid w:val="00981E57"/>
    <w:rsid w:val="00985A4F"/>
    <w:rsid w:val="00990AB0"/>
    <w:rsid w:val="00994DB2"/>
    <w:rsid w:val="0099611B"/>
    <w:rsid w:val="00996EC1"/>
    <w:rsid w:val="00997E1B"/>
    <w:rsid w:val="009B2933"/>
    <w:rsid w:val="009B3792"/>
    <w:rsid w:val="009B4CC5"/>
    <w:rsid w:val="009E13F7"/>
    <w:rsid w:val="009E4A92"/>
    <w:rsid w:val="00A004D4"/>
    <w:rsid w:val="00A0107A"/>
    <w:rsid w:val="00A02786"/>
    <w:rsid w:val="00A027B6"/>
    <w:rsid w:val="00A02D2B"/>
    <w:rsid w:val="00A2302D"/>
    <w:rsid w:val="00A23736"/>
    <w:rsid w:val="00A26254"/>
    <w:rsid w:val="00A51312"/>
    <w:rsid w:val="00A55EBE"/>
    <w:rsid w:val="00A603B9"/>
    <w:rsid w:val="00A62395"/>
    <w:rsid w:val="00A6376F"/>
    <w:rsid w:val="00A64DF4"/>
    <w:rsid w:val="00A67E9F"/>
    <w:rsid w:val="00A72E76"/>
    <w:rsid w:val="00A7360A"/>
    <w:rsid w:val="00AA3081"/>
    <w:rsid w:val="00AA374E"/>
    <w:rsid w:val="00AA57BD"/>
    <w:rsid w:val="00AA6A98"/>
    <w:rsid w:val="00AB5584"/>
    <w:rsid w:val="00AC332B"/>
    <w:rsid w:val="00AD2BF8"/>
    <w:rsid w:val="00AD3CA4"/>
    <w:rsid w:val="00AF7CF3"/>
    <w:rsid w:val="00B11623"/>
    <w:rsid w:val="00B31865"/>
    <w:rsid w:val="00B40C6E"/>
    <w:rsid w:val="00B40D5C"/>
    <w:rsid w:val="00B4791C"/>
    <w:rsid w:val="00B5428F"/>
    <w:rsid w:val="00B71FB0"/>
    <w:rsid w:val="00B77B72"/>
    <w:rsid w:val="00B84762"/>
    <w:rsid w:val="00BA4A9C"/>
    <w:rsid w:val="00BC0D66"/>
    <w:rsid w:val="00BC6261"/>
    <w:rsid w:val="00BD0595"/>
    <w:rsid w:val="00BE3712"/>
    <w:rsid w:val="00BF4E64"/>
    <w:rsid w:val="00C05516"/>
    <w:rsid w:val="00C05BAB"/>
    <w:rsid w:val="00C24F0D"/>
    <w:rsid w:val="00C45E73"/>
    <w:rsid w:val="00C51935"/>
    <w:rsid w:val="00C52D7C"/>
    <w:rsid w:val="00C53AEA"/>
    <w:rsid w:val="00C55DFF"/>
    <w:rsid w:val="00C600C2"/>
    <w:rsid w:val="00C74544"/>
    <w:rsid w:val="00C95DF6"/>
    <w:rsid w:val="00C96C36"/>
    <w:rsid w:val="00CA21B7"/>
    <w:rsid w:val="00CB6667"/>
    <w:rsid w:val="00CC445D"/>
    <w:rsid w:val="00CE0A6A"/>
    <w:rsid w:val="00CE3864"/>
    <w:rsid w:val="00CE6651"/>
    <w:rsid w:val="00CF12C0"/>
    <w:rsid w:val="00CF293D"/>
    <w:rsid w:val="00D0081D"/>
    <w:rsid w:val="00D106A8"/>
    <w:rsid w:val="00D13880"/>
    <w:rsid w:val="00D20F47"/>
    <w:rsid w:val="00D23480"/>
    <w:rsid w:val="00D263B1"/>
    <w:rsid w:val="00D27331"/>
    <w:rsid w:val="00D45801"/>
    <w:rsid w:val="00D53989"/>
    <w:rsid w:val="00D72472"/>
    <w:rsid w:val="00D7285D"/>
    <w:rsid w:val="00D76B87"/>
    <w:rsid w:val="00D83BF6"/>
    <w:rsid w:val="00D90471"/>
    <w:rsid w:val="00D96DCB"/>
    <w:rsid w:val="00DA72F7"/>
    <w:rsid w:val="00DB0087"/>
    <w:rsid w:val="00DB173D"/>
    <w:rsid w:val="00DD348A"/>
    <w:rsid w:val="00DF5ADC"/>
    <w:rsid w:val="00E0214A"/>
    <w:rsid w:val="00E0564B"/>
    <w:rsid w:val="00E1455A"/>
    <w:rsid w:val="00E42B64"/>
    <w:rsid w:val="00E62E25"/>
    <w:rsid w:val="00E703EC"/>
    <w:rsid w:val="00E81A75"/>
    <w:rsid w:val="00E830EB"/>
    <w:rsid w:val="00E86D7E"/>
    <w:rsid w:val="00E90227"/>
    <w:rsid w:val="00E905CE"/>
    <w:rsid w:val="00E90AF1"/>
    <w:rsid w:val="00EB4A77"/>
    <w:rsid w:val="00EB7F6E"/>
    <w:rsid w:val="00EC2C25"/>
    <w:rsid w:val="00EC4282"/>
    <w:rsid w:val="00EC546F"/>
    <w:rsid w:val="00EC713C"/>
    <w:rsid w:val="00ED7AF5"/>
    <w:rsid w:val="00EE7D9E"/>
    <w:rsid w:val="00EF4CC8"/>
    <w:rsid w:val="00EF6A5E"/>
    <w:rsid w:val="00F002AC"/>
    <w:rsid w:val="00F02D6E"/>
    <w:rsid w:val="00F06E13"/>
    <w:rsid w:val="00F12C09"/>
    <w:rsid w:val="00F14E47"/>
    <w:rsid w:val="00F21BF3"/>
    <w:rsid w:val="00F272A6"/>
    <w:rsid w:val="00F32D0B"/>
    <w:rsid w:val="00F44724"/>
    <w:rsid w:val="00F45196"/>
    <w:rsid w:val="00F470F7"/>
    <w:rsid w:val="00F67790"/>
    <w:rsid w:val="00F77E5B"/>
    <w:rsid w:val="00F85F4E"/>
    <w:rsid w:val="00FA0811"/>
    <w:rsid w:val="00FA39BC"/>
    <w:rsid w:val="00FA6DE8"/>
    <w:rsid w:val="00FC0565"/>
    <w:rsid w:val="00FF0467"/>
    <w:rsid w:val="00FF62C4"/>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8130AD"/>
  <w15:docId w15:val="{28DA02FB-B379-4891-A51F-B1143028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BalloonText">
    <w:name w:val="Balloon Text"/>
    <w:basedOn w:val="Normal"/>
    <w:link w:val="BalloonTextChar"/>
    <w:rsid w:val="008167E7"/>
    <w:rPr>
      <w:rFonts w:ascii="Tahoma" w:hAnsi="Tahoma" w:cs="Tahoma"/>
      <w:sz w:val="16"/>
      <w:szCs w:val="16"/>
    </w:rPr>
  </w:style>
  <w:style w:type="character" w:customStyle="1" w:styleId="BalloonTextChar">
    <w:name w:val="Balloon Text Char"/>
    <w:link w:val="BalloonText"/>
    <w:rsid w:val="008167E7"/>
    <w:rPr>
      <w:rFonts w:ascii="Tahoma" w:hAnsi="Tahoma" w:cs="Tahoma"/>
      <w:sz w:val="16"/>
      <w:szCs w:val="16"/>
    </w:rPr>
  </w:style>
  <w:style w:type="paragraph" w:customStyle="1" w:styleId="Level2">
    <w:name w:val="Level 2"/>
    <w:basedOn w:val="Normal"/>
    <w:rsid w:val="00050834"/>
    <w:pPr>
      <w:widowControl w:val="0"/>
    </w:pPr>
    <w:rPr>
      <w:szCs w:val="20"/>
    </w:rPr>
  </w:style>
  <w:style w:type="paragraph" w:styleId="ListParagraph">
    <w:name w:val="List Paragraph"/>
    <w:basedOn w:val="Normal"/>
    <w:uiPriority w:val="34"/>
    <w:qFormat/>
    <w:rsid w:val="00050834"/>
    <w:pPr>
      <w:ind w:left="720"/>
      <w:contextualSpacing/>
    </w:pPr>
  </w:style>
  <w:style w:type="character" w:customStyle="1" w:styleId="FooterChar">
    <w:name w:val="Footer Char"/>
    <w:basedOn w:val="DefaultParagraphFont"/>
    <w:link w:val="Footer"/>
    <w:uiPriority w:val="99"/>
    <w:rsid w:val="00D45801"/>
    <w:rPr>
      <w:sz w:val="24"/>
      <w:szCs w:val="24"/>
    </w:rPr>
  </w:style>
  <w:style w:type="paragraph" w:styleId="Header">
    <w:name w:val="header"/>
    <w:basedOn w:val="Normal"/>
    <w:link w:val="HeaderChar"/>
    <w:unhideWhenUsed/>
    <w:rsid w:val="00121EF7"/>
    <w:pPr>
      <w:tabs>
        <w:tab w:val="center" w:pos="4680"/>
        <w:tab w:val="right" w:pos="9360"/>
      </w:tabs>
    </w:pPr>
  </w:style>
  <w:style w:type="character" w:customStyle="1" w:styleId="HeaderChar">
    <w:name w:val="Header Char"/>
    <w:basedOn w:val="DefaultParagraphFont"/>
    <w:link w:val="Header"/>
    <w:rsid w:val="00121EF7"/>
    <w:rPr>
      <w:sz w:val="24"/>
      <w:szCs w:val="24"/>
    </w:rPr>
  </w:style>
  <w:style w:type="paragraph" w:styleId="BodyText2">
    <w:name w:val="Body Text 2"/>
    <w:basedOn w:val="Normal"/>
    <w:link w:val="BodyText2Char"/>
    <w:qFormat/>
    <w:rsid w:val="0069637B"/>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rsid w:val="0069637B"/>
    <w:rPr>
      <w:rFonts w:eastAsiaTheme="minorHAnsi" w:cstheme="minorBidi"/>
      <w:sz w:val="24"/>
      <w:szCs w:val="24"/>
    </w:rPr>
  </w:style>
  <w:style w:type="paragraph" w:styleId="ListNumber">
    <w:name w:val="List Number"/>
    <w:basedOn w:val="Normal"/>
    <w:qFormat/>
    <w:rsid w:val="0069637B"/>
    <w:pPr>
      <w:numPr>
        <w:numId w:val="5"/>
      </w:numPr>
      <w:tabs>
        <w:tab w:val="clear" w:pos="1440"/>
      </w:tabs>
      <w:spacing w:after="240"/>
      <w:ind w:left="0" w:firstLine="0"/>
      <w:jc w:val="both"/>
    </w:pPr>
    <w:rPr>
      <w:rFonts w:eastAsiaTheme="minorHAnsi" w:cstheme="minorBidi"/>
    </w:rPr>
  </w:style>
  <w:style w:type="paragraph" w:styleId="BodyText">
    <w:name w:val="Body Text"/>
    <w:basedOn w:val="Normal"/>
    <w:link w:val="BodyTextChar"/>
    <w:semiHidden/>
    <w:unhideWhenUsed/>
    <w:rsid w:val="0069637B"/>
    <w:pPr>
      <w:spacing w:after="120"/>
    </w:pPr>
  </w:style>
  <w:style w:type="character" w:customStyle="1" w:styleId="BodyTextChar">
    <w:name w:val="Body Text Char"/>
    <w:basedOn w:val="DefaultParagraphFont"/>
    <w:link w:val="BodyText"/>
    <w:semiHidden/>
    <w:rsid w:val="0069637B"/>
    <w:rPr>
      <w:sz w:val="24"/>
      <w:szCs w:val="24"/>
    </w:rPr>
  </w:style>
  <w:style w:type="paragraph" w:customStyle="1" w:styleId="PSNormal">
    <w:name w:val="PSNormal"/>
    <w:basedOn w:val="Normal"/>
    <w:uiPriority w:val="1"/>
    <w:qFormat/>
    <w:rsid w:val="0069637B"/>
    <w:pPr>
      <w:jc w:val="both"/>
    </w:pPr>
    <w:rPr>
      <w:rFonts w:eastAsiaTheme="minorHAnsi" w:cstheme="minorBidi"/>
    </w:rPr>
  </w:style>
  <w:style w:type="paragraph" w:styleId="FootnoteText">
    <w:name w:val="footnote text"/>
    <w:basedOn w:val="Normal"/>
    <w:link w:val="FootnoteTextChar"/>
    <w:semiHidden/>
    <w:unhideWhenUsed/>
    <w:rsid w:val="008660B9"/>
    <w:rPr>
      <w:sz w:val="20"/>
      <w:szCs w:val="20"/>
    </w:rPr>
  </w:style>
  <w:style w:type="character" w:customStyle="1" w:styleId="FootnoteTextChar">
    <w:name w:val="Footnote Text Char"/>
    <w:basedOn w:val="DefaultParagraphFont"/>
    <w:link w:val="FootnoteText"/>
    <w:semiHidden/>
    <w:rsid w:val="008660B9"/>
  </w:style>
  <w:style w:type="character" w:styleId="FootnoteReference">
    <w:name w:val="footnote reference"/>
    <w:basedOn w:val="DefaultParagraphFont"/>
    <w:semiHidden/>
    <w:unhideWhenUsed/>
    <w:rsid w:val="008660B9"/>
    <w:rPr>
      <w:vertAlign w:val="superscript"/>
    </w:rPr>
  </w:style>
  <w:style w:type="paragraph" w:styleId="ListBullet3">
    <w:name w:val="List Bullet 3"/>
    <w:aliases w:val="b3"/>
    <w:basedOn w:val="Normal"/>
    <w:rsid w:val="008D582A"/>
    <w:pPr>
      <w:numPr>
        <w:numId w:val="10"/>
      </w:numPr>
      <w:spacing w:after="2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669657">
      <w:bodyDiv w:val="1"/>
      <w:marLeft w:val="0"/>
      <w:marRight w:val="0"/>
      <w:marTop w:val="0"/>
      <w:marBottom w:val="0"/>
      <w:divBdr>
        <w:top w:val="none" w:sz="0" w:space="0" w:color="auto"/>
        <w:left w:val="none" w:sz="0" w:space="0" w:color="auto"/>
        <w:bottom w:val="none" w:sz="0" w:space="0" w:color="auto"/>
        <w:right w:val="none" w:sz="0" w:space="0" w:color="auto"/>
      </w:divBdr>
    </w:div>
    <w:div w:id="20528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06A5-850B-4CD8-933A-B61BDC01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2997</Words>
  <Characters>17587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mnemec</dc:creator>
  <cp:lastModifiedBy>Miskanic, Nicholas</cp:lastModifiedBy>
  <cp:revision>3</cp:revision>
  <cp:lastPrinted>2019-05-30T12:39:00Z</cp:lastPrinted>
  <dcterms:created xsi:type="dcterms:W3CDTF">2021-12-15T14:35:00Z</dcterms:created>
  <dcterms:modified xsi:type="dcterms:W3CDTF">2021-12-15T14:36:00Z</dcterms:modified>
</cp:coreProperties>
</file>