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FF72" w14:textId="344F1162" w:rsidR="00FB1559" w:rsidRPr="0094251F" w:rsidRDefault="00FB1559" w:rsidP="0094251F">
      <w:pPr>
        <w:spacing w:after="0" w:line="240" w:lineRule="auto"/>
        <w:jc w:val="center"/>
        <w:rPr>
          <w:rFonts w:ascii="Times New Roman" w:hAnsi="Times New Roman" w:cs="Times New Roman"/>
          <w:b/>
          <w:bCs/>
          <w:sz w:val="26"/>
          <w:szCs w:val="26"/>
        </w:rPr>
      </w:pPr>
      <w:r w:rsidRPr="0094251F">
        <w:rPr>
          <w:rFonts w:ascii="Times New Roman" w:hAnsi="Times New Roman" w:cs="Times New Roman"/>
          <w:b/>
          <w:bCs/>
          <w:sz w:val="26"/>
          <w:szCs w:val="26"/>
        </w:rPr>
        <w:t>PENNSYLVANIA</w:t>
      </w:r>
    </w:p>
    <w:p w14:paraId="63B19194" w14:textId="77777777" w:rsidR="00FB1559" w:rsidRPr="0094251F" w:rsidRDefault="00FB1559" w:rsidP="00C47563">
      <w:pPr>
        <w:tabs>
          <w:tab w:val="center" w:pos="4680"/>
        </w:tabs>
        <w:suppressAutoHyphens/>
        <w:spacing w:after="0" w:line="240" w:lineRule="auto"/>
        <w:contextualSpacing/>
        <w:jc w:val="center"/>
        <w:rPr>
          <w:rFonts w:ascii="Times New Roman" w:eastAsia="Times New Roman" w:hAnsi="Times New Roman" w:cs="Times New Roman"/>
          <w:b/>
          <w:bCs/>
          <w:sz w:val="26"/>
          <w:szCs w:val="26"/>
        </w:rPr>
      </w:pPr>
      <w:r w:rsidRPr="0094251F">
        <w:rPr>
          <w:rFonts w:ascii="Times New Roman" w:eastAsia="Times New Roman" w:hAnsi="Times New Roman" w:cs="Times New Roman"/>
          <w:b/>
          <w:bCs/>
          <w:sz w:val="26"/>
          <w:szCs w:val="26"/>
        </w:rPr>
        <w:t>PUBLIC UTILITY COMMISSION</w:t>
      </w:r>
    </w:p>
    <w:p w14:paraId="2E2ABA73" w14:textId="1048240A" w:rsidR="00FB1559" w:rsidRPr="00C47563" w:rsidRDefault="00FB1559" w:rsidP="00C47563">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C47563">
        <w:rPr>
          <w:rFonts w:ascii="Times New Roman" w:eastAsia="Times New Roman" w:hAnsi="Times New Roman" w:cs="Times New Roman"/>
          <w:b/>
          <w:sz w:val="26"/>
          <w:szCs w:val="26"/>
        </w:rPr>
        <w:t>Harrisburg, PA  171</w:t>
      </w:r>
      <w:r w:rsidR="002C5C38" w:rsidRPr="00C47563">
        <w:rPr>
          <w:rFonts w:ascii="Times New Roman" w:eastAsia="Times New Roman" w:hAnsi="Times New Roman" w:cs="Times New Roman"/>
          <w:b/>
          <w:sz w:val="26"/>
          <w:szCs w:val="26"/>
        </w:rPr>
        <w:t>20</w:t>
      </w:r>
    </w:p>
    <w:p w14:paraId="383FA5E5" w14:textId="23C5B2B7" w:rsidR="00FB1559" w:rsidRPr="00C47563" w:rsidRDefault="00FB1559" w:rsidP="00C47563">
      <w:pPr>
        <w:tabs>
          <w:tab w:val="left" w:pos="-720"/>
        </w:tabs>
        <w:suppressAutoHyphens/>
        <w:spacing w:after="0" w:line="240" w:lineRule="auto"/>
        <w:contextualSpacing/>
        <w:rPr>
          <w:rFonts w:ascii="Times New Roman" w:eastAsia="Times New Roman" w:hAnsi="Times New Roman" w:cs="Times New Roman"/>
          <w:sz w:val="26"/>
          <w:szCs w:val="26"/>
        </w:rPr>
      </w:pPr>
    </w:p>
    <w:p w14:paraId="7265EE12" w14:textId="77777777" w:rsidR="00BA7718" w:rsidRPr="00C47563" w:rsidRDefault="00BA7718" w:rsidP="00C47563">
      <w:pPr>
        <w:tabs>
          <w:tab w:val="left" w:pos="-720"/>
        </w:tabs>
        <w:suppressAutoHyphens/>
        <w:spacing w:after="0" w:line="240" w:lineRule="auto"/>
        <w:contextualSpacing/>
        <w:rPr>
          <w:rFonts w:ascii="Times New Roman" w:eastAsia="Times New Roman" w:hAnsi="Times New Roman" w:cs="Times New Roman"/>
          <w:sz w:val="26"/>
          <w:szCs w:val="26"/>
        </w:rPr>
      </w:pPr>
    </w:p>
    <w:p w14:paraId="7CCC0D0B" w14:textId="7A75D756" w:rsidR="00FB1559" w:rsidRPr="00C47563" w:rsidRDefault="00FB1559" w:rsidP="00C47563">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Public Meeting held </w:t>
      </w:r>
      <w:r w:rsidR="00EF26A8" w:rsidRPr="00C47563">
        <w:rPr>
          <w:rFonts w:ascii="Times New Roman" w:eastAsia="Times New Roman" w:hAnsi="Times New Roman" w:cs="Times New Roman"/>
          <w:sz w:val="26"/>
          <w:szCs w:val="26"/>
        </w:rPr>
        <w:t>December 16</w:t>
      </w:r>
      <w:r w:rsidRPr="00C47563">
        <w:rPr>
          <w:rFonts w:ascii="Times New Roman" w:eastAsia="Times New Roman" w:hAnsi="Times New Roman" w:cs="Times New Roman"/>
          <w:sz w:val="26"/>
          <w:szCs w:val="26"/>
        </w:rPr>
        <w:t>, 20</w:t>
      </w:r>
      <w:r w:rsidR="00A56FA6" w:rsidRPr="00C47563">
        <w:rPr>
          <w:rFonts w:ascii="Times New Roman" w:eastAsia="Times New Roman" w:hAnsi="Times New Roman" w:cs="Times New Roman"/>
          <w:sz w:val="26"/>
          <w:szCs w:val="26"/>
        </w:rPr>
        <w:t>21</w:t>
      </w:r>
    </w:p>
    <w:p w14:paraId="3B1D4A72" w14:textId="4B6B2658" w:rsidR="00FB1559" w:rsidRPr="00C47563" w:rsidRDefault="00FB1559" w:rsidP="00C47563">
      <w:pPr>
        <w:tabs>
          <w:tab w:val="left" w:pos="-720"/>
        </w:tabs>
        <w:suppressAutoHyphens/>
        <w:spacing w:after="0" w:line="240" w:lineRule="auto"/>
        <w:contextualSpacing/>
        <w:rPr>
          <w:rFonts w:ascii="Times New Roman" w:eastAsia="Times New Roman" w:hAnsi="Times New Roman" w:cs="Times New Roman"/>
          <w:sz w:val="26"/>
          <w:szCs w:val="26"/>
        </w:rPr>
      </w:pPr>
    </w:p>
    <w:p w14:paraId="68AAD6E8" w14:textId="77777777" w:rsidR="00BA7718" w:rsidRPr="00C47563" w:rsidRDefault="00BA7718" w:rsidP="00C47563">
      <w:pPr>
        <w:tabs>
          <w:tab w:val="left" w:pos="-720"/>
        </w:tabs>
        <w:suppressAutoHyphens/>
        <w:spacing w:after="0" w:line="240" w:lineRule="auto"/>
        <w:contextualSpacing/>
        <w:rPr>
          <w:rFonts w:ascii="Times New Roman" w:eastAsia="Times New Roman" w:hAnsi="Times New Roman" w:cs="Times New Roman"/>
          <w:sz w:val="26"/>
          <w:szCs w:val="26"/>
        </w:rPr>
      </w:pPr>
    </w:p>
    <w:p w14:paraId="6DBDBD2B" w14:textId="77777777" w:rsidR="00FB1559" w:rsidRPr="00C47563" w:rsidRDefault="00FB1559" w:rsidP="00C47563">
      <w:pPr>
        <w:tabs>
          <w:tab w:val="left" w:pos="-720"/>
        </w:tabs>
        <w:suppressAutoHyphens/>
        <w:spacing w:after="0" w:line="24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Commissioners Present:</w:t>
      </w:r>
    </w:p>
    <w:p w14:paraId="230F1EF2" w14:textId="77777777" w:rsidR="00FB1559" w:rsidRPr="00C47563" w:rsidRDefault="00FB1559" w:rsidP="00C47563">
      <w:pPr>
        <w:tabs>
          <w:tab w:val="left" w:pos="-720"/>
        </w:tabs>
        <w:suppressAutoHyphens/>
        <w:spacing w:after="0" w:line="240" w:lineRule="auto"/>
        <w:contextualSpacing/>
        <w:rPr>
          <w:rFonts w:ascii="Times New Roman" w:eastAsia="Times New Roman" w:hAnsi="Times New Roman" w:cs="Times New Roman"/>
          <w:sz w:val="26"/>
          <w:szCs w:val="26"/>
        </w:rPr>
      </w:pPr>
    </w:p>
    <w:p w14:paraId="081E782A" w14:textId="09C8F19C" w:rsidR="004F30C6" w:rsidRPr="00C47563" w:rsidRDefault="004F30C6" w:rsidP="00C47563">
      <w:pPr>
        <w:spacing w:after="0" w:line="240" w:lineRule="auto"/>
        <w:ind w:firstLine="720"/>
        <w:rPr>
          <w:rFonts w:ascii="Times New Roman" w:hAnsi="Times New Roman" w:cs="Times New Roman"/>
          <w:sz w:val="26"/>
          <w:szCs w:val="26"/>
        </w:rPr>
      </w:pPr>
      <w:r w:rsidRPr="00C47563">
        <w:rPr>
          <w:rFonts w:ascii="Times New Roman" w:hAnsi="Times New Roman" w:cs="Times New Roman"/>
          <w:sz w:val="26"/>
          <w:szCs w:val="26"/>
        </w:rPr>
        <w:t xml:space="preserve">Gladys Brown Dutrieuille, Chairman </w:t>
      </w:r>
    </w:p>
    <w:p w14:paraId="13F48714" w14:textId="09F7D8E8" w:rsidR="004F30C6" w:rsidRPr="00C47563" w:rsidRDefault="004F30C6" w:rsidP="00C47563">
      <w:pPr>
        <w:spacing w:after="0" w:line="240" w:lineRule="auto"/>
        <w:ind w:firstLine="720"/>
        <w:rPr>
          <w:rFonts w:ascii="Times New Roman" w:hAnsi="Times New Roman" w:cs="Times New Roman"/>
          <w:sz w:val="26"/>
          <w:szCs w:val="26"/>
        </w:rPr>
      </w:pPr>
      <w:r w:rsidRPr="00C47563">
        <w:rPr>
          <w:rFonts w:ascii="Times New Roman" w:hAnsi="Times New Roman" w:cs="Times New Roman"/>
          <w:sz w:val="26"/>
          <w:szCs w:val="26"/>
        </w:rPr>
        <w:t>John F. Coleman, Jr.</w:t>
      </w:r>
      <w:r w:rsidR="002C5C38" w:rsidRPr="00C47563">
        <w:rPr>
          <w:rFonts w:ascii="Times New Roman" w:hAnsi="Times New Roman" w:cs="Times New Roman"/>
          <w:sz w:val="26"/>
          <w:szCs w:val="26"/>
        </w:rPr>
        <w:t>, Vice Chairman</w:t>
      </w:r>
    </w:p>
    <w:p w14:paraId="26EEB700" w14:textId="77777777" w:rsidR="004F30C6" w:rsidRPr="00C47563" w:rsidRDefault="004F30C6" w:rsidP="00C47563">
      <w:pPr>
        <w:spacing w:after="0" w:line="240" w:lineRule="auto"/>
        <w:ind w:firstLine="720"/>
        <w:rPr>
          <w:rFonts w:ascii="Times New Roman" w:hAnsi="Times New Roman" w:cs="Times New Roman"/>
          <w:sz w:val="26"/>
          <w:szCs w:val="26"/>
        </w:rPr>
      </w:pPr>
      <w:r w:rsidRPr="00C47563">
        <w:rPr>
          <w:rFonts w:ascii="Times New Roman" w:hAnsi="Times New Roman" w:cs="Times New Roman"/>
          <w:sz w:val="26"/>
          <w:szCs w:val="26"/>
        </w:rPr>
        <w:t>Ralph V. Yanora</w:t>
      </w:r>
    </w:p>
    <w:p w14:paraId="7919A0B3" w14:textId="77777777" w:rsidR="007075F4" w:rsidRDefault="007075F4" w:rsidP="00C47563">
      <w:pPr>
        <w:tabs>
          <w:tab w:val="left" w:pos="7200"/>
        </w:tabs>
        <w:spacing w:after="0" w:line="276" w:lineRule="exact"/>
        <w:textAlignment w:val="baseline"/>
        <w:rPr>
          <w:rFonts w:ascii="Times New Roman" w:eastAsia="Times New Roman" w:hAnsi="Times New Roman" w:cs="Times New Roman"/>
          <w:color w:val="000000"/>
          <w:sz w:val="26"/>
          <w:szCs w:val="26"/>
        </w:rPr>
      </w:pPr>
    </w:p>
    <w:p w14:paraId="43266448" w14:textId="77777777" w:rsidR="007075F4" w:rsidRDefault="007075F4" w:rsidP="00C47563">
      <w:pPr>
        <w:tabs>
          <w:tab w:val="left" w:pos="7200"/>
        </w:tabs>
        <w:spacing w:after="0" w:line="276" w:lineRule="exact"/>
        <w:textAlignment w:val="baseline"/>
        <w:rPr>
          <w:rFonts w:ascii="Times New Roman" w:eastAsia="Times New Roman" w:hAnsi="Times New Roman" w:cs="Times New Roman"/>
          <w:color w:val="000000"/>
          <w:sz w:val="26"/>
          <w:szCs w:val="26"/>
        </w:rPr>
      </w:pPr>
    </w:p>
    <w:p w14:paraId="336BBAD6" w14:textId="6736FA1F" w:rsidR="009A0428" w:rsidRPr="00C47563" w:rsidRDefault="009A0428" w:rsidP="00C47563">
      <w:pPr>
        <w:tabs>
          <w:tab w:val="left" w:pos="7200"/>
        </w:tabs>
        <w:spacing w:after="0" w:line="276"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Pennsylvania Public Utility Commission</w:t>
      </w:r>
      <w:r w:rsidRPr="00C47563">
        <w:rPr>
          <w:rFonts w:ascii="Times New Roman" w:eastAsia="Times New Roman" w:hAnsi="Times New Roman" w:cs="Times New Roman"/>
          <w:color w:val="000000"/>
          <w:sz w:val="26"/>
          <w:szCs w:val="26"/>
        </w:rPr>
        <w:tab/>
        <w:t>R-2021-3024296</w:t>
      </w:r>
    </w:p>
    <w:p w14:paraId="46EB83CD" w14:textId="75CD2026" w:rsidR="009A0428" w:rsidRPr="00C47563" w:rsidRDefault="009A0428" w:rsidP="00C47563">
      <w:pPr>
        <w:tabs>
          <w:tab w:val="left" w:pos="7200"/>
        </w:tabs>
        <w:spacing w:after="0" w:line="272"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Office of Consumer Advocate</w:t>
      </w:r>
      <w:r w:rsidRPr="00C47563">
        <w:rPr>
          <w:rFonts w:ascii="Times New Roman" w:eastAsia="Times New Roman" w:hAnsi="Times New Roman" w:cs="Times New Roman"/>
          <w:color w:val="000000"/>
          <w:sz w:val="26"/>
          <w:szCs w:val="26"/>
        </w:rPr>
        <w:tab/>
        <w:t>C-2021-3025078</w:t>
      </w:r>
    </w:p>
    <w:p w14:paraId="542C2411" w14:textId="0237936A" w:rsidR="009A0428" w:rsidRPr="00C47563" w:rsidRDefault="009A0428" w:rsidP="00C47563">
      <w:pPr>
        <w:tabs>
          <w:tab w:val="left" w:pos="7200"/>
        </w:tabs>
        <w:spacing w:after="0" w:line="276"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Office of Small Business Advocate</w:t>
      </w:r>
      <w:r w:rsidR="000549E2" w:rsidRPr="00C47563">
        <w:rPr>
          <w:rFonts w:ascii="Times New Roman" w:eastAsia="Times New Roman" w:hAnsi="Times New Roman" w:cs="Times New Roman"/>
          <w:color w:val="000000"/>
          <w:sz w:val="26"/>
          <w:szCs w:val="26"/>
        </w:rPr>
        <w:tab/>
      </w:r>
      <w:r w:rsidRPr="00C47563">
        <w:rPr>
          <w:rFonts w:ascii="Times New Roman" w:eastAsia="Times New Roman" w:hAnsi="Times New Roman" w:cs="Times New Roman"/>
          <w:color w:val="000000"/>
          <w:sz w:val="26"/>
          <w:szCs w:val="26"/>
        </w:rPr>
        <w:t>C-2021-3025257</w:t>
      </w:r>
    </w:p>
    <w:p w14:paraId="3C707CCA" w14:textId="70D38414" w:rsidR="009A0428" w:rsidRPr="00C47563" w:rsidRDefault="009A0428" w:rsidP="00C47563">
      <w:pPr>
        <w:tabs>
          <w:tab w:val="left" w:pos="7200"/>
          <w:tab w:val="left" w:pos="7290"/>
        </w:tabs>
        <w:spacing w:after="0" w:line="273"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Columbia Industrial Intervenors</w:t>
      </w:r>
      <w:r w:rsidR="000549E2" w:rsidRPr="00C47563">
        <w:rPr>
          <w:rFonts w:ascii="Times New Roman" w:eastAsia="Times New Roman" w:hAnsi="Times New Roman" w:cs="Times New Roman"/>
          <w:color w:val="000000"/>
          <w:sz w:val="26"/>
          <w:szCs w:val="26"/>
        </w:rPr>
        <w:tab/>
      </w:r>
      <w:r w:rsidRPr="00C47563">
        <w:rPr>
          <w:rFonts w:ascii="Times New Roman" w:eastAsia="Times New Roman" w:hAnsi="Times New Roman" w:cs="Times New Roman"/>
          <w:color w:val="000000"/>
          <w:sz w:val="26"/>
          <w:szCs w:val="26"/>
        </w:rPr>
        <w:t>C-2021-3025600</w:t>
      </w:r>
    </w:p>
    <w:p w14:paraId="42701857" w14:textId="3BE196FF" w:rsidR="009A0428" w:rsidRPr="00C47563" w:rsidRDefault="009A0428" w:rsidP="00C47563">
      <w:pPr>
        <w:tabs>
          <w:tab w:val="left" w:pos="7200"/>
        </w:tabs>
        <w:spacing w:after="0" w:line="276"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The Pennsylvania State University</w:t>
      </w:r>
      <w:r w:rsidR="000549E2" w:rsidRPr="00C47563">
        <w:rPr>
          <w:rFonts w:ascii="Times New Roman" w:eastAsia="Times New Roman" w:hAnsi="Times New Roman" w:cs="Times New Roman"/>
          <w:color w:val="000000"/>
          <w:sz w:val="26"/>
          <w:szCs w:val="26"/>
        </w:rPr>
        <w:tab/>
      </w:r>
      <w:r w:rsidRPr="00C47563">
        <w:rPr>
          <w:rFonts w:ascii="Times New Roman" w:eastAsia="Times New Roman" w:hAnsi="Times New Roman" w:cs="Times New Roman"/>
          <w:color w:val="000000"/>
          <w:sz w:val="26"/>
          <w:szCs w:val="26"/>
        </w:rPr>
        <w:t>C-2021-3025775</w:t>
      </w:r>
    </w:p>
    <w:p w14:paraId="61629BF8" w14:textId="1CE98192" w:rsidR="009A0428" w:rsidRPr="00C47563" w:rsidRDefault="009A0428" w:rsidP="00C47563">
      <w:pPr>
        <w:tabs>
          <w:tab w:val="left" w:pos="7200"/>
        </w:tabs>
        <w:spacing w:after="0" w:line="276"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Richard C. Culbertson</w:t>
      </w:r>
      <w:r w:rsidR="000549E2" w:rsidRPr="00C47563">
        <w:rPr>
          <w:rFonts w:ascii="Times New Roman" w:eastAsia="Times New Roman" w:hAnsi="Times New Roman" w:cs="Times New Roman"/>
          <w:color w:val="000000"/>
          <w:sz w:val="26"/>
          <w:szCs w:val="26"/>
        </w:rPr>
        <w:tab/>
      </w:r>
      <w:r w:rsidRPr="00C47563">
        <w:rPr>
          <w:rFonts w:ascii="Times New Roman" w:eastAsia="Times New Roman" w:hAnsi="Times New Roman" w:cs="Times New Roman"/>
          <w:color w:val="000000"/>
          <w:sz w:val="26"/>
          <w:szCs w:val="26"/>
        </w:rPr>
        <w:t>C-2021-3026054</w:t>
      </w:r>
    </w:p>
    <w:p w14:paraId="50FEA89E" w14:textId="72229150" w:rsidR="009A0428" w:rsidRPr="00C47563" w:rsidRDefault="009A0428" w:rsidP="00C47563">
      <w:pPr>
        <w:tabs>
          <w:tab w:val="left" w:pos="7200"/>
        </w:tabs>
        <w:spacing w:after="0" w:line="262"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Ronald Lamb</w:t>
      </w:r>
      <w:r w:rsidR="000549E2" w:rsidRPr="00C47563">
        <w:rPr>
          <w:rFonts w:ascii="Times New Roman" w:eastAsia="Times New Roman" w:hAnsi="Times New Roman" w:cs="Times New Roman"/>
          <w:color w:val="000000"/>
          <w:sz w:val="26"/>
          <w:szCs w:val="26"/>
        </w:rPr>
        <w:tab/>
      </w:r>
      <w:r w:rsidRPr="00C47563">
        <w:rPr>
          <w:rFonts w:ascii="Times New Roman" w:eastAsia="Times New Roman" w:hAnsi="Times New Roman" w:cs="Times New Roman"/>
          <w:color w:val="000000"/>
          <w:sz w:val="26"/>
          <w:szCs w:val="26"/>
        </w:rPr>
        <w:t>C-2021-3027217</w:t>
      </w:r>
    </w:p>
    <w:p w14:paraId="332DAA6A" w14:textId="77777777" w:rsidR="00DB2662" w:rsidRPr="00C47563" w:rsidRDefault="00DB2662" w:rsidP="00C47563">
      <w:pPr>
        <w:tabs>
          <w:tab w:val="left" w:pos="7200"/>
        </w:tabs>
        <w:spacing w:after="0" w:line="262" w:lineRule="exact"/>
        <w:textAlignment w:val="baseline"/>
        <w:rPr>
          <w:rFonts w:ascii="Times New Roman" w:eastAsia="Times New Roman" w:hAnsi="Times New Roman" w:cs="Times New Roman"/>
          <w:color w:val="000000"/>
          <w:sz w:val="26"/>
          <w:szCs w:val="26"/>
        </w:rPr>
      </w:pPr>
    </w:p>
    <w:p w14:paraId="5405F85A" w14:textId="6A928D66" w:rsidR="009A0428" w:rsidRPr="00C47563" w:rsidRDefault="009A0428" w:rsidP="00C47563">
      <w:pPr>
        <w:tabs>
          <w:tab w:val="left" w:pos="5040"/>
        </w:tabs>
        <w:spacing w:after="0" w:line="273" w:lineRule="exact"/>
        <w:ind w:left="720"/>
        <w:textAlignment w:val="baseline"/>
        <w:rPr>
          <w:rFonts w:ascii="Times New Roman" w:eastAsia="Times New Roman" w:hAnsi="Times New Roman" w:cs="Times New Roman"/>
          <w:color w:val="000000"/>
          <w:spacing w:val="-4"/>
          <w:sz w:val="26"/>
          <w:szCs w:val="26"/>
        </w:rPr>
      </w:pPr>
      <w:r w:rsidRPr="00C47563">
        <w:rPr>
          <w:rFonts w:ascii="Times New Roman" w:eastAsia="Times New Roman" w:hAnsi="Times New Roman" w:cs="Times New Roman"/>
          <w:color w:val="000000"/>
          <w:spacing w:val="-4"/>
          <w:sz w:val="26"/>
          <w:szCs w:val="26"/>
        </w:rPr>
        <w:t>v.</w:t>
      </w:r>
    </w:p>
    <w:p w14:paraId="13477466" w14:textId="77777777" w:rsidR="00DB2662" w:rsidRPr="00C47563" w:rsidRDefault="00DB2662" w:rsidP="00C47563">
      <w:pPr>
        <w:tabs>
          <w:tab w:val="left" w:pos="5040"/>
        </w:tabs>
        <w:spacing w:after="0" w:line="273" w:lineRule="exact"/>
        <w:textAlignment w:val="baseline"/>
        <w:rPr>
          <w:rFonts w:ascii="Times New Roman" w:eastAsia="Times New Roman" w:hAnsi="Times New Roman" w:cs="Times New Roman"/>
          <w:color w:val="000000"/>
          <w:spacing w:val="-4"/>
          <w:sz w:val="26"/>
          <w:szCs w:val="26"/>
        </w:rPr>
      </w:pPr>
    </w:p>
    <w:p w14:paraId="4F2C5A3A" w14:textId="77777777" w:rsidR="002C0A76" w:rsidRPr="00C47563" w:rsidRDefault="009A0428" w:rsidP="00C47563">
      <w:pPr>
        <w:tabs>
          <w:tab w:val="left" w:pos="5040"/>
        </w:tabs>
        <w:spacing w:after="0" w:line="273" w:lineRule="exact"/>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Columbia Gas of Pennsylvania, Inc.</w:t>
      </w:r>
    </w:p>
    <w:p w14:paraId="041569E5" w14:textId="3A110B87" w:rsidR="009A0428" w:rsidRPr="00C47563" w:rsidRDefault="009A0428" w:rsidP="00C47563">
      <w:pPr>
        <w:tabs>
          <w:tab w:val="left" w:pos="5040"/>
        </w:tabs>
        <w:spacing w:after="0" w:line="273" w:lineRule="exact"/>
        <w:textAlignment w:val="baseline"/>
        <w:rPr>
          <w:rFonts w:ascii="Times New Roman" w:eastAsia="Times New Roman" w:hAnsi="Times New Roman" w:cs="Times New Roman"/>
          <w:color w:val="000000"/>
          <w:sz w:val="26"/>
          <w:szCs w:val="26"/>
        </w:rPr>
      </w:pPr>
    </w:p>
    <w:p w14:paraId="15FC37AA" w14:textId="663EAFC5" w:rsidR="00A063B3" w:rsidRDefault="00A063B3" w:rsidP="00C47563">
      <w:pPr>
        <w:spacing w:after="0" w:line="360" w:lineRule="auto"/>
        <w:contextualSpacing/>
        <w:rPr>
          <w:rFonts w:ascii="Times New Roman" w:hAnsi="Times New Roman" w:cs="Times New Roman"/>
          <w:sz w:val="26"/>
          <w:szCs w:val="26"/>
        </w:rPr>
      </w:pPr>
    </w:p>
    <w:p w14:paraId="0DE9FF99" w14:textId="77777777" w:rsidR="004F523E" w:rsidRPr="00C47563" w:rsidRDefault="004F523E" w:rsidP="00C47563">
      <w:pPr>
        <w:spacing w:after="0" w:line="360" w:lineRule="auto"/>
        <w:contextualSpacing/>
        <w:rPr>
          <w:rFonts w:ascii="Times New Roman" w:hAnsi="Times New Roman" w:cs="Times New Roman"/>
          <w:sz w:val="26"/>
          <w:szCs w:val="26"/>
        </w:rPr>
      </w:pPr>
    </w:p>
    <w:p w14:paraId="07F022D8" w14:textId="77777777" w:rsidR="00840676" w:rsidRPr="00C47563" w:rsidRDefault="00840676" w:rsidP="00C47563">
      <w:pPr>
        <w:spacing w:after="0" w:line="240" w:lineRule="auto"/>
        <w:contextualSpacing/>
        <w:jc w:val="center"/>
        <w:rPr>
          <w:rFonts w:ascii="Times New Roman" w:eastAsia="Times New Roman" w:hAnsi="Times New Roman" w:cs="Times New Roman"/>
          <w:b/>
          <w:sz w:val="26"/>
          <w:szCs w:val="26"/>
        </w:rPr>
      </w:pPr>
      <w:r w:rsidRPr="00C47563">
        <w:rPr>
          <w:rFonts w:ascii="Times New Roman" w:eastAsia="Times New Roman" w:hAnsi="Times New Roman" w:cs="Times New Roman"/>
          <w:b/>
          <w:sz w:val="26"/>
          <w:szCs w:val="26"/>
        </w:rPr>
        <w:t xml:space="preserve">OPINION </w:t>
      </w:r>
      <w:smartTag w:uri="urn:schemas-microsoft-com:office:smarttags" w:element="stockticker">
        <w:r w:rsidRPr="00C47563">
          <w:rPr>
            <w:rFonts w:ascii="Times New Roman" w:eastAsia="Times New Roman" w:hAnsi="Times New Roman" w:cs="Times New Roman"/>
            <w:b/>
            <w:sz w:val="26"/>
            <w:szCs w:val="26"/>
          </w:rPr>
          <w:t>AND</w:t>
        </w:r>
      </w:smartTag>
      <w:r w:rsidRPr="00C47563">
        <w:rPr>
          <w:rFonts w:ascii="Times New Roman" w:eastAsia="Times New Roman" w:hAnsi="Times New Roman" w:cs="Times New Roman"/>
          <w:b/>
          <w:sz w:val="26"/>
          <w:szCs w:val="26"/>
        </w:rPr>
        <w:t xml:space="preserve"> ORDER</w:t>
      </w:r>
    </w:p>
    <w:p w14:paraId="227560C8" w14:textId="77777777" w:rsidR="00EF699A" w:rsidRPr="00C47563" w:rsidRDefault="00EF699A" w:rsidP="00C47563">
      <w:pPr>
        <w:spacing w:after="0"/>
        <w:contextualSpacing/>
        <w:rPr>
          <w:rFonts w:ascii="Times New Roman" w:eastAsia="Times New Roman" w:hAnsi="Times New Roman" w:cs="Times New Roman"/>
          <w:b/>
          <w:sz w:val="26"/>
          <w:szCs w:val="26"/>
        </w:rPr>
      </w:pPr>
    </w:p>
    <w:p w14:paraId="12CCBBDE" w14:textId="77777777" w:rsidR="00C47563" w:rsidRDefault="00C47563" w:rsidP="00C47563">
      <w:pPr>
        <w:spacing w:after="0"/>
        <w:contextualSpacing/>
        <w:rPr>
          <w:rFonts w:ascii="Times New Roman" w:eastAsia="Times New Roman" w:hAnsi="Times New Roman" w:cs="Times New Roman"/>
          <w:b/>
          <w:sz w:val="26"/>
          <w:szCs w:val="26"/>
        </w:rPr>
        <w:sectPr w:rsidR="00C47563" w:rsidSect="00840676">
          <w:footerReference w:type="default" r:id="rId8"/>
          <w:pgSz w:w="12240" w:h="15840"/>
          <w:pgMar w:top="1440" w:right="1440" w:bottom="1440" w:left="1440" w:header="720" w:footer="720" w:gutter="0"/>
          <w:cols w:space="720"/>
          <w:titlePg/>
          <w:docGrid w:linePitch="360"/>
        </w:sectPr>
      </w:pPr>
    </w:p>
    <w:p w14:paraId="29FC33DF" w14:textId="19E504B0" w:rsidR="00C47563" w:rsidRPr="00C47563" w:rsidRDefault="00C47563" w:rsidP="00C47563">
      <w:pPr>
        <w:spacing w:after="0"/>
        <w:contextualSpacing/>
        <w:jc w:val="center"/>
        <w:rPr>
          <w:rFonts w:ascii="Times New Roman" w:eastAsia="Times New Roman" w:hAnsi="Times New Roman" w:cs="Times New Roman"/>
          <w:b/>
          <w:sz w:val="26"/>
          <w:szCs w:val="26"/>
        </w:rPr>
      </w:pPr>
      <w:r w:rsidRPr="00C47563">
        <w:rPr>
          <w:rFonts w:ascii="Times New Roman" w:eastAsia="Times New Roman" w:hAnsi="Times New Roman" w:cs="Times New Roman"/>
          <w:b/>
          <w:sz w:val="26"/>
          <w:szCs w:val="26"/>
        </w:rPr>
        <w:lastRenderedPageBreak/>
        <w:t>TABLE OF CONTENTS</w:t>
      </w:r>
    </w:p>
    <w:p w14:paraId="1C632F57" w14:textId="77777777" w:rsidR="00C47563" w:rsidRDefault="00C47563" w:rsidP="00C47563">
      <w:pPr>
        <w:spacing w:after="0"/>
        <w:contextualSpacing/>
        <w:rPr>
          <w:rFonts w:ascii="Times New Roman" w:eastAsia="Times New Roman" w:hAnsi="Times New Roman" w:cs="Times New Roman"/>
          <w:b/>
          <w:sz w:val="26"/>
          <w:szCs w:val="26"/>
        </w:rPr>
      </w:pPr>
    </w:p>
    <w:p w14:paraId="2A775896" w14:textId="77777777" w:rsidR="00C47563" w:rsidRDefault="00C47563" w:rsidP="00C47563">
      <w:pPr>
        <w:spacing w:after="0"/>
        <w:contextualSpacing/>
        <w:rPr>
          <w:rFonts w:ascii="Times New Roman" w:eastAsia="Times New Roman" w:hAnsi="Times New Roman" w:cs="Times New Roman"/>
          <w:b/>
          <w:sz w:val="26"/>
          <w:szCs w:val="26"/>
        </w:rPr>
      </w:pPr>
    </w:p>
    <w:p w14:paraId="4D349357" w14:textId="43680AB8" w:rsidR="0094251F" w:rsidRPr="0094251F" w:rsidRDefault="0094251F">
      <w:pPr>
        <w:pStyle w:val="TOC1"/>
        <w:tabs>
          <w:tab w:val="left" w:pos="720"/>
          <w:tab w:val="right" w:leader="dot" w:pos="9350"/>
        </w:tabs>
        <w:rPr>
          <w:rFonts w:eastAsiaTheme="minorEastAsia"/>
          <w:noProof/>
          <w:color w:val="auto"/>
          <w:sz w:val="26"/>
          <w:szCs w:val="26"/>
        </w:rPr>
      </w:pPr>
      <w:r w:rsidRPr="0094251F">
        <w:rPr>
          <w:b/>
          <w:sz w:val="26"/>
          <w:szCs w:val="26"/>
        </w:rPr>
        <w:fldChar w:fldCharType="begin"/>
      </w:r>
      <w:r w:rsidRPr="0094251F">
        <w:rPr>
          <w:b/>
          <w:sz w:val="26"/>
          <w:szCs w:val="26"/>
        </w:rPr>
        <w:instrText xml:space="preserve"> TOC \o "1-5" \h \z \u </w:instrText>
      </w:r>
      <w:r w:rsidRPr="0094251F">
        <w:rPr>
          <w:b/>
          <w:sz w:val="26"/>
          <w:szCs w:val="26"/>
        </w:rPr>
        <w:fldChar w:fldCharType="separate"/>
      </w:r>
      <w:hyperlink w:anchor="_Toc89253049" w:history="1">
        <w:r w:rsidRPr="0094251F">
          <w:rPr>
            <w:rStyle w:val="Hyperlink"/>
            <w:noProof/>
            <w:sz w:val="26"/>
            <w:szCs w:val="26"/>
          </w:rPr>
          <w:t>I.</w:t>
        </w:r>
        <w:r w:rsidRPr="0094251F">
          <w:rPr>
            <w:rFonts w:eastAsiaTheme="minorEastAsia"/>
            <w:noProof/>
            <w:color w:val="auto"/>
            <w:sz w:val="26"/>
            <w:szCs w:val="26"/>
          </w:rPr>
          <w:tab/>
        </w:r>
        <w:r w:rsidRPr="0094251F">
          <w:rPr>
            <w:rStyle w:val="Hyperlink"/>
            <w:noProof/>
            <w:sz w:val="26"/>
            <w:szCs w:val="26"/>
          </w:rPr>
          <w:t>History of the Proceeding</w:t>
        </w:r>
        <w:r w:rsidRPr="0094251F">
          <w:rPr>
            <w:noProof/>
            <w:webHidden/>
            <w:sz w:val="26"/>
            <w:szCs w:val="26"/>
          </w:rPr>
          <w:tab/>
        </w:r>
        <w:r w:rsidRPr="0094251F">
          <w:rPr>
            <w:noProof/>
            <w:webHidden/>
            <w:sz w:val="26"/>
            <w:szCs w:val="26"/>
          </w:rPr>
          <w:fldChar w:fldCharType="begin"/>
        </w:r>
        <w:r w:rsidRPr="0094251F">
          <w:rPr>
            <w:noProof/>
            <w:webHidden/>
            <w:sz w:val="26"/>
            <w:szCs w:val="26"/>
          </w:rPr>
          <w:instrText xml:space="preserve"> PAGEREF _Toc89253049 \h </w:instrText>
        </w:r>
        <w:r w:rsidRPr="0094251F">
          <w:rPr>
            <w:noProof/>
            <w:webHidden/>
            <w:sz w:val="26"/>
            <w:szCs w:val="26"/>
          </w:rPr>
        </w:r>
        <w:r w:rsidRPr="0094251F">
          <w:rPr>
            <w:noProof/>
            <w:webHidden/>
            <w:sz w:val="26"/>
            <w:szCs w:val="26"/>
          </w:rPr>
          <w:fldChar w:fldCharType="separate"/>
        </w:r>
        <w:r w:rsidR="0085109D">
          <w:rPr>
            <w:noProof/>
            <w:webHidden/>
            <w:sz w:val="26"/>
            <w:szCs w:val="26"/>
          </w:rPr>
          <w:t>1</w:t>
        </w:r>
        <w:r w:rsidRPr="0094251F">
          <w:rPr>
            <w:noProof/>
            <w:webHidden/>
            <w:sz w:val="26"/>
            <w:szCs w:val="26"/>
          </w:rPr>
          <w:fldChar w:fldCharType="end"/>
        </w:r>
      </w:hyperlink>
    </w:p>
    <w:p w14:paraId="75055708" w14:textId="163ED414" w:rsidR="0094251F" w:rsidRPr="0094251F" w:rsidRDefault="00587947">
      <w:pPr>
        <w:pStyle w:val="TOC1"/>
        <w:tabs>
          <w:tab w:val="left" w:pos="720"/>
          <w:tab w:val="right" w:leader="dot" w:pos="9350"/>
        </w:tabs>
        <w:rPr>
          <w:rFonts w:eastAsiaTheme="minorEastAsia"/>
          <w:noProof/>
          <w:color w:val="auto"/>
          <w:sz w:val="26"/>
          <w:szCs w:val="26"/>
        </w:rPr>
      </w:pPr>
      <w:hyperlink w:anchor="_Toc89253050" w:history="1">
        <w:r w:rsidR="0094251F" w:rsidRPr="0094251F">
          <w:rPr>
            <w:rStyle w:val="Hyperlink"/>
            <w:noProof/>
            <w:sz w:val="26"/>
            <w:szCs w:val="26"/>
          </w:rPr>
          <w:t>II.</w:t>
        </w:r>
        <w:r w:rsidR="0094251F" w:rsidRPr="0094251F">
          <w:rPr>
            <w:rFonts w:eastAsiaTheme="minorEastAsia"/>
            <w:noProof/>
            <w:color w:val="auto"/>
            <w:sz w:val="26"/>
            <w:szCs w:val="26"/>
          </w:rPr>
          <w:tab/>
        </w:r>
        <w:r w:rsidR="0094251F" w:rsidRPr="0094251F">
          <w:rPr>
            <w:rStyle w:val="Hyperlink"/>
            <w:noProof/>
            <w:sz w:val="26"/>
            <w:szCs w:val="26"/>
          </w:rPr>
          <w:t>Background</w:t>
        </w:r>
        <w:r w:rsidR="0094251F" w:rsidRPr="0094251F">
          <w:rPr>
            <w:noProof/>
            <w:webHidden/>
            <w:sz w:val="26"/>
            <w:szCs w:val="26"/>
          </w:rPr>
          <w:tab/>
        </w:r>
        <w:r w:rsidR="0094251F" w:rsidRPr="0094251F">
          <w:rPr>
            <w:noProof/>
            <w:webHidden/>
            <w:sz w:val="26"/>
            <w:szCs w:val="26"/>
          </w:rPr>
          <w:fldChar w:fldCharType="begin"/>
        </w:r>
        <w:r w:rsidR="0094251F" w:rsidRPr="0094251F">
          <w:rPr>
            <w:noProof/>
            <w:webHidden/>
            <w:sz w:val="26"/>
            <w:szCs w:val="26"/>
          </w:rPr>
          <w:instrText xml:space="preserve"> PAGEREF _Toc89253050 \h </w:instrText>
        </w:r>
        <w:r w:rsidR="0094251F" w:rsidRPr="0094251F">
          <w:rPr>
            <w:noProof/>
            <w:webHidden/>
            <w:sz w:val="26"/>
            <w:szCs w:val="26"/>
          </w:rPr>
        </w:r>
        <w:r w:rsidR="0094251F" w:rsidRPr="0094251F">
          <w:rPr>
            <w:noProof/>
            <w:webHidden/>
            <w:sz w:val="26"/>
            <w:szCs w:val="26"/>
          </w:rPr>
          <w:fldChar w:fldCharType="separate"/>
        </w:r>
        <w:r w:rsidR="0085109D">
          <w:rPr>
            <w:noProof/>
            <w:webHidden/>
            <w:sz w:val="26"/>
            <w:szCs w:val="26"/>
          </w:rPr>
          <w:t>4</w:t>
        </w:r>
        <w:r w:rsidR="0094251F" w:rsidRPr="0094251F">
          <w:rPr>
            <w:noProof/>
            <w:webHidden/>
            <w:sz w:val="26"/>
            <w:szCs w:val="26"/>
          </w:rPr>
          <w:fldChar w:fldCharType="end"/>
        </w:r>
      </w:hyperlink>
    </w:p>
    <w:p w14:paraId="68E8B35B" w14:textId="6B38F0FC" w:rsidR="0094251F" w:rsidRPr="0094251F" w:rsidRDefault="00587947">
      <w:pPr>
        <w:pStyle w:val="TOC1"/>
        <w:tabs>
          <w:tab w:val="left" w:pos="720"/>
          <w:tab w:val="right" w:leader="dot" w:pos="9350"/>
        </w:tabs>
        <w:rPr>
          <w:rFonts w:eastAsiaTheme="minorEastAsia"/>
          <w:noProof/>
          <w:color w:val="auto"/>
          <w:sz w:val="26"/>
          <w:szCs w:val="26"/>
        </w:rPr>
      </w:pPr>
      <w:hyperlink w:anchor="_Toc89253051" w:history="1">
        <w:r w:rsidR="0094251F" w:rsidRPr="0094251F">
          <w:rPr>
            <w:rStyle w:val="Hyperlink"/>
            <w:noProof/>
            <w:sz w:val="26"/>
            <w:szCs w:val="26"/>
          </w:rPr>
          <w:t>III.</w:t>
        </w:r>
        <w:r w:rsidR="0094251F" w:rsidRPr="0094251F">
          <w:rPr>
            <w:rFonts w:eastAsiaTheme="minorEastAsia"/>
            <w:noProof/>
            <w:color w:val="auto"/>
            <w:sz w:val="26"/>
            <w:szCs w:val="26"/>
          </w:rPr>
          <w:tab/>
        </w:r>
        <w:r w:rsidR="0094251F" w:rsidRPr="0094251F">
          <w:rPr>
            <w:rStyle w:val="Hyperlink"/>
            <w:noProof/>
            <w:sz w:val="26"/>
            <w:szCs w:val="26"/>
          </w:rPr>
          <w:t>Discussion</w:t>
        </w:r>
        <w:r w:rsidR="0094251F" w:rsidRPr="0094251F">
          <w:rPr>
            <w:noProof/>
            <w:webHidden/>
            <w:sz w:val="26"/>
            <w:szCs w:val="26"/>
          </w:rPr>
          <w:tab/>
        </w:r>
        <w:r w:rsidR="0094251F" w:rsidRPr="0094251F">
          <w:rPr>
            <w:noProof/>
            <w:webHidden/>
            <w:sz w:val="26"/>
            <w:szCs w:val="26"/>
          </w:rPr>
          <w:fldChar w:fldCharType="begin"/>
        </w:r>
        <w:r w:rsidR="0094251F" w:rsidRPr="0094251F">
          <w:rPr>
            <w:noProof/>
            <w:webHidden/>
            <w:sz w:val="26"/>
            <w:szCs w:val="26"/>
          </w:rPr>
          <w:instrText xml:space="preserve"> PAGEREF _Toc89253051 \h </w:instrText>
        </w:r>
        <w:r w:rsidR="0094251F" w:rsidRPr="0094251F">
          <w:rPr>
            <w:noProof/>
            <w:webHidden/>
            <w:sz w:val="26"/>
            <w:szCs w:val="26"/>
          </w:rPr>
        </w:r>
        <w:r w:rsidR="0094251F" w:rsidRPr="0094251F">
          <w:rPr>
            <w:noProof/>
            <w:webHidden/>
            <w:sz w:val="26"/>
            <w:szCs w:val="26"/>
          </w:rPr>
          <w:fldChar w:fldCharType="separate"/>
        </w:r>
        <w:r w:rsidR="0085109D">
          <w:rPr>
            <w:noProof/>
            <w:webHidden/>
            <w:sz w:val="26"/>
            <w:szCs w:val="26"/>
          </w:rPr>
          <w:t>5</w:t>
        </w:r>
        <w:r w:rsidR="0094251F" w:rsidRPr="0094251F">
          <w:rPr>
            <w:noProof/>
            <w:webHidden/>
            <w:sz w:val="26"/>
            <w:szCs w:val="26"/>
          </w:rPr>
          <w:fldChar w:fldCharType="end"/>
        </w:r>
      </w:hyperlink>
    </w:p>
    <w:p w14:paraId="4235A82A" w14:textId="41BC8843" w:rsidR="0094251F" w:rsidRPr="0094251F" w:rsidRDefault="00587947">
      <w:pPr>
        <w:pStyle w:val="TOC2"/>
        <w:rPr>
          <w:rFonts w:ascii="Times New Roman" w:eastAsiaTheme="minorEastAsia" w:hAnsi="Times New Roman" w:cs="Times New Roman"/>
          <w:noProof/>
          <w:sz w:val="26"/>
          <w:szCs w:val="26"/>
        </w:rPr>
      </w:pPr>
      <w:hyperlink w:anchor="_Toc89253052" w:history="1">
        <w:r w:rsidR="0094251F" w:rsidRPr="0094251F">
          <w:rPr>
            <w:rStyle w:val="Hyperlink"/>
            <w:rFonts w:ascii="Times New Roman" w:eastAsia="Times New Roman" w:hAnsi="Times New Roman" w:cs="Times New Roman"/>
            <w:noProof/>
            <w:sz w:val="26"/>
            <w:szCs w:val="26"/>
          </w:rPr>
          <w:t>A.</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Legal Standards</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_Toc89253052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6</w:t>
        </w:r>
        <w:r w:rsidR="0094251F" w:rsidRPr="0094251F">
          <w:rPr>
            <w:rFonts w:ascii="Times New Roman" w:hAnsi="Times New Roman" w:cs="Times New Roman"/>
            <w:noProof/>
            <w:webHidden/>
            <w:sz w:val="26"/>
            <w:szCs w:val="26"/>
          </w:rPr>
          <w:fldChar w:fldCharType="end"/>
        </w:r>
      </w:hyperlink>
    </w:p>
    <w:p w14:paraId="1F8121A3" w14:textId="587D3AA4" w:rsidR="0094251F" w:rsidRPr="0094251F" w:rsidRDefault="00587947">
      <w:pPr>
        <w:pStyle w:val="TOC3"/>
        <w:rPr>
          <w:rFonts w:ascii="Times New Roman" w:eastAsiaTheme="minorEastAsia" w:hAnsi="Times New Roman" w:cs="Times New Roman"/>
          <w:noProof/>
          <w:sz w:val="26"/>
          <w:szCs w:val="26"/>
        </w:rPr>
      </w:pPr>
      <w:hyperlink w:anchor="_Toc89253053" w:history="1">
        <w:r w:rsidR="0094251F" w:rsidRPr="0094251F">
          <w:rPr>
            <w:rStyle w:val="Hyperlink"/>
            <w:rFonts w:ascii="Times New Roman" w:hAnsi="Times New Roman" w:cs="Times New Roman"/>
            <w:noProof/>
            <w:sz w:val="26"/>
            <w:szCs w:val="26"/>
          </w:rPr>
          <w:t>1.</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General Rate Increase Proceedings</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_Toc89253053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6</w:t>
        </w:r>
        <w:r w:rsidR="0094251F" w:rsidRPr="0094251F">
          <w:rPr>
            <w:rFonts w:ascii="Times New Roman" w:hAnsi="Times New Roman" w:cs="Times New Roman"/>
            <w:noProof/>
            <w:webHidden/>
            <w:sz w:val="26"/>
            <w:szCs w:val="26"/>
          </w:rPr>
          <w:fldChar w:fldCharType="end"/>
        </w:r>
      </w:hyperlink>
    </w:p>
    <w:p w14:paraId="37F41D8B" w14:textId="5F393F90" w:rsidR="0094251F" w:rsidRPr="0094251F" w:rsidRDefault="00587947">
      <w:pPr>
        <w:pStyle w:val="TOC3"/>
        <w:rPr>
          <w:rFonts w:ascii="Times New Roman" w:eastAsiaTheme="minorEastAsia" w:hAnsi="Times New Roman" w:cs="Times New Roman"/>
          <w:noProof/>
          <w:sz w:val="26"/>
          <w:szCs w:val="26"/>
        </w:rPr>
      </w:pPr>
      <w:hyperlink w:anchor="_Toc89253054" w:history="1">
        <w:r w:rsidR="0094251F" w:rsidRPr="0094251F">
          <w:rPr>
            <w:rStyle w:val="Hyperlink"/>
            <w:rFonts w:ascii="Times New Roman" w:hAnsi="Times New Roman" w:cs="Times New Roman"/>
            <w:noProof/>
            <w:sz w:val="26"/>
            <w:szCs w:val="26"/>
          </w:rPr>
          <w:t>2.</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Mr. Culbertson’s Claims</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_Toc89253054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8</w:t>
        </w:r>
        <w:r w:rsidR="0094251F" w:rsidRPr="0094251F">
          <w:rPr>
            <w:rFonts w:ascii="Times New Roman" w:hAnsi="Times New Roman" w:cs="Times New Roman"/>
            <w:noProof/>
            <w:webHidden/>
            <w:sz w:val="26"/>
            <w:szCs w:val="26"/>
          </w:rPr>
          <w:fldChar w:fldCharType="end"/>
        </w:r>
      </w:hyperlink>
    </w:p>
    <w:p w14:paraId="2B1E213C" w14:textId="305675D2" w:rsidR="0094251F" w:rsidRPr="0094251F" w:rsidRDefault="00587947">
      <w:pPr>
        <w:pStyle w:val="TOC3"/>
        <w:rPr>
          <w:rFonts w:ascii="Times New Roman" w:eastAsiaTheme="minorEastAsia" w:hAnsi="Times New Roman" w:cs="Times New Roman"/>
          <w:noProof/>
          <w:sz w:val="26"/>
          <w:szCs w:val="26"/>
        </w:rPr>
      </w:pPr>
      <w:hyperlink w:anchor="_Toc89253055" w:history="1">
        <w:r w:rsidR="0094251F" w:rsidRPr="0094251F">
          <w:rPr>
            <w:rStyle w:val="Hyperlink"/>
            <w:rFonts w:ascii="Times New Roman" w:hAnsi="Times New Roman" w:cs="Times New Roman"/>
            <w:noProof/>
            <w:sz w:val="26"/>
            <w:szCs w:val="26"/>
          </w:rPr>
          <w:t>3.</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The Settlement</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_Toc89253055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8</w:t>
        </w:r>
        <w:r w:rsidR="0094251F" w:rsidRPr="0094251F">
          <w:rPr>
            <w:rFonts w:ascii="Times New Roman" w:hAnsi="Times New Roman" w:cs="Times New Roman"/>
            <w:noProof/>
            <w:webHidden/>
            <w:sz w:val="26"/>
            <w:szCs w:val="26"/>
          </w:rPr>
          <w:fldChar w:fldCharType="end"/>
        </w:r>
      </w:hyperlink>
    </w:p>
    <w:p w14:paraId="3DEDB611" w14:textId="3072395F" w:rsidR="0094251F" w:rsidRPr="0094251F" w:rsidRDefault="00587947">
      <w:pPr>
        <w:pStyle w:val="TOC3"/>
        <w:rPr>
          <w:rFonts w:ascii="Times New Roman" w:eastAsiaTheme="minorEastAsia" w:hAnsi="Times New Roman" w:cs="Times New Roman"/>
          <w:noProof/>
          <w:sz w:val="26"/>
          <w:szCs w:val="26"/>
        </w:rPr>
      </w:pPr>
      <w:hyperlink w:anchor="_Toc89253056" w:history="1">
        <w:r w:rsidR="0094251F" w:rsidRPr="0094251F">
          <w:rPr>
            <w:rStyle w:val="Hyperlink"/>
            <w:rFonts w:ascii="Times New Roman" w:hAnsi="Times New Roman" w:cs="Times New Roman"/>
            <w:noProof/>
            <w:sz w:val="26"/>
            <w:szCs w:val="26"/>
          </w:rPr>
          <w:t>4.</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Substantial Evidence</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_Toc89253056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10</w:t>
        </w:r>
        <w:r w:rsidR="0094251F" w:rsidRPr="0094251F">
          <w:rPr>
            <w:rFonts w:ascii="Times New Roman" w:hAnsi="Times New Roman" w:cs="Times New Roman"/>
            <w:noProof/>
            <w:webHidden/>
            <w:sz w:val="26"/>
            <w:szCs w:val="26"/>
          </w:rPr>
          <w:fldChar w:fldCharType="end"/>
        </w:r>
      </w:hyperlink>
    </w:p>
    <w:p w14:paraId="636E77A6" w14:textId="549E7FE2" w:rsidR="0094251F" w:rsidRPr="0094251F" w:rsidRDefault="00587947">
      <w:pPr>
        <w:pStyle w:val="TOC2"/>
        <w:rPr>
          <w:rFonts w:ascii="Times New Roman" w:eastAsiaTheme="minorEastAsia" w:hAnsi="Times New Roman" w:cs="Times New Roman"/>
          <w:noProof/>
          <w:sz w:val="26"/>
          <w:szCs w:val="26"/>
        </w:rPr>
      </w:pPr>
      <w:hyperlink w:anchor="_Toc89253057" w:history="1">
        <w:r w:rsidR="0094251F" w:rsidRPr="0094251F">
          <w:rPr>
            <w:rStyle w:val="Hyperlink"/>
            <w:rFonts w:ascii="Times New Roman" w:hAnsi="Times New Roman" w:cs="Times New Roman"/>
            <w:noProof/>
            <w:sz w:val="26"/>
            <w:szCs w:val="26"/>
          </w:rPr>
          <w:t>B.</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Joint Petition for Settlement</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_Toc89253057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11</w:t>
        </w:r>
        <w:r w:rsidR="0094251F" w:rsidRPr="0094251F">
          <w:rPr>
            <w:rFonts w:ascii="Times New Roman" w:hAnsi="Times New Roman" w:cs="Times New Roman"/>
            <w:noProof/>
            <w:webHidden/>
            <w:sz w:val="26"/>
            <w:szCs w:val="26"/>
          </w:rPr>
          <w:fldChar w:fldCharType="end"/>
        </w:r>
      </w:hyperlink>
    </w:p>
    <w:p w14:paraId="1FF11477" w14:textId="49A798DC" w:rsidR="0094251F" w:rsidRPr="0094251F" w:rsidRDefault="00587947">
      <w:pPr>
        <w:pStyle w:val="TOC3"/>
        <w:rPr>
          <w:rFonts w:ascii="Times New Roman" w:eastAsiaTheme="minorEastAsia" w:hAnsi="Times New Roman" w:cs="Times New Roman"/>
          <w:noProof/>
          <w:sz w:val="26"/>
          <w:szCs w:val="26"/>
        </w:rPr>
      </w:pPr>
      <w:hyperlink w:anchor="_Toc89253058" w:history="1">
        <w:r w:rsidR="0094251F" w:rsidRPr="0094251F">
          <w:rPr>
            <w:rStyle w:val="Hyperlink"/>
            <w:rFonts w:ascii="Times New Roman" w:hAnsi="Times New Roman" w:cs="Times New Roman"/>
            <w:noProof/>
            <w:sz w:val="26"/>
            <w:szCs w:val="26"/>
          </w:rPr>
          <w:t>1.</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Terms and Conditions of the Settlement</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_Toc89253058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11</w:t>
        </w:r>
        <w:r w:rsidR="0094251F" w:rsidRPr="0094251F">
          <w:rPr>
            <w:rFonts w:ascii="Times New Roman" w:hAnsi="Times New Roman" w:cs="Times New Roman"/>
            <w:noProof/>
            <w:webHidden/>
            <w:sz w:val="26"/>
            <w:szCs w:val="26"/>
          </w:rPr>
          <w:fldChar w:fldCharType="end"/>
        </w:r>
      </w:hyperlink>
    </w:p>
    <w:p w14:paraId="7EAAE80D" w14:textId="2629CFB1" w:rsidR="0094251F" w:rsidRPr="0094251F" w:rsidRDefault="00587947">
      <w:pPr>
        <w:pStyle w:val="TOC3"/>
        <w:rPr>
          <w:rFonts w:ascii="Times New Roman" w:eastAsiaTheme="minorEastAsia" w:hAnsi="Times New Roman" w:cs="Times New Roman"/>
          <w:noProof/>
          <w:sz w:val="26"/>
          <w:szCs w:val="26"/>
        </w:rPr>
      </w:pPr>
      <w:hyperlink w:anchor="_Toc89253059" w:history="1">
        <w:r w:rsidR="0094251F" w:rsidRPr="0094251F">
          <w:rPr>
            <w:rStyle w:val="Hyperlink"/>
            <w:rFonts w:ascii="Times New Roman" w:hAnsi="Times New Roman" w:cs="Times New Roman"/>
            <w:noProof/>
            <w:sz w:val="26"/>
            <w:szCs w:val="26"/>
          </w:rPr>
          <w:t>2.</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Statements in Support of the Settlement</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_Toc89253059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20</w:t>
        </w:r>
        <w:r w:rsidR="0094251F" w:rsidRPr="0094251F">
          <w:rPr>
            <w:rFonts w:ascii="Times New Roman" w:hAnsi="Times New Roman" w:cs="Times New Roman"/>
            <w:noProof/>
            <w:webHidden/>
            <w:sz w:val="26"/>
            <w:szCs w:val="26"/>
          </w:rPr>
          <w:fldChar w:fldCharType="end"/>
        </w:r>
      </w:hyperlink>
    </w:p>
    <w:p w14:paraId="7D953E38" w14:textId="3ABF2398" w:rsidR="0094251F" w:rsidRPr="0094251F" w:rsidRDefault="00587947">
      <w:pPr>
        <w:pStyle w:val="TOC3"/>
        <w:rPr>
          <w:rFonts w:ascii="Times New Roman" w:eastAsiaTheme="minorEastAsia" w:hAnsi="Times New Roman" w:cs="Times New Roman"/>
          <w:noProof/>
          <w:sz w:val="26"/>
          <w:szCs w:val="26"/>
        </w:rPr>
      </w:pPr>
      <w:hyperlink w:anchor="_Toc89253060" w:history="1">
        <w:r w:rsidR="0094251F" w:rsidRPr="0094251F">
          <w:rPr>
            <w:rStyle w:val="Hyperlink"/>
            <w:rFonts w:ascii="Times New Roman" w:hAnsi="Times New Roman" w:cs="Times New Roman"/>
            <w:noProof/>
            <w:sz w:val="26"/>
            <w:szCs w:val="26"/>
          </w:rPr>
          <w:t>3.</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ALJ’s Recommendation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_Toc89253060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21</w:t>
        </w:r>
        <w:r w:rsidR="0094251F" w:rsidRPr="0094251F">
          <w:rPr>
            <w:rFonts w:ascii="Times New Roman" w:hAnsi="Times New Roman" w:cs="Times New Roman"/>
            <w:noProof/>
            <w:webHidden/>
            <w:sz w:val="26"/>
            <w:szCs w:val="26"/>
          </w:rPr>
          <w:fldChar w:fldCharType="end"/>
        </w:r>
      </w:hyperlink>
    </w:p>
    <w:p w14:paraId="6180E227" w14:textId="67CA2FEF" w:rsidR="0094251F" w:rsidRPr="0094251F" w:rsidRDefault="00587947">
      <w:pPr>
        <w:pStyle w:val="TOC3"/>
        <w:rPr>
          <w:rFonts w:ascii="Times New Roman" w:eastAsiaTheme="minorEastAsia" w:hAnsi="Times New Roman" w:cs="Times New Roman"/>
          <w:noProof/>
          <w:sz w:val="26"/>
          <w:szCs w:val="26"/>
        </w:rPr>
      </w:pPr>
      <w:hyperlink w:anchor="_Toc89253061" w:history="1">
        <w:r w:rsidR="0094251F" w:rsidRPr="0094251F">
          <w:rPr>
            <w:rStyle w:val="Hyperlink"/>
            <w:rFonts w:ascii="Times New Roman" w:hAnsi="Times New Roman" w:cs="Times New Roman"/>
            <w:noProof/>
            <w:sz w:val="26"/>
            <w:szCs w:val="26"/>
          </w:rPr>
          <w:t>4.</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Exceptions and Rep</w:t>
        </w:r>
        <w:r w:rsidR="0023466C">
          <w:rPr>
            <w:rStyle w:val="Hyperlink"/>
            <w:rFonts w:ascii="Times New Roman" w:hAnsi="Times New Roman" w:cs="Times New Roman"/>
            <w:noProof/>
            <w:sz w:val="26"/>
            <w:szCs w:val="26"/>
          </w:rPr>
          <w:t>lie</w:t>
        </w:r>
        <w:r w:rsidR="0094251F" w:rsidRPr="0094251F">
          <w:rPr>
            <w:rStyle w:val="Hyperlink"/>
            <w:rFonts w:ascii="Times New Roman" w:hAnsi="Times New Roman" w:cs="Times New Roman"/>
            <w:noProof/>
            <w:sz w:val="26"/>
            <w:szCs w:val="26"/>
          </w:rPr>
          <w:t>s</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_Toc89253061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25</w:t>
        </w:r>
        <w:r w:rsidR="0094251F" w:rsidRPr="0094251F">
          <w:rPr>
            <w:rFonts w:ascii="Times New Roman" w:hAnsi="Times New Roman" w:cs="Times New Roman"/>
            <w:noProof/>
            <w:webHidden/>
            <w:sz w:val="26"/>
            <w:szCs w:val="26"/>
          </w:rPr>
          <w:fldChar w:fldCharType="end"/>
        </w:r>
      </w:hyperlink>
    </w:p>
    <w:p w14:paraId="2870DD18" w14:textId="504519CE" w:rsidR="0094251F" w:rsidRPr="0094251F" w:rsidRDefault="00587947">
      <w:pPr>
        <w:pStyle w:val="TOC4"/>
        <w:rPr>
          <w:rFonts w:ascii="Times New Roman" w:eastAsiaTheme="minorEastAsia" w:hAnsi="Times New Roman" w:cs="Times New Roman"/>
          <w:noProof/>
          <w:sz w:val="26"/>
          <w:szCs w:val="26"/>
        </w:rPr>
      </w:pPr>
      <w:hyperlink w:anchor="_Toc89253062" w:history="1">
        <w:r w:rsidR="0094251F" w:rsidRPr="0094251F">
          <w:rPr>
            <w:rStyle w:val="Hyperlink"/>
            <w:rFonts w:ascii="Times New Roman" w:hAnsi="Times New Roman" w:cs="Times New Roman"/>
            <w:noProof/>
            <w:sz w:val="26"/>
            <w:szCs w:val="26"/>
          </w:rPr>
          <w:t>a.</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 No. 1, Re</w:t>
        </w:r>
        <w:r w:rsidR="00C74333">
          <w:rPr>
            <w:rStyle w:val="Hyperlink"/>
            <w:rFonts w:ascii="Times New Roman" w:hAnsi="Times New Roman" w:cs="Times New Roman"/>
            <w:noProof/>
            <w:sz w:val="26"/>
            <w:szCs w:val="26"/>
          </w:rPr>
          <w:t>plie</w:t>
        </w:r>
        <w:r w:rsidR="0094251F" w:rsidRPr="0094251F">
          <w:rPr>
            <w:rStyle w:val="Hyperlink"/>
            <w:rFonts w:ascii="Times New Roman" w:hAnsi="Times New Roman" w:cs="Times New Roman"/>
            <w:noProof/>
            <w:sz w:val="26"/>
            <w:szCs w:val="26"/>
          </w:rPr>
          <w:t>s, and Disposition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_Toc89253062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25</w:t>
        </w:r>
        <w:r w:rsidR="0094251F" w:rsidRPr="0094251F">
          <w:rPr>
            <w:rFonts w:ascii="Times New Roman" w:hAnsi="Times New Roman" w:cs="Times New Roman"/>
            <w:noProof/>
            <w:webHidden/>
            <w:sz w:val="26"/>
            <w:szCs w:val="26"/>
          </w:rPr>
          <w:fldChar w:fldCharType="end"/>
        </w:r>
      </w:hyperlink>
    </w:p>
    <w:p w14:paraId="0CDE9CEA" w14:textId="6F2627DB" w:rsidR="0094251F" w:rsidRPr="0094251F" w:rsidRDefault="00587947">
      <w:pPr>
        <w:pStyle w:val="TOC4"/>
        <w:rPr>
          <w:rFonts w:ascii="Times New Roman" w:eastAsiaTheme="minorEastAsia" w:hAnsi="Times New Roman" w:cs="Times New Roman"/>
          <w:noProof/>
          <w:sz w:val="26"/>
          <w:szCs w:val="26"/>
        </w:rPr>
      </w:pPr>
      <w:hyperlink w:anchor="_Toc89253063" w:history="1">
        <w:r w:rsidR="0094251F" w:rsidRPr="0094251F">
          <w:rPr>
            <w:rStyle w:val="Hyperlink"/>
            <w:rFonts w:ascii="Times New Roman" w:hAnsi="Times New Roman" w:cs="Times New Roman"/>
            <w:noProof/>
            <w:sz w:val="26"/>
            <w:szCs w:val="26"/>
          </w:rPr>
          <w:t>b.</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 No. 2, Replies, and Disposition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_Toc89253063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31</w:t>
        </w:r>
        <w:r w:rsidR="0094251F" w:rsidRPr="0094251F">
          <w:rPr>
            <w:rFonts w:ascii="Times New Roman" w:hAnsi="Times New Roman" w:cs="Times New Roman"/>
            <w:noProof/>
            <w:webHidden/>
            <w:sz w:val="26"/>
            <w:szCs w:val="26"/>
          </w:rPr>
          <w:fldChar w:fldCharType="end"/>
        </w:r>
      </w:hyperlink>
    </w:p>
    <w:p w14:paraId="53368384" w14:textId="59BB5D81" w:rsidR="0094251F" w:rsidRPr="0094251F" w:rsidRDefault="00587947">
      <w:pPr>
        <w:pStyle w:val="TOC4"/>
        <w:rPr>
          <w:rFonts w:ascii="Times New Roman" w:eastAsiaTheme="minorEastAsia" w:hAnsi="Times New Roman" w:cs="Times New Roman"/>
          <w:noProof/>
          <w:sz w:val="26"/>
          <w:szCs w:val="26"/>
        </w:rPr>
      </w:pPr>
      <w:hyperlink w:anchor="_Toc89253064" w:history="1">
        <w:r w:rsidR="0094251F" w:rsidRPr="0094251F">
          <w:rPr>
            <w:rStyle w:val="Hyperlink"/>
            <w:rFonts w:ascii="Times New Roman" w:hAnsi="Times New Roman" w:cs="Times New Roman"/>
            <w:noProof/>
            <w:sz w:val="26"/>
            <w:szCs w:val="26"/>
          </w:rPr>
          <w:t>c.</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 No. 3, Replies, and Disposition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_Toc89253064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36</w:t>
        </w:r>
        <w:r w:rsidR="0094251F" w:rsidRPr="0094251F">
          <w:rPr>
            <w:rFonts w:ascii="Times New Roman" w:hAnsi="Times New Roman" w:cs="Times New Roman"/>
            <w:noProof/>
            <w:webHidden/>
            <w:sz w:val="26"/>
            <w:szCs w:val="26"/>
          </w:rPr>
          <w:fldChar w:fldCharType="end"/>
        </w:r>
      </w:hyperlink>
    </w:p>
    <w:p w14:paraId="6D6035DE" w14:textId="34016F77" w:rsidR="0094251F" w:rsidRPr="0094251F" w:rsidRDefault="00587947">
      <w:pPr>
        <w:pStyle w:val="TOC4"/>
        <w:rPr>
          <w:rFonts w:ascii="Times New Roman" w:eastAsiaTheme="minorEastAsia" w:hAnsi="Times New Roman" w:cs="Times New Roman"/>
          <w:noProof/>
          <w:sz w:val="26"/>
          <w:szCs w:val="26"/>
        </w:rPr>
      </w:pPr>
      <w:hyperlink w:anchor="_Toc89253065" w:history="1">
        <w:r w:rsidR="0094251F" w:rsidRPr="0094251F">
          <w:rPr>
            <w:rStyle w:val="Hyperlink"/>
            <w:rFonts w:ascii="Times New Roman" w:hAnsi="Times New Roman" w:cs="Times New Roman"/>
            <w:noProof/>
            <w:sz w:val="26"/>
            <w:szCs w:val="26"/>
          </w:rPr>
          <w:t>d.</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 No. 4, Replies, and Disposition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_Toc89253065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45</w:t>
        </w:r>
        <w:r w:rsidR="0094251F" w:rsidRPr="0094251F">
          <w:rPr>
            <w:rFonts w:ascii="Times New Roman" w:hAnsi="Times New Roman" w:cs="Times New Roman"/>
            <w:noProof/>
            <w:webHidden/>
            <w:sz w:val="26"/>
            <w:szCs w:val="26"/>
          </w:rPr>
          <w:fldChar w:fldCharType="end"/>
        </w:r>
      </w:hyperlink>
    </w:p>
    <w:p w14:paraId="1EFF7A77" w14:textId="4B4E8D32" w:rsidR="0094251F" w:rsidRPr="0094251F" w:rsidRDefault="00587947">
      <w:pPr>
        <w:pStyle w:val="TOC4"/>
        <w:rPr>
          <w:rFonts w:ascii="Times New Roman" w:eastAsiaTheme="minorEastAsia" w:hAnsi="Times New Roman" w:cs="Times New Roman"/>
          <w:noProof/>
          <w:sz w:val="26"/>
          <w:szCs w:val="26"/>
        </w:rPr>
      </w:pPr>
      <w:hyperlink w:anchor="_Toc89253066" w:history="1">
        <w:r w:rsidR="0094251F" w:rsidRPr="0094251F">
          <w:rPr>
            <w:rStyle w:val="Hyperlink"/>
            <w:rFonts w:ascii="Times New Roman" w:hAnsi="Times New Roman" w:cs="Times New Roman"/>
            <w:noProof/>
            <w:sz w:val="26"/>
            <w:szCs w:val="26"/>
          </w:rPr>
          <w:t>e.</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 No. 5, Replies, and Disposition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_Toc89253066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50</w:t>
        </w:r>
        <w:r w:rsidR="0094251F" w:rsidRPr="0094251F">
          <w:rPr>
            <w:rFonts w:ascii="Times New Roman" w:hAnsi="Times New Roman" w:cs="Times New Roman"/>
            <w:noProof/>
            <w:webHidden/>
            <w:sz w:val="26"/>
            <w:szCs w:val="26"/>
          </w:rPr>
          <w:fldChar w:fldCharType="end"/>
        </w:r>
      </w:hyperlink>
    </w:p>
    <w:p w14:paraId="4A09E199" w14:textId="5EAC95A3" w:rsidR="0094251F" w:rsidRPr="0094251F" w:rsidRDefault="00587947">
      <w:pPr>
        <w:pStyle w:val="TOC4"/>
        <w:rPr>
          <w:rFonts w:ascii="Times New Roman" w:eastAsiaTheme="minorEastAsia" w:hAnsi="Times New Roman" w:cs="Times New Roman"/>
          <w:noProof/>
          <w:sz w:val="26"/>
          <w:szCs w:val="26"/>
        </w:rPr>
      </w:pPr>
      <w:hyperlink w:anchor="_Toc89253067" w:history="1">
        <w:r w:rsidR="0094251F" w:rsidRPr="0094251F">
          <w:rPr>
            <w:rStyle w:val="Hyperlink"/>
            <w:rFonts w:ascii="Times New Roman" w:hAnsi="Times New Roman" w:cs="Times New Roman"/>
            <w:noProof/>
            <w:sz w:val="26"/>
            <w:szCs w:val="26"/>
          </w:rPr>
          <w:t>f.</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Exception No. 6, Re</w:t>
        </w:r>
        <w:r w:rsidR="00C74333">
          <w:rPr>
            <w:rStyle w:val="Hyperlink"/>
            <w:rFonts w:ascii="Times New Roman" w:hAnsi="Times New Roman" w:cs="Times New Roman"/>
            <w:noProof/>
            <w:sz w:val="26"/>
            <w:szCs w:val="26"/>
          </w:rPr>
          <w:t>pli</w:t>
        </w:r>
        <w:r w:rsidR="0094251F" w:rsidRPr="0094251F">
          <w:rPr>
            <w:rStyle w:val="Hyperlink"/>
            <w:rFonts w:ascii="Times New Roman" w:hAnsi="Times New Roman" w:cs="Times New Roman"/>
            <w:noProof/>
            <w:sz w:val="26"/>
            <w:szCs w:val="26"/>
          </w:rPr>
          <w:t>e</w:t>
        </w:r>
        <w:r w:rsidR="00C74333">
          <w:rPr>
            <w:rStyle w:val="Hyperlink"/>
            <w:rFonts w:ascii="Times New Roman" w:hAnsi="Times New Roman" w:cs="Times New Roman"/>
            <w:noProof/>
            <w:sz w:val="26"/>
            <w:szCs w:val="26"/>
          </w:rPr>
          <w:t>s</w:t>
        </w:r>
        <w:r w:rsidR="0094251F" w:rsidRPr="0094251F">
          <w:rPr>
            <w:rStyle w:val="Hyperlink"/>
            <w:rFonts w:ascii="Times New Roman" w:hAnsi="Times New Roman" w:cs="Times New Roman"/>
            <w:noProof/>
            <w:sz w:val="26"/>
            <w:szCs w:val="26"/>
          </w:rPr>
          <w:t>, and Disposition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_Toc89253067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51</w:t>
        </w:r>
        <w:r w:rsidR="0094251F" w:rsidRPr="0094251F">
          <w:rPr>
            <w:rFonts w:ascii="Times New Roman" w:hAnsi="Times New Roman" w:cs="Times New Roman"/>
            <w:noProof/>
            <w:webHidden/>
            <w:sz w:val="26"/>
            <w:szCs w:val="26"/>
          </w:rPr>
          <w:fldChar w:fldCharType="end"/>
        </w:r>
      </w:hyperlink>
    </w:p>
    <w:p w14:paraId="78209786" w14:textId="2ECE22AA" w:rsidR="0094251F" w:rsidRPr="0094251F" w:rsidRDefault="00587947">
      <w:pPr>
        <w:pStyle w:val="TOC3"/>
        <w:rPr>
          <w:rFonts w:ascii="Times New Roman" w:eastAsiaTheme="minorEastAsia" w:hAnsi="Times New Roman" w:cs="Times New Roman"/>
          <w:noProof/>
          <w:sz w:val="26"/>
          <w:szCs w:val="26"/>
        </w:rPr>
      </w:pPr>
      <w:hyperlink w:anchor="_Toc89253068" w:history="1">
        <w:r w:rsidR="0094251F" w:rsidRPr="0094251F">
          <w:rPr>
            <w:rStyle w:val="Hyperlink"/>
            <w:rFonts w:ascii="Times New Roman" w:hAnsi="Times New Roman" w:cs="Times New Roman"/>
            <w:noProof/>
            <w:sz w:val="26"/>
            <w:szCs w:val="26"/>
          </w:rPr>
          <w:t>5.</w:t>
        </w:r>
        <w:r w:rsidR="0094251F" w:rsidRPr="0094251F">
          <w:rPr>
            <w:rFonts w:ascii="Times New Roman" w:eastAsiaTheme="minorEastAsia" w:hAnsi="Times New Roman" w:cs="Times New Roman"/>
            <w:noProof/>
            <w:sz w:val="26"/>
            <w:szCs w:val="26"/>
          </w:rPr>
          <w:tab/>
        </w:r>
        <w:r w:rsidR="0094251F" w:rsidRPr="0094251F">
          <w:rPr>
            <w:rStyle w:val="Hyperlink"/>
            <w:rFonts w:ascii="Times New Roman" w:hAnsi="Times New Roman" w:cs="Times New Roman"/>
            <w:noProof/>
            <w:sz w:val="26"/>
            <w:szCs w:val="26"/>
          </w:rPr>
          <w:t>Disposition of the Joint Petition</w:t>
        </w:r>
        <w:r w:rsidR="0094251F" w:rsidRPr="0094251F">
          <w:rPr>
            <w:rFonts w:ascii="Times New Roman" w:hAnsi="Times New Roman" w:cs="Times New Roman"/>
            <w:noProof/>
            <w:webHidden/>
            <w:sz w:val="26"/>
            <w:szCs w:val="26"/>
          </w:rPr>
          <w:tab/>
        </w:r>
        <w:r w:rsidR="0094251F" w:rsidRPr="0094251F">
          <w:rPr>
            <w:rFonts w:ascii="Times New Roman" w:hAnsi="Times New Roman" w:cs="Times New Roman"/>
            <w:noProof/>
            <w:webHidden/>
            <w:sz w:val="26"/>
            <w:szCs w:val="26"/>
          </w:rPr>
          <w:fldChar w:fldCharType="begin"/>
        </w:r>
        <w:r w:rsidR="0094251F" w:rsidRPr="0094251F">
          <w:rPr>
            <w:rFonts w:ascii="Times New Roman" w:hAnsi="Times New Roman" w:cs="Times New Roman"/>
            <w:noProof/>
            <w:webHidden/>
            <w:sz w:val="26"/>
            <w:szCs w:val="26"/>
          </w:rPr>
          <w:instrText xml:space="preserve"> PAGEREF _Toc89253068 \h </w:instrText>
        </w:r>
        <w:r w:rsidR="0094251F" w:rsidRPr="0094251F">
          <w:rPr>
            <w:rFonts w:ascii="Times New Roman" w:hAnsi="Times New Roman" w:cs="Times New Roman"/>
            <w:noProof/>
            <w:webHidden/>
            <w:sz w:val="26"/>
            <w:szCs w:val="26"/>
          </w:rPr>
        </w:r>
        <w:r w:rsidR="0094251F" w:rsidRPr="0094251F">
          <w:rPr>
            <w:rFonts w:ascii="Times New Roman" w:hAnsi="Times New Roman" w:cs="Times New Roman"/>
            <w:noProof/>
            <w:webHidden/>
            <w:sz w:val="26"/>
            <w:szCs w:val="26"/>
          </w:rPr>
          <w:fldChar w:fldCharType="separate"/>
        </w:r>
        <w:r w:rsidR="0085109D">
          <w:rPr>
            <w:rFonts w:ascii="Times New Roman" w:hAnsi="Times New Roman" w:cs="Times New Roman"/>
            <w:noProof/>
            <w:webHidden/>
            <w:sz w:val="26"/>
            <w:szCs w:val="26"/>
          </w:rPr>
          <w:t>53</w:t>
        </w:r>
        <w:r w:rsidR="0094251F" w:rsidRPr="0094251F">
          <w:rPr>
            <w:rFonts w:ascii="Times New Roman" w:hAnsi="Times New Roman" w:cs="Times New Roman"/>
            <w:noProof/>
            <w:webHidden/>
            <w:sz w:val="26"/>
            <w:szCs w:val="26"/>
          </w:rPr>
          <w:fldChar w:fldCharType="end"/>
        </w:r>
      </w:hyperlink>
    </w:p>
    <w:p w14:paraId="1561F3EE" w14:textId="35E071F0" w:rsidR="0094251F" w:rsidRPr="0094251F" w:rsidRDefault="00587947">
      <w:pPr>
        <w:pStyle w:val="TOC1"/>
        <w:tabs>
          <w:tab w:val="left" w:pos="720"/>
          <w:tab w:val="right" w:leader="dot" w:pos="9350"/>
        </w:tabs>
        <w:rPr>
          <w:rFonts w:eastAsiaTheme="minorEastAsia"/>
          <w:noProof/>
          <w:color w:val="auto"/>
          <w:sz w:val="26"/>
          <w:szCs w:val="26"/>
        </w:rPr>
      </w:pPr>
      <w:hyperlink w:anchor="_Toc89253069" w:history="1">
        <w:r w:rsidR="0094251F" w:rsidRPr="0094251F">
          <w:rPr>
            <w:rStyle w:val="Hyperlink"/>
            <w:noProof/>
            <w:sz w:val="26"/>
            <w:szCs w:val="26"/>
          </w:rPr>
          <w:t>IV.</w:t>
        </w:r>
        <w:r w:rsidR="0094251F" w:rsidRPr="0094251F">
          <w:rPr>
            <w:rFonts w:eastAsiaTheme="minorEastAsia"/>
            <w:noProof/>
            <w:color w:val="auto"/>
            <w:sz w:val="26"/>
            <w:szCs w:val="26"/>
          </w:rPr>
          <w:tab/>
        </w:r>
        <w:r w:rsidR="0094251F" w:rsidRPr="0094251F">
          <w:rPr>
            <w:rStyle w:val="Hyperlink"/>
            <w:noProof/>
            <w:sz w:val="26"/>
            <w:szCs w:val="26"/>
          </w:rPr>
          <w:t>Conclusion</w:t>
        </w:r>
        <w:r w:rsidR="0094251F" w:rsidRPr="0094251F">
          <w:rPr>
            <w:noProof/>
            <w:webHidden/>
            <w:sz w:val="26"/>
            <w:szCs w:val="26"/>
          </w:rPr>
          <w:tab/>
        </w:r>
        <w:r w:rsidR="0094251F" w:rsidRPr="0094251F">
          <w:rPr>
            <w:noProof/>
            <w:webHidden/>
            <w:sz w:val="26"/>
            <w:szCs w:val="26"/>
          </w:rPr>
          <w:fldChar w:fldCharType="begin"/>
        </w:r>
        <w:r w:rsidR="0094251F" w:rsidRPr="0094251F">
          <w:rPr>
            <w:noProof/>
            <w:webHidden/>
            <w:sz w:val="26"/>
            <w:szCs w:val="26"/>
          </w:rPr>
          <w:instrText xml:space="preserve"> PAGEREF _Toc89253069 \h </w:instrText>
        </w:r>
        <w:r w:rsidR="0094251F" w:rsidRPr="0094251F">
          <w:rPr>
            <w:noProof/>
            <w:webHidden/>
            <w:sz w:val="26"/>
            <w:szCs w:val="26"/>
          </w:rPr>
        </w:r>
        <w:r w:rsidR="0094251F" w:rsidRPr="0094251F">
          <w:rPr>
            <w:noProof/>
            <w:webHidden/>
            <w:sz w:val="26"/>
            <w:szCs w:val="26"/>
          </w:rPr>
          <w:fldChar w:fldCharType="separate"/>
        </w:r>
        <w:r w:rsidR="0085109D">
          <w:rPr>
            <w:noProof/>
            <w:webHidden/>
            <w:sz w:val="26"/>
            <w:szCs w:val="26"/>
          </w:rPr>
          <w:t>55</w:t>
        </w:r>
        <w:r w:rsidR="0094251F" w:rsidRPr="0094251F">
          <w:rPr>
            <w:noProof/>
            <w:webHidden/>
            <w:sz w:val="26"/>
            <w:szCs w:val="26"/>
          </w:rPr>
          <w:fldChar w:fldCharType="end"/>
        </w:r>
      </w:hyperlink>
    </w:p>
    <w:p w14:paraId="3AC18F8A" w14:textId="69D7BBDD" w:rsidR="00C47563" w:rsidRDefault="0094251F" w:rsidP="00C47563">
      <w:pPr>
        <w:spacing w:after="0"/>
        <w:contextualSpacing/>
        <w:rPr>
          <w:rFonts w:ascii="Times New Roman" w:eastAsia="Times New Roman" w:hAnsi="Times New Roman" w:cs="Times New Roman"/>
          <w:b/>
          <w:sz w:val="26"/>
          <w:szCs w:val="26"/>
        </w:rPr>
        <w:sectPr w:rsidR="00C47563" w:rsidSect="0094251F">
          <w:footerReference w:type="first" r:id="rId9"/>
          <w:pgSz w:w="12240" w:h="15840"/>
          <w:pgMar w:top="1440" w:right="1440" w:bottom="1440" w:left="1440" w:header="720" w:footer="720" w:gutter="0"/>
          <w:pgNumType w:fmt="lowerRoman" w:start="1"/>
          <w:cols w:space="720"/>
          <w:titlePg/>
          <w:docGrid w:linePitch="360"/>
        </w:sectPr>
      </w:pPr>
      <w:r w:rsidRPr="0094251F">
        <w:rPr>
          <w:rFonts w:ascii="Times New Roman" w:eastAsia="Times New Roman" w:hAnsi="Times New Roman" w:cs="Times New Roman"/>
          <w:b/>
          <w:sz w:val="26"/>
          <w:szCs w:val="26"/>
        </w:rPr>
        <w:fldChar w:fldCharType="end"/>
      </w:r>
    </w:p>
    <w:p w14:paraId="294A562D" w14:textId="77777777" w:rsidR="00840676" w:rsidRPr="00C47563" w:rsidRDefault="00840676" w:rsidP="00C47563">
      <w:pPr>
        <w:keepNext/>
        <w:keepLines/>
        <w:spacing w:after="0" w:line="360" w:lineRule="auto"/>
        <w:contextualSpacing/>
        <w:rPr>
          <w:rFonts w:ascii="Times New Roman" w:eastAsia="Times New Roman" w:hAnsi="Times New Roman" w:cs="Times New Roman"/>
          <w:b/>
          <w:sz w:val="26"/>
          <w:szCs w:val="26"/>
        </w:rPr>
      </w:pPr>
      <w:r w:rsidRPr="00C47563">
        <w:rPr>
          <w:rFonts w:ascii="Times New Roman" w:eastAsia="Times New Roman" w:hAnsi="Times New Roman" w:cs="Times New Roman"/>
          <w:b/>
          <w:sz w:val="26"/>
          <w:szCs w:val="26"/>
        </w:rPr>
        <w:lastRenderedPageBreak/>
        <w:t>BY THE COMMISSION:</w:t>
      </w:r>
    </w:p>
    <w:p w14:paraId="23D8B91E" w14:textId="77777777" w:rsidR="00840676" w:rsidRPr="00C47563" w:rsidRDefault="00840676" w:rsidP="00C47563">
      <w:pPr>
        <w:keepNext/>
        <w:keepLines/>
        <w:spacing w:after="0" w:line="240" w:lineRule="auto"/>
        <w:contextualSpacing/>
        <w:rPr>
          <w:rFonts w:ascii="Times New Roman" w:eastAsia="Times New Roman" w:hAnsi="Times New Roman" w:cs="Times New Roman"/>
          <w:sz w:val="26"/>
          <w:szCs w:val="26"/>
        </w:rPr>
      </w:pPr>
    </w:p>
    <w:p w14:paraId="4C42734A" w14:textId="2BBF2D3B" w:rsidR="00840676" w:rsidRPr="00C47563" w:rsidRDefault="00840676" w:rsidP="00C47563">
      <w:pPr>
        <w:spacing w:after="0" w:line="360" w:lineRule="auto"/>
        <w:ind w:firstLine="1440"/>
        <w:contextualSpacing/>
        <w:rPr>
          <w:rFonts w:ascii="Times New Roman" w:eastAsia="Times New Roman" w:hAnsi="Times New Roman" w:cs="Times New Roman"/>
          <w:b/>
          <w:bCs/>
          <w:sz w:val="26"/>
          <w:szCs w:val="26"/>
        </w:rPr>
      </w:pPr>
      <w:r w:rsidRPr="00C47563">
        <w:rPr>
          <w:rFonts w:ascii="Times New Roman" w:eastAsia="Times New Roman" w:hAnsi="Times New Roman" w:cs="Times New Roman"/>
          <w:sz w:val="26"/>
          <w:szCs w:val="26"/>
        </w:rPr>
        <w:t>Before the Pennsylvania Public Utility Commission (Commission) for</w:t>
      </w:r>
      <w:r w:rsidR="00A258F4" w:rsidRPr="00C47563">
        <w:rPr>
          <w:rFonts w:ascii="Times New Roman" w:eastAsia="Times New Roman" w:hAnsi="Times New Roman" w:cs="Times New Roman"/>
          <w:sz w:val="26"/>
          <w:szCs w:val="26"/>
        </w:rPr>
        <w:t xml:space="preserve"> consideration and disposition</w:t>
      </w:r>
      <w:r w:rsidR="00D13DEF" w:rsidRPr="00C47563">
        <w:rPr>
          <w:rFonts w:ascii="Times New Roman" w:eastAsia="Times New Roman" w:hAnsi="Times New Roman" w:cs="Times New Roman"/>
          <w:sz w:val="26"/>
          <w:szCs w:val="26"/>
        </w:rPr>
        <w:t xml:space="preserve"> are the following matters:</w:t>
      </w:r>
      <w:r w:rsidR="00386E49" w:rsidRPr="00C47563">
        <w:rPr>
          <w:rFonts w:ascii="Times New Roman" w:eastAsia="Times New Roman" w:hAnsi="Times New Roman" w:cs="Times New Roman"/>
          <w:sz w:val="26"/>
          <w:szCs w:val="26"/>
        </w:rPr>
        <w:t xml:space="preserve"> </w:t>
      </w:r>
      <w:r w:rsidR="00A258F4" w:rsidRPr="00C47563">
        <w:rPr>
          <w:rFonts w:ascii="Times New Roman" w:eastAsia="Times New Roman" w:hAnsi="Times New Roman" w:cs="Times New Roman"/>
          <w:sz w:val="26"/>
          <w:szCs w:val="26"/>
        </w:rPr>
        <w:t xml:space="preserve"> </w:t>
      </w:r>
      <w:r w:rsidR="00D13DEF" w:rsidRPr="00C47563">
        <w:rPr>
          <w:rFonts w:ascii="Times New Roman" w:eastAsia="Times New Roman" w:hAnsi="Times New Roman" w:cs="Times New Roman"/>
          <w:sz w:val="26"/>
          <w:szCs w:val="26"/>
        </w:rPr>
        <w:t>(1)</w:t>
      </w:r>
      <w:r w:rsidR="00A258F4" w:rsidRPr="00C47563">
        <w:rPr>
          <w:rFonts w:ascii="Times New Roman" w:eastAsia="Times New Roman" w:hAnsi="Times New Roman" w:cs="Times New Roman"/>
          <w:sz w:val="26"/>
          <w:szCs w:val="26"/>
        </w:rPr>
        <w:t xml:space="preserve"> </w:t>
      </w:r>
      <w:bookmarkStart w:id="0" w:name="_Hlk84241412"/>
      <w:r w:rsidR="00A258F4" w:rsidRPr="00C47563">
        <w:rPr>
          <w:rFonts w:ascii="Times New Roman" w:eastAsia="Times New Roman" w:hAnsi="Times New Roman" w:cs="Times New Roman"/>
          <w:sz w:val="26"/>
          <w:szCs w:val="26"/>
        </w:rPr>
        <w:t xml:space="preserve">the </w:t>
      </w:r>
      <w:r w:rsidR="00CE2958" w:rsidRPr="00C47563">
        <w:rPr>
          <w:rFonts w:ascii="Times New Roman" w:eastAsia="Times New Roman" w:hAnsi="Times New Roman" w:cs="Times New Roman"/>
          <w:sz w:val="26"/>
          <w:szCs w:val="26"/>
        </w:rPr>
        <w:t xml:space="preserve">Exceptions filed by </w:t>
      </w:r>
      <w:r w:rsidR="002C0A76" w:rsidRPr="00C47563">
        <w:rPr>
          <w:rFonts w:ascii="Times New Roman" w:eastAsia="Times New Roman" w:hAnsi="Times New Roman" w:cs="Times New Roman"/>
          <w:sz w:val="26"/>
          <w:szCs w:val="26"/>
        </w:rPr>
        <w:t>Richard C. Culbertson</w:t>
      </w:r>
      <w:r w:rsidR="007763DC" w:rsidRPr="00C47563">
        <w:rPr>
          <w:rFonts w:ascii="Times New Roman" w:eastAsia="Times New Roman" w:hAnsi="Times New Roman" w:cs="Times New Roman"/>
          <w:sz w:val="26"/>
          <w:szCs w:val="26"/>
        </w:rPr>
        <w:t xml:space="preserve"> </w:t>
      </w:r>
      <w:r w:rsidR="00AA46B4" w:rsidRPr="00C47563">
        <w:rPr>
          <w:rFonts w:ascii="Times New Roman" w:eastAsia="Times New Roman" w:hAnsi="Times New Roman" w:cs="Times New Roman"/>
          <w:sz w:val="26"/>
          <w:szCs w:val="26"/>
        </w:rPr>
        <w:t>on</w:t>
      </w:r>
      <w:bookmarkEnd w:id="0"/>
      <w:r w:rsidR="00B3274B" w:rsidRPr="00C47563">
        <w:rPr>
          <w:rFonts w:ascii="Times New Roman" w:eastAsia="Times New Roman" w:hAnsi="Times New Roman" w:cs="Times New Roman"/>
          <w:sz w:val="26"/>
          <w:szCs w:val="26"/>
        </w:rPr>
        <w:t xml:space="preserve"> </w:t>
      </w:r>
      <w:r w:rsidR="00AD7B03" w:rsidRPr="00C47563">
        <w:rPr>
          <w:rFonts w:ascii="Times New Roman" w:eastAsia="Times New Roman" w:hAnsi="Times New Roman" w:cs="Times New Roman"/>
          <w:sz w:val="26"/>
          <w:szCs w:val="26"/>
        </w:rPr>
        <w:t>October 20</w:t>
      </w:r>
      <w:r w:rsidR="004C346A" w:rsidRPr="00C47563">
        <w:rPr>
          <w:rFonts w:ascii="Times New Roman" w:eastAsia="Times New Roman" w:hAnsi="Times New Roman" w:cs="Times New Roman"/>
          <w:sz w:val="26"/>
          <w:szCs w:val="26"/>
        </w:rPr>
        <w:t>,</w:t>
      </w:r>
      <w:r w:rsidR="00AD7B03" w:rsidRPr="00C47563">
        <w:rPr>
          <w:rFonts w:ascii="Times New Roman" w:eastAsia="Times New Roman" w:hAnsi="Times New Roman" w:cs="Times New Roman"/>
          <w:sz w:val="26"/>
          <w:szCs w:val="26"/>
        </w:rPr>
        <w:t xml:space="preserve"> 2021,</w:t>
      </w:r>
      <w:r w:rsidR="004C346A" w:rsidRPr="00C47563">
        <w:rPr>
          <w:rFonts w:ascii="Times New Roman" w:eastAsia="Times New Roman" w:hAnsi="Times New Roman" w:cs="Times New Roman"/>
          <w:sz w:val="26"/>
          <w:szCs w:val="26"/>
        </w:rPr>
        <w:t xml:space="preserve"> to the Recommended Decision of </w:t>
      </w:r>
      <w:r w:rsidR="00FD7F72" w:rsidRPr="00C47563">
        <w:rPr>
          <w:rFonts w:ascii="Times New Roman" w:eastAsia="Times New Roman" w:hAnsi="Times New Roman" w:cs="Times New Roman"/>
          <w:sz w:val="26"/>
          <w:szCs w:val="26"/>
        </w:rPr>
        <w:t xml:space="preserve">Administrative Law Judge (ALJ) </w:t>
      </w:r>
      <w:r w:rsidR="002D60F2" w:rsidRPr="00C47563">
        <w:rPr>
          <w:rFonts w:ascii="Times New Roman" w:eastAsia="Times New Roman" w:hAnsi="Times New Roman" w:cs="Times New Roman"/>
          <w:sz w:val="26"/>
          <w:szCs w:val="26"/>
        </w:rPr>
        <w:t>Mark A. Hoyer</w:t>
      </w:r>
      <w:r w:rsidR="0054654E" w:rsidRPr="00C47563">
        <w:rPr>
          <w:rFonts w:ascii="Times New Roman" w:eastAsia="Times New Roman" w:hAnsi="Times New Roman" w:cs="Times New Roman"/>
          <w:sz w:val="26"/>
          <w:szCs w:val="26"/>
        </w:rPr>
        <w:t xml:space="preserve"> served on </w:t>
      </w:r>
      <w:r w:rsidR="00FD0050" w:rsidRPr="00C47563">
        <w:rPr>
          <w:rFonts w:ascii="Times New Roman" w:eastAsia="Times New Roman" w:hAnsi="Times New Roman" w:cs="Times New Roman"/>
          <w:sz w:val="26"/>
          <w:szCs w:val="26"/>
        </w:rPr>
        <w:t>October 12</w:t>
      </w:r>
      <w:r w:rsidR="007C3D1E" w:rsidRPr="00C47563">
        <w:rPr>
          <w:rFonts w:ascii="Times New Roman" w:eastAsia="Times New Roman" w:hAnsi="Times New Roman" w:cs="Times New Roman"/>
          <w:sz w:val="26"/>
          <w:szCs w:val="26"/>
        </w:rPr>
        <w:t xml:space="preserve">, 2021, </w:t>
      </w:r>
      <w:r w:rsidR="001832C2" w:rsidRPr="00C47563">
        <w:rPr>
          <w:rFonts w:ascii="Times New Roman" w:eastAsia="Times New Roman" w:hAnsi="Times New Roman" w:cs="Times New Roman"/>
          <w:sz w:val="26"/>
          <w:szCs w:val="26"/>
        </w:rPr>
        <w:t>in the</w:t>
      </w:r>
      <w:r w:rsidR="007C3D1E" w:rsidRPr="00C47563">
        <w:rPr>
          <w:rFonts w:ascii="Times New Roman" w:eastAsia="Times New Roman" w:hAnsi="Times New Roman" w:cs="Times New Roman"/>
          <w:sz w:val="26"/>
          <w:szCs w:val="26"/>
        </w:rPr>
        <w:t xml:space="preserve"> </w:t>
      </w:r>
      <w:r w:rsidR="001832C2" w:rsidRPr="00C47563">
        <w:rPr>
          <w:rFonts w:ascii="Times New Roman" w:eastAsia="Times New Roman" w:hAnsi="Times New Roman" w:cs="Times New Roman"/>
          <w:sz w:val="26"/>
          <w:szCs w:val="26"/>
        </w:rPr>
        <w:t>above-captioned general rate increase proceeding</w:t>
      </w:r>
      <w:r w:rsidR="00E2528A" w:rsidRPr="00C47563">
        <w:rPr>
          <w:rFonts w:ascii="Times New Roman" w:eastAsia="Times New Roman" w:hAnsi="Times New Roman" w:cs="Times New Roman"/>
          <w:sz w:val="26"/>
          <w:szCs w:val="26"/>
        </w:rPr>
        <w:t>; and (2</w:t>
      </w:r>
      <w:bookmarkStart w:id="1" w:name="_Hlk84429480"/>
      <w:r w:rsidR="00E2528A" w:rsidRPr="00C47563">
        <w:rPr>
          <w:rFonts w:ascii="Times New Roman" w:eastAsia="Times New Roman" w:hAnsi="Times New Roman" w:cs="Times New Roman"/>
          <w:sz w:val="26"/>
          <w:szCs w:val="26"/>
        </w:rPr>
        <w:t>) the</w:t>
      </w:r>
      <w:r w:rsidR="001832C2" w:rsidRPr="00C47563">
        <w:rPr>
          <w:rFonts w:ascii="Times New Roman" w:eastAsia="Times New Roman" w:hAnsi="Times New Roman" w:cs="Times New Roman"/>
          <w:sz w:val="26"/>
          <w:szCs w:val="26"/>
        </w:rPr>
        <w:t xml:space="preserve"> </w:t>
      </w:r>
      <w:r w:rsidR="00A258F4" w:rsidRPr="00C47563">
        <w:rPr>
          <w:rFonts w:ascii="Times New Roman" w:eastAsia="Times New Roman" w:hAnsi="Times New Roman" w:cs="Times New Roman"/>
          <w:sz w:val="26"/>
          <w:szCs w:val="26"/>
        </w:rPr>
        <w:t xml:space="preserve">Joint Petition for </w:t>
      </w:r>
      <w:r w:rsidR="00763C0C" w:rsidRPr="00C47563">
        <w:rPr>
          <w:rFonts w:ascii="Times New Roman" w:eastAsia="Times New Roman" w:hAnsi="Times New Roman" w:cs="Times New Roman"/>
          <w:sz w:val="26"/>
          <w:szCs w:val="26"/>
        </w:rPr>
        <w:t>Settlement</w:t>
      </w:r>
      <w:r w:rsidR="005506BB" w:rsidRPr="00C47563">
        <w:rPr>
          <w:rFonts w:ascii="Times New Roman" w:eastAsia="Times New Roman" w:hAnsi="Times New Roman" w:cs="Times New Roman"/>
          <w:sz w:val="26"/>
          <w:szCs w:val="26"/>
        </w:rPr>
        <w:t xml:space="preserve"> </w:t>
      </w:r>
      <w:r w:rsidR="00A258F4" w:rsidRPr="00C47563">
        <w:rPr>
          <w:rFonts w:ascii="Times New Roman" w:eastAsia="Times New Roman" w:hAnsi="Times New Roman" w:cs="Times New Roman"/>
          <w:sz w:val="26"/>
          <w:szCs w:val="26"/>
        </w:rPr>
        <w:t>(Joint Petition</w:t>
      </w:r>
      <w:r w:rsidR="00732BCB" w:rsidRPr="00C47563">
        <w:rPr>
          <w:rFonts w:ascii="Times New Roman" w:eastAsia="Times New Roman" w:hAnsi="Times New Roman" w:cs="Times New Roman"/>
          <w:sz w:val="26"/>
          <w:szCs w:val="26"/>
        </w:rPr>
        <w:t xml:space="preserve"> or Settlement</w:t>
      </w:r>
      <w:r w:rsidR="00A258F4" w:rsidRPr="00C47563">
        <w:rPr>
          <w:rFonts w:ascii="Times New Roman" w:eastAsia="Times New Roman" w:hAnsi="Times New Roman" w:cs="Times New Roman"/>
          <w:sz w:val="26"/>
          <w:szCs w:val="26"/>
        </w:rPr>
        <w:t xml:space="preserve">), filed </w:t>
      </w:r>
      <w:r w:rsidR="00C724C6" w:rsidRPr="00C47563">
        <w:rPr>
          <w:rFonts w:ascii="Times New Roman" w:eastAsia="Times New Roman" w:hAnsi="Times New Roman" w:cs="Times New Roman"/>
          <w:sz w:val="26"/>
          <w:szCs w:val="26"/>
        </w:rPr>
        <w:t xml:space="preserve">on </w:t>
      </w:r>
      <w:r w:rsidR="00190EA7" w:rsidRPr="00C47563">
        <w:rPr>
          <w:rFonts w:ascii="Times New Roman" w:eastAsia="Times New Roman" w:hAnsi="Times New Roman" w:cs="Times New Roman"/>
          <w:sz w:val="26"/>
          <w:szCs w:val="26"/>
        </w:rPr>
        <w:t>September 7</w:t>
      </w:r>
      <w:r w:rsidR="00C724C6" w:rsidRPr="00C47563">
        <w:rPr>
          <w:rFonts w:ascii="Times New Roman" w:eastAsia="Times New Roman" w:hAnsi="Times New Roman" w:cs="Times New Roman"/>
          <w:sz w:val="26"/>
          <w:szCs w:val="26"/>
        </w:rPr>
        <w:t>,</w:t>
      </w:r>
      <w:r w:rsidR="00190EA7" w:rsidRPr="00C47563">
        <w:rPr>
          <w:rFonts w:ascii="Times New Roman" w:eastAsia="Times New Roman" w:hAnsi="Times New Roman" w:cs="Times New Roman"/>
          <w:sz w:val="26"/>
          <w:szCs w:val="26"/>
        </w:rPr>
        <w:t xml:space="preserve"> 2021,</w:t>
      </w:r>
      <w:r w:rsidR="00C724C6" w:rsidRPr="00C47563">
        <w:rPr>
          <w:rFonts w:ascii="Times New Roman" w:eastAsia="Times New Roman" w:hAnsi="Times New Roman" w:cs="Times New Roman"/>
          <w:sz w:val="26"/>
          <w:szCs w:val="26"/>
        </w:rPr>
        <w:t xml:space="preserve"> </w:t>
      </w:r>
      <w:r w:rsidR="00C13697" w:rsidRPr="00C47563">
        <w:rPr>
          <w:rFonts w:ascii="Times New Roman" w:eastAsia="Times New Roman" w:hAnsi="Times New Roman" w:cs="Times New Roman"/>
          <w:sz w:val="26"/>
          <w:szCs w:val="26"/>
        </w:rPr>
        <w:t xml:space="preserve">by </w:t>
      </w:r>
      <w:r w:rsidR="00B3274B" w:rsidRPr="00C47563">
        <w:rPr>
          <w:rFonts w:ascii="Times New Roman" w:eastAsia="Times New Roman" w:hAnsi="Times New Roman" w:cs="Times New Roman"/>
          <w:sz w:val="26"/>
          <w:szCs w:val="26"/>
        </w:rPr>
        <w:t xml:space="preserve">Columbia Gas </w:t>
      </w:r>
      <w:r w:rsidR="00623DE0" w:rsidRPr="00C47563">
        <w:rPr>
          <w:rFonts w:ascii="Times New Roman" w:eastAsia="Times New Roman" w:hAnsi="Times New Roman" w:cs="Times New Roman"/>
          <w:sz w:val="26"/>
          <w:szCs w:val="26"/>
        </w:rPr>
        <w:t>of Pennsylvania</w:t>
      </w:r>
      <w:r w:rsidR="003D2803" w:rsidRPr="00C47563">
        <w:rPr>
          <w:rFonts w:ascii="Times New Roman" w:eastAsia="Times New Roman" w:hAnsi="Times New Roman" w:cs="Times New Roman"/>
          <w:sz w:val="26"/>
          <w:szCs w:val="26"/>
        </w:rPr>
        <w:t>, Inc.</w:t>
      </w:r>
      <w:r w:rsidR="00E95753" w:rsidRPr="00C47563">
        <w:rPr>
          <w:rFonts w:ascii="Times New Roman" w:eastAsia="Times New Roman" w:hAnsi="Times New Roman" w:cs="Times New Roman"/>
          <w:sz w:val="26"/>
          <w:szCs w:val="26"/>
        </w:rPr>
        <w:t xml:space="preserve"> </w:t>
      </w:r>
      <w:r w:rsidR="00623DE0" w:rsidRPr="00C47563">
        <w:rPr>
          <w:rFonts w:ascii="Times New Roman" w:eastAsia="Times New Roman" w:hAnsi="Times New Roman" w:cs="Times New Roman"/>
          <w:sz w:val="26"/>
          <w:szCs w:val="26"/>
        </w:rPr>
        <w:t xml:space="preserve">(Columbia </w:t>
      </w:r>
      <w:r w:rsidR="003D2803" w:rsidRPr="00C47563">
        <w:rPr>
          <w:rFonts w:ascii="Times New Roman" w:eastAsia="Times New Roman" w:hAnsi="Times New Roman" w:cs="Times New Roman"/>
          <w:sz w:val="26"/>
          <w:szCs w:val="26"/>
        </w:rPr>
        <w:t xml:space="preserve">or the Company), </w:t>
      </w:r>
      <w:r w:rsidR="00810A1F" w:rsidRPr="00C47563">
        <w:rPr>
          <w:rFonts w:ascii="Times New Roman" w:eastAsia="Times New Roman" w:hAnsi="Times New Roman" w:cs="Times New Roman"/>
          <w:sz w:val="26"/>
          <w:szCs w:val="26"/>
        </w:rPr>
        <w:t>the Commission’s Bureau of Investigation</w:t>
      </w:r>
      <w:r w:rsidR="00231350" w:rsidRPr="00C47563">
        <w:rPr>
          <w:rFonts w:ascii="Times New Roman" w:eastAsia="Times New Roman" w:hAnsi="Times New Roman" w:cs="Times New Roman"/>
          <w:sz w:val="26"/>
          <w:szCs w:val="26"/>
        </w:rPr>
        <w:t xml:space="preserve"> and Enforcement (I&amp;E), </w:t>
      </w:r>
      <w:r w:rsidR="004A65EC" w:rsidRPr="00C47563">
        <w:rPr>
          <w:rFonts w:ascii="Times New Roman" w:eastAsia="Times New Roman" w:hAnsi="Times New Roman" w:cs="Times New Roman"/>
          <w:sz w:val="26"/>
          <w:szCs w:val="26"/>
        </w:rPr>
        <w:t>the Office of Consumer Advocate (OCA)</w:t>
      </w:r>
      <w:r w:rsidR="00E00885" w:rsidRPr="00C47563">
        <w:rPr>
          <w:rFonts w:ascii="Times New Roman" w:eastAsia="Times New Roman" w:hAnsi="Times New Roman" w:cs="Times New Roman"/>
          <w:sz w:val="26"/>
          <w:szCs w:val="26"/>
        </w:rPr>
        <w:t>, the Office of Small Business Advocate (OSBA), C</w:t>
      </w:r>
      <w:r w:rsidR="00623DE0" w:rsidRPr="00C47563">
        <w:rPr>
          <w:rFonts w:ascii="Times New Roman" w:eastAsia="Times New Roman" w:hAnsi="Times New Roman" w:cs="Times New Roman"/>
          <w:sz w:val="26"/>
          <w:szCs w:val="26"/>
        </w:rPr>
        <w:t xml:space="preserve">olumbia </w:t>
      </w:r>
      <w:r w:rsidR="00EE7CF4" w:rsidRPr="00C47563">
        <w:rPr>
          <w:rFonts w:ascii="Times New Roman" w:eastAsia="Times New Roman" w:hAnsi="Times New Roman" w:cs="Times New Roman"/>
          <w:sz w:val="26"/>
          <w:szCs w:val="26"/>
        </w:rPr>
        <w:t xml:space="preserve">Industrial Intervenors (CII), </w:t>
      </w:r>
      <w:r w:rsidR="00BF764D" w:rsidRPr="00C47563">
        <w:rPr>
          <w:rFonts w:ascii="Times New Roman" w:eastAsia="Times New Roman" w:hAnsi="Times New Roman" w:cs="Times New Roman"/>
          <w:sz w:val="26"/>
          <w:szCs w:val="26"/>
        </w:rPr>
        <w:t xml:space="preserve">Shipley </w:t>
      </w:r>
      <w:r w:rsidR="00C25E43" w:rsidRPr="00C47563">
        <w:rPr>
          <w:rFonts w:ascii="Times New Roman" w:eastAsia="Times New Roman" w:hAnsi="Times New Roman" w:cs="Times New Roman"/>
          <w:sz w:val="26"/>
          <w:szCs w:val="26"/>
        </w:rPr>
        <w:t>Choice, LLC d/b/a Shipley Energy Company (Shipley)</w:t>
      </w:r>
      <w:r w:rsidR="00463E62" w:rsidRPr="00C47563">
        <w:rPr>
          <w:rFonts w:ascii="Times New Roman" w:eastAsia="Times New Roman" w:hAnsi="Times New Roman" w:cs="Times New Roman"/>
          <w:sz w:val="26"/>
          <w:szCs w:val="26"/>
        </w:rPr>
        <w:t xml:space="preserve"> and the Retail Energy Supply Association (RESA) (</w:t>
      </w:r>
      <w:r w:rsidR="00627486" w:rsidRPr="00C47563">
        <w:rPr>
          <w:rFonts w:ascii="Times New Roman" w:eastAsia="Times New Roman" w:hAnsi="Times New Roman" w:cs="Times New Roman"/>
          <w:sz w:val="26"/>
          <w:szCs w:val="26"/>
        </w:rPr>
        <w:t xml:space="preserve">collectively, Shipley/RESA), </w:t>
      </w:r>
      <w:r w:rsidR="00841D64" w:rsidRPr="00C47563">
        <w:rPr>
          <w:rFonts w:ascii="Times New Roman" w:eastAsia="Times New Roman" w:hAnsi="Times New Roman" w:cs="Times New Roman"/>
          <w:sz w:val="26"/>
          <w:szCs w:val="26"/>
        </w:rPr>
        <w:t>the Coalition for Affordable Utility Services</w:t>
      </w:r>
      <w:r w:rsidR="00AB2323" w:rsidRPr="00C47563">
        <w:rPr>
          <w:rFonts w:ascii="Times New Roman" w:eastAsia="Times New Roman" w:hAnsi="Times New Roman" w:cs="Times New Roman"/>
          <w:sz w:val="26"/>
          <w:szCs w:val="26"/>
        </w:rPr>
        <w:t xml:space="preserve"> and Energy Efficiency in Pennsylvania (CAUSE-PA), </w:t>
      </w:r>
      <w:r w:rsidR="00EE7CF4" w:rsidRPr="00C47563">
        <w:rPr>
          <w:rFonts w:ascii="Times New Roman" w:eastAsia="Times New Roman" w:hAnsi="Times New Roman" w:cs="Times New Roman"/>
          <w:sz w:val="26"/>
          <w:szCs w:val="26"/>
        </w:rPr>
        <w:t>the Pennsylvania State University (PSU)</w:t>
      </w:r>
      <w:r w:rsidR="00535514" w:rsidRPr="00C47563">
        <w:rPr>
          <w:rFonts w:ascii="Times New Roman" w:eastAsia="Times New Roman" w:hAnsi="Times New Roman" w:cs="Times New Roman"/>
          <w:sz w:val="26"/>
          <w:szCs w:val="26"/>
        </w:rPr>
        <w:t xml:space="preserve">, </w:t>
      </w:r>
      <w:r w:rsidR="00CB0137" w:rsidRPr="00C47563">
        <w:rPr>
          <w:rFonts w:ascii="Times New Roman" w:eastAsia="Times New Roman" w:hAnsi="Times New Roman" w:cs="Times New Roman"/>
          <w:sz w:val="26"/>
          <w:szCs w:val="26"/>
        </w:rPr>
        <w:t xml:space="preserve">and </w:t>
      </w:r>
      <w:r w:rsidR="004126C7" w:rsidRPr="00C47563">
        <w:rPr>
          <w:rFonts w:ascii="Times New Roman" w:eastAsia="Times New Roman" w:hAnsi="Times New Roman" w:cs="Times New Roman"/>
          <w:sz w:val="26"/>
          <w:szCs w:val="26"/>
        </w:rPr>
        <w:t xml:space="preserve">the Pennsylvania </w:t>
      </w:r>
      <w:r w:rsidR="00F8312C" w:rsidRPr="00C47563">
        <w:rPr>
          <w:rFonts w:ascii="Times New Roman" w:eastAsia="Times New Roman" w:hAnsi="Times New Roman" w:cs="Times New Roman"/>
          <w:sz w:val="26"/>
          <w:szCs w:val="26"/>
        </w:rPr>
        <w:t>Weatherization Providers Task Force (</w:t>
      </w:r>
      <w:r w:rsidR="00CB0137" w:rsidRPr="00C47563">
        <w:rPr>
          <w:rFonts w:ascii="Times New Roman" w:eastAsia="Times New Roman" w:hAnsi="Times New Roman" w:cs="Times New Roman"/>
          <w:sz w:val="26"/>
          <w:szCs w:val="26"/>
        </w:rPr>
        <w:t>Task Force)</w:t>
      </w:r>
      <w:r w:rsidR="00535514" w:rsidRPr="00C47563">
        <w:rPr>
          <w:rFonts w:ascii="Times New Roman" w:eastAsia="Times New Roman" w:hAnsi="Times New Roman" w:cs="Times New Roman"/>
          <w:sz w:val="26"/>
          <w:szCs w:val="26"/>
        </w:rPr>
        <w:t xml:space="preserve"> </w:t>
      </w:r>
      <w:r w:rsidR="005F6E65" w:rsidRPr="00C47563">
        <w:rPr>
          <w:rFonts w:ascii="Times New Roman" w:eastAsia="Times New Roman" w:hAnsi="Times New Roman" w:cs="Times New Roman"/>
          <w:sz w:val="26"/>
          <w:szCs w:val="26"/>
        </w:rPr>
        <w:t xml:space="preserve">(collectively, </w:t>
      </w:r>
      <w:r w:rsidR="00FC208B" w:rsidRPr="00C47563">
        <w:rPr>
          <w:rFonts w:ascii="Times New Roman" w:eastAsia="Times New Roman" w:hAnsi="Times New Roman" w:cs="Times New Roman"/>
          <w:sz w:val="26"/>
          <w:szCs w:val="26"/>
        </w:rPr>
        <w:t xml:space="preserve">the </w:t>
      </w:r>
      <w:r w:rsidR="005F6E65" w:rsidRPr="00C47563">
        <w:rPr>
          <w:rFonts w:ascii="Times New Roman" w:eastAsia="Times New Roman" w:hAnsi="Times New Roman" w:cs="Times New Roman"/>
          <w:sz w:val="26"/>
          <w:szCs w:val="26"/>
        </w:rPr>
        <w:t>Joint Petitioners).</w:t>
      </w:r>
      <w:bookmarkEnd w:id="1"/>
      <w:r w:rsidR="000A61ED" w:rsidRPr="00C47563">
        <w:rPr>
          <w:rStyle w:val="FootnoteReference"/>
          <w:rFonts w:ascii="Times New Roman" w:eastAsia="Times New Roman" w:hAnsi="Times New Roman" w:cs="Times New Roman"/>
          <w:sz w:val="26"/>
          <w:szCs w:val="26"/>
        </w:rPr>
        <w:footnoteReference w:id="1"/>
      </w:r>
      <w:r w:rsidR="005F6E65" w:rsidRPr="00C47563">
        <w:rPr>
          <w:rFonts w:ascii="Times New Roman" w:eastAsia="Times New Roman" w:hAnsi="Times New Roman" w:cs="Times New Roman"/>
          <w:sz w:val="26"/>
          <w:szCs w:val="26"/>
        </w:rPr>
        <w:t xml:space="preserve">  </w:t>
      </w:r>
      <w:r w:rsidR="00F02D2A" w:rsidRPr="00C47563">
        <w:rPr>
          <w:rFonts w:ascii="Times New Roman" w:eastAsia="Times New Roman" w:hAnsi="Times New Roman" w:cs="Times New Roman"/>
          <w:sz w:val="26"/>
          <w:szCs w:val="26"/>
        </w:rPr>
        <w:t xml:space="preserve">On </w:t>
      </w:r>
      <w:r w:rsidR="00F8431E" w:rsidRPr="00C47563">
        <w:rPr>
          <w:rFonts w:ascii="Times New Roman" w:eastAsia="Times New Roman" w:hAnsi="Times New Roman" w:cs="Times New Roman"/>
          <w:sz w:val="26"/>
          <w:szCs w:val="26"/>
        </w:rPr>
        <w:t>October 29, 2021</w:t>
      </w:r>
      <w:r w:rsidR="00B85958" w:rsidRPr="00C47563">
        <w:rPr>
          <w:rFonts w:ascii="Times New Roman" w:eastAsia="Times New Roman" w:hAnsi="Times New Roman" w:cs="Times New Roman"/>
          <w:sz w:val="26"/>
          <w:szCs w:val="26"/>
        </w:rPr>
        <w:t>, Columbia filed Replies to Exceptions.</w:t>
      </w:r>
      <w:r w:rsidR="00245ED2" w:rsidRPr="00C47563">
        <w:rPr>
          <w:rFonts w:ascii="Times New Roman" w:eastAsia="Times New Roman" w:hAnsi="Times New Roman" w:cs="Times New Roman"/>
          <w:b/>
          <w:bCs/>
          <w:sz w:val="26"/>
          <w:szCs w:val="26"/>
        </w:rPr>
        <w:t xml:space="preserve">  </w:t>
      </w:r>
    </w:p>
    <w:p w14:paraId="2C4DAAFC" w14:textId="77777777" w:rsidR="005B6850" w:rsidRPr="00C47563" w:rsidRDefault="005B6850" w:rsidP="00C47563">
      <w:pPr>
        <w:spacing w:after="0" w:line="360" w:lineRule="auto"/>
        <w:ind w:firstLine="1440"/>
        <w:contextualSpacing/>
        <w:rPr>
          <w:rFonts w:ascii="Times New Roman" w:eastAsia="Times New Roman" w:hAnsi="Times New Roman" w:cs="Times New Roman"/>
          <w:b/>
          <w:bCs/>
          <w:sz w:val="26"/>
          <w:szCs w:val="26"/>
        </w:rPr>
      </w:pPr>
    </w:p>
    <w:p w14:paraId="3AA55BDD" w14:textId="7807A150" w:rsidR="005B6850" w:rsidRPr="00C47563" w:rsidRDefault="005B6850"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For the reasons stated</w:t>
      </w:r>
      <w:r w:rsidR="005752AC" w:rsidRPr="00C47563">
        <w:rPr>
          <w:rFonts w:ascii="Times New Roman" w:eastAsia="Times New Roman" w:hAnsi="Times New Roman" w:cs="Times New Roman"/>
          <w:sz w:val="26"/>
          <w:szCs w:val="26"/>
        </w:rPr>
        <w:t xml:space="preserve"> below</w:t>
      </w:r>
      <w:r w:rsidRPr="00C47563">
        <w:rPr>
          <w:rFonts w:ascii="Times New Roman" w:eastAsia="Times New Roman" w:hAnsi="Times New Roman" w:cs="Times New Roman"/>
          <w:i/>
          <w:sz w:val="26"/>
          <w:szCs w:val="26"/>
        </w:rPr>
        <w:t>,</w:t>
      </w:r>
      <w:r w:rsidR="00F34505" w:rsidRPr="00C47563">
        <w:rPr>
          <w:rFonts w:ascii="Times New Roman" w:eastAsia="Times New Roman" w:hAnsi="Times New Roman" w:cs="Times New Roman"/>
          <w:sz w:val="26"/>
          <w:szCs w:val="26"/>
        </w:rPr>
        <w:t xml:space="preserve"> we shall</w:t>
      </w:r>
      <w:r w:rsidRPr="00C47563">
        <w:rPr>
          <w:rFonts w:ascii="Times New Roman" w:eastAsia="Times New Roman" w:hAnsi="Times New Roman" w:cs="Times New Roman"/>
          <w:sz w:val="26"/>
          <w:szCs w:val="26"/>
        </w:rPr>
        <w:t xml:space="preserve"> </w:t>
      </w:r>
      <w:r w:rsidR="005752AC" w:rsidRPr="00C47563">
        <w:rPr>
          <w:rFonts w:ascii="Times New Roman" w:eastAsia="Times New Roman" w:hAnsi="Times New Roman" w:cs="Times New Roman"/>
          <w:sz w:val="26"/>
          <w:szCs w:val="26"/>
        </w:rPr>
        <w:t xml:space="preserve">deny </w:t>
      </w:r>
      <w:r w:rsidR="0060609D" w:rsidRPr="00C47563">
        <w:rPr>
          <w:rFonts w:ascii="Times New Roman" w:eastAsia="Times New Roman" w:hAnsi="Times New Roman" w:cs="Times New Roman"/>
          <w:sz w:val="26"/>
          <w:szCs w:val="26"/>
        </w:rPr>
        <w:t>Mr. Culbertson’s</w:t>
      </w:r>
      <w:r w:rsidR="005506BB" w:rsidRPr="00C47563">
        <w:rPr>
          <w:rFonts w:ascii="Times New Roman" w:eastAsia="Times New Roman" w:hAnsi="Times New Roman" w:cs="Times New Roman"/>
          <w:sz w:val="26"/>
          <w:szCs w:val="26"/>
        </w:rPr>
        <w:t xml:space="preserve"> Exceptions</w:t>
      </w:r>
      <w:r w:rsidR="00884C9E" w:rsidRPr="00C47563">
        <w:rPr>
          <w:rFonts w:ascii="Times New Roman" w:eastAsia="Times New Roman" w:hAnsi="Times New Roman" w:cs="Times New Roman"/>
          <w:sz w:val="26"/>
          <w:szCs w:val="26"/>
        </w:rPr>
        <w:t>,</w:t>
      </w:r>
      <w:r w:rsidR="00E24E4B" w:rsidRPr="00C47563">
        <w:rPr>
          <w:rFonts w:ascii="Times New Roman" w:eastAsia="Times New Roman" w:hAnsi="Times New Roman" w:cs="Times New Roman"/>
          <w:sz w:val="26"/>
          <w:szCs w:val="26"/>
        </w:rPr>
        <w:t xml:space="preserve"> in </w:t>
      </w:r>
      <w:r w:rsidR="00F17652" w:rsidRPr="00C47563">
        <w:rPr>
          <w:rFonts w:ascii="Times New Roman" w:eastAsia="Times New Roman" w:hAnsi="Times New Roman" w:cs="Times New Roman"/>
          <w:sz w:val="26"/>
          <w:szCs w:val="26"/>
        </w:rPr>
        <w:t>major part, and grant Mr. Culbertson’s Exceptions, in limited part</w:t>
      </w:r>
      <w:r w:rsidR="00DB649F" w:rsidRPr="00C47563">
        <w:rPr>
          <w:rFonts w:ascii="Times New Roman" w:eastAsia="Times New Roman" w:hAnsi="Times New Roman" w:cs="Times New Roman"/>
          <w:sz w:val="26"/>
          <w:szCs w:val="26"/>
        </w:rPr>
        <w:t>;</w:t>
      </w:r>
      <w:r w:rsidR="00884C9E"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adopt the Recommended Decision</w:t>
      </w:r>
      <w:r w:rsidR="00DB649F"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w:t>
      </w:r>
      <w:r w:rsidR="005506BB" w:rsidRPr="00C47563">
        <w:rPr>
          <w:rFonts w:ascii="Times New Roman" w:eastAsia="Times New Roman" w:hAnsi="Times New Roman" w:cs="Times New Roman"/>
          <w:sz w:val="26"/>
          <w:szCs w:val="26"/>
        </w:rPr>
        <w:t xml:space="preserve">and </w:t>
      </w:r>
      <w:r w:rsidRPr="00C47563">
        <w:rPr>
          <w:rFonts w:ascii="Times New Roman" w:eastAsia="Times New Roman" w:hAnsi="Times New Roman" w:cs="Times New Roman"/>
          <w:sz w:val="26"/>
          <w:szCs w:val="26"/>
        </w:rPr>
        <w:t>approve the Joint Petition</w:t>
      </w:r>
      <w:r w:rsidR="00AA42A4" w:rsidRPr="00C47563">
        <w:rPr>
          <w:rFonts w:ascii="Times New Roman" w:eastAsia="Times New Roman" w:hAnsi="Times New Roman" w:cs="Times New Roman"/>
          <w:sz w:val="26"/>
          <w:szCs w:val="26"/>
        </w:rPr>
        <w:t>, without modification</w:t>
      </w:r>
      <w:r w:rsidR="00DB649F" w:rsidRPr="00C47563">
        <w:rPr>
          <w:rFonts w:ascii="Times New Roman" w:eastAsia="Times New Roman" w:hAnsi="Times New Roman" w:cs="Times New Roman"/>
          <w:sz w:val="26"/>
          <w:szCs w:val="26"/>
        </w:rPr>
        <w:t xml:space="preserve">, as set forth in detail </w:t>
      </w:r>
      <w:r w:rsidR="00E45F3D" w:rsidRPr="00C47563">
        <w:rPr>
          <w:rFonts w:ascii="Times New Roman" w:eastAsia="Times New Roman" w:hAnsi="Times New Roman" w:cs="Times New Roman"/>
          <w:sz w:val="26"/>
          <w:szCs w:val="26"/>
        </w:rPr>
        <w:t>in this Opinion and Order</w:t>
      </w:r>
      <w:r w:rsidRPr="00C47563">
        <w:rPr>
          <w:rFonts w:ascii="Times New Roman" w:eastAsia="Times New Roman" w:hAnsi="Times New Roman" w:cs="Times New Roman"/>
          <w:sz w:val="26"/>
          <w:szCs w:val="26"/>
        </w:rPr>
        <w:t>.</w:t>
      </w:r>
    </w:p>
    <w:p w14:paraId="74C210B6" w14:textId="77777777" w:rsidR="009E1F23" w:rsidRPr="00C47563" w:rsidRDefault="009E1F23" w:rsidP="00C47563">
      <w:pPr>
        <w:pStyle w:val="ListParagraph"/>
        <w:spacing w:line="360" w:lineRule="auto"/>
        <w:ind w:left="0"/>
        <w:contextualSpacing/>
        <w:rPr>
          <w:sz w:val="26"/>
          <w:szCs w:val="26"/>
        </w:rPr>
      </w:pPr>
    </w:p>
    <w:p w14:paraId="540817BE" w14:textId="77777777" w:rsidR="009E1F23" w:rsidRPr="00C47563" w:rsidRDefault="009E1F23" w:rsidP="00C47563">
      <w:pPr>
        <w:pStyle w:val="Heading1"/>
      </w:pPr>
      <w:bookmarkStart w:id="2" w:name="_Toc89253049"/>
      <w:r w:rsidRPr="00C47563">
        <w:t>I.</w:t>
      </w:r>
      <w:r w:rsidRPr="00C47563">
        <w:tab/>
      </w:r>
      <w:r w:rsidR="007D6BF0" w:rsidRPr="00C47563">
        <w:t>History of the Proceeding</w:t>
      </w:r>
      <w:bookmarkEnd w:id="2"/>
    </w:p>
    <w:p w14:paraId="5583B727" w14:textId="6523E0AC" w:rsidR="007D6BF0" w:rsidRPr="00C47563" w:rsidRDefault="007D6BF0" w:rsidP="00C47563">
      <w:pPr>
        <w:pStyle w:val="ListParagraph"/>
        <w:keepNext/>
        <w:keepLines/>
        <w:spacing w:line="360" w:lineRule="auto"/>
        <w:ind w:left="0"/>
        <w:contextualSpacing/>
        <w:jc w:val="center"/>
        <w:rPr>
          <w:sz w:val="26"/>
          <w:szCs w:val="26"/>
          <w:u w:val="single"/>
        </w:rPr>
      </w:pPr>
    </w:p>
    <w:p w14:paraId="6FB327F9" w14:textId="2218B785" w:rsidR="007E4A15" w:rsidRPr="00C47563" w:rsidRDefault="007E4A15" w:rsidP="00C47563">
      <w:pPr>
        <w:spacing w:after="0" w:line="360" w:lineRule="auto"/>
        <w:ind w:left="-14" w:firstLine="1454"/>
        <w:rPr>
          <w:rFonts w:ascii="Times New Roman" w:hAnsi="Times New Roman" w:cs="Times New Roman"/>
          <w:sz w:val="26"/>
          <w:szCs w:val="26"/>
        </w:rPr>
      </w:pPr>
      <w:r w:rsidRPr="00C47563">
        <w:rPr>
          <w:rFonts w:ascii="Times New Roman" w:hAnsi="Times New Roman" w:cs="Times New Roman"/>
          <w:sz w:val="26"/>
          <w:szCs w:val="26"/>
        </w:rPr>
        <w:t>On March 30, 2021, Columbia filed Supplement No. 325 to its Tariff Gas – Pa. P.U.C. No. 9.</w:t>
      </w:r>
      <w:r w:rsidR="001F382D"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Supplement No. 325 was issued to be effective for service rendered on </w:t>
      </w:r>
      <w:r w:rsidRPr="00C47563">
        <w:rPr>
          <w:rFonts w:ascii="Times New Roman" w:hAnsi="Times New Roman" w:cs="Times New Roman"/>
          <w:sz w:val="26"/>
          <w:szCs w:val="26"/>
        </w:rPr>
        <w:lastRenderedPageBreak/>
        <w:t xml:space="preserve">or after May 29, 2021.  </w:t>
      </w:r>
      <w:r w:rsidR="0017672F" w:rsidRPr="00C47563">
        <w:rPr>
          <w:rFonts w:ascii="Times New Roman" w:hAnsi="Times New Roman" w:cs="Times New Roman"/>
          <w:sz w:val="26"/>
          <w:szCs w:val="26"/>
        </w:rPr>
        <w:t>Supplement No. 325</w:t>
      </w:r>
      <w:r w:rsidRPr="00C47563">
        <w:rPr>
          <w:rFonts w:ascii="Times New Roman" w:hAnsi="Times New Roman" w:cs="Times New Roman"/>
          <w:sz w:val="26"/>
          <w:szCs w:val="26"/>
        </w:rPr>
        <w:t xml:space="preserve"> proposed changes to Columbia’s distribution base rates designed to produce an increase in annual revenues of approximately $98.3</w:t>
      </w:r>
      <w:r w:rsidR="00450921">
        <w:rPr>
          <w:rFonts w:ascii="Times New Roman" w:hAnsi="Times New Roman" w:cs="Times New Roman"/>
          <w:sz w:val="26"/>
          <w:szCs w:val="26"/>
        </w:rPr>
        <w:t> </w:t>
      </w:r>
      <w:r w:rsidRPr="00C47563">
        <w:rPr>
          <w:rFonts w:ascii="Times New Roman" w:hAnsi="Times New Roman" w:cs="Times New Roman"/>
          <w:sz w:val="26"/>
          <w:szCs w:val="26"/>
        </w:rPr>
        <w:t>million based upon data for a fully projected future test year (FPFTY) ending December</w:t>
      </w:r>
      <w:r w:rsidR="00450921">
        <w:rPr>
          <w:rFonts w:ascii="Times New Roman" w:hAnsi="Times New Roman" w:cs="Times New Roman"/>
          <w:sz w:val="26"/>
          <w:szCs w:val="26"/>
        </w:rPr>
        <w:t> </w:t>
      </w:r>
      <w:r w:rsidRPr="00C47563">
        <w:rPr>
          <w:rFonts w:ascii="Times New Roman" w:hAnsi="Times New Roman" w:cs="Times New Roman"/>
          <w:sz w:val="26"/>
          <w:szCs w:val="26"/>
        </w:rPr>
        <w:t xml:space="preserve">31, 2022.  </w:t>
      </w:r>
    </w:p>
    <w:p w14:paraId="4017B361" w14:textId="77777777" w:rsidR="00644738" w:rsidRPr="00C47563" w:rsidRDefault="00644738" w:rsidP="00C47563">
      <w:pPr>
        <w:spacing w:after="0" w:line="360" w:lineRule="auto"/>
        <w:ind w:left="1454"/>
        <w:rPr>
          <w:rFonts w:ascii="Times New Roman" w:hAnsi="Times New Roman" w:cs="Times New Roman"/>
          <w:sz w:val="26"/>
          <w:szCs w:val="26"/>
        </w:rPr>
      </w:pPr>
    </w:p>
    <w:p w14:paraId="51D5B4E5" w14:textId="436BEF4F" w:rsidR="007E4A15" w:rsidRPr="00C47563" w:rsidRDefault="007E4A15" w:rsidP="00C47563">
      <w:pPr>
        <w:tabs>
          <w:tab w:val="left" w:pos="1440"/>
        </w:tabs>
        <w:spacing w:after="0" w:line="360" w:lineRule="auto"/>
        <w:ind w:right="3" w:firstLine="1440"/>
        <w:rPr>
          <w:rFonts w:ascii="Times New Roman" w:hAnsi="Times New Roman" w:cs="Times New Roman"/>
          <w:sz w:val="26"/>
          <w:szCs w:val="26"/>
        </w:rPr>
      </w:pPr>
      <w:r w:rsidRPr="00C47563">
        <w:rPr>
          <w:rFonts w:ascii="Times New Roman" w:hAnsi="Times New Roman" w:cs="Times New Roman"/>
          <w:sz w:val="26"/>
          <w:szCs w:val="26"/>
        </w:rPr>
        <w:t>On April 7, 2021, I&amp;E filed a Notice of Appearance.  Complaints were filed by the OCA</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at Docket No. C-2021-3025078</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on April 6, 2021</w:t>
      </w:r>
      <w:r w:rsidR="00D957CB" w:rsidRPr="00C47563">
        <w:rPr>
          <w:rFonts w:ascii="Times New Roman" w:hAnsi="Times New Roman" w:cs="Times New Roman"/>
          <w:sz w:val="26"/>
          <w:szCs w:val="26"/>
        </w:rPr>
        <w:t>;</w:t>
      </w:r>
      <w:r w:rsidRPr="00C47563">
        <w:rPr>
          <w:rFonts w:ascii="Times New Roman" w:hAnsi="Times New Roman" w:cs="Times New Roman"/>
          <w:sz w:val="26"/>
          <w:szCs w:val="26"/>
        </w:rPr>
        <w:t xml:space="preserve"> the OSBA</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at Docket No. C-2021-3025257</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on April 15, 2021</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w:t>
      </w:r>
      <w:r w:rsidR="0090722D" w:rsidRPr="00C47563">
        <w:rPr>
          <w:rFonts w:ascii="Times New Roman" w:hAnsi="Times New Roman" w:cs="Times New Roman"/>
          <w:sz w:val="26"/>
          <w:szCs w:val="26"/>
        </w:rPr>
        <w:t>CII,</w:t>
      </w:r>
      <w:r w:rsidRPr="00C47563">
        <w:rPr>
          <w:rFonts w:ascii="Times New Roman" w:hAnsi="Times New Roman" w:cs="Times New Roman"/>
          <w:sz w:val="26"/>
          <w:szCs w:val="26"/>
        </w:rPr>
        <w:t xml:space="preserve"> at Docket No. C-2021-3025600</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on April 29, 2021</w:t>
      </w:r>
      <w:r w:rsidR="0090722D" w:rsidRPr="00C47563">
        <w:rPr>
          <w:rFonts w:ascii="Times New Roman" w:hAnsi="Times New Roman" w:cs="Times New Roman"/>
          <w:sz w:val="26"/>
          <w:szCs w:val="26"/>
        </w:rPr>
        <w:t xml:space="preserve">; </w:t>
      </w:r>
      <w:r w:rsidRPr="00C47563">
        <w:rPr>
          <w:rFonts w:ascii="Times New Roman" w:hAnsi="Times New Roman" w:cs="Times New Roman"/>
          <w:sz w:val="26"/>
          <w:szCs w:val="26"/>
        </w:rPr>
        <w:t>PSU</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at Docket No. C-2021-3025775</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on May 7, 2021, </w:t>
      </w:r>
      <w:r w:rsidR="0090722D" w:rsidRPr="00C47563">
        <w:rPr>
          <w:rFonts w:ascii="Times New Roman" w:hAnsi="Times New Roman" w:cs="Times New Roman"/>
          <w:sz w:val="26"/>
          <w:szCs w:val="26"/>
        </w:rPr>
        <w:t>Mr.</w:t>
      </w:r>
      <w:r w:rsidRPr="00C47563">
        <w:rPr>
          <w:rFonts w:ascii="Times New Roman" w:hAnsi="Times New Roman" w:cs="Times New Roman"/>
          <w:sz w:val="26"/>
          <w:szCs w:val="26"/>
        </w:rPr>
        <w:t xml:space="preserve"> Culbertson</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at Docket No.</w:t>
      </w:r>
      <w:r w:rsidR="0090722D" w:rsidRPr="00C47563">
        <w:rPr>
          <w:rFonts w:ascii="Times New Roman" w:hAnsi="Times New Roman" w:cs="Times New Roman"/>
          <w:sz w:val="26"/>
          <w:szCs w:val="26"/>
        </w:rPr>
        <w:t xml:space="preserve"> </w:t>
      </w:r>
      <w:r w:rsidRPr="00C47563">
        <w:rPr>
          <w:rFonts w:ascii="Times New Roman" w:hAnsi="Times New Roman" w:cs="Times New Roman"/>
          <w:sz w:val="26"/>
          <w:szCs w:val="26"/>
        </w:rPr>
        <w:t>C-2021-3026054</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on May 25, 2021</w:t>
      </w:r>
      <w:r w:rsidR="0061548A" w:rsidRPr="00C47563">
        <w:rPr>
          <w:rFonts w:ascii="Times New Roman" w:hAnsi="Times New Roman" w:cs="Times New Roman"/>
          <w:sz w:val="26"/>
          <w:szCs w:val="26"/>
        </w:rPr>
        <w:t xml:space="preserve"> (Rate Complaint)</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and </w:t>
      </w:r>
      <w:r w:rsidR="0090722D" w:rsidRPr="00C47563">
        <w:rPr>
          <w:rFonts w:ascii="Times New Roman" w:hAnsi="Times New Roman" w:cs="Times New Roman"/>
          <w:sz w:val="26"/>
          <w:szCs w:val="26"/>
        </w:rPr>
        <w:t>Mr.</w:t>
      </w:r>
      <w:r w:rsidRPr="00C47563">
        <w:rPr>
          <w:rFonts w:ascii="Times New Roman" w:hAnsi="Times New Roman" w:cs="Times New Roman"/>
          <w:sz w:val="26"/>
          <w:szCs w:val="26"/>
        </w:rPr>
        <w:t xml:space="preserve"> Lamb</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at Docket No. C-2021-3027217</w:t>
      </w:r>
      <w:r w:rsidR="0090722D" w:rsidRPr="00C47563">
        <w:rPr>
          <w:rFonts w:ascii="Times New Roman" w:hAnsi="Times New Roman" w:cs="Times New Roman"/>
          <w:sz w:val="26"/>
          <w:szCs w:val="26"/>
        </w:rPr>
        <w:t>,</w:t>
      </w:r>
      <w:r w:rsidRPr="00C47563">
        <w:rPr>
          <w:rFonts w:ascii="Times New Roman" w:hAnsi="Times New Roman" w:cs="Times New Roman"/>
          <w:sz w:val="26"/>
          <w:szCs w:val="26"/>
        </w:rPr>
        <w:t xml:space="preserve"> on July 12, 2021.</w:t>
      </w:r>
      <w:r w:rsidRPr="00C47563">
        <w:rPr>
          <w:rFonts w:ascii="Times New Roman" w:hAnsi="Times New Roman" w:cs="Times New Roman"/>
          <w:sz w:val="26"/>
          <w:szCs w:val="26"/>
          <w:vertAlign w:val="superscript"/>
        </w:rPr>
        <w:footnoteReference w:id="2"/>
      </w:r>
      <w:r w:rsidR="008C7D93" w:rsidRPr="00C47563">
        <w:rPr>
          <w:rFonts w:ascii="Times New Roman" w:hAnsi="Times New Roman" w:cs="Times New Roman"/>
          <w:sz w:val="26"/>
          <w:szCs w:val="26"/>
        </w:rPr>
        <w:t xml:space="preserve">  </w:t>
      </w:r>
    </w:p>
    <w:p w14:paraId="0E899866"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76767019" w14:textId="414A4F92" w:rsidR="007E4A15" w:rsidRPr="00C47563" w:rsidRDefault="007E4A15"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Petitions to Intervene were filed by CAUSE-PA on April 12, 2021, and </w:t>
      </w:r>
      <w:r w:rsidR="00936D1D" w:rsidRPr="00C47563">
        <w:rPr>
          <w:rFonts w:ascii="Times New Roman" w:hAnsi="Times New Roman" w:cs="Times New Roman"/>
          <w:sz w:val="26"/>
          <w:szCs w:val="26"/>
        </w:rPr>
        <w:t>Ta</w:t>
      </w:r>
      <w:r w:rsidRPr="00C47563">
        <w:rPr>
          <w:rFonts w:ascii="Times New Roman" w:hAnsi="Times New Roman" w:cs="Times New Roman"/>
          <w:sz w:val="26"/>
          <w:szCs w:val="26"/>
        </w:rPr>
        <w:t xml:space="preserve">sk Force on May 3, 2021.  On May 5, 2021, Shipley/RESA </w:t>
      </w:r>
      <w:r w:rsidR="0021444A" w:rsidRPr="00C47563">
        <w:rPr>
          <w:rFonts w:ascii="Times New Roman" w:hAnsi="Times New Roman" w:cs="Times New Roman"/>
          <w:sz w:val="26"/>
          <w:szCs w:val="26"/>
        </w:rPr>
        <w:t xml:space="preserve">filed an Amended Petition to </w:t>
      </w:r>
      <w:r w:rsidR="00B87840" w:rsidRPr="00C47563">
        <w:rPr>
          <w:rFonts w:ascii="Times New Roman" w:hAnsi="Times New Roman" w:cs="Times New Roman"/>
          <w:sz w:val="26"/>
          <w:szCs w:val="26"/>
        </w:rPr>
        <w:t xml:space="preserve">Intervene </w:t>
      </w:r>
      <w:r w:rsidR="00925156" w:rsidRPr="00C47563">
        <w:rPr>
          <w:rFonts w:ascii="Times New Roman" w:hAnsi="Times New Roman" w:cs="Times New Roman"/>
          <w:sz w:val="26"/>
          <w:szCs w:val="26"/>
        </w:rPr>
        <w:t>to</w:t>
      </w:r>
      <w:r w:rsidRPr="00C47563">
        <w:rPr>
          <w:rFonts w:ascii="Times New Roman" w:hAnsi="Times New Roman" w:cs="Times New Roman"/>
          <w:sz w:val="26"/>
          <w:szCs w:val="26"/>
        </w:rPr>
        <w:t xml:space="preserve"> amend a Petition to Intervene </w:t>
      </w:r>
      <w:r w:rsidR="00E4630E" w:rsidRPr="00C47563">
        <w:rPr>
          <w:rFonts w:ascii="Times New Roman" w:hAnsi="Times New Roman" w:cs="Times New Roman"/>
          <w:sz w:val="26"/>
          <w:szCs w:val="26"/>
        </w:rPr>
        <w:t xml:space="preserve">previously </w:t>
      </w:r>
      <w:r w:rsidRPr="00C47563">
        <w:rPr>
          <w:rFonts w:ascii="Times New Roman" w:hAnsi="Times New Roman" w:cs="Times New Roman"/>
          <w:sz w:val="26"/>
          <w:szCs w:val="26"/>
        </w:rPr>
        <w:t xml:space="preserve">filed by Shipley and Interstate Gas Supply, Inc. (IGS) by substituting RESA in place of IGS. </w:t>
      </w:r>
    </w:p>
    <w:p w14:paraId="38B7755B" w14:textId="7583BF51" w:rsidR="007E4A15" w:rsidRPr="00C47563" w:rsidRDefault="007E4A15" w:rsidP="00C47563">
      <w:pPr>
        <w:spacing w:after="0" w:line="360" w:lineRule="auto"/>
        <w:ind w:left="1440"/>
        <w:rPr>
          <w:rFonts w:ascii="Times New Roman" w:hAnsi="Times New Roman" w:cs="Times New Roman"/>
          <w:sz w:val="26"/>
          <w:szCs w:val="26"/>
        </w:rPr>
      </w:pPr>
    </w:p>
    <w:p w14:paraId="711DEAB7" w14:textId="0466BCC0" w:rsidR="007E4A15" w:rsidRPr="00C47563" w:rsidRDefault="0041642B" w:rsidP="00C47563">
      <w:pPr>
        <w:spacing w:after="0" w:line="360" w:lineRule="auto"/>
        <w:ind w:left="-15" w:right="3" w:firstLine="1440"/>
        <w:rPr>
          <w:rFonts w:ascii="Times New Roman" w:hAnsi="Times New Roman" w:cs="Times New Roman"/>
          <w:sz w:val="26"/>
          <w:szCs w:val="26"/>
        </w:rPr>
      </w:pPr>
      <w:r w:rsidRPr="00C47563">
        <w:rPr>
          <w:rFonts w:ascii="Times New Roman" w:hAnsi="Times New Roman" w:cs="Times New Roman"/>
          <w:sz w:val="26"/>
          <w:szCs w:val="26"/>
        </w:rPr>
        <w:t xml:space="preserve">By Order entered </w:t>
      </w:r>
      <w:r w:rsidR="007E4A15" w:rsidRPr="00C47563">
        <w:rPr>
          <w:rFonts w:ascii="Times New Roman" w:hAnsi="Times New Roman" w:cs="Times New Roman"/>
          <w:sz w:val="26"/>
          <w:szCs w:val="26"/>
        </w:rPr>
        <w:t>May 6, 2021</w:t>
      </w:r>
      <w:r w:rsidR="003A6495" w:rsidRPr="00C47563">
        <w:rPr>
          <w:rFonts w:ascii="Times New Roman" w:hAnsi="Times New Roman" w:cs="Times New Roman"/>
          <w:sz w:val="26"/>
          <w:szCs w:val="26"/>
        </w:rPr>
        <w:t xml:space="preserve"> (</w:t>
      </w:r>
      <w:r w:rsidR="003A6495" w:rsidRPr="00C47563">
        <w:rPr>
          <w:rFonts w:ascii="Times New Roman" w:hAnsi="Times New Roman" w:cs="Times New Roman"/>
          <w:i/>
          <w:iCs/>
          <w:sz w:val="26"/>
          <w:szCs w:val="26"/>
        </w:rPr>
        <w:t>May 2021 Order</w:t>
      </w:r>
      <w:r w:rsidR="003A6495" w:rsidRPr="00C47563">
        <w:rPr>
          <w:rFonts w:ascii="Times New Roman" w:hAnsi="Times New Roman" w:cs="Times New Roman"/>
          <w:sz w:val="26"/>
          <w:szCs w:val="26"/>
        </w:rPr>
        <w:t>)</w:t>
      </w:r>
      <w:r w:rsidR="007E4A15" w:rsidRPr="00C47563">
        <w:rPr>
          <w:rFonts w:ascii="Times New Roman" w:hAnsi="Times New Roman" w:cs="Times New Roman"/>
          <w:sz w:val="26"/>
          <w:szCs w:val="26"/>
        </w:rPr>
        <w:t>, the Commission suspend</w:t>
      </w:r>
      <w:r w:rsidR="003A6495" w:rsidRPr="00C47563">
        <w:rPr>
          <w:rFonts w:ascii="Times New Roman" w:hAnsi="Times New Roman" w:cs="Times New Roman"/>
          <w:sz w:val="26"/>
          <w:szCs w:val="26"/>
        </w:rPr>
        <w:t>ed</w:t>
      </w:r>
      <w:r w:rsidR="007E4A15" w:rsidRPr="00C47563">
        <w:rPr>
          <w:rFonts w:ascii="Times New Roman" w:hAnsi="Times New Roman" w:cs="Times New Roman"/>
          <w:sz w:val="26"/>
          <w:szCs w:val="26"/>
        </w:rPr>
        <w:t xml:space="preserve"> Columbia’s Supplement No. 325 by operation of law until December</w:t>
      </w:r>
      <w:r w:rsidR="00450921">
        <w:rPr>
          <w:rFonts w:ascii="Times New Roman" w:hAnsi="Times New Roman" w:cs="Times New Roman"/>
          <w:sz w:val="26"/>
          <w:szCs w:val="26"/>
        </w:rPr>
        <w:t> </w:t>
      </w:r>
      <w:r w:rsidR="007E4A15" w:rsidRPr="00C47563">
        <w:rPr>
          <w:rFonts w:ascii="Times New Roman" w:hAnsi="Times New Roman" w:cs="Times New Roman"/>
          <w:sz w:val="26"/>
          <w:szCs w:val="26"/>
        </w:rPr>
        <w:t>29,</w:t>
      </w:r>
      <w:r w:rsidR="00450921">
        <w:rPr>
          <w:rFonts w:ascii="Times New Roman" w:hAnsi="Times New Roman" w:cs="Times New Roman"/>
          <w:sz w:val="26"/>
          <w:szCs w:val="26"/>
        </w:rPr>
        <w:t> </w:t>
      </w:r>
      <w:r w:rsidR="007E4A15" w:rsidRPr="00C47563">
        <w:rPr>
          <w:rFonts w:ascii="Times New Roman" w:hAnsi="Times New Roman" w:cs="Times New Roman"/>
          <w:sz w:val="26"/>
          <w:szCs w:val="26"/>
        </w:rPr>
        <w:t xml:space="preserve">2021.  The </w:t>
      </w:r>
      <w:r w:rsidR="00B6179C" w:rsidRPr="00C47563">
        <w:rPr>
          <w:rFonts w:ascii="Times New Roman" w:hAnsi="Times New Roman" w:cs="Times New Roman"/>
          <w:i/>
          <w:iCs/>
          <w:sz w:val="26"/>
          <w:szCs w:val="26"/>
        </w:rPr>
        <w:t>May 2021 Order</w:t>
      </w:r>
      <w:r w:rsidR="00B6179C" w:rsidRPr="00C47563">
        <w:rPr>
          <w:rFonts w:ascii="Times New Roman" w:hAnsi="Times New Roman" w:cs="Times New Roman"/>
          <w:sz w:val="26"/>
          <w:szCs w:val="26"/>
        </w:rPr>
        <w:t xml:space="preserve"> </w:t>
      </w:r>
      <w:r w:rsidR="007E4A15" w:rsidRPr="00C47563">
        <w:rPr>
          <w:rFonts w:ascii="Times New Roman" w:hAnsi="Times New Roman" w:cs="Times New Roman"/>
          <w:sz w:val="26"/>
          <w:szCs w:val="26"/>
        </w:rPr>
        <w:t xml:space="preserve">instituted an investigation to determine </w:t>
      </w:r>
      <w:bookmarkStart w:id="3" w:name="_Hlk86660607"/>
      <w:r w:rsidR="007E4A15" w:rsidRPr="00C47563">
        <w:rPr>
          <w:rFonts w:ascii="Times New Roman" w:hAnsi="Times New Roman" w:cs="Times New Roman"/>
          <w:sz w:val="26"/>
          <w:szCs w:val="26"/>
        </w:rPr>
        <w:t>the lawfulness, justness, and reasonableness of the rates</w:t>
      </w:r>
      <w:bookmarkEnd w:id="3"/>
      <w:r w:rsidR="007E4A15" w:rsidRPr="00C47563">
        <w:rPr>
          <w:rFonts w:ascii="Times New Roman" w:hAnsi="Times New Roman" w:cs="Times New Roman"/>
          <w:sz w:val="26"/>
          <w:szCs w:val="26"/>
        </w:rPr>
        <w:t xml:space="preserve">, rules, and regulations contained in the proposed Supplement and assigned the case to the Office of Administrative Law Judge for the prompt scheduling of such hearings as may be necessary culminating in the issuance of a Recommended Decision. </w:t>
      </w:r>
    </w:p>
    <w:p w14:paraId="23C25356"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259CE4E1" w14:textId="17E9FA70" w:rsidR="007E4A15" w:rsidRPr="00C47563" w:rsidRDefault="007E4A15" w:rsidP="00C47563">
      <w:pPr>
        <w:spacing w:after="0" w:line="360" w:lineRule="auto"/>
        <w:ind w:left="-15" w:right="3" w:firstLine="1440"/>
        <w:rPr>
          <w:rFonts w:ascii="Times New Roman" w:hAnsi="Times New Roman" w:cs="Times New Roman"/>
          <w:sz w:val="26"/>
          <w:szCs w:val="26"/>
        </w:rPr>
      </w:pPr>
      <w:r w:rsidRPr="00C47563">
        <w:rPr>
          <w:rFonts w:ascii="Times New Roman" w:hAnsi="Times New Roman" w:cs="Times New Roman"/>
          <w:sz w:val="26"/>
          <w:szCs w:val="26"/>
        </w:rPr>
        <w:lastRenderedPageBreak/>
        <w:t xml:space="preserve">A prehearing conference was held on May 17, 2021.  Columbia, I&amp;E, </w:t>
      </w:r>
      <w:r w:rsidR="00F153AA" w:rsidRPr="00C47563">
        <w:rPr>
          <w:rFonts w:ascii="Times New Roman" w:hAnsi="Times New Roman" w:cs="Times New Roman"/>
          <w:sz w:val="26"/>
          <w:szCs w:val="26"/>
        </w:rPr>
        <w:t xml:space="preserve">the </w:t>
      </w:r>
      <w:r w:rsidRPr="00C47563">
        <w:rPr>
          <w:rFonts w:ascii="Times New Roman" w:hAnsi="Times New Roman" w:cs="Times New Roman"/>
          <w:sz w:val="26"/>
          <w:szCs w:val="26"/>
        </w:rPr>
        <w:t xml:space="preserve">OCA, </w:t>
      </w:r>
      <w:r w:rsidR="00F153AA" w:rsidRPr="00C47563">
        <w:rPr>
          <w:rFonts w:ascii="Times New Roman" w:hAnsi="Times New Roman" w:cs="Times New Roman"/>
          <w:sz w:val="26"/>
          <w:szCs w:val="26"/>
        </w:rPr>
        <w:t xml:space="preserve">the </w:t>
      </w:r>
      <w:r w:rsidRPr="00C47563">
        <w:rPr>
          <w:rFonts w:ascii="Times New Roman" w:hAnsi="Times New Roman" w:cs="Times New Roman"/>
          <w:sz w:val="26"/>
          <w:szCs w:val="26"/>
        </w:rPr>
        <w:t>OSBA, CII, PSU, CAUSE-PA, Shipley/RESA</w:t>
      </w:r>
      <w:r w:rsidR="00820D1E" w:rsidRPr="00C47563">
        <w:rPr>
          <w:rFonts w:ascii="Times New Roman" w:hAnsi="Times New Roman" w:cs="Times New Roman"/>
          <w:sz w:val="26"/>
          <w:szCs w:val="26"/>
        </w:rPr>
        <w:t>,</w:t>
      </w:r>
      <w:r w:rsidRPr="00C47563">
        <w:rPr>
          <w:rFonts w:ascii="Times New Roman" w:hAnsi="Times New Roman" w:cs="Times New Roman"/>
          <w:sz w:val="26"/>
          <w:szCs w:val="26"/>
        </w:rPr>
        <w:t xml:space="preserve"> and Task Force were represented at the conference.  </w:t>
      </w:r>
    </w:p>
    <w:p w14:paraId="0F0543F0"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60FBD92B" w14:textId="1719B57A" w:rsidR="007E4A15" w:rsidRPr="00C47563" w:rsidRDefault="007E4A15" w:rsidP="00C47563">
      <w:pPr>
        <w:spacing w:after="0" w:line="360" w:lineRule="auto"/>
        <w:ind w:right="3" w:firstLine="1450"/>
        <w:rPr>
          <w:rFonts w:ascii="Times New Roman" w:hAnsi="Times New Roman" w:cs="Times New Roman"/>
          <w:sz w:val="26"/>
          <w:szCs w:val="26"/>
        </w:rPr>
      </w:pPr>
      <w:r w:rsidRPr="00C47563">
        <w:rPr>
          <w:rFonts w:ascii="Times New Roman" w:hAnsi="Times New Roman" w:cs="Times New Roman"/>
          <w:sz w:val="26"/>
          <w:szCs w:val="26"/>
        </w:rPr>
        <w:t xml:space="preserve">Two public input hearings were held on June 14, 2021.  Two additional public input hearings were held on June 16, 2021.  </w:t>
      </w:r>
      <w:r w:rsidR="009B2E1C" w:rsidRPr="00C47563">
        <w:rPr>
          <w:rFonts w:ascii="Times New Roman" w:hAnsi="Times New Roman" w:cs="Times New Roman"/>
          <w:sz w:val="26"/>
          <w:szCs w:val="26"/>
        </w:rPr>
        <w:t>T</w:t>
      </w:r>
      <w:r w:rsidRPr="00C47563">
        <w:rPr>
          <w:rFonts w:ascii="Times New Roman" w:hAnsi="Times New Roman" w:cs="Times New Roman"/>
          <w:sz w:val="26"/>
          <w:szCs w:val="26"/>
        </w:rPr>
        <w:t>hree witnesses testified at these hearings.</w:t>
      </w:r>
      <w:r w:rsidR="00471AA7" w:rsidRPr="00C47563">
        <w:rPr>
          <w:rFonts w:ascii="Times New Roman" w:hAnsi="Times New Roman" w:cs="Times New Roman"/>
          <w:sz w:val="26"/>
          <w:szCs w:val="26"/>
        </w:rPr>
        <w:t xml:space="preserve">  </w:t>
      </w:r>
      <w:r w:rsidR="00471AA7" w:rsidRPr="00C47563">
        <w:rPr>
          <w:rFonts w:ascii="Times New Roman" w:hAnsi="Times New Roman" w:cs="Times New Roman"/>
          <w:i/>
          <w:iCs/>
          <w:sz w:val="26"/>
          <w:szCs w:val="26"/>
        </w:rPr>
        <w:t>See</w:t>
      </w:r>
      <w:r w:rsidR="00471AA7" w:rsidRPr="00C47563">
        <w:rPr>
          <w:rFonts w:ascii="Times New Roman" w:hAnsi="Times New Roman" w:cs="Times New Roman"/>
          <w:sz w:val="26"/>
          <w:szCs w:val="26"/>
        </w:rPr>
        <w:t xml:space="preserve"> R.D. at 13.</w:t>
      </w:r>
      <w:r w:rsidRPr="00C47563">
        <w:rPr>
          <w:rFonts w:ascii="Times New Roman" w:hAnsi="Times New Roman" w:cs="Times New Roman"/>
          <w:sz w:val="26"/>
          <w:szCs w:val="26"/>
        </w:rPr>
        <w:t xml:space="preserve"> </w:t>
      </w:r>
    </w:p>
    <w:p w14:paraId="38C72C73"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173BE413" w14:textId="0BECC802" w:rsidR="007E4A15" w:rsidRPr="00C47563" w:rsidRDefault="007E4A15" w:rsidP="00C47563">
      <w:pPr>
        <w:spacing w:after="0" w:line="360" w:lineRule="auto"/>
        <w:ind w:left="-15" w:right="3" w:firstLine="1440"/>
        <w:rPr>
          <w:rFonts w:ascii="Times New Roman" w:hAnsi="Times New Roman" w:cs="Times New Roman"/>
          <w:sz w:val="26"/>
          <w:szCs w:val="26"/>
        </w:rPr>
      </w:pPr>
      <w:r w:rsidRPr="00C47563">
        <w:rPr>
          <w:rFonts w:ascii="Times New Roman" w:hAnsi="Times New Roman" w:cs="Times New Roman"/>
          <w:sz w:val="26"/>
          <w:szCs w:val="26"/>
        </w:rPr>
        <w:t>On July 28, 2021, Columbia filed a Motion for a Protective Order.  On August 3, 2021, a Protective Order was issued.</w:t>
      </w:r>
      <w:r w:rsidR="008C7D93" w:rsidRPr="00C47563">
        <w:rPr>
          <w:rFonts w:ascii="Times New Roman" w:hAnsi="Times New Roman" w:cs="Times New Roman"/>
          <w:sz w:val="26"/>
          <w:szCs w:val="26"/>
        </w:rPr>
        <w:t xml:space="preserve">  </w:t>
      </w:r>
    </w:p>
    <w:p w14:paraId="6FA97B46"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001654DC" w14:textId="629132AE" w:rsidR="007E4A15" w:rsidRPr="00C47563" w:rsidRDefault="007E4A15" w:rsidP="00C47563">
      <w:pPr>
        <w:spacing w:after="0" w:line="360" w:lineRule="auto"/>
        <w:ind w:right="3" w:firstLine="1440"/>
        <w:rPr>
          <w:rFonts w:ascii="Times New Roman" w:hAnsi="Times New Roman" w:cs="Times New Roman"/>
          <w:sz w:val="26"/>
          <w:szCs w:val="26"/>
        </w:rPr>
      </w:pPr>
      <w:r w:rsidRPr="00C47563">
        <w:rPr>
          <w:rFonts w:ascii="Times New Roman" w:hAnsi="Times New Roman" w:cs="Times New Roman"/>
          <w:sz w:val="26"/>
          <w:szCs w:val="26"/>
        </w:rPr>
        <w:t xml:space="preserve">An evidentiary hearing was held on August 4, 2021, for the purpose of admitting evidence into the record and allowing </w:t>
      </w:r>
      <w:r w:rsidRPr="00C47563">
        <w:rPr>
          <w:rFonts w:ascii="Times New Roman" w:hAnsi="Times New Roman" w:cs="Times New Roman"/>
          <w:i/>
          <w:sz w:val="26"/>
          <w:szCs w:val="26"/>
        </w:rPr>
        <w:t>pro se</w:t>
      </w:r>
      <w:r w:rsidRPr="00C47563">
        <w:rPr>
          <w:rFonts w:ascii="Times New Roman" w:hAnsi="Times New Roman" w:cs="Times New Roman"/>
          <w:sz w:val="26"/>
          <w:szCs w:val="26"/>
        </w:rPr>
        <w:t xml:space="preserve"> </w:t>
      </w:r>
      <w:r w:rsidR="00603160" w:rsidRPr="00C47563">
        <w:rPr>
          <w:rFonts w:ascii="Times New Roman" w:hAnsi="Times New Roman" w:cs="Times New Roman"/>
          <w:sz w:val="26"/>
          <w:szCs w:val="26"/>
        </w:rPr>
        <w:t>C</w:t>
      </w:r>
      <w:r w:rsidRPr="00C47563">
        <w:rPr>
          <w:rFonts w:ascii="Times New Roman" w:hAnsi="Times New Roman" w:cs="Times New Roman"/>
          <w:sz w:val="26"/>
          <w:szCs w:val="26"/>
        </w:rPr>
        <w:t>omplainant Mr. Culbertson to conduct cross</w:t>
      </w:r>
      <w:r w:rsidR="00440EE4" w:rsidRPr="00C47563">
        <w:rPr>
          <w:rFonts w:ascii="Times New Roman" w:hAnsi="Times New Roman" w:cs="Times New Roman"/>
          <w:sz w:val="26"/>
          <w:szCs w:val="26"/>
        </w:rPr>
        <w:t>-</w:t>
      </w:r>
      <w:r w:rsidRPr="00C47563">
        <w:rPr>
          <w:rFonts w:ascii="Times New Roman" w:hAnsi="Times New Roman" w:cs="Times New Roman"/>
          <w:sz w:val="26"/>
          <w:szCs w:val="26"/>
        </w:rPr>
        <w:t>examination of Columbia’s witness, Mark Kempic</w:t>
      </w:r>
      <w:r w:rsidR="00331A48" w:rsidRPr="00C47563">
        <w:rPr>
          <w:rFonts w:ascii="Times New Roman" w:hAnsi="Times New Roman" w:cs="Times New Roman"/>
          <w:sz w:val="26"/>
          <w:szCs w:val="26"/>
        </w:rPr>
        <w:t>, President of Columbia</w:t>
      </w:r>
      <w:r w:rsidRPr="00C47563">
        <w:rPr>
          <w:rFonts w:ascii="Times New Roman" w:hAnsi="Times New Roman" w:cs="Times New Roman"/>
          <w:sz w:val="26"/>
          <w:szCs w:val="26"/>
        </w:rPr>
        <w:t xml:space="preserve">.  Subsequently, Columbia informed the </w:t>
      </w:r>
      <w:r w:rsidR="00E0551D" w:rsidRPr="00C47563">
        <w:rPr>
          <w:rFonts w:ascii="Times New Roman" w:hAnsi="Times New Roman" w:cs="Times New Roman"/>
          <w:sz w:val="26"/>
          <w:szCs w:val="26"/>
        </w:rPr>
        <w:t>ALJ</w:t>
      </w:r>
      <w:r w:rsidRPr="00C47563">
        <w:rPr>
          <w:rFonts w:ascii="Times New Roman" w:hAnsi="Times New Roman" w:cs="Times New Roman"/>
          <w:sz w:val="26"/>
          <w:szCs w:val="26"/>
        </w:rPr>
        <w:t xml:space="preserve"> that </w:t>
      </w:r>
      <w:r w:rsidR="00440EE4" w:rsidRPr="00C47563">
        <w:rPr>
          <w:rFonts w:ascii="Times New Roman" w:hAnsi="Times New Roman" w:cs="Times New Roman"/>
          <w:sz w:val="26"/>
          <w:szCs w:val="26"/>
        </w:rPr>
        <w:t>t</w:t>
      </w:r>
      <w:r w:rsidRPr="00C47563">
        <w:rPr>
          <w:rFonts w:ascii="Times New Roman" w:hAnsi="Times New Roman" w:cs="Times New Roman"/>
          <w:sz w:val="26"/>
          <w:szCs w:val="26"/>
        </w:rPr>
        <w:t xml:space="preserve">he </w:t>
      </w:r>
      <w:r w:rsidR="00440EE4" w:rsidRPr="00C47563">
        <w:rPr>
          <w:rFonts w:ascii="Times New Roman" w:hAnsi="Times New Roman" w:cs="Times New Roman"/>
          <w:sz w:val="26"/>
          <w:szCs w:val="26"/>
        </w:rPr>
        <w:t>P</w:t>
      </w:r>
      <w:r w:rsidRPr="00C47563">
        <w:rPr>
          <w:rFonts w:ascii="Times New Roman" w:hAnsi="Times New Roman" w:cs="Times New Roman"/>
          <w:sz w:val="26"/>
          <w:szCs w:val="26"/>
        </w:rPr>
        <w:t>arties</w:t>
      </w:r>
      <w:r w:rsidR="00440EE4" w:rsidRPr="00C47563">
        <w:rPr>
          <w:rFonts w:ascii="Times New Roman" w:hAnsi="Times New Roman" w:cs="Times New Roman"/>
          <w:sz w:val="26"/>
          <w:szCs w:val="26"/>
        </w:rPr>
        <w:t>,</w:t>
      </w:r>
      <w:r w:rsidRPr="00C47563">
        <w:rPr>
          <w:rFonts w:ascii="Times New Roman" w:hAnsi="Times New Roman" w:cs="Times New Roman"/>
          <w:sz w:val="26"/>
          <w:szCs w:val="26"/>
        </w:rPr>
        <w:t xml:space="preserve"> except</w:t>
      </w:r>
      <w:r w:rsidR="00440EE4" w:rsidRPr="00C47563">
        <w:rPr>
          <w:rFonts w:ascii="Times New Roman" w:hAnsi="Times New Roman" w:cs="Times New Roman"/>
          <w:sz w:val="26"/>
          <w:szCs w:val="26"/>
        </w:rPr>
        <w:t xml:space="preserve"> </w:t>
      </w:r>
      <w:r w:rsidRPr="00C47563">
        <w:rPr>
          <w:rFonts w:ascii="Times New Roman" w:hAnsi="Times New Roman" w:cs="Times New Roman"/>
          <w:sz w:val="26"/>
          <w:szCs w:val="26"/>
        </w:rPr>
        <w:t>Mr. Culbertson and Mr. Lamb</w:t>
      </w:r>
      <w:r w:rsidR="00440EE4" w:rsidRPr="00C47563">
        <w:rPr>
          <w:rFonts w:ascii="Times New Roman" w:hAnsi="Times New Roman" w:cs="Times New Roman"/>
          <w:sz w:val="26"/>
          <w:szCs w:val="26"/>
        </w:rPr>
        <w:t>,</w:t>
      </w:r>
      <w:r w:rsidRPr="00C47563">
        <w:rPr>
          <w:rFonts w:ascii="Times New Roman" w:hAnsi="Times New Roman" w:cs="Times New Roman"/>
          <w:sz w:val="26"/>
          <w:szCs w:val="26"/>
        </w:rPr>
        <w:t xml:space="preserve"> agreed to a settlement in principle of all issues, excl</w:t>
      </w:r>
      <w:r w:rsidR="00CE46D1" w:rsidRPr="00C47563">
        <w:rPr>
          <w:rFonts w:ascii="Times New Roman" w:hAnsi="Times New Roman" w:cs="Times New Roman"/>
          <w:sz w:val="26"/>
          <w:szCs w:val="26"/>
        </w:rPr>
        <w:t>u</w:t>
      </w:r>
      <w:r w:rsidRPr="00C47563">
        <w:rPr>
          <w:rFonts w:ascii="Times New Roman" w:hAnsi="Times New Roman" w:cs="Times New Roman"/>
          <w:sz w:val="26"/>
          <w:szCs w:val="26"/>
        </w:rPr>
        <w:t xml:space="preserve">ding </w:t>
      </w:r>
      <w:r w:rsidR="008F40BB" w:rsidRPr="00C47563">
        <w:rPr>
          <w:rFonts w:ascii="Times New Roman" w:hAnsi="Times New Roman" w:cs="Times New Roman"/>
          <w:sz w:val="26"/>
          <w:szCs w:val="26"/>
        </w:rPr>
        <w:t xml:space="preserve">the issues </w:t>
      </w:r>
      <w:r w:rsidRPr="00C47563">
        <w:rPr>
          <w:rFonts w:ascii="Times New Roman" w:hAnsi="Times New Roman" w:cs="Times New Roman"/>
          <w:sz w:val="26"/>
          <w:szCs w:val="26"/>
        </w:rPr>
        <w:t>Mr. Culbertson</w:t>
      </w:r>
      <w:r w:rsidR="008F40BB" w:rsidRPr="00C47563">
        <w:rPr>
          <w:rFonts w:ascii="Times New Roman" w:hAnsi="Times New Roman" w:cs="Times New Roman"/>
          <w:sz w:val="26"/>
          <w:szCs w:val="26"/>
        </w:rPr>
        <w:t xml:space="preserve"> raised</w:t>
      </w:r>
      <w:r w:rsidRPr="00C47563">
        <w:rPr>
          <w:rFonts w:ascii="Times New Roman" w:hAnsi="Times New Roman" w:cs="Times New Roman"/>
          <w:sz w:val="26"/>
          <w:szCs w:val="26"/>
        </w:rPr>
        <w:t xml:space="preserve">.  </w:t>
      </w:r>
    </w:p>
    <w:p w14:paraId="73C23E28"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7DD7743F" w14:textId="42F3F254" w:rsidR="007E4A15" w:rsidRPr="00C47563" w:rsidRDefault="007E4A15" w:rsidP="00C47563">
      <w:pPr>
        <w:spacing w:after="0" w:line="360" w:lineRule="auto"/>
        <w:ind w:left="1450" w:right="3"/>
        <w:rPr>
          <w:rFonts w:ascii="Times New Roman" w:hAnsi="Times New Roman" w:cs="Times New Roman"/>
          <w:sz w:val="26"/>
          <w:szCs w:val="26"/>
        </w:rPr>
      </w:pPr>
      <w:r w:rsidRPr="00C47563">
        <w:rPr>
          <w:rFonts w:ascii="Times New Roman" w:hAnsi="Times New Roman" w:cs="Times New Roman"/>
          <w:sz w:val="26"/>
          <w:szCs w:val="26"/>
        </w:rPr>
        <w:t xml:space="preserve">On August 25, 2021, Mr. Culbertson and Columbia filed </w:t>
      </w:r>
      <w:r w:rsidR="00C632AE" w:rsidRPr="00C47563">
        <w:rPr>
          <w:rFonts w:ascii="Times New Roman" w:hAnsi="Times New Roman" w:cs="Times New Roman"/>
          <w:sz w:val="26"/>
          <w:szCs w:val="26"/>
        </w:rPr>
        <w:t>M</w:t>
      </w:r>
      <w:r w:rsidRPr="00C47563">
        <w:rPr>
          <w:rFonts w:ascii="Times New Roman" w:hAnsi="Times New Roman" w:cs="Times New Roman"/>
          <w:sz w:val="26"/>
          <w:szCs w:val="26"/>
        </w:rPr>
        <w:t xml:space="preserve">ain </w:t>
      </w:r>
      <w:r w:rsidR="00C632AE" w:rsidRPr="00C47563">
        <w:rPr>
          <w:rFonts w:ascii="Times New Roman" w:hAnsi="Times New Roman" w:cs="Times New Roman"/>
          <w:sz w:val="26"/>
          <w:szCs w:val="26"/>
        </w:rPr>
        <w:t>B</w:t>
      </w:r>
      <w:r w:rsidRPr="00C47563">
        <w:rPr>
          <w:rFonts w:ascii="Times New Roman" w:hAnsi="Times New Roman" w:cs="Times New Roman"/>
          <w:sz w:val="26"/>
          <w:szCs w:val="26"/>
        </w:rPr>
        <w:t>riefs.</w:t>
      </w:r>
      <w:r w:rsidR="008C7D93" w:rsidRPr="00C47563">
        <w:rPr>
          <w:rFonts w:ascii="Times New Roman" w:hAnsi="Times New Roman" w:cs="Times New Roman"/>
          <w:sz w:val="26"/>
          <w:szCs w:val="26"/>
        </w:rPr>
        <w:t xml:space="preserve">  </w:t>
      </w:r>
    </w:p>
    <w:p w14:paraId="4D939C22"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1F88AC5E" w14:textId="72425134" w:rsidR="007E4A15" w:rsidRPr="00C47563" w:rsidRDefault="007E4A15" w:rsidP="00C47563">
      <w:pPr>
        <w:spacing w:after="0" w:line="360" w:lineRule="auto"/>
        <w:ind w:right="3" w:firstLine="1450"/>
        <w:rPr>
          <w:rFonts w:ascii="Times New Roman" w:hAnsi="Times New Roman" w:cs="Times New Roman"/>
          <w:sz w:val="26"/>
          <w:szCs w:val="26"/>
        </w:rPr>
      </w:pPr>
      <w:r w:rsidRPr="00C47563">
        <w:rPr>
          <w:rFonts w:ascii="Times New Roman" w:hAnsi="Times New Roman" w:cs="Times New Roman"/>
          <w:sz w:val="26"/>
          <w:szCs w:val="26"/>
        </w:rPr>
        <w:t xml:space="preserve">On August 26, 2021, Columbia filed a </w:t>
      </w:r>
      <w:r w:rsidR="0097077A" w:rsidRPr="00C47563">
        <w:rPr>
          <w:rFonts w:ascii="Times New Roman" w:hAnsi="Times New Roman" w:cs="Times New Roman"/>
          <w:sz w:val="26"/>
          <w:szCs w:val="26"/>
        </w:rPr>
        <w:t>M</w:t>
      </w:r>
      <w:r w:rsidRPr="00C47563">
        <w:rPr>
          <w:rFonts w:ascii="Times New Roman" w:hAnsi="Times New Roman" w:cs="Times New Roman"/>
          <w:sz w:val="26"/>
          <w:szCs w:val="26"/>
        </w:rPr>
        <w:t xml:space="preserve">otion to </w:t>
      </w:r>
      <w:r w:rsidR="00612F0D" w:rsidRPr="00C47563">
        <w:rPr>
          <w:rFonts w:ascii="Times New Roman" w:hAnsi="Times New Roman" w:cs="Times New Roman"/>
          <w:sz w:val="26"/>
          <w:szCs w:val="26"/>
        </w:rPr>
        <w:t>S</w:t>
      </w:r>
      <w:r w:rsidRPr="00C47563">
        <w:rPr>
          <w:rFonts w:ascii="Times New Roman" w:hAnsi="Times New Roman" w:cs="Times New Roman"/>
          <w:sz w:val="26"/>
          <w:szCs w:val="26"/>
        </w:rPr>
        <w:t>trike</w:t>
      </w:r>
      <w:r w:rsidR="00612F0D" w:rsidRPr="00C47563">
        <w:rPr>
          <w:rFonts w:ascii="Times New Roman" w:hAnsi="Times New Roman" w:cs="Times New Roman"/>
          <w:sz w:val="26"/>
          <w:szCs w:val="26"/>
        </w:rPr>
        <w:t>, requesting that</w:t>
      </w:r>
      <w:r w:rsidRPr="00C47563">
        <w:rPr>
          <w:rFonts w:ascii="Times New Roman" w:hAnsi="Times New Roman" w:cs="Times New Roman"/>
          <w:sz w:val="26"/>
          <w:szCs w:val="26"/>
        </w:rPr>
        <w:t xml:space="preserve"> pages 34-42 of Mr. Culbertson’s </w:t>
      </w:r>
      <w:r w:rsidR="00612F0D" w:rsidRPr="00C47563">
        <w:rPr>
          <w:rFonts w:ascii="Times New Roman" w:hAnsi="Times New Roman" w:cs="Times New Roman"/>
          <w:sz w:val="26"/>
          <w:szCs w:val="26"/>
        </w:rPr>
        <w:t>M</w:t>
      </w:r>
      <w:r w:rsidRPr="00C47563">
        <w:rPr>
          <w:rFonts w:ascii="Times New Roman" w:hAnsi="Times New Roman" w:cs="Times New Roman"/>
          <w:sz w:val="26"/>
          <w:szCs w:val="26"/>
        </w:rPr>
        <w:t xml:space="preserve">ain </w:t>
      </w:r>
      <w:r w:rsidR="00612F0D" w:rsidRPr="00C47563">
        <w:rPr>
          <w:rFonts w:ascii="Times New Roman" w:hAnsi="Times New Roman" w:cs="Times New Roman"/>
          <w:sz w:val="26"/>
          <w:szCs w:val="26"/>
        </w:rPr>
        <w:t>B</w:t>
      </w:r>
      <w:r w:rsidRPr="00C47563">
        <w:rPr>
          <w:rFonts w:ascii="Times New Roman" w:hAnsi="Times New Roman" w:cs="Times New Roman"/>
          <w:sz w:val="26"/>
          <w:szCs w:val="26"/>
        </w:rPr>
        <w:t>rief</w:t>
      </w:r>
      <w:r w:rsidR="00612F0D" w:rsidRPr="00C47563">
        <w:rPr>
          <w:rFonts w:ascii="Times New Roman" w:hAnsi="Times New Roman" w:cs="Times New Roman"/>
          <w:sz w:val="26"/>
          <w:szCs w:val="26"/>
        </w:rPr>
        <w:t xml:space="preserve"> be stricken</w:t>
      </w:r>
      <w:r w:rsidRPr="00C47563">
        <w:rPr>
          <w:rFonts w:ascii="Times New Roman" w:hAnsi="Times New Roman" w:cs="Times New Roman"/>
          <w:sz w:val="26"/>
          <w:szCs w:val="26"/>
        </w:rPr>
        <w:t xml:space="preserve">.  Mr. Culbertson filed a response to Columbia’s </w:t>
      </w:r>
      <w:r w:rsidR="0064487F" w:rsidRPr="00C47563">
        <w:rPr>
          <w:rFonts w:ascii="Times New Roman" w:hAnsi="Times New Roman" w:cs="Times New Roman"/>
          <w:sz w:val="26"/>
          <w:szCs w:val="26"/>
        </w:rPr>
        <w:t>M</w:t>
      </w:r>
      <w:r w:rsidRPr="00C47563">
        <w:rPr>
          <w:rFonts w:ascii="Times New Roman" w:hAnsi="Times New Roman" w:cs="Times New Roman"/>
          <w:sz w:val="26"/>
          <w:szCs w:val="26"/>
        </w:rPr>
        <w:t xml:space="preserve">otion to </w:t>
      </w:r>
      <w:r w:rsidR="0064487F" w:rsidRPr="00C47563">
        <w:rPr>
          <w:rFonts w:ascii="Times New Roman" w:hAnsi="Times New Roman" w:cs="Times New Roman"/>
          <w:sz w:val="26"/>
          <w:szCs w:val="26"/>
        </w:rPr>
        <w:t>S</w:t>
      </w:r>
      <w:r w:rsidRPr="00C47563">
        <w:rPr>
          <w:rFonts w:ascii="Times New Roman" w:hAnsi="Times New Roman" w:cs="Times New Roman"/>
          <w:sz w:val="26"/>
          <w:szCs w:val="26"/>
        </w:rPr>
        <w:t xml:space="preserve">trike on August 30, 2021.  On September 2, 2021, the </w:t>
      </w:r>
      <w:r w:rsidR="00B70BFC" w:rsidRPr="00C47563">
        <w:rPr>
          <w:rFonts w:ascii="Times New Roman" w:hAnsi="Times New Roman" w:cs="Times New Roman"/>
          <w:sz w:val="26"/>
          <w:szCs w:val="26"/>
        </w:rPr>
        <w:t xml:space="preserve">ALJ issued the </w:t>
      </w:r>
      <w:r w:rsidRPr="00C47563">
        <w:rPr>
          <w:rFonts w:ascii="Times New Roman" w:hAnsi="Times New Roman" w:cs="Times New Roman"/>
          <w:sz w:val="26"/>
          <w:szCs w:val="26"/>
        </w:rPr>
        <w:t xml:space="preserve">Tenth Interim Order granting </w:t>
      </w:r>
      <w:r w:rsidR="00B70BFC" w:rsidRPr="00C47563">
        <w:rPr>
          <w:rFonts w:ascii="Times New Roman" w:hAnsi="Times New Roman" w:cs="Times New Roman"/>
          <w:sz w:val="26"/>
          <w:szCs w:val="26"/>
        </w:rPr>
        <w:t>Columbia’s Motion to Strike</w:t>
      </w:r>
      <w:r w:rsidRPr="00C47563">
        <w:rPr>
          <w:rFonts w:ascii="Times New Roman" w:hAnsi="Times New Roman" w:cs="Times New Roman"/>
          <w:sz w:val="26"/>
          <w:szCs w:val="26"/>
        </w:rPr>
        <w:t>.</w:t>
      </w:r>
      <w:r w:rsidR="008C7D93" w:rsidRPr="00C47563">
        <w:rPr>
          <w:rFonts w:ascii="Times New Roman" w:hAnsi="Times New Roman" w:cs="Times New Roman"/>
          <w:sz w:val="26"/>
          <w:szCs w:val="26"/>
        </w:rPr>
        <w:t xml:space="preserve">  </w:t>
      </w:r>
    </w:p>
    <w:p w14:paraId="594947DF" w14:textId="06B0AA73" w:rsidR="007E4A15" w:rsidRPr="00C47563" w:rsidRDefault="007E4A15" w:rsidP="00C47563">
      <w:pPr>
        <w:spacing w:after="0" w:line="360" w:lineRule="auto"/>
        <w:ind w:left="1440"/>
        <w:rPr>
          <w:rFonts w:ascii="Times New Roman" w:hAnsi="Times New Roman" w:cs="Times New Roman"/>
          <w:sz w:val="26"/>
          <w:szCs w:val="26"/>
        </w:rPr>
      </w:pPr>
    </w:p>
    <w:p w14:paraId="6B5718EA" w14:textId="20D5B6F5" w:rsidR="007E4A15" w:rsidRPr="00C47563" w:rsidRDefault="007E4A15" w:rsidP="00C47563">
      <w:pPr>
        <w:spacing w:after="0" w:line="360" w:lineRule="auto"/>
        <w:ind w:left="-15" w:right="3" w:firstLine="1440"/>
        <w:rPr>
          <w:rFonts w:ascii="Times New Roman" w:hAnsi="Times New Roman" w:cs="Times New Roman"/>
          <w:sz w:val="26"/>
          <w:szCs w:val="26"/>
        </w:rPr>
      </w:pPr>
      <w:r w:rsidRPr="00C47563">
        <w:rPr>
          <w:rFonts w:ascii="Times New Roman" w:hAnsi="Times New Roman" w:cs="Times New Roman"/>
          <w:sz w:val="26"/>
          <w:szCs w:val="26"/>
        </w:rPr>
        <w:t xml:space="preserve">On September 7, 2021, </w:t>
      </w:r>
      <w:r w:rsidR="005D3061" w:rsidRPr="00C47563">
        <w:rPr>
          <w:rFonts w:ascii="Times New Roman" w:hAnsi="Times New Roman" w:cs="Times New Roman"/>
          <w:sz w:val="26"/>
          <w:szCs w:val="26"/>
        </w:rPr>
        <w:t>the Joint Petitioners filed the Settlement</w:t>
      </w:r>
      <w:r w:rsidR="00D37CDA" w:rsidRPr="00C47563">
        <w:rPr>
          <w:rFonts w:ascii="Times New Roman" w:hAnsi="Times New Roman" w:cs="Times New Roman"/>
          <w:sz w:val="26"/>
          <w:szCs w:val="26"/>
        </w:rPr>
        <w:t xml:space="preserve"> and Statements in Support of the Settlement</w:t>
      </w:r>
      <w:r w:rsidR="005D3061" w:rsidRPr="00C47563">
        <w:rPr>
          <w:rFonts w:ascii="Times New Roman" w:hAnsi="Times New Roman" w:cs="Times New Roman"/>
          <w:sz w:val="26"/>
          <w:szCs w:val="26"/>
        </w:rPr>
        <w:t xml:space="preserve">.  </w:t>
      </w:r>
      <w:r w:rsidR="00B72F64" w:rsidRPr="00C47563">
        <w:rPr>
          <w:rFonts w:ascii="Times New Roman" w:hAnsi="Times New Roman" w:cs="Times New Roman"/>
          <w:sz w:val="26"/>
          <w:szCs w:val="26"/>
        </w:rPr>
        <w:t xml:space="preserve">Also on September 7, 2021, Mr. </w:t>
      </w:r>
      <w:r w:rsidR="00CC7E7B" w:rsidRPr="00C47563">
        <w:rPr>
          <w:rFonts w:ascii="Times New Roman" w:hAnsi="Times New Roman" w:cs="Times New Roman"/>
          <w:sz w:val="26"/>
          <w:szCs w:val="26"/>
        </w:rPr>
        <w:t xml:space="preserve">Culbertson and Columbia filed </w:t>
      </w:r>
      <w:r w:rsidRPr="00C47563">
        <w:rPr>
          <w:rFonts w:ascii="Times New Roman" w:hAnsi="Times New Roman" w:cs="Times New Roman"/>
          <w:sz w:val="26"/>
          <w:szCs w:val="26"/>
        </w:rPr>
        <w:t xml:space="preserve">Reply </w:t>
      </w:r>
      <w:r w:rsidR="00CC7E7B" w:rsidRPr="00C47563">
        <w:rPr>
          <w:rFonts w:ascii="Times New Roman" w:hAnsi="Times New Roman" w:cs="Times New Roman"/>
          <w:sz w:val="26"/>
          <w:szCs w:val="26"/>
        </w:rPr>
        <w:t>B</w:t>
      </w:r>
      <w:r w:rsidRPr="00C47563">
        <w:rPr>
          <w:rFonts w:ascii="Times New Roman" w:hAnsi="Times New Roman" w:cs="Times New Roman"/>
          <w:sz w:val="26"/>
          <w:szCs w:val="26"/>
        </w:rPr>
        <w:t>riefs.</w:t>
      </w:r>
      <w:r w:rsidR="008C7D93" w:rsidRPr="00C47563">
        <w:rPr>
          <w:rFonts w:ascii="Times New Roman" w:hAnsi="Times New Roman" w:cs="Times New Roman"/>
          <w:sz w:val="26"/>
          <w:szCs w:val="26"/>
        </w:rPr>
        <w:t xml:space="preserve">  </w:t>
      </w:r>
    </w:p>
    <w:p w14:paraId="0763C039"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4B05A343" w14:textId="4CBCE5BD" w:rsidR="007E4A15" w:rsidRPr="00C47563" w:rsidRDefault="007E4A15" w:rsidP="00C47563">
      <w:pPr>
        <w:spacing w:after="0" w:line="360" w:lineRule="auto"/>
        <w:ind w:right="3" w:firstLine="1450"/>
        <w:rPr>
          <w:rFonts w:ascii="Times New Roman" w:hAnsi="Times New Roman" w:cs="Times New Roman"/>
          <w:sz w:val="26"/>
          <w:szCs w:val="26"/>
        </w:rPr>
      </w:pPr>
      <w:r w:rsidRPr="00C47563">
        <w:rPr>
          <w:rFonts w:ascii="Times New Roman" w:hAnsi="Times New Roman" w:cs="Times New Roman"/>
          <w:sz w:val="26"/>
          <w:szCs w:val="26"/>
        </w:rPr>
        <w:lastRenderedPageBreak/>
        <w:t xml:space="preserve">On September 8, 2021, the </w:t>
      </w:r>
      <w:r w:rsidR="00CC7E7B" w:rsidRPr="00C47563">
        <w:rPr>
          <w:rFonts w:ascii="Times New Roman" w:hAnsi="Times New Roman" w:cs="Times New Roman"/>
          <w:sz w:val="26"/>
          <w:szCs w:val="26"/>
        </w:rPr>
        <w:t xml:space="preserve">ALJ issued the </w:t>
      </w:r>
      <w:r w:rsidRPr="00C47563">
        <w:rPr>
          <w:rFonts w:ascii="Times New Roman" w:hAnsi="Times New Roman" w:cs="Times New Roman"/>
          <w:sz w:val="26"/>
          <w:szCs w:val="26"/>
        </w:rPr>
        <w:t xml:space="preserve">Eleventh Interim Order </w:t>
      </w:r>
      <w:r w:rsidR="00C6642C" w:rsidRPr="00C47563">
        <w:rPr>
          <w:rFonts w:ascii="Times New Roman" w:hAnsi="Times New Roman" w:cs="Times New Roman"/>
          <w:sz w:val="26"/>
          <w:szCs w:val="26"/>
        </w:rPr>
        <w:t>directing</w:t>
      </w:r>
      <w:r w:rsidRPr="00C47563">
        <w:rPr>
          <w:rFonts w:ascii="Times New Roman" w:hAnsi="Times New Roman" w:cs="Times New Roman"/>
          <w:sz w:val="26"/>
          <w:szCs w:val="26"/>
        </w:rPr>
        <w:t xml:space="preserve"> that any</w:t>
      </w:r>
      <w:r w:rsidR="00C6642C"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objections </w:t>
      </w:r>
      <w:r w:rsidR="00C6642C" w:rsidRPr="00C47563">
        <w:rPr>
          <w:rFonts w:ascii="Times New Roman" w:hAnsi="Times New Roman" w:cs="Times New Roman"/>
          <w:sz w:val="26"/>
          <w:szCs w:val="26"/>
        </w:rPr>
        <w:t xml:space="preserve">or comments </w:t>
      </w:r>
      <w:r w:rsidRPr="00C47563">
        <w:rPr>
          <w:rFonts w:ascii="Times New Roman" w:hAnsi="Times New Roman" w:cs="Times New Roman"/>
          <w:sz w:val="26"/>
          <w:szCs w:val="26"/>
        </w:rPr>
        <w:t>to the Settlement be filed and served by September</w:t>
      </w:r>
      <w:r w:rsidR="00C47563">
        <w:rPr>
          <w:rFonts w:ascii="Times New Roman" w:hAnsi="Times New Roman" w:cs="Times New Roman"/>
          <w:sz w:val="26"/>
          <w:szCs w:val="26"/>
        </w:rPr>
        <w:t> </w:t>
      </w:r>
      <w:r w:rsidRPr="00C47563">
        <w:rPr>
          <w:rFonts w:ascii="Times New Roman" w:hAnsi="Times New Roman" w:cs="Times New Roman"/>
          <w:sz w:val="26"/>
          <w:szCs w:val="26"/>
        </w:rPr>
        <w:t>17,</w:t>
      </w:r>
      <w:r w:rsidR="00C47563">
        <w:rPr>
          <w:rFonts w:ascii="Times New Roman" w:hAnsi="Times New Roman" w:cs="Times New Roman"/>
          <w:sz w:val="26"/>
          <w:szCs w:val="26"/>
        </w:rPr>
        <w:t> </w:t>
      </w:r>
      <w:r w:rsidRPr="00C47563">
        <w:rPr>
          <w:rFonts w:ascii="Times New Roman" w:hAnsi="Times New Roman" w:cs="Times New Roman"/>
          <w:sz w:val="26"/>
          <w:szCs w:val="26"/>
        </w:rPr>
        <w:t>2021.</w:t>
      </w:r>
      <w:r w:rsidR="008C7D93" w:rsidRPr="00C47563">
        <w:rPr>
          <w:rFonts w:ascii="Times New Roman" w:hAnsi="Times New Roman" w:cs="Times New Roman"/>
          <w:sz w:val="26"/>
          <w:szCs w:val="26"/>
        </w:rPr>
        <w:t xml:space="preserve">  </w:t>
      </w:r>
    </w:p>
    <w:p w14:paraId="32552B37" w14:textId="77777777" w:rsidR="007E4A15" w:rsidRPr="00C47563" w:rsidRDefault="007E4A15" w:rsidP="00C47563">
      <w:pPr>
        <w:spacing w:after="0" w:line="360" w:lineRule="auto"/>
        <w:ind w:left="1440"/>
        <w:rPr>
          <w:rFonts w:ascii="Times New Roman" w:hAnsi="Times New Roman" w:cs="Times New Roman"/>
          <w:sz w:val="26"/>
          <w:szCs w:val="26"/>
        </w:rPr>
      </w:pPr>
      <w:r w:rsidRPr="00C47563">
        <w:rPr>
          <w:rFonts w:ascii="Times New Roman" w:hAnsi="Times New Roman" w:cs="Times New Roman"/>
          <w:sz w:val="26"/>
          <w:szCs w:val="26"/>
        </w:rPr>
        <w:t xml:space="preserve"> </w:t>
      </w:r>
    </w:p>
    <w:p w14:paraId="2C6F1528" w14:textId="7463BB7B" w:rsidR="007E4A15" w:rsidRDefault="007E4A15" w:rsidP="00C47563">
      <w:pPr>
        <w:spacing w:after="0" w:line="360" w:lineRule="auto"/>
        <w:ind w:right="3" w:firstLine="1440"/>
        <w:rPr>
          <w:rFonts w:ascii="Times New Roman" w:hAnsi="Times New Roman" w:cs="Times New Roman"/>
          <w:sz w:val="26"/>
          <w:szCs w:val="26"/>
        </w:rPr>
      </w:pPr>
      <w:r w:rsidRPr="00C47563">
        <w:rPr>
          <w:rFonts w:ascii="Times New Roman" w:hAnsi="Times New Roman" w:cs="Times New Roman"/>
          <w:sz w:val="26"/>
          <w:szCs w:val="26"/>
        </w:rPr>
        <w:t>On September 24, 2021, Mr. Culbertson filed a Motion to Properly Respond to the Black Box Settlement Agreement Among the Participants (excluding Culbertson) Rate Case.</w:t>
      </w:r>
      <w:r w:rsidR="006803B4"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On September 29, 2021, the </w:t>
      </w:r>
      <w:r w:rsidR="00D52AA2" w:rsidRPr="00C47563">
        <w:rPr>
          <w:rFonts w:ascii="Times New Roman" w:hAnsi="Times New Roman" w:cs="Times New Roman"/>
          <w:sz w:val="26"/>
          <w:szCs w:val="26"/>
        </w:rPr>
        <w:t xml:space="preserve">ALJ issued the </w:t>
      </w:r>
      <w:r w:rsidRPr="00C47563">
        <w:rPr>
          <w:rFonts w:ascii="Times New Roman" w:hAnsi="Times New Roman" w:cs="Times New Roman"/>
          <w:sz w:val="26"/>
          <w:szCs w:val="26"/>
        </w:rPr>
        <w:t>Twelfth Interim Order denying</w:t>
      </w:r>
      <w:r w:rsidR="00D52AA2" w:rsidRPr="00C47563">
        <w:rPr>
          <w:rFonts w:ascii="Times New Roman" w:hAnsi="Times New Roman" w:cs="Times New Roman"/>
          <w:sz w:val="26"/>
          <w:szCs w:val="26"/>
        </w:rPr>
        <w:t xml:space="preserve"> </w:t>
      </w:r>
      <w:r w:rsidRPr="00C47563">
        <w:rPr>
          <w:rFonts w:ascii="Times New Roman" w:hAnsi="Times New Roman" w:cs="Times New Roman"/>
          <w:sz w:val="26"/>
          <w:szCs w:val="26"/>
        </w:rPr>
        <w:t>Mr. Culbertson’s Motion and closing the record.</w:t>
      </w:r>
      <w:r w:rsidR="008C7D93" w:rsidRPr="00C47563">
        <w:rPr>
          <w:rFonts w:ascii="Times New Roman" w:hAnsi="Times New Roman" w:cs="Times New Roman"/>
          <w:sz w:val="26"/>
          <w:szCs w:val="26"/>
        </w:rPr>
        <w:t xml:space="preserve">  </w:t>
      </w:r>
    </w:p>
    <w:p w14:paraId="311C648E" w14:textId="77777777" w:rsidR="00450921" w:rsidRPr="00C47563" w:rsidRDefault="00450921" w:rsidP="00C47563">
      <w:pPr>
        <w:spacing w:after="0" w:line="360" w:lineRule="auto"/>
        <w:ind w:right="3" w:firstLine="1440"/>
        <w:rPr>
          <w:rFonts w:ascii="Times New Roman" w:hAnsi="Times New Roman" w:cs="Times New Roman"/>
          <w:sz w:val="26"/>
          <w:szCs w:val="26"/>
        </w:rPr>
      </w:pPr>
    </w:p>
    <w:p w14:paraId="49E25A89" w14:textId="7B078D69" w:rsidR="009B19B9" w:rsidRPr="00C47563" w:rsidRDefault="004E45AB" w:rsidP="00C47563">
      <w:pPr>
        <w:tabs>
          <w:tab w:val="left" w:pos="1440"/>
        </w:tabs>
        <w:spacing w:after="0" w:line="360" w:lineRule="auto"/>
        <w:ind w:right="3"/>
        <w:rPr>
          <w:rFonts w:ascii="Times New Roman" w:hAnsi="Times New Roman" w:cs="Times New Roman"/>
          <w:sz w:val="26"/>
          <w:szCs w:val="26"/>
        </w:rPr>
      </w:pPr>
      <w:r w:rsidRPr="00C47563">
        <w:rPr>
          <w:rFonts w:ascii="Times New Roman" w:hAnsi="Times New Roman" w:cs="Times New Roman"/>
          <w:sz w:val="26"/>
          <w:szCs w:val="26"/>
        </w:rPr>
        <w:tab/>
        <w:t xml:space="preserve">In the Recommended Decision, served on October 12, 2021, ALJ Hoyer </w:t>
      </w:r>
      <w:r w:rsidR="00E62F85" w:rsidRPr="00C47563">
        <w:rPr>
          <w:rFonts w:ascii="Times New Roman" w:hAnsi="Times New Roman" w:cs="Times New Roman"/>
          <w:sz w:val="26"/>
          <w:szCs w:val="26"/>
        </w:rPr>
        <w:t xml:space="preserve">approved the </w:t>
      </w:r>
      <w:r w:rsidR="00ED6605" w:rsidRPr="00C47563">
        <w:rPr>
          <w:rFonts w:ascii="Times New Roman" w:hAnsi="Times New Roman" w:cs="Times New Roman"/>
          <w:sz w:val="26"/>
          <w:szCs w:val="26"/>
        </w:rPr>
        <w:t xml:space="preserve">Joint Petition, without modification, finding that </w:t>
      </w:r>
      <w:r w:rsidR="001D7916" w:rsidRPr="00C47563">
        <w:rPr>
          <w:rFonts w:ascii="Times New Roman" w:hAnsi="Times New Roman" w:cs="Times New Roman"/>
          <w:sz w:val="26"/>
          <w:szCs w:val="26"/>
        </w:rPr>
        <w:t xml:space="preserve">the Joint Petition is in the public interest, consistent with the Public Utility Code (Code), and </w:t>
      </w:r>
      <w:r w:rsidR="0006428F" w:rsidRPr="00C47563">
        <w:rPr>
          <w:rFonts w:ascii="Times New Roman" w:hAnsi="Times New Roman" w:cs="Times New Roman"/>
          <w:sz w:val="26"/>
          <w:szCs w:val="26"/>
        </w:rPr>
        <w:t xml:space="preserve">is </w:t>
      </w:r>
      <w:r w:rsidR="001D7916" w:rsidRPr="00C47563">
        <w:rPr>
          <w:rFonts w:ascii="Times New Roman" w:hAnsi="Times New Roman" w:cs="Times New Roman"/>
          <w:sz w:val="26"/>
          <w:szCs w:val="26"/>
        </w:rPr>
        <w:t>supported by substantial evidence</w:t>
      </w:r>
      <w:r w:rsidR="00ED6605" w:rsidRPr="00C47563">
        <w:rPr>
          <w:rFonts w:ascii="Times New Roman" w:hAnsi="Times New Roman" w:cs="Times New Roman"/>
          <w:sz w:val="26"/>
          <w:szCs w:val="26"/>
        </w:rPr>
        <w:t>.</w:t>
      </w:r>
      <w:r w:rsidR="001D7916" w:rsidRPr="00C47563">
        <w:rPr>
          <w:rFonts w:ascii="Times New Roman" w:hAnsi="Times New Roman" w:cs="Times New Roman"/>
          <w:sz w:val="26"/>
          <w:szCs w:val="26"/>
        </w:rPr>
        <w:t xml:space="preserve">  </w:t>
      </w:r>
    </w:p>
    <w:p w14:paraId="2EA75263" w14:textId="77777777" w:rsidR="009B19B9" w:rsidRPr="00C47563" w:rsidRDefault="009B19B9" w:rsidP="00C47563">
      <w:pPr>
        <w:tabs>
          <w:tab w:val="left" w:pos="1440"/>
        </w:tabs>
        <w:spacing w:after="0" w:line="360" w:lineRule="auto"/>
        <w:ind w:right="3"/>
        <w:rPr>
          <w:rFonts w:ascii="Times New Roman" w:hAnsi="Times New Roman" w:cs="Times New Roman"/>
          <w:sz w:val="26"/>
          <w:szCs w:val="26"/>
        </w:rPr>
      </w:pPr>
    </w:p>
    <w:p w14:paraId="51E71531" w14:textId="72815175" w:rsidR="00863DEC" w:rsidRPr="00C47563" w:rsidRDefault="009B19B9" w:rsidP="00C47563">
      <w:pPr>
        <w:tabs>
          <w:tab w:val="left" w:pos="1440"/>
        </w:tabs>
        <w:spacing w:after="0" w:line="360" w:lineRule="auto"/>
        <w:ind w:right="3"/>
        <w:rPr>
          <w:rFonts w:ascii="Times New Roman" w:hAnsi="Times New Roman" w:cs="Times New Roman"/>
          <w:sz w:val="26"/>
          <w:szCs w:val="26"/>
        </w:rPr>
      </w:pPr>
      <w:r w:rsidRPr="00C47563">
        <w:rPr>
          <w:rFonts w:ascii="Times New Roman" w:hAnsi="Times New Roman" w:cs="Times New Roman"/>
          <w:sz w:val="26"/>
          <w:szCs w:val="26"/>
        </w:rPr>
        <w:tab/>
        <w:t xml:space="preserve">As previously </w:t>
      </w:r>
      <w:r w:rsidR="000D3F24" w:rsidRPr="00C47563">
        <w:rPr>
          <w:rFonts w:ascii="Times New Roman" w:hAnsi="Times New Roman" w:cs="Times New Roman"/>
          <w:sz w:val="26"/>
          <w:szCs w:val="26"/>
        </w:rPr>
        <w:t xml:space="preserve">noted, Mr. Culbertson filed Exceptions on October 20, 2021.  </w:t>
      </w:r>
      <w:r w:rsidR="00183BD4" w:rsidRPr="00C47563">
        <w:rPr>
          <w:rFonts w:ascii="Times New Roman" w:hAnsi="Times New Roman" w:cs="Times New Roman"/>
          <w:sz w:val="26"/>
          <w:szCs w:val="26"/>
        </w:rPr>
        <w:t xml:space="preserve">On October 22, 2021, </w:t>
      </w:r>
      <w:r w:rsidR="00FD3467" w:rsidRPr="00C47563">
        <w:rPr>
          <w:rFonts w:ascii="Times New Roman" w:hAnsi="Times New Roman" w:cs="Times New Roman"/>
          <w:sz w:val="26"/>
          <w:szCs w:val="26"/>
        </w:rPr>
        <w:t xml:space="preserve">Columbia, I&amp;E, the OCA, CII, and PSU each filed letters indicating they would not be filing Exceptions.  </w:t>
      </w:r>
    </w:p>
    <w:p w14:paraId="07ED8A02" w14:textId="77777777" w:rsidR="00863DEC" w:rsidRPr="00C47563" w:rsidRDefault="00863DEC" w:rsidP="00C47563">
      <w:pPr>
        <w:tabs>
          <w:tab w:val="left" w:pos="1440"/>
        </w:tabs>
        <w:spacing w:after="0" w:line="360" w:lineRule="auto"/>
        <w:ind w:right="3"/>
        <w:rPr>
          <w:rFonts w:ascii="Times New Roman" w:hAnsi="Times New Roman" w:cs="Times New Roman"/>
          <w:sz w:val="26"/>
          <w:szCs w:val="26"/>
        </w:rPr>
      </w:pPr>
    </w:p>
    <w:p w14:paraId="6C0DB717" w14:textId="25235301" w:rsidR="004E45AB" w:rsidRPr="00C47563" w:rsidRDefault="00863DEC" w:rsidP="00C47563">
      <w:pPr>
        <w:tabs>
          <w:tab w:val="left" w:pos="1440"/>
        </w:tabs>
        <w:spacing w:after="0" w:line="360" w:lineRule="auto"/>
        <w:ind w:right="3"/>
        <w:rPr>
          <w:rFonts w:ascii="Times New Roman" w:hAnsi="Times New Roman" w:cs="Times New Roman"/>
          <w:sz w:val="26"/>
          <w:szCs w:val="26"/>
          <w:u w:val="single"/>
        </w:rPr>
      </w:pPr>
      <w:r w:rsidRPr="00C47563">
        <w:rPr>
          <w:rFonts w:ascii="Times New Roman" w:hAnsi="Times New Roman" w:cs="Times New Roman"/>
          <w:sz w:val="26"/>
          <w:szCs w:val="26"/>
        </w:rPr>
        <w:tab/>
        <w:t>On October 29, 2021</w:t>
      </w:r>
      <w:r w:rsidR="00DA086D" w:rsidRPr="00C47563">
        <w:rPr>
          <w:rFonts w:ascii="Times New Roman" w:hAnsi="Times New Roman" w:cs="Times New Roman"/>
          <w:sz w:val="26"/>
          <w:szCs w:val="26"/>
        </w:rPr>
        <w:t xml:space="preserve">, </w:t>
      </w:r>
      <w:r w:rsidR="00183BD4" w:rsidRPr="00C47563">
        <w:rPr>
          <w:rFonts w:ascii="Times New Roman" w:hAnsi="Times New Roman" w:cs="Times New Roman"/>
          <w:sz w:val="26"/>
          <w:szCs w:val="26"/>
        </w:rPr>
        <w:t xml:space="preserve">Columbia filed Replies to Exceptions.  I&amp;E, </w:t>
      </w:r>
      <w:r w:rsidR="00C74C84" w:rsidRPr="00C47563">
        <w:rPr>
          <w:rFonts w:ascii="Times New Roman" w:hAnsi="Times New Roman" w:cs="Times New Roman"/>
          <w:sz w:val="26"/>
          <w:szCs w:val="26"/>
        </w:rPr>
        <w:t xml:space="preserve">CII, Shipley/RESA, </w:t>
      </w:r>
      <w:r w:rsidR="00C07C0E" w:rsidRPr="00C47563">
        <w:rPr>
          <w:rFonts w:ascii="Times New Roman" w:hAnsi="Times New Roman" w:cs="Times New Roman"/>
          <w:sz w:val="26"/>
          <w:szCs w:val="26"/>
        </w:rPr>
        <w:t>and PSU each filed letters indicating they would not be filing Replies to Exceptions.</w:t>
      </w:r>
      <w:r w:rsidR="00FD3467" w:rsidRPr="00C47563">
        <w:rPr>
          <w:rFonts w:ascii="Times New Roman" w:hAnsi="Times New Roman" w:cs="Times New Roman"/>
          <w:sz w:val="26"/>
          <w:szCs w:val="26"/>
        </w:rPr>
        <w:t xml:space="preserve">  </w:t>
      </w:r>
    </w:p>
    <w:p w14:paraId="53F25328" w14:textId="77777777" w:rsidR="002B1C9F" w:rsidRPr="00C47563" w:rsidRDefault="002B1C9F" w:rsidP="00C47563">
      <w:pPr>
        <w:pStyle w:val="ListParagraph"/>
        <w:keepNext/>
        <w:keepLines/>
        <w:spacing w:line="360" w:lineRule="auto"/>
        <w:ind w:left="0"/>
        <w:contextualSpacing/>
        <w:rPr>
          <w:sz w:val="26"/>
          <w:szCs w:val="26"/>
          <w:u w:val="single"/>
        </w:rPr>
      </w:pPr>
    </w:p>
    <w:p w14:paraId="32C74460" w14:textId="27795780" w:rsidR="009E1F23" w:rsidRPr="00C47563" w:rsidRDefault="009E1F23" w:rsidP="00450921">
      <w:pPr>
        <w:pStyle w:val="Heading1"/>
      </w:pPr>
      <w:bookmarkStart w:id="4" w:name="_Toc89253050"/>
      <w:r w:rsidRPr="00C47563">
        <w:t>II.</w:t>
      </w:r>
      <w:r w:rsidRPr="00C47563">
        <w:tab/>
      </w:r>
      <w:r w:rsidR="00604CDD" w:rsidRPr="00C47563">
        <w:t>Background</w:t>
      </w:r>
      <w:bookmarkEnd w:id="4"/>
    </w:p>
    <w:p w14:paraId="3E910411" w14:textId="77777777" w:rsidR="00CD5EDA" w:rsidRPr="00C47563" w:rsidRDefault="00CD5EDA" w:rsidP="00450921">
      <w:pPr>
        <w:keepNext/>
        <w:spacing w:after="0" w:line="360" w:lineRule="auto"/>
        <w:ind w:firstLine="1440"/>
        <w:contextualSpacing/>
        <w:rPr>
          <w:rFonts w:ascii="Times New Roman" w:eastAsia="Times New Roman" w:hAnsi="Times New Roman" w:cs="Times New Roman"/>
          <w:sz w:val="26"/>
          <w:szCs w:val="26"/>
        </w:rPr>
      </w:pPr>
    </w:p>
    <w:p w14:paraId="609F22C7" w14:textId="5F4EF247" w:rsidR="00F83584" w:rsidRPr="00C47563" w:rsidRDefault="00F83584" w:rsidP="00450921">
      <w:pPr>
        <w:keepNext/>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Columbia is a public utility and natural gas distribution company which provides natural gas distribution, sales, transportation and/or supplier of last resort services to approximately 436,000 customers in portions of twenty-six counties of Pennsylvania. </w:t>
      </w:r>
      <w:r w:rsidR="006A462E" w:rsidRPr="00C47563">
        <w:rPr>
          <w:rFonts w:ascii="Times New Roman" w:hAnsi="Times New Roman" w:cs="Times New Roman"/>
          <w:sz w:val="26"/>
          <w:szCs w:val="26"/>
        </w:rPr>
        <w:t xml:space="preserve"> </w:t>
      </w:r>
      <w:r w:rsidR="00046BE5" w:rsidRPr="00C47563">
        <w:rPr>
          <w:rFonts w:ascii="Times New Roman" w:hAnsi="Times New Roman" w:cs="Times New Roman"/>
          <w:sz w:val="26"/>
          <w:szCs w:val="26"/>
        </w:rPr>
        <w:t xml:space="preserve">Columbia St. 1 at </w:t>
      </w:r>
      <w:r w:rsidR="00DD70B0" w:rsidRPr="00C47563">
        <w:rPr>
          <w:rFonts w:ascii="Times New Roman" w:hAnsi="Times New Roman" w:cs="Times New Roman"/>
          <w:sz w:val="26"/>
          <w:szCs w:val="26"/>
        </w:rPr>
        <w:t xml:space="preserve">34; </w:t>
      </w:r>
      <w:r w:rsidR="006A462E" w:rsidRPr="00C47563">
        <w:rPr>
          <w:rFonts w:ascii="Times New Roman" w:hAnsi="Times New Roman" w:cs="Times New Roman"/>
          <w:sz w:val="26"/>
          <w:szCs w:val="26"/>
        </w:rPr>
        <w:t>Joint Petition</w:t>
      </w:r>
      <w:r w:rsidRPr="00C47563">
        <w:rPr>
          <w:rFonts w:ascii="Times New Roman" w:hAnsi="Times New Roman" w:cs="Times New Roman"/>
          <w:sz w:val="26"/>
          <w:szCs w:val="26"/>
        </w:rPr>
        <w:t xml:space="preserve"> at 2.</w:t>
      </w:r>
    </w:p>
    <w:p w14:paraId="0EFF37C1" w14:textId="77777777" w:rsidR="00CF0F36" w:rsidRPr="00C47563" w:rsidRDefault="00CF0F36" w:rsidP="00C47563">
      <w:pPr>
        <w:spacing w:after="0" w:line="360" w:lineRule="auto"/>
        <w:ind w:firstLine="1440"/>
        <w:contextualSpacing/>
        <w:rPr>
          <w:rFonts w:ascii="Times New Roman" w:eastAsia="Times New Roman" w:hAnsi="Times New Roman" w:cs="Times New Roman"/>
          <w:sz w:val="26"/>
          <w:szCs w:val="26"/>
        </w:rPr>
      </w:pPr>
    </w:p>
    <w:p w14:paraId="6C45554D" w14:textId="1D25B682" w:rsidR="00CD5EDA" w:rsidRPr="00C47563" w:rsidRDefault="00CD5EDA" w:rsidP="0047288A">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In its original filing, </w:t>
      </w:r>
      <w:r w:rsidR="007002EC" w:rsidRPr="00C47563">
        <w:rPr>
          <w:rFonts w:ascii="Times New Roman" w:hAnsi="Times New Roman" w:cs="Times New Roman"/>
          <w:sz w:val="26"/>
          <w:szCs w:val="26"/>
        </w:rPr>
        <w:t>Columbia</w:t>
      </w:r>
      <w:r w:rsidRPr="00C47563">
        <w:rPr>
          <w:rFonts w:ascii="Times New Roman" w:hAnsi="Times New Roman" w:cs="Times New Roman"/>
          <w:sz w:val="26"/>
          <w:szCs w:val="26"/>
        </w:rPr>
        <w:t xml:space="preserve"> proposed rates designed to result in an increase in annual distribution operating revenues of approximately </w:t>
      </w:r>
      <w:r w:rsidR="002E7909" w:rsidRPr="00C47563">
        <w:rPr>
          <w:rFonts w:ascii="Times New Roman" w:hAnsi="Times New Roman" w:cs="Times New Roman"/>
          <w:sz w:val="26"/>
          <w:szCs w:val="26"/>
        </w:rPr>
        <w:t>$</w:t>
      </w:r>
      <w:r w:rsidR="00EA7D27" w:rsidRPr="00C47563">
        <w:rPr>
          <w:rFonts w:ascii="Times New Roman" w:hAnsi="Times New Roman" w:cs="Times New Roman"/>
          <w:sz w:val="26"/>
          <w:szCs w:val="26"/>
        </w:rPr>
        <w:t>98.3</w:t>
      </w:r>
      <w:r w:rsidR="002E7909" w:rsidRPr="00C47563">
        <w:rPr>
          <w:rFonts w:ascii="Times New Roman" w:hAnsi="Times New Roman" w:cs="Times New Roman"/>
          <w:sz w:val="26"/>
          <w:szCs w:val="26"/>
        </w:rPr>
        <w:t xml:space="preserve"> million</w:t>
      </w:r>
      <w:r w:rsidR="00D02278" w:rsidRPr="00C47563">
        <w:rPr>
          <w:rFonts w:ascii="Times New Roman" w:hAnsi="Times New Roman" w:cs="Times New Roman"/>
          <w:sz w:val="26"/>
          <w:szCs w:val="26"/>
        </w:rPr>
        <w:t xml:space="preserve">, an increase of approximately </w:t>
      </w:r>
      <w:r w:rsidR="006D5922" w:rsidRPr="00C47563">
        <w:rPr>
          <w:rFonts w:ascii="Times New Roman" w:hAnsi="Times New Roman" w:cs="Times New Roman"/>
          <w:sz w:val="26"/>
          <w:szCs w:val="26"/>
        </w:rPr>
        <w:t>19.91</w:t>
      </w:r>
      <w:r w:rsidR="00D02278" w:rsidRPr="00C47563">
        <w:rPr>
          <w:rFonts w:ascii="Times New Roman" w:hAnsi="Times New Roman" w:cs="Times New Roman"/>
          <w:sz w:val="26"/>
          <w:szCs w:val="26"/>
        </w:rPr>
        <w:t>% over existing rates</w:t>
      </w:r>
      <w:r w:rsidR="003D38E9" w:rsidRPr="00C47563">
        <w:rPr>
          <w:rFonts w:ascii="Times New Roman" w:hAnsi="Times New Roman" w:cs="Times New Roman"/>
          <w:sz w:val="26"/>
          <w:szCs w:val="26"/>
        </w:rPr>
        <w:t>.</w:t>
      </w:r>
      <w:r w:rsidRPr="00C47563">
        <w:rPr>
          <w:rFonts w:ascii="Times New Roman" w:hAnsi="Times New Roman" w:cs="Times New Roman"/>
          <w:sz w:val="26"/>
          <w:szCs w:val="26"/>
        </w:rPr>
        <w:t xml:space="preserve">  </w:t>
      </w:r>
      <w:r w:rsidR="002035C4" w:rsidRPr="00C47563">
        <w:rPr>
          <w:rFonts w:ascii="Times New Roman" w:hAnsi="Times New Roman" w:cs="Times New Roman"/>
          <w:sz w:val="26"/>
          <w:szCs w:val="26"/>
        </w:rPr>
        <w:t xml:space="preserve">If approved, the total average monthly bill of a residential customer using </w:t>
      </w:r>
      <w:r w:rsidR="007955ED" w:rsidRPr="00C47563">
        <w:rPr>
          <w:rFonts w:ascii="Times New Roman" w:hAnsi="Times New Roman" w:cs="Times New Roman"/>
          <w:sz w:val="26"/>
          <w:szCs w:val="26"/>
        </w:rPr>
        <w:t>70 therms of gas</w:t>
      </w:r>
      <w:r w:rsidR="002035C4" w:rsidRPr="00C47563">
        <w:rPr>
          <w:rFonts w:ascii="Times New Roman" w:hAnsi="Times New Roman" w:cs="Times New Roman"/>
          <w:sz w:val="26"/>
          <w:szCs w:val="26"/>
        </w:rPr>
        <w:t xml:space="preserve"> per month would have increased from $10</w:t>
      </w:r>
      <w:r w:rsidR="00DF2770" w:rsidRPr="00C47563">
        <w:rPr>
          <w:rFonts w:ascii="Times New Roman" w:hAnsi="Times New Roman" w:cs="Times New Roman"/>
          <w:sz w:val="26"/>
          <w:szCs w:val="26"/>
        </w:rPr>
        <w:t>0</w:t>
      </w:r>
      <w:r w:rsidR="002035C4" w:rsidRPr="00C47563">
        <w:rPr>
          <w:rFonts w:ascii="Times New Roman" w:hAnsi="Times New Roman" w:cs="Times New Roman"/>
          <w:sz w:val="26"/>
          <w:szCs w:val="26"/>
        </w:rPr>
        <w:t>.</w:t>
      </w:r>
      <w:r w:rsidR="00DF2770" w:rsidRPr="00C47563">
        <w:rPr>
          <w:rFonts w:ascii="Times New Roman" w:hAnsi="Times New Roman" w:cs="Times New Roman"/>
          <w:sz w:val="26"/>
          <w:szCs w:val="26"/>
        </w:rPr>
        <w:t>77</w:t>
      </w:r>
      <w:r w:rsidR="002035C4" w:rsidRPr="00C47563">
        <w:rPr>
          <w:rFonts w:ascii="Times New Roman" w:hAnsi="Times New Roman" w:cs="Times New Roman"/>
          <w:sz w:val="26"/>
          <w:szCs w:val="26"/>
        </w:rPr>
        <w:t xml:space="preserve"> to $</w:t>
      </w:r>
      <w:r w:rsidR="00CA0158" w:rsidRPr="00C47563">
        <w:rPr>
          <w:rFonts w:ascii="Times New Roman" w:hAnsi="Times New Roman" w:cs="Times New Roman"/>
          <w:sz w:val="26"/>
          <w:szCs w:val="26"/>
        </w:rPr>
        <w:t>115.37</w:t>
      </w:r>
      <w:r w:rsidR="002035C4" w:rsidRPr="00C47563">
        <w:rPr>
          <w:rFonts w:ascii="Times New Roman" w:hAnsi="Times New Roman" w:cs="Times New Roman"/>
          <w:sz w:val="26"/>
          <w:szCs w:val="26"/>
        </w:rPr>
        <w:t xml:space="preserve">. </w:t>
      </w:r>
      <w:r w:rsidR="00CA0158"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Under the Settlement, the </w:t>
      </w:r>
      <w:r w:rsidR="008D4AD5" w:rsidRPr="00C47563">
        <w:rPr>
          <w:rFonts w:ascii="Times New Roman" w:hAnsi="Times New Roman" w:cs="Times New Roman"/>
          <w:sz w:val="26"/>
          <w:szCs w:val="26"/>
        </w:rPr>
        <w:t xml:space="preserve">proposed </w:t>
      </w:r>
      <w:r w:rsidRPr="00C47563">
        <w:rPr>
          <w:rFonts w:ascii="Times New Roman" w:hAnsi="Times New Roman" w:cs="Times New Roman"/>
          <w:sz w:val="26"/>
          <w:szCs w:val="26"/>
        </w:rPr>
        <w:t xml:space="preserve">increase in </w:t>
      </w:r>
      <w:r w:rsidR="00E57B2D" w:rsidRPr="00C47563">
        <w:rPr>
          <w:rFonts w:ascii="Times New Roman" w:hAnsi="Times New Roman" w:cs="Times New Roman"/>
          <w:sz w:val="26"/>
          <w:szCs w:val="26"/>
        </w:rPr>
        <w:t>Columbia’s r</w:t>
      </w:r>
      <w:r w:rsidRPr="00C47563">
        <w:rPr>
          <w:rFonts w:ascii="Times New Roman" w:hAnsi="Times New Roman" w:cs="Times New Roman"/>
          <w:sz w:val="26"/>
          <w:szCs w:val="26"/>
        </w:rPr>
        <w:t>ates w</w:t>
      </w:r>
      <w:r w:rsidR="008D4AD5" w:rsidRPr="00C47563">
        <w:rPr>
          <w:rFonts w:ascii="Times New Roman" w:hAnsi="Times New Roman" w:cs="Times New Roman"/>
          <w:sz w:val="26"/>
          <w:szCs w:val="26"/>
        </w:rPr>
        <w:t>ould</w:t>
      </w:r>
      <w:r w:rsidRPr="00C47563">
        <w:rPr>
          <w:rFonts w:ascii="Times New Roman" w:hAnsi="Times New Roman" w:cs="Times New Roman"/>
          <w:sz w:val="26"/>
          <w:szCs w:val="26"/>
        </w:rPr>
        <w:t xml:space="preserve"> result in additional annual distribution operating revenues of approximately $5</w:t>
      </w:r>
      <w:r w:rsidR="00A23BBD" w:rsidRPr="00C47563">
        <w:rPr>
          <w:rFonts w:ascii="Times New Roman" w:hAnsi="Times New Roman" w:cs="Times New Roman"/>
          <w:sz w:val="26"/>
          <w:szCs w:val="26"/>
        </w:rPr>
        <w:t>8.5</w:t>
      </w:r>
      <w:r w:rsidRPr="00C47563">
        <w:rPr>
          <w:rFonts w:ascii="Times New Roman" w:hAnsi="Times New Roman" w:cs="Times New Roman"/>
          <w:sz w:val="26"/>
          <w:szCs w:val="26"/>
        </w:rPr>
        <w:t xml:space="preserve"> million, an increase of approximately 1</w:t>
      </w:r>
      <w:r w:rsidR="00B76E15" w:rsidRPr="00C47563">
        <w:rPr>
          <w:rFonts w:ascii="Times New Roman" w:hAnsi="Times New Roman" w:cs="Times New Roman"/>
          <w:sz w:val="26"/>
          <w:szCs w:val="26"/>
        </w:rPr>
        <w:t>1.</w:t>
      </w:r>
      <w:r w:rsidR="00254F6F" w:rsidRPr="00C47563">
        <w:rPr>
          <w:rFonts w:ascii="Times New Roman" w:hAnsi="Times New Roman" w:cs="Times New Roman"/>
          <w:sz w:val="26"/>
          <w:szCs w:val="26"/>
        </w:rPr>
        <w:t>87</w:t>
      </w:r>
      <w:r w:rsidRPr="00C47563">
        <w:rPr>
          <w:rFonts w:ascii="Times New Roman" w:hAnsi="Times New Roman" w:cs="Times New Roman"/>
          <w:sz w:val="26"/>
          <w:szCs w:val="26"/>
        </w:rPr>
        <w:t xml:space="preserve">% over existing rates.  If the Commission approves the settlement without modification, the total average monthly bill of a residential customer using </w:t>
      </w:r>
      <w:r w:rsidR="009549EA" w:rsidRPr="00C47563">
        <w:rPr>
          <w:rFonts w:ascii="Times New Roman" w:hAnsi="Times New Roman" w:cs="Times New Roman"/>
          <w:sz w:val="26"/>
          <w:szCs w:val="26"/>
        </w:rPr>
        <w:t>70 therms of gas per month</w:t>
      </w:r>
      <w:r w:rsidRPr="00C47563">
        <w:rPr>
          <w:rFonts w:ascii="Times New Roman" w:hAnsi="Times New Roman" w:cs="Times New Roman"/>
          <w:sz w:val="26"/>
          <w:szCs w:val="26"/>
        </w:rPr>
        <w:t xml:space="preserve"> would increase from $1</w:t>
      </w:r>
      <w:r w:rsidR="000C5D91" w:rsidRPr="00C47563">
        <w:rPr>
          <w:rFonts w:ascii="Times New Roman" w:hAnsi="Times New Roman" w:cs="Times New Roman"/>
          <w:sz w:val="26"/>
          <w:szCs w:val="26"/>
        </w:rPr>
        <w:t>0</w:t>
      </w:r>
      <w:r w:rsidRPr="00C47563">
        <w:rPr>
          <w:rFonts w:ascii="Times New Roman" w:hAnsi="Times New Roman" w:cs="Times New Roman"/>
          <w:sz w:val="26"/>
          <w:szCs w:val="26"/>
        </w:rPr>
        <w:t>0.</w:t>
      </w:r>
      <w:r w:rsidR="000C5D91" w:rsidRPr="00C47563">
        <w:rPr>
          <w:rFonts w:ascii="Times New Roman" w:hAnsi="Times New Roman" w:cs="Times New Roman"/>
          <w:sz w:val="26"/>
          <w:szCs w:val="26"/>
        </w:rPr>
        <w:t>77</w:t>
      </w:r>
      <w:r w:rsidRPr="00C47563">
        <w:rPr>
          <w:rFonts w:ascii="Times New Roman" w:hAnsi="Times New Roman" w:cs="Times New Roman"/>
          <w:sz w:val="26"/>
          <w:szCs w:val="26"/>
        </w:rPr>
        <w:t xml:space="preserve"> to $1</w:t>
      </w:r>
      <w:r w:rsidR="001F1513" w:rsidRPr="00C47563">
        <w:rPr>
          <w:rFonts w:ascii="Times New Roman" w:hAnsi="Times New Roman" w:cs="Times New Roman"/>
          <w:sz w:val="26"/>
          <w:szCs w:val="26"/>
        </w:rPr>
        <w:t>0</w:t>
      </w:r>
      <w:r w:rsidRPr="00C47563">
        <w:rPr>
          <w:rFonts w:ascii="Times New Roman" w:hAnsi="Times New Roman" w:cs="Times New Roman"/>
          <w:sz w:val="26"/>
          <w:szCs w:val="26"/>
        </w:rPr>
        <w:t>9.</w:t>
      </w:r>
      <w:r w:rsidR="001F1513" w:rsidRPr="00C47563">
        <w:rPr>
          <w:rFonts w:ascii="Times New Roman" w:hAnsi="Times New Roman" w:cs="Times New Roman"/>
          <w:sz w:val="26"/>
          <w:szCs w:val="26"/>
        </w:rPr>
        <w:t>10.</w:t>
      </w:r>
      <w:r w:rsidRPr="00C47563">
        <w:rPr>
          <w:rFonts w:ascii="Times New Roman" w:hAnsi="Times New Roman" w:cs="Times New Roman"/>
          <w:sz w:val="26"/>
          <w:szCs w:val="26"/>
        </w:rPr>
        <w:t xml:space="preserve">  </w:t>
      </w:r>
      <w:r w:rsidR="006A462E" w:rsidRPr="00C47563">
        <w:rPr>
          <w:rFonts w:ascii="Times New Roman" w:hAnsi="Times New Roman" w:cs="Times New Roman"/>
          <w:sz w:val="26"/>
          <w:szCs w:val="26"/>
        </w:rPr>
        <w:t>Joint Petition at 4-5.</w:t>
      </w:r>
      <w:r w:rsidR="008C7D93" w:rsidRPr="00C47563">
        <w:rPr>
          <w:rFonts w:ascii="Times New Roman" w:hAnsi="Times New Roman" w:cs="Times New Roman"/>
          <w:sz w:val="26"/>
          <w:szCs w:val="26"/>
        </w:rPr>
        <w:t xml:space="preserve">  </w:t>
      </w:r>
    </w:p>
    <w:p w14:paraId="2196D6F1" w14:textId="77777777" w:rsidR="009E1F23" w:rsidRPr="00C47563" w:rsidRDefault="009E1F23" w:rsidP="0047288A">
      <w:pPr>
        <w:keepLines/>
        <w:spacing w:after="0" w:line="360" w:lineRule="auto"/>
        <w:ind w:firstLine="1440"/>
        <w:contextualSpacing/>
        <w:rPr>
          <w:rFonts w:ascii="Times New Roman" w:eastAsia="Times New Roman" w:hAnsi="Times New Roman" w:cs="Times New Roman"/>
          <w:sz w:val="26"/>
          <w:szCs w:val="26"/>
        </w:rPr>
      </w:pPr>
    </w:p>
    <w:p w14:paraId="7678216B" w14:textId="77777777" w:rsidR="009E1F23" w:rsidRPr="00C47563" w:rsidRDefault="009E1F23" w:rsidP="0047288A">
      <w:pPr>
        <w:pStyle w:val="Heading1"/>
      </w:pPr>
      <w:bookmarkStart w:id="5" w:name="_Toc89253051"/>
      <w:r w:rsidRPr="00C47563">
        <w:t>III.</w:t>
      </w:r>
      <w:r w:rsidRPr="00C47563">
        <w:tab/>
        <w:t>Discussion</w:t>
      </w:r>
      <w:bookmarkEnd w:id="5"/>
    </w:p>
    <w:p w14:paraId="79A70E2A" w14:textId="77777777" w:rsidR="009E1F23" w:rsidRPr="00C47563" w:rsidRDefault="009E1F23" w:rsidP="0047288A">
      <w:pPr>
        <w:keepNext/>
        <w:keepLines/>
        <w:spacing w:after="0" w:line="360" w:lineRule="auto"/>
        <w:contextualSpacing/>
        <w:rPr>
          <w:rFonts w:ascii="Times New Roman" w:eastAsia="Times New Roman" w:hAnsi="Times New Roman" w:cs="Times New Roman"/>
          <w:sz w:val="26"/>
          <w:szCs w:val="26"/>
        </w:rPr>
      </w:pPr>
    </w:p>
    <w:p w14:paraId="13ED681C" w14:textId="511D89CA" w:rsidR="007347E4" w:rsidRPr="00C47563" w:rsidRDefault="007347E4" w:rsidP="0047288A">
      <w:pPr>
        <w:spacing w:after="0" w:line="360" w:lineRule="auto"/>
        <w:ind w:firstLine="1440"/>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As a preliminary matter, we note that the ALJ reached </w:t>
      </w:r>
      <w:r w:rsidR="00D21F48" w:rsidRPr="00C47563">
        <w:rPr>
          <w:rFonts w:ascii="Times New Roman" w:eastAsia="Times New Roman" w:hAnsi="Times New Roman" w:cs="Times New Roman"/>
          <w:sz w:val="26"/>
          <w:szCs w:val="26"/>
        </w:rPr>
        <w:t>twelve</w:t>
      </w:r>
      <w:r w:rsidRPr="00C47563">
        <w:rPr>
          <w:rFonts w:ascii="Times New Roman" w:eastAsia="Times New Roman" w:hAnsi="Times New Roman" w:cs="Times New Roman"/>
          <w:sz w:val="26"/>
          <w:szCs w:val="26"/>
        </w:rPr>
        <w:t xml:space="preserve"> Conclusions of Law.  R.D. at </w:t>
      </w:r>
      <w:r w:rsidR="00D21F48" w:rsidRPr="00C47563">
        <w:rPr>
          <w:rFonts w:ascii="Times New Roman" w:eastAsia="Times New Roman" w:hAnsi="Times New Roman" w:cs="Times New Roman"/>
          <w:sz w:val="26"/>
          <w:szCs w:val="26"/>
        </w:rPr>
        <w:t>64-66</w:t>
      </w:r>
      <w:r w:rsidRPr="00C47563">
        <w:rPr>
          <w:rFonts w:ascii="Times New Roman" w:eastAsia="Times New Roman" w:hAnsi="Times New Roman" w:cs="Times New Roman"/>
          <w:sz w:val="26"/>
          <w:szCs w:val="26"/>
        </w:rPr>
        <w:t>.  We will adopt the Conclusions of Law unless they are overruled expressly or by necessary implication.</w:t>
      </w:r>
    </w:p>
    <w:p w14:paraId="251BE678" w14:textId="77777777" w:rsidR="007347E4" w:rsidRPr="00C47563" w:rsidRDefault="007347E4" w:rsidP="00C47563">
      <w:pPr>
        <w:spacing w:after="0" w:line="360" w:lineRule="auto"/>
        <w:ind w:firstLine="1440"/>
        <w:rPr>
          <w:rFonts w:ascii="Times New Roman" w:eastAsia="Times New Roman" w:hAnsi="Times New Roman" w:cs="Times New Roman"/>
          <w:sz w:val="26"/>
          <w:szCs w:val="26"/>
        </w:rPr>
      </w:pPr>
    </w:p>
    <w:p w14:paraId="15BFC494" w14:textId="77777777" w:rsidR="007347E4" w:rsidRPr="00C47563" w:rsidRDefault="007347E4" w:rsidP="00931DB4">
      <w:pPr>
        <w:spacing w:after="0" w:line="360" w:lineRule="auto"/>
        <w:ind w:firstLine="1440"/>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Additionally, as we proceed in our review of the various positions espoused in this proceeding, we are not required to consider expressly or at great length each and every contention raised by a party to our proceedings.  </w:t>
      </w:r>
      <w:r w:rsidRPr="00C47563">
        <w:rPr>
          <w:rFonts w:ascii="Times New Roman" w:eastAsia="Times New Roman" w:hAnsi="Times New Roman" w:cs="Times New Roman"/>
          <w:i/>
          <w:sz w:val="26"/>
          <w:szCs w:val="26"/>
        </w:rPr>
        <w:t>University of Pennsylvania</w:t>
      </w:r>
      <w:r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i/>
          <w:sz w:val="26"/>
          <w:szCs w:val="26"/>
        </w:rPr>
        <w:t>v. Pa. PUC</w:t>
      </w:r>
      <w:r w:rsidRPr="00C47563">
        <w:rPr>
          <w:rFonts w:ascii="Times New Roman" w:eastAsia="Times New Roman" w:hAnsi="Times New Roman" w:cs="Times New Roman"/>
          <w:sz w:val="26"/>
          <w:szCs w:val="26"/>
        </w:rPr>
        <w:t xml:space="preserve">, 485 A.2d 1217, 1222 (Pa. Cmwlth. 1984).  Any exception or argument that is not specifically addressed herein shall be deemed to have been duly considered and denied without further discussion. </w:t>
      </w:r>
    </w:p>
    <w:p w14:paraId="1658E4EF" w14:textId="77777777" w:rsidR="00334263" w:rsidRPr="00C47563" w:rsidRDefault="00334263" w:rsidP="00931DB4">
      <w:pPr>
        <w:spacing w:after="0" w:line="360" w:lineRule="auto"/>
        <w:contextualSpacing/>
        <w:rPr>
          <w:rFonts w:ascii="Times New Roman" w:eastAsia="Times New Roman" w:hAnsi="Times New Roman" w:cs="Times New Roman"/>
          <w:sz w:val="26"/>
          <w:szCs w:val="26"/>
        </w:rPr>
      </w:pPr>
    </w:p>
    <w:p w14:paraId="6B5351A1" w14:textId="77777777" w:rsidR="009E1F23" w:rsidRPr="00C47563" w:rsidRDefault="009E1F23" w:rsidP="00931DB4">
      <w:pPr>
        <w:pStyle w:val="Heading2"/>
        <w:spacing w:line="360" w:lineRule="auto"/>
      </w:pPr>
      <w:bookmarkStart w:id="6" w:name="_Toc89253052"/>
      <w:r w:rsidRPr="00C47563">
        <w:rPr>
          <w:rFonts w:eastAsia="Times New Roman"/>
        </w:rPr>
        <w:t>A.</w:t>
      </w:r>
      <w:r w:rsidR="00E148D8" w:rsidRPr="00C47563">
        <w:tab/>
        <w:t>Legal Standard</w:t>
      </w:r>
      <w:r w:rsidR="006A6F2E" w:rsidRPr="00C47563">
        <w:t>s</w:t>
      </w:r>
      <w:bookmarkEnd w:id="6"/>
    </w:p>
    <w:p w14:paraId="766F7F27" w14:textId="577CEB08" w:rsidR="009E1F23" w:rsidRPr="00C47563" w:rsidRDefault="009E1F23" w:rsidP="00931DB4">
      <w:pPr>
        <w:keepNext/>
        <w:keepLines/>
        <w:spacing w:after="0" w:line="360" w:lineRule="auto"/>
        <w:ind w:firstLine="1440"/>
        <w:contextualSpacing/>
        <w:rPr>
          <w:rFonts w:ascii="Times New Roman" w:hAnsi="Times New Roman" w:cs="Times New Roman"/>
          <w:sz w:val="26"/>
          <w:szCs w:val="26"/>
        </w:rPr>
      </w:pPr>
    </w:p>
    <w:p w14:paraId="6E518990" w14:textId="53E92B49" w:rsidR="00E26524" w:rsidRPr="00C47563" w:rsidRDefault="00E26524" w:rsidP="00931DB4">
      <w:pPr>
        <w:pStyle w:val="Heading3"/>
        <w:spacing w:line="360" w:lineRule="auto"/>
      </w:pPr>
      <w:bookmarkStart w:id="7" w:name="_Toc89253053"/>
      <w:r w:rsidRPr="00C47563">
        <w:t>1.</w:t>
      </w:r>
      <w:r w:rsidRPr="00C47563">
        <w:tab/>
        <w:t>General Rate Increase Proceedings</w:t>
      </w:r>
      <w:bookmarkEnd w:id="7"/>
    </w:p>
    <w:p w14:paraId="3938EA2F" w14:textId="77777777" w:rsidR="00E26524" w:rsidRPr="00C47563" w:rsidRDefault="00E26524" w:rsidP="00931DB4">
      <w:pPr>
        <w:keepNext/>
        <w:spacing w:after="0" w:line="360" w:lineRule="auto"/>
        <w:ind w:firstLine="1440"/>
        <w:contextualSpacing/>
        <w:rPr>
          <w:rFonts w:ascii="Times New Roman" w:eastAsia="Times New Roman" w:hAnsi="Times New Roman" w:cs="Times New Roman"/>
          <w:sz w:val="26"/>
          <w:szCs w:val="26"/>
        </w:rPr>
      </w:pPr>
    </w:p>
    <w:p w14:paraId="2E6DEA23" w14:textId="72B17D82" w:rsidR="00880B79" w:rsidRPr="00C47563" w:rsidRDefault="00880B79" w:rsidP="00931DB4">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The purpose of this investigation is to establish rates for </w:t>
      </w:r>
      <w:r w:rsidR="001252C2" w:rsidRPr="00C47563">
        <w:rPr>
          <w:rFonts w:ascii="Times New Roman" w:eastAsia="Times New Roman" w:hAnsi="Times New Roman" w:cs="Times New Roman"/>
          <w:sz w:val="26"/>
          <w:szCs w:val="26"/>
        </w:rPr>
        <w:t xml:space="preserve">Columbia’s </w:t>
      </w:r>
      <w:r w:rsidRPr="00C47563">
        <w:rPr>
          <w:rFonts w:ascii="Times New Roman" w:eastAsia="Times New Roman" w:hAnsi="Times New Roman" w:cs="Times New Roman"/>
          <w:sz w:val="26"/>
          <w:szCs w:val="26"/>
        </w:rPr>
        <w:t xml:space="preserve">customers that are “just and reasonable” pursuant to Section 1301 of the Code, 66 Pa. C.S. § 1301.  </w:t>
      </w:r>
    </w:p>
    <w:p w14:paraId="49BC1B01" w14:textId="77777777" w:rsidR="00880B79" w:rsidRPr="00C47563" w:rsidRDefault="00880B79" w:rsidP="00C47563">
      <w:pPr>
        <w:spacing w:after="0" w:line="360" w:lineRule="auto"/>
        <w:ind w:firstLine="1440"/>
        <w:contextualSpacing/>
        <w:rPr>
          <w:rFonts w:ascii="Times New Roman" w:eastAsia="Times New Roman" w:hAnsi="Times New Roman" w:cs="Times New Roman"/>
          <w:sz w:val="26"/>
          <w:szCs w:val="26"/>
        </w:rPr>
      </w:pPr>
    </w:p>
    <w:p w14:paraId="5064CA7B" w14:textId="6364202B" w:rsidR="00880B79" w:rsidRPr="00C47563" w:rsidRDefault="00880B79"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The Commission applies certain principles in deciding any general rate increase case brought under Section 1308(d) of the Code, 66 Pa. C.S. § 1308(d).  A</w:t>
      </w:r>
      <w:r w:rsidR="00BF6C77"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 xml:space="preserve">public utility seeking a general rate increase is entitled to an opportunity to earn a fair rate of return on the value of the property dedicated to public service.  </w:t>
      </w:r>
      <w:r w:rsidRPr="00C47563">
        <w:rPr>
          <w:rFonts w:ascii="Times New Roman" w:eastAsia="Times New Roman" w:hAnsi="Times New Roman" w:cs="Times New Roman"/>
          <w:i/>
          <w:sz w:val="26"/>
          <w:szCs w:val="26"/>
        </w:rPr>
        <w:t>Bluefield Water Works and Improvement Co. v. Public Service Comm’n of West Virginia</w:t>
      </w:r>
      <w:r w:rsidRPr="00C47563">
        <w:rPr>
          <w:rFonts w:ascii="Times New Roman" w:eastAsia="Times New Roman" w:hAnsi="Times New Roman" w:cs="Times New Roman"/>
          <w:iCs/>
          <w:sz w:val="26"/>
          <w:szCs w:val="26"/>
        </w:rPr>
        <w:t>,</w:t>
      </w:r>
      <w:r w:rsidRPr="00C47563">
        <w:rPr>
          <w:rFonts w:ascii="Times New Roman" w:eastAsia="Times New Roman" w:hAnsi="Times New Roman" w:cs="Times New Roman"/>
          <w:sz w:val="26"/>
          <w:szCs w:val="26"/>
        </w:rPr>
        <w:t xml:space="preserve"> 262</w:t>
      </w:r>
      <w:r w:rsidR="003B394C"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U.S.</w:t>
      </w:r>
      <w:r w:rsidR="003B394C"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679</w:t>
      </w:r>
      <w:r w:rsidR="003B394C"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(1923) (</w:t>
      </w:r>
      <w:r w:rsidRPr="00C47563">
        <w:rPr>
          <w:rFonts w:ascii="Times New Roman" w:eastAsia="Times New Roman" w:hAnsi="Times New Roman" w:cs="Times New Roman"/>
          <w:i/>
          <w:sz w:val="26"/>
          <w:szCs w:val="26"/>
        </w:rPr>
        <w:t>Bluefield</w:t>
      </w:r>
      <w:r w:rsidRPr="00C47563">
        <w:rPr>
          <w:rFonts w:ascii="Times New Roman" w:eastAsia="Times New Roman" w:hAnsi="Times New Roman" w:cs="Times New Roman"/>
          <w:sz w:val="26"/>
          <w:szCs w:val="26"/>
        </w:rPr>
        <w:t xml:space="preserve">).  In determining what constitutes a fair rate of return, the Commission is guided by the criteria set forth in </w:t>
      </w:r>
      <w:r w:rsidRPr="00C47563">
        <w:rPr>
          <w:rFonts w:ascii="Times New Roman" w:eastAsia="Times New Roman" w:hAnsi="Times New Roman" w:cs="Times New Roman"/>
          <w:i/>
          <w:sz w:val="26"/>
          <w:szCs w:val="26"/>
        </w:rPr>
        <w:t xml:space="preserve">Bluefield, supra, </w:t>
      </w:r>
      <w:r w:rsidRPr="00C47563">
        <w:rPr>
          <w:rFonts w:ascii="Times New Roman" w:eastAsia="Times New Roman" w:hAnsi="Times New Roman" w:cs="Times New Roman"/>
          <w:sz w:val="26"/>
          <w:szCs w:val="26"/>
        </w:rPr>
        <w:t xml:space="preserve">and </w:t>
      </w:r>
      <w:r w:rsidRPr="00C47563">
        <w:rPr>
          <w:rFonts w:ascii="Times New Roman" w:eastAsia="Times New Roman" w:hAnsi="Times New Roman" w:cs="Times New Roman"/>
          <w:i/>
          <w:sz w:val="26"/>
          <w:szCs w:val="26"/>
        </w:rPr>
        <w:t>Federal Power Comm’n v. Hope</w:t>
      </w:r>
      <w:r w:rsidR="005A3D58" w:rsidRPr="00C47563">
        <w:rPr>
          <w:rFonts w:ascii="Times New Roman" w:eastAsia="Times New Roman" w:hAnsi="Times New Roman" w:cs="Times New Roman"/>
          <w:i/>
          <w:sz w:val="26"/>
          <w:szCs w:val="26"/>
        </w:rPr>
        <w:t> </w:t>
      </w:r>
      <w:r w:rsidRPr="00C47563">
        <w:rPr>
          <w:rFonts w:ascii="Times New Roman" w:eastAsia="Times New Roman" w:hAnsi="Times New Roman" w:cs="Times New Roman"/>
          <w:i/>
          <w:sz w:val="26"/>
          <w:szCs w:val="26"/>
        </w:rPr>
        <w:t>Natural Gas Co.</w:t>
      </w:r>
      <w:r w:rsidRPr="00C47563">
        <w:rPr>
          <w:rFonts w:ascii="Times New Roman" w:eastAsia="Times New Roman" w:hAnsi="Times New Roman" w:cs="Times New Roman"/>
          <w:sz w:val="26"/>
          <w:szCs w:val="26"/>
        </w:rPr>
        <w:t>, 320 U.S. 591 (1944)</w:t>
      </w:r>
      <w:r w:rsidR="00267882" w:rsidRPr="00C47563">
        <w:rPr>
          <w:rFonts w:ascii="Times New Roman" w:eastAsia="Times New Roman" w:hAnsi="Times New Roman" w:cs="Times New Roman"/>
          <w:sz w:val="26"/>
          <w:szCs w:val="26"/>
        </w:rPr>
        <w:t xml:space="preserve"> (</w:t>
      </w:r>
      <w:r w:rsidR="00267882" w:rsidRPr="00C47563">
        <w:rPr>
          <w:rFonts w:ascii="Times New Roman" w:eastAsia="Times New Roman" w:hAnsi="Times New Roman" w:cs="Times New Roman"/>
          <w:i/>
          <w:iCs/>
          <w:sz w:val="26"/>
          <w:szCs w:val="26"/>
        </w:rPr>
        <w:t>Hope Natural Gas)</w:t>
      </w:r>
      <w:r w:rsidRPr="00C47563">
        <w:rPr>
          <w:rFonts w:ascii="Times New Roman" w:eastAsia="Times New Roman" w:hAnsi="Times New Roman" w:cs="Times New Roman"/>
          <w:sz w:val="26"/>
          <w:szCs w:val="26"/>
        </w:rPr>
        <w:t xml:space="preserve">.  In </w:t>
      </w:r>
      <w:r w:rsidRPr="00C47563">
        <w:rPr>
          <w:rFonts w:ascii="Times New Roman" w:eastAsia="Times New Roman" w:hAnsi="Times New Roman" w:cs="Times New Roman"/>
          <w:i/>
          <w:sz w:val="26"/>
          <w:szCs w:val="26"/>
        </w:rPr>
        <w:t>Bluefield</w:t>
      </w:r>
      <w:r w:rsidRPr="00C47563">
        <w:rPr>
          <w:rFonts w:ascii="Times New Roman" w:eastAsia="Times New Roman" w:hAnsi="Times New Roman" w:cs="Times New Roman"/>
          <w:sz w:val="26"/>
          <w:szCs w:val="26"/>
        </w:rPr>
        <w:t>, the United States Supreme Court stated:</w:t>
      </w:r>
    </w:p>
    <w:p w14:paraId="45B8B7B6" w14:textId="77777777" w:rsidR="00880B79" w:rsidRPr="00C47563" w:rsidRDefault="00880B79" w:rsidP="00523032">
      <w:pPr>
        <w:spacing w:after="0" w:line="240" w:lineRule="auto"/>
        <w:ind w:firstLine="1440"/>
        <w:contextualSpacing/>
        <w:rPr>
          <w:rFonts w:ascii="Times New Roman" w:eastAsia="Times New Roman" w:hAnsi="Times New Roman" w:cs="Times New Roman"/>
          <w:sz w:val="26"/>
          <w:szCs w:val="26"/>
        </w:rPr>
      </w:pPr>
    </w:p>
    <w:p w14:paraId="5A6C9197" w14:textId="77777777" w:rsidR="00880B79" w:rsidRPr="00C47563" w:rsidRDefault="00880B79" w:rsidP="00C47563">
      <w:pPr>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p>
    <w:p w14:paraId="121A2AD8" w14:textId="77777777" w:rsidR="00880B79" w:rsidRPr="00C47563" w:rsidRDefault="00880B79" w:rsidP="00C47563">
      <w:pPr>
        <w:keepNext/>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A rate of return may be too high or too low by changes affecting opportunities for investment, the money market and business conditions generally.</w:t>
      </w:r>
    </w:p>
    <w:p w14:paraId="0B07810B" w14:textId="77777777" w:rsidR="006A0BF3" w:rsidRPr="00C47563" w:rsidRDefault="006A0BF3" w:rsidP="00C47563">
      <w:pPr>
        <w:keepNext/>
        <w:spacing w:after="0" w:line="360" w:lineRule="auto"/>
        <w:ind w:left="1440" w:right="1440"/>
        <w:contextualSpacing/>
        <w:rPr>
          <w:rFonts w:ascii="Times New Roman" w:eastAsia="Times New Roman" w:hAnsi="Times New Roman" w:cs="Times New Roman"/>
          <w:sz w:val="26"/>
          <w:szCs w:val="26"/>
        </w:rPr>
      </w:pPr>
    </w:p>
    <w:p w14:paraId="39EE3A98" w14:textId="736B7892" w:rsidR="00880B79" w:rsidRPr="00C47563" w:rsidRDefault="00880B79" w:rsidP="00C47563">
      <w:pPr>
        <w:keepNext/>
        <w:spacing w:after="0" w:line="360" w:lineRule="auto"/>
        <w:contextualSpacing/>
        <w:rPr>
          <w:rFonts w:ascii="Times New Roman" w:hAnsi="Times New Roman" w:cs="Times New Roman"/>
          <w:sz w:val="26"/>
          <w:szCs w:val="26"/>
        </w:rPr>
      </w:pPr>
      <w:r w:rsidRPr="00C47563">
        <w:rPr>
          <w:rFonts w:ascii="Times New Roman" w:hAnsi="Times New Roman" w:cs="Times New Roman"/>
          <w:i/>
          <w:sz w:val="26"/>
          <w:szCs w:val="26"/>
        </w:rPr>
        <w:t>Bluefield</w:t>
      </w:r>
      <w:r w:rsidRPr="00C47563">
        <w:rPr>
          <w:rFonts w:ascii="Times New Roman" w:hAnsi="Times New Roman" w:cs="Times New Roman"/>
          <w:iCs/>
          <w:sz w:val="26"/>
          <w:szCs w:val="26"/>
        </w:rPr>
        <w:t>,</w:t>
      </w:r>
      <w:r w:rsidRPr="00C47563">
        <w:rPr>
          <w:rFonts w:ascii="Times New Roman" w:hAnsi="Times New Roman" w:cs="Times New Roman"/>
          <w:i/>
          <w:sz w:val="26"/>
          <w:szCs w:val="26"/>
        </w:rPr>
        <w:t xml:space="preserve"> </w:t>
      </w:r>
      <w:r w:rsidR="00893BCA" w:rsidRPr="00C47563">
        <w:rPr>
          <w:rFonts w:ascii="Times New Roman" w:hAnsi="Times New Roman" w:cs="Times New Roman"/>
          <w:sz w:val="26"/>
          <w:szCs w:val="26"/>
        </w:rPr>
        <w:t>262 U.S. at 692-</w:t>
      </w:r>
      <w:r w:rsidRPr="00C47563">
        <w:rPr>
          <w:rFonts w:ascii="Times New Roman" w:hAnsi="Times New Roman" w:cs="Times New Roman"/>
          <w:sz w:val="26"/>
          <w:szCs w:val="26"/>
        </w:rPr>
        <w:t>3.</w:t>
      </w:r>
    </w:p>
    <w:p w14:paraId="7CFD65E8" w14:textId="77777777" w:rsidR="00BD4168" w:rsidRPr="00C47563" w:rsidRDefault="00BD4168" w:rsidP="00C47563">
      <w:pPr>
        <w:spacing w:after="0" w:line="360" w:lineRule="auto"/>
        <w:contextualSpacing/>
        <w:rPr>
          <w:rFonts w:ascii="Times New Roman" w:hAnsi="Times New Roman" w:cs="Times New Roman"/>
          <w:sz w:val="26"/>
          <w:szCs w:val="26"/>
        </w:rPr>
      </w:pPr>
    </w:p>
    <w:p w14:paraId="627C66DD" w14:textId="77777777" w:rsidR="00880B79" w:rsidRPr="00C47563" w:rsidDel="00906BF1" w:rsidRDefault="00880B79"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The public utility seeking a Section 1308(d) general rate increase has the burden of proof to establish the justness and reasonableness of every element of the rate increase request.  Regarding the</w:t>
      </w:r>
      <w:r w:rsidRPr="00C47563" w:rsidDel="00906BF1">
        <w:rPr>
          <w:rFonts w:ascii="Times New Roman" w:eastAsia="Times New Roman" w:hAnsi="Times New Roman" w:cs="Times New Roman"/>
          <w:sz w:val="26"/>
          <w:szCs w:val="26"/>
        </w:rPr>
        <w:t xml:space="preserve"> burden of proof</w:t>
      </w:r>
      <w:r w:rsidRPr="00C47563">
        <w:rPr>
          <w:rFonts w:ascii="Times New Roman" w:eastAsia="Times New Roman" w:hAnsi="Times New Roman" w:cs="Times New Roman"/>
          <w:sz w:val="26"/>
          <w:szCs w:val="26"/>
        </w:rPr>
        <w:t xml:space="preserve"> in a proceeding involving a proposed increase in rates by a public utility</w:t>
      </w:r>
      <w:r w:rsidRPr="00C47563" w:rsidDel="00906BF1">
        <w:rPr>
          <w:rFonts w:ascii="Times New Roman" w:eastAsia="Times New Roman" w:hAnsi="Times New Roman" w:cs="Times New Roman"/>
          <w:sz w:val="26"/>
          <w:szCs w:val="26"/>
        </w:rPr>
        <w:t>, Section 315(a) of the Code provides:</w:t>
      </w:r>
    </w:p>
    <w:p w14:paraId="59830F1E" w14:textId="77777777" w:rsidR="00880B79" w:rsidRPr="00C47563" w:rsidDel="00906BF1" w:rsidRDefault="00880B79" w:rsidP="00C47563">
      <w:pPr>
        <w:spacing w:after="0" w:line="240" w:lineRule="auto"/>
        <w:ind w:firstLine="1440"/>
        <w:contextualSpacing/>
        <w:rPr>
          <w:rFonts w:ascii="Times New Roman" w:eastAsia="Times New Roman" w:hAnsi="Times New Roman" w:cs="Times New Roman"/>
          <w:sz w:val="26"/>
          <w:szCs w:val="26"/>
        </w:rPr>
      </w:pPr>
    </w:p>
    <w:p w14:paraId="13E7D2C9" w14:textId="77777777" w:rsidR="002D0362" w:rsidRPr="00C47563" w:rsidRDefault="00880B79" w:rsidP="00C47563">
      <w:pPr>
        <w:numPr>
          <w:ilvl w:val="0"/>
          <w:numId w:val="2"/>
        </w:numPr>
        <w:spacing w:after="0" w:line="240" w:lineRule="auto"/>
        <w:ind w:left="1440" w:right="1440" w:firstLine="720"/>
        <w:contextualSpacing/>
        <w:rPr>
          <w:rFonts w:ascii="Times New Roman" w:eastAsia="Times New Roman" w:hAnsi="Times New Roman" w:cs="Times New Roman"/>
          <w:sz w:val="26"/>
          <w:szCs w:val="26"/>
        </w:rPr>
      </w:pPr>
      <w:r w:rsidRPr="00C47563" w:rsidDel="00906BF1">
        <w:rPr>
          <w:rFonts w:ascii="Times New Roman" w:eastAsia="Times New Roman" w:hAnsi="Times New Roman" w:cs="Times New Roman"/>
          <w:b/>
          <w:sz w:val="26"/>
          <w:szCs w:val="26"/>
        </w:rPr>
        <w:t>Reasonableness of rates.—</w:t>
      </w:r>
      <w:r w:rsidRPr="00C47563" w:rsidDel="00906BF1">
        <w:rPr>
          <w:rFonts w:ascii="Times New Roman" w:eastAsia="Times New Roman" w:hAnsi="Times New Roman" w:cs="Times New Roman"/>
          <w:sz w:val="26"/>
          <w:szCs w:val="26"/>
        </w:rPr>
        <w:t xml:space="preserve">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w:t>
      </w:r>
    </w:p>
    <w:p w14:paraId="3F8E172D" w14:textId="77777777" w:rsidR="00880B79" w:rsidRPr="00C47563" w:rsidRDefault="00880B79" w:rsidP="00C47563">
      <w:pPr>
        <w:keepNext/>
        <w:keepLines/>
        <w:spacing w:after="0" w:line="240" w:lineRule="auto"/>
        <w:ind w:left="1440" w:right="1440"/>
        <w:contextualSpacing/>
        <w:rPr>
          <w:rFonts w:ascii="Times New Roman" w:eastAsia="Times New Roman" w:hAnsi="Times New Roman" w:cs="Times New Roman"/>
          <w:sz w:val="26"/>
          <w:szCs w:val="26"/>
        </w:rPr>
      </w:pPr>
      <w:r w:rsidRPr="00C47563" w:rsidDel="00906BF1">
        <w:rPr>
          <w:rFonts w:ascii="Times New Roman" w:eastAsia="Times New Roman" w:hAnsi="Times New Roman" w:cs="Times New Roman"/>
          <w:sz w:val="26"/>
          <w:szCs w:val="26"/>
        </w:rPr>
        <w:t>shall give to the hearing and decision of any such proceeding preference over all other proceedings, and decide the same as speedily as possible.</w:t>
      </w:r>
    </w:p>
    <w:p w14:paraId="4FAC515A" w14:textId="77777777" w:rsidR="002D0362" w:rsidRPr="00C47563" w:rsidDel="00906BF1" w:rsidRDefault="002D0362" w:rsidP="00C47563">
      <w:pPr>
        <w:keepNext/>
        <w:keepLines/>
        <w:spacing w:after="0" w:line="360" w:lineRule="auto"/>
        <w:ind w:left="1440" w:right="1440"/>
        <w:contextualSpacing/>
        <w:rPr>
          <w:rFonts w:ascii="Times New Roman" w:eastAsia="Times New Roman" w:hAnsi="Times New Roman" w:cs="Times New Roman"/>
          <w:sz w:val="26"/>
          <w:szCs w:val="26"/>
        </w:rPr>
      </w:pPr>
    </w:p>
    <w:p w14:paraId="20B9C3B0" w14:textId="77777777" w:rsidR="00880B79" w:rsidRPr="00C47563" w:rsidRDefault="00880B79" w:rsidP="00C47563">
      <w:pPr>
        <w:keepNext/>
        <w:spacing w:after="0" w:line="360" w:lineRule="auto"/>
        <w:contextualSpacing/>
        <w:rPr>
          <w:rFonts w:ascii="Times New Roman" w:eastAsia="Times New Roman" w:hAnsi="Times New Roman" w:cs="Times New Roman"/>
          <w:b/>
          <w:sz w:val="26"/>
          <w:szCs w:val="26"/>
        </w:rPr>
      </w:pPr>
      <w:r w:rsidRPr="00C47563" w:rsidDel="00906BF1">
        <w:rPr>
          <w:rFonts w:ascii="Times New Roman" w:eastAsia="Times New Roman" w:hAnsi="Times New Roman" w:cs="Times New Roman"/>
          <w:sz w:val="26"/>
          <w:szCs w:val="26"/>
        </w:rPr>
        <w:t xml:space="preserve">66 Pa. C.S. § 315(a).  </w:t>
      </w:r>
    </w:p>
    <w:p w14:paraId="1194F030" w14:textId="6D91B911" w:rsidR="00880B79" w:rsidRPr="00C47563" w:rsidRDefault="00880B79" w:rsidP="00C47563">
      <w:pPr>
        <w:spacing w:after="0" w:line="360" w:lineRule="auto"/>
        <w:ind w:firstLine="1440"/>
        <w:contextualSpacing/>
        <w:rPr>
          <w:rFonts w:ascii="Times New Roman" w:eastAsia="Times New Roman" w:hAnsi="Times New Roman" w:cs="Times New Roman"/>
          <w:sz w:val="26"/>
          <w:szCs w:val="26"/>
        </w:rPr>
      </w:pPr>
    </w:p>
    <w:p w14:paraId="59D01FA2" w14:textId="04B5B7D4" w:rsidR="0006653F" w:rsidRPr="00C47563" w:rsidRDefault="00850775"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However, “</w:t>
      </w:r>
      <w:r w:rsidR="00C920A4" w:rsidRPr="00C47563">
        <w:rPr>
          <w:rFonts w:ascii="Times New Roman" w:eastAsia="Times New Roman" w:hAnsi="Times New Roman" w:cs="Times New Roman"/>
          <w:sz w:val="26"/>
          <w:szCs w:val="26"/>
        </w:rPr>
        <w:t xml:space="preserve">a party proposing an adjustment to a ratemaking claim bears the burden of presenting some evidence or analysis . . . tending to demonstrate the reasonableness of the adjustment.”  </w:t>
      </w:r>
      <w:r w:rsidR="00C920A4" w:rsidRPr="00C47563">
        <w:rPr>
          <w:rFonts w:ascii="Times New Roman" w:eastAsia="Times New Roman" w:hAnsi="Times New Roman" w:cs="Times New Roman"/>
          <w:i/>
          <w:iCs/>
          <w:sz w:val="26"/>
          <w:szCs w:val="26"/>
        </w:rPr>
        <w:t>Pa. PUC v. Philadelphia Gas Works</w:t>
      </w:r>
      <w:r w:rsidR="00C920A4" w:rsidRPr="00C47563">
        <w:rPr>
          <w:rFonts w:ascii="Times New Roman" w:eastAsia="Times New Roman" w:hAnsi="Times New Roman" w:cs="Times New Roman"/>
          <w:sz w:val="26"/>
          <w:szCs w:val="26"/>
        </w:rPr>
        <w:t>, Docket No.</w:t>
      </w:r>
      <w:r w:rsidR="009D2896">
        <w:rPr>
          <w:rFonts w:ascii="Times New Roman" w:eastAsia="Times New Roman" w:hAnsi="Times New Roman" w:cs="Times New Roman"/>
          <w:sz w:val="26"/>
          <w:szCs w:val="26"/>
        </w:rPr>
        <w:t> </w:t>
      </w:r>
    </w:p>
    <w:p w14:paraId="3FC29232" w14:textId="7C8853A2" w:rsidR="00C920A4" w:rsidRPr="00C47563" w:rsidRDefault="00C920A4" w:rsidP="00523032">
      <w:pPr>
        <w:spacing w:after="0" w:line="36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R-2017-2586783 (Order entered November 8, 2017) (</w:t>
      </w:r>
      <w:r w:rsidRPr="00C47563">
        <w:rPr>
          <w:rFonts w:ascii="Times New Roman" w:eastAsia="Times New Roman" w:hAnsi="Times New Roman" w:cs="Times New Roman"/>
          <w:i/>
          <w:iCs/>
          <w:sz w:val="26"/>
          <w:szCs w:val="26"/>
        </w:rPr>
        <w:t>PGW</w:t>
      </w:r>
      <w:r w:rsidRPr="00C47563">
        <w:rPr>
          <w:rFonts w:ascii="Times New Roman" w:eastAsia="Times New Roman" w:hAnsi="Times New Roman" w:cs="Times New Roman"/>
          <w:sz w:val="26"/>
          <w:szCs w:val="26"/>
        </w:rPr>
        <w:t>) at 12.</w:t>
      </w:r>
      <w:r w:rsidR="00A36490" w:rsidRPr="00C47563">
        <w:rPr>
          <w:rFonts w:ascii="Times New Roman" w:eastAsia="Times New Roman" w:hAnsi="Times New Roman" w:cs="Times New Roman"/>
          <w:sz w:val="26"/>
          <w:szCs w:val="26"/>
        </w:rPr>
        <w:t xml:space="preserve">  </w:t>
      </w:r>
      <w:r w:rsidR="00B41281" w:rsidRPr="00C47563">
        <w:rPr>
          <w:rFonts w:ascii="Times New Roman" w:eastAsia="Times New Roman" w:hAnsi="Times New Roman" w:cs="Times New Roman"/>
          <w:sz w:val="26"/>
          <w:szCs w:val="26"/>
        </w:rPr>
        <w:t xml:space="preserve">It is well-established that </w:t>
      </w:r>
      <w:r w:rsidRPr="00C47563">
        <w:rPr>
          <w:rFonts w:ascii="Times New Roman" w:eastAsia="Times New Roman" w:hAnsi="Times New Roman" w:cs="Times New Roman"/>
          <w:sz w:val="26"/>
          <w:szCs w:val="26"/>
        </w:rPr>
        <w:t xml:space="preserve">“while a utility has the burden of proving the justness and reasonableness of its proposed rates, it cannot be called upon to account for every action absent prior notice” of a challenge.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“[T]he statutory burden of proof placed on the utility under Section</w:t>
      </w:r>
      <w:r w:rsidR="009D2896">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 xml:space="preserve">315(a) of the Code, 66 Pa. C.S. § 315(a), cannot reasonably be read to place the burden of proof on the utility with respect to an issue that the utility did not propose in its general rate case filing, and which, frequently, the utility would oppose.”  </w:t>
      </w:r>
      <w:r w:rsidRPr="00C47563">
        <w:rPr>
          <w:rFonts w:ascii="Times New Roman" w:eastAsia="Times New Roman" w:hAnsi="Times New Roman" w:cs="Times New Roman"/>
          <w:i/>
          <w:iCs/>
          <w:sz w:val="26"/>
          <w:szCs w:val="26"/>
        </w:rPr>
        <w:t>Pa.</w:t>
      </w:r>
      <w:r w:rsidR="00523032">
        <w:rPr>
          <w:rFonts w:ascii="Times New Roman" w:eastAsia="Times New Roman" w:hAnsi="Times New Roman" w:cs="Times New Roman"/>
          <w:i/>
          <w:iCs/>
          <w:sz w:val="26"/>
          <w:szCs w:val="26"/>
        </w:rPr>
        <w:t> </w:t>
      </w:r>
      <w:r w:rsidRPr="00C47563">
        <w:rPr>
          <w:rFonts w:ascii="Times New Roman" w:eastAsia="Times New Roman" w:hAnsi="Times New Roman" w:cs="Times New Roman"/>
          <w:i/>
          <w:iCs/>
          <w:sz w:val="26"/>
          <w:szCs w:val="26"/>
        </w:rPr>
        <w:t>PUC</w:t>
      </w:r>
      <w:r w:rsidR="00523032">
        <w:rPr>
          <w:rFonts w:ascii="Times New Roman" w:eastAsia="Times New Roman" w:hAnsi="Times New Roman" w:cs="Times New Roman"/>
          <w:i/>
          <w:iCs/>
          <w:sz w:val="26"/>
          <w:szCs w:val="26"/>
        </w:rPr>
        <w:t> </w:t>
      </w:r>
      <w:r w:rsidRPr="00C47563">
        <w:rPr>
          <w:rFonts w:ascii="Times New Roman" w:eastAsia="Times New Roman" w:hAnsi="Times New Roman" w:cs="Times New Roman"/>
          <w:i/>
          <w:iCs/>
          <w:sz w:val="26"/>
          <w:szCs w:val="26"/>
        </w:rPr>
        <w:t>v.</w:t>
      </w:r>
      <w:r w:rsidR="00523032">
        <w:rPr>
          <w:rFonts w:ascii="Times New Roman" w:eastAsia="Times New Roman" w:hAnsi="Times New Roman" w:cs="Times New Roman"/>
          <w:i/>
          <w:iCs/>
          <w:sz w:val="26"/>
          <w:szCs w:val="26"/>
        </w:rPr>
        <w:t> </w:t>
      </w:r>
      <w:r w:rsidRPr="00C47563">
        <w:rPr>
          <w:rFonts w:ascii="Times New Roman" w:eastAsia="Times New Roman" w:hAnsi="Times New Roman" w:cs="Times New Roman"/>
          <w:i/>
          <w:iCs/>
          <w:sz w:val="26"/>
          <w:szCs w:val="26"/>
        </w:rPr>
        <w:t>PECO Energy Company – Electric Division</w:t>
      </w:r>
      <w:r w:rsidRPr="00C47563">
        <w:rPr>
          <w:rFonts w:ascii="Times New Roman" w:eastAsia="Times New Roman" w:hAnsi="Times New Roman" w:cs="Times New Roman"/>
          <w:sz w:val="26"/>
          <w:szCs w:val="26"/>
        </w:rPr>
        <w:t>, Docket No. R-2018-3000164 (Order entered December 20, 2018)</w:t>
      </w:r>
      <w:r w:rsidRPr="00C47563">
        <w:rPr>
          <w:rFonts w:ascii="Times New Roman" w:eastAsia="Times New Roman" w:hAnsi="Times New Roman" w:cs="Times New Roman"/>
          <w:i/>
          <w:iCs/>
          <w:sz w:val="26"/>
          <w:szCs w:val="26"/>
        </w:rPr>
        <w:t xml:space="preserve"> </w:t>
      </w:r>
      <w:r w:rsidRPr="00C47563">
        <w:rPr>
          <w:rFonts w:ascii="Times New Roman" w:eastAsia="Times New Roman" w:hAnsi="Times New Roman" w:cs="Times New Roman"/>
          <w:sz w:val="26"/>
          <w:szCs w:val="26"/>
        </w:rPr>
        <w:t>at 13.</w:t>
      </w:r>
    </w:p>
    <w:p w14:paraId="266F6E98" w14:textId="77777777" w:rsidR="00C920A4" w:rsidRPr="00C47563" w:rsidRDefault="00C920A4" w:rsidP="00523032">
      <w:pPr>
        <w:spacing w:after="0" w:line="360" w:lineRule="auto"/>
        <w:ind w:firstLine="1440"/>
        <w:contextualSpacing/>
        <w:rPr>
          <w:rFonts w:ascii="Times New Roman" w:eastAsia="Times New Roman" w:hAnsi="Times New Roman" w:cs="Times New Roman"/>
          <w:sz w:val="26"/>
          <w:szCs w:val="26"/>
        </w:rPr>
      </w:pPr>
    </w:p>
    <w:p w14:paraId="4097BA4A" w14:textId="34FA4679" w:rsidR="00C920A4" w:rsidRPr="00C47563" w:rsidRDefault="009943D2" w:rsidP="00523032">
      <w:pPr>
        <w:pStyle w:val="Heading3"/>
        <w:spacing w:line="360" w:lineRule="auto"/>
      </w:pPr>
      <w:bookmarkStart w:id="8" w:name="_Toc89253054"/>
      <w:r w:rsidRPr="00C47563">
        <w:t>2.</w:t>
      </w:r>
      <w:r w:rsidRPr="00C47563">
        <w:tab/>
        <w:t xml:space="preserve">Mr. Culbertson’s </w:t>
      </w:r>
      <w:r w:rsidR="00F813FB" w:rsidRPr="00C47563">
        <w:t>Claims</w:t>
      </w:r>
      <w:bookmarkEnd w:id="8"/>
      <w:r w:rsidRPr="00C47563">
        <w:t xml:space="preserve"> </w:t>
      </w:r>
    </w:p>
    <w:p w14:paraId="20B251AD" w14:textId="77777777" w:rsidR="00C920A4" w:rsidRPr="00C47563" w:rsidRDefault="00C920A4" w:rsidP="00523032">
      <w:pPr>
        <w:keepNext/>
        <w:spacing w:after="0" w:line="360" w:lineRule="auto"/>
        <w:ind w:firstLine="1440"/>
        <w:contextualSpacing/>
        <w:rPr>
          <w:rFonts w:ascii="Times New Roman" w:eastAsia="Times New Roman" w:hAnsi="Times New Roman" w:cs="Times New Roman"/>
          <w:sz w:val="26"/>
          <w:szCs w:val="26"/>
        </w:rPr>
      </w:pPr>
    </w:p>
    <w:p w14:paraId="29503232" w14:textId="0627A377" w:rsidR="00D61CD7" w:rsidRPr="00C47563" w:rsidRDefault="002B16D2" w:rsidP="00523032">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hAnsi="Times New Roman" w:cs="Times New Roman"/>
          <w:sz w:val="26"/>
          <w:szCs w:val="26"/>
        </w:rPr>
        <w:t xml:space="preserve">In this case, the issues reserved for litigation </w:t>
      </w:r>
      <w:r w:rsidR="002A019C" w:rsidRPr="00C47563">
        <w:rPr>
          <w:rFonts w:ascii="Times New Roman" w:hAnsi="Times New Roman" w:cs="Times New Roman"/>
          <w:sz w:val="26"/>
          <w:szCs w:val="26"/>
        </w:rPr>
        <w:t xml:space="preserve">pertain to </w:t>
      </w:r>
      <w:r w:rsidRPr="00C47563">
        <w:rPr>
          <w:rFonts w:ascii="Times New Roman" w:hAnsi="Times New Roman" w:cs="Times New Roman"/>
          <w:sz w:val="26"/>
          <w:szCs w:val="26"/>
        </w:rPr>
        <w:t xml:space="preserve">claims that Mr. Culbertson </w:t>
      </w:r>
      <w:r w:rsidR="002A019C" w:rsidRPr="00C47563">
        <w:rPr>
          <w:rFonts w:ascii="Times New Roman" w:hAnsi="Times New Roman" w:cs="Times New Roman"/>
          <w:sz w:val="26"/>
          <w:szCs w:val="26"/>
        </w:rPr>
        <w:t xml:space="preserve">raised </w:t>
      </w:r>
      <w:r w:rsidRPr="00C47563">
        <w:rPr>
          <w:rFonts w:ascii="Times New Roman" w:hAnsi="Times New Roman" w:cs="Times New Roman"/>
          <w:sz w:val="26"/>
          <w:szCs w:val="26"/>
        </w:rPr>
        <w:t>in his individual Complaint</w:t>
      </w:r>
      <w:r w:rsidR="00525E69" w:rsidRPr="00C47563">
        <w:rPr>
          <w:rFonts w:ascii="Times New Roman" w:hAnsi="Times New Roman" w:cs="Times New Roman"/>
          <w:sz w:val="26"/>
          <w:szCs w:val="26"/>
        </w:rPr>
        <w:t xml:space="preserve"> and which </w:t>
      </w:r>
      <w:r w:rsidRPr="00C47563">
        <w:rPr>
          <w:rFonts w:ascii="Times New Roman" w:hAnsi="Times New Roman" w:cs="Times New Roman"/>
          <w:sz w:val="26"/>
          <w:szCs w:val="26"/>
        </w:rPr>
        <w:t xml:space="preserve">Columbia </w:t>
      </w:r>
      <w:r w:rsidR="00525E69" w:rsidRPr="00C47563">
        <w:rPr>
          <w:rFonts w:ascii="Times New Roman" w:hAnsi="Times New Roman" w:cs="Times New Roman"/>
          <w:sz w:val="26"/>
          <w:szCs w:val="26"/>
        </w:rPr>
        <w:t xml:space="preserve">did not present </w:t>
      </w:r>
      <w:r w:rsidRPr="00C47563">
        <w:rPr>
          <w:rFonts w:ascii="Times New Roman" w:hAnsi="Times New Roman" w:cs="Times New Roman"/>
          <w:sz w:val="26"/>
          <w:szCs w:val="26"/>
        </w:rPr>
        <w:t xml:space="preserve">in its filing. </w:t>
      </w:r>
      <w:r w:rsidR="00525E69"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As the proponent of a rule or order, Mr. Culbertson bears the burden of proof pursuant to Section 332(a) of the Code, 66 Pa. C.S. § 332(a), which provides that the party seeking a rule or order from the Commission has the burden of proof in that proceeding. </w:t>
      </w:r>
      <w:r w:rsidR="00237F6F" w:rsidRPr="00C47563">
        <w:rPr>
          <w:rFonts w:ascii="Times New Roman" w:hAnsi="Times New Roman" w:cs="Times New Roman"/>
          <w:sz w:val="26"/>
          <w:szCs w:val="26"/>
        </w:rPr>
        <w:t xml:space="preserve"> </w:t>
      </w:r>
      <w:r w:rsidR="007A47AE" w:rsidRPr="00C47563">
        <w:rPr>
          <w:rFonts w:ascii="Times New Roman" w:hAnsi="Times New Roman" w:cs="Times New Roman"/>
          <w:sz w:val="26"/>
          <w:szCs w:val="26"/>
        </w:rPr>
        <w:t xml:space="preserve">Mr. Culbertson </w:t>
      </w:r>
      <w:r w:rsidR="00C37096" w:rsidRPr="00C47563">
        <w:rPr>
          <w:rFonts w:ascii="Times New Roman" w:hAnsi="Times New Roman" w:cs="Times New Roman"/>
          <w:sz w:val="26"/>
          <w:szCs w:val="26"/>
        </w:rPr>
        <w:t>must prove his case</w:t>
      </w:r>
      <w:r w:rsidRPr="00C47563">
        <w:rPr>
          <w:rFonts w:ascii="Times New Roman" w:hAnsi="Times New Roman" w:cs="Times New Roman"/>
          <w:sz w:val="26"/>
          <w:szCs w:val="26"/>
        </w:rPr>
        <w:t xml:space="preserve"> by </w:t>
      </w:r>
      <w:r w:rsidR="003149D9" w:rsidRPr="00C47563">
        <w:rPr>
          <w:rFonts w:ascii="Times New Roman" w:hAnsi="Times New Roman" w:cs="Times New Roman"/>
          <w:sz w:val="26"/>
          <w:szCs w:val="26"/>
        </w:rPr>
        <w:t>“</w:t>
      </w:r>
      <w:r w:rsidRPr="00C47563">
        <w:rPr>
          <w:rFonts w:ascii="Times New Roman" w:hAnsi="Times New Roman" w:cs="Times New Roman"/>
          <w:sz w:val="26"/>
          <w:szCs w:val="26"/>
        </w:rPr>
        <w:t xml:space="preserve">establishing a preponderance of evidence which is substantial and legally credible.” </w:t>
      </w:r>
      <w:r w:rsidR="003149D9" w:rsidRPr="00C47563">
        <w:rPr>
          <w:rFonts w:ascii="Times New Roman" w:hAnsi="Times New Roman" w:cs="Times New Roman"/>
          <w:sz w:val="26"/>
          <w:szCs w:val="26"/>
        </w:rPr>
        <w:t xml:space="preserve"> </w:t>
      </w:r>
      <w:r w:rsidR="0030086F" w:rsidRPr="00C47563">
        <w:rPr>
          <w:rFonts w:ascii="Times New Roman" w:hAnsi="Times New Roman" w:cs="Times New Roman"/>
          <w:i/>
          <w:iCs/>
          <w:sz w:val="26"/>
          <w:szCs w:val="26"/>
        </w:rPr>
        <w:t>Samuel J. Lansberry, Inc. v. Pa.</w:t>
      </w:r>
      <w:r w:rsidR="009D2896">
        <w:rPr>
          <w:rFonts w:ascii="Times New Roman" w:hAnsi="Times New Roman" w:cs="Times New Roman"/>
          <w:i/>
          <w:iCs/>
          <w:sz w:val="26"/>
          <w:szCs w:val="26"/>
        </w:rPr>
        <w:t> </w:t>
      </w:r>
      <w:r w:rsidR="0030086F" w:rsidRPr="00C47563">
        <w:rPr>
          <w:rFonts w:ascii="Times New Roman" w:hAnsi="Times New Roman" w:cs="Times New Roman"/>
          <w:i/>
          <w:iCs/>
          <w:sz w:val="26"/>
          <w:szCs w:val="26"/>
        </w:rPr>
        <w:t>PUC</w:t>
      </w:r>
      <w:r w:rsidR="0030086F" w:rsidRPr="00C47563">
        <w:rPr>
          <w:rFonts w:ascii="Times New Roman" w:hAnsi="Times New Roman" w:cs="Times New Roman"/>
          <w:sz w:val="26"/>
          <w:szCs w:val="26"/>
        </w:rPr>
        <w:t xml:space="preserve">, 578 A.2d 600 (Pa. Cmwlth. 1990), </w:t>
      </w:r>
      <w:r w:rsidR="0030086F" w:rsidRPr="00C47563">
        <w:rPr>
          <w:rFonts w:ascii="Times New Roman" w:hAnsi="Times New Roman" w:cs="Times New Roman"/>
          <w:i/>
          <w:sz w:val="26"/>
          <w:szCs w:val="26"/>
        </w:rPr>
        <w:t>alloc. denied,</w:t>
      </w:r>
      <w:r w:rsidR="0030086F" w:rsidRPr="00C47563">
        <w:rPr>
          <w:rFonts w:ascii="Times New Roman" w:hAnsi="Times New Roman" w:cs="Times New Roman"/>
          <w:sz w:val="26"/>
          <w:szCs w:val="26"/>
        </w:rPr>
        <w:t xml:space="preserve"> 529 Pa. 654, 602 A.2d 863 (1992).  </w:t>
      </w:r>
      <w:r w:rsidR="00FA79CB" w:rsidRPr="00C47563">
        <w:rPr>
          <w:rFonts w:ascii="Times New Roman" w:hAnsi="Times New Roman" w:cs="Times New Roman"/>
          <w:sz w:val="26"/>
          <w:szCs w:val="26"/>
        </w:rPr>
        <w:t xml:space="preserve">That is, the Complainant’s evidence must be more convincing, by even the smallest amount, than that presented by the Company.  </w:t>
      </w:r>
      <w:r w:rsidR="00FA79CB" w:rsidRPr="00C47563">
        <w:rPr>
          <w:rFonts w:ascii="Times New Roman" w:hAnsi="Times New Roman" w:cs="Times New Roman"/>
          <w:i/>
          <w:sz w:val="26"/>
          <w:szCs w:val="26"/>
        </w:rPr>
        <w:t>Se-Ling Hosiery, Inc. v. Margulies</w:t>
      </w:r>
      <w:r w:rsidR="00FA79CB" w:rsidRPr="00C47563">
        <w:rPr>
          <w:rFonts w:ascii="Times New Roman" w:hAnsi="Times New Roman" w:cs="Times New Roman"/>
          <w:sz w:val="26"/>
          <w:szCs w:val="26"/>
        </w:rPr>
        <w:t xml:space="preserve">, 364 Pa. 45, 70 A.2d 854 (1950).  </w:t>
      </w:r>
    </w:p>
    <w:p w14:paraId="64F2C51E" w14:textId="77777777" w:rsidR="00D61CD7" w:rsidRPr="00C47563" w:rsidRDefault="00D61CD7" w:rsidP="009D2896">
      <w:pPr>
        <w:spacing w:after="0" w:line="360" w:lineRule="auto"/>
        <w:ind w:firstLine="1440"/>
        <w:contextualSpacing/>
        <w:rPr>
          <w:rFonts w:ascii="Times New Roman" w:eastAsia="Times New Roman" w:hAnsi="Times New Roman" w:cs="Times New Roman"/>
          <w:sz w:val="26"/>
          <w:szCs w:val="26"/>
        </w:rPr>
      </w:pPr>
    </w:p>
    <w:p w14:paraId="24A8E7B7" w14:textId="25C9F9F0" w:rsidR="00AE66D5" w:rsidRPr="00C47563" w:rsidRDefault="00AE66D5" w:rsidP="009D2896">
      <w:pPr>
        <w:pStyle w:val="Heading3"/>
        <w:spacing w:line="360" w:lineRule="auto"/>
      </w:pPr>
      <w:bookmarkStart w:id="9" w:name="_Toc89253055"/>
      <w:r w:rsidRPr="00C47563">
        <w:t>3.</w:t>
      </w:r>
      <w:r w:rsidRPr="00C47563">
        <w:tab/>
        <w:t>The Settlement</w:t>
      </w:r>
      <w:bookmarkEnd w:id="9"/>
      <w:r w:rsidRPr="00C47563">
        <w:t xml:space="preserve"> </w:t>
      </w:r>
    </w:p>
    <w:p w14:paraId="453E9FDE" w14:textId="77777777" w:rsidR="00AE66D5" w:rsidRPr="00C47563" w:rsidRDefault="00AE66D5" w:rsidP="009D2896">
      <w:pPr>
        <w:keepNext/>
        <w:spacing w:after="0" w:line="360" w:lineRule="auto"/>
        <w:ind w:firstLine="1440"/>
        <w:contextualSpacing/>
        <w:rPr>
          <w:rFonts w:ascii="Times New Roman" w:eastAsia="Times New Roman" w:hAnsi="Times New Roman" w:cs="Times New Roman"/>
          <w:sz w:val="26"/>
          <w:szCs w:val="26"/>
        </w:rPr>
      </w:pPr>
    </w:p>
    <w:p w14:paraId="19CF0C39" w14:textId="5867E429" w:rsidR="00880B79" w:rsidRPr="00C47563" w:rsidRDefault="00880B79" w:rsidP="009D2896">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In the instant proceeding, the Joint Petitioners have reached an accord on all the issues and claims that arose in this proceeding and submitted the Settlement for the Commission’s review</w:t>
      </w:r>
      <w:r w:rsidR="00393B7C" w:rsidRPr="00C47563">
        <w:rPr>
          <w:rFonts w:ascii="Times New Roman" w:eastAsia="Times New Roman" w:hAnsi="Times New Roman" w:cs="Times New Roman"/>
          <w:sz w:val="26"/>
          <w:szCs w:val="26"/>
        </w:rPr>
        <w:t xml:space="preserve"> and approval</w:t>
      </w:r>
      <w:r w:rsidRPr="00C47563">
        <w:rPr>
          <w:rFonts w:ascii="Times New Roman" w:eastAsia="Times New Roman" w:hAnsi="Times New Roman" w:cs="Times New Roman"/>
          <w:sz w:val="26"/>
          <w:szCs w:val="26"/>
        </w:rPr>
        <w:t xml:space="preserve">.  The Commission has expressed a policy of encouraging settlements.  </w:t>
      </w:r>
      <w:r w:rsidRPr="00C47563">
        <w:rPr>
          <w:rFonts w:ascii="Times New Roman" w:eastAsia="Times New Roman" w:hAnsi="Times New Roman" w:cs="Times New Roman"/>
          <w:i/>
          <w:sz w:val="26"/>
          <w:szCs w:val="26"/>
        </w:rPr>
        <w:t>See</w:t>
      </w:r>
      <w:r w:rsidRPr="00C47563">
        <w:rPr>
          <w:rFonts w:ascii="Times New Roman" w:eastAsia="Times New Roman" w:hAnsi="Times New Roman" w:cs="Times New Roman"/>
          <w:sz w:val="26"/>
          <w:szCs w:val="26"/>
        </w:rPr>
        <w:t xml:space="preserve"> 52 Pa. Code §§ 5.231, 69.401.  The Commission has stated that settlement results are often preferable to those achieved after a fully litigated proceeding.  52 Pa. Code </w:t>
      </w:r>
      <w:r w:rsidR="0030709E"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69.401.  A settlement in a proceeding may reduce or eliminate the substantial time, effort, and expense that otherwise may be used or incurred in litigating a proceeding.</w:t>
      </w:r>
      <w:r w:rsidRPr="00C47563">
        <w:rPr>
          <w:rFonts w:ascii="Times New Roman" w:eastAsia="Times New Roman" w:hAnsi="Times New Roman" w:cs="Times New Roman"/>
          <w:sz w:val="26"/>
          <w:szCs w:val="26"/>
          <w:vertAlign w:val="superscript"/>
        </w:rPr>
        <w:footnoteReference w:id="3"/>
      </w:r>
      <w:r w:rsidRPr="00C47563">
        <w:rPr>
          <w:rFonts w:ascii="Times New Roman" w:eastAsia="Times New Roman" w:hAnsi="Times New Roman" w:cs="Times New Roman"/>
          <w:sz w:val="26"/>
          <w:szCs w:val="26"/>
        </w:rPr>
        <w:t xml:space="preserve"> </w:t>
      </w:r>
      <w:r w:rsidR="00884C9E"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Rate cases, in general, are expensive to litigate and the reasonable costs of such litigation is an operating expense recovered in the rates approved by the Commission.  This means that a settlement, which allows the parties to avoid or minimize the substantial costs of litigation, may yield potential savings for the </w:t>
      </w:r>
      <w:r w:rsidR="00D31A5F" w:rsidRPr="00C47563">
        <w:rPr>
          <w:rFonts w:ascii="Times New Roman" w:eastAsia="Times New Roman" w:hAnsi="Times New Roman" w:cs="Times New Roman"/>
          <w:sz w:val="26"/>
          <w:szCs w:val="26"/>
        </w:rPr>
        <w:t>C</w:t>
      </w:r>
      <w:r w:rsidRPr="00C47563">
        <w:rPr>
          <w:rFonts w:ascii="Times New Roman" w:eastAsia="Times New Roman" w:hAnsi="Times New Roman" w:cs="Times New Roman"/>
          <w:sz w:val="26"/>
          <w:szCs w:val="26"/>
        </w:rPr>
        <w:t>ompany’s customers.  Thus, a settlement, whether full or partial, may directly benefit the named parties as well as indirectly benefit the customers of the public utility involved in the case.  For this and other sound reasons, settlements are encouraged by long</w:t>
      </w:r>
      <w:r w:rsidRPr="00C47563">
        <w:rPr>
          <w:rFonts w:ascii="Times New Roman" w:eastAsia="Times New Roman" w:hAnsi="Times New Roman" w:cs="Times New Roman"/>
          <w:sz w:val="26"/>
          <w:szCs w:val="26"/>
        </w:rPr>
        <w:noBreakHyphen/>
        <w:t>standing Commission policy.</w:t>
      </w:r>
    </w:p>
    <w:p w14:paraId="3714B5AF" w14:textId="60D96454" w:rsidR="00880B79" w:rsidRPr="00C47563" w:rsidRDefault="00880B79" w:rsidP="00C47563">
      <w:pPr>
        <w:spacing w:after="0" w:line="360" w:lineRule="auto"/>
        <w:ind w:firstLine="1440"/>
        <w:contextualSpacing/>
        <w:rPr>
          <w:rFonts w:ascii="Times New Roman" w:eastAsia="Times New Roman" w:hAnsi="Times New Roman" w:cs="Times New Roman"/>
          <w:sz w:val="26"/>
          <w:szCs w:val="26"/>
        </w:rPr>
      </w:pPr>
    </w:p>
    <w:p w14:paraId="52B7544F" w14:textId="1D2CAB73" w:rsidR="006111A1" w:rsidRPr="00C47563" w:rsidRDefault="0025321B"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Under this Settlement, the settlement </w:t>
      </w:r>
      <w:r w:rsidR="00F838A4" w:rsidRPr="00C47563">
        <w:rPr>
          <w:rFonts w:ascii="Times New Roman" w:eastAsia="Times New Roman" w:hAnsi="Times New Roman" w:cs="Times New Roman"/>
          <w:sz w:val="26"/>
          <w:szCs w:val="26"/>
        </w:rPr>
        <w:t xml:space="preserve">revenue requirement is a “black box” amount.  </w:t>
      </w:r>
      <w:r w:rsidR="00F27DC1" w:rsidRPr="00C47563">
        <w:rPr>
          <w:rFonts w:ascii="Times New Roman" w:eastAsia="Times New Roman" w:hAnsi="Times New Roman" w:cs="Times New Roman"/>
          <w:sz w:val="26"/>
          <w:szCs w:val="26"/>
        </w:rPr>
        <w:t xml:space="preserve">A “black box” settlement </w:t>
      </w:r>
      <w:r w:rsidR="006111A1" w:rsidRPr="00C47563">
        <w:rPr>
          <w:rFonts w:ascii="Times New Roman" w:eastAsia="Times New Roman" w:hAnsi="Times New Roman" w:cs="Times New Roman"/>
          <w:sz w:val="26"/>
          <w:szCs w:val="26"/>
        </w:rPr>
        <w:t>means that the parties were not able to agree on each and every element of the revenue requirement calculation.  The Commission has recognized that “black box” settlements can serve an important purpose in reaching consensus in rate cases:</w:t>
      </w:r>
    </w:p>
    <w:p w14:paraId="5E2A31C4" w14:textId="77777777" w:rsidR="006111A1" w:rsidRPr="00C47563" w:rsidRDefault="006111A1" w:rsidP="00C47563">
      <w:pPr>
        <w:spacing w:after="0" w:line="240" w:lineRule="auto"/>
        <w:ind w:left="1440" w:right="1440"/>
        <w:contextualSpacing/>
        <w:rPr>
          <w:rFonts w:ascii="Times New Roman" w:eastAsia="Times New Roman" w:hAnsi="Times New Roman" w:cs="Times New Roman"/>
          <w:sz w:val="26"/>
          <w:szCs w:val="26"/>
        </w:rPr>
      </w:pPr>
    </w:p>
    <w:p w14:paraId="13C40898" w14:textId="6A054AEE" w:rsidR="006111A1" w:rsidRPr="00C47563" w:rsidRDefault="006111A1" w:rsidP="00523032">
      <w:pPr>
        <w:keepNext/>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We have historically permitted the use of “black box” settlements as a means of promoting settlement among the parties in contentious base rate proceedings.  Settlement of rate cases saves a significant amount of time and expense for customers, companies, and the Commission and often results in alternatives that may not have been realized during the litigation process.  Determining a company’s revenue requirement is a calculation involving many complex and interrelated adjustments that affect expenses, depreciation, rate base, taxes and the company’s cost of capital.  Reaching an agreement between various parties on each component of a rate increase can be difficult and impractical in many cases.  </w:t>
      </w:r>
    </w:p>
    <w:p w14:paraId="628A6145" w14:textId="77777777" w:rsidR="006111A1" w:rsidRPr="00C47563" w:rsidRDefault="006111A1" w:rsidP="00523032">
      <w:pPr>
        <w:keepNext/>
        <w:spacing w:after="0" w:line="360" w:lineRule="auto"/>
        <w:ind w:left="1440" w:right="1440"/>
        <w:contextualSpacing/>
        <w:rPr>
          <w:rFonts w:ascii="Times New Roman" w:eastAsia="Times New Roman" w:hAnsi="Times New Roman" w:cs="Times New Roman"/>
          <w:sz w:val="26"/>
          <w:szCs w:val="26"/>
        </w:rPr>
      </w:pPr>
    </w:p>
    <w:p w14:paraId="71C27ACA" w14:textId="1E43B7E6" w:rsidR="006111A1" w:rsidRPr="00C47563" w:rsidRDefault="006111A1" w:rsidP="00523032">
      <w:pPr>
        <w:keepNext/>
        <w:spacing w:after="0" w:line="360" w:lineRule="auto"/>
        <w:rPr>
          <w:rFonts w:ascii="Times New Roman" w:hAnsi="Times New Roman" w:cs="Times New Roman"/>
          <w:color w:val="000000"/>
          <w:sz w:val="26"/>
          <w:szCs w:val="26"/>
        </w:rPr>
      </w:pPr>
      <w:r w:rsidRPr="00C47563">
        <w:rPr>
          <w:rFonts w:ascii="Times New Roman" w:hAnsi="Times New Roman" w:cs="Times New Roman"/>
          <w:i/>
          <w:color w:val="000000"/>
          <w:sz w:val="26"/>
          <w:szCs w:val="26"/>
        </w:rPr>
        <w:t>Pa.</w:t>
      </w:r>
      <w:r w:rsidRPr="00C47563">
        <w:rPr>
          <w:rFonts w:ascii="Times New Roman" w:hAnsi="Times New Roman" w:cs="Times New Roman"/>
          <w:color w:val="000000"/>
          <w:sz w:val="26"/>
          <w:szCs w:val="26"/>
        </w:rPr>
        <w:t xml:space="preserve"> </w:t>
      </w:r>
      <w:r w:rsidRPr="00C47563">
        <w:rPr>
          <w:rFonts w:ascii="Times New Roman" w:hAnsi="Times New Roman" w:cs="Times New Roman"/>
          <w:i/>
          <w:color w:val="000000"/>
          <w:sz w:val="26"/>
          <w:szCs w:val="26"/>
        </w:rPr>
        <w:t>PUC v. Peoples TWP LLC</w:t>
      </w:r>
      <w:r w:rsidRPr="00C47563">
        <w:rPr>
          <w:rFonts w:ascii="Times New Roman" w:hAnsi="Times New Roman" w:cs="Times New Roman"/>
          <w:color w:val="000000"/>
          <w:sz w:val="26"/>
          <w:szCs w:val="26"/>
        </w:rPr>
        <w:t>, Docket No. R-2013-2355886 (Order entered December 19, 2013)</w:t>
      </w:r>
      <w:r w:rsidR="00B478E8" w:rsidRPr="00C47563">
        <w:rPr>
          <w:rFonts w:ascii="Times New Roman" w:hAnsi="Times New Roman" w:cs="Times New Roman"/>
          <w:color w:val="000000"/>
          <w:sz w:val="26"/>
          <w:szCs w:val="26"/>
        </w:rPr>
        <w:t xml:space="preserve"> (</w:t>
      </w:r>
      <w:r w:rsidR="00B478E8" w:rsidRPr="00C47563">
        <w:rPr>
          <w:rFonts w:ascii="Times New Roman" w:hAnsi="Times New Roman" w:cs="Times New Roman"/>
          <w:i/>
          <w:iCs/>
          <w:color w:val="000000"/>
          <w:sz w:val="26"/>
          <w:szCs w:val="26"/>
        </w:rPr>
        <w:t>Peoples TWP</w:t>
      </w:r>
      <w:r w:rsidR="0051297B" w:rsidRPr="00C47563">
        <w:rPr>
          <w:rFonts w:ascii="Times New Roman" w:hAnsi="Times New Roman" w:cs="Times New Roman"/>
          <w:i/>
          <w:iCs/>
          <w:color w:val="000000"/>
          <w:sz w:val="26"/>
          <w:szCs w:val="26"/>
        </w:rPr>
        <w:t>)</w:t>
      </w:r>
      <w:r w:rsidRPr="00C47563">
        <w:rPr>
          <w:rFonts w:ascii="Times New Roman" w:hAnsi="Times New Roman" w:cs="Times New Roman"/>
          <w:color w:val="000000"/>
          <w:sz w:val="26"/>
          <w:szCs w:val="26"/>
        </w:rPr>
        <w:t>, at 28 (citations omitted).</w:t>
      </w:r>
    </w:p>
    <w:p w14:paraId="4CED98B5" w14:textId="77777777" w:rsidR="006111A1" w:rsidRPr="00C47563" w:rsidRDefault="006111A1" w:rsidP="00C47563">
      <w:pPr>
        <w:suppressAutoHyphens/>
        <w:spacing w:after="0" w:line="360" w:lineRule="auto"/>
        <w:contextualSpacing/>
        <w:rPr>
          <w:rFonts w:ascii="Times New Roman" w:eastAsia="Times New Roman" w:hAnsi="Times New Roman" w:cs="Times New Roman"/>
          <w:sz w:val="26"/>
          <w:szCs w:val="26"/>
        </w:rPr>
      </w:pPr>
    </w:p>
    <w:p w14:paraId="308ABF49" w14:textId="2B677269" w:rsidR="00734968" w:rsidRDefault="00880B79" w:rsidP="00AD37F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order to accept a settlement, the Commission must determine that the proposed terms and conditions of the settlement are in the public interest.  </w:t>
      </w:r>
      <w:r w:rsidRPr="00C47563">
        <w:rPr>
          <w:rFonts w:ascii="Times New Roman" w:eastAsia="Times New Roman" w:hAnsi="Times New Roman" w:cs="Times New Roman"/>
          <w:i/>
          <w:sz w:val="26"/>
          <w:szCs w:val="26"/>
        </w:rPr>
        <w:t>Pa. PUC v. York Water Co.</w:t>
      </w:r>
      <w:r w:rsidRPr="00C47563">
        <w:rPr>
          <w:rFonts w:ascii="Times New Roman" w:eastAsia="Times New Roman" w:hAnsi="Times New Roman" w:cs="Times New Roman"/>
          <w:sz w:val="26"/>
          <w:szCs w:val="26"/>
        </w:rPr>
        <w:t>, Docket No. R</w:t>
      </w:r>
      <w:r w:rsidRPr="00C47563">
        <w:rPr>
          <w:rFonts w:ascii="Times New Roman" w:eastAsia="Times New Roman" w:hAnsi="Times New Roman" w:cs="Times New Roman"/>
          <w:sz w:val="26"/>
          <w:szCs w:val="26"/>
        </w:rPr>
        <w:noBreakHyphen/>
        <w:t xml:space="preserve">00049165 (Order entered October 4, 2004); </w:t>
      </w:r>
      <w:r w:rsidRPr="00C47563">
        <w:rPr>
          <w:rFonts w:ascii="Times New Roman" w:eastAsia="Times New Roman" w:hAnsi="Times New Roman" w:cs="Times New Roman"/>
          <w:i/>
          <w:sz w:val="26"/>
          <w:szCs w:val="26"/>
        </w:rPr>
        <w:t>see generally</w:t>
      </w:r>
      <w:r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i/>
          <w:sz w:val="26"/>
          <w:szCs w:val="26"/>
        </w:rPr>
        <w:t>Pa. PUC v. C. S. Water and Sewer Assoc.</w:t>
      </w:r>
      <w:r w:rsidRPr="00C47563">
        <w:rPr>
          <w:rFonts w:ascii="Times New Roman" w:eastAsia="Times New Roman" w:hAnsi="Times New Roman" w:cs="Times New Roman"/>
          <w:sz w:val="26"/>
          <w:szCs w:val="26"/>
        </w:rPr>
        <w:t>, Docket Nos. R-881147</w:t>
      </w:r>
      <w:r w:rsidR="0030709E"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i/>
          <w:sz w:val="26"/>
          <w:szCs w:val="26"/>
        </w:rPr>
        <w:t>et al</w:t>
      </w:r>
      <w:r w:rsidRPr="00C47563">
        <w:rPr>
          <w:rFonts w:ascii="Times New Roman" w:eastAsia="Times New Roman" w:hAnsi="Times New Roman" w:cs="Times New Roman"/>
          <w:sz w:val="26"/>
          <w:szCs w:val="26"/>
        </w:rPr>
        <w:t>., 74</w:t>
      </w:r>
      <w:r w:rsidR="00922F6B"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Pa.</w:t>
      </w:r>
      <w:r w:rsidR="00922F6B"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P.U.C.</w:t>
      </w:r>
      <w:r w:rsidR="00922F6B" w:rsidRPr="00C4756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767 (Order entered July 22, 1991) (</w:t>
      </w:r>
      <w:r w:rsidRPr="00C47563">
        <w:rPr>
          <w:rFonts w:ascii="Times New Roman" w:eastAsia="Times New Roman" w:hAnsi="Times New Roman" w:cs="Times New Roman"/>
          <w:i/>
          <w:sz w:val="26"/>
          <w:szCs w:val="26"/>
        </w:rPr>
        <w:t>CS Water and Sewer</w:t>
      </w:r>
      <w:r w:rsidRPr="00C47563">
        <w:rPr>
          <w:rFonts w:ascii="Times New Roman" w:eastAsia="Times New Roman" w:hAnsi="Times New Roman" w:cs="Times New Roman"/>
          <w:sz w:val="26"/>
          <w:szCs w:val="26"/>
        </w:rPr>
        <w:t xml:space="preserve">).  The focus of the inquiry for determining whether a proposed settlement should be approved is whether the proposed terms and conditions foster, promote </w:t>
      </w:r>
      <w:r w:rsidR="00884C9E" w:rsidRPr="00C47563">
        <w:rPr>
          <w:rFonts w:ascii="Times New Roman" w:eastAsia="Times New Roman" w:hAnsi="Times New Roman" w:cs="Times New Roman"/>
          <w:sz w:val="26"/>
          <w:szCs w:val="26"/>
        </w:rPr>
        <w:t xml:space="preserve">and serve the public interest.  </w:t>
      </w:r>
      <w:r w:rsidR="00884C9E" w:rsidRPr="00C47563">
        <w:rPr>
          <w:rFonts w:ascii="Times New Roman" w:eastAsia="Times New Roman" w:hAnsi="Times New Roman" w:cs="Times New Roman"/>
          <w:i/>
          <w:sz w:val="26"/>
          <w:szCs w:val="26"/>
        </w:rPr>
        <w:t xml:space="preserve">See </w:t>
      </w:r>
      <w:r w:rsidR="00734968" w:rsidRPr="00C47563">
        <w:rPr>
          <w:rFonts w:ascii="Times New Roman" w:eastAsia="Times New Roman" w:hAnsi="Times New Roman" w:cs="Times New Roman"/>
          <w:i/>
          <w:sz w:val="26"/>
          <w:szCs w:val="26"/>
        </w:rPr>
        <w:t>Pa.</w:t>
      </w:r>
      <w:r w:rsidR="00922F6B" w:rsidRPr="00C47563">
        <w:rPr>
          <w:rFonts w:ascii="Times New Roman" w:eastAsia="Times New Roman" w:hAnsi="Times New Roman" w:cs="Times New Roman"/>
          <w:i/>
          <w:sz w:val="26"/>
          <w:szCs w:val="26"/>
        </w:rPr>
        <w:t> </w:t>
      </w:r>
      <w:r w:rsidR="00734968" w:rsidRPr="00C47563">
        <w:rPr>
          <w:rFonts w:ascii="Times New Roman" w:eastAsia="Times New Roman" w:hAnsi="Times New Roman" w:cs="Times New Roman"/>
          <w:i/>
          <w:sz w:val="26"/>
          <w:szCs w:val="26"/>
        </w:rPr>
        <w:t>PUC, et al. v. City of Lancaster – Bureau of Water</w:t>
      </w:r>
      <w:r w:rsidR="00734968" w:rsidRPr="00C47563">
        <w:rPr>
          <w:rFonts w:ascii="Times New Roman" w:eastAsia="Times New Roman" w:hAnsi="Times New Roman" w:cs="Times New Roman"/>
          <w:sz w:val="26"/>
          <w:szCs w:val="26"/>
        </w:rPr>
        <w:t xml:space="preserve">, Docket Nos. R-2010-2179103, </w:t>
      </w:r>
      <w:r w:rsidR="00734968" w:rsidRPr="00C47563">
        <w:rPr>
          <w:rFonts w:ascii="Times New Roman" w:eastAsia="Times New Roman" w:hAnsi="Times New Roman" w:cs="Times New Roman"/>
          <w:i/>
          <w:sz w:val="26"/>
          <w:szCs w:val="26"/>
        </w:rPr>
        <w:t>et</w:t>
      </w:r>
      <w:r w:rsidR="00922F6B" w:rsidRPr="00C47563">
        <w:rPr>
          <w:rFonts w:ascii="Times New Roman" w:eastAsia="Times New Roman" w:hAnsi="Times New Roman" w:cs="Times New Roman"/>
          <w:i/>
          <w:sz w:val="26"/>
          <w:szCs w:val="26"/>
        </w:rPr>
        <w:t> </w:t>
      </w:r>
      <w:r w:rsidR="00734968" w:rsidRPr="00C47563">
        <w:rPr>
          <w:rFonts w:ascii="Times New Roman" w:eastAsia="Times New Roman" w:hAnsi="Times New Roman" w:cs="Times New Roman"/>
          <w:i/>
          <w:sz w:val="26"/>
          <w:szCs w:val="26"/>
        </w:rPr>
        <w:t>al</w:t>
      </w:r>
      <w:r w:rsidR="00734968" w:rsidRPr="00C47563">
        <w:rPr>
          <w:rFonts w:ascii="Times New Roman" w:eastAsia="Times New Roman" w:hAnsi="Times New Roman" w:cs="Times New Roman"/>
          <w:sz w:val="26"/>
          <w:szCs w:val="26"/>
        </w:rPr>
        <w:t>. (Order entered July 14, 2011)</w:t>
      </w:r>
      <w:r w:rsidR="00884C9E" w:rsidRPr="00C47563">
        <w:rPr>
          <w:rFonts w:ascii="Times New Roman" w:eastAsia="Times New Roman" w:hAnsi="Times New Roman" w:cs="Times New Roman"/>
          <w:sz w:val="26"/>
          <w:szCs w:val="26"/>
        </w:rPr>
        <w:t>,</w:t>
      </w:r>
      <w:r w:rsidR="00734968"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citing </w:t>
      </w:r>
      <w:r w:rsidRPr="00C47563">
        <w:rPr>
          <w:rFonts w:ascii="Times New Roman" w:eastAsia="Times New Roman" w:hAnsi="Times New Roman" w:cs="Times New Roman"/>
          <w:i/>
          <w:sz w:val="26"/>
          <w:szCs w:val="26"/>
        </w:rPr>
        <w:t>Warner v. GTE North, Inc</w:t>
      </w:r>
      <w:r w:rsidRPr="00C47563">
        <w:rPr>
          <w:rFonts w:ascii="Times New Roman" w:eastAsia="Times New Roman" w:hAnsi="Times New Roman" w:cs="Times New Roman"/>
          <w:sz w:val="26"/>
          <w:szCs w:val="26"/>
        </w:rPr>
        <w:t>., Docket No. C</w:t>
      </w:r>
      <w:r w:rsidR="00922F6B" w:rsidRPr="00C47563">
        <w:rPr>
          <w:rFonts w:ascii="Times New Roman" w:eastAsia="Times New Roman" w:hAnsi="Times New Roman" w:cs="Times New Roman"/>
          <w:sz w:val="26"/>
          <w:szCs w:val="26"/>
        </w:rPr>
        <w:noBreakHyphen/>
      </w:r>
      <w:r w:rsidRPr="00C47563">
        <w:rPr>
          <w:rFonts w:ascii="Times New Roman" w:eastAsia="Times New Roman" w:hAnsi="Times New Roman" w:cs="Times New Roman"/>
          <w:sz w:val="26"/>
          <w:szCs w:val="26"/>
        </w:rPr>
        <w:t xml:space="preserve">00902815 (Order entered April 1, 1996) and </w:t>
      </w:r>
      <w:r w:rsidRPr="00C47563">
        <w:rPr>
          <w:rFonts w:ascii="Times New Roman" w:eastAsia="Times New Roman" w:hAnsi="Times New Roman" w:cs="Times New Roman"/>
          <w:i/>
          <w:sz w:val="26"/>
          <w:szCs w:val="26"/>
        </w:rPr>
        <w:t>CS Water and Sewer</w:t>
      </w:r>
      <w:r w:rsidR="00E938EB" w:rsidRPr="00C47563">
        <w:rPr>
          <w:rFonts w:ascii="Times New Roman" w:eastAsia="Times New Roman" w:hAnsi="Times New Roman" w:cs="Times New Roman"/>
          <w:i/>
          <w:sz w:val="26"/>
          <w:szCs w:val="26"/>
        </w:rPr>
        <w:t>.</w:t>
      </w:r>
      <w:r w:rsidR="00734968" w:rsidRPr="00C47563">
        <w:rPr>
          <w:rFonts w:ascii="Times New Roman" w:eastAsia="Times New Roman" w:hAnsi="Times New Roman" w:cs="Times New Roman"/>
          <w:sz w:val="26"/>
          <w:szCs w:val="26"/>
        </w:rPr>
        <w:t xml:space="preserve"> </w:t>
      </w:r>
      <w:r w:rsidR="00E15089" w:rsidRPr="00C47563">
        <w:rPr>
          <w:rFonts w:ascii="Times New Roman" w:eastAsia="Times New Roman" w:hAnsi="Times New Roman" w:cs="Times New Roman"/>
          <w:sz w:val="26"/>
          <w:szCs w:val="26"/>
        </w:rPr>
        <w:t xml:space="preserve"> Moreover, </w:t>
      </w:r>
      <w:r w:rsidR="00734968" w:rsidRPr="00C47563">
        <w:rPr>
          <w:rFonts w:ascii="Times New Roman" w:eastAsia="Calibri" w:hAnsi="Times New Roman" w:cs="Times New Roman"/>
          <w:snapToGrid w:val="0"/>
          <w:sz w:val="26"/>
          <w:szCs w:val="26"/>
        </w:rPr>
        <w:t>Section</w:t>
      </w:r>
      <w:r w:rsidR="00922F6B" w:rsidRPr="00C47563">
        <w:rPr>
          <w:rFonts w:ascii="Times New Roman" w:eastAsia="Calibri" w:hAnsi="Times New Roman" w:cs="Times New Roman"/>
          <w:snapToGrid w:val="0"/>
          <w:sz w:val="26"/>
          <w:szCs w:val="26"/>
        </w:rPr>
        <w:t> </w:t>
      </w:r>
      <w:r w:rsidR="00734968" w:rsidRPr="00C47563">
        <w:rPr>
          <w:rFonts w:ascii="Times New Roman" w:eastAsia="Calibri" w:hAnsi="Times New Roman" w:cs="Times New Roman"/>
          <w:snapToGrid w:val="0"/>
          <w:sz w:val="26"/>
          <w:szCs w:val="26"/>
        </w:rPr>
        <w:t xml:space="preserve">332(a) of the Code, 66 Pa. C.S. § 332(a), provides that the party seeking a rule or order from the Commission has the burden of proof in that proceeding.  </w:t>
      </w:r>
      <w:r w:rsidR="00734968" w:rsidRPr="00C47563">
        <w:rPr>
          <w:rFonts w:ascii="Times New Roman" w:eastAsia="Times New Roman" w:hAnsi="Times New Roman" w:cs="Times New Roman"/>
          <w:sz w:val="26"/>
          <w:szCs w:val="26"/>
        </w:rPr>
        <w:t xml:space="preserve">Consequently, in this proceeding, </w:t>
      </w:r>
      <w:r w:rsidR="00734968" w:rsidRPr="00C47563">
        <w:rPr>
          <w:rFonts w:ascii="Times New Roman" w:eastAsia="Times New Roman" w:hAnsi="Times New Roman" w:cs="Times New Roman"/>
          <w:bCs/>
          <w:sz w:val="26"/>
          <w:szCs w:val="26"/>
        </w:rPr>
        <w:t>the Joint Petitioners have</w:t>
      </w:r>
      <w:r w:rsidR="00734968" w:rsidRPr="00C47563">
        <w:rPr>
          <w:rFonts w:ascii="Times New Roman" w:eastAsia="Times New Roman" w:hAnsi="Times New Roman" w:cs="Times New Roman"/>
          <w:sz w:val="26"/>
          <w:szCs w:val="26"/>
        </w:rPr>
        <w:t xml:space="preserve"> the burden of showing that the terms and conditions of the Settlement are in the public interest. </w:t>
      </w:r>
    </w:p>
    <w:p w14:paraId="3A9CE503" w14:textId="77777777" w:rsidR="00C47563" w:rsidRPr="00C47563" w:rsidRDefault="00C47563" w:rsidP="00AD37F3">
      <w:pPr>
        <w:spacing w:after="0" w:line="360" w:lineRule="auto"/>
        <w:ind w:firstLine="1440"/>
        <w:contextualSpacing/>
        <w:rPr>
          <w:rFonts w:ascii="Times New Roman" w:eastAsia="Times New Roman" w:hAnsi="Times New Roman" w:cs="Times New Roman"/>
          <w:sz w:val="26"/>
          <w:szCs w:val="26"/>
        </w:rPr>
      </w:pPr>
    </w:p>
    <w:p w14:paraId="4DC9390A" w14:textId="087332F9" w:rsidR="00072791" w:rsidRPr="00C47563" w:rsidRDefault="00072791" w:rsidP="00AD37F3">
      <w:pPr>
        <w:pStyle w:val="Heading3"/>
        <w:spacing w:line="360" w:lineRule="auto"/>
      </w:pPr>
      <w:bookmarkStart w:id="10" w:name="_Toc89253056"/>
      <w:r w:rsidRPr="00C47563">
        <w:t>4.</w:t>
      </w:r>
      <w:r w:rsidRPr="00C47563">
        <w:tab/>
        <w:t>Substantial Evidence</w:t>
      </w:r>
      <w:bookmarkEnd w:id="10"/>
    </w:p>
    <w:p w14:paraId="39254F10" w14:textId="77777777" w:rsidR="00072791" w:rsidRPr="00C47563" w:rsidRDefault="00072791" w:rsidP="00AD37F3">
      <w:pPr>
        <w:keepNext/>
        <w:spacing w:after="0" w:line="360" w:lineRule="auto"/>
        <w:ind w:firstLine="1440"/>
        <w:contextualSpacing/>
        <w:rPr>
          <w:rFonts w:ascii="Times New Roman" w:hAnsi="Times New Roman" w:cs="Times New Roman"/>
          <w:sz w:val="26"/>
          <w:szCs w:val="26"/>
        </w:rPr>
      </w:pPr>
    </w:p>
    <w:p w14:paraId="18699AAD" w14:textId="1543315B" w:rsidR="00DB1F26" w:rsidRPr="00C47563" w:rsidRDefault="00880B79" w:rsidP="00AD37F3">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hAnsi="Times New Roman" w:cs="Times New Roman"/>
          <w:sz w:val="26"/>
          <w:szCs w:val="26"/>
        </w:rPr>
        <w:t xml:space="preserve">Finally, a Commission decision must be supported by substantial evidence in the record.  “Substantial evidence” is such relevant evidence that a reasonable mind might accept as adequate to support a conclusion.  More is required than a mere trace of evidence or a suspicion of the existence of a fact sought to be established.  </w:t>
      </w:r>
      <w:r w:rsidRPr="00C47563">
        <w:rPr>
          <w:rFonts w:ascii="Times New Roman" w:hAnsi="Times New Roman" w:cs="Times New Roman"/>
          <w:i/>
          <w:sz w:val="26"/>
          <w:szCs w:val="26"/>
        </w:rPr>
        <w:t>Norfolk &amp; Western Ry. Co. v. Pa. PUC</w:t>
      </w:r>
      <w:r w:rsidRPr="00087D69">
        <w:rPr>
          <w:rFonts w:ascii="Times New Roman" w:hAnsi="Times New Roman" w:cs="Times New Roman"/>
          <w:iCs/>
          <w:sz w:val="26"/>
          <w:szCs w:val="26"/>
        </w:rPr>
        <w:t>,</w:t>
      </w:r>
      <w:r w:rsidRPr="00C47563">
        <w:rPr>
          <w:rFonts w:ascii="Times New Roman" w:hAnsi="Times New Roman" w:cs="Times New Roman"/>
          <w:i/>
          <w:sz w:val="26"/>
          <w:szCs w:val="26"/>
        </w:rPr>
        <w:t xml:space="preserve"> </w:t>
      </w:r>
      <w:r w:rsidRPr="00C47563">
        <w:rPr>
          <w:rFonts w:ascii="Times New Roman" w:hAnsi="Times New Roman" w:cs="Times New Roman"/>
          <w:sz w:val="26"/>
          <w:szCs w:val="26"/>
        </w:rPr>
        <w:t xml:space="preserve">489 Pa. 109, 413 A.2d 1037 (1980); </w:t>
      </w:r>
      <w:r w:rsidRPr="00C47563">
        <w:rPr>
          <w:rFonts w:ascii="Times New Roman" w:hAnsi="Times New Roman" w:cs="Times New Roman"/>
          <w:i/>
          <w:sz w:val="26"/>
          <w:szCs w:val="26"/>
        </w:rPr>
        <w:t>Erie Resistor Corp. v. Unemployment Comp. Bd. of Review</w:t>
      </w:r>
      <w:r w:rsidRPr="00C47563">
        <w:rPr>
          <w:rFonts w:ascii="Times New Roman" w:hAnsi="Times New Roman" w:cs="Times New Roman"/>
          <w:sz w:val="26"/>
          <w:szCs w:val="26"/>
        </w:rPr>
        <w:t xml:space="preserve">, 166 A.2d 96 (Pa. Super. 1961); </w:t>
      </w:r>
      <w:r w:rsidRPr="00C47563">
        <w:rPr>
          <w:rFonts w:ascii="Times New Roman" w:hAnsi="Times New Roman" w:cs="Times New Roman"/>
          <w:i/>
          <w:sz w:val="26"/>
          <w:szCs w:val="26"/>
        </w:rPr>
        <w:t>Murphy v. Comm. Dept. of Public Welfare, White Haven Center</w:t>
      </w:r>
      <w:r w:rsidRPr="00C47563">
        <w:rPr>
          <w:rFonts w:ascii="Times New Roman" w:hAnsi="Times New Roman" w:cs="Times New Roman"/>
          <w:sz w:val="26"/>
          <w:szCs w:val="26"/>
        </w:rPr>
        <w:t>, 480 A.2d 382 (Pa. Cmwlth. 1984).</w:t>
      </w:r>
    </w:p>
    <w:p w14:paraId="265F94B9" w14:textId="77777777" w:rsidR="009E1F23" w:rsidRPr="00C47563" w:rsidRDefault="009E1F23" w:rsidP="00C47563">
      <w:pPr>
        <w:spacing w:after="0" w:line="360" w:lineRule="auto"/>
        <w:ind w:firstLine="1440"/>
        <w:contextualSpacing/>
        <w:rPr>
          <w:rFonts w:ascii="Times New Roman" w:hAnsi="Times New Roman" w:cs="Times New Roman"/>
          <w:sz w:val="26"/>
          <w:szCs w:val="26"/>
        </w:rPr>
      </w:pPr>
    </w:p>
    <w:p w14:paraId="3BD947B0" w14:textId="77777777" w:rsidR="009E1F23" w:rsidRPr="00C47563" w:rsidRDefault="009E1F23" w:rsidP="00AD37F3">
      <w:pPr>
        <w:pStyle w:val="Heading2"/>
        <w:spacing w:line="360" w:lineRule="auto"/>
      </w:pPr>
      <w:bookmarkStart w:id="11" w:name="_Toc89253057"/>
      <w:r w:rsidRPr="00C47563">
        <w:t>B.</w:t>
      </w:r>
      <w:r w:rsidRPr="00C47563">
        <w:tab/>
        <w:t xml:space="preserve">Joint </w:t>
      </w:r>
      <w:r w:rsidR="007C6C52" w:rsidRPr="00C47563">
        <w:t xml:space="preserve">Petition for </w:t>
      </w:r>
      <w:r w:rsidRPr="00C47563">
        <w:t>Settlement</w:t>
      </w:r>
      <w:bookmarkEnd w:id="11"/>
    </w:p>
    <w:p w14:paraId="199FF38C" w14:textId="77777777" w:rsidR="009E1F23" w:rsidRPr="00C47563" w:rsidRDefault="009E1F23" w:rsidP="00AD37F3">
      <w:pPr>
        <w:keepNext/>
        <w:keepLines/>
        <w:spacing w:after="0" w:line="360" w:lineRule="auto"/>
        <w:contextualSpacing/>
        <w:rPr>
          <w:rFonts w:ascii="Times New Roman" w:hAnsi="Times New Roman" w:cs="Times New Roman"/>
          <w:sz w:val="26"/>
          <w:szCs w:val="26"/>
        </w:rPr>
      </w:pPr>
    </w:p>
    <w:p w14:paraId="284EF5B6" w14:textId="77777777" w:rsidR="00366F56" w:rsidRPr="00C47563" w:rsidRDefault="007C6C52" w:rsidP="00AD37F3">
      <w:pPr>
        <w:pStyle w:val="Heading3"/>
        <w:spacing w:line="360" w:lineRule="auto"/>
      </w:pPr>
      <w:bookmarkStart w:id="12" w:name="_Toc89253058"/>
      <w:r w:rsidRPr="00C47563">
        <w:t>1.</w:t>
      </w:r>
      <w:r w:rsidRPr="00C47563">
        <w:tab/>
        <w:t xml:space="preserve">Terms and Conditions of the </w:t>
      </w:r>
      <w:r w:rsidR="00B43A4E" w:rsidRPr="00C47563">
        <w:t>Settlement</w:t>
      </w:r>
      <w:bookmarkEnd w:id="12"/>
    </w:p>
    <w:p w14:paraId="78351544" w14:textId="4C028D69" w:rsidR="00B43A4E" w:rsidRPr="00C47563" w:rsidRDefault="00B43A4E" w:rsidP="00AD37F3">
      <w:pPr>
        <w:keepNext/>
        <w:keepLines/>
        <w:spacing w:after="0" w:line="360" w:lineRule="auto"/>
        <w:contextualSpacing/>
        <w:rPr>
          <w:rFonts w:ascii="Times New Roman" w:hAnsi="Times New Roman" w:cs="Times New Roman"/>
          <w:sz w:val="26"/>
          <w:szCs w:val="26"/>
        </w:rPr>
      </w:pPr>
    </w:p>
    <w:p w14:paraId="79386C45" w14:textId="21E30095" w:rsidR="002D4372" w:rsidRPr="00C47563" w:rsidRDefault="002D4372" w:rsidP="00AD37F3">
      <w:pPr>
        <w:keepNext/>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As previously indicated, the Settlement is a “black box” agreement, which does not specifically identify the resolution of certain disputed issues.  At the same time, the Settlement does represent a full settlement of all issues and concerns raised by the Joint Petitioners in the above-captioned general base rate proceeding.  The Settlement provides for increases in rates designed to produce $58.5 million in additional annual base rate operating revenues, as set forth in the </w:t>
      </w:r>
      <w:r w:rsidRPr="00C47563">
        <w:rPr>
          <w:rFonts w:ascii="Times New Roman" w:hAnsi="Times New Roman" w:cs="Times New Roman"/>
          <w:i/>
          <w:sz w:val="26"/>
          <w:szCs w:val="26"/>
        </w:rPr>
        <w:t>pro forma</w:t>
      </w:r>
      <w:r w:rsidRPr="00C47563">
        <w:rPr>
          <w:rFonts w:ascii="Times New Roman" w:hAnsi="Times New Roman" w:cs="Times New Roman"/>
          <w:sz w:val="26"/>
          <w:szCs w:val="26"/>
        </w:rPr>
        <w:t xml:space="preserve"> level of operations for the twelve-month period ending December 31, 2022, attached to the Joint Petition as </w:t>
      </w:r>
      <w:r w:rsidRPr="00C47563">
        <w:rPr>
          <w:rFonts w:ascii="Times New Roman" w:hAnsi="Times New Roman" w:cs="Times New Roman"/>
          <w:bCs/>
          <w:sz w:val="26"/>
          <w:szCs w:val="26"/>
        </w:rPr>
        <w:t>Appendix A</w:t>
      </w:r>
      <w:r w:rsidRPr="00C47563">
        <w:rPr>
          <w:rFonts w:ascii="Times New Roman" w:hAnsi="Times New Roman" w:cs="Times New Roman"/>
          <w:sz w:val="26"/>
          <w:szCs w:val="26"/>
        </w:rPr>
        <w:t xml:space="preserve"> and the proof of revenues attached to the Joint Petition as </w:t>
      </w:r>
      <w:r w:rsidRPr="00C47563">
        <w:rPr>
          <w:rFonts w:ascii="Times New Roman" w:hAnsi="Times New Roman" w:cs="Times New Roman"/>
          <w:bCs/>
          <w:sz w:val="26"/>
          <w:szCs w:val="26"/>
        </w:rPr>
        <w:t>Appendix B</w:t>
      </w:r>
      <w:r w:rsidRPr="00C47563">
        <w:rPr>
          <w:rFonts w:ascii="Times New Roman" w:hAnsi="Times New Roman" w:cs="Times New Roman"/>
          <w:sz w:val="26"/>
          <w:szCs w:val="26"/>
        </w:rPr>
        <w:t xml:space="preserve">.  The new rates are scheduled to go into effect on December 29, 2021.  The </w:t>
      </w:r>
      <w:r w:rsidRPr="00C47563">
        <w:rPr>
          <w:rFonts w:ascii="Times New Roman" w:hAnsi="Times New Roman" w:cs="Times New Roman"/>
          <w:i/>
          <w:sz w:val="26"/>
          <w:szCs w:val="26"/>
        </w:rPr>
        <w:t>pro forma</w:t>
      </w:r>
      <w:r w:rsidRPr="00C47563">
        <w:rPr>
          <w:rFonts w:ascii="Times New Roman" w:hAnsi="Times New Roman" w:cs="Times New Roman"/>
          <w:sz w:val="26"/>
          <w:szCs w:val="26"/>
        </w:rPr>
        <w:t xml:space="preserve"> tariff supplement that incorporates the rate increases and the proposed tariff changes resulting from the Settlement is attached to the Joint Petition as Appendix C.  Appendices D through L represent the Statements in Support of Columbia, I&amp;E, the OCA, the OSBA, CAUSE-PA, CII, PSU, Task Force, and Shipley/RESA, respectively.  </w:t>
      </w:r>
    </w:p>
    <w:p w14:paraId="049E9885" w14:textId="77777777" w:rsidR="002D4372" w:rsidRPr="00C47563" w:rsidRDefault="002D4372" w:rsidP="00C47563">
      <w:pPr>
        <w:spacing w:after="0" w:line="360" w:lineRule="auto"/>
        <w:ind w:firstLine="1440"/>
        <w:rPr>
          <w:rFonts w:ascii="Times New Roman" w:hAnsi="Times New Roman" w:cs="Times New Roman"/>
          <w:sz w:val="26"/>
          <w:szCs w:val="26"/>
        </w:rPr>
      </w:pPr>
    </w:p>
    <w:p w14:paraId="534DC6C2" w14:textId="206976F4" w:rsidR="002D4372" w:rsidRPr="00C47563" w:rsidRDefault="002D4372" w:rsidP="00AD37F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The Joint Petitioners state that the Settlement was achieved after conducting extensive discovery and engaging in numerous settlement discussions.  Settlement at ¶ 49.  They further state that the Settlement terms and conditions constitute a reasonably negotiated compromise on the issues addressed therein.  </w:t>
      </w:r>
      <w:r w:rsidRPr="00C47563">
        <w:rPr>
          <w:rFonts w:ascii="Times New Roman" w:hAnsi="Times New Roman" w:cs="Times New Roman"/>
          <w:i/>
          <w:iCs/>
          <w:sz w:val="26"/>
          <w:szCs w:val="26"/>
        </w:rPr>
        <w:t>Id.</w:t>
      </w:r>
      <w:r w:rsidRPr="00C47563">
        <w:rPr>
          <w:rFonts w:ascii="Times New Roman" w:hAnsi="Times New Roman" w:cs="Times New Roman"/>
          <w:sz w:val="26"/>
          <w:szCs w:val="26"/>
        </w:rPr>
        <w:t xml:space="preserve"> at ¶¶ 18, 51, 56</w:t>
      </w:r>
      <w:r w:rsidR="00AD37F3">
        <w:rPr>
          <w:rFonts w:ascii="Times New Roman" w:hAnsi="Times New Roman" w:cs="Times New Roman"/>
          <w:sz w:val="26"/>
          <w:szCs w:val="26"/>
        </w:rPr>
        <w:noBreakHyphen/>
      </w:r>
      <w:r w:rsidRPr="00C47563">
        <w:rPr>
          <w:rFonts w:ascii="Times New Roman" w:hAnsi="Times New Roman" w:cs="Times New Roman"/>
          <w:sz w:val="26"/>
          <w:szCs w:val="26"/>
        </w:rPr>
        <w:t xml:space="preserve">57.  The Joint Petitioners also agree that the Settlement is in the public interest for several reasons including: </w:t>
      </w:r>
      <w:r w:rsidR="0057738F"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the reduced base rate increase, the reduced administrative burden and cost of proceeding to uncertain litigation, and the reasonable revenue allocation.  </w:t>
      </w:r>
      <w:r w:rsidRPr="00C47563">
        <w:rPr>
          <w:rFonts w:ascii="Times New Roman" w:hAnsi="Times New Roman" w:cs="Times New Roman"/>
          <w:i/>
          <w:sz w:val="26"/>
          <w:szCs w:val="26"/>
        </w:rPr>
        <w:t>Id.</w:t>
      </w:r>
      <w:r w:rsidRPr="00C47563">
        <w:rPr>
          <w:rFonts w:ascii="Times New Roman" w:hAnsi="Times New Roman" w:cs="Times New Roman"/>
          <w:iCs/>
          <w:sz w:val="26"/>
          <w:szCs w:val="26"/>
        </w:rPr>
        <w:t xml:space="preserve"> at </w:t>
      </w:r>
      <w:r w:rsidRPr="00C47563">
        <w:rPr>
          <w:rFonts w:ascii="Times New Roman" w:hAnsi="Times New Roman" w:cs="Times New Roman"/>
          <w:sz w:val="26"/>
          <w:szCs w:val="26"/>
        </w:rPr>
        <w:t xml:space="preserve">¶¶ </w:t>
      </w:r>
      <w:r w:rsidRPr="00C47563">
        <w:rPr>
          <w:rFonts w:ascii="Times New Roman" w:hAnsi="Times New Roman" w:cs="Times New Roman"/>
          <w:iCs/>
          <w:sz w:val="26"/>
          <w:szCs w:val="26"/>
        </w:rPr>
        <w:t>18, 31-32, 50.</w:t>
      </w:r>
      <w:r w:rsidRPr="00C47563">
        <w:rPr>
          <w:rFonts w:ascii="Times New Roman" w:hAnsi="Times New Roman" w:cs="Times New Roman"/>
          <w:i/>
          <w:sz w:val="26"/>
          <w:szCs w:val="26"/>
        </w:rPr>
        <w:t xml:space="preserve">  </w:t>
      </w:r>
      <w:r w:rsidRPr="00C47563">
        <w:rPr>
          <w:rFonts w:ascii="Times New Roman" w:hAnsi="Times New Roman" w:cs="Times New Roman"/>
          <w:iCs/>
          <w:sz w:val="26"/>
          <w:szCs w:val="26"/>
        </w:rPr>
        <w:t xml:space="preserve">Furthermore, the Settlement addresses several low-income customer issues to assist customers affected by the ongoing pandemic.  </w:t>
      </w:r>
      <w:r w:rsidRPr="00C47563">
        <w:rPr>
          <w:rFonts w:ascii="Times New Roman" w:hAnsi="Times New Roman" w:cs="Times New Roman"/>
          <w:i/>
          <w:sz w:val="26"/>
          <w:szCs w:val="26"/>
        </w:rPr>
        <w:t>Id.</w:t>
      </w:r>
      <w:r w:rsidRPr="00C47563">
        <w:rPr>
          <w:rFonts w:ascii="Times New Roman" w:hAnsi="Times New Roman" w:cs="Times New Roman"/>
          <w:iCs/>
          <w:sz w:val="26"/>
          <w:szCs w:val="26"/>
        </w:rPr>
        <w:t xml:space="preserve"> at ¶¶</w:t>
      </w:r>
      <w:r w:rsidR="004959B4">
        <w:rPr>
          <w:rFonts w:ascii="Times New Roman" w:hAnsi="Times New Roman" w:cs="Times New Roman"/>
          <w:iCs/>
          <w:sz w:val="26"/>
          <w:szCs w:val="26"/>
        </w:rPr>
        <w:t> </w:t>
      </w:r>
      <w:r w:rsidRPr="00C47563">
        <w:rPr>
          <w:rFonts w:ascii="Times New Roman" w:hAnsi="Times New Roman" w:cs="Times New Roman"/>
          <w:iCs/>
          <w:sz w:val="26"/>
          <w:szCs w:val="26"/>
        </w:rPr>
        <w:t>37-45; Statements in Support, Appendices D-L, generally.</w:t>
      </w:r>
      <w:r w:rsidRPr="00C47563">
        <w:rPr>
          <w:rFonts w:ascii="Times New Roman" w:hAnsi="Times New Roman" w:cs="Times New Roman"/>
          <w:sz w:val="26"/>
          <w:szCs w:val="26"/>
        </w:rPr>
        <w:t xml:space="preserve">  </w:t>
      </w:r>
    </w:p>
    <w:p w14:paraId="69CEF344" w14:textId="77777777" w:rsidR="002D4372" w:rsidRPr="00C47563" w:rsidRDefault="002D4372" w:rsidP="00C47563">
      <w:pPr>
        <w:spacing w:after="0" w:line="360" w:lineRule="auto"/>
        <w:ind w:firstLine="1440"/>
        <w:contextualSpacing/>
        <w:rPr>
          <w:rFonts w:ascii="Times New Roman" w:hAnsi="Times New Roman" w:cs="Times New Roman"/>
          <w:bCs/>
          <w:sz w:val="26"/>
          <w:szCs w:val="26"/>
        </w:rPr>
      </w:pPr>
    </w:p>
    <w:p w14:paraId="43575C08" w14:textId="77777777" w:rsidR="002D4372" w:rsidRPr="00C47563" w:rsidRDefault="002D4372" w:rsidP="00C47563">
      <w:pPr>
        <w:spacing w:after="0" w:line="360" w:lineRule="auto"/>
        <w:ind w:firstLine="1440"/>
        <w:contextualSpacing/>
        <w:rPr>
          <w:rFonts w:ascii="Times New Roman" w:hAnsi="Times New Roman" w:cs="Times New Roman"/>
          <w:bCs/>
          <w:sz w:val="26"/>
          <w:szCs w:val="26"/>
        </w:rPr>
      </w:pPr>
      <w:r w:rsidRPr="00C47563">
        <w:rPr>
          <w:rFonts w:ascii="Times New Roman" w:hAnsi="Times New Roman" w:cs="Times New Roman"/>
          <w:bCs/>
          <w:sz w:val="26"/>
          <w:szCs w:val="26"/>
        </w:rPr>
        <w:t>The essential terms of the Settlement are set forth in Section III of the Joint Petition, which is shown below in full as it appears in the Joint Petition:</w:t>
      </w:r>
    </w:p>
    <w:p w14:paraId="10C83673" w14:textId="77777777" w:rsidR="006F11D4" w:rsidRPr="00F31FE4" w:rsidRDefault="006F11D4" w:rsidP="00087D69">
      <w:pPr>
        <w:spacing w:after="0" w:line="240" w:lineRule="auto"/>
        <w:rPr>
          <w:rFonts w:ascii="Times New Roman" w:hAnsi="Times New Roman" w:cs="Times New Roman"/>
          <w:sz w:val="26"/>
          <w:szCs w:val="26"/>
        </w:rPr>
      </w:pPr>
    </w:p>
    <w:p w14:paraId="6BDD9DE3" w14:textId="75676723" w:rsidR="006F11D4" w:rsidRPr="00F31FE4" w:rsidRDefault="006F11D4" w:rsidP="00C47563">
      <w:pPr>
        <w:numPr>
          <w:ilvl w:val="0"/>
          <w:numId w:val="23"/>
        </w:numPr>
        <w:tabs>
          <w:tab w:val="clear" w:pos="1530"/>
          <w:tab w:val="num" w:pos="1368"/>
          <w:tab w:val="left" w:pos="1440"/>
          <w:tab w:val="left" w:pos="288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following terms of this Settlement reflect a carefully balanced compromise of the interests of all the Joint Petitioners in this proceeding</w:t>
      </w:r>
      <w:r w:rsidR="00C47563" w:rsidRPr="00F31FE4">
        <w:rPr>
          <w:rFonts w:ascii="Times New Roman" w:eastAsia="Times New Roman" w:hAnsi="Times New Roman" w:cs="Times New Roman"/>
          <w:color w:val="000000"/>
          <w:sz w:val="26"/>
          <w:szCs w:val="26"/>
        </w:rPr>
        <w:t xml:space="preserve">.  </w:t>
      </w:r>
      <w:r w:rsidRPr="00F31FE4">
        <w:rPr>
          <w:rFonts w:ascii="Times New Roman" w:eastAsia="Times New Roman" w:hAnsi="Times New Roman" w:cs="Times New Roman"/>
          <w:color w:val="000000"/>
          <w:sz w:val="26"/>
          <w:szCs w:val="26"/>
        </w:rPr>
        <w:t>The Joint Petitioners unanimously agree that the Settlement, which resolves all but Mr. Culbertson's issues in this proceeding, is in the public interest.  The Joint Petitioners respectfully request that the 2021 Base Rate Filing, including those tariff changes included in Supplement No. 325 and specifically identified in Appendix “C” attached hereto, be approved subject to the terms and conditions of this Settlement specified below:</w:t>
      </w:r>
    </w:p>
    <w:p w14:paraId="2FFEEB93" w14:textId="77777777" w:rsidR="006F11D4" w:rsidRPr="00F31FE4" w:rsidRDefault="006F11D4" w:rsidP="00C47563">
      <w:pPr>
        <w:tabs>
          <w:tab w:val="left" w:pos="1512"/>
        </w:tabs>
        <w:spacing w:after="0" w:line="240" w:lineRule="auto"/>
        <w:ind w:left="1440" w:right="1440" w:hanging="720"/>
        <w:textAlignment w:val="baseline"/>
        <w:rPr>
          <w:rFonts w:ascii="Times New Roman" w:eastAsia="Times New Roman" w:hAnsi="Times New Roman" w:cs="Times New Roman"/>
          <w:color w:val="000000"/>
          <w:sz w:val="26"/>
          <w:szCs w:val="26"/>
        </w:rPr>
      </w:pPr>
    </w:p>
    <w:p w14:paraId="61A045A2"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r w:rsidRPr="00F31FE4">
        <w:rPr>
          <w:rFonts w:ascii="Times New Roman" w:eastAsia="Times New Roman" w:hAnsi="Times New Roman" w:cs="Times New Roman"/>
          <w:b/>
          <w:color w:val="000000"/>
          <w:sz w:val="26"/>
          <w:szCs w:val="26"/>
        </w:rPr>
        <w:t>A.</w:t>
      </w:r>
      <w:r w:rsidRPr="00F31FE4">
        <w:rPr>
          <w:rFonts w:ascii="Times New Roman" w:eastAsia="Times New Roman" w:hAnsi="Times New Roman" w:cs="Times New Roman"/>
          <w:b/>
          <w:color w:val="000000"/>
          <w:sz w:val="26"/>
          <w:szCs w:val="26"/>
        </w:rPr>
        <w:tab/>
        <w:t>REVENUE REQUIREMENT</w:t>
      </w:r>
    </w:p>
    <w:p w14:paraId="5C9C52E2"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p>
    <w:p w14:paraId="74248BAE" w14:textId="58867323" w:rsidR="006F11D4" w:rsidRPr="00F31FE4" w:rsidRDefault="006F11D4" w:rsidP="00C47563">
      <w:pPr>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19.</w:t>
      </w:r>
      <w:r w:rsidRPr="00F31FE4">
        <w:rPr>
          <w:rFonts w:ascii="Times New Roman" w:eastAsia="Times New Roman" w:hAnsi="Times New Roman" w:cs="Times New Roman"/>
          <w:color w:val="000000"/>
          <w:sz w:val="26"/>
          <w:szCs w:val="26"/>
        </w:rPr>
        <w:tab/>
        <w:t>Rates will be designed to produce an increase in operating revenues of $58.5 million over current base rates based upon the pro forma level of operations for the twelve months ended December 31, 2022.</w:t>
      </w:r>
    </w:p>
    <w:p w14:paraId="390F7B69"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color w:val="000000"/>
          <w:sz w:val="26"/>
          <w:szCs w:val="26"/>
        </w:rPr>
      </w:pPr>
    </w:p>
    <w:p w14:paraId="21FE45E3" w14:textId="77777777" w:rsidR="006F11D4" w:rsidRPr="00F31FE4" w:rsidRDefault="006F11D4" w:rsidP="00C47563">
      <w:pPr>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20.</w:t>
      </w:r>
      <w:r w:rsidRPr="00F31FE4">
        <w:rPr>
          <w:rFonts w:ascii="Times New Roman" w:eastAsia="Times New Roman" w:hAnsi="Times New Roman" w:cs="Times New Roman"/>
          <w:color w:val="000000"/>
          <w:sz w:val="26"/>
          <w:szCs w:val="26"/>
        </w:rPr>
        <w:tab/>
        <w:t>As of the effective date of rates in this proceeding, Columbia will be eligible to include plant additions in the DSIC once eligible account balances exceed the levels projected by Columbia at December 31, 2022.  The foregoing provision is included solely for purposes of calculating the DSIC, and is not determinative for future ratemaking purposes of the projected additions to be included in rate base in a FPFTY filing.</w:t>
      </w:r>
      <w:r w:rsidRPr="00F31FE4">
        <w:rPr>
          <w:rStyle w:val="FootnoteReference"/>
          <w:rFonts w:ascii="Times New Roman" w:eastAsia="Times New Roman" w:hAnsi="Times New Roman" w:cs="Times New Roman"/>
          <w:color w:val="000000"/>
          <w:sz w:val="26"/>
          <w:szCs w:val="26"/>
        </w:rPr>
        <w:footnoteReference w:id="4"/>
      </w:r>
    </w:p>
    <w:p w14:paraId="32CBC7AB"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color w:val="000000"/>
          <w:sz w:val="26"/>
          <w:szCs w:val="26"/>
        </w:rPr>
      </w:pPr>
    </w:p>
    <w:p w14:paraId="4EB7B96C" w14:textId="0D9EEEA2" w:rsidR="006F11D4" w:rsidRPr="00F31FE4" w:rsidRDefault="006F11D4" w:rsidP="00C47563">
      <w:pPr>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21.</w:t>
      </w:r>
      <w:r w:rsidRPr="00F31FE4">
        <w:rPr>
          <w:rFonts w:ascii="Times New Roman" w:eastAsia="Times New Roman" w:hAnsi="Times New Roman" w:cs="Times New Roman"/>
          <w:color w:val="000000"/>
          <w:sz w:val="26"/>
          <w:szCs w:val="26"/>
        </w:rPr>
        <w:tab/>
        <w:t xml:space="preserve">For purposes of calculating its DSIC, Columbia shall use the equity return rate for gas utilities contained in the 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 C.S. </w:t>
      </w:r>
    </w:p>
    <w:p w14:paraId="795136F4" w14:textId="77777777" w:rsidR="006F11D4" w:rsidRPr="00F31FE4" w:rsidRDefault="006F11D4" w:rsidP="00C47563">
      <w:pPr>
        <w:tabs>
          <w:tab w:val="left" w:pos="1440"/>
          <w:tab w:val="left" w:pos="2880"/>
        </w:tabs>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 1357(b)(3), until such time as the DSIC is reset pursuant to the provisions of 66 Pa. C.S. § 1358(b)(1).</w:t>
      </w:r>
    </w:p>
    <w:p w14:paraId="3BB61CDC"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547E0541" w14:textId="6E8208F7" w:rsidR="006F11D4" w:rsidRPr="00F31FE4" w:rsidRDefault="006F11D4" w:rsidP="00C47563">
      <w:pPr>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22.</w:t>
      </w:r>
      <w:r w:rsidRPr="00F31FE4">
        <w:rPr>
          <w:rFonts w:ascii="Times New Roman" w:eastAsia="Times New Roman" w:hAnsi="Times New Roman" w:cs="Times New Roman"/>
          <w:color w:val="000000"/>
          <w:sz w:val="26"/>
          <w:szCs w:val="26"/>
        </w:rPr>
        <w:tab/>
        <w:t>Columbia will continue to use normalization accounting with respect to the benefits of the tax repairs deduction.</w:t>
      </w:r>
    </w:p>
    <w:p w14:paraId="019C6695"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68181F0B" w14:textId="77777777" w:rsidR="006F11D4" w:rsidRPr="00F31FE4" w:rsidRDefault="006F11D4" w:rsidP="00C47563">
      <w:pPr>
        <w:tabs>
          <w:tab w:val="left" w:pos="1584"/>
          <w:tab w:val="left" w:pos="288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23.</w:t>
      </w:r>
      <w:r w:rsidRPr="00F31FE4">
        <w:rPr>
          <w:rFonts w:ascii="Times New Roman" w:eastAsia="Times New Roman" w:hAnsi="Times New Roman" w:cs="Times New Roman"/>
          <w:color w:val="000000"/>
          <w:sz w:val="26"/>
          <w:szCs w:val="26"/>
        </w:rPr>
        <w:tab/>
        <w:t>Columbia also will be permitted to continue to use normalization accounting with respect to the tax treatment of Section 263A mixed service costs.</w:t>
      </w:r>
    </w:p>
    <w:p w14:paraId="006BDCB1"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44FE1C43" w14:textId="77777777" w:rsidR="006F11D4" w:rsidRPr="00F31FE4" w:rsidRDefault="006F11D4" w:rsidP="00C47563">
      <w:pPr>
        <w:tabs>
          <w:tab w:val="left" w:pos="1440"/>
        </w:tabs>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ab/>
        <w:t>24.</w:t>
      </w:r>
      <w:r w:rsidRPr="00F31FE4">
        <w:rPr>
          <w:rFonts w:ascii="Times New Roman" w:eastAsia="Times New Roman" w:hAnsi="Times New Roman" w:cs="Times New Roman"/>
          <w:color w:val="000000"/>
          <w:sz w:val="26"/>
          <w:szCs w:val="26"/>
        </w:rPr>
        <w:tab/>
        <w:t>Columbia will be permitted to recover the amortization of costs related to the following:</w:t>
      </w:r>
    </w:p>
    <w:p w14:paraId="638F0563"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00CEA479" w14:textId="77777777" w:rsidR="006F11D4" w:rsidRPr="00F31FE4" w:rsidRDefault="006F11D4" w:rsidP="00C47563">
      <w:pPr>
        <w:numPr>
          <w:ilvl w:val="0"/>
          <w:numId w:val="25"/>
        </w:numPr>
        <w:tabs>
          <w:tab w:val="left" w:pos="1584"/>
        </w:tabs>
        <w:spacing w:after="0" w:line="240" w:lineRule="auto"/>
        <w:ind w:left="216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 xml:space="preserve">Blackhawk Storage — Continuation of the previously-approved </w:t>
      </w:r>
      <w:proofErr w:type="gramStart"/>
      <w:r w:rsidRPr="00F31FE4">
        <w:rPr>
          <w:rFonts w:ascii="Times New Roman" w:eastAsia="Times New Roman" w:hAnsi="Times New Roman" w:cs="Times New Roman"/>
          <w:color w:val="000000"/>
          <w:sz w:val="26"/>
          <w:szCs w:val="26"/>
        </w:rPr>
        <w:t>24.5 year</w:t>
      </w:r>
      <w:proofErr w:type="gramEnd"/>
      <w:r w:rsidRPr="00F31FE4">
        <w:rPr>
          <w:rFonts w:ascii="Times New Roman" w:eastAsia="Times New Roman" w:hAnsi="Times New Roman" w:cs="Times New Roman"/>
          <w:color w:val="000000"/>
          <w:sz w:val="26"/>
          <w:szCs w:val="26"/>
        </w:rPr>
        <w:t xml:space="preserve"> amortization of the total amount of $398,865 to be included on books and in rate base as a regulatory asset to reflect the total original cost that began on October 28, 2008.</w:t>
      </w:r>
    </w:p>
    <w:p w14:paraId="128872F4"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17AEA893" w14:textId="77777777" w:rsidR="006F11D4" w:rsidRPr="00F31FE4" w:rsidRDefault="006F11D4" w:rsidP="00C47563">
      <w:pPr>
        <w:numPr>
          <w:ilvl w:val="0"/>
          <w:numId w:val="25"/>
        </w:numPr>
        <w:tabs>
          <w:tab w:val="left" w:pos="1584"/>
        </w:tabs>
        <w:spacing w:after="0" w:line="240" w:lineRule="auto"/>
        <w:ind w:left="216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Corporate Services OPEB-Related Costs — Continuation of the previously-approved amortization of the regulatory asset of $903,131 associated with the transition of NiSource Corporate Services Company from a cash to accrual basis for Other Post-Employment Benefits (“OPEBs”), over a ten-year period that began July 1, 2013.</w:t>
      </w:r>
    </w:p>
    <w:p w14:paraId="2285DBA5"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044808AC" w14:textId="77777777" w:rsidR="006F11D4" w:rsidRPr="00F31FE4" w:rsidRDefault="006F11D4" w:rsidP="00C47563">
      <w:pPr>
        <w:numPr>
          <w:ilvl w:val="0"/>
          <w:numId w:val="26"/>
        </w:numPr>
        <w:spacing w:after="0" w:line="240" w:lineRule="auto"/>
        <w:ind w:left="216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Pension Prepayment — Continuation of the previously-approved ten-year amortization of $8,449,772.00 that began December 16, 2018.  Any unamortized balance shall not be permitted to be included in rate base in future cases.</w:t>
      </w:r>
    </w:p>
    <w:p w14:paraId="5A816166"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30825D03" w14:textId="1CDC779F" w:rsidR="006F11D4" w:rsidRPr="00F31FE4" w:rsidRDefault="006F11D4" w:rsidP="00C47563">
      <w:pPr>
        <w:numPr>
          <w:ilvl w:val="0"/>
          <w:numId w:val="26"/>
        </w:numPr>
        <w:spacing w:after="0" w:line="240" w:lineRule="auto"/>
        <w:ind w:left="216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COVID-19 Related Uncollectible Accounts Expense — The Company agrees to discontinue the deferral of COVID-19 related Uncollectibles Accounts Expense as of the implementation dates of the rates contemplated by this Settlement, or earlier if directed by the Commission</w:t>
      </w:r>
      <w:r w:rsidR="00C47563" w:rsidRPr="00F31FE4">
        <w:rPr>
          <w:rFonts w:ascii="Times New Roman" w:eastAsia="Times New Roman" w:hAnsi="Times New Roman" w:cs="Times New Roman"/>
          <w:color w:val="000000"/>
          <w:sz w:val="26"/>
          <w:szCs w:val="26"/>
        </w:rPr>
        <w:t xml:space="preserve">.  </w:t>
      </w:r>
      <w:r w:rsidRPr="00F31FE4">
        <w:rPr>
          <w:rFonts w:ascii="Times New Roman" w:eastAsia="Times New Roman" w:hAnsi="Times New Roman" w:cs="Times New Roman"/>
          <w:color w:val="000000"/>
          <w:sz w:val="26"/>
          <w:szCs w:val="26"/>
        </w:rPr>
        <w:t>The amount of $5,579,245 representing deferrals through December 31, 2020 shall be amortized over a five-year period beginning January 1, 2022.  The Company shall introduce its claim for incremental uncollectible expenses subsequent to December</w:t>
      </w:r>
      <w:r w:rsidR="00172722" w:rsidRPr="00F31FE4">
        <w:rPr>
          <w:rFonts w:ascii="Times New Roman" w:eastAsia="Times New Roman" w:hAnsi="Times New Roman" w:cs="Times New Roman"/>
          <w:color w:val="000000"/>
          <w:sz w:val="26"/>
          <w:szCs w:val="26"/>
        </w:rPr>
        <w:t> </w:t>
      </w:r>
      <w:r w:rsidRPr="00F31FE4">
        <w:rPr>
          <w:rFonts w:ascii="Times New Roman" w:eastAsia="Times New Roman" w:hAnsi="Times New Roman" w:cs="Times New Roman"/>
          <w:color w:val="000000"/>
          <w:sz w:val="26"/>
          <w:szCs w:val="26"/>
        </w:rPr>
        <w:t>31,</w:t>
      </w:r>
      <w:r w:rsidR="00172722" w:rsidRPr="00F31FE4">
        <w:rPr>
          <w:rFonts w:ascii="Times New Roman" w:eastAsia="Times New Roman" w:hAnsi="Times New Roman" w:cs="Times New Roman"/>
          <w:color w:val="000000"/>
          <w:sz w:val="26"/>
          <w:szCs w:val="26"/>
        </w:rPr>
        <w:t> </w:t>
      </w:r>
      <w:proofErr w:type="gramStart"/>
      <w:r w:rsidRPr="00F31FE4">
        <w:rPr>
          <w:rFonts w:ascii="Times New Roman" w:eastAsia="Times New Roman" w:hAnsi="Times New Roman" w:cs="Times New Roman"/>
          <w:color w:val="000000"/>
          <w:sz w:val="26"/>
          <w:szCs w:val="26"/>
        </w:rPr>
        <w:t>2020</w:t>
      </w:r>
      <w:proofErr w:type="gramEnd"/>
      <w:r w:rsidRPr="00F31FE4">
        <w:rPr>
          <w:rFonts w:ascii="Times New Roman" w:eastAsia="Times New Roman" w:hAnsi="Times New Roman" w:cs="Times New Roman"/>
          <w:color w:val="000000"/>
          <w:sz w:val="26"/>
          <w:szCs w:val="26"/>
        </w:rPr>
        <w:t xml:space="preserve"> in its next base rate proceeding.</w:t>
      </w:r>
    </w:p>
    <w:p w14:paraId="1436FAE2" w14:textId="77777777" w:rsidR="006F11D4" w:rsidRPr="00F31FE4" w:rsidRDefault="006F11D4" w:rsidP="00C47563">
      <w:pPr>
        <w:spacing w:after="0" w:line="240" w:lineRule="auto"/>
        <w:ind w:left="2880" w:right="1440"/>
        <w:textAlignment w:val="baseline"/>
        <w:rPr>
          <w:rFonts w:ascii="Times New Roman" w:eastAsia="Times New Roman" w:hAnsi="Times New Roman" w:cs="Times New Roman"/>
          <w:color w:val="000000"/>
          <w:sz w:val="26"/>
          <w:szCs w:val="26"/>
        </w:rPr>
      </w:pPr>
    </w:p>
    <w:p w14:paraId="1C436BD2" w14:textId="7867C832" w:rsidR="006F11D4" w:rsidRPr="00F31FE4" w:rsidRDefault="006F11D4" w:rsidP="00C47563">
      <w:pPr>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25.</w:t>
      </w:r>
      <w:r w:rsidRPr="00F31FE4">
        <w:rPr>
          <w:rFonts w:ascii="Times New Roman" w:eastAsia="Times New Roman" w:hAnsi="Times New Roman" w:cs="Times New Roman"/>
          <w:color w:val="000000"/>
          <w:sz w:val="26"/>
          <w:szCs w:val="26"/>
        </w:rPr>
        <w:tab/>
        <w:t>The revenue requirement agreed upon above also reflects a reduction to rate base for the excess Accumulated Deferred Income Taxes (“ADIT”) as of the end of the FPFTY resulting from the reduction of the Federal income tax rate to 21% pursuant to the Tax Cuts and Jobs Act of 2017.  The Company agrees to continue such treatment in future base rate filings until the entire amount has been refunded.</w:t>
      </w:r>
    </w:p>
    <w:p w14:paraId="618C2836" w14:textId="77777777" w:rsidR="006F11D4" w:rsidRPr="00F31FE4" w:rsidRDefault="006F11D4" w:rsidP="00C47563">
      <w:pPr>
        <w:tabs>
          <w:tab w:val="left" w:pos="1584"/>
        </w:tabs>
        <w:spacing w:after="0" w:line="240" w:lineRule="auto"/>
        <w:ind w:left="1440" w:right="1440"/>
        <w:textAlignment w:val="baseline"/>
        <w:rPr>
          <w:rFonts w:ascii="Times New Roman" w:eastAsia="Times New Roman" w:hAnsi="Times New Roman" w:cs="Times New Roman"/>
          <w:color w:val="000000"/>
          <w:sz w:val="26"/>
          <w:szCs w:val="26"/>
        </w:rPr>
      </w:pPr>
    </w:p>
    <w:p w14:paraId="58EF800C" w14:textId="50E5DCB0" w:rsidR="006F11D4" w:rsidRPr="00F31FE4" w:rsidRDefault="006F11D4" w:rsidP="00C47563">
      <w:pPr>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26.</w:t>
      </w:r>
      <w:r w:rsidRPr="00F31FE4">
        <w:rPr>
          <w:rFonts w:ascii="Times New Roman" w:eastAsia="Times New Roman" w:hAnsi="Times New Roman" w:cs="Times New Roman"/>
          <w:color w:val="000000"/>
          <w:sz w:val="26"/>
          <w:szCs w:val="26"/>
        </w:rPr>
        <w:tab/>
        <w:t>As established in the settlement of Columbia's base rate proceeding at R-2012-2321748, Columbia will be permitted to continue to defer the difference between the annual OPEB expense calculated pursuant to FASB Accounting Standards Codification (“ASC”) 715, “Compensation — Retirement Benefits (SFAS No. 106) and the annual OPEB expense allowance in rates of $0.  Only those amounts attributable to operation and maintenance would be deferred and recognized as a regulatory asset or liability.  To the extent the cumulative balance recorded reflects a regulatory asset, such amount will be collected from customers in the next base rate proceeding over a period to be determined in that rate proceeding.  To the extent the cumulative balance recorded reflects a regulatory liability, there will be no amortization of the (non-cash) negative expense and the cumulative balance will continue to be maintained.</w:t>
      </w:r>
    </w:p>
    <w:p w14:paraId="771043CB" w14:textId="77777777" w:rsidR="006F11D4" w:rsidRPr="00F31FE4" w:rsidRDefault="006F11D4" w:rsidP="00C47563">
      <w:pPr>
        <w:tabs>
          <w:tab w:val="left" w:pos="1584"/>
        </w:tabs>
        <w:spacing w:after="0" w:line="240" w:lineRule="auto"/>
        <w:ind w:left="1440" w:right="1440"/>
        <w:textAlignment w:val="baseline"/>
        <w:rPr>
          <w:rFonts w:ascii="Times New Roman" w:eastAsia="Times New Roman" w:hAnsi="Times New Roman" w:cs="Times New Roman"/>
          <w:color w:val="000000"/>
          <w:sz w:val="26"/>
          <w:szCs w:val="26"/>
        </w:rPr>
      </w:pPr>
    </w:p>
    <w:p w14:paraId="4605B11E" w14:textId="77777777" w:rsidR="006F11D4" w:rsidRPr="00F31FE4" w:rsidRDefault="006F11D4" w:rsidP="00C47563">
      <w:pPr>
        <w:numPr>
          <w:ilvl w:val="0"/>
          <w:numId w:val="28"/>
        </w:numPr>
        <w:tabs>
          <w:tab w:val="left" w:pos="1584"/>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Commencing with the effective date of rates, Columbia will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w:t>
      </w:r>
    </w:p>
    <w:p w14:paraId="636894CD"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3E21728F" w14:textId="5235A63C" w:rsidR="006F11D4" w:rsidRPr="00F31FE4" w:rsidRDefault="006F11D4" w:rsidP="00C47563">
      <w:pPr>
        <w:numPr>
          <w:ilvl w:val="0"/>
          <w:numId w:val="28"/>
        </w:numPr>
        <w:tabs>
          <w:tab w:val="left" w:pos="1584"/>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On or before April 1, 2022, Columbia will provide the Commission</w:t>
      </w:r>
      <w:r w:rsidR="00997D04"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s Bureau of Technical Utility Services (</w:t>
      </w:r>
      <w:r w:rsidR="00AF2727"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TUS”), I&amp;E, OCA and OSBA an update to Columbia Exhibit No. 108, Schedule 1, which will include actual capital expenditures, plant additions, and retirements by month for the twelve months ending December 31, 2021</w:t>
      </w:r>
      <w:r w:rsidR="00C47563" w:rsidRPr="00F31FE4">
        <w:rPr>
          <w:rFonts w:ascii="Times New Roman" w:eastAsia="Times New Roman" w:hAnsi="Times New Roman" w:cs="Times New Roman"/>
          <w:color w:val="000000"/>
          <w:sz w:val="26"/>
          <w:szCs w:val="26"/>
        </w:rPr>
        <w:t xml:space="preserve">.  </w:t>
      </w:r>
      <w:r w:rsidRPr="00F31FE4">
        <w:rPr>
          <w:rFonts w:ascii="Times New Roman" w:eastAsia="Times New Roman" w:hAnsi="Times New Roman" w:cs="Times New Roman"/>
          <w:color w:val="000000"/>
          <w:sz w:val="26"/>
          <w:szCs w:val="26"/>
        </w:rPr>
        <w:t>On or before April 1, 2023, Columbia will update Exhibit No. 108, Schedule 1 filed in this proceeding for the twelve months ending December 31, 2022.  In Columbia</w:t>
      </w:r>
      <w:r w:rsidR="00997D04"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s next base rate proceeding, the Company will prepare a comparison of its actual revenue, expenses and rate base additions for the twelve months ended December 31, 2021</w:t>
      </w:r>
      <w:r w:rsidR="00C47563" w:rsidRPr="00F31FE4">
        <w:rPr>
          <w:rFonts w:ascii="Times New Roman" w:eastAsia="Times New Roman" w:hAnsi="Times New Roman" w:cs="Times New Roman"/>
          <w:color w:val="000000"/>
          <w:sz w:val="26"/>
          <w:szCs w:val="26"/>
        </w:rPr>
        <w:t xml:space="preserve">.  </w:t>
      </w:r>
      <w:r w:rsidRPr="00F31FE4">
        <w:rPr>
          <w:rFonts w:ascii="Times New Roman" w:eastAsia="Times New Roman" w:hAnsi="Times New Roman" w:cs="Times New Roman"/>
          <w:color w:val="000000"/>
          <w:sz w:val="26"/>
          <w:szCs w:val="26"/>
        </w:rPr>
        <w:t>However, it is recognized by the Joint Petitioners that this is a black box settlement that is a compromise of Joint Petitioners</w:t>
      </w:r>
      <w:r w:rsidR="00AF2727"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 xml:space="preserve"> positions on various issues.</w:t>
      </w:r>
    </w:p>
    <w:p w14:paraId="2434BBFB"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161C5278" w14:textId="77777777" w:rsidR="006F11D4" w:rsidRPr="00F31FE4" w:rsidRDefault="006F11D4" w:rsidP="00C47563">
      <w:pPr>
        <w:numPr>
          <w:ilvl w:val="0"/>
          <w:numId w:val="28"/>
        </w:numPr>
        <w:tabs>
          <w:tab w:val="left" w:pos="1584"/>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Columbia will preserve and provide to I&amp;E, OCA and OSBA as a part of its next base rate case the following: (1) all documentation supporting debt issued between this base rate case and the next base rate case; and (2) for each issuance the prevailing yield on U.S. utility bonds as reported by Bloomberg Finance L.P. for companies with a credit risk profile equivalent to that of NiSource Inc.</w:t>
      </w:r>
    </w:p>
    <w:p w14:paraId="5794879B" w14:textId="77777777" w:rsidR="006F11D4" w:rsidRPr="00F31FE4" w:rsidRDefault="006F11D4" w:rsidP="00C47563">
      <w:pPr>
        <w:tabs>
          <w:tab w:val="left" w:pos="1584"/>
        </w:tabs>
        <w:spacing w:after="0" w:line="240" w:lineRule="auto"/>
        <w:ind w:left="2160" w:right="1440"/>
        <w:textAlignment w:val="baseline"/>
        <w:rPr>
          <w:rFonts w:ascii="Times New Roman" w:eastAsia="Times New Roman" w:hAnsi="Times New Roman" w:cs="Times New Roman"/>
          <w:color w:val="000000"/>
          <w:sz w:val="26"/>
          <w:szCs w:val="26"/>
        </w:rPr>
      </w:pPr>
    </w:p>
    <w:p w14:paraId="7823201E" w14:textId="6C2FCFB1" w:rsidR="006F11D4" w:rsidRPr="00F31FE4" w:rsidRDefault="006F11D4" w:rsidP="00C47563">
      <w:pPr>
        <w:numPr>
          <w:ilvl w:val="0"/>
          <w:numId w:val="28"/>
        </w:numPr>
        <w:tabs>
          <w:tab w:val="clear" w:pos="72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Tariff rates will go into effect on December</w:t>
      </w:r>
      <w:r w:rsidR="00460607" w:rsidRPr="00F31FE4">
        <w:rPr>
          <w:rFonts w:ascii="Times New Roman" w:eastAsia="Times New Roman" w:hAnsi="Times New Roman" w:cs="Times New Roman"/>
          <w:color w:val="000000"/>
          <w:sz w:val="26"/>
          <w:szCs w:val="26"/>
        </w:rPr>
        <w:t> </w:t>
      </w:r>
      <w:r w:rsidRPr="00F31FE4">
        <w:rPr>
          <w:rFonts w:ascii="Times New Roman" w:eastAsia="Times New Roman" w:hAnsi="Times New Roman" w:cs="Times New Roman"/>
          <w:color w:val="000000"/>
          <w:sz w:val="26"/>
          <w:szCs w:val="26"/>
        </w:rPr>
        <w:t>29,</w:t>
      </w:r>
      <w:r w:rsidR="00460607" w:rsidRPr="00F31FE4">
        <w:rPr>
          <w:rFonts w:ascii="Times New Roman" w:eastAsia="Times New Roman" w:hAnsi="Times New Roman" w:cs="Times New Roman"/>
          <w:color w:val="000000"/>
          <w:sz w:val="26"/>
          <w:szCs w:val="26"/>
        </w:rPr>
        <w:t> </w:t>
      </w:r>
      <w:r w:rsidRPr="00F31FE4">
        <w:rPr>
          <w:rFonts w:ascii="Times New Roman" w:eastAsia="Times New Roman" w:hAnsi="Times New Roman" w:cs="Times New Roman"/>
          <w:color w:val="000000"/>
          <w:sz w:val="26"/>
          <w:szCs w:val="26"/>
        </w:rPr>
        <w:t>2021.</w:t>
      </w:r>
    </w:p>
    <w:p w14:paraId="769424CB"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p>
    <w:p w14:paraId="2C54705D" w14:textId="77777777" w:rsidR="006F11D4" w:rsidRPr="00F31FE4" w:rsidRDefault="006F11D4" w:rsidP="00C47563">
      <w:pPr>
        <w:keepNext/>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r w:rsidRPr="00F31FE4">
        <w:rPr>
          <w:rFonts w:ascii="Times New Roman" w:eastAsia="Times New Roman" w:hAnsi="Times New Roman" w:cs="Times New Roman"/>
          <w:b/>
          <w:color w:val="000000"/>
          <w:sz w:val="26"/>
          <w:szCs w:val="26"/>
        </w:rPr>
        <w:t>B.</w:t>
      </w:r>
      <w:r w:rsidRPr="00F31FE4">
        <w:rPr>
          <w:rFonts w:ascii="Times New Roman" w:eastAsia="Times New Roman" w:hAnsi="Times New Roman" w:cs="Times New Roman"/>
          <w:b/>
          <w:color w:val="000000"/>
          <w:sz w:val="26"/>
          <w:szCs w:val="26"/>
        </w:rPr>
        <w:tab/>
        <w:t>REVENUE ALLOCATION AND RATE DESIGN</w:t>
      </w:r>
    </w:p>
    <w:p w14:paraId="3E6779ED" w14:textId="77777777" w:rsidR="006F11D4" w:rsidRPr="00F31FE4" w:rsidRDefault="006F11D4" w:rsidP="00C47563">
      <w:pPr>
        <w:keepNext/>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p>
    <w:p w14:paraId="22BD4048" w14:textId="77777777" w:rsidR="006F11D4" w:rsidRPr="00F31FE4" w:rsidRDefault="006F11D4" w:rsidP="00C47563">
      <w:pPr>
        <w:keepNext/>
        <w:numPr>
          <w:ilvl w:val="0"/>
          <w:numId w:val="29"/>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Class revenue allocation will be approximately as shown in Appendix “A”.  Rate design for all classes shall be as shown in Appendix “B”.  Revenue allocation and rate design reflect a compromise and do not endorse any particular cost of service study</w:t>
      </w:r>
    </w:p>
    <w:p w14:paraId="5157D310"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3148DC8A" w14:textId="77777777" w:rsidR="006F11D4" w:rsidRPr="00F31FE4" w:rsidRDefault="006F11D4" w:rsidP="00C47563">
      <w:pPr>
        <w:numPr>
          <w:ilvl w:val="0"/>
          <w:numId w:val="29"/>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Residential customer charge will be set at $16.75/month.</w:t>
      </w:r>
    </w:p>
    <w:p w14:paraId="534157CC"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0CD219C2" w14:textId="5D0B8834" w:rsidR="006F11D4" w:rsidRPr="00F31FE4" w:rsidRDefault="006F11D4" w:rsidP="00C47563">
      <w:pPr>
        <w:numPr>
          <w:ilvl w:val="0"/>
          <w:numId w:val="29"/>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Columbia’s proposal to continue its Pilot Weather Normalization Adjustment (“WNA”) mechanism until a final order is entered in the Company's first rate case filed after May 31, 2026 is approved</w:t>
      </w:r>
      <w:r w:rsidR="00C47563" w:rsidRPr="00F31FE4">
        <w:rPr>
          <w:rFonts w:ascii="Times New Roman" w:eastAsia="Times New Roman" w:hAnsi="Times New Roman" w:cs="Times New Roman"/>
          <w:color w:val="000000"/>
          <w:sz w:val="26"/>
          <w:szCs w:val="26"/>
        </w:rPr>
        <w:t xml:space="preserve">.  </w:t>
      </w:r>
      <w:r w:rsidRPr="00F31FE4">
        <w:rPr>
          <w:rFonts w:ascii="Times New Roman" w:eastAsia="Times New Roman" w:hAnsi="Times New Roman" w:cs="Times New Roman"/>
          <w:color w:val="000000"/>
          <w:sz w:val="26"/>
          <w:szCs w:val="26"/>
        </w:rPr>
        <w:t>For informational purposes, the Company shall continue to maintain and provide to the OCA, I&amp;E and OSBA by October 1 of each year all reports and records supporting the operation of its WNA for the preceding year, including the Company's monthly computation of the WNA and all data underlying the Company's monthly WNA computation.</w:t>
      </w:r>
    </w:p>
    <w:p w14:paraId="7332E97C"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03343B3A" w14:textId="77777777" w:rsidR="006F11D4" w:rsidRPr="00F31FE4" w:rsidRDefault="006F11D4" w:rsidP="00C47563">
      <w:pPr>
        <w:tabs>
          <w:tab w:val="left" w:pos="648"/>
        </w:tabs>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ab/>
        <w:t>34.</w:t>
      </w:r>
      <w:r w:rsidRPr="00F31FE4">
        <w:rPr>
          <w:rFonts w:ascii="Times New Roman" w:eastAsia="Times New Roman" w:hAnsi="Times New Roman" w:cs="Times New Roman"/>
          <w:color w:val="000000"/>
          <w:sz w:val="26"/>
          <w:szCs w:val="26"/>
        </w:rPr>
        <w:tab/>
        <w:t>Columbia’s Revenue Normalization Adjustment (“RNA”) proposal has been</w:t>
      </w:r>
    </w:p>
    <w:p w14:paraId="05D0D93F" w14:textId="77777777" w:rsidR="006F11D4" w:rsidRPr="00F31FE4" w:rsidRDefault="006F11D4" w:rsidP="00C47563">
      <w:pPr>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withdrawn without prejudice.</w:t>
      </w:r>
    </w:p>
    <w:p w14:paraId="382AE9B5" w14:textId="77777777" w:rsidR="006F11D4" w:rsidRPr="00F31FE4" w:rsidRDefault="006F11D4" w:rsidP="00C47563">
      <w:pPr>
        <w:spacing w:after="0" w:line="240" w:lineRule="auto"/>
        <w:ind w:left="1440" w:right="1440"/>
        <w:textAlignment w:val="baseline"/>
        <w:rPr>
          <w:rFonts w:ascii="Times New Roman" w:eastAsia="Times New Roman" w:hAnsi="Times New Roman" w:cs="Times New Roman"/>
          <w:color w:val="000000"/>
          <w:sz w:val="26"/>
          <w:szCs w:val="26"/>
        </w:rPr>
      </w:pPr>
    </w:p>
    <w:p w14:paraId="6154887A" w14:textId="77777777" w:rsidR="006F11D4" w:rsidRPr="00F31FE4" w:rsidRDefault="006F11D4" w:rsidP="00C47563">
      <w:pPr>
        <w:tabs>
          <w:tab w:val="left" w:pos="648"/>
          <w:tab w:val="left" w:pos="1512"/>
        </w:tabs>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ab/>
      </w:r>
      <w:r w:rsidRPr="00F31FE4">
        <w:rPr>
          <w:rFonts w:ascii="Times New Roman" w:eastAsia="Times New Roman" w:hAnsi="Times New Roman" w:cs="Times New Roman"/>
          <w:color w:val="000000"/>
          <w:sz w:val="26"/>
          <w:szCs w:val="26"/>
        </w:rPr>
        <w:tab/>
        <w:t>35.</w:t>
      </w:r>
      <w:r w:rsidRPr="00F31FE4">
        <w:rPr>
          <w:rFonts w:ascii="Times New Roman" w:eastAsia="Times New Roman" w:hAnsi="Times New Roman" w:cs="Times New Roman"/>
          <w:color w:val="000000"/>
          <w:sz w:val="26"/>
          <w:szCs w:val="26"/>
        </w:rPr>
        <w:tab/>
        <w:t>Columbia's Federal Tax Reform Adjustment (“FTR”) Rider has been withdrawn without prejudice.</w:t>
      </w:r>
    </w:p>
    <w:p w14:paraId="0304A909"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64D56348" w14:textId="77777777" w:rsidR="006F11D4" w:rsidRPr="00F31FE4" w:rsidRDefault="006F11D4" w:rsidP="00C47563">
      <w:pPr>
        <w:tabs>
          <w:tab w:val="left" w:pos="648"/>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36.</w:t>
      </w:r>
      <w:r w:rsidRPr="00F31FE4">
        <w:rPr>
          <w:rFonts w:ascii="Times New Roman" w:eastAsia="Times New Roman" w:hAnsi="Times New Roman" w:cs="Times New Roman"/>
          <w:color w:val="000000"/>
          <w:sz w:val="26"/>
          <w:szCs w:val="26"/>
        </w:rPr>
        <w:tab/>
        <w:t>The Company’s Gas Procurement Charge (“GPC”) and Merchant Function Charge (“MFC”) shall be as filed by the Company.</w:t>
      </w:r>
    </w:p>
    <w:p w14:paraId="694EB705"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0BD020F2" w14:textId="77777777" w:rsidR="006F11D4" w:rsidRPr="00F31FE4" w:rsidRDefault="006F11D4" w:rsidP="00C47563">
      <w:pPr>
        <w:keepNext/>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r w:rsidRPr="00F31FE4">
        <w:rPr>
          <w:rFonts w:ascii="Times New Roman" w:eastAsia="Times New Roman" w:hAnsi="Times New Roman" w:cs="Times New Roman"/>
          <w:b/>
          <w:color w:val="000000"/>
          <w:sz w:val="26"/>
          <w:szCs w:val="26"/>
        </w:rPr>
        <w:t>C.</w:t>
      </w:r>
      <w:r w:rsidRPr="00F31FE4">
        <w:rPr>
          <w:rFonts w:ascii="Times New Roman" w:eastAsia="Times New Roman" w:hAnsi="Times New Roman" w:cs="Times New Roman"/>
          <w:b/>
          <w:color w:val="000000"/>
          <w:sz w:val="26"/>
          <w:szCs w:val="26"/>
        </w:rPr>
        <w:tab/>
        <w:t>UNIVERSAL SERVICE AND CONSERVATION</w:t>
      </w:r>
    </w:p>
    <w:p w14:paraId="4A8CAD7E" w14:textId="77777777" w:rsidR="006F11D4" w:rsidRPr="00F31FE4" w:rsidRDefault="006F11D4" w:rsidP="00C47563">
      <w:pPr>
        <w:keepNext/>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p>
    <w:p w14:paraId="11E8A2DA" w14:textId="1FE2CAF4" w:rsidR="006F11D4" w:rsidRPr="00F31FE4" w:rsidRDefault="006F11D4" w:rsidP="00C47563">
      <w:pPr>
        <w:keepNext/>
        <w:tabs>
          <w:tab w:val="left" w:pos="1512"/>
        </w:tabs>
        <w:spacing w:after="0" w:line="240" w:lineRule="auto"/>
        <w:ind w:left="1440" w:right="1440" w:firstLine="648"/>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37.</w:t>
      </w:r>
      <w:r w:rsidRPr="00F31FE4">
        <w:rPr>
          <w:rFonts w:ascii="Times New Roman" w:eastAsia="Times New Roman" w:hAnsi="Times New Roman" w:cs="Times New Roman"/>
          <w:color w:val="000000"/>
          <w:sz w:val="26"/>
          <w:szCs w:val="26"/>
        </w:rPr>
        <w:tab/>
        <w:t>To assist with the unexpected need and possible depletion of customers’ savings resulting from the COVID-19 Pandemic, the Company will expand the budget for its Emergency Repair Fund, which provides for the repair and replacement of faulty equipment for low-income homeowners, from $600,000 to $700,000 per year, for the years 2022 and 2023.  The Company will recover the actual costs through the Rider USP which has an annual true up.</w:t>
      </w:r>
    </w:p>
    <w:p w14:paraId="5A90B1CE" w14:textId="77777777" w:rsidR="00C47563" w:rsidRPr="00F31FE4" w:rsidRDefault="00C47563" w:rsidP="00C47563">
      <w:pPr>
        <w:tabs>
          <w:tab w:val="left" w:pos="1512"/>
        </w:tabs>
        <w:spacing w:after="0" w:line="240" w:lineRule="auto"/>
        <w:ind w:left="1440" w:right="1440" w:firstLine="648"/>
        <w:textAlignment w:val="baseline"/>
        <w:rPr>
          <w:rFonts w:ascii="Times New Roman" w:eastAsia="Times New Roman" w:hAnsi="Times New Roman" w:cs="Times New Roman"/>
          <w:color w:val="000000"/>
          <w:sz w:val="26"/>
          <w:szCs w:val="26"/>
        </w:rPr>
      </w:pPr>
    </w:p>
    <w:p w14:paraId="658EBC5E" w14:textId="77777777" w:rsidR="006F11D4" w:rsidRPr="00F31FE4" w:rsidRDefault="006F11D4" w:rsidP="00C47563">
      <w:pPr>
        <w:numPr>
          <w:ilvl w:val="0"/>
          <w:numId w:val="30"/>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Company will develop remedies for exits from CAP relating to the failure to recertify.  The Company will continue to automatically re-enroll customers into the Company's Customer Assistance Program (“CAP”) when they move from one address to another within the Company’s service territory.  The Company will report to the Bureau of Consumer Services the affirmative steps it will take to reduce the percentage of exits attributable to a failure to recertify within 60 days of the Commission-approved order in this proceeding.</w:t>
      </w:r>
    </w:p>
    <w:p w14:paraId="2FDD5132"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5880A5FB" w14:textId="77777777" w:rsidR="006F11D4" w:rsidRPr="00F31FE4" w:rsidRDefault="006F11D4" w:rsidP="00C47563">
      <w:pPr>
        <w:numPr>
          <w:ilvl w:val="0"/>
          <w:numId w:val="30"/>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Company will develop an outreach campaign to promote existing customer assistance programs and all available resources.  The campaign will include TV and social media ads, electronic and written materials, and a Targeted Outreach component providing services to customers with household incomes below 50% of poverty that have not received available assistance.  The Targeted Outreach will be provided by a third-party contractor who will initiate contact with customers using Company lists of income eligible customers with high arrears as well as referrals from community members and Customer Service Representatives.  The Targeted Outreach representative will work with existing resource administrators to make the customers aware of the available assistance and aid the customers in enrolling/applying to these assistance programs, as necessary.  The Company will recover the cost through the Rider USP not to exceed $200,000 in 2022.</w:t>
      </w:r>
    </w:p>
    <w:p w14:paraId="5A6C7E93"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0F40B8EE" w14:textId="2946893F" w:rsidR="006F11D4" w:rsidRPr="00F31FE4" w:rsidRDefault="006F11D4" w:rsidP="00C47563">
      <w:pPr>
        <w:numPr>
          <w:ilvl w:val="0"/>
          <w:numId w:val="30"/>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Company will expand its Low Income Usage Reduction Program (“LIURP”) Health &amp; Safety Pilot by re-allocating existing LIURP dollars to the pilot to provide services to more high usage households with health and safety issues which prevent delivery of usage reduction services</w:t>
      </w:r>
      <w:r w:rsidR="00C47563" w:rsidRPr="00F31FE4">
        <w:rPr>
          <w:rFonts w:ascii="Times New Roman" w:eastAsia="Times New Roman" w:hAnsi="Times New Roman" w:cs="Times New Roman"/>
          <w:color w:val="000000"/>
          <w:sz w:val="26"/>
          <w:szCs w:val="26"/>
        </w:rPr>
        <w:t xml:space="preserve">.  </w:t>
      </w:r>
      <w:r w:rsidRPr="00F31FE4">
        <w:rPr>
          <w:rFonts w:ascii="Times New Roman" w:eastAsia="Times New Roman" w:hAnsi="Times New Roman" w:cs="Times New Roman"/>
          <w:color w:val="000000"/>
          <w:sz w:val="26"/>
          <w:szCs w:val="26"/>
        </w:rPr>
        <w:t xml:space="preserve">The Company will increase the LIURP budget for Health and Safety repairs from $200,000 to $400,000 in 2022 and will subsequently extend the pilot until approval of the Company’s next USECP plan with a maximum budget of $600,000 per year if homes are available.  </w:t>
      </w:r>
    </w:p>
    <w:p w14:paraId="410328AD"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313C40C0" w14:textId="77777777" w:rsidR="006F11D4" w:rsidRPr="00F31FE4" w:rsidRDefault="006F11D4" w:rsidP="00C47563">
      <w:pPr>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Company will modify the approved formula to include savings associated with CAP credit savings, thus providing for a higher Health &amp; Safety allotment to remediate higher cost obstacles to weatherization such as full roofs and knob and tube re-wiring.  The Company will provide a bi</w:t>
      </w:r>
      <w:r w:rsidRPr="00F31FE4">
        <w:rPr>
          <w:rFonts w:ascii="Times New Roman" w:eastAsia="Times New Roman" w:hAnsi="Times New Roman" w:cs="Times New Roman"/>
          <w:color w:val="000000"/>
          <w:sz w:val="26"/>
          <w:szCs w:val="26"/>
        </w:rPr>
        <w:softHyphen/>
        <w:t>annual report of the number of homes completed, in progress and identified along with associated costs.</w:t>
      </w:r>
    </w:p>
    <w:p w14:paraId="6F8CDFA9" w14:textId="77777777" w:rsidR="006F11D4" w:rsidRPr="00F31FE4" w:rsidRDefault="006F11D4" w:rsidP="00C47563">
      <w:pPr>
        <w:spacing w:after="0" w:line="240" w:lineRule="auto"/>
        <w:ind w:left="1440" w:right="1440"/>
        <w:textAlignment w:val="baseline"/>
        <w:rPr>
          <w:rFonts w:ascii="Times New Roman" w:eastAsia="Times New Roman" w:hAnsi="Times New Roman" w:cs="Times New Roman"/>
          <w:color w:val="000000"/>
          <w:sz w:val="26"/>
          <w:szCs w:val="26"/>
        </w:rPr>
      </w:pPr>
    </w:p>
    <w:p w14:paraId="0A6D5567" w14:textId="5A240F3A" w:rsidR="006F11D4" w:rsidRPr="00F31FE4" w:rsidRDefault="006F11D4" w:rsidP="00C47563">
      <w:pPr>
        <w:numPr>
          <w:ilvl w:val="0"/>
          <w:numId w:val="31"/>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The Company will increase its LIURP budget by $200,000 until the effective date of rates in Columbia</w:t>
      </w:r>
      <w:r w:rsidR="000E172E"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s next base rate proceeding.</w:t>
      </w:r>
    </w:p>
    <w:p w14:paraId="1F71FF66"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735FC19F" w14:textId="34690866" w:rsidR="006F11D4" w:rsidRPr="00F31FE4" w:rsidRDefault="006F11D4" w:rsidP="00C47563">
      <w:pPr>
        <w:numPr>
          <w:ilvl w:val="0"/>
          <w:numId w:val="31"/>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In regard to the large carryover of LIURP funding from 2020, the Company will canvas participating Community Based Organizations (“CBOs”) to determine if they have the capacity to do additional work and will increase the LIURP allocations of the affirmatively responding CBOs who are on track to meet their existing allocations.</w:t>
      </w:r>
    </w:p>
    <w:p w14:paraId="3C741336" w14:textId="77777777" w:rsidR="000E172E" w:rsidRPr="00F31FE4" w:rsidRDefault="000E172E"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3B93DB3C" w14:textId="2CBB437F" w:rsidR="006F11D4" w:rsidRPr="00F31FE4" w:rsidRDefault="006F11D4" w:rsidP="00C47563">
      <w:pPr>
        <w:numPr>
          <w:ilvl w:val="0"/>
          <w:numId w:val="31"/>
        </w:numPr>
        <w:tabs>
          <w:tab w:val="left" w:pos="144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 xml:space="preserve">Columbia will amend its tariff language, as set forth in Appendix “C”, to indicate that all </w:t>
      </w:r>
      <w:r w:rsidR="00172722"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confirmed low-income customers</w:t>
      </w:r>
      <w:r w:rsidR="00172722" w:rsidRPr="00F31FE4">
        <w:rPr>
          <w:rFonts w:ascii="Times New Roman" w:eastAsia="Times New Roman" w:hAnsi="Times New Roman" w:cs="Times New Roman"/>
          <w:color w:val="000000"/>
          <w:sz w:val="26"/>
          <w:szCs w:val="26"/>
        </w:rPr>
        <w:t>”</w:t>
      </w:r>
      <w:r w:rsidRPr="00F31FE4">
        <w:rPr>
          <w:rFonts w:ascii="Times New Roman" w:eastAsia="Times New Roman" w:hAnsi="Times New Roman" w:cs="Times New Roman"/>
          <w:color w:val="000000"/>
          <w:sz w:val="26"/>
          <w:szCs w:val="26"/>
        </w:rPr>
        <w:t xml:space="preserve"> as reported in the Commission's Universal Service Report with income at or below 150% FPL will not be charged a security deposit.</w:t>
      </w:r>
    </w:p>
    <w:p w14:paraId="324E6AFC"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056B0564" w14:textId="77777777" w:rsidR="006F11D4" w:rsidRPr="00F31FE4" w:rsidRDefault="006F11D4" w:rsidP="00C47563">
      <w:pPr>
        <w:numPr>
          <w:ilvl w:val="0"/>
          <w:numId w:val="31"/>
        </w:numPr>
        <w:tabs>
          <w:tab w:val="left" w:pos="144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Columbia agrees to refund all deposits being held for “confirmed low-income customers” as reported in the Commission’s Universal Service Report within 60 days.</w:t>
      </w:r>
    </w:p>
    <w:p w14:paraId="75BA7783"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0D87C08C" w14:textId="77777777" w:rsidR="006F11D4" w:rsidRPr="00F31FE4" w:rsidRDefault="006F11D4" w:rsidP="00C47563">
      <w:pPr>
        <w:numPr>
          <w:ilvl w:val="0"/>
          <w:numId w:val="31"/>
        </w:numPr>
        <w:tabs>
          <w:tab w:val="left" w:pos="151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Columbia will review currently held security deposits on a semi-annual basis and issue a bill credit or refund for any deposit previously collected from a confirmed low-income customer.</w:t>
      </w:r>
    </w:p>
    <w:p w14:paraId="2BF27A53" w14:textId="77777777" w:rsidR="006F11D4" w:rsidRPr="00F31FE4" w:rsidRDefault="006F11D4" w:rsidP="00C47563">
      <w:pPr>
        <w:tabs>
          <w:tab w:val="left" w:pos="1512"/>
        </w:tabs>
        <w:spacing w:after="0" w:line="240" w:lineRule="auto"/>
        <w:ind w:left="2160" w:right="1440"/>
        <w:textAlignment w:val="baseline"/>
        <w:rPr>
          <w:rFonts w:ascii="Times New Roman" w:eastAsia="Times New Roman" w:hAnsi="Times New Roman" w:cs="Times New Roman"/>
          <w:color w:val="000000"/>
          <w:sz w:val="26"/>
          <w:szCs w:val="26"/>
        </w:rPr>
      </w:pPr>
    </w:p>
    <w:p w14:paraId="104B963A"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r w:rsidRPr="00F31FE4">
        <w:rPr>
          <w:rFonts w:ascii="Times New Roman" w:eastAsia="Times New Roman" w:hAnsi="Times New Roman" w:cs="Times New Roman"/>
          <w:b/>
          <w:color w:val="000000"/>
          <w:sz w:val="26"/>
          <w:szCs w:val="26"/>
        </w:rPr>
        <w:t>D</w:t>
      </w:r>
      <w:r w:rsidRPr="00F31FE4">
        <w:rPr>
          <w:rFonts w:ascii="Times New Roman Bold" w:eastAsia="Times New Roman" w:hAnsi="Times New Roman Bold" w:cs="Times New Roman"/>
          <w:b/>
          <w:color w:val="000000"/>
          <w:sz w:val="26"/>
          <w:szCs w:val="26"/>
        </w:rPr>
        <w:t>.</w:t>
      </w:r>
      <w:r w:rsidRPr="00F31FE4">
        <w:rPr>
          <w:rFonts w:ascii="Times New Roman Bold" w:eastAsia="Times New Roman" w:hAnsi="Times New Roman Bold" w:cs="Times New Roman"/>
          <w:b/>
          <w:color w:val="000000"/>
          <w:sz w:val="26"/>
          <w:szCs w:val="26"/>
        </w:rPr>
        <w:tab/>
        <w:t>NATURAL GAS SUPPLIER ISSUE</w:t>
      </w:r>
    </w:p>
    <w:p w14:paraId="3ECEDAE7" w14:textId="77777777" w:rsidR="006F11D4" w:rsidRPr="00F31FE4" w:rsidRDefault="006F11D4" w:rsidP="00C47563">
      <w:pPr>
        <w:tabs>
          <w:tab w:val="left" w:pos="1512"/>
        </w:tabs>
        <w:spacing w:after="0" w:line="240" w:lineRule="auto"/>
        <w:ind w:left="1440" w:right="1440"/>
        <w:textAlignment w:val="baseline"/>
        <w:rPr>
          <w:rFonts w:ascii="Times New Roman" w:eastAsia="Times New Roman" w:hAnsi="Times New Roman" w:cs="Times New Roman"/>
          <w:b/>
          <w:color w:val="000000"/>
          <w:sz w:val="26"/>
          <w:szCs w:val="26"/>
        </w:rPr>
      </w:pPr>
    </w:p>
    <w:p w14:paraId="20B0B3BA" w14:textId="1E372504" w:rsidR="006F11D4" w:rsidRPr="00F31FE4" w:rsidRDefault="006F11D4" w:rsidP="00C47563">
      <w:pPr>
        <w:tabs>
          <w:tab w:val="left" w:pos="648"/>
          <w:tab w:val="left" w:pos="1440"/>
        </w:tabs>
        <w:spacing w:after="0" w:line="240" w:lineRule="auto"/>
        <w:ind w:left="1440" w:right="1440"/>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ab/>
        <w:t>46.</w:t>
      </w:r>
      <w:r w:rsidRPr="00F31FE4">
        <w:rPr>
          <w:rFonts w:ascii="Times New Roman" w:eastAsia="Times New Roman" w:hAnsi="Times New Roman" w:cs="Times New Roman"/>
          <w:color w:val="000000"/>
          <w:sz w:val="26"/>
          <w:szCs w:val="26"/>
        </w:rPr>
        <w:tab/>
        <w:t>If the Columbia Gas Transmission (“TCO”) rate case at Federal Energy Regulatory Commission Docket No. RP20-1060-000 materially changes shipper responsibilities on the pipe, i.e., daily balancing, Columbia agrees to convene a collaborative to take input on ways to address the changes in its tariff.</w:t>
      </w:r>
    </w:p>
    <w:p w14:paraId="4493CC3D" w14:textId="750F2C6E" w:rsidR="00F41531" w:rsidRPr="00F31FE4" w:rsidRDefault="00F41531" w:rsidP="00C47563">
      <w:pPr>
        <w:tabs>
          <w:tab w:val="left" w:pos="648"/>
          <w:tab w:val="left" w:pos="1440"/>
        </w:tabs>
        <w:spacing w:after="0" w:line="240" w:lineRule="auto"/>
        <w:ind w:left="1440" w:right="1440"/>
        <w:textAlignment w:val="baseline"/>
        <w:rPr>
          <w:rFonts w:ascii="Times New Roman" w:eastAsia="Times New Roman" w:hAnsi="Times New Roman" w:cs="Times New Roman"/>
          <w:color w:val="000000"/>
          <w:sz w:val="26"/>
          <w:szCs w:val="26"/>
        </w:rPr>
      </w:pPr>
    </w:p>
    <w:p w14:paraId="2A3113A7" w14:textId="11F04D3C" w:rsidR="006F11D4" w:rsidRPr="00F31FE4" w:rsidRDefault="006F11D4" w:rsidP="00C47563">
      <w:pPr>
        <w:spacing w:after="0" w:line="240" w:lineRule="auto"/>
        <w:ind w:left="1440" w:right="1440"/>
        <w:textAlignment w:val="baseline"/>
        <w:rPr>
          <w:rFonts w:ascii="Times New Roman" w:eastAsia="Times New Roman" w:hAnsi="Times New Roman" w:cs="Times New Roman"/>
          <w:b/>
          <w:color w:val="000000"/>
          <w:sz w:val="26"/>
          <w:szCs w:val="26"/>
        </w:rPr>
      </w:pPr>
      <w:r w:rsidRPr="00F31FE4">
        <w:rPr>
          <w:rFonts w:ascii="Times New Roman" w:eastAsia="Times New Roman" w:hAnsi="Times New Roman" w:cs="Times New Roman"/>
          <w:b/>
          <w:color w:val="000000"/>
          <w:sz w:val="26"/>
          <w:szCs w:val="26"/>
        </w:rPr>
        <w:t>E.</w:t>
      </w:r>
      <w:r w:rsidRPr="00F31FE4">
        <w:rPr>
          <w:rFonts w:ascii="Times New Roman Bold" w:eastAsia="Times New Roman" w:hAnsi="Times New Roman Bold" w:cs="Times New Roman"/>
          <w:b/>
          <w:color w:val="000000"/>
          <w:sz w:val="26"/>
          <w:szCs w:val="26"/>
        </w:rPr>
        <w:t xml:space="preserve"> </w:t>
      </w:r>
      <w:r w:rsidR="006651B6" w:rsidRPr="00F31FE4">
        <w:rPr>
          <w:rFonts w:ascii="Times New Roman Bold" w:eastAsia="Times New Roman" w:hAnsi="Times New Roman Bold" w:cs="Times New Roman"/>
          <w:b/>
          <w:color w:val="000000"/>
          <w:sz w:val="26"/>
          <w:szCs w:val="26"/>
        </w:rPr>
        <w:tab/>
      </w:r>
      <w:r w:rsidRPr="00F31FE4">
        <w:rPr>
          <w:rFonts w:ascii="Times New Roman Bold" w:eastAsia="Times New Roman" w:hAnsi="Times New Roman Bold" w:cs="Times New Roman"/>
          <w:b/>
          <w:color w:val="000000"/>
          <w:sz w:val="26"/>
          <w:szCs w:val="26"/>
        </w:rPr>
        <w:t>O</w:t>
      </w:r>
      <w:r w:rsidR="006651B6" w:rsidRPr="00F31FE4">
        <w:rPr>
          <w:rFonts w:ascii="Times New Roman Bold" w:eastAsia="Times New Roman" w:hAnsi="Times New Roman Bold" w:cs="Times New Roman"/>
          <w:b/>
          <w:color w:val="000000"/>
          <w:sz w:val="26"/>
          <w:szCs w:val="26"/>
        </w:rPr>
        <w:t>T</w:t>
      </w:r>
      <w:r w:rsidRPr="00F31FE4">
        <w:rPr>
          <w:rFonts w:ascii="Times New Roman Bold" w:eastAsia="Times New Roman" w:hAnsi="Times New Roman Bold" w:cs="Times New Roman"/>
          <w:b/>
          <w:color w:val="000000"/>
          <w:sz w:val="26"/>
          <w:szCs w:val="26"/>
        </w:rPr>
        <w:t>HER</w:t>
      </w:r>
    </w:p>
    <w:p w14:paraId="37CBC75C" w14:textId="77777777" w:rsidR="006F11D4" w:rsidRPr="00F31FE4" w:rsidRDefault="006F11D4" w:rsidP="00C47563">
      <w:pPr>
        <w:spacing w:after="0" w:line="240" w:lineRule="auto"/>
        <w:ind w:left="1440" w:right="1440"/>
        <w:textAlignment w:val="baseline"/>
        <w:rPr>
          <w:rFonts w:ascii="Times New Roman" w:eastAsia="Times New Roman" w:hAnsi="Times New Roman" w:cs="Times New Roman"/>
          <w:b/>
          <w:color w:val="000000"/>
          <w:sz w:val="26"/>
          <w:szCs w:val="26"/>
        </w:rPr>
      </w:pPr>
    </w:p>
    <w:p w14:paraId="1FABD829" w14:textId="77777777" w:rsidR="006F11D4" w:rsidRPr="00C47563" w:rsidRDefault="006F11D4" w:rsidP="00C47563">
      <w:pPr>
        <w:tabs>
          <w:tab w:val="left" w:pos="1512"/>
        </w:tabs>
        <w:spacing w:after="0" w:line="240" w:lineRule="auto"/>
        <w:ind w:left="1440" w:right="1440" w:firstLine="792"/>
        <w:textAlignment w:val="baseline"/>
        <w:rPr>
          <w:rFonts w:ascii="Times New Roman" w:eastAsia="Times New Roman" w:hAnsi="Times New Roman" w:cs="Times New Roman"/>
          <w:color w:val="000000"/>
          <w:sz w:val="26"/>
          <w:szCs w:val="26"/>
        </w:rPr>
      </w:pPr>
      <w:r w:rsidRPr="00F31FE4">
        <w:rPr>
          <w:rFonts w:ascii="Times New Roman" w:eastAsia="Times New Roman" w:hAnsi="Times New Roman" w:cs="Times New Roman"/>
          <w:color w:val="000000"/>
          <w:sz w:val="26"/>
          <w:szCs w:val="26"/>
        </w:rPr>
        <w:t>47.</w:t>
      </w:r>
      <w:r w:rsidRPr="00F31FE4">
        <w:rPr>
          <w:rFonts w:ascii="Times New Roman" w:eastAsia="Times New Roman" w:hAnsi="Times New Roman" w:cs="Times New Roman"/>
          <w:color w:val="000000"/>
          <w:sz w:val="26"/>
          <w:szCs w:val="26"/>
        </w:rPr>
        <w:tab/>
        <w:t>Except as otherwise modified by this Settlement, the</w:t>
      </w:r>
      <w:r w:rsidRPr="00C47563">
        <w:rPr>
          <w:rFonts w:ascii="Times New Roman" w:eastAsia="Times New Roman" w:hAnsi="Times New Roman" w:cs="Times New Roman"/>
          <w:color w:val="000000"/>
          <w:sz w:val="26"/>
          <w:szCs w:val="26"/>
        </w:rPr>
        <w:t xml:space="preserve"> Company’s proposed tariff changes are approved, as set forth in Appendix “C”.</w:t>
      </w:r>
    </w:p>
    <w:p w14:paraId="1E90582A" w14:textId="77777777" w:rsidR="006F11D4" w:rsidRPr="00C47563" w:rsidRDefault="006F11D4" w:rsidP="00C47563">
      <w:pPr>
        <w:tabs>
          <w:tab w:val="left" w:pos="1512"/>
        </w:tabs>
        <w:spacing w:after="0" w:line="240" w:lineRule="auto"/>
        <w:ind w:left="1440" w:right="1440" w:firstLine="792"/>
        <w:textAlignment w:val="baseline"/>
        <w:rPr>
          <w:rFonts w:ascii="Times New Roman" w:eastAsia="Times New Roman" w:hAnsi="Times New Roman" w:cs="Times New Roman"/>
          <w:color w:val="000000"/>
          <w:sz w:val="26"/>
          <w:szCs w:val="26"/>
        </w:rPr>
      </w:pPr>
    </w:p>
    <w:p w14:paraId="229310BC" w14:textId="77777777" w:rsidR="006F11D4" w:rsidRPr="00C47563" w:rsidRDefault="006F11D4" w:rsidP="00C47563">
      <w:pPr>
        <w:keepNext/>
        <w:tabs>
          <w:tab w:val="left" w:pos="1512"/>
        </w:tabs>
        <w:spacing w:after="0" w:line="240" w:lineRule="auto"/>
        <w:ind w:left="1440" w:right="1440"/>
        <w:textAlignment w:val="baseline"/>
        <w:rPr>
          <w:rFonts w:ascii="Times New Roman" w:eastAsia="Times New Roman" w:hAnsi="Times New Roman" w:cs="Times New Roman"/>
          <w:b/>
          <w:color w:val="000000"/>
          <w:spacing w:val="4"/>
          <w:sz w:val="26"/>
          <w:szCs w:val="26"/>
        </w:rPr>
      </w:pPr>
      <w:r w:rsidRPr="00C47563">
        <w:rPr>
          <w:rFonts w:ascii="Times New Roman" w:eastAsia="Times New Roman" w:hAnsi="Times New Roman" w:cs="Times New Roman"/>
          <w:b/>
          <w:color w:val="000000"/>
          <w:spacing w:val="4"/>
          <w:sz w:val="26"/>
          <w:szCs w:val="26"/>
        </w:rPr>
        <w:t>F.</w:t>
      </w:r>
      <w:r w:rsidRPr="00C47563">
        <w:rPr>
          <w:rFonts w:ascii="Times New Roman" w:eastAsia="Times New Roman" w:hAnsi="Times New Roman" w:cs="Times New Roman"/>
          <w:b/>
          <w:color w:val="000000"/>
          <w:spacing w:val="4"/>
          <w:sz w:val="26"/>
          <w:szCs w:val="26"/>
        </w:rPr>
        <w:tab/>
        <w:t>RESERVED ISSUES FOR LITIGATION</w:t>
      </w:r>
    </w:p>
    <w:p w14:paraId="7EF5CF17" w14:textId="77777777" w:rsidR="006F11D4" w:rsidRPr="00C47563" w:rsidRDefault="006F11D4" w:rsidP="00C47563">
      <w:pPr>
        <w:keepNext/>
        <w:tabs>
          <w:tab w:val="left" w:pos="1512"/>
        </w:tabs>
        <w:spacing w:after="0" w:line="240" w:lineRule="auto"/>
        <w:ind w:left="1440" w:right="1440"/>
        <w:textAlignment w:val="baseline"/>
        <w:rPr>
          <w:rFonts w:ascii="Times New Roman" w:eastAsia="Times New Roman" w:hAnsi="Times New Roman" w:cs="Times New Roman"/>
          <w:b/>
          <w:color w:val="000000"/>
          <w:spacing w:val="4"/>
          <w:sz w:val="26"/>
          <w:szCs w:val="26"/>
        </w:rPr>
      </w:pPr>
    </w:p>
    <w:p w14:paraId="37169A8B" w14:textId="77777777" w:rsidR="006F11D4" w:rsidRPr="00C47563" w:rsidRDefault="006F11D4" w:rsidP="00C47563">
      <w:pPr>
        <w:keepNext/>
        <w:tabs>
          <w:tab w:val="left" w:pos="1512"/>
        </w:tabs>
        <w:spacing w:after="0" w:line="240" w:lineRule="auto"/>
        <w:ind w:left="1440" w:right="1440" w:firstLine="792"/>
        <w:textAlignment w:val="baseline"/>
        <w:rPr>
          <w:rFonts w:ascii="Times New Roman" w:eastAsia="Times New Roman" w:hAnsi="Times New Roman" w:cs="Times New Roman"/>
          <w:color w:val="000000"/>
          <w:sz w:val="26"/>
          <w:szCs w:val="26"/>
        </w:rPr>
      </w:pPr>
      <w:r w:rsidRPr="00C47563">
        <w:rPr>
          <w:rFonts w:ascii="Times New Roman" w:eastAsia="Times New Roman" w:hAnsi="Times New Roman" w:cs="Times New Roman"/>
          <w:color w:val="000000"/>
          <w:sz w:val="26"/>
          <w:szCs w:val="26"/>
        </w:rPr>
        <w:t>48.</w:t>
      </w:r>
      <w:r w:rsidRPr="00C47563">
        <w:rPr>
          <w:rFonts w:ascii="Times New Roman" w:eastAsia="Times New Roman" w:hAnsi="Times New Roman" w:cs="Times New Roman"/>
          <w:color w:val="000000"/>
          <w:sz w:val="26"/>
          <w:szCs w:val="26"/>
        </w:rPr>
        <w:tab/>
        <w:t>The issues raised by Richard C. Culbertson, an individual complainant in this proceeding, are reserved for litigation.</w:t>
      </w:r>
    </w:p>
    <w:p w14:paraId="7933A3A1" w14:textId="77777777" w:rsidR="006F11D4" w:rsidRPr="00C47563" w:rsidRDefault="006F11D4" w:rsidP="00172722">
      <w:pPr>
        <w:keepNext/>
        <w:spacing w:after="0" w:line="360" w:lineRule="auto"/>
        <w:rPr>
          <w:rFonts w:ascii="Times New Roman" w:hAnsi="Times New Roman" w:cs="Times New Roman"/>
          <w:sz w:val="26"/>
          <w:szCs w:val="26"/>
        </w:rPr>
      </w:pPr>
    </w:p>
    <w:p w14:paraId="498DB597" w14:textId="77777777" w:rsidR="002D4372" w:rsidRPr="00C47563" w:rsidRDefault="002D4372" w:rsidP="00172722">
      <w:pPr>
        <w:keepNext/>
        <w:spacing w:after="0" w:line="360" w:lineRule="auto"/>
        <w:contextualSpacing/>
        <w:rPr>
          <w:rFonts w:ascii="Times New Roman" w:hAnsi="Times New Roman" w:cs="Times New Roman"/>
          <w:sz w:val="26"/>
          <w:szCs w:val="26"/>
        </w:rPr>
      </w:pPr>
      <w:r w:rsidRPr="00C47563">
        <w:rPr>
          <w:rFonts w:ascii="Times New Roman" w:hAnsi="Times New Roman" w:cs="Times New Roman"/>
          <w:sz w:val="26"/>
          <w:szCs w:val="26"/>
        </w:rPr>
        <w:t>Joint Petition at 5-12.</w:t>
      </w:r>
    </w:p>
    <w:p w14:paraId="5C7C3699" w14:textId="77777777" w:rsidR="002D4372" w:rsidRPr="00C47563" w:rsidRDefault="002D4372" w:rsidP="00172722">
      <w:pPr>
        <w:spacing w:after="0" w:line="360" w:lineRule="auto"/>
        <w:contextualSpacing/>
        <w:rPr>
          <w:rFonts w:ascii="Times New Roman" w:hAnsi="Times New Roman" w:cs="Times New Roman"/>
          <w:sz w:val="26"/>
          <w:szCs w:val="26"/>
        </w:rPr>
      </w:pPr>
    </w:p>
    <w:p w14:paraId="06CA8D56" w14:textId="77777777" w:rsidR="00C04897" w:rsidRPr="00C47563" w:rsidRDefault="002D4372" w:rsidP="00172722">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 xml:space="preserve">In addition to the specific terms to which the Joint Petitioners have agreed, the Settlement contains other general terms and conditions typically found in settlements submitted to the Commission.  Specifically, the Joint Petitioners agreed that the Settlement is conditioned upon the Commission’s approval of all the terms and conditions contained therein without modification.  Joint Petition </w:t>
      </w:r>
      <w:r w:rsidR="00E0141A" w:rsidRPr="00C47563">
        <w:rPr>
          <w:rFonts w:ascii="Times New Roman" w:hAnsi="Times New Roman" w:cs="Times New Roman"/>
          <w:sz w:val="26"/>
          <w:szCs w:val="26"/>
        </w:rPr>
        <w:t xml:space="preserve">at </w:t>
      </w:r>
      <w:r w:rsidRPr="00C47563">
        <w:rPr>
          <w:rFonts w:ascii="Times New Roman" w:hAnsi="Times New Roman" w:cs="Times New Roman"/>
          <w:sz w:val="26"/>
          <w:szCs w:val="26"/>
        </w:rPr>
        <w:t xml:space="preserve">¶ 52.  The Joint Petition establishes the procedure by which any of the Joint Petitioners may withdraw from the Settlement and proceed to litigate this case if the Commission should act to modify or reject the Settlement, and, in such event, the Settlement shall be null and void.  </w:t>
      </w:r>
      <w:r w:rsidRPr="00C47563">
        <w:rPr>
          <w:rFonts w:ascii="Times New Roman" w:hAnsi="Times New Roman" w:cs="Times New Roman"/>
          <w:i/>
          <w:iCs/>
          <w:sz w:val="26"/>
          <w:szCs w:val="26"/>
        </w:rPr>
        <w:t>Id</w:t>
      </w:r>
      <w:r w:rsidRPr="00C47563">
        <w:rPr>
          <w:rFonts w:ascii="Times New Roman" w:hAnsi="Times New Roman" w:cs="Times New Roman"/>
          <w:sz w:val="26"/>
          <w:szCs w:val="26"/>
        </w:rPr>
        <w:t xml:space="preserve">.  In addition, the Joint Petitioners asserted that although the Settlement is proffered to settle the instant case, it may not be cited as precedent in any future proceeding, except to the extent required to implement any term in the Settlement.  </w:t>
      </w:r>
      <w:r w:rsidRPr="00C47563">
        <w:rPr>
          <w:rFonts w:ascii="Times New Roman" w:hAnsi="Times New Roman" w:cs="Times New Roman"/>
          <w:i/>
          <w:iCs/>
          <w:sz w:val="26"/>
          <w:szCs w:val="26"/>
        </w:rPr>
        <w:t>Id.</w:t>
      </w:r>
      <w:r w:rsidRPr="00C47563">
        <w:rPr>
          <w:rFonts w:ascii="Times New Roman" w:hAnsi="Times New Roman" w:cs="Times New Roman"/>
          <w:sz w:val="26"/>
          <w:szCs w:val="26"/>
        </w:rPr>
        <w:t xml:space="preserve"> </w:t>
      </w:r>
      <w:r w:rsidR="00E0141A" w:rsidRPr="00C47563">
        <w:rPr>
          <w:rFonts w:ascii="Times New Roman" w:hAnsi="Times New Roman" w:cs="Times New Roman"/>
          <w:sz w:val="26"/>
          <w:szCs w:val="26"/>
        </w:rPr>
        <w:t xml:space="preserve">at </w:t>
      </w:r>
      <w:r w:rsidRPr="00C47563">
        <w:rPr>
          <w:rFonts w:ascii="Times New Roman" w:hAnsi="Times New Roman" w:cs="Times New Roman"/>
          <w:sz w:val="26"/>
          <w:szCs w:val="26"/>
        </w:rPr>
        <w:t xml:space="preserve">¶ 54.  Additionally, the Joint Petitioners submitted that the Settlement is the result of compromise and is presented without prejudice to any position which any of the Joint Petitioners might adopt in any subsequent litigation of this proceeding or in future proceedings.  </w:t>
      </w:r>
      <w:r w:rsidRPr="00C47563">
        <w:rPr>
          <w:rFonts w:ascii="Times New Roman" w:hAnsi="Times New Roman" w:cs="Times New Roman"/>
          <w:i/>
          <w:iCs/>
          <w:sz w:val="26"/>
          <w:szCs w:val="26"/>
        </w:rPr>
        <w:t>Id.</w:t>
      </w:r>
      <w:r w:rsidRPr="00C47563">
        <w:rPr>
          <w:rFonts w:ascii="Times New Roman" w:hAnsi="Times New Roman" w:cs="Times New Roman"/>
          <w:sz w:val="26"/>
          <w:szCs w:val="26"/>
        </w:rPr>
        <w:t xml:space="preserve"> </w:t>
      </w:r>
      <w:r w:rsidR="00E0141A" w:rsidRPr="00C47563">
        <w:rPr>
          <w:rFonts w:ascii="Times New Roman" w:hAnsi="Times New Roman" w:cs="Times New Roman"/>
          <w:sz w:val="26"/>
          <w:szCs w:val="26"/>
        </w:rPr>
        <w:t xml:space="preserve">at </w:t>
      </w:r>
    </w:p>
    <w:p w14:paraId="24477622" w14:textId="3B6E0535" w:rsidR="002D4372" w:rsidRPr="00C47563" w:rsidRDefault="002D4372" w:rsidP="00FC1F30">
      <w:pPr>
        <w:spacing w:after="0" w:line="360" w:lineRule="auto"/>
        <w:contextualSpacing/>
        <w:rPr>
          <w:rFonts w:ascii="Times New Roman" w:hAnsi="Times New Roman" w:cs="Times New Roman"/>
          <w:sz w:val="26"/>
          <w:szCs w:val="26"/>
        </w:rPr>
      </w:pPr>
      <w:r w:rsidRPr="00C47563">
        <w:rPr>
          <w:rFonts w:ascii="Times New Roman" w:hAnsi="Times New Roman" w:cs="Times New Roman"/>
          <w:sz w:val="26"/>
          <w:szCs w:val="26"/>
        </w:rPr>
        <w:t xml:space="preserve">¶¶ 56-57.  Moreover, the Joint Petitioners waived their right to file Exceptions in this case if the ALJ recommended that the Commission adopt the Settlement without modification.  </w:t>
      </w:r>
      <w:r w:rsidRPr="00C47563">
        <w:rPr>
          <w:rFonts w:ascii="Times New Roman" w:hAnsi="Times New Roman" w:cs="Times New Roman"/>
          <w:i/>
          <w:iCs/>
          <w:sz w:val="26"/>
          <w:szCs w:val="26"/>
        </w:rPr>
        <w:t>Id</w:t>
      </w:r>
      <w:r w:rsidRPr="00C47563">
        <w:rPr>
          <w:rFonts w:ascii="Times New Roman" w:hAnsi="Times New Roman" w:cs="Times New Roman"/>
          <w:sz w:val="26"/>
          <w:szCs w:val="26"/>
        </w:rPr>
        <w:t xml:space="preserve">. </w:t>
      </w:r>
      <w:r w:rsidR="00E0141A" w:rsidRPr="00C47563">
        <w:rPr>
          <w:rFonts w:ascii="Times New Roman" w:hAnsi="Times New Roman" w:cs="Times New Roman"/>
          <w:sz w:val="26"/>
          <w:szCs w:val="26"/>
        </w:rPr>
        <w:t xml:space="preserve">at </w:t>
      </w:r>
      <w:r w:rsidRPr="00C47563">
        <w:rPr>
          <w:rFonts w:ascii="Times New Roman" w:hAnsi="Times New Roman" w:cs="Times New Roman"/>
          <w:sz w:val="26"/>
          <w:szCs w:val="26"/>
        </w:rPr>
        <w:t xml:space="preserve">¶ 59.  However, the Joint Petitioners expressly submitted that they retain their rights to file briefs, exceptions, and replies to exceptions with respect to any issues raised by Mr. Culbertson that are reserved for litigation.  </w:t>
      </w:r>
      <w:r w:rsidRPr="00C47563">
        <w:rPr>
          <w:rFonts w:ascii="Times New Roman" w:hAnsi="Times New Roman" w:cs="Times New Roman"/>
          <w:i/>
          <w:iCs/>
          <w:sz w:val="26"/>
          <w:szCs w:val="26"/>
        </w:rPr>
        <w:t xml:space="preserve">Id. </w:t>
      </w:r>
      <w:r w:rsidRPr="00C47563">
        <w:rPr>
          <w:rFonts w:ascii="Times New Roman" w:hAnsi="Times New Roman" w:cs="Times New Roman"/>
          <w:sz w:val="26"/>
          <w:szCs w:val="26"/>
        </w:rPr>
        <w:t xml:space="preserve"> </w:t>
      </w:r>
    </w:p>
    <w:p w14:paraId="648BB511" w14:textId="77777777" w:rsidR="002D4372" w:rsidRPr="00C47563" w:rsidRDefault="002D4372" w:rsidP="00FC1F30">
      <w:pPr>
        <w:spacing w:after="0" w:line="360" w:lineRule="auto"/>
        <w:ind w:firstLine="1440"/>
        <w:contextualSpacing/>
        <w:rPr>
          <w:rFonts w:ascii="Times New Roman" w:hAnsi="Times New Roman" w:cs="Times New Roman"/>
          <w:sz w:val="26"/>
          <w:szCs w:val="26"/>
        </w:rPr>
      </w:pPr>
    </w:p>
    <w:p w14:paraId="4737B621" w14:textId="610009CF" w:rsidR="00B43A4E" w:rsidRPr="00C47563" w:rsidRDefault="00B43A4E" w:rsidP="00FC1F30">
      <w:pPr>
        <w:pStyle w:val="Heading3"/>
        <w:spacing w:line="360" w:lineRule="auto"/>
      </w:pPr>
      <w:bookmarkStart w:id="13" w:name="_Toc89253059"/>
      <w:r w:rsidRPr="00C47563">
        <w:t>2.</w:t>
      </w:r>
      <w:r w:rsidRPr="00C47563">
        <w:tab/>
        <w:t>Statements in Support</w:t>
      </w:r>
      <w:r w:rsidR="007B042C" w:rsidRPr="00C47563">
        <w:t xml:space="preserve"> of the Settlement</w:t>
      </w:r>
      <w:bookmarkEnd w:id="13"/>
    </w:p>
    <w:p w14:paraId="3F52E136" w14:textId="77777777" w:rsidR="00B43A4E" w:rsidRPr="00C47563" w:rsidRDefault="00B43A4E" w:rsidP="00FC1F30">
      <w:pPr>
        <w:keepNext/>
        <w:keepLines/>
        <w:spacing w:after="0" w:line="360" w:lineRule="auto"/>
        <w:contextualSpacing/>
        <w:rPr>
          <w:rFonts w:ascii="Times New Roman" w:hAnsi="Times New Roman" w:cs="Times New Roman"/>
          <w:sz w:val="26"/>
          <w:szCs w:val="26"/>
        </w:rPr>
      </w:pPr>
    </w:p>
    <w:p w14:paraId="0636FA3A" w14:textId="77777777" w:rsidR="007C105D" w:rsidRPr="00C47563" w:rsidRDefault="007C105D" w:rsidP="00FC1F30">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As previously mentioned, each of the nine Joint Petitioners filed individual Statements in Support of the Settlement.  The Joint Petitioners submitted that the Settlement is in the best interest of the Company and its customers, that the Settlement is in the public interest, and that the Settlement should be approved without modification.  </w:t>
      </w:r>
    </w:p>
    <w:p w14:paraId="062A337B" w14:textId="77777777" w:rsidR="007C105D" w:rsidRPr="00C47563" w:rsidRDefault="007C105D" w:rsidP="00C47563">
      <w:pPr>
        <w:spacing w:after="0" w:line="360" w:lineRule="auto"/>
        <w:ind w:firstLine="1440"/>
        <w:rPr>
          <w:rFonts w:ascii="Times New Roman" w:hAnsi="Times New Roman" w:cs="Times New Roman"/>
          <w:sz w:val="26"/>
          <w:szCs w:val="26"/>
        </w:rPr>
      </w:pPr>
    </w:p>
    <w:p w14:paraId="1C059B55" w14:textId="77777777" w:rsidR="007C105D" w:rsidRPr="00C47563" w:rsidRDefault="007C105D"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In its Statement in Support, Columbia stated that an extensive investigation of its filing was conducted, which included, in addition to informal discovery, Columbia responding to over 800 formal discovery requests, submission of multiple rounds of testimony by the Parties and accompanying exhibits, and extensive negotiations among the Joint Petitioners.  Columbia Statement in Support at 2.  Columbia claimed that because the Settlement was achieved among parties representing a wide array of stakeholder interests and having extensive experience in rate cases, the Settlement reflects a carefully balanced compromise of the interests of all the Joint Petitioners and, therefore, represents a reasonable resolution of all outstanding issues in this proceeding and is in the public interest.  Columbia Statement in Support at 2-3.  </w:t>
      </w:r>
    </w:p>
    <w:p w14:paraId="1E24D570" w14:textId="77777777" w:rsidR="007C105D" w:rsidRPr="00C47563" w:rsidRDefault="007C105D" w:rsidP="00C47563">
      <w:pPr>
        <w:spacing w:after="0" w:line="360" w:lineRule="auto"/>
        <w:ind w:firstLine="1440"/>
        <w:rPr>
          <w:rFonts w:ascii="Times New Roman" w:hAnsi="Times New Roman" w:cs="Times New Roman"/>
          <w:sz w:val="26"/>
          <w:szCs w:val="26"/>
        </w:rPr>
      </w:pPr>
    </w:p>
    <w:p w14:paraId="061CEBA1" w14:textId="52C75A64" w:rsidR="007C105D" w:rsidRDefault="007C105D"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In its Statement in Support, I&amp;E stated that the rate increase of $58.5 million allowed in the Settlement is $39.8 million less than the $98.3 million initially requested by Columbia, or about a 40% reduction.  I&amp;E only agreed to this amount after I&amp;E conducted an extensive investigation of Columbia’s filing and related information obtained through the formal and informal discovery process, including several public input hearings, and after I&amp;E participated in numerous settlement conferences, to determine the amount of revenue Columbia needs to provide safe, effective, and reliable service to its customers.  I&amp;E Statement in Support at 1-2, 5-6.  </w:t>
      </w:r>
    </w:p>
    <w:p w14:paraId="44E382D9" w14:textId="77777777" w:rsidR="00C47563" w:rsidRPr="00C47563" w:rsidRDefault="00C47563" w:rsidP="00C47563">
      <w:pPr>
        <w:spacing w:after="0" w:line="360" w:lineRule="auto"/>
        <w:ind w:firstLine="1440"/>
        <w:rPr>
          <w:rFonts w:ascii="Times New Roman" w:hAnsi="Times New Roman" w:cs="Times New Roman"/>
          <w:sz w:val="26"/>
          <w:szCs w:val="26"/>
        </w:rPr>
      </w:pPr>
    </w:p>
    <w:p w14:paraId="693209BF" w14:textId="77777777" w:rsidR="007C105D" w:rsidRPr="00C47563" w:rsidRDefault="007C105D"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In its Statement in Support, the OCA stressed the careful balance of the compromise reached.  Specifically, with regard to the Revenue Requirement, the OCA emphasized that </w:t>
      </w:r>
      <w:r w:rsidRPr="00C47563">
        <w:rPr>
          <w:rFonts w:ascii="Times New Roman" w:hAnsi="Times New Roman" w:cs="Times New Roman"/>
          <w:color w:val="000000"/>
          <w:sz w:val="26"/>
          <w:szCs w:val="26"/>
        </w:rPr>
        <w:t xml:space="preserve">the Settlement represents a “black box” approach to all individual revenue requirement issues.  </w:t>
      </w:r>
      <w:r w:rsidRPr="00C47563">
        <w:rPr>
          <w:rFonts w:ascii="Times New Roman" w:hAnsi="Times New Roman" w:cs="Times New Roman"/>
          <w:sz w:val="26"/>
          <w:szCs w:val="26"/>
        </w:rPr>
        <w:t>OCA Statement in Support at 6.</w:t>
      </w:r>
      <w:r w:rsidRPr="00C47563">
        <w:rPr>
          <w:rFonts w:ascii="Times New Roman" w:hAnsi="Times New Roman" w:cs="Times New Roman"/>
          <w:color w:val="000000"/>
          <w:sz w:val="26"/>
          <w:szCs w:val="26"/>
        </w:rPr>
        <w:t xml:space="preserve">  The OCA asserted that black box settlements avoid protracted litigation over the merits of individual revenue adjustments and allow the various stakeholders with diverse interests to reach a consensus that otherwise would not be possible if each individual revenue adjustment had to be agreed upon separately by all the parties.  </w:t>
      </w:r>
      <w:r w:rsidRPr="00C47563">
        <w:rPr>
          <w:rFonts w:ascii="Times New Roman" w:hAnsi="Times New Roman" w:cs="Times New Roman"/>
          <w:i/>
          <w:iCs/>
          <w:color w:val="000000"/>
          <w:sz w:val="26"/>
          <w:szCs w:val="26"/>
        </w:rPr>
        <w:t xml:space="preserve">Id.  </w:t>
      </w:r>
      <w:r w:rsidRPr="00C47563">
        <w:rPr>
          <w:rFonts w:ascii="Times New Roman" w:hAnsi="Times New Roman" w:cs="Times New Roman"/>
          <w:color w:val="000000"/>
          <w:sz w:val="26"/>
          <w:szCs w:val="26"/>
        </w:rPr>
        <w:t xml:space="preserve">Additionally, based on the OCA’s analysis of the Company’s filing, the proposed revenue increase under the Settlement represents an amount which, in the OCA’s view, would be within the range of likely outcomes in the event of full litigation of the case.  </w:t>
      </w:r>
      <w:r w:rsidRPr="00C47563">
        <w:rPr>
          <w:rFonts w:ascii="Times New Roman" w:hAnsi="Times New Roman" w:cs="Times New Roman"/>
          <w:i/>
          <w:iCs/>
          <w:color w:val="000000"/>
          <w:sz w:val="26"/>
          <w:szCs w:val="26"/>
        </w:rPr>
        <w:t xml:space="preserve">Id. </w:t>
      </w:r>
      <w:r w:rsidRPr="00C47563">
        <w:rPr>
          <w:rFonts w:ascii="Times New Roman" w:hAnsi="Times New Roman" w:cs="Times New Roman"/>
          <w:color w:val="000000"/>
          <w:sz w:val="26"/>
          <w:szCs w:val="26"/>
        </w:rPr>
        <w:t xml:space="preserve">at 3, 6.  The OCA asserted that the rate increase is reasonable and yields a result that is in the public interest while providing adequate funding to allow Columbia to continue to provide safe, adequate, and reliable service.  </w:t>
      </w:r>
      <w:r w:rsidRPr="00C47563">
        <w:rPr>
          <w:rFonts w:ascii="Times New Roman" w:hAnsi="Times New Roman" w:cs="Times New Roman"/>
          <w:i/>
          <w:iCs/>
          <w:color w:val="000000"/>
          <w:sz w:val="26"/>
          <w:szCs w:val="26"/>
        </w:rPr>
        <w:t>Id.</w:t>
      </w:r>
      <w:r w:rsidRPr="00C47563">
        <w:rPr>
          <w:rFonts w:ascii="Times New Roman" w:hAnsi="Times New Roman" w:cs="Times New Roman"/>
          <w:color w:val="000000"/>
          <w:sz w:val="26"/>
          <w:szCs w:val="26"/>
        </w:rPr>
        <w:t xml:space="preserve"> at 3-4.  Finally, the OCA also noted that Columbia will discontinue the deferral of COVID-19 related Uncollectible Accounts Expense, which is in the public interest and further supports approval of the Settlement.  </w:t>
      </w:r>
      <w:r w:rsidRPr="00C47563">
        <w:rPr>
          <w:rFonts w:ascii="Times New Roman" w:hAnsi="Times New Roman" w:cs="Times New Roman"/>
          <w:i/>
          <w:iCs/>
          <w:color w:val="000000"/>
          <w:sz w:val="26"/>
          <w:szCs w:val="26"/>
        </w:rPr>
        <w:t xml:space="preserve">Id. </w:t>
      </w:r>
      <w:r w:rsidRPr="00C47563">
        <w:rPr>
          <w:rFonts w:ascii="Times New Roman" w:hAnsi="Times New Roman" w:cs="Times New Roman"/>
          <w:color w:val="000000"/>
          <w:sz w:val="26"/>
          <w:szCs w:val="26"/>
        </w:rPr>
        <w:t>at 8.</w:t>
      </w:r>
    </w:p>
    <w:p w14:paraId="3FACD48E" w14:textId="77777777" w:rsidR="007C105D" w:rsidRPr="00C47563" w:rsidRDefault="007C105D" w:rsidP="00C47563">
      <w:pPr>
        <w:spacing w:after="0" w:line="360" w:lineRule="auto"/>
        <w:rPr>
          <w:rFonts w:ascii="Times New Roman" w:hAnsi="Times New Roman" w:cs="Times New Roman"/>
          <w:sz w:val="26"/>
          <w:szCs w:val="26"/>
        </w:rPr>
      </w:pPr>
    </w:p>
    <w:p w14:paraId="64632233" w14:textId="77777777" w:rsidR="007C105D" w:rsidRPr="00C47563" w:rsidRDefault="007C105D" w:rsidP="00352FE6">
      <w:pPr>
        <w:keepNext/>
        <w:keepLines/>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In his Recommended Decision, the ALJ provided an extensive summary of the various positions of the Parties outlined in their Statements in Support and that discussion will not be repeated here.  For a detailed summary of each Party’s position on the settled issues, please refer to the ALJ’s Recommended Decision at pages 13 through 58.</w:t>
      </w:r>
    </w:p>
    <w:p w14:paraId="47D9262B" w14:textId="77777777" w:rsidR="0008677E" w:rsidRPr="00C47563" w:rsidRDefault="0008677E" w:rsidP="00352FE6">
      <w:pPr>
        <w:spacing w:after="0" w:line="360" w:lineRule="auto"/>
        <w:ind w:firstLine="720"/>
        <w:contextualSpacing/>
        <w:rPr>
          <w:rFonts w:ascii="Times New Roman" w:hAnsi="Times New Roman" w:cs="Times New Roman"/>
          <w:b/>
          <w:bCs/>
          <w:sz w:val="26"/>
          <w:szCs w:val="26"/>
        </w:rPr>
      </w:pPr>
    </w:p>
    <w:p w14:paraId="52CEE4B7" w14:textId="05D9F233" w:rsidR="00B43A4E" w:rsidRPr="00C47563" w:rsidRDefault="00BC0480" w:rsidP="00352FE6">
      <w:pPr>
        <w:pStyle w:val="Heading3"/>
        <w:spacing w:line="360" w:lineRule="auto"/>
      </w:pPr>
      <w:bookmarkStart w:id="14" w:name="_Toc89253060"/>
      <w:r w:rsidRPr="00C47563">
        <w:t>3</w:t>
      </w:r>
      <w:r w:rsidR="00B43A4E" w:rsidRPr="00C47563">
        <w:t>.</w:t>
      </w:r>
      <w:r w:rsidR="00B43A4E" w:rsidRPr="00C47563">
        <w:tab/>
        <w:t>ALJ’</w:t>
      </w:r>
      <w:r w:rsidR="0051183F" w:rsidRPr="00C47563">
        <w:t>s</w:t>
      </w:r>
      <w:r w:rsidR="00B43A4E" w:rsidRPr="00C47563">
        <w:t xml:space="preserve"> Recommendation</w:t>
      </w:r>
      <w:bookmarkEnd w:id="14"/>
    </w:p>
    <w:p w14:paraId="66292E19" w14:textId="7450637C" w:rsidR="00EB792F" w:rsidRPr="00C47563" w:rsidRDefault="00EB792F" w:rsidP="00352FE6">
      <w:pPr>
        <w:keepNext/>
        <w:keepLines/>
        <w:spacing w:after="0" w:line="360" w:lineRule="auto"/>
        <w:contextualSpacing/>
        <w:rPr>
          <w:rFonts w:ascii="Times New Roman" w:hAnsi="Times New Roman" w:cs="Times New Roman"/>
          <w:sz w:val="26"/>
          <w:szCs w:val="26"/>
        </w:rPr>
      </w:pPr>
    </w:p>
    <w:p w14:paraId="78C350DF" w14:textId="74AD13BC" w:rsidR="001E73FA" w:rsidRPr="00C47563" w:rsidRDefault="00511E1E" w:rsidP="00352FE6">
      <w:pPr>
        <w:tabs>
          <w:tab w:val="center" w:pos="1440"/>
          <w:tab w:val="center" w:pos="5064"/>
        </w:tabs>
        <w:spacing w:after="0" w:line="360" w:lineRule="auto"/>
        <w:rPr>
          <w:rFonts w:ascii="Times New Roman" w:hAnsi="Times New Roman" w:cs="Times New Roman"/>
          <w:sz w:val="26"/>
          <w:szCs w:val="26"/>
        </w:rPr>
      </w:pPr>
      <w:r w:rsidRPr="00C47563">
        <w:rPr>
          <w:rFonts w:ascii="Times New Roman" w:hAnsi="Times New Roman" w:cs="Times New Roman"/>
          <w:sz w:val="26"/>
          <w:szCs w:val="26"/>
        </w:rPr>
        <w:tab/>
      </w:r>
      <w:r w:rsidR="00624375" w:rsidRPr="00C47563">
        <w:rPr>
          <w:rFonts w:ascii="Times New Roman" w:hAnsi="Times New Roman" w:cs="Times New Roman"/>
          <w:sz w:val="26"/>
          <w:szCs w:val="26"/>
        </w:rPr>
        <w:tab/>
      </w:r>
      <w:r w:rsidR="00196568" w:rsidRPr="00C47563">
        <w:rPr>
          <w:rFonts w:ascii="Times New Roman" w:hAnsi="Times New Roman" w:cs="Times New Roman"/>
          <w:sz w:val="26"/>
          <w:szCs w:val="26"/>
        </w:rPr>
        <w:t>The ALJ approved the Joint Petition, finding that it is in the public interest</w:t>
      </w:r>
      <w:r w:rsidR="00AB6F5C" w:rsidRPr="00C47563">
        <w:rPr>
          <w:rFonts w:ascii="Times New Roman" w:hAnsi="Times New Roman" w:cs="Times New Roman"/>
          <w:sz w:val="26"/>
          <w:szCs w:val="26"/>
        </w:rPr>
        <w:t>,</w:t>
      </w:r>
      <w:r w:rsidR="00196568" w:rsidRPr="00C47563">
        <w:rPr>
          <w:rFonts w:ascii="Times New Roman" w:hAnsi="Times New Roman" w:cs="Times New Roman"/>
          <w:sz w:val="26"/>
          <w:szCs w:val="26"/>
        </w:rPr>
        <w:t xml:space="preserve"> con</w:t>
      </w:r>
      <w:r w:rsidR="00AB6F5C" w:rsidRPr="00C47563">
        <w:rPr>
          <w:rFonts w:ascii="Times New Roman" w:hAnsi="Times New Roman" w:cs="Times New Roman"/>
          <w:sz w:val="26"/>
          <w:szCs w:val="26"/>
        </w:rPr>
        <w:t xml:space="preserve">sistent with the Code, and </w:t>
      </w:r>
      <w:r w:rsidR="004E4A84" w:rsidRPr="00C47563">
        <w:rPr>
          <w:rFonts w:ascii="Times New Roman" w:hAnsi="Times New Roman" w:cs="Times New Roman"/>
          <w:sz w:val="26"/>
          <w:szCs w:val="26"/>
        </w:rPr>
        <w:t xml:space="preserve">is </w:t>
      </w:r>
      <w:r w:rsidR="00AB6F5C" w:rsidRPr="00C47563">
        <w:rPr>
          <w:rFonts w:ascii="Times New Roman" w:hAnsi="Times New Roman" w:cs="Times New Roman"/>
          <w:sz w:val="26"/>
          <w:szCs w:val="26"/>
        </w:rPr>
        <w:t xml:space="preserve">supported by substantial evidence.  </w:t>
      </w:r>
      <w:r w:rsidR="00EE1C8C" w:rsidRPr="00C47563">
        <w:rPr>
          <w:rFonts w:ascii="Times New Roman" w:hAnsi="Times New Roman" w:cs="Times New Roman"/>
          <w:sz w:val="26"/>
          <w:szCs w:val="26"/>
        </w:rPr>
        <w:t>R.D. at 1,</w:t>
      </w:r>
      <w:r w:rsidR="00310077" w:rsidRPr="00C47563">
        <w:rPr>
          <w:rFonts w:ascii="Times New Roman" w:hAnsi="Times New Roman" w:cs="Times New Roman"/>
          <w:sz w:val="26"/>
          <w:szCs w:val="26"/>
        </w:rPr>
        <w:t xml:space="preserve"> 6</w:t>
      </w:r>
      <w:r w:rsidR="00A00534" w:rsidRPr="00C47563">
        <w:rPr>
          <w:rFonts w:ascii="Times New Roman" w:hAnsi="Times New Roman" w:cs="Times New Roman"/>
          <w:sz w:val="26"/>
          <w:szCs w:val="26"/>
        </w:rPr>
        <w:t>4</w:t>
      </w:r>
      <w:r w:rsidR="000A5FA3" w:rsidRPr="00C47563">
        <w:rPr>
          <w:rFonts w:ascii="Times New Roman" w:hAnsi="Times New Roman" w:cs="Times New Roman"/>
          <w:sz w:val="26"/>
          <w:szCs w:val="26"/>
        </w:rPr>
        <w:t>, 6</w:t>
      </w:r>
      <w:r w:rsidR="00A00534" w:rsidRPr="00C47563">
        <w:rPr>
          <w:rFonts w:ascii="Times New Roman" w:hAnsi="Times New Roman" w:cs="Times New Roman"/>
          <w:sz w:val="26"/>
          <w:szCs w:val="26"/>
        </w:rPr>
        <w:t>6</w:t>
      </w:r>
      <w:r w:rsidR="000A5FA3" w:rsidRPr="00C47563">
        <w:rPr>
          <w:rFonts w:ascii="Times New Roman" w:hAnsi="Times New Roman" w:cs="Times New Roman"/>
          <w:sz w:val="26"/>
          <w:szCs w:val="26"/>
        </w:rPr>
        <w:t xml:space="preserve">. </w:t>
      </w:r>
      <w:r w:rsidR="00EE1C8C" w:rsidRPr="00C47563">
        <w:rPr>
          <w:rFonts w:ascii="Times New Roman" w:hAnsi="Times New Roman" w:cs="Times New Roman"/>
          <w:sz w:val="26"/>
          <w:szCs w:val="26"/>
        </w:rPr>
        <w:t xml:space="preserve"> </w:t>
      </w:r>
      <w:r w:rsidR="00144F50" w:rsidRPr="00C47563">
        <w:rPr>
          <w:rFonts w:ascii="Times New Roman" w:hAnsi="Times New Roman" w:cs="Times New Roman"/>
          <w:sz w:val="26"/>
          <w:szCs w:val="26"/>
        </w:rPr>
        <w:t xml:space="preserve">The ALJ stated that the </w:t>
      </w:r>
      <w:r w:rsidR="0046083E" w:rsidRPr="00C47563">
        <w:rPr>
          <w:rFonts w:ascii="Times New Roman" w:hAnsi="Times New Roman" w:cs="Times New Roman"/>
          <w:sz w:val="26"/>
          <w:szCs w:val="26"/>
        </w:rPr>
        <w:t>Revenue Requirement, Revenue Allocation</w:t>
      </w:r>
      <w:r w:rsidR="00144F50" w:rsidRPr="00C47563">
        <w:rPr>
          <w:rFonts w:ascii="Times New Roman" w:hAnsi="Times New Roman" w:cs="Times New Roman"/>
          <w:sz w:val="26"/>
          <w:szCs w:val="26"/>
        </w:rPr>
        <w:t>,</w:t>
      </w:r>
      <w:r w:rsidR="0046083E" w:rsidRPr="00C47563">
        <w:rPr>
          <w:rFonts w:ascii="Times New Roman" w:hAnsi="Times New Roman" w:cs="Times New Roman"/>
          <w:sz w:val="26"/>
          <w:szCs w:val="26"/>
        </w:rPr>
        <w:t xml:space="preserve"> and Rate Design </w:t>
      </w:r>
      <w:r w:rsidR="00144F50" w:rsidRPr="00C47563">
        <w:rPr>
          <w:rFonts w:ascii="Times New Roman" w:hAnsi="Times New Roman" w:cs="Times New Roman"/>
          <w:sz w:val="26"/>
          <w:szCs w:val="26"/>
        </w:rPr>
        <w:t xml:space="preserve">the Joint Petitioners </w:t>
      </w:r>
      <w:r w:rsidR="0046083E" w:rsidRPr="00C47563">
        <w:rPr>
          <w:rFonts w:ascii="Times New Roman" w:hAnsi="Times New Roman" w:cs="Times New Roman"/>
          <w:sz w:val="26"/>
          <w:szCs w:val="26"/>
        </w:rPr>
        <w:t xml:space="preserve">agreed to are all within the range of likely outcomes </w:t>
      </w:r>
      <w:r w:rsidR="00C709B8" w:rsidRPr="00C47563">
        <w:rPr>
          <w:rFonts w:ascii="Times New Roman" w:hAnsi="Times New Roman" w:cs="Times New Roman"/>
          <w:sz w:val="26"/>
          <w:szCs w:val="26"/>
        </w:rPr>
        <w:t>if</w:t>
      </w:r>
      <w:r w:rsidR="0046083E" w:rsidRPr="00C47563">
        <w:rPr>
          <w:rFonts w:ascii="Times New Roman" w:hAnsi="Times New Roman" w:cs="Times New Roman"/>
          <w:sz w:val="26"/>
          <w:szCs w:val="26"/>
        </w:rPr>
        <w:t xml:space="preserve"> this matter ha</w:t>
      </w:r>
      <w:r w:rsidR="00C709B8" w:rsidRPr="00C47563">
        <w:rPr>
          <w:rFonts w:ascii="Times New Roman" w:hAnsi="Times New Roman" w:cs="Times New Roman"/>
          <w:sz w:val="26"/>
          <w:szCs w:val="26"/>
        </w:rPr>
        <w:t>d</w:t>
      </w:r>
      <w:r w:rsidR="0046083E" w:rsidRPr="00C47563">
        <w:rPr>
          <w:rFonts w:ascii="Times New Roman" w:hAnsi="Times New Roman" w:cs="Times New Roman"/>
          <w:sz w:val="26"/>
          <w:szCs w:val="26"/>
        </w:rPr>
        <w:t xml:space="preserve"> been fully litigated.</w:t>
      </w:r>
      <w:r w:rsidR="002668F9" w:rsidRPr="00C47563">
        <w:rPr>
          <w:rFonts w:ascii="Times New Roman" w:hAnsi="Times New Roman" w:cs="Times New Roman"/>
          <w:sz w:val="26"/>
          <w:szCs w:val="26"/>
        </w:rPr>
        <w:t xml:space="preserve">  The ALJ observed that the </w:t>
      </w:r>
      <w:r w:rsidR="0046083E" w:rsidRPr="00C47563">
        <w:rPr>
          <w:rFonts w:ascii="Times New Roman" w:hAnsi="Times New Roman" w:cs="Times New Roman"/>
          <w:sz w:val="26"/>
          <w:szCs w:val="26"/>
        </w:rPr>
        <w:t xml:space="preserve">Settlement addressed Universal Service issues and CAP issues of heightened concern as a result of the COVID-19 pandemic and the economic hardships </w:t>
      </w:r>
      <w:r w:rsidR="00A0458B" w:rsidRPr="00C47563">
        <w:rPr>
          <w:rFonts w:ascii="Times New Roman" w:hAnsi="Times New Roman" w:cs="Times New Roman"/>
          <w:sz w:val="26"/>
          <w:szCs w:val="26"/>
        </w:rPr>
        <w:t xml:space="preserve">low-income customers have </w:t>
      </w:r>
      <w:r w:rsidR="0046083E" w:rsidRPr="00C47563">
        <w:rPr>
          <w:rFonts w:ascii="Times New Roman" w:hAnsi="Times New Roman" w:cs="Times New Roman"/>
          <w:sz w:val="26"/>
          <w:szCs w:val="26"/>
        </w:rPr>
        <w:t xml:space="preserve">experienced.  </w:t>
      </w:r>
      <w:r w:rsidR="00B53EAE" w:rsidRPr="00C47563">
        <w:rPr>
          <w:rFonts w:ascii="Times New Roman" w:hAnsi="Times New Roman" w:cs="Times New Roman"/>
          <w:sz w:val="26"/>
          <w:szCs w:val="26"/>
        </w:rPr>
        <w:t>The ALJ noted that certain</w:t>
      </w:r>
      <w:r w:rsidR="0046083E" w:rsidRPr="00C47563">
        <w:rPr>
          <w:rFonts w:ascii="Times New Roman" w:hAnsi="Times New Roman" w:cs="Times New Roman"/>
          <w:sz w:val="26"/>
          <w:szCs w:val="26"/>
        </w:rPr>
        <w:t xml:space="preserve"> terms included in the Settlement</w:t>
      </w:r>
      <w:r w:rsidR="001D3E54" w:rsidRPr="00C47563">
        <w:rPr>
          <w:rFonts w:ascii="Times New Roman" w:hAnsi="Times New Roman" w:cs="Times New Roman"/>
          <w:sz w:val="26"/>
          <w:szCs w:val="26"/>
        </w:rPr>
        <w:t xml:space="preserve"> are</w:t>
      </w:r>
      <w:r w:rsidR="0046083E" w:rsidRPr="00C47563">
        <w:rPr>
          <w:rFonts w:ascii="Times New Roman" w:hAnsi="Times New Roman" w:cs="Times New Roman"/>
          <w:sz w:val="26"/>
          <w:szCs w:val="26"/>
        </w:rPr>
        <w:t xml:space="preserve"> designed to improve outreach to low-income customers who may be eligible for help</w:t>
      </w:r>
      <w:r w:rsidR="00A77943" w:rsidRPr="00C47563">
        <w:rPr>
          <w:rFonts w:ascii="Times New Roman" w:hAnsi="Times New Roman" w:cs="Times New Roman"/>
          <w:sz w:val="26"/>
          <w:szCs w:val="26"/>
        </w:rPr>
        <w:t xml:space="preserve">, to </w:t>
      </w:r>
      <w:r w:rsidR="0046083E" w:rsidRPr="00C47563">
        <w:rPr>
          <w:rFonts w:ascii="Times New Roman" w:hAnsi="Times New Roman" w:cs="Times New Roman"/>
          <w:sz w:val="26"/>
          <w:szCs w:val="26"/>
        </w:rPr>
        <w:t>increase CAP enrollment of eligible customers</w:t>
      </w:r>
      <w:r w:rsidR="00A77943" w:rsidRPr="00C47563">
        <w:rPr>
          <w:rFonts w:ascii="Times New Roman" w:hAnsi="Times New Roman" w:cs="Times New Roman"/>
          <w:sz w:val="26"/>
          <w:szCs w:val="26"/>
        </w:rPr>
        <w:t>,</w:t>
      </w:r>
      <w:r w:rsidR="0046083E" w:rsidRPr="00C47563">
        <w:rPr>
          <w:rFonts w:ascii="Times New Roman" w:hAnsi="Times New Roman" w:cs="Times New Roman"/>
          <w:sz w:val="26"/>
          <w:szCs w:val="26"/>
        </w:rPr>
        <w:t xml:space="preserve"> and to ensure that CAP customers </w:t>
      </w:r>
      <w:r w:rsidR="00B957BA" w:rsidRPr="00C47563">
        <w:rPr>
          <w:rFonts w:ascii="Times New Roman" w:hAnsi="Times New Roman" w:cs="Times New Roman"/>
          <w:sz w:val="26"/>
          <w:szCs w:val="26"/>
        </w:rPr>
        <w:t>remain</w:t>
      </w:r>
      <w:r w:rsidR="0046083E" w:rsidRPr="00C47563">
        <w:rPr>
          <w:rFonts w:ascii="Times New Roman" w:hAnsi="Times New Roman" w:cs="Times New Roman"/>
          <w:sz w:val="26"/>
          <w:szCs w:val="26"/>
        </w:rPr>
        <w:t xml:space="preserve"> enrolled </w:t>
      </w:r>
      <w:r w:rsidR="00B957BA" w:rsidRPr="00C47563">
        <w:rPr>
          <w:rFonts w:ascii="Times New Roman" w:hAnsi="Times New Roman" w:cs="Times New Roman"/>
          <w:sz w:val="26"/>
          <w:szCs w:val="26"/>
        </w:rPr>
        <w:t xml:space="preserve">in the program </w:t>
      </w:r>
      <w:r w:rsidR="0046083E" w:rsidRPr="00C47563">
        <w:rPr>
          <w:rFonts w:ascii="Times New Roman" w:hAnsi="Times New Roman" w:cs="Times New Roman"/>
          <w:sz w:val="26"/>
          <w:szCs w:val="26"/>
        </w:rPr>
        <w:t>when changing residences or recertifying income eligibility.</w:t>
      </w:r>
      <w:r w:rsidR="0073704C" w:rsidRPr="00C47563">
        <w:rPr>
          <w:rFonts w:ascii="Times New Roman" w:hAnsi="Times New Roman" w:cs="Times New Roman"/>
          <w:sz w:val="26"/>
          <w:szCs w:val="26"/>
        </w:rPr>
        <w:t xml:space="preserve">  </w:t>
      </w:r>
      <w:r w:rsidR="0073704C" w:rsidRPr="00C47563">
        <w:rPr>
          <w:rFonts w:ascii="Times New Roman" w:hAnsi="Times New Roman" w:cs="Times New Roman"/>
          <w:i/>
          <w:iCs/>
          <w:sz w:val="26"/>
          <w:szCs w:val="26"/>
        </w:rPr>
        <w:t>Id</w:t>
      </w:r>
      <w:r w:rsidR="0073704C" w:rsidRPr="00C47563">
        <w:rPr>
          <w:rFonts w:ascii="Times New Roman" w:hAnsi="Times New Roman" w:cs="Times New Roman"/>
          <w:sz w:val="26"/>
          <w:szCs w:val="26"/>
        </w:rPr>
        <w:t>. at 64.</w:t>
      </w:r>
      <w:r w:rsidR="00C47563">
        <w:rPr>
          <w:rFonts w:ascii="Times New Roman" w:hAnsi="Times New Roman" w:cs="Times New Roman"/>
          <w:sz w:val="26"/>
          <w:szCs w:val="26"/>
        </w:rPr>
        <w:t xml:space="preserve">  </w:t>
      </w:r>
    </w:p>
    <w:p w14:paraId="0EFF042E" w14:textId="77777777" w:rsidR="001E73FA" w:rsidRPr="00C47563" w:rsidRDefault="001E73FA" w:rsidP="00C47563">
      <w:pPr>
        <w:tabs>
          <w:tab w:val="center" w:pos="1440"/>
          <w:tab w:val="center" w:pos="5064"/>
        </w:tabs>
        <w:spacing w:after="0" w:line="360" w:lineRule="auto"/>
        <w:rPr>
          <w:rFonts w:ascii="Times New Roman" w:hAnsi="Times New Roman" w:cs="Times New Roman"/>
          <w:sz w:val="26"/>
          <w:szCs w:val="26"/>
        </w:rPr>
      </w:pPr>
    </w:p>
    <w:p w14:paraId="1A57CE8B" w14:textId="20D04D4B" w:rsidR="00CD1D50" w:rsidRPr="00C47563" w:rsidRDefault="005F1C08"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The ALJ reasoned </w:t>
      </w:r>
      <w:r w:rsidR="00673719" w:rsidRPr="00C47563">
        <w:rPr>
          <w:rFonts w:ascii="Times New Roman" w:hAnsi="Times New Roman" w:cs="Times New Roman"/>
          <w:sz w:val="26"/>
          <w:szCs w:val="26"/>
        </w:rPr>
        <w:t>that t</w:t>
      </w:r>
      <w:r w:rsidR="00BD230A" w:rsidRPr="00C47563">
        <w:rPr>
          <w:rFonts w:ascii="Times New Roman" w:hAnsi="Times New Roman" w:cs="Times New Roman"/>
          <w:sz w:val="26"/>
          <w:szCs w:val="26"/>
        </w:rPr>
        <w:t>he Joint Petitioners represent many interests</w:t>
      </w:r>
      <w:r w:rsidR="00673719" w:rsidRPr="00C47563">
        <w:rPr>
          <w:rFonts w:ascii="Times New Roman" w:hAnsi="Times New Roman" w:cs="Times New Roman"/>
          <w:sz w:val="26"/>
          <w:szCs w:val="26"/>
        </w:rPr>
        <w:t xml:space="preserve">, stating that </w:t>
      </w:r>
      <w:r w:rsidR="00BD230A" w:rsidRPr="00C47563">
        <w:rPr>
          <w:rFonts w:ascii="Times New Roman" w:hAnsi="Times New Roman" w:cs="Times New Roman"/>
          <w:sz w:val="26"/>
          <w:szCs w:val="26"/>
        </w:rPr>
        <w:t xml:space="preserve">I&amp;E, </w:t>
      </w:r>
      <w:r w:rsidR="00673719" w:rsidRPr="00C47563">
        <w:rPr>
          <w:rFonts w:ascii="Times New Roman" w:hAnsi="Times New Roman" w:cs="Times New Roman"/>
          <w:sz w:val="26"/>
          <w:szCs w:val="26"/>
        </w:rPr>
        <w:t xml:space="preserve">the </w:t>
      </w:r>
      <w:r w:rsidR="00BD230A" w:rsidRPr="00C47563">
        <w:rPr>
          <w:rFonts w:ascii="Times New Roman" w:hAnsi="Times New Roman" w:cs="Times New Roman"/>
          <w:sz w:val="26"/>
          <w:szCs w:val="26"/>
        </w:rPr>
        <w:t>OCA</w:t>
      </w:r>
      <w:r w:rsidR="00673719" w:rsidRPr="00C47563">
        <w:rPr>
          <w:rFonts w:ascii="Times New Roman" w:hAnsi="Times New Roman" w:cs="Times New Roman"/>
          <w:sz w:val="26"/>
          <w:szCs w:val="26"/>
        </w:rPr>
        <w:t>,</w:t>
      </w:r>
      <w:r w:rsidR="00BD230A" w:rsidRPr="00C47563">
        <w:rPr>
          <w:rFonts w:ascii="Times New Roman" w:hAnsi="Times New Roman" w:cs="Times New Roman"/>
          <w:sz w:val="26"/>
          <w:szCs w:val="26"/>
        </w:rPr>
        <w:t xml:space="preserve"> and </w:t>
      </w:r>
      <w:r w:rsidR="00063853" w:rsidRPr="00C47563">
        <w:rPr>
          <w:rFonts w:ascii="Times New Roman" w:hAnsi="Times New Roman" w:cs="Times New Roman"/>
          <w:sz w:val="26"/>
          <w:szCs w:val="26"/>
        </w:rPr>
        <w:t xml:space="preserve">the </w:t>
      </w:r>
      <w:r w:rsidR="00BD230A" w:rsidRPr="00C47563">
        <w:rPr>
          <w:rFonts w:ascii="Times New Roman" w:hAnsi="Times New Roman" w:cs="Times New Roman"/>
          <w:sz w:val="26"/>
          <w:szCs w:val="26"/>
        </w:rPr>
        <w:t>OSBA represent the public interest, the interests of residential customers</w:t>
      </w:r>
      <w:r w:rsidR="00063853" w:rsidRPr="00C47563">
        <w:rPr>
          <w:rFonts w:ascii="Times New Roman" w:hAnsi="Times New Roman" w:cs="Times New Roman"/>
          <w:sz w:val="26"/>
          <w:szCs w:val="26"/>
        </w:rPr>
        <w:t>,</w:t>
      </w:r>
      <w:r w:rsidR="00BD230A" w:rsidRPr="00C47563">
        <w:rPr>
          <w:rFonts w:ascii="Times New Roman" w:hAnsi="Times New Roman" w:cs="Times New Roman"/>
          <w:sz w:val="26"/>
          <w:szCs w:val="26"/>
        </w:rPr>
        <w:t xml:space="preserve"> and the interests of small business customers, respectively.  </w:t>
      </w:r>
      <w:r w:rsidR="001E73FA" w:rsidRPr="00C47563">
        <w:rPr>
          <w:rFonts w:ascii="Times New Roman" w:hAnsi="Times New Roman" w:cs="Times New Roman"/>
          <w:sz w:val="26"/>
          <w:szCs w:val="26"/>
        </w:rPr>
        <w:t xml:space="preserve">The ALJ added that </w:t>
      </w:r>
      <w:r w:rsidR="00BD230A" w:rsidRPr="00C47563">
        <w:rPr>
          <w:rFonts w:ascii="Times New Roman" w:hAnsi="Times New Roman" w:cs="Times New Roman"/>
          <w:sz w:val="26"/>
          <w:szCs w:val="26"/>
        </w:rPr>
        <w:t xml:space="preserve">the Joint Petitioners </w:t>
      </w:r>
      <w:r w:rsidR="001E73FA" w:rsidRPr="00C47563">
        <w:rPr>
          <w:rFonts w:ascii="Times New Roman" w:hAnsi="Times New Roman" w:cs="Times New Roman"/>
          <w:sz w:val="26"/>
          <w:szCs w:val="26"/>
        </w:rPr>
        <w:t xml:space="preserve">also </w:t>
      </w:r>
      <w:r w:rsidR="00BD230A" w:rsidRPr="00C47563">
        <w:rPr>
          <w:rFonts w:ascii="Times New Roman" w:hAnsi="Times New Roman" w:cs="Times New Roman"/>
          <w:sz w:val="26"/>
          <w:szCs w:val="26"/>
        </w:rPr>
        <w:t>include CII, CAUSE</w:t>
      </w:r>
      <w:r w:rsidR="004D0714" w:rsidRPr="00C47563">
        <w:rPr>
          <w:rFonts w:ascii="Times New Roman" w:hAnsi="Times New Roman" w:cs="Times New Roman"/>
          <w:sz w:val="26"/>
          <w:szCs w:val="26"/>
        </w:rPr>
        <w:t>-</w:t>
      </w:r>
      <w:r w:rsidR="00BD230A" w:rsidRPr="00C47563">
        <w:rPr>
          <w:rFonts w:ascii="Times New Roman" w:hAnsi="Times New Roman" w:cs="Times New Roman"/>
          <w:sz w:val="26"/>
          <w:szCs w:val="26"/>
        </w:rPr>
        <w:t xml:space="preserve">PA, PSU, Shipley/RESA and Task Force.  </w:t>
      </w:r>
      <w:r w:rsidR="001E73FA" w:rsidRPr="00C47563">
        <w:rPr>
          <w:rFonts w:ascii="Times New Roman" w:hAnsi="Times New Roman" w:cs="Times New Roman"/>
          <w:sz w:val="26"/>
          <w:szCs w:val="26"/>
        </w:rPr>
        <w:t>The ALJ stated that t</w:t>
      </w:r>
      <w:r w:rsidR="00BD230A" w:rsidRPr="00C47563">
        <w:rPr>
          <w:rFonts w:ascii="Times New Roman" w:hAnsi="Times New Roman" w:cs="Times New Roman"/>
          <w:sz w:val="26"/>
          <w:szCs w:val="26"/>
        </w:rPr>
        <w:t>o reach a settlement of all issues with the aforementioned parties in a base rate case is unusual</w:t>
      </w:r>
      <w:r w:rsidR="00511354" w:rsidRPr="00C47563">
        <w:rPr>
          <w:rFonts w:ascii="Times New Roman" w:hAnsi="Times New Roman" w:cs="Times New Roman"/>
          <w:sz w:val="26"/>
          <w:szCs w:val="26"/>
        </w:rPr>
        <w:t xml:space="preserve">, and the resulting Settlement </w:t>
      </w:r>
      <w:r w:rsidR="00BD230A" w:rsidRPr="00C47563">
        <w:rPr>
          <w:rFonts w:ascii="Times New Roman" w:hAnsi="Times New Roman" w:cs="Times New Roman"/>
          <w:sz w:val="26"/>
          <w:szCs w:val="26"/>
        </w:rPr>
        <w:t xml:space="preserve">represents hours of negotiation and a great deal of cooperation.  </w:t>
      </w:r>
      <w:r w:rsidR="00E54DB3" w:rsidRPr="00C47563">
        <w:rPr>
          <w:rFonts w:ascii="Times New Roman" w:hAnsi="Times New Roman" w:cs="Times New Roman"/>
          <w:sz w:val="26"/>
          <w:szCs w:val="26"/>
        </w:rPr>
        <w:t>The ALJ concluded that t</w:t>
      </w:r>
      <w:r w:rsidR="00BD230A" w:rsidRPr="00C47563">
        <w:rPr>
          <w:rFonts w:ascii="Times New Roman" w:hAnsi="Times New Roman" w:cs="Times New Roman"/>
          <w:sz w:val="26"/>
          <w:szCs w:val="26"/>
        </w:rPr>
        <w:t>he Settlement addresses every contested issue in this proceeding</w:t>
      </w:r>
      <w:r w:rsidR="007E06C1" w:rsidRPr="00C47563">
        <w:rPr>
          <w:rFonts w:ascii="Times New Roman" w:hAnsi="Times New Roman" w:cs="Times New Roman"/>
          <w:sz w:val="26"/>
          <w:szCs w:val="26"/>
        </w:rPr>
        <w:t>, and since</w:t>
      </w:r>
      <w:r w:rsidR="00BD230A" w:rsidRPr="00C47563">
        <w:rPr>
          <w:rFonts w:ascii="Times New Roman" w:hAnsi="Times New Roman" w:cs="Times New Roman"/>
          <w:sz w:val="26"/>
          <w:szCs w:val="26"/>
        </w:rPr>
        <w:t xml:space="preserve"> all of the diverse interests represented by the Joint Petitioners have been satisfied, the Settlement benefits Columbia’s customers</w:t>
      </w:r>
      <w:r w:rsidR="00897938" w:rsidRPr="00C47563">
        <w:rPr>
          <w:rFonts w:ascii="Times New Roman" w:hAnsi="Times New Roman" w:cs="Times New Roman"/>
          <w:sz w:val="26"/>
          <w:szCs w:val="26"/>
        </w:rPr>
        <w:t xml:space="preserve"> and </w:t>
      </w:r>
      <w:r w:rsidR="00BD230A" w:rsidRPr="00C47563">
        <w:rPr>
          <w:rFonts w:ascii="Times New Roman" w:hAnsi="Times New Roman" w:cs="Times New Roman"/>
          <w:sz w:val="26"/>
          <w:szCs w:val="26"/>
        </w:rPr>
        <w:t xml:space="preserve">saves the </w:t>
      </w:r>
      <w:r w:rsidR="00897938" w:rsidRPr="00C47563">
        <w:rPr>
          <w:rFonts w:ascii="Times New Roman" w:hAnsi="Times New Roman" w:cs="Times New Roman"/>
          <w:sz w:val="26"/>
          <w:szCs w:val="26"/>
        </w:rPr>
        <w:t>P</w:t>
      </w:r>
      <w:r w:rsidR="00BD230A" w:rsidRPr="00C47563">
        <w:rPr>
          <w:rFonts w:ascii="Times New Roman" w:hAnsi="Times New Roman" w:cs="Times New Roman"/>
          <w:sz w:val="26"/>
          <w:szCs w:val="26"/>
        </w:rPr>
        <w:t>arties and the Commission the time and expense of fully litigating this matter.</w:t>
      </w:r>
      <w:r w:rsidR="0073704C" w:rsidRPr="00C47563">
        <w:rPr>
          <w:rFonts w:ascii="Times New Roman" w:hAnsi="Times New Roman" w:cs="Times New Roman"/>
          <w:sz w:val="26"/>
          <w:szCs w:val="26"/>
        </w:rPr>
        <w:t xml:space="preserve">  </w:t>
      </w:r>
      <w:r w:rsidR="0073704C" w:rsidRPr="00C47563">
        <w:rPr>
          <w:rFonts w:ascii="Times New Roman" w:hAnsi="Times New Roman" w:cs="Times New Roman"/>
          <w:i/>
          <w:iCs/>
          <w:sz w:val="26"/>
          <w:szCs w:val="26"/>
        </w:rPr>
        <w:t>Id</w:t>
      </w:r>
      <w:r w:rsidR="0073704C" w:rsidRPr="00C47563">
        <w:rPr>
          <w:rFonts w:ascii="Times New Roman" w:hAnsi="Times New Roman" w:cs="Times New Roman"/>
          <w:sz w:val="26"/>
          <w:szCs w:val="26"/>
        </w:rPr>
        <w:t>. at 62.</w:t>
      </w:r>
    </w:p>
    <w:p w14:paraId="28C95915" w14:textId="77777777" w:rsidR="00CD1D50" w:rsidRPr="00C47563" w:rsidRDefault="00CD1D50" w:rsidP="00C47563">
      <w:pPr>
        <w:tabs>
          <w:tab w:val="center" w:pos="1440"/>
          <w:tab w:val="center" w:pos="5064"/>
        </w:tabs>
        <w:spacing w:after="0" w:line="360" w:lineRule="auto"/>
        <w:rPr>
          <w:rFonts w:ascii="Times New Roman" w:hAnsi="Times New Roman" w:cs="Times New Roman"/>
          <w:sz w:val="26"/>
          <w:szCs w:val="26"/>
        </w:rPr>
      </w:pPr>
    </w:p>
    <w:p w14:paraId="0CA24C7C" w14:textId="3D0F619C" w:rsidR="006F3C2B" w:rsidRPr="00C47563" w:rsidRDefault="003325FE" w:rsidP="00C47563">
      <w:pPr>
        <w:spacing w:after="0" w:line="360" w:lineRule="auto"/>
        <w:ind w:right="3"/>
        <w:rPr>
          <w:rFonts w:ascii="Times New Roman" w:hAnsi="Times New Roman" w:cs="Times New Roman"/>
          <w:sz w:val="26"/>
          <w:szCs w:val="26"/>
        </w:rPr>
      </w:pPr>
      <w:r w:rsidRPr="00C47563">
        <w:rPr>
          <w:rFonts w:ascii="Times New Roman" w:hAnsi="Times New Roman" w:cs="Times New Roman"/>
          <w:sz w:val="26"/>
          <w:szCs w:val="26"/>
        </w:rPr>
        <w:tab/>
      </w:r>
      <w:r w:rsidR="00027C78" w:rsidRPr="00C47563">
        <w:rPr>
          <w:rFonts w:ascii="Times New Roman" w:hAnsi="Times New Roman" w:cs="Times New Roman"/>
          <w:sz w:val="26"/>
          <w:szCs w:val="26"/>
        </w:rPr>
        <w:tab/>
      </w:r>
      <w:r w:rsidRPr="00C47563">
        <w:rPr>
          <w:rFonts w:ascii="Times New Roman" w:hAnsi="Times New Roman" w:cs="Times New Roman"/>
          <w:sz w:val="26"/>
          <w:szCs w:val="26"/>
        </w:rPr>
        <w:t xml:space="preserve">In addition to addressing the Settlement, the ALJ also addressed </w:t>
      </w:r>
      <w:r w:rsidR="002D6121" w:rsidRPr="00C47563">
        <w:rPr>
          <w:rFonts w:ascii="Times New Roman" w:hAnsi="Times New Roman" w:cs="Times New Roman"/>
          <w:sz w:val="26"/>
          <w:szCs w:val="26"/>
        </w:rPr>
        <w:t xml:space="preserve">the issues Mr. Culbertson raised in this proceeding.  </w:t>
      </w:r>
      <w:r w:rsidR="00467443" w:rsidRPr="00C47563">
        <w:rPr>
          <w:rFonts w:ascii="Times New Roman" w:hAnsi="Times New Roman" w:cs="Times New Roman"/>
          <w:sz w:val="26"/>
          <w:szCs w:val="26"/>
        </w:rPr>
        <w:t>First, the ALJ stated that i</w:t>
      </w:r>
      <w:r w:rsidR="006F3C2B" w:rsidRPr="00C47563">
        <w:rPr>
          <w:rFonts w:ascii="Times New Roman" w:hAnsi="Times New Roman" w:cs="Times New Roman"/>
          <w:sz w:val="26"/>
          <w:szCs w:val="26"/>
        </w:rPr>
        <w:t>n his Main Brief, Mr.</w:t>
      </w:r>
      <w:r w:rsidR="00352FE6">
        <w:rPr>
          <w:rFonts w:ascii="Times New Roman" w:hAnsi="Times New Roman" w:cs="Times New Roman"/>
          <w:sz w:val="26"/>
          <w:szCs w:val="26"/>
        </w:rPr>
        <w:t> </w:t>
      </w:r>
      <w:r w:rsidR="006F3C2B" w:rsidRPr="00C47563">
        <w:rPr>
          <w:rFonts w:ascii="Times New Roman" w:hAnsi="Times New Roman" w:cs="Times New Roman"/>
          <w:sz w:val="26"/>
          <w:szCs w:val="26"/>
        </w:rPr>
        <w:t>Culbertson assert</w:t>
      </w:r>
      <w:r w:rsidR="00467443" w:rsidRPr="00C47563">
        <w:rPr>
          <w:rFonts w:ascii="Times New Roman" w:hAnsi="Times New Roman" w:cs="Times New Roman"/>
          <w:sz w:val="26"/>
          <w:szCs w:val="26"/>
        </w:rPr>
        <w:t>ed</w:t>
      </w:r>
      <w:r w:rsidR="006F3C2B" w:rsidRPr="00C47563">
        <w:rPr>
          <w:rFonts w:ascii="Times New Roman" w:hAnsi="Times New Roman" w:cs="Times New Roman"/>
          <w:sz w:val="26"/>
          <w:szCs w:val="26"/>
        </w:rPr>
        <w:t xml:space="preserve"> that an investigation to determine the reasonableness of Columbia’s requested rate increase</w:t>
      </w:r>
      <w:r w:rsidR="00467443" w:rsidRPr="00C47563">
        <w:rPr>
          <w:rFonts w:ascii="Times New Roman" w:hAnsi="Times New Roman" w:cs="Times New Roman"/>
          <w:sz w:val="26"/>
          <w:szCs w:val="26"/>
        </w:rPr>
        <w:t xml:space="preserve">, as </w:t>
      </w:r>
      <w:r w:rsidR="00131B9A" w:rsidRPr="00C47563">
        <w:rPr>
          <w:rFonts w:ascii="Times New Roman" w:hAnsi="Times New Roman" w:cs="Times New Roman"/>
          <w:sz w:val="26"/>
          <w:szCs w:val="26"/>
        </w:rPr>
        <w:t xml:space="preserve">required by the </w:t>
      </w:r>
      <w:r w:rsidR="006C0A48" w:rsidRPr="00C47563">
        <w:rPr>
          <w:rFonts w:ascii="Times New Roman" w:hAnsi="Times New Roman" w:cs="Times New Roman"/>
          <w:i/>
          <w:iCs/>
          <w:sz w:val="26"/>
          <w:szCs w:val="26"/>
        </w:rPr>
        <w:t>May 2021 Order</w:t>
      </w:r>
      <w:r w:rsidR="006C0A48"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has not occurred.  </w:t>
      </w:r>
      <w:r w:rsidR="00293A1E" w:rsidRPr="00C47563">
        <w:rPr>
          <w:rFonts w:ascii="Times New Roman" w:hAnsi="Times New Roman" w:cs="Times New Roman"/>
          <w:sz w:val="26"/>
          <w:szCs w:val="26"/>
        </w:rPr>
        <w:t xml:space="preserve">R.D. at 60 (citing </w:t>
      </w:r>
      <w:r w:rsidR="006F3C2B" w:rsidRPr="00C47563">
        <w:rPr>
          <w:rFonts w:ascii="Times New Roman" w:hAnsi="Times New Roman" w:cs="Times New Roman"/>
          <w:sz w:val="26"/>
          <w:szCs w:val="26"/>
        </w:rPr>
        <w:t>Culbertson M.B.</w:t>
      </w:r>
      <w:r w:rsidR="00293A1E" w:rsidRPr="00C47563">
        <w:rPr>
          <w:rFonts w:ascii="Times New Roman" w:hAnsi="Times New Roman" w:cs="Times New Roman"/>
          <w:sz w:val="26"/>
          <w:szCs w:val="26"/>
        </w:rPr>
        <w:t xml:space="preserve"> at</w:t>
      </w:r>
      <w:r w:rsidR="006F3C2B" w:rsidRPr="00C47563">
        <w:rPr>
          <w:rFonts w:ascii="Times New Roman" w:hAnsi="Times New Roman" w:cs="Times New Roman"/>
          <w:sz w:val="26"/>
          <w:szCs w:val="26"/>
        </w:rPr>
        <w:t xml:space="preserve"> 6-7</w:t>
      </w:r>
      <w:r w:rsidR="00293A1E"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w:t>
      </w:r>
      <w:r w:rsidR="007B4A04" w:rsidRPr="00C47563">
        <w:rPr>
          <w:rFonts w:ascii="Times New Roman" w:hAnsi="Times New Roman" w:cs="Times New Roman"/>
          <w:sz w:val="26"/>
          <w:szCs w:val="26"/>
        </w:rPr>
        <w:t>Th</w:t>
      </w:r>
      <w:r w:rsidR="00B73653" w:rsidRPr="00C47563">
        <w:rPr>
          <w:rFonts w:ascii="Times New Roman" w:hAnsi="Times New Roman" w:cs="Times New Roman"/>
          <w:sz w:val="26"/>
          <w:szCs w:val="26"/>
        </w:rPr>
        <w:t>e</w:t>
      </w:r>
      <w:r w:rsidR="007B4A04" w:rsidRPr="00C47563">
        <w:rPr>
          <w:rFonts w:ascii="Times New Roman" w:hAnsi="Times New Roman" w:cs="Times New Roman"/>
          <w:sz w:val="26"/>
          <w:szCs w:val="26"/>
        </w:rPr>
        <w:t xml:space="preserve"> ALJ found that </w:t>
      </w:r>
      <w:r w:rsidR="006F3C2B" w:rsidRPr="00C47563">
        <w:rPr>
          <w:rFonts w:ascii="Times New Roman" w:hAnsi="Times New Roman" w:cs="Times New Roman"/>
          <w:sz w:val="26"/>
          <w:szCs w:val="26"/>
        </w:rPr>
        <w:t>Mr.</w:t>
      </w:r>
      <w:r w:rsidR="007B4A04" w:rsidRPr="00C47563">
        <w:rPr>
          <w:rFonts w:ascii="Times New Roman" w:hAnsi="Times New Roman" w:cs="Times New Roman"/>
          <w:sz w:val="26"/>
          <w:szCs w:val="26"/>
        </w:rPr>
        <w:t xml:space="preserve"> </w:t>
      </w:r>
      <w:r w:rsidR="006F3C2B" w:rsidRPr="00C47563">
        <w:rPr>
          <w:rFonts w:ascii="Times New Roman" w:hAnsi="Times New Roman" w:cs="Times New Roman"/>
          <w:sz w:val="26"/>
          <w:szCs w:val="26"/>
        </w:rPr>
        <w:t xml:space="preserve">Culbertson is incorrect </w:t>
      </w:r>
      <w:r w:rsidR="0043724B" w:rsidRPr="00C47563">
        <w:rPr>
          <w:rFonts w:ascii="Times New Roman" w:hAnsi="Times New Roman" w:cs="Times New Roman"/>
          <w:sz w:val="26"/>
          <w:szCs w:val="26"/>
        </w:rPr>
        <w:t>in</w:t>
      </w:r>
      <w:r w:rsidR="006F3C2B" w:rsidRPr="00C47563">
        <w:rPr>
          <w:rFonts w:ascii="Times New Roman" w:hAnsi="Times New Roman" w:cs="Times New Roman"/>
          <w:sz w:val="26"/>
          <w:szCs w:val="26"/>
        </w:rPr>
        <w:t xml:space="preserve"> his assertion that there has been no investigation of Columbia’s proposed rate increase.  </w:t>
      </w:r>
      <w:r w:rsidR="0043724B" w:rsidRPr="00C47563">
        <w:rPr>
          <w:rFonts w:ascii="Times New Roman" w:hAnsi="Times New Roman" w:cs="Times New Roman"/>
          <w:sz w:val="26"/>
          <w:szCs w:val="26"/>
        </w:rPr>
        <w:t xml:space="preserve">The ALJ stated that </w:t>
      </w:r>
      <w:r w:rsidR="00F9226A" w:rsidRPr="00C47563">
        <w:rPr>
          <w:rFonts w:ascii="Times New Roman" w:hAnsi="Times New Roman" w:cs="Times New Roman"/>
          <w:sz w:val="26"/>
          <w:szCs w:val="26"/>
        </w:rPr>
        <w:t>“</w:t>
      </w:r>
      <w:r w:rsidR="006F3C2B" w:rsidRPr="00C47563">
        <w:rPr>
          <w:rFonts w:ascii="Times New Roman" w:hAnsi="Times New Roman" w:cs="Times New Roman"/>
          <w:sz w:val="26"/>
          <w:szCs w:val="26"/>
        </w:rPr>
        <w:t>Columbia’s filing has been subject to an extensive and detailed investigation by eight other active parties in this proceeding.</w:t>
      </w:r>
      <w:r w:rsidR="00F9226A" w:rsidRPr="00C47563">
        <w:rPr>
          <w:rFonts w:ascii="Times New Roman" w:hAnsi="Times New Roman" w:cs="Times New Roman"/>
          <w:sz w:val="26"/>
          <w:szCs w:val="26"/>
        </w:rPr>
        <w:t xml:space="preserve">”  </w:t>
      </w:r>
      <w:r w:rsidR="0096173C" w:rsidRPr="00C47563">
        <w:rPr>
          <w:rFonts w:ascii="Times New Roman" w:hAnsi="Times New Roman" w:cs="Times New Roman"/>
          <w:sz w:val="26"/>
          <w:szCs w:val="26"/>
        </w:rPr>
        <w:t xml:space="preserve">R.D. at 60.  </w:t>
      </w:r>
      <w:r w:rsidR="00F9226A" w:rsidRPr="00C47563">
        <w:rPr>
          <w:rFonts w:ascii="Times New Roman" w:hAnsi="Times New Roman" w:cs="Times New Roman"/>
          <w:sz w:val="26"/>
          <w:szCs w:val="26"/>
        </w:rPr>
        <w:t>The ALJ added that</w:t>
      </w:r>
      <w:r w:rsidR="006F3C2B" w:rsidRPr="00C47563">
        <w:rPr>
          <w:rFonts w:ascii="Times New Roman" w:hAnsi="Times New Roman" w:cs="Times New Roman"/>
          <w:sz w:val="26"/>
          <w:szCs w:val="26"/>
        </w:rPr>
        <w:t xml:space="preserve"> Columbia provided material supporting its claim </w:t>
      </w:r>
      <w:r w:rsidR="00F9226A" w:rsidRPr="00C47563">
        <w:rPr>
          <w:rFonts w:ascii="Times New Roman" w:hAnsi="Times New Roman" w:cs="Times New Roman"/>
          <w:sz w:val="26"/>
          <w:szCs w:val="26"/>
        </w:rPr>
        <w:t>consistent</w:t>
      </w:r>
      <w:r w:rsidR="006F3C2B" w:rsidRPr="00C47563">
        <w:rPr>
          <w:rFonts w:ascii="Times New Roman" w:hAnsi="Times New Roman" w:cs="Times New Roman"/>
          <w:sz w:val="26"/>
          <w:szCs w:val="26"/>
        </w:rPr>
        <w:t xml:space="preserve"> with the Commission’s </w:t>
      </w:r>
      <w:r w:rsidR="00495262" w:rsidRPr="00C47563">
        <w:rPr>
          <w:rFonts w:ascii="Times New Roman" w:hAnsi="Times New Roman" w:cs="Times New Roman"/>
          <w:sz w:val="26"/>
          <w:szCs w:val="26"/>
        </w:rPr>
        <w:t>R</w:t>
      </w:r>
      <w:r w:rsidR="006F3C2B" w:rsidRPr="00C47563">
        <w:rPr>
          <w:rFonts w:ascii="Times New Roman" w:hAnsi="Times New Roman" w:cs="Times New Roman"/>
          <w:sz w:val="26"/>
          <w:szCs w:val="26"/>
        </w:rPr>
        <w:t xml:space="preserve">egulations and filing requirements for a proposed general rate increase in excess of $1 million.  </w:t>
      </w:r>
      <w:r w:rsidR="0096173C" w:rsidRPr="00C47563">
        <w:rPr>
          <w:rFonts w:ascii="Times New Roman" w:hAnsi="Times New Roman" w:cs="Times New Roman"/>
          <w:i/>
          <w:iCs/>
          <w:sz w:val="26"/>
          <w:szCs w:val="26"/>
        </w:rPr>
        <w:t>Id</w:t>
      </w:r>
      <w:r w:rsidR="0096173C" w:rsidRPr="00C47563">
        <w:rPr>
          <w:rFonts w:ascii="Times New Roman" w:hAnsi="Times New Roman" w:cs="Times New Roman"/>
          <w:sz w:val="26"/>
          <w:szCs w:val="26"/>
        </w:rPr>
        <w:t xml:space="preserve">. (citing </w:t>
      </w:r>
      <w:r w:rsidR="006F3C2B" w:rsidRPr="00C47563">
        <w:rPr>
          <w:rFonts w:ascii="Times New Roman" w:hAnsi="Times New Roman" w:cs="Times New Roman"/>
          <w:sz w:val="26"/>
          <w:szCs w:val="26"/>
        </w:rPr>
        <w:t>52 Pa. Code § 53.53</w:t>
      </w:r>
      <w:r w:rsidR="0096173C"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Columbia St</w:t>
      </w:r>
      <w:r w:rsidR="00E572FA" w:rsidRPr="00C47563">
        <w:rPr>
          <w:rFonts w:ascii="Times New Roman" w:hAnsi="Times New Roman" w:cs="Times New Roman"/>
          <w:sz w:val="26"/>
          <w:szCs w:val="26"/>
        </w:rPr>
        <w:t>s</w:t>
      </w:r>
      <w:r w:rsidR="006F3C2B" w:rsidRPr="00C47563">
        <w:rPr>
          <w:rFonts w:ascii="Times New Roman" w:hAnsi="Times New Roman" w:cs="Times New Roman"/>
          <w:sz w:val="26"/>
          <w:szCs w:val="26"/>
        </w:rPr>
        <w:t>. 1-14; Columbia Exhs. 1-17; 101-117 and 400-414; Columbia Standard Data Responses COS 121, ROR</w:t>
      </w:r>
      <w:r w:rsidR="00352FE6">
        <w:rPr>
          <w:rFonts w:ascii="Times New Roman" w:hAnsi="Times New Roman" w:cs="Times New Roman"/>
          <w:sz w:val="26"/>
          <w:szCs w:val="26"/>
        </w:rPr>
        <w:t> </w:t>
      </w:r>
      <w:r w:rsidR="006F3C2B" w:rsidRPr="00C47563">
        <w:rPr>
          <w:rFonts w:ascii="Times New Roman" w:hAnsi="Times New Roman" w:cs="Times New Roman"/>
          <w:sz w:val="26"/>
          <w:szCs w:val="26"/>
        </w:rPr>
        <w:t>1</w:t>
      </w:r>
      <w:r w:rsidR="00352FE6">
        <w:rPr>
          <w:rFonts w:ascii="Times New Roman" w:hAnsi="Times New Roman" w:cs="Times New Roman"/>
          <w:sz w:val="26"/>
          <w:szCs w:val="26"/>
        </w:rPr>
        <w:noBreakHyphen/>
      </w:r>
      <w:r w:rsidR="006F3C2B" w:rsidRPr="00C47563">
        <w:rPr>
          <w:rFonts w:ascii="Times New Roman" w:hAnsi="Times New Roman" w:cs="Times New Roman"/>
          <w:sz w:val="26"/>
          <w:szCs w:val="26"/>
        </w:rPr>
        <w:t>23 and RR 1-55</w:t>
      </w:r>
      <w:r w:rsidR="005064A7"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w:t>
      </w:r>
      <w:r w:rsidR="00353D76" w:rsidRPr="00C47563">
        <w:rPr>
          <w:rFonts w:ascii="Times New Roman" w:hAnsi="Times New Roman" w:cs="Times New Roman"/>
          <w:sz w:val="26"/>
          <w:szCs w:val="26"/>
        </w:rPr>
        <w:t xml:space="preserve">The ALJ observed that </w:t>
      </w:r>
      <w:r w:rsidR="006F3C2B" w:rsidRPr="00C47563">
        <w:rPr>
          <w:rFonts w:ascii="Times New Roman" w:hAnsi="Times New Roman" w:cs="Times New Roman"/>
          <w:sz w:val="26"/>
          <w:szCs w:val="26"/>
        </w:rPr>
        <w:t xml:space="preserve">Columbia has responded to over 800 formal interrogatories, including subparts, from the various </w:t>
      </w:r>
      <w:r w:rsidR="009B5DDB" w:rsidRPr="00C47563">
        <w:rPr>
          <w:rFonts w:ascii="Times New Roman" w:hAnsi="Times New Roman" w:cs="Times New Roman"/>
          <w:sz w:val="26"/>
          <w:szCs w:val="26"/>
        </w:rPr>
        <w:t>P</w:t>
      </w:r>
      <w:r w:rsidR="006F3C2B" w:rsidRPr="00C47563">
        <w:rPr>
          <w:rFonts w:ascii="Times New Roman" w:hAnsi="Times New Roman" w:cs="Times New Roman"/>
          <w:sz w:val="26"/>
          <w:szCs w:val="26"/>
        </w:rPr>
        <w:t>arties</w:t>
      </w:r>
      <w:r w:rsidR="00353D76" w:rsidRPr="00C47563">
        <w:rPr>
          <w:rFonts w:ascii="Times New Roman" w:hAnsi="Times New Roman" w:cs="Times New Roman"/>
          <w:sz w:val="26"/>
          <w:szCs w:val="26"/>
        </w:rPr>
        <w:t>; m</w:t>
      </w:r>
      <w:r w:rsidR="006F3C2B" w:rsidRPr="00C47563">
        <w:rPr>
          <w:rFonts w:ascii="Times New Roman" w:hAnsi="Times New Roman" w:cs="Times New Roman"/>
          <w:sz w:val="26"/>
          <w:szCs w:val="26"/>
        </w:rPr>
        <w:t>ultiple expert witnesses have reviewed Columbia’s filing information and the testimony of Columbia’s witnesses and have submitted their own testimony analyzing Columbia’s case</w:t>
      </w:r>
      <w:r w:rsidR="00BD3E7A" w:rsidRPr="00C47563">
        <w:rPr>
          <w:rFonts w:ascii="Times New Roman" w:hAnsi="Times New Roman" w:cs="Times New Roman"/>
          <w:sz w:val="26"/>
          <w:szCs w:val="26"/>
        </w:rPr>
        <w:t xml:space="preserve">; </w:t>
      </w:r>
      <w:r w:rsidR="00473754" w:rsidRPr="00C47563">
        <w:rPr>
          <w:rFonts w:ascii="Times New Roman" w:hAnsi="Times New Roman" w:cs="Times New Roman"/>
          <w:sz w:val="26"/>
          <w:szCs w:val="26"/>
        </w:rPr>
        <w:t xml:space="preserve">and </w:t>
      </w:r>
      <w:r w:rsidR="00BD3E7A" w:rsidRPr="00C47563">
        <w:rPr>
          <w:rFonts w:ascii="Times New Roman" w:hAnsi="Times New Roman" w:cs="Times New Roman"/>
          <w:sz w:val="26"/>
          <w:szCs w:val="26"/>
        </w:rPr>
        <w:t>f</w:t>
      </w:r>
      <w:r w:rsidR="006F3C2B" w:rsidRPr="00C47563">
        <w:rPr>
          <w:rFonts w:ascii="Times New Roman" w:hAnsi="Times New Roman" w:cs="Times New Roman"/>
          <w:sz w:val="26"/>
          <w:szCs w:val="26"/>
        </w:rPr>
        <w:t xml:space="preserve">our public input hearings and a technical evidentiary hearing were held to hear public opinion and to examine Columbia’s case.  </w:t>
      </w:r>
      <w:r w:rsidR="00031BF3" w:rsidRPr="00C47563">
        <w:rPr>
          <w:rFonts w:ascii="Times New Roman" w:hAnsi="Times New Roman" w:cs="Times New Roman"/>
          <w:sz w:val="26"/>
          <w:szCs w:val="26"/>
        </w:rPr>
        <w:t>R.D. at 60</w:t>
      </w:r>
      <w:r w:rsidR="006B599C" w:rsidRPr="00C47563">
        <w:rPr>
          <w:rFonts w:ascii="Times New Roman" w:hAnsi="Times New Roman" w:cs="Times New Roman"/>
          <w:sz w:val="26"/>
          <w:szCs w:val="26"/>
        </w:rPr>
        <w:t>.</w:t>
      </w:r>
      <w:r w:rsidR="00C47563" w:rsidRPr="00C47563">
        <w:rPr>
          <w:rFonts w:ascii="Times New Roman" w:hAnsi="Times New Roman" w:cs="Times New Roman"/>
          <w:sz w:val="26"/>
          <w:szCs w:val="26"/>
        </w:rPr>
        <w:t xml:space="preserve">  </w:t>
      </w:r>
    </w:p>
    <w:p w14:paraId="495CDD1B" w14:textId="7A3B5CB6" w:rsidR="006F3C2B" w:rsidRPr="00C47563" w:rsidRDefault="006F3C2B" w:rsidP="00C47563">
      <w:pPr>
        <w:spacing w:after="0" w:line="360" w:lineRule="auto"/>
        <w:ind w:left="1440"/>
        <w:rPr>
          <w:rFonts w:ascii="Times New Roman" w:hAnsi="Times New Roman" w:cs="Times New Roman"/>
          <w:sz w:val="26"/>
          <w:szCs w:val="26"/>
        </w:rPr>
      </w:pPr>
    </w:p>
    <w:p w14:paraId="5B21E73B" w14:textId="2AFB8414" w:rsidR="006F3C2B" w:rsidRPr="00C47563" w:rsidRDefault="001C72AD" w:rsidP="00C47563">
      <w:pPr>
        <w:spacing w:after="0" w:line="360" w:lineRule="auto"/>
        <w:ind w:right="3" w:firstLine="1440"/>
        <w:rPr>
          <w:rFonts w:ascii="Times New Roman" w:hAnsi="Times New Roman" w:cs="Times New Roman"/>
          <w:sz w:val="26"/>
          <w:szCs w:val="26"/>
        </w:rPr>
      </w:pPr>
      <w:r w:rsidRPr="00C47563">
        <w:rPr>
          <w:rFonts w:ascii="Times New Roman" w:hAnsi="Times New Roman" w:cs="Times New Roman"/>
          <w:sz w:val="26"/>
          <w:szCs w:val="26"/>
        </w:rPr>
        <w:t xml:space="preserve">Second, the ALJ addressed </w:t>
      </w:r>
      <w:r w:rsidR="006F3C2B" w:rsidRPr="00C47563">
        <w:rPr>
          <w:rFonts w:ascii="Times New Roman" w:hAnsi="Times New Roman" w:cs="Times New Roman"/>
          <w:sz w:val="26"/>
          <w:szCs w:val="26"/>
        </w:rPr>
        <w:t>Mr. Culbertson</w:t>
      </w:r>
      <w:r w:rsidRPr="00C47563">
        <w:rPr>
          <w:rFonts w:ascii="Times New Roman" w:hAnsi="Times New Roman" w:cs="Times New Roman"/>
          <w:sz w:val="26"/>
          <w:szCs w:val="26"/>
        </w:rPr>
        <w:t>’s argument that</w:t>
      </w:r>
      <w:r w:rsidR="006F3C2B" w:rsidRPr="00C47563">
        <w:rPr>
          <w:rFonts w:ascii="Times New Roman" w:hAnsi="Times New Roman" w:cs="Times New Roman"/>
          <w:sz w:val="26"/>
          <w:szCs w:val="26"/>
        </w:rPr>
        <w:t xml:space="preserve"> there is no reasonable assurance that the rates agreed to in the Settlement are just, reasonable and lawful.  </w:t>
      </w:r>
      <w:r w:rsidR="00C462FC" w:rsidRPr="00C47563">
        <w:rPr>
          <w:rFonts w:ascii="Times New Roman" w:hAnsi="Times New Roman" w:cs="Times New Roman"/>
          <w:sz w:val="26"/>
          <w:szCs w:val="26"/>
        </w:rPr>
        <w:t xml:space="preserve">R.D. at 60 (citing </w:t>
      </w:r>
      <w:r w:rsidR="006F3C2B" w:rsidRPr="00C47563">
        <w:rPr>
          <w:rFonts w:ascii="Times New Roman" w:hAnsi="Times New Roman" w:cs="Times New Roman"/>
          <w:sz w:val="26"/>
          <w:szCs w:val="26"/>
        </w:rPr>
        <w:t>Culbertson M.B.</w:t>
      </w:r>
      <w:r w:rsidR="00C462FC" w:rsidRPr="00C47563">
        <w:rPr>
          <w:rFonts w:ascii="Times New Roman" w:hAnsi="Times New Roman" w:cs="Times New Roman"/>
          <w:sz w:val="26"/>
          <w:szCs w:val="26"/>
        </w:rPr>
        <w:t xml:space="preserve"> at</w:t>
      </w:r>
      <w:r w:rsidR="006F3C2B" w:rsidRPr="00C47563">
        <w:rPr>
          <w:rFonts w:ascii="Times New Roman" w:hAnsi="Times New Roman" w:cs="Times New Roman"/>
          <w:sz w:val="26"/>
          <w:szCs w:val="26"/>
        </w:rPr>
        <w:t xml:space="preserve"> 6-7</w:t>
      </w:r>
      <w:r w:rsidR="00C462FC"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w:t>
      </w:r>
      <w:r w:rsidR="00C462FC" w:rsidRPr="00C47563">
        <w:rPr>
          <w:rFonts w:ascii="Times New Roman" w:hAnsi="Times New Roman" w:cs="Times New Roman"/>
          <w:sz w:val="26"/>
          <w:szCs w:val="26"/>
        </w:rPr>
        <w:t xml:space="preserve">The ALJ concluded that </w:t>
      </w:r>
      <w:r w:rsidR="006F3C2B" w:rsidRPr="00C47563">
        <w:rPr>
          <w:rFonts w:ascii="Times New Roman" w:hAnsi="Times New Roman" w:cs="Times New Roman"/>
          <w:sz w:val="26"/>
          <w:szCs w:val="26"/>
        </w:rPr>
        <w:t xml:space="preserve">Mr. Culbertson </w:t>
      </w:r>
      <w:r w:rsidR="00E012D7" w:rsidRPr="00C47563">
        <w:rPr>
          <w:rFonts w:ascii="Times New Roman" w:hAnsi="Times New Roman" w:cs="Times New Roman"/>
          <w:sz w:val="26"/>
          <w:szCs w:val="26"/>
        </w:rPr>
        <w:t xml:space="preserve">did not present any </w:t>
      </w:r>
      <w:r w:rsidR="006F3C2B" w:rsidRPr="00C47563">
        <w:rPr>
          <w:rFonts w:ascii="Times New Roman" w:hAnsi="Times New Roman" w:cs="Times New Roman"/>
          <w:sz w:val="26"/>
          <w:szCs w:val="26"/>
        </w:rPr>
        <w:t xml:space="preserve">factual basis to overcome the substantial evidence of record supporting the rate increase agreed to by </w:t>
      </w:r>
      <w:r w:rsidR="00A64FF3" w:rsidRPr="00C47563">
        <w:rPr>
          <w:rFonts w:ascii="Times New Roman" w:hAnsi="Times New Roman" w:cs="Times New Roman"/>
          <w:sz w:val="26"/>
          <w:szCs w:val="26"/>
        </w:rPr>
        <w:t xml:space="preserve">the </w:t>
      </w:r>
      <w:r w:rsidR="006F3C2B" w:rsidRPr="00C47563">
        <w:rPr>
          <w:rFonts w:ascii="Times New Roman" w:hAnsi="Times New Roman" w:cs="Times New Roman"/>
          <w:sz w:val="26"/>
          <w:szCs w:val="26"/>
        </w:rPr>
        <w:t xml:space="preserve">Joint Petitioners.  </w:t>
      </w:r>
      <w:r w:rsidR="00BB1145" w:rsidRPr="00C47563">
        <w:rPr>
          <w:rFonts w:ascii="Times New Roman" w:hAnsi="Times New Roman" w:cs="Times New Roman"/>
          <w:sz w:val="26"/>
          <w:szCs w:val="26"/>
        </w:rPr>
        <w:t xml:space="preserve">R.D. at 60.  </w:t>
      </w:r>
      <w:r w:rsidR="005C47F6" w:rsidRPr="00C47563">
        <w:rPr>
          <w:rFonts w:ascii="Times New Roman" w:hAnsi="Times New Roman" w:cs="Times New Roman"/>
          <w:sz w:val="26"/>
          <w:szCs w:val="26"/>
        </w:rPr>
        <w:t xml:space="preserve">The ALJ reasoned that </w:t>
      </w:r>
      <w:r w:rsidR="006F3C2B" w:rsidRPr="00C47563">
        <w:rPr>
          <w:rFonts w:ascii="Times New Roman" w:hAnsi="Times New Roman" w:cs="Times New Roman"/>
          <w:sz w:val="26"/>
          <w:szCs w:val="26"/>
        </w:rPr>
        <w:t>Mr. Culbertson presented no evidence challenging any specific aspect of Columbia’s case, including the detailed information provided regarding the Company’s rate base, capital investments</w:t>
      </w:r>
      <w:r w:rsidR="005C47F6"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and O&amp;M expenses.  </w:t>
      </w:r>
      <w:r w:rsidR="00BB1145" w:rsidRPr="00C47563">
        <w:rPr>
          <w:rFonts w:ascii="Times New Roman" w:hAnsi="Times New Roman" w:cs="Times New Roman"/>
          <w:i/>
          <w:iCs/>
          <w:sz w:val="26"/>
          <w:szCs w:val="26"/>
        </w:rPr>
        <w:t>Id</w:t>
      </w:r>
      <w:r w:rsidR="00BB1145" w:rsidRPr="00C47563">
        <w:rPr>
          <w:rFonts w:ascii="Times New Roman" w:hAnsi="Times New Roman" w:cs="Times New Roman"/>
          <w:sz w:val="26"/>
          <w:szCs w:val="26"/>
        </w:rPr>
        <w:t>. at 61 (citing Col</w:t>
      </w:r>
      <w:r w:rsidR="006F3C2B" w:rsidRPr="00C47563">
        <w:rPr>
          <w:rFonts w:ascii="Times New Roman" w:hAnsi="Times New Roman" w:cs="Times New Roman"/>
          <w:sz w:val="26"/>
          <w:szCs w:val="26"/>
        </w:rPr>
        <w:t>umbia Exh</w:t>
      </w:r>
      <w:r w:rsidR="00BB1145" w:rsidRPr="00C47563">
        <w:rPr>
          <w:rFonts w:ascii="Times New Roman" w:hAnsi="Times New Roman" w:cs="Times New Roman"/>
          <w:sz w:val="26"/>
          <w:szCs w:val="26"/>
        </w:rPr>
        <w:t>s</w:t>
      </w:r>
      <w:r w:rsidR="006F3C2B" w:rsidRPr="00C47563">
        <w:rPr>
          <w:rFonts w:ascii="Times New Roman" w:hAnsi="Times New Roman" w:cs="Times New Roman"/>
          <w:sz w:val="26"/>
          <w:szCs w:val="26"/>
        </w:rPr>
        <w:t>. 10</w:t>
      </w:r>
      <w:r w:rsidR="00965F84" w:rsidRPr="00C47563">
        <w:rPr>
          <w:rFonts w:ascii="Times New Roman" w:hAnsi="Times New Roman" w:cs="Times New Roman"/>
          <w:sz w:val="26"/>
          <w:szCs w:val="26"/>
        </w:rPr>
        <w:t>4,</w:t>
      </w:r>
      <w:r w:rsidR="006F3C2B" w:rsidRPr="00C47563">
        <w:rPr>
          <w:rFonts w:ascii="Times New Roman" w:hAnsi="Times New Roman" w:cs="Times New Roman"/>
          <w:sz w:val="26"/>
          <w:szCs w:val="26"/>
        </w:rPr>
        <w:t xml:space="preserve"> 10</w:t>
      </w:r>
      <w:r w:rsidR="00965F84" w:rsidRPr="00C47563">
        <w:rPr>
          <w:rFonts w:ascii="Times New Roman" w:hAnsi="Times New Roman" w:cs="Times New Roman"/>
          <w:sz w:val="26"/>
          <w:szCs w:val="26"/>
        </w:rPr>
        <w:t>8</w:t>
      </w:r>
      <w:r w:rsidR="00722B00"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w:t>
      </w:r>
      <w:r w:rsidR="00AC7157" w:rsidRPr="00C47563">
        <w:rPr>
          <w:rFonts w:ascii="Times New Roman" w:hAnsi="Times New Roman" w:cs="Times New Roman"/>
          <w:sz w:val="26"/>
          <w:szCs w:val="26"/>
        </w:rPr>
        <w:t xml:space="preserve">The ALJ also reasoned that </w:t>
      </w:r>
      <w:r w:rsidR="006F3C2B" w:rsidRPr="00C47563">
        <w:rPr>
          <w:rFonts w:ascii="Times New Roman" w:hAnsi="Times New Roman" w:cs="Times New Roman"/>
          <w:sz w:val="26"/>
          <w:szCs w:val="26"/>
        </w:rPr>
        <w:t xml:space="preserve">Mr. Culbertson did not challenge any of the evidence presented by the other active </w:t>
      </w:r>
      <w:r w:rsidR="00BB1145" w:rsidRPr="00C47563">
        <w:rPr>
          <w:rFonts w:ascii="Times New Roman" w:hAnsi="Times New Roman" w:cs="Times New Roman"/>
          <w:sz w:val="26"/>
          <w:szCs w:val="26"/>
        </w:rPr>
        <w:t>P</w:t>
      </w:r>
      <w:r w:rsidR="006F3C2B" w:rsidRPr="00C47563">
        <w:rPr>
          <w:rFonts w:ascii="Times New Roman" w:hAnsi="Times New Roman" w:cs="Times New Roman"/>
          <w:sz w:val="26"/>
          <w:szCs w:val="26"/>
        </w:rPr>
        <w:t>arties to this proceeding.</w:t>
      </w:r>
      <w:r w:rsidR="00965F84" w:rsidRPr="00C47563">
        <w:rPr>
          <w:rFonts w:ascii="Times New Roman" w:hAnsi="Times New Roman" w:cs="Times New Roman"/>
          <w:sz w:val="26"/>
          <w:szCs w:val="26"/>
        </w:rPr>
        <w:t xml:space="preserve">  </w:t>
      </w:r>
      <w:r w:rsidR="00AD560A" w:rsidRPr="00C47563">
        <w:rPr>
          <w:rFonts w:ascii="Times New Roman" w:hAnsi="Times New Roman" w:cs="Times New Roman"/>
          <w:sz w:val="26"/>
          <w:szCs w:val="26"/>
        </w:rPr>
        <w:t xml:space="preserve">Third, the ALJ </w:t>
      </w:r>
      <w:r w:rsidR="008E035D" w:rsidRPr="00C47563">
        <w:rPr>
          <w:rFonts w:ascii="Times New Roman" w:hAnsi="Times New Roman" w:cs="Times New Roman"/>
          <w:sz w:val="26"/>
          <w:szCs w:val="26"/>
        </w:rPr>
        <w:t>state</w:t>
      </w:r>
      <w:r w:rsidR="003B7BD8" w:rsidRPr="00C47563">
        <w:rPr>
          <w:rFonts w:ascii="Times New Roman" w:hAnsi="Times New Roman" w:cs="Times New Roman"/>
          <w:sz w:val="26"/>
          <w:szCs w:val="26"/>
        </w:rPr>
        <w:t xml:space="preserve">d that </w:t>
      </w:r>
      <w:r w:rsidR="006F3C2B" w:rsidRPr="00C47563">
        <w:rPr>
          <w:rFonts w:ascii="Times New Roman" w:hAnsi="Times New Roman" w:cs="Times New Roman"/>
          <w:sz w:val="26"/>
          <w:szCs w:val="26"/>
        </w:rPr>
        <w:t>Mr. Culbertson made allegations concerning Columbia’s audits, internal controls,</w:t>
      </w:r>
      <w:r w:rsidR="003B7BD8" w:rsidRPr="00C47563">
        <w:rPr>
          <w:rFonts w:ascii="Times New Roman" w:hAnsi="Times New Roman" w:cs="Times New Roman"/>
          <w:sz w:val="26"/>
          <w:szCs w:val="26"/>
        </w:rPr>
        <w:t xml:space="preserve"> </w:t>
      </w:r>
      <w:r w:rsidR="006F3C2B" w:rsidRPr="00C47563">
        <w:rPr>
          <w:rFonts w:ascii="Times New Roman" w:hAnsi="Times New Roman" w:cs="Times New Roman"/>
          <w:sz w:val="26"/>
          <w:szCs w:val="26"/>
        </w:rPr>
        <w:t>rates, rate base</w:t>
      </w:r>
      <w:r w:rsidR="003B7BD8"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and safety </w:t>
      </w:r>
      <w:r w:rsidR="008E035D" w:rsidRPr="00C47563">
        <w:rPr>
          <w:rFonts w:ascii="Times New Roman" w:hAnsi="Times New Roman" w:cs="Times New Roman"/>
          <w:sz w:val="26"/>
          <w:szCs w:val="26"/>
        </w:rPr>
        <w:t>but he</w:t>
      </w:r>
      <w:r w:rsidR="006F3C2B" w:rsidRPr="00C47563">
        <w:rPr>
          <w:rFonts w:ascii="Times New Roman" w:hAnsi="Times New Roman" w:cs="Times New Roman"/>
          <w:sz w:val="26"/>
          <w:szCs w:val="26"/>
        </w:rPr>
        <w:t xml:space="preserve"> failed to support </w:t>
      </w:r>
      <w:r w:rsidR="008E035D" w:rsidRPr="00C47563">
        <w:rPr>
          <w:rFonts w:ascii="Times New Roman" w:hAnsi="Times New Roman" w:cs="Times New Roman"/>
          <w:sz w:val="26"/>
          <w:szCs w:val="26"/>
        </w:rPr>
        <w:t xml:space="preserve">those allegations </w:t>
      </w:r>
      <w:r w:rsidR="006F3C2B" w:rsidRPr="00C47563">
        <w:rPr>
          <w:rFonts w:ascii="Times New Roman" w:hAnsi="Times New Roman" w:cs="Times New Roman"/>
          <w:sz w:val="26"/>
          <w:szCs w:val="26"/>
        </w:rPr>
        <w:t>with substantial evidence</w:t>
      </w:r>
      <w:r w:rsidR="00517885"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w:t>
      </w:r>
      <w:r w:rsidR="00CF0E43" w:rsidRPr="00C47563">
        <w:rPr>
          <w:rFonts w:ascii="Times New Roman" w:hAnsi="Times New Roman" w:cs="Times New Roman"/>
          <w:sz w:val="26"/>
          <w:szCs w:val="26"/>
        </w:rPr>
        <w:t>R.D. at 61.</w:t>
      </w:r>
    </w:p>
    <w:p w14:paraId="0E06B1D6" w14:textId="77777777" w:rsidR="00BC0480" w:rsidRPr="00C47563" w:rsidRDefault="00BC0480" w:rsidP="00C47563">
      <w:pPr>
        <w:spacing w:after="0" w:line="360" w:lineRule="auto"/>
        <w:ind w:right="3" w:firstLine="1440"/>
        <w:rPr>
          <w:rFonts w:ascii="Times New Roman" w:hAnsi="Times New Roman" w:cs="Times New Roman"/>
          <w:sz w:val="26"/>
          <w:szCs w:val="26"/>
        </w:rPr>
      </w:pPr>
    </w:p>
    <w:p w14:paraId="60763E3C" w14:textId="7A530FCC" w:rsidR="006F3C2B" w:rsidRPr="00C47563" w:rsidRDefault="00CF0E43" w:rsidP="00B65CFE">
      <w:pPr>
        <w:spacing w:after="0" w:line="360" w:lineRule="auto"/>
        <w:ind w:firstLine="1440"/>
        <w:rPr>
          <w:rFonts w:ascii="Times New Roman" w:hAnsi="Times New Roman" w:cs="Times New Roman"/>
          <w:b/>
          <w:bCs/>
          <w:sz w:val="26"/>
          <w:szCs w:val="26"/>
        </w:rPr>
      </w:pPr>
      <w:r w:rsidRPr="00C47563">
        <w:rPr>
          <w:rFonts w:ascii="Times New Roman" w:hAnsi="Times New Roman" w:cs="Times New Roman"/>
          <w:sz w:val="26"/>
          <w:szCs w:val="26"/>
        </w:rPr>
        <w:t xml:space="preserve">Finally, the ALJ </w:t>
      </w:r>
      <w:r w:rsidR="00204942" w:rsidRPr="00C47563">
        <w:rPr>
          <w:rFonts w:ascii="Times New Roman" w:hAnsi="Times New Roman" w:cs="Times New Roman"/>
          <w:sz w:val="26"/>
          <w:szCs w:val="26"/>
        </w:rPr>
        <w:t xml:space="preserve">stated that some of the </w:t>
      </w:r>
      <w:r w:rsidR="006F3C2B" w:rsidRPr="00C47563">
        <w:rPr>
          <w:rFonts w:ascii="Times New Roman" w:hAnsi="Times New Roman" w:cs="Times New Roman"/>
          <w:sz w:val="26"/>
          <w:szCs w:val="26"/>
        </w:rPr>
        <w:t xml:space="preserve">issues </w:t>
      </w:r>
      <w:r w:rsidR="00A450B3" w:rsidRPr="00C47563">
        <w:rPr>
          <w:rFonts w:ascii="Times New Roman" w:hAnsi="Times New Roman" w:cs="Times New Roman"/>
          <w:sz w:val="26"/>
          <w:szCs w:val="26"/>
        </w:rPr>
        <w:t xml:space="preserve">Mr. Culbertson </w:t>
      </w:r>
      <w:r w:rsidR="006F3C2B" w:rsidRPr="00C47563">
        <w:rPr>
          <w:rFonts w:ascii="Times New Roman" w:hAnsi="Times New Roman" w:cs="Times New Roman"/>
          <w:sz w:val="26"/>
          <w:szCs w:val="26"/>
        </w:rPr>
        <w:t>raised w</w:t>
      </w:r>
      <w:r w:rsidR="00204942" w:rsidRPr="00C47563">
        <w:rPr>
          <w:rFonts w:ascii="Times New Roman" w:hAnsi="Times New Roman" w:cs="Times New Roman"/>
          <w:sz w:val="26"/>
          <w:szCs w:val="26"/>
        </w:rPr>
        <w:t>ould not</w:t>
      </w:r>
      <w:r w:rsidR="006F3C2B" w:rsidRPr="00C47563">
        <w:rPr>
          <w:rFonts w:ascii="Times New Roman" w:hAnsi="Times New Roman" w:cs="Times New Roman"/>
          <w:sz w:val="26"/>
          <w:szCs w:val="26"/>
        </w:rPr>
        <w:t xml:space="preserve"> be addressed </w:t>
      </w:r>
      <w:r w:rsidR="007C1A85" w:rsidRPr="00C47563">
        <w:rPr>
          <w:rFonts w:ascii="Times New Roman" w:hAnsi="Times New Roman" w:cs="Times New Roman"/>
          <w:sz w:val="26"/>
          <w:szCs w:val="26"/>
        </w:rPr>
        <w:t>in the</w:t>
      </w:r>
      <w:r w:rsidR="006F3C2B" w:rsidRPr="00C47563">
        <w:rPr>
          <w:rFonts w:ascii="Times New Roman" w:hAnsi="Times New Roman" w:cs="Times New Roman"/>
          <w:sz w:val="26"/>
          <w:szCs w:val="26"/>
        </w:rPr>
        <w:t xml:space="preserve"> Recommended Decision because they are not relevant to this base rate filing.  </w:t>
      </w:r>
      <w:r w:rsidR="00894374" w:rsidRPr="00C47563">
        <w:rPr>
          <w:rFonts w:ascii="Times New Roman" w:hAnsi="Times New Roman" w:cs="Times New Roman"/>
          <w:sz w:val="26"/>
          <w:szCs w:val="26"/>
        </w:rPr>
        <w:t>The ALJ noted that i</w:t>
      </w:r>
      <w:r w:rsidR="006F3C2B" w:rsidRPr="00C47563">
        <w:rPr>
          <w:rFonts w:ascii="Times New Roman" w:hAnsi="Times New Roman" w:cs="Times New Roman"/>
          <w:sz w:val="26"/>
          <w:szCs w:val="26"/>
        </w:rPr>
        <w:t xml:space="preserve">ssues relating to discovery were raised previously and addressed in interim orders.  </w:t>
      </w:r>
      <w:r w:rsidR="00894374" w:rsidRPr="00C47563">
        <w:rPr>
          <w:rFonts w:ascii="Times New Roman" w:hAnsi="Times New Roman" w:cs="Times New Roman"/>
          <w:sz w:val="26"/>
          <w:szCs w:val="26"/>
        </w:rPr>
        <w:t>The ALJ also noted that i</w:t>
      </w:r>
      <w:r w:rsidR="006F3C2B" w:rsidRPr="00C47563">
        <w:rPr>
          <w:rFonts w:ascii="Times New Roman" w:hAnsi="Times New Roman" w:cs="Times New Roman"/>
          <w:sz w:val="26"/>
          <w:szCs w:val="26"/>
        </w:rPr>
        <w:t>ssues concerning gas service to another ratepayer</w:t>
      </w:r>
      <w:r w:rsidR="003F1536" w:rsidRPr="00C47563">
        <w:rPr>
          <w:rFonts w:ascii="Times New Roman" w:hAnsi="Times New Roman" w:cs="Times New Roman"/>
          <w:sz w:val="26"/>
          <w:szCs w:val="26"/>
        </w:rPr>
        <w:t>, Mr. Hicks,</w:t>
      </w:r>
      <w:r w:rsidR="006F3C2B" w:rsidRPr="00C47563">
        <w:rPr>
          <w:rFonts w:ascii="Times New Roman" w:hAnsi="Times New Roman" w:cs="Times New Roman"/>
          <w:sz w:val="26"/>
          <w:szCs w:val="26"/>
        </w:rPr>
        <w:t xml:space="preserve"> who testified at a public input hearing are not relevant and cannot be raised by Mr. Culbertson</w:t>
      </w:r>
      <w:r w:rsidR="0013140A" w:rsidRPr="00C47563">
        <w:rPr>
          <w:rFonts w:ascii="Times New Roman" w:hAnsi="Times New Roman" w:cs="Times New Roman"/>
          <w:sz w:val="26"/>
          <w:szCs w:val="26"/>
        </w:rPr>
        <w:t xml:space="preserve"> because he </w:t>
      </w:r>
      <w:r w:rsidR="006F3C2B" w:rsidRPr="00C47563">
        <w:rPr>
          <w:rFonts w:ascii="Times New Roman" w:hAnsi="Times New Roman" w:cs="Times New Roman"/>
          <w:sz w:val="26"/>
          <w:szCs w:val="26"/>
        </w:rPr>
        <w:t>is not an attorney and cannot represent another ratepayer.</w:t>
      </w:r>
      <w:r w:rsidR="0013140A" w:rsidRPr="00C47563">
        <w:rPr>
          <w:rFonts w:ascii="Times New Roman" w:hAnsi="Times New Roman" w:cs="Times New Roman"/>
          <w:sz w:val="26"/>
          <w:szCs w:val="26"/>
        </w:rPr>
        <w:t xml:space="preserve"> </w:t>
      </w:r>
      <w:r w:rsidR="00C055F7" w:rsidRPr="00C47563">
        <w:rPr>
          <w:rFonts w:ascii="Times New Roman" w:hAnsi="Times New Roman" w:cs="Times New Roman"/>
          <w:sz w:val="26"/>
          <w:szCs w:val="26"/>
        </w:rPr>
        <w:t xml:space="preserve"> </w:t>
      </w:r>
      <w:r w:rsidR="00D818EB" w:rsidRPr="00C47563">
        <w:rPr>
          <w:rFonts w:ascii="Times New Roman" w:hAnsi="Times New Roman" w:cs="Times New Roman"/>
          <w:i/>
          <w:iCs/>
          <w:sz w:val="26"/>
          <w:szCs w:val="26"/>
        </w:rPr>
        <w:t>Id</w:t>
      </w:r>
      <w:r w:rsidR="00D818EB" w:rsidRPr="00C47563">
        <w:rPr>
          <w:rFonts w:ascii="Times New Roman" w:hAnsi="Times New Roman" w:cs="Times New Roman"/>
          <w:sz w:val="26"/>
          <w:szCs w:val="26"/>
        </w:rPr>
        <w:t xml:space="preserve">.  </w:t>
      </w:r>
      <w:r w:rsidR="00C055F7" w:rsidRPr="00C47563">
        <w:rPr>
          <w:rFonts w:ascii="Times New Roman" w:hAnsi="Times New Roman" w:cs="Times New Roman"/>
          <w:sz w:val="26"/>
          <w:szCs w:val="26"/>
        </w:rPr>
        <w:t>The ALJ then observed that t</w:t>
      </w:r>
      <w:r w:rsidR="006F3C2B" w:rsidRPr="00C47563">
        <w:rPr>
          <w:rFonts w:ascii="Times New Roman" w:hAnsi="Times New Roman" w:cs="Times New Roman"/>
          <w:sz w:val="26"/>
          <w:szCs w:val="26"/>
        </w:rPr>
        <w:t xml:space="preserve">he primary issue underlying Mr. Culbertson’s Complaint in this proceeding is his belief that Columbia improperly disconnected an inactive service line at 1608 McFarland Road, Pittsburgh, Pennsylvania, and subsequently required Mr. Culbertson to replace the customer-owned portion of the service line before restoring service.  </w:t>
      </w:r>
      <w:r w:rsidR="00D818EB" w:rsidRPr="00C47563">
        <w:rPr>
          <w:rFonts w:ascii="Times New Roman" w:hAnsi="Times New Roman" w:cs="Times New Roman"/>
          <w:i/>
          <w:iCs/>
          <w:sz w:val="26"/>
          <w:szCs w:val="26"/>
        </w:rPr>
        <w:t>Id</w:t>
      </w:r>
      <w:r w:rsidR="00D818EB" w:rsidRPr="00C47563">
        <w:rPr>
          <w:rFonts w:ascii="Times New Roman" w:hAnsi="Times New Roman" w:cs="Times New Roman"/>
          <w:sz w:val="26"/>
          <w:szCs w:val="26"/>
        </w:rPr>
        <w:t xml:space="preserve">. at 62 (citing </w:t>
      </w:r>
      <w:r w:rsidR="006F3C2B" w:rsidRPr="00C47563">
        <w:rPr>
          <w:rFonts w:ascii="Times New Roman" w:hAnsi="Times New Roman" w:cs="Times New Roman"/>
          <w:sz w:val="26"/>
          <w:szCs w:val="26"/>
        </w:rPr>
        <w:t>Rate Complaint</w:t>
      </w:r>
      <w:r w:rsidR="00D818EB" w:rsidRPr="00C47563">
        <w:rPr>
          <w:rFonts w:ascii="Times New Roman" w:hAnsi="Times New Roman" w:cs="Times New Roman"/>
          <w:sz w:val="26"/>
          <w:szCs w:val="26"/>
        </w:rPr>
        <w:t xml:space="preserve"> at</w:t>
      </w:r>
      <w:r w:rsidR="006F3C2B" w:rsidRPr="00C47563">
        <w:rPr>
          <w:rFonts w:ascii="Times New Roman" w:hAnsi="Times New Roman" w:cs="Times New Roman"/>
          <w:sz w:val="26"/>
          <w:szCs w:val="26"/>
        </w:rPr>
        <w:t xml:space="preserve"> 10, 25, 27-30, 40-46, 50, 53, 59</w:t>
      </w:r>
      <w:r w:rsidR="00E05220" w:rsidRPr="00C47563">
        <w:rPr>
          <w:rFonts w:ascii="Times New Roman" w:hAnsi="Times New Roman" w:cs="Times New Roman"/>
          <w:sz w:val="26"/>
          <w:szCs w:val="26"/>
        </w:rPr>
        <w:t>)</w:t>
      </w:r>
      <w:r w:rsidR="006F3C2B" w:rsidRPr="00C47563">
        <w:rPr>
          <w:rFonts w:ascii="Times New Roman" w:hAnsi="Times New Roman" w:cs="Times New Roman"/>
          <w:sz w:val="26"/>
          <w:szCs w:val="26"/>
        </w:rPr>
        <w:t xml:space="preserve">.  </w:t>
      </w:r>
      <w:r w:rsidR="00E05220" w:rsidRPr="00C47563">
        <w:rPr>
          <w:rFonts w:ascii="Times New Roman" w:hAnsi="Times New Roman" w:cs="Times New Roman"/>
          <w:sz w:val="26"/>
          <w:szCs w:val="26"/>
        </w:rPr>
        <w:t>The ALJ reasoned that t</w:t>
      </w:r>
      <w:r w:rsidR="006F3C2B" w:rsidRPr="00C47563">
        <w:rPr>
          <w:rFonts w:ascii="Times New Roman" w:hAnsi="Times New Roman" w:cs="Times New Roman"/>
          <w:sz w:val="26"/>
          <w:szCs w:val="26"/>
        </w:rPr>
        <w:t xml:space="preserve">hese same issues were fully litigated in a separate complaint proceeding initiated by Mr. Culbertson against Columbia that is currently pending before the Commission.  </w:t>
      </w:r>
      <w:r w:rsidR="00E05220" w:rsidRPr="00C47563">
        <w:rPr>
          <w:rFonts w:ascii="Times New Roman" w:hAnsi="Times New Roman" w:cs="Times New Roman"/>
          <w:sz w:val="26"/>
          <w:szCs w:val="26"/>
        </w:rPr>
        <w:t>R.D. at 62</w:t>
      </w:r>
      <w:r w:rsidR="00F752A1" w:rsidRPr="00C47563">
        <w:rPr>
          <w:rFonts w:ascii="Times New Roman" w:hAnsi="Times New Roman" w:cs="Times New Roman"/>
          <w:sz w:val="26"/>
          <w:szCs w:val="26"/>
        </w:rPr>
        <w:t xml:space="preserve">; </w:t>
      </w:r>
      <w:r w:rsidR="00F752A1" w:rsidRPr="00C47563">
        <w:rPr>
          <w:rFonts w:ascii="Times New Roman" w:hAnsi="Times New Roman" w:cs="Times New Roman"/>
          <w:i/>
          <w:iCs/>
          <w:sz w:val="26"/>
          <w:szCs w:val="26"/>
        </w:rPr>
        <w:t>see</w:t>
      </w:r>
      <w:r w:rsidR="006F3C2B" w:rsidRPr="00C47563">
        <w:rPr>
          <w:rFonts w:ascii="Times New Roman" w:hAnsi="Times New Roman" w:cs="Times New Roman"/>
          <w:i/>
          <w:sz w:val="26"/>
          <w:szCs w:val="26"/>
        </w:rPr>
        <w:t xml:space="preserve"> Culbertson v. Columbia Gas of P</w:t>
      </w:r>
      <w:r w:rsidR="00DF656C" w:rsidRPr="00C47563">
        <w:rPr>
          <w:rFonts w:ascii="Times New Roman" w:hAnsi="Times New Roman" w:cs="Times New Roman"/>
          <w:i/>
          <w:sz w:val="26"/>
          <w:szCs w:val="26"/>
        </w:rPr>
        <w:t>ennsylvania</w:t>
      </w:r>
      <w:r w:rsidR="006F3C2B" w:rsidRPr="00C47563">
        <w:rPr>
          <w:rFonts w:ascii="Times New Roman" w:hAnsi="Times New Roman" w:cs="Times New Roman"/>
          <w:i/>
          <w:sz w:val="26"/>
          <w:szCs w:val="26"/>
        </w:rPr>
        <w:t>., Inc.</w:t>
      </w:r>
      <w:r w:rsidR="006F3C2B" w:rsidRPr="00B65CFE">
        <w:rPr>
          <w:rFonts w:ascii="Times New Roman" w:hAnsi="Times New Roman" w:cs="Times New Roman"/>
          <w:iCs/>
          <w:sz w:val="26"/>
          <w:szCs w:val="26"/>
        </w:rPr>
        <w:t>,</w:t>
      </w:r>
      <w:r w:rsidR="006F3C2B" w:rsidRPr="00C47563">
        <w:rPr>
          <w:rFonts w:ascii="Times New Roman" w:hAnsi="Times New Roman" w:cs="Times New Roman"/>
          <w:sz w:val="26"/>
          <w:szCs w:val="26"/>
        </w:rPr>
        <w:t xml:space="preserve"> </w:t>
      </w:r>
      <w:bookmarkStart w:id="15" w:name="_Hlk87879984"/>
      <w:r w:rsidR="006F3C2B" w:rsidRPr="00C47563">
        <w:rPr>
          <w:rFonts w:ascii="Times New Roman" w:hAnsi="Times New Roman" w:cs="Times New Roman"/>
          <w:sz w:val="26"/>
          <w:szCs w:val="26"/>
        </w:rPr>
        <w:t>Docket No. F-</w:t>
      </w:r>
      <w:r w:rsidR="00E05220" w:rsidRPr="00C47563">
        <w:rPr>
          <w:rFonts w:ascii="Times New Roman" w:hAnsi="Times New Roman" w:cs="Times New Roman"/>
          <w:sz w:val="26"/>
          <w:szCs w:val="26"/>
        </w:rPr>
        <w:t xml:space="preserve"> </w:t>
      </w:r>
      <w:r w:rsidR="006F3C2B" w:rsidRPr="00C47563">
        <w:rPr>
          <w:rFonts w:ascii="Times New Roman" w:hAnsi="Times New Roman" w:cs="Times New Roman"/>
          <w:sz w:val="26"/>
          <w:szCs w:val="26"/>
        </w:rPr>
        <w:t xml:space="preserve">2017-2605797 </w:t>
      </w:r>
      <w:bookmarkEnd w:id="15"/>
      <w:r w:rsidR="006F3C2B" w:rsidRPr="00C47563">
        <w:rPr>
          <w:rFonts w:ascii="Times New Roman" w:hAnsi="Times New Roman" w:cs="Times New Roman"/>
          <w:sz w:val="26"/>
          <w:szCs w:val="26"/>
        </w:rPr>
        <w:t>(Initial Decision issued October</w:t>
      </w:r>
      <w:r w:rsidR="00352FE6">
        <w:rPr>
          <w:rFonts w:ascii="Times New Roman" w:hAnsi="Times New Roman" w:cs="Times New Roman"/>
          <w:sz w:val="26"/>
          <w:szCs w:val="26"/>
        </w:rPr>
        <w:t> </w:t>
      </w:r>
      <w:r w:rsidR="006F3C2B" w:rsidRPr="00C47563">
        <w:rPr>
          <w:rFonts w:ascii="Times New Roman" w:hAnsi="Times New Roman" w:cs="Times New Roman"/>
          <w:sz w:val="26"/>
          <w:szCs w:val="26"/>
        </w:rPr>
        <w:t>4,</w:t>
      </w:r>
      <w:r w:rsidR="00352FE6">
        <w:rPr>
          <w:rFonts w:ascii="Times New Roman" w:hAnsi="Times New Roman" w:cs="Times New Roman"/>
          <w:sz w:val="26"/>
          <w:szCs w:val="26"/>
        </w:rPr>
        <w:t> </w:t>
      </w:r>
      <w:r w:rsidR="006F3C2B" w:rsidRPr="00C47563">
        <w:rPr>
          <w:rFonts w:ascii="Times New Roman" w:hAnsi="Times New Roman" w:cs="Times New Roman"/>
          <w:sz w:val="26"/>
          <w:szCs w:val="26"/>
        </w:rPr>
        <w:t>2019).</w:t>
      </w:r>
      <w:r w:rsidR="006F7DA7" w:rsidRPr="00C47563">
        <w:rPr>
          <w:rStyle w:val="FootnoteReference"/>
          <w:rFonts w:ascii="Times New Roman" w:hAnsi="Times New Roman" w:cs="Times New Roman"/>
          <w:sz w:val="26"/>
          <w:szCs w:val="26"/>
        </w:rPr>
        <w:footnoteReference w:id="5"/>
      </w:r>
      <w:r w:rsidR="00C47563">
        <w:rPr>
          <w:rFonts w:ascii="Times New Roman" w:hAnsi="Times New Roman" w:cs="Times New Roman"/>
          <w:sz w:val="26"/>
          <w:szCs w:val="26"/>
        </w:rPr>
        <w:t xml:space="preserve">  </w:t>
      </w:r>
    </w:p>
    <w:p w14:paraId="333E5B9D" w14:textId="5F91FC65" w:rsidR="006F3C2B" w:rsidRPr="00C47563" w:rsidRDefault="006F3C2B" w:rsidP="00B65CFE">
      <w:pPr>
        <w:spacing w:after="0" w:line="360" w:lineRule="auto"/>
        <w:rPr>
          <w:rFonts w:ascii="Times New Roman" w:hAnsi="Times New Roman" w:cs="Times New Roman"/>
          <w:b/>
          <w:bCs/>
          <w:sz w:val="26"/>
          <w:szCs w:val="26"/>
        </w:rPr>
      </w:pPr>
    </w:p>
    <w:p w14:paraId="4A2D08F2" w14:textId="16C8363F" w:rsidR="00CD1D50" w:rsidRPr="00C47563" w:rsidRDefault="00E05220" w:rsidP="00352FE6">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Accordingly, the ALJ determined that </w:t>
      </w:r>
      <w:r w:rsidR="000250BB" w:rsidRPr="00C47563">
        <w:rPr>
          <w:rFonts w:ascii="Times New Roman" w:hAnsi="Times New Roman" w:cs="Times New Roman"/>
          <w:sz w:val="26"/>
          <w:szCs w:val="26"/>
        </w:rPr>
        <w:t xml:space="preserve">Mr. Culbertson’s </w:t>
      </w:r>
      <w:r w:rsidR="004C761A" w:rsidRPr="00C47563">
        <w:rPr>
          <w:rFonts w:ascii="Times New Roman" w:hAnsi="Times New Roman" w:cs="Times New Roman"/>
          <w:sz w:val="26"/>
          <w:szCs w:val="26"/>
        </w:rPr>
        <w:t xml:space="preserve">Rate </w:t>
      </w:r>
      <w:r w:rsidR="000250BB" w:rsidRPr="00C47563">
        <w:rPr>
          <w:rFonts w:ascii="Times New Roman" w:hAnsi="Times New Roman" w:cs="Times New Roman"/>
          <w:sz w:val="26"/>
          <w:szCs w:val="26"/>
        </w:rPr>
        <w:t xml:space="preserve">Complaint should be dismissed because he </w:t>
      </w:r>
      <w:r w:rsidR="00BA78C8" w:rsidRPr="00C47563">
        <w:rPr>
          <w:rFonts w:ascii="Times New Roman" w:hAnsi="Times New Roman" w:cs="Times New Roman"/>
          <w:sz w:val="26"/>
          <w:szCs w:val="26"/>
        </w:rPr>
        <w:t>“</w:t>
      </w:r>
      <w:r w:rsidR="000250BB" w:rsidRPr="00C47563">
        <w:rPr>
          <w:rFonts w:ascii="Times New Roman" w:hAnsi="Times New Roman" w:cs="Times New Roman"/>
          <w:sz w:val="26"/>
          <w:szCs w:val="26"/>
        </w:rPr>
        <w:t xml:space="preserve">failed to provide substantial and legally credible </w:t>
      </w:r>
      <w:r w:rsidR="00BA78C8" w:rsidRPr="00C47563">
        <w:rPr>
          <w:rFonts w:ascii="Times New Roman" w:hAnsi="Times New Roman" w:cs="Times New Roman"/>
          <w:sz w:val="26"/>
          <w:szCs w:val="26"/>
        </w:rPr>
        <w:t>evidence in support of his contentions</w:t>
      </w:r>
      <w:r w:rsidR="00B879FD" w:rsidRPr="00C47563">
        <w:rPr>
          <w:rFonts w:ascii="Times New Roman" w:hAnsi="Times New Roman" w:cs="Times New Roman"/>
          <w:sz w:val="26"/>
          <w:szCs w:val="26"/>
        </w:rPr>
        <w:t xml:space="preserve"> regarding Columbia’s rates and service.”  The ALJ also determined that Mr. Culbertson failed to </w:t>
      </w:r>
      <w:r w:rsidR="0048113E" w:rsidRPr="00C47563">
        <w:rPr>
          <w:rFonts w:ascii="Times New Roman" w:hAnsi="Times New Roman" w:cs="Times New Roman"/>
          <w:sz w:val="26"/>
          <w:szCs w:val="26"/>
        </w:rPr>
        <w:t xml:space="preserve">prove with substantial evidence </w:t>
      </w:r>
      <w:r w:rsidR="00B0745D" w:rsidRPr="00C47563">
        <w:rPr>
          <w:rFonts w:ascii="Times New Roman" w:hAnsi="Times New Roman" w:cs="Times New Roman"/>
          <w:sz w:val="26"/>
          <w:szCs w:val="26"/>
        </w:rPr>
        <w:t>that Columbia violated the Code, the Commission’s Regulat</w:t>
      </w:r>
      <w:r w:rsidR="00F54995" w:rsidRPr="00C47563">
        <w:rPr>
          <w:rFonts w:ascii="Times New Roman" w:hAnsi="Times New Roman" w:cs="Times New Roman"/>
          <w:sz w:val="26"/>
          <w:szCs w:val="26"/>
        </w:rPr>
        <w:t>ions or Orders</w:t>
      </w:r>
      <w:r w:rsidR="00335137" w:rsidRPr="00C47563">
        <w:rPr>
          <w:rFonts w:ascii="Times New Roman" w:hAnsi="Times New Roman" w:cs="Times New Roman"/>
          <w:sz w:val="26"/>
          <w:szCs w:val="26"/>
        </w:rPr>
        <w:t xml:space="preserve">, or Columbia’s Commission-approved tariff.  </w:t>
      </w:r>
      <w:r w:rsidR="009A2DFE" w:rsidRPr="00C47563">
        <w:rPr>
          <w:rFonts w:ascii="Times New Roman" w:hAnsi="Times New Roman" w:cs="Times New Roman"/>
          <w:sz w:val="26"/>
          <w:szCs w:val="26"/>
        </w:rPr>
        <w:t xml:space="preserve">R.D. at 59, </w:t>
      </w:r>
      <w:r w:rsidR="00F17C15" w:rsidRPr="00C47563">
        <w:rPr>
          <w:rFonts w:ascii="Times New Roman" w:hAnsi="Times New Roman" w:cs="Times New Roman"/>
          <w:sz w:val="26"/>
          <w:szCs w:val="26"/>
        </w:rPr>
        <w:t>62.</w:t>
      </w:r>
      <w:r w:rsidR="0048113E" w:rsidRPr="00C47563">
        <w:rPr>
          <w:rFonts w:ascii="Times New Roman" w:hAnsi="Times New Roman" w:cs="Times New Roman"/>
          <w:sz w:val="26"/>
          <w:szCs w:val="26"/>
        </w:rPr>
        <w:t xml:space="preserve"> </w:t>
      </w:r>
      <w:r w:rsidR="00BA78C8" w:rsidRPr="00C47563">
        <w:rPr>
          <w:rFonts w:ascii="Times New Roman" w:hAnsi="Times New Roman" w:cs="Times New Roman"/>
          <w:sz w:val="26"/>
          <w:szCs w:val="26"/>
        </w:rPr>
        <w:t xml:space="preserve"> </w:t>
      </w:r>
    </w:p>
    <w:p w14:paraId="1EA23A41" w14:textId="77777777" w:rsidR="00CC32C9" w:rsidRPr="00C47563" w:rsidRDefault="00CC32C9" w:rsidP="00352FE6">
      <w:pPr>
        <w:spacing w:after="0" w:line="360" w:lineRule="auto"/>
        <w:ind w:firstLine="1440"/>
        <w:rPr>
          <w:rFonts w:ascii="Times New Roman" w:hAnsi="Times New Roman" w:cs="Times New Roman"/>
          <w:bCs/>
          <w:sz w:val="26"/>
          <w:szCs w:val="26"/>
        </w:rPr>
      </w:pPr>
    </w:p>
    <w:p w14:paraId="4B144EA9" w14:textId="1CF06C4C" w:rsidR="00B43A4E" w:rsidRPr="00C47563" w:rsidRDefault="00500982" w:rsidP="00B65CFE">
      <w:pPr>
        <w:pStyle w:val="Heading3"/>
        <w:spacing w:line="360" w:lineRule="auto"/>
      </w:pPr>
      <w:bookmarkStart w:id="16" w:name="_Toc89253061"/>
      <w:bookmarkStart w:id="17" w:name="_Hlk506204845"/>
      <w:r w:rsidRPr="00C47563">
        <w:t>4</w:t>
      </w:r>
      <w:r w:rsidR="00B43A4E" w:rsidRPr="00C47563">
        <w:t>.</w:t>
      </w:r>
      <w:r w:rsidR="00B43A4E" w:rsidRPr="00C47563">
        <w:tab/>
      </w:r>
      <w:r w:rsidR="00E111BA" w:rsidRPr="00C47563">
        <w:t>Exceptions</w:t>
      </w:r>
      <w:r w:rsidR="0087520B" w:rsidRPr="00C47563">
        <w:t xml:space="preserve"> and R</w:t>
      </w:r>
      <w:r w:rsidR="006E2CF2">
        <w:t>eplies</w:t>
      </w:r>
      <w:r w:rsidR="00971BAA" w:rsidRPr="00C47563">
        <w:rPr>
          <w:rStyle w:val="FootnoteReference"/>
        </w:rPr>
        <w:footnoteReference w:id="6"/>
      </w:r>
      <w:bookmarkEnd w:id="16"/>
      <w:r w:rsidR="0087520B" w:rsidRPr="00C47563">
        <w:t xml:space="preserve"> </w:t>
      </w:r>
    </w:p>
    <w:p w14:paraId="651A89E6" w14:textId="3FF356FE" w:rsidR="00B43A4E" w:rsidRPr="00C47563" w:rsidRDefault="00B43A4E" w:rsidP="00B65CFE">
      <w:pPr>
        <w:keepNext/>
        <w:keepLines/>
        <w:spacing w:after="0" w:line="360" w:lineRule="auto"/>
        <w:ind w:firstLine="1440"/>
        <w:contextualSpacing/>
        <w:rPr>
          <w:rFonts w:ascii="Times New Roman" w:hAnsi="Times New Roman" w:cs="Times New Roman"/>
          <w:sz w:val="26"/>
          <w:szCs w:val="26"/>
        </w:rPr>
      </w:pPr>
    </w:p>
    <w:p w14:paraId="51ADF6E3" w14:textId="044C1400" w:rsidR="006635A0" w:rsidRPr="00C47563" w:rsidRDefault="00FC7663" w:rsidP="00B65CFE">
      <w:pPr>
        <w:pStyle w:val="Heading4"/>
      </w:pPr>
      <w:bookmarkStart w:id="18" w:name="_Toc89253062"/>
      <w:bookmarkEnd w:id="17"/>
      <w:r w:rsidRPr="00C47563">
        <w:t>a</w:t>
      </w:r>
      <w:r w:rsidR="006635A0" w:rsidRPr="00C47563">
        <w:t>.</w:t>
      </w:r>
      <w:r w:rsidR="006635A0" w:rsidRPr="00C47563">
        <w:tab/>
      </w:r>
      <w:r w:rsidR="002F2E78" w:rsidRPr="00C47563">
        <w:t>Exception No. 1, Rep</w:t>
      </w:r>
      <w:r w:rsidR="006E2CF2">
        <w:t>lies</w:t>
      </w:r>
      <w:r w:rsidR="002F2E78" w:rsidRPr="00C47563">
        <w:t>, and Disposition</w:t>
      </w:r>
      <w:bookmarkEnd w:id="18"/>
      <w:r w:rsidR="002F2E78" w:rsidRPr="00C47563">
        <w:t xml:space="preserve"> </w:t>
      </w:r>
    </w:p>
    <w:p w14:paraId="08E8A941" w14:textId="41C3C320" w:rsidR="006635A0" w:rsidRPr="00C47563" w:rsidRDefault="006635A0" w:rsidP="00B65CFE">
      <w:pPr>
        <w:keepNext/>
        <w:spacing w:after="0" w:line="360" w:lineRule="auto"/>
        <w:ind w:firstLine="1440"/>
        <w:contextualSpacing/>
        <w:rPr>
          <w:rFonts w:ascii="Times New Roman" w:eastAsia="Times New Roman" w:hAnsi="Times New Roman" w:cs="Times New Roman"/>
          <w:b/>
          <w:bCs/>
          <w:sz w:val="26"/>
          <w:szCs w:val="26"/>
        </w:rPr>
      </w:pPr>
    </w:p>
    <w:p w14:paraId="5F9608FB" w14:textId="4A249FB0" w:rsidR="00561947" w:rsidRPr="00C47563" w:rsidRDefault="00F47A9A" w:rsidP="00B65CFE">
      <w:pPr>
        <w:keepNext/>
        <w:spacing w:after="0" w:line="360" w:lineRule="auto"/>
        <w:ind w:firstLine="1440"/>
        <w:contextualSpacing/>
        <w:rPr>
          <w:rFonts w:ascii="Times New Roman" w:hAnsi="Times New Roman" w:cs="Times New Roman"/>
          <w:sz w:val="26"/>
          <w:szCs w:val="26"/>
        </w:rPr>
      </w:pPr>
      <w:r w:rsidRPr="00C47563">
        <w:rPr>
          <w:rFonts w:ascii="Times New Roman" w:eastAsia="Times New Roman" w:hAnsi="Times New Roman" w:cs="Times New Roman"/>
          <w:sz w:val="26"/>
          <w:szCs w:val="26"/>
        </w:rPr>
        <w:t xml:space="preserve">In Mr. Culbertson’s Exception No. 1, he </w:t>
      </w:r>
      <w:r w:rsidR="00982D50" w:rsidRPr="00C47563">
        <w:rPr>
          <w:rFonts w:ascii="Times New Roman" w:eastAsia="Times New Roman" w:hAnsi="Times New Roman" w:cs="Times New Roman"/>
          <w:sz w:val="26"/>
          <w:szCs w:val="26"/>
        </w:rPr>
        <w:t>objects to the ALJ’s recitation of Columbia’s position that “</w:t>
      </w:r>
      <w:r w:rsidR="00561947" w:rsidRPr="00C47563">
        <w:rPr>
          <w:rFonts w:ascii="Times New Roman" w:hAnsi="Times New Roman" w:cs="Times New Roman"/>
          <w:sz w:val="26"/>
          <w:szCs w:val="26"/>
        </w:rPr>
        <w:t>Columbia’s filing has been subject to an extensive and detailed investigation by eight other active parties</w:t>
      </w:r>
      <w:r w:rsidR="00561947" w:rsidRPr="00C47563">
        <w:rPr>
          <w:rFonts w:ascii="Times New Roman" w:hAnsi="Times New Roman" w:cs="Times New Roman"/>
          <w:b/>
          <w:bCs/>
          <w:sz w:val="26"/>
          <w:szCs w:val="26"/>
        </w:rPr>
        <w:t xml:space="preserve"> </w:t>
      </w:r>
      <w:r w:rsidR="00561947" w:rsidRPr="00C47563">
        <w:rPr>
          <w:rFonts w:ascii="Times New Roman" w:hAnsi="Times New Roman" w:cs="Times New Roman"/>
          <w:sz w:val="26"/>
          <w:szCs w:val="26"/>
        </w:rPr>
        <w:t>in this proceeding</w:t>
      </w:r>
      <w:r w:rsidR="00F95CE4" w:rsidRPr="00C47563">
        <w:rPr>
          <w:rFonts w:ascii="Times New Roman" w:hAnsi="Times New Roman" w:cs="Times New Roman"/>
          <w:sz w:val="26"/>
          <w:szCs w:val="26"/>
        </w:rPr>
        <w:t xml:space="preserve">.”  </w:t>
      </w:r>
      <w:r w:rsidR="002B4C0D" w:rsidRPr="00C47563">
        <w:rPr>
          <w:rFonts w:ascii="Times New Roman" w:hAnsi="Times New Roman" w:cs="Times New Roman"/>
          <w:sz w:val="26"/>
          <w:szCs w:val="26"/>
        </w:rPr>
        <w:t xml:space="preserve">Exc. at 5 (citing </w:t>
      </w:r>
      <w:r w:rsidR="00335DEA" w:rsidRPr="00C47563">
        <w:rPr>
          <w:rFonts w:ascii="Times New Roman" w:hAnsi="Times New Roman" w:cs="Times New Roman"/>
          <w:sz w:val="26"/>
          <w:szCs w:val="26"/>
        </w:rPr>
        <w:t>R.D. at</w:t>
      </w:r>
      <w:r w:rsidR="005441F9">
        <w:rPr>
          <w:rFonts w:ascii="Times New Roman" w:hAnsi="Times New Roman" w:cs="Times New Roman"/>
          <w:sz w:val="26"/>
          <w:szCs w:val="26"/>
        </w:rPr>
        <w:t> </w:t>
      </w:r>
      <w:r w:rsidR="00335DEA" w:rsidRPr="00C47563">
        <w:rPr>
          <w:rFonts w:ascii="Times New Roman" w:hAnsi="Times New Roman" w:cs="Times New Roman"/>
          <w:sz w:val="26"/>
          <w:szCs w:val="26"/>
        </w:rPr>
        <w:t>60</w:t>
      </w:r>
      <w:r w:rsidR="002B4C0D" w:rsidRPr="00C47563">
        <w:rPr>
          <w:rFonts w:ascii="Times New Roman" w:hAnsi="Times New Roman" w:cs="Times New Roman"/>
          <w:sz w:val="26"/>
          <w:szCs w:val="26"/>
        </w:rPr>
        <w:t>,</w:t>
      </w:r>
      <w:r w:rsidR="00335DEA" w:rsidRPr="00C47563">
        <w:rPr>
          <w:rFonts w:ascii="Times New Roman" w:hAnsi="Times New Roman" w:cs="Times New Roman"/>
          <w:sz w:val="26"/>
          <w:szCs w:val="26"/>
        </w:rPr>
        <w:t xml:space="preserve"> citing Columbia R.B. at </w:t>
      </w:r>
      <w:r w:rsidR="00ED35BA" w:rsidRPr="00C47563">
        <w:rPr>
          <w:rFonts w:ascii="Times New Roman" w:hAnsi="Times New Roman" w:cs="Times New Roman"/>
          <w:sz w:val="26"/>
          <w:szCs w:val="26"/>
        </w:rPr>
        <w:t>3-4).</w:t>
      </w:r>
      <w:r w:rsidR="002B4C0D" w:rsidRPr="00C47563">
        <w:rPr>
          <w:rFonts w:ascii="Times New Roman" w:hAnsi="Times New Roman" w:cs="Times New Roman"/>
          <w:sz w:val="26"/>
          <w:szCs w:val="26"/>
        </w:rPr>
        <w:t xml:space="preserve">  </w:t>
      </w:r>
      <w:r w:rsidR="00E5522C" w:rsidRPr="00C47563">
        <w:rPr>
          <w:rFonts w:ascii="Times New Roman" w:hAnsi="Times New Roman" w:cs="Times New Roman"/>
          <w:sz w:val="26"/>
          <w:szCs w:val="26"/>
        </w:rPr>
        <w:t xml:space="preserve">Mr. Culbertson argues that this statement is false, </w:t>
      </w:r>
      <w:r w:rsidR="00E06EC7" w:rsidRPr="00C47563">
        <w:rPr>
          <w:rFonts w:ascii="Times New Roman" w:hAnsi="Times New Roman" w:cs="Times New Roman"/>
          <w:sz w:val="26"/>
          <w:szCs w:val="26"/>
        </w:rPr>
        <w:t>that Columbia’s financials have not been audited in accordance with generally accepted auditing standards</w:t>
      </w:r>
      <w:r w:rsidR="006E6F99" w:rsidRPr="00C47563">
        <w:rPr>
          <w:rFonts w:ascii="Times New Roman" w:hAnsi="Times New Roman" w:cs="Times New Roman"/>
          <w:sz w:val="26"/>
          <w:szCs w:val="26"/>
        </w:rPr>
        <w:t xml:space="preserve"> or by </w:t>
      </w:r>
      <w:r w:rsidR="00635ABE" w:rsidRPr="00C47563">
        <w:rPr>
          <w:rFonts w:ascii="Times New Roman" w:hAnsi="Times New Roman" w:cs="Times New Roman"/>
          <w:sz w:val="26"/>
          <w:szCs w:val="26"/>
        </w:rPr>
        <w:t xml:space="preserve">a </w:t>
      </w:r>
      <w:r w:rsidR="008B41FD" w:rsidRPr="00C47563">
        <w:rPr>
          <w:rFonts w:ascii="Times New Roman" w:hAnsi="Times New Roman" w:cs="Times New Roman"/>
          <w:sz w:val="26"/>
          <w:szCs w:val="26"/>
        </w:rPr>
        <w:t>financial auditor or investigator</w:t>
      </w:r>
      <w:r w:rsidR="00E06EC7" w:rsidRPr="00C47563">
        <w:rPr>
          <w:rFonts w:ascii="Times New Roman" w:hAnsi="Times New Roman" w:cs="Times New Roman"/>
          <w:sz w:val="26"/>
          <w:szCs w:val="26"/>
        </w:rPr>
        <w:t xml:space="preserve">, and that eight Parties did not conduct </w:t>
      </w:r>
      <w:r w:rsidR="00B733E1" w:rsidRPr="00C47563">
        <w:rPr>
          <w:rFonts w:ascii="Times New Roman" w:hAnsi="Times New Roman" w:cs="Times New Roman"/>
          <w:sz w:val="26"/>
          <w:szCs w:val="26"/>
        </w:rPr>
        <w:t>an extensive and detailed filing, emphasizing that Mr. Culbertson</w:t>
      </w:r>
      <w:r w:rsidR="00647782" w:rsidRPr="00C47563">
        <w:rPr>
          <w:rFonts w:ascii="Times New Roman" w:hAnsi="Times New Roman" w:cs="Times New Roman"/>
          <w:sz w:val="26"/>
          <w:szCs w:val="26"/>
        </w:rPr>
        <w:t xml:space="preserve"> himself did not do a detailed and extensive investigation.</w:t>
      </w:r>
      <w:r w:rsidR="00882947" w:rsidRPr="00C47563">
        <w:rPr>
          <w:rFonts w:ascii="Times New Roman" w:hAnsi="Times New Roman" w:cs="Times New Roman"/>
          <w:sz w:val="26"/>
          <w:szCs w:val="26"/>
        </w:rPr>
        <w:t xml:space="preserve">  Exc. at 5.  </w:t>
      </w:r>
      <w:r w:rsidR="00CB31F0" w:rsidRPr="00C47563">
        <w:rPr>
          <w:rFonts w:ascii="Times New Roman" w:hAnsi="Times New Roman" w:cs="Times New Roman"/>
          <w:sz w:val="26"/>
          <w:szCs w:val="26"/>
        </w:rPr>
        <w:t xml:space="preserve">Mr. Culbertson </w:t>
      </w:r>
      <w:r w:rsidR="0092050A" w:rsidRPr="00C47563">
        <w:rPr>
          <w:rFonts w:ascii="Times New Roman" w:hAnsi="Times New Roman" w:cs="Times New Roman"/>
          <w:sz w:val="26"/>
          <w:szCs w:val="26"/>
        </w:rPr>
        <w:t xml:space="preserve">states that </w:t>
      </w:r>
      <w:r w:rsidR="002D7EEF" w:rsidRPr="00C47563">
        <w:rPr>
          <w:rFonts w:ascii="Times New Roman" w:hAnsi="Times New Roman" w:cs="Times New Roman"/>
          <w:sz w:val="26"/>
          <w:szCs w:val="26"/>
        </w:rPr>
        <w:t>Columbia’s financials should have been audited in accordance with the “GAO</w:t>
      </w:r>
      <w:r w:rsidR="004B2B2C" w:rsidRPr="00C47563">
        <w:rPr>
          <w:rFonts w:ascii="Times New Roman" w:hAnsi="Times New Roman" w:cs="Times New Roman"/>
          <w:sz w:val="26"/>
          <w:szCs w:val="26"/>
        </w:rPr>
        <w:t xml:space="preserve"> [Government Accountability Office] Yellow Book”</w:t>
      </w:r>
      <w:r w:rsidR="00BD493E" w:rsidRPr="00C47563">
        <w:rPr>
          <w:rFonts w:ascii="Times New Roman" w:hAnsi="Times New Roman" w:cs="Times New Roman"/>
          <w:sz w:val="26"/>
          <w:szCs w:val="26"/>
        </w:rPr>
        <w:t xml:space="preserve"> and the “Federal Acquisition Regulations.”  </w:t>
      </w:r>
      <w:r w:rsidR="00BD493E" w:rsidRPr="00C47563">
        <w:rPr>
          <w:rFonts w:ascii="Times New Roman" w:hAnsi="Times New Roman" w:cs="Times New Roman"/>
          <w:i/>
          <w:iCs/>
          <w:sz w:val="26"/>
          <w:szCs w:val="26"/>
        </w:rPr>
        <w:t>Id</w:t>
      </w:r>
      <w:r w:rsidR="00BD493E" w:rsidRPr="00C47563">
        <w:rPr>
          <w:rFonts w:ascii="Times New Roman" w:hAnsi="Times New Roman" w:cs="Times New Roman"/>
          <w:sz w:val="26"/>
          <w:szCs w:val="26"/>
        </w:rPr>
        <w:t xml:space="preserve">. at 5, </w:t>
      </w:r>
      <w:r w:rsidR="001B32FF" w:rsidRPr="00C47563">
        <w:rPr>
          <w:rFonts w:ascii="Times New Roman" w:hAnsi="Times New Roman" w:cs="Times New Roman"/>
          <w:sz w:val="26"/>
          <w:szCs w:val="26"/>
        </w:rPr>
        <w:t xml:space="preserve">7-8.  </w:t>
      </w:r>
      <w:r w:rsidR="004646C9" w:rsidRPr="00C47563">
        <w:rPr>
          <w:rFonts w:ascii="Times New Roman" w:hAnsi="Times New Roman" w:cs="Times New Roman"/>
          <w:sz w:val="26"/>
          <w:szCs w:val="26"/>
        </w:rPr>
        <w:t xml:space="preserve">Mr. Culbertson also argues that the Commission failed to conduct an investigation </w:t>
      </w:r>
      <w:r w:rsidR="00121355" w:rsidRPr="00C47563">
        <w:rPr>
          <w:rFonts w:ascii="Times New Roman" w:hAnsi="Times New Roman" w:cs="Times New Roman"/>
          <w:sz w:val="26"/>
          <w:szCs w:val="26"/>
        </w:rPr>
        <w:t>of</w:t>
      </w:r>
      <w:r w:rsidR="004646C9" w:rsidRPr="00C47563">
        <w:rPr>
          <w:rFonts w:ascii="Times New Roman" w:hAnsi="Times New Roman" w:cs="Times New Roman"/>
          <w:sz w:val="26"/>
          <w:szCs w:val="26"/>
        </w:rPr>
        <w:t xml:space="preserve"> the lawfulness, justness, and reasonableness of the rates</w:t>
      </w:r>
      <w:r w:rsidR="00121355" w:rsidRPr="00C47563">
        <w:rPr>
          <w:rFonts w:ascii="Times New Roman" w:hAnsi="Times New Roman" w:cs="Times New Roman"/>
          <w:sz w:val="26"/>
          <w:szCs w:val="26"/>
        </w:rPr>
        <w:t xml:space="preserve"> in this case in accordance with the </w:t>
      </w:r>
      <w:r w:rsidR="00121355" w:rsidRPr="00C47563">
        <w:rPr>
          <w:rFonts w:ascii="Times New Roman" w:hAnsi="Times New Roman" w:cs="Times New Roman"/>
          <w:i/>
          <w:iCs/>
          <w:sz w:val="26"/>
          <w:szCs w:val="26"/>
        </w:rPr>
        <w:t>May 2021 Order</w:t>
      </w:r>
      <w:r w:rsidR="00121355" w:rsidRPr="00C47563">
        <w:rPr>
          <w:rFonts w:ascii="Times New Roman" w:hAnsi="Times New Roman" w:cs="Times New Roman"/>
          <w:sz w:val="26"/>
          <w:szCs w:val="26"/>
        </w:rPr>
        <w:t>.</w:t>
      </w:r>
      <w:r w:rsidR="00F733FF" w:rsidRPr="00C47563">
        <w:rPr>
          <w:rFonts w:ascii="Times New Roman" w:hAnsi="Times New Roman" w:cs="Times New Roman"/>
          <w:sz w:val="26"/>
          <w:szCs w:val="26"/>
        </w:rPr>
        <w:t xml:space="preserve">  Exc. at 6.  </w:t>
      </w:r>
    </w:p>
    <w:p w14:paraId="458B111F" w14:textId="5EFF5B56" w:rsidR="0049006C" w:rsidRPr="00C47563" w:rsidRDefault="0049006C" w:rsidP="00C47563">
      <w:pPr>
        <w:spacing w:after="0" w:line="360" w:lineRule="auto"/>
        <w:ind w:firstLine="1440"/>
        <w:contextualSpacing/>
        <w:rPr>
          <w:rFonts w:ascii="Times New Roman" w:eastAsia="Times New Roman" w:hAnsi="Times New Roman" w:cs="Times New Roman"/>
          <w:sz w:val="26"/>
          <w:szCs w:val="26"/>
        </w:rPr>
      </w:pPr>
    </w:p>
    <w:p w14:paraId="2E2B304C" w14:textId="2BFC1616" w:rsidR="00C33126" w:rsidRPr="00C47563" w:rsidRDefault="00C35066" w:rsidP="00C47563">
      <w:pPr>
        <w:pStyle w:val="BodyText2"/>
        <w:spacing w:line="360" w:lineRule="auto"/>
        <w:ind w:firstLine="1440"/>
        <w:jc w:val="left"/>
        <w:rPr>
          <w:rFonts w:cs="Times New Roman"/>
          <w:sz w:val="26"/>
          <w:szCs w:val="26"/>
        </w:rPr>
      </w:pPr>
      <w:r w:rsidRPr="00C47563">
        <w:rPr>
          <w:rFonts w:cs="Times New Roman"/>
          <w:sz w:val="26"/>
          <w:szCs w:val="26"/>
        </w:rPr>
        <w:t xml:space="preserve">In its Replies to Exceptions, Columbia states that </w:t>
      </w:r>
      <w:r w:rsidR="00183A3B" w:rsidRPr="00C47563">
        <w:rPr>
          <w:rFonts w:cs="Times New Roman"/>
          <w:sz w:val="26"/>
          <w:szCs w:val="26"/>
        </w:rPr>
        <w:t>a</w:t>
      </w:r>
      <w:r w:rsidR="00C33126" w:rsidRPr="00C47563">
        <w:rPr>
          <w:rFonts w:cs="Times New Roman"/>
          <w:sz w:val="26"/>
          <w:szCs w:val="26"/>
        </w:rPr>
        <w:t>s i</w:t>
      </w:r>
      <w:r w:rsidR="00183A3B" w:rsidRPr="00C47563">
        <w:rPr>
          <w:rFonts w:cs="Times New Roman"/>
          <w:sz w:val="26"/>
          <w:szCs w:val="26"/>
        </w:rPr>
        <w:t>t</w:t>
      </w:r>
      <w:r w:rsidR="00C33126" w:rsidRPr="00C47563">
        <w:rPr>
          <w:rFonts w:cs="Times New Roman"/>
          <w:sz w:val="26"/>
          <w:szCs w:val="26"/>
        </w:rPr>
        <w:t xml:space="preserve"> explained in its Reply Brief, Mr. Culbertson’s a</w:t>
      </w:r>
      <w:r w:rsidR="0044264B" w:rsidRPr="00C47563">
        <w:rPr>
          <w:rFonts w:cs="Times New Roman"/>
          <w:sz w:val="26"/>
          <w:szCs w:val="26"/>
        </w:rPr>
        <w:t>rgument</w:t>
      </w:r>
      <w:r w:rsidR="00C33126" w:rsidRPr="00C47563">
        <w:rPr>
          <w:rFonts w:cs="Times New Roman"/>
          <w:sz w:val="26"/>
          <w:szCs w:val="26"/>
        </w:rPr>
        <w:t xml:space="preserve"> that the Company’s rate filing was not </w:t>
      </w:r>
      <w:r w:rsidR="0044264B" w:rsidRPr="00C47563">
        <w:rPr>
          <w:rFonts w:cs="Times New Roman"/>
          <w:sz w:val="26"/>
          <w:szCs w:val="26"/>
        </w:rPr>
        <w:t>properly</w:t>
      </w:r>
      <w:r w:rsidR="00C33126" w:rsidRPr="00C47563">
        <w:rPr>
          <w:rFonts w:cs="Times New Roman"/>
          <w:sz w:val="26"/>
          <w:szCs w:val="26"/>
        </w:rPr>
        <w:t xml:space="preserve"> investigated is unfounded.  </w:t>
      </w:r>
      <w:r w:rsidR="00770A56" w:rsidRPr="00C47563">
        <w:rPr>
          <w:rFonts w:cs="Times New Roman"/>
          <w:sz w:val="26"/>
          <w:szCs w:val="26"/>
        </w:rPr>
        <w:t xml:space="preserve">R. Exc. at 1 (citing </w:t>
      </w:r>
      <w:r w:rsidR="00C33126" w:rsidRPr="00C47563">
        <w:rPr>
          <w:rFonts w:cs="Times New Roman"/>
          <w:sz w:val="26"/>
          <w:szCs w:val="26"/>
        </w:rPr>
        <w:t>Columbia R</w:t>
      </w:r>
      <w:r w:rsidR="00770A56" w:rsidRPr="00C47563">
        <w:rPr>
          <w:rFonts w:cs="Times New Roman"/>
          <w:sz w:val="26"/>
          <w:szCs w:val="26"/>
        </w:rPr>
        <w:t>.</w:t>
      </w:r>
      <w:r w:rsidR="00C33126" w:rsidRPr="00C47563">
        <w:rPr>
          <w:rFonts w:cs="Times New Roman"/>
          <w:sz w:val="26"/>
          <w:szCs w:val="26"/>
        </w:rPr>
        <w:t>B</w:t>
      </w:r>
      <w:r w:rsidR="00770A56" w:rsidRPr="00C47563">
        <w:rPr>
          <w:rFonts w:cs="Times New Roman"/>
          <w:sz w:val="26"/>
          <w:szCs w:val="26"/>
        </w:rPr>
        <w:t>. at</w:t>
      </w:r>
      <w:r w:rsidR="00C33126" w:rsidRPr="00C47563">
        <w:rPr>
          <w:rFonts w:cs="Times New Roman"/>
          <w:sz w:val="26"/>
          <w:szCs w:val="26"/>
        </w:rPr>
        <w:t xml:space="preserve"> 3-4</w:t>
      </w:r>
      <w:r w:rsidR="00770A56" w:rsidRPr="00C47563">
        <w:rPr>
          <w:rFonts w:cs="Times New Roman"/>
          <w:sz w:val="26"/>
          <w:szCs w:val="26"/>
        </w:rPr>
        <w:t>)</w:t>
      </w:r>
      <w:r w:rsidR="00C33126" w:rsidRPr="00C47563">
        <w:rPr>
          <w:rFonts w:cs="Times New Roman"/>
          <w:sz w:val="26"/>
          <w:szCs w:val="26"/>
        </w:rPr>
        <w:t xml:space="preserve">.  </w:t>
      </w:r>
      <w:r w:rsidR="001C4644" w:rsidRPr="00C47563">
        <w:rPr>
          <w:rFonts w:cs="Times New Roman"/>
          <w:sz w:val="26"/>
          <w:szCs w:val="26"/>
        </w:rPr>
        <w:t xml:space="preserve">Columbia avers that </w:t>
      </w:r>
      <w:r w:rsidR="00C33126" w:rsidRPr="00C47563">
        <w:rPr>
          <w:rFonts w:cs="Times New Roman"/>
          <w:sz w:val="26"/>
          <w:szCs w:val="26"/>
        </w:rPr>
        <w:t xml:space="preserve">eight other active </w:t>
      </w:r>
      <w:r w:rsidR="001C4644" w:rsidRPr="00C47563">
        <w:rPr>
          <w:rFonts w:cs="Times New Roman"/>
          <w:sz w:val="26"/>
          <w:szCs w:val="26"/>
        </w:rPr>
        <w:t>P</w:t>
      </w:r>
      <w:r w:rsidR="00C33126" w:rsidRPr="00C47563">
        <w:rPr>
          <w:rFonts w:cs="Times New Roman"/>
          <w:sz w:val="26"/>
          <w:szCs w:val="26"/>
        </w:rPr>
        <w:t xml:space="preserve">arties conducted a thorough examination of Columbia’s proposals.  </w:t>
      </w:r>
      <w:r w:rsidR="001C4644" w:rsidRPr="00C47563">
        <w:rPr>
          <w:rFonts w:cs="Times New Roman"/>
          <w:sz w:val="26"/>
          <w:szCs w:val="26"/>
        </w:rPr>
        <w:t xml:space="preserve">Columbia </w:t>
      </w:r>
      <w:r w:rsidR="00FD1F5B" w:rsidRPr="00C47563">
        <w:rPr>
          <w:rFonts w:cs="Times New Roman"/>
          <w:sz w:val="26"/>
          <w:szCs w:val="26"/>
        </w:rPr>
        <w:t>also avers that</w:t>
      </w:r>
      <w:proofErr w:type="gramStart"/>
      <w:r w:rsidR="00300495" w:rsidRPr="00C47563">
        <w:rPr>
          <w:rFonts w:cs="Times New Roman"/>
          <w:sz w:val="26"/>
          <w:szCs w:val="26"/>
        </w:rPr>
        <w:t>:</w:t>
      </w:r>
      <w:r w:rsidR="00FD1F5B" w:rsidRPr="00C47563">
        <w:rPr>
          <w:rFonts w:cs="Times New Roman"/>
          <w:sz w:val="26"/>
          <w:szCs w:val="26"/>
        </w:rPr>
        <w:t xml:space="preserve"> </w:t>
      </w:r>
      <w:r w:rsidR="005F328F" w:rsidRPr="00C47563">
        <w:rPr>
          <w:rFonts w:cs="Times New Roman"/>
          <w:sz w:val="26"/>
          <w:szCs w:val="26"/>
        </w:rPr>
        <w:t xml:space="preserve"> </w:t>
      </w:r>
      <w:r w:rsidR="00300495" w:rsidRPr="00C47563">
        <w:rPr>
          <w:rFonts w:cs="Times New Roman"/>
          <w:sz w:val="26"/>
          <w:szCs w:val="26"/>
        </w:rPr>
        <w:t>(</w:t>
      </w:r>
      <w:proofErr w:type="gramEnd"/>
      <w:r w:rsidR="00300495" w:rsidRPr="00C47563">
        <w:rPr>
          <w:rFonts w:cs="Times New Roman"/>
          <w:sz w:val="26"/>
          <w:szCs w:val="26"/>
        </w:rPr>
        <w:t xml:space="preserve">1) </w:t>
      </w:r>
      <w:r w:rsidR="00FD1F5B" w:rsidRPr="00C47563">
        <w:rPr>
          <w:rFonts w:cs="Times New Roman"/>
          <w:sz w:val="26"/>
          <w:szCs w:val="26"/>
        </w:rPr>
        <w:t xml:space="preserve">its </w:t>
      </w:r>
      <w:r w:rsidR="00C33126" w:rsidRPr="00C47563">
        <w:rPr>
          <w:rFonts w:cs="Times New Roman"/>
          <w:sz w:val="26"/>
          <w:szCs w:val="26"/>
        </w:rPr>
        <w:t xml:space="preserve">direct filing included thousands of pages of material supporting its claims in accordance with the Commission’s </w:t>
      </w:r>
      <w:r w:rsidR="00FD1F5B" w:rsidRPr="00C47563">
        <w:rPr>
          <w:rFonts w:cs="Times New Roman"/>
          <w:sz w:val="26"/>
          <w:szCs w:val="26"/>
        </w:rPr>
        <w:t>R</w:t>
      </w:r>
      <w:r w:rsidR="00C33126" w:rsidRPr="00C47563">
        <w:rPr>
          <w:rFonts w:cs="Times New Roman"/>
          <w:sz w:val="26"/>
          <w:szCs w:val="26"/>
        </w:rPr>
        <w:t>egulations and filing requirements for a proposed general rate increase in excess of $1 million</w:t>
      </w:r>
      <w:r w:rsidR="006D0096" w:rsidRPr="00C47563">
        <w:rPr>
          <w:rFonts w:cs="Times New Roman"/>
          <w:sz w:val="26"/>
          <w:szCs w:val="26"/>
        </w:rPr>
        <w:t xml:space="preserve">; </w:t>
      </w:r>
      <w:r w:rsidR="00F122CC" w:rsidRPr="00C47563">
        <w:rPr>
          <w:rFonts w:cs="Times New Roman"/>
          <w:sz w:val="26"/>
          <w:szCs w:val="26"/>
        </w:rPr>
        <w:t>R</w:t>
      </w:r>
      <w:r w:rsidR="00C33126" w:rsidRPr="00C47563">
        <w:rPr>
          <w:rFonts w:cs="Times New Roman"/>
          <w:sz w:val="26"/>
          <w:szCs w:val="26"/>
        </w:rPr>
        <w:t>.</w:t>
      </w:r>
      <w:r w:rsidR="00B7787E">
        <w:rPr>
          <w:rFonts w:cs="Times New Roman"/>
          <w:sz w:val="26"/>
          <w:szCs w:val="26"/>
        </w:rPr>
        <w:t> </w:t>
      </w:r>
      <w:r w:rsidR="00F122CC" w:rsidRPr="00C47563">
        <w:rPr>
          <w:rFonts w:cs="Times New Roman"/>
          <w:sz w:val="26"/>
          <w:szCs w:val="26"/>
        </w:rPr>
        <w:t>Exc.</w:t>
      </w:r>
      <w:r w:rsidR="00B7787E">
        <w:rPr>
          <w:rFonts w:cs="Times New Roman"/>
          <w:sz w:val="26"/>
          <w:szCs w:val="26"/>
        </w:rPr>
        <w:t> </w:t>
      </w:r>
      <w:r w:rsidR="00F122CC" w:rsidRPr="00C47563">
        <w:rPr>
          <w:rFonts w:cs="Times New Roman"/>
          <w:sz w:val="26"/>
          <w:szCs w:val="26"/>
        </w:rPr>
        <w:t>at</w:t>
      </w:r>
      <w:r w:rsidR="00F82CB2">
        <w:rPr>
          <w:rFonts w:cs="Times New Roman"/>
          <w:sz w:val="26"/>
          <w:szCs w:val="26"/>
        </w:rPr>
        <w:t> </w:t>
      </w:r>
      <w:r w:rsidR="00F122CC" w:rsidRPr="00C47563">
        <w:rPr>
          <w:rFonts w:cs="Times New Roman"/>
          <w:sz w:val="26"/>
          <w:szCs w:val="26"/>
        </w:rPr>
        <w:t>1</w:t>
      </w:r>
      <w:r w:rsidR="00C33126" w:rsidRPr="00C47563">
        <w:rPr>
          <w:rFonts w:cs="Times New Roman"/>
          <w:sz w:val="26"/>
          <w:szCs w:val="26"/>
        </w:rPr>
        <w:t xml:space="preserve"> </w:t>
      </w:r>
      <w:r w:rsidR="006D0096" w:rsidRPr="00C47563">
        <w:rPr>
          <w:rFonts w:cs="Times New Roman"/>
          <w:sz w:val="26"/>
          <w:szCs w:val="26"/>
        </w:rPr>
        <w:t>(citing</w:t>
      </w:r>
      <w:r w:rsidR="00C33126" w:rsidRPr="00C47563">
        <w:rPr>
          <w:rFonts w:cs="Times New Roman"/>
          <w:sz w:val="26"/>
          <w:szCs w:val="26"/>
        </w:rPr>
        <w:t xml:space="preserve"> 5</w:t>
      </w:r>
      <w:bookmarkStart w:id="19" w:name="_BA_Cite_50D83A_000057"/>
      <w:bookmarkEnd w:id="19"/>
      <w:r w:rsidR="00C33126" w:rsidRPr="00C47563">
        <w:rPr>
          <w:rFonts w:cs="Times New Roman"/>
          <w:sz w:val="26"/>
          <w:szCs w:val="26"/>
        </w:rPr>
        <w:t>2 Pa. Code § 53.53</w:t>
      </w:r>
      <w:r w:rsidR="006D0096" w:rsidRPr="00C47563">
        <w:rPr>
          <w:rFonts w:cs="Times New Roman"/>
          <w:sz w:val="26"/>
          <w:szCs w:val="26"/>
        </w:rPr>
        <w:t>;</w:t>
      </w:r>
      <w:r w:rsidR="00C33126" w:rsidRPr="00C47563">
        <w:rPr>
          <w:rFonts w:cs="Times New Roman"/>
          <w:sz w:val="26"/>
          <w:szCs w:val="26"/>
        </w:rPr>
        <w:t xml:space="preserve"> C</w:t>
      </w:r>
      <w:bookmarkStart w:id="20" w:name="_BA_Cite_50D83A_000059"/>
      <w:bookmarkEnd w:id="20"/>
      <w:r w:rsidR="00C33126" w:rsidRPr="00C47563">
        <w:rPr>
          <w:rFonts w:cs="Times New Roman"/>
          <w:sz w:val="26"/>
          <w:szCs w:val="26"/>
        </w:rPr>
        <w:t>olumbia Sts. 1-14; Columbia E</w:t>
      </w:r>
      <w:bookmarkStart w:id="21" w:name="_BA_Cite_50D83A_000124"/>
      <w:bookmarkEnd w:id="21"/>
      <w:r w:rsidR="00C33126" w:rsidRPr="00C47563">
        <w:rPr>
          <w:rFonts w:cs="Times New Roman"/>
          <w:sz w:val="26"/>
          <w:szCs w:val="26"/>
        </w:rPr>
        <w:t>xhs. 1-17; 101</w:t>
      </w:r>
      <w:r w:rsidR="00B7787E">
        <w:rPr>
          <w:rFonts w:cs="Times New Roman"/>
          <w:sz w:val="26"/>
          <w:szCs w:val="26"/>
        </w:rPr>
        <w:noBreakHyphen/>
      </w:r>
      <w:r w:rsidR="00C33126" w:rsidRPr="00C47563">
        <w:rPr>
          <w:rFonts w:cs="Times New Roman"/>
          <w:sz w:val="26"/>
          <w:szCs w:val="26"/>
        </w:rPr>
        <w:t>117</w:t>
      </w:r>
      <w:r w:rsidR="00D47325" w:rsidRPr="00C47563">
        <w:rPr>
          <w:rFonts w:cs="Times New Roman"/>
          <w:sz w:val="26"/>
          <w:szCs w:val="26"/>
        </w:rPr>
        <w:t>,</w:t>
      </w:r>
      <w:r w:rsidR="00C33126" w:rsidRPr="00C47563">
        <w:rPr>
          <w:rFonts w:cs="Times New Roman"/>
          <w:sz w:val="26"/>
          <w:szCs w:val="26"/>
        </w:rPr>
        <w:t xml:space="preserve"> 400-414; Columbia Standard Data Responses COS 1-21, ROR 1-23 and RR</w:t>
      </w:r>
      <w:r w:rsidR="00B7787E">
        <w:rPr>
          <w:rFonts w:cs="Times New Roman"/>
          <w:sz w:val="26"/>
          <w:szCs w:val="26"/>
        </w:rPr>
        <w:t> </w:t>
      </w:r>
      <w:r w:rsidR="00C33126" w:rsidRPr="00C47563">
        <w:rPr>
          <w:rFonts w:cs="Times New Roman"/>
          <w:sz w:val="26"/>
          <w:szCs w:val="26"/>
        </w:rPr>
        <w:t>1</w:t>
      </w:r>
      <w:r w:rsidR="00B7787E">
        <w:rPr>
          <w:rFonts w:cs="Times New Roman"/>
          <w:sz w:val="26"/>
          <w:szCs w:val="26"/>
        </w:rPr>
        <w:noBreakHyphen/>
      </w:r>
      <w:r w:rsidR="00C33126" w:rsidRPr="00C47563">
        <w:rPr>
          <w:rFonts w:cs="Times New Roman"/>
          <w:sz w:val="26"/>
          <w:szCs w:val="26"/>
        </w:rPr>
        <w:t>55</w:t>
      </w:r>
      <w:r w:rsidR="00300495" w:rsidRPr="00C47563">
        <w:rPr>
          <w:rFonts w:cs="Times New Roman"/>
          <w:sz w:val="26"/>
          <w:szCs w:val="26"/>
        </w:rPr>
        <w:t>); (2)</w:t>
      </w:r>
      <w:r w:rsidR="00F82CB2">
        <w:rPr>
          <w:rFonts w:cs="Times New Roman"/>
          <w:sz w:val="26"/>
          <w:szCs w:val="26"/>
        </w:rPr>
        <w:t> </w:t>
      </w:r>
      <w:r w:rsidR="00300495" w:rsidRPr="00C47563">
        <w:rPr>
          <w:rFonts w:cs="Times New Roman"/>
          <w:sz w:val="26"/>
          <w:szCs w:val="26"/>
        </w:rPr>
        <w:t>it</w:t>
      </w:r>
      <w:r w:rsidR="00F82CB2">
        <w:rPr>
          <w:rFonts w:cs="Times New Roman"/>
          <w:sz w:val="26"/>
          <w:szCs w:val="26"/>
        </w:rPr>
        <w:t> </w:t>
      </w:r>
      <w:r w:rsidR="00C33126" w:rsidRPr="00C47563">
        <w:rPr>
          <w:rFonts w:cs="Times New Roman"/>
          <w:sz w:val="26"/>
          <w:szCs w:val="26"/>
        </w:rPr>
        <w:t xml:space="preserve">responded to over 800 formal interrogatories, including subparts, from various </w:t>
      </w:r>
      <w:r w:rsidR="00300495" w:rsidRPr="00C47563">
        <w:rPr>
          <w:rFonts w:cs="Times New Roman"/>
          <w:sz w:val="26"/>
          <w:szCs w:val="26"/>
        </w:rPr>
        <w:t>P</w:t>
      </w:r>
      <w:r w:rsidR="00C33126" w:rsidRPr="00C47563">
        <w:rPr>
          <w:rFonts w:cs="Times New Roman"/>
          <w:sz w:val="26"/>
          <w:szCs w:val="26"/>
        </w:rPr>
        <w:t>arties</w:t>
      </w:r>
      <w:r w:rsidR="00300495" w:rsidRPr="00C47563">
        <w:rPr>
          <w:rFonts w:cs="Times New Roman"/>
          <w:sz w:val="26"/>
          <w:szCs w:val="26"/>
        </w:rPr>
        <w:t>; (3)</w:t>
      </w:r>
      <w:r w:rsidR="00C33126" w:rsidRPr="00C47563">
        <w:rPr>
          <w:rFonts w:cs="Times New Roman"/>
          <w:sz w:val="26"/>
          <w:szCs w:val="26"/>
        </w:rPr>
        <w:t xml:space="preserve"> </w:t>
      </w:r>
      <w:r w:rsidR="00287091" w:rsidRPr="00C47563">
        <w:rPr>
          <w:rFonts w:cs="Times New Roman"/>
          <w:sz w:val="26"/>
          <w:szCs w:val="26"/>
        </w:rPr>
        <w:t>m</w:t>
      </w:r>
      <w:r w:rsidR="00C33126" w:rsidRPr="00C47563">
        <w:rPr>
          <w:rFonts w:cs="Times New Roman"/>
          <w:sz w:val="26"/>
          <w:szCs w:val="26"/>
        </w:rPr>
        <w:t xml:space="preserve">ultiple expert witnesses acting on behalf of the other active </w:t>
      </w:r>
      <w:r w:rsidR="00287091" w:rsidRPr="00C47563">
        <w:rPr>
          <w:rFonts w:cs="Times New Roman"/>
          <w:sz w:val="26"/>
          <w:szCs w:val="26"/>
        </w:rPr>
        <w:t>P</w:t>
      </w:r>
      <w:r w:rsidR="00C33126" w:rsidRPr="00C47563">
        <w:rPr>
          <w:rFonts w:cs="Times New Roman"/>
          <w:sz w:val="26"/>
          <w:szCs w:val="26"/>
        </w:rPr>
        <w:t>arties reviewed Columbia’s filing information and the testimony of Columbia’s witnesses and submitted their own testimony analyzing Columbia’s case</w:t>
      </w:r>
      <w:r w:rsidR="00287091" w:rsidRPr="00C47563">
        <w:rPr>
          <w:rFonts w:cs="Times New Roman"/>
          <w:sz w:val="26"/>
          <w:szCs w:val="26"/>
        </w:rPr>
        <w:t>; (4)</w:t>
      </w:r>
      <w:r w:rsidR="00C33126" w:rsidRPr="00C47563">
        <w:rPr>
          <w:rFonts w:cs="Times New Roman"/>
          <w:sz w:val="26"/>
          <w:szCs w:val="26"/>
        </w:rPr>
        <w:t xml:space="preserve"> </w:t>
      </w:r>
      <w:r w:rsidR="00287091" w:rsidRPr="00C47563">
        <w:rPr>
          <w:rFonts w:cs="Times New Roman"/>
          <w:sz w:val="26"/>
          <w:szCs w:val="26"/>
        </w:rPr>
        <w:t>s</w:t>
      </w:r>
      <w:r w:rsidR="00C33126" w:rsidRPr="00C47563">
        <w:rPr>
          <w:rFonts w:cs="Times New Roman"/>
          <w:sz w:val="26"/>
          <w:szCs w:val="26"/>
        </w:rPr>
        <w:t>everal public input hearings and a technical evidentiary hearing were held to hear public opinion and to examine Columbia’s case</w:t>
      </w:r>
      <w:r w:rsidR="00A304DA" w:rsidRPr="00C47563">
        <w:rPr>
          <w:rFonts w:cs="Times New Roman"/>
          <w:sz w:val="26"/>
          <w:szCs w:val="26"/>
        </w:rPr>
        <w:t>; and (5)</w:t>
      </w:r>
      <w:r w:rsidR="00C33126" w:rsidRPr="00C47563">
        <w:rPr>
          <w:rFonts w:cs="Times New Roman"/>
          <w:sz w:val="26"/>
          <w:szCs w:val="26"/>
        </w:rPr>
        <w:t xml:space="preserve"> </w:t>
      </w:r>
      <w:r w:rsidR="00A304DA" w:rsidRPr="00C47563">
        <w:rPr>
          <w:rFonts w:cs="Times New Roman"/>
          <w:sz w:val="26"/>
          <w:szCs w:val="26"/>
        </w:rPr>
        <w:t>t</w:t>
      </w:r>
      <w:r w:rsidR="00C33126" w:rsidRPr="00C47563">
        <w:rPr>
          <w:rFonts w:cs="Times New Roman"/>
          <w:sz w:val="26"/>
          <w:szCs w:val="26"/>
        </w:rPr>
        <w:t xml:space="preserve">he active </w:t>
      </w:r>
      <w:r w:rsidR="00E46160" w:rsidRPr="00C47563">
        <w:rPr>
          <w:rFonts w:cs="Times New Roman"/>
          <w:sz w:val="26"/>
          <w:szCs w:val="26"/>
        </w:rPr>
        <w:t>P</w:t>
      </w:r>
      <w:r w:rsidR="00C33126" w:rsidRPr="00C47563">
        <w:rPr>
          <w:rFonts w:cs="Times New Roman"/>
          <w:sz w:val="26"/>
          <w:szCs w:val="26"/>
        </w:rPr>
        <w:t xml:space="preserve">arties engaged in settlement discussions that ultimately led to the Joint Petition which resolves all issues in this case, except for the issues raised in Mr. Culbertson’s Complaint.  </w:t>
      </w:r>
      <w:r w:rsidR="00CF741D" w:rsidRPr="00C47563">
        <w:rPr>
          <w:rFonts w:cs="Times New Roman"/>
          <w:sz w:val="26"/>
          <w:szCs w:val="26"/>
        </w:rPr>
        <w:t>R. Exc. at 1-2.  Accordingly, Columbia submits that the ALJ’s</w:t>
      </w:r>
      <w:r w:rsidR="00C33126" w:rsidRPr="00C47563">
        <w:rPr>
          <w:rFonts w:cs="Times New Roman"/>
          <w:sz w:val="26"/>
          <w:szCs w:val="26"/>
        </w:rPr>
        <w:t xml:space="preserve"> recommendation to approve the Joint Petition is based on an extensive evidentiary record, as well as the Statements in Support of the Settlement from each of the </w:t>
      </w:r>
      <w:r w:rsidR="00CF741D" w:rsidRPr="00C47563">
        <w:rPr>
          <w:rFonts w:cs="Times New Roman"/>
          <w:sz w:val="26"/>
          <w:szCs w:val="26"/>
        </w:rPr>
        <w:t>Joint Petitioners</w:t>
      </w:r>
      <w:r w:rsidR="00C33126" w:rsidRPr="00C47563">
        <w:rPr>
          <w:rFonts w:cs="Times New Roman"/>
          <w:sz w:val="26"/>
          <w:szCs w:val="26"/>
        </w:rPr>
        <w:t xml:space="preserve">.  </w:t>
      </w:r>
      <w:r w:rsidR="00CF741D" w:rsidRPr="00C47563">
        <w:rPr>
          <w:rFonts w:cs="Times New Roman"/>
          <w:i/>
          <w:iCs/>
          <w:sz w:val="26"/>
          <w:szCs w:val="26"/>
        </w:rPr>
        <w:t>Id</w:t>
      </w:r>
      <w:r w:rsidR="00CF741D" w:rsidRPr="00C47563">
        <w:rPr>
          <w:rFonts w:cs="Times New Roman"/>
          <w:sz w:val="26"/>
          <w:szCs w:val="26"/>
        </w:rPr>
        <w:t xml:space="preserve">. at 2 (citing </w:t>
      </w:r>
      <w:r w:rsidR="00C33126" w:rsidRPr="00C47563">
        <w:rPr>
          <w:rFonts w:cs="Times New Roman"/>
          <w:sz w:val="26"/>
          <w:szCs w:val="26"/>
        </w:rPr>
        <w:t>Joint Petition, Appendices D-L</w:t>
      </w:r>
      <w:r w:rsidR="00D51F1F" w:rsidRPr="00C47563">
        <w:rPr>
          <w:rFonts w:cs="Times New Roman"/>
          <w:sz w:val="26"/>
          <w:szCs w:val="26"/>
        </w:rPr>
        <w:t>)</w:t>
      </w:r>
      <w:r w:rsidR="00C33126" w:rsidRPr="00C47563">
        <w:rPr>
          <w:rFonts w:cs="Times New Roman"/>
          <w:sz w:val="26"/>
          <w:szCs w:val="26"/>
        </w:rPr>
        <w:t>.</w:t>
      </w:r>
      <w:r w:rsidR="00C47563">
        <w:rPr>
          <w:rFonts w:cs="Times New Roman"/>
          <w:sz w:val="26"/>
          <w:szCs w:val="26"/>
        </w:rPr>
        <w:t xml:space="preserve">  </w:t>
      </w:r>
    </w:p>
    <w:p w14:paraId="65C23430" w14:textId="77777777" w:rsidR="00265C6D" w:rsidRPr="00C47563" w:rsidRDefault="00265C6D" w:rsidP="00C47563">
      <w:pPr>
        <w:pStyle w:val="BodyText2"/>
        <w:spacing w:line="360" w:lineRule="auto"/>
        <w:jc w:val="left"/>
        <w:rPr>
          <w:rFonts w:cs="Times New Roman"/>
          <w:sz w:val="26"/>
          <w:szCs w:val="26"/>
        </w:rPr>
      </w:pPr>
    </w:p>
    <w:p w14:paraId="25711246" w14:textId="3134A917" w:rsidR="00C33126" w:rsidRPr="00C47563" w:rsidRDefault="00557EDC" w:rsidP="00C47563">
      <w:pPr>
        <w:pStyle w:val="BodyText2"/>
        <w:spacing w:line="360" w:lineRule="auto"/>
        <w:ind w:firstLine="1440"/>
        <w:jc w:val="left"/>
        <w:rPr>
          <w:rFonts w:cs="Times New Roman"/>
          <w:sz w:val="26"/>
          <w:szCs w:val="26"/>
        </w:rPr>
      </w:pPr>
      <w:r w:rsidRPr="00C47563">
        <w:rPr>
          <w:rFonts w:cs="Times New Roman"/>
          <w:sz w:val="26"/>
          <w:szCs w:val="26"/>
        </w:rPr>
        <w:t xml:space="preserve">In response to </w:t>
      </w:r>
      <w:r w:rsidR="00C33126" w:rsidRPr="00C47563">
        <w:rPr>
          <w:rFonts w:cs="Times New Roman"/>
          <w:sz w:val="26"/>
          <w:szCs w:val="26"/>
        </w:rPr>
        <w:t>Mr. Culbertson</w:t>
      </w:r>
      <w:r w:rsidRPr="00C47563">
        <w:rPr>
          <w:rFonts w:cs="Times New Roman"/>
          <w:sz w:val="26"/>
          <w:szCs w:val="26"/>
        </w:rPr>
        <w:t>’s argument that he did</w:t>
      </w:r>
      <w:r w:rsidR="00C33126" w:rsidRPr="00C47563">
        <w:rPr>
          <w:rFonts w:cs="Times New Roman"/>
          <w:sz w:val="26"/>
          <w:szCs w:val="26"/>
        </w:rPr>
        <w:t xml:space="preserve"> not conduct a “detailed and extensive” investigation</w:t>
      </w:r>
      <w:r w:rsidRPr="00C47563">
        <w:rPr>
          <w:rFonts w:cs="Times New Roman"/>
          <w:sz w:val="26"/>
          <w:szCs w:val="26"/>
        </w:rPr>
        <w:t>,</w:t>
      </w:r>
      <w:r w:rsidR="001A0EDC" w:rsidRPr="00C47563">
        <w:rPr>
          <w:rFonts w:cs="Times New Roman"/>
          <w:sz w:val="26"/>
          <w:szCs w:val="26"/>
        </w:rPr>
        <w:t xml:space="preserve"> Columbia states that </w:t>
      </w:r>
      <w:bookmarkStart w:id="22" w:name="_Hlk87363096"/>
      <w:r w:rsidR="001A0EDC" w:rsidRPr="00C47563">
        <w:rPr>
          <w:rFonts w:cs="Times New Roman"/>
          <w:sz w:val="26"/>
          <w:szCs w:val="26"/>
        </w:rPr>
        <w:t xml:space="preserve">Mr. Culbertson was </w:t>
      </w:r>
      <w:r w:rsidR="00C33126" w:rsidRPr="00C47563">
        <w:rPr>
          <w:rFonts w:cs="Times New Roman"/>
          <w:sz w:val="26"/>
          <w:szCs w:val="26"/>
        </w:rPr>
        <w:t xml:space="preserve">afforded </w:t>
      </w:r>
      <w:r w:rsidR="001A0EDC" w:rsidRPr="00C47563">
        <w:rPr>
          <w:rFonts w:cs="Times New Roman"/>
          <w:sz w:val="26"/>
          <w:szCs w:val="26"/>
        </w:rPr>
        <w:t>the o</w:t>
      </w:r>
      <w:r w:rsidR="00C33126" w:rsidRPr="00C47563">
        <w:rPr>
          <w:rFonts w:cs="Times New Roman"/>
          <w:sz w:val="26"/>
          <w:szCs w:val="26"/>
        </w:rPr>
        <w:t>pportunity to do so</w:t>
      </w:r>
      <w:r w:rsidR="00BC6489" w:rsidRPr="00C47563">
        <w:rPr>
          <w:rFonts w:cs="Times New Roman"/>
          <w:sz w:val="26"/>
          <w:szCs w:val="26"/>
        </w:rPr>
        <w:t xml:space="preserve">.  </w:t>
      </w:r>
      <w:r w:rsidR="00D1334F" w:rsidRPr="00C47563">
        <w:rPr>
          <w:rFonts w:cs="Times New Roman"/>
          <w:sz w:val="26"/>
          <w:szCs w:val="26"/>
        </w:rPr>
        <w:t xml:space="preserve">R. Exc. at 2.  </w:t>
      </w:r>
      <w:bookmarkStart w:id="23" w:name="_Hlk87020429"/>
      <w:r w:rsidR="00BC6489" w:rsidRPr="00C47563">
        <w:rPr>
          <w:rFonts w:cs="Times New Roman"/>
          <w:sz w:val="26"/>
          <w:szCs w:val="26"/>
        </w:rPr>
        <w:t xml:space="preserve">Columbia </w:t>
      </w:r>
      <w:r w:rsidR="00D1334F" w:rsidRPr="00C47563">
        <w:rPr>
          <w:rFonts w:cs="Times New Roman"/>
          <w:sz w:val="26"/>
          <w:szCs w:val="26"/>
        </w:rPr>
        <w:t>avers that Mr. Culbertson</w:t>
      </w:r>
      <w:r w:rsidR="00C33126" w:rsidRPr="00C47563">
        <w:rPr>
          <w:rFonts w:cs="Times New Roman"/>
          <w:sz w:val="26"/>
          <w:szCs w:val="26"/>
        </w:rPr>
        <w:t xml:space="preserve"> </w:t>
      </w:r>
      <w:r w:rsidR="001A0EDC" w:rsidRPr="00C47563">
        <w:rPr>
          <w:rFonts w:cs="Times New Roman"/>
          <w:sz w:val="26"/>
          <w:szCs w:val="26"/>
        </w:rPr>
        <w:t xml:space="preserve">did fully </w:t>
      </w:r>
      <w:r w:rsidR="00C33126" w:rsidRPr="00C47563">
        <w:rPr>
          <w:rFonts w:cs="Times New Roman"/>
          <w:sz w:val="26"/>
          <w:szCs w:val="26"/>
        </w:rPr>
        <w:t>participate in all aspects of this proceeding</w:t>
      </w:r>
      <w:r w:rsidR="002C6BB8" w:rsidRPr="00C47563">
        <w:rPr>
          <w:rFonts w:cs="Times New Roman"/>
          <w:sz w:val="26"/>
          <w:szCs w:val="26"/>
        </w:rPr>
        <w:t>,</w:t>
      </w:r>
      <w:r w:rsidR="001A0EDC" w:rsidRPr="00C47563">
        <w:rPr>
          <w:rFonts w:cs="Times New Roman"/>
          <w:sz w:val="26"/>
          <w:szCs w:val="26"/>
        </w:rPr>
        <w:t xml:space="preserve"> </w:t>
      </w:r>
      <w:bookmarkEnd w:id="22"/>
      <w:r w:rsidR="001A0EDC" w:rsidRPr="00C47563">
        <w:rPr>
          <w:rFonts w:cs="Times New Roman"/>
          <w:sz w:val="26"/>
          <w:szCs w:val="26"/>
        </w:rPr>
        <w:t xml:space="preserve">including </w:t>
      </w:r>
      <w:r w:rsidR="002C6BB8" w:rsidRPr="00C47563">
        <w:rPr>
          <w:rFonts w:cs="Times New Roman"/>
          <w:sz w:val="26"/>
          <w:szCs w:val="26"/>
        </w:rPr>
        <w:t xml:space="preserve">the following: </w:t>
      </w:r>
      <w:r w:rsidR="005F328F" w:rsidRPr="00C47563">
        <w:rPr>
          <w:rFonts w:cs="Times New Roman"/>
          <w:sz w:val="26"/>
          <w:szCs w:val="26"/>
        </w:rPr>
        <w:t xml:space="preserve"> </w:t>
      </w:r>
      <w:r w:rsidR="00C33126" w:rsidRPr="00C47563">
        <w:rPr>
          <w:rFonts w:cs="Times New Roman"/>
          <w:sz w:val="26"/>
          <w:szCs w:val="26"/>
        </w:rPr>
        <w:t>participat</w:t>
      </w:r>
      <w:r w:rsidR="000D0C76" w:rsidRPr="00C47563">
        <w:rPr>
          <w:rFonts w:cs="Times New Roman"/>
          <w:sz w:val="26"/>
          <w:szCs w:val="26"/>
        </w:rPr>
        <w:t>ing</w:t>
      </w:r>
      <w:r w:rsidR="00C33126" w:rsidRPr="00C47563">
        <w:rPr>
          <w:rFonts w:cs="Times New Roman"/>
          <w:sz w:val="26"/>
          <w:szCs w:val="26"/>
        </w:rPr>
        <w:t xml:space="preserve"> in discovery</w:t>
      </w:r>
      <w:r w:rsidR="000D0C76" w:rsidRPr="00C47563">
        <w:rPr>
          <w:rFonts w:cs="Times New Roman"/>
          <w:sz w:val="26"/>
          <w:szCs w:val="26"/>
        </w:rPr>
        <w:t xml:space="preserve">, </w:t>
      </w:r>
      <w:r w:rsidR="00C33126" w:rsidRPr="00C47563">
        <w:rPr>
          <w:rFonts w:cs="Times New Roman"/>
          <w:sz w:val="26"/>
          <w:szCs w:val="26"/>
        </w:rPr>
        <w:t>attend</w:t>
      </w:r>
      <w:r w:rsidR="000D0C76" w:rsidRPr="00C47563">
        <w:rPr>
          <w:rFonts w:cs="Times New Roman"/>
          <w:sz w:val="26"/>
          <w:szCs w:val="26"/>
        </w:rPr>
        <w:t>ing</w:t>
      </w:r>
      <w:r w:rsidR="00C33126" w:rsidRPr="00C47563">
        <w:rPr>
          <w:rFonts w:cs="Times New Roman"/>
          <w:sz w:val="26"/>
          <w:szCs w:val="26"/>
        </w:rPr>
        <w:t xml:space="preserve"> public input hearings and cross-examin</w:t>
      </w:r>
      <w:r w:rsidR="000D0C76" w:rsidRPr="00C47563">
        <w:rPr>
          <w:rFonts w:cs="Times New Roman"/>
          <w:sz w:val="26"/>
          <w:szCs w:val="26"/>
        </w:rPr>
        <w:t>ing</w:t>
      </w:r>
      <w:r w:rsidR="00C33126" w:rsidRPr="00C47563">
        <w:rPr>
          <w:rFonts w:cs="Times New Roman"/>
          <w:sz w:val="26"/>
          <w:szCs w:val="26"/>
        </w:rPr>
        <w:t xml:space="preserve"> witness</w:t>
      </w:r>
      <w:r w:rsidR="00C42102" w:rsidRPr="00C47563">
        <w:rPr>
          <w:rFonts w:cs="Times New Roman"/>
          <w:sz w:val="26"/>
          <w:szCs w:val="26"/>
        </w:rPr>
        <w:t>es,</w:t>
      </w:r>
      <w:r w:rsidR="00C33126" w:rsidRPr="00C47563">
        <w:rPr>
          <w:rFonts w:cs="Times New Roman"/>
          <w:sz w:val="26"/>
          <w:szCs w:val="26"/>
        </w:rPr>
        <w:t xml:space="preserve"> </w:t>
      </w:r>
      <w:r w:rsidR="00B056FD" w:rsidRPr="00C47563">
        <w:rPr>
          <w:rFonts w:cs="Times New Roman"/>
          <w:sz w:val="26"/>
          <w:szCs w:val="26"/>
        </w:rPr>
        <w:t>presenting</w:t>
      </w:r>
      <w:r w:rsidR="00C33126" w:rsidRPr="00C47563">
        <w:rPr>
          <w:rFonts w:cs="Times New Roman"/>
          <w:sz w:val="26"/>
          <w:szCs w:val="26"/>
        </w:rPr>
        <w:t xml:space="preserve"> written direct and surrebuttal testimony that was stipulated into evidence at the evidentiary hearing</w:t>
      </w:r>
      <w:r w:rsidR="00EB4033" w:rsidRPr="00C47563">
        <w:rPr>
          <w:rFonts w:cs="Times New Roman"/>
          <w:sz w:val="26"/>
          <w:szCs w:val="26"/>
        </w:rPr>
        <w:t>,</w:t>
      </w:r>
      <w:r w:rsidR="00C33126" w:rsidRPr="00C47563">
        <w:rPr>
          <w:rFonts w:cs="Times New Roman"/>
          <w:sz w:val="26"/>
          <w:szCs w:val="26"/>
        </w:rPr>
        <w:t xml:space="preserve"> cross-examin</w:t>
      </w:r>
      <w:r w:rsidR="00EB4033" w:rsidRPr="00C47563">
        <w:rPr>
          <w:rFonts w:cs="Times New Roman"/>
          <w:sz w:val="26"/>
          <w:szCs w:val="26"/>
        </w:rPr>
        <w:t>ing</w:t>
      </w:r>
      <w:r w:rsidR="00C33126" w:rsidRPr="00C47563">
        <w:rPr>
          <w:rFonts w:cs="Times New Roman"/>
          <w:sz w:val="26"/>
          <w:szCs w:val="26"/>
        </w:rPr>
        <w:t xml:space="preserve"> </w:t>
      </w:r>
      <w:r w:rsidR="00EB4033" w:rsidRPr="00C47563">
        <w:rPr>
          <w:rFonts w:cs="Times New Roman"/>
          <w:sz w:val="26"/>
          <w:szCs w:val="26"/>
        </w:rPr>
        <w:t xml:space="preserve">a </w:t>
      </w:r>
      <w:r w:rsidR="00C33126" w:rsidRPr="00C47563">
        <w:rPr>
          <w:rFonts w:cs="Times New Roman"/>
          <w:sz w:val="26"/>
          <w:szCs w:val="26"/>
        </w:rPr>
        <w:t>Columbia witness, fil</w:t>
      </w:r>
      <w:r w:rsidR="0056078E" w:rsidRPr="00C47563">
        <w:rPr>
          <w:rFonts w:cs="Times New Roman"/>
          <w:sz w:val="26"/>
          <w:szCs w:val="26"/>
        </w:rPr>
        <w:t>ing</w:t>
      </w:r>
      <w:r w:rsidR="00C33126" w:rsidRPr="00C47563">
        <w:rPr>
          <w:rFonts w:cs="Times New Roman"/>
          <w:sz w:val="26"/>
          <w:szCs w:val="26"/>
        </w:rPr>
        <w:t xml:space="preserve"> a </w:t>
      </w:r>
      <w:r w:rsidR="0056078E" w:rsidRPr="00C47563">
        <w:rPr>
          <w:rFonts w:cs="Times New Roman"/>
          <w:sz w:val="26"/>
          <w:szCs w:val="26"/>
        </w:rPr>
        <w:t>M</w:t>
      </w:r>
      <w:r w:rsidR="00C33126" w:rsidRPr="00C47563">
        <w:rPr>
          <w:rFonts w:cs="Times New Roman"/>
          <w:sz w:val="26"/>
          <w:szCs w:val="26"/>
        </w:rPr>
        <w:t xml:space="preserve">ain </w:t>
      </w:r>
      <w:r w:rsidR="0056078E" w:rsidRPr="00C47563">
        <w:rPr>
          <w:rFonts w:cs="Times New Roman"/>
          <w:sz w:val="26"/>
          <w:szCs w:val="26"/>
        </w:rPr>
        <w:t>B</w:t>
      </w:r>
      <w:r w:rsidR="00C33126" w:rsidRPr="00C47563">
        <w:rPr>
          <w:rFonts w:cs="Times New Roman"/>
          <w:sz w:val="26"/>
          <w:szCs w:val="26"/>
        </w:rPr>
        <w:t xml:space="preserve">rief and a </w:t>
      </w:r>
      <w:r w:rsidR="0056078E" w:rsidRPr="00C47563">
        <w:rPr>
          <w:rFonts w:cs="Times New Roman"/>
          <w:sz w:val="26"/>
          <w:szCs w:val="26"/>
        </w:rPr>
        <w:t>R</w:t>
      </w:r>
      <w:r w:rsidR="00C33126" w:rsidRPr="00C47563">
        <w:rPr>
          <w:rFonts w:cs="Times New Roman"/>
          <w:sz w:val="26"/>
          <w:szCs w:val="26"/>
        </w:rPr>
        <w:t xml:space="preserve">eply </w:t>
      </w:r>
      <w:r w:rsidR="0056078E" w:rsidRPr="00C47563">
        <w:rPr>
          <w:rFonts w:cs="Times New Roman"/>
          <w:sz w:val="26"/>
          <w:szCs w:val="26"/>
        </w:rPr>
        <w:t>B</w:t>
      </w:r>
      <w:r w:rsidR="00C33126" w:rsidRPr="00C47563">
        <w:rPr>
          <w:rFonts w:cs="Times New Roman"/>
          <w:sz w:val="26"/>
          <w:szCs w:val="26"/>
        </w:rPr>
        <w:t>rief</w:t>
      </w:r>
      <w:r w:rsidR="00982322" w:rsidRPr="00C47563">
        <w:rPr>
          <w:rFonts w:cs="Times New Roman"/>
          <w:sz w:val="26"/>
          <w:szCs w:val="26"/>
        </w:rPr>
        <w:t xml:space="preserve">, </w:t>
      </w:r>
      <w:r w:rsidR="00C33126" w:rsidRPr="00C47563">
        <w:rPr>
          <w:rFonts w:cs="Times New Roman"/>
          <w:sz w:val="26"/>
          <w:szCs w:val="26"/>
        </w:rPr>
        <w:t>participat</w:t>
      </w:r>
      <w:r w:rsidR="00982322" w:rsidRPr="00C47563">
        <w:rPr>
          <w:rFonts w:cs="Times New Roman"/>
          <w:sz w:val="26"/>
          <w:szCs w:val="26"/>
        </w:rPr>
        <w:t>ing</w:t>
      </w:r>
      <w:r w:rsidR="00C33126" w:rsidRPr="00C47563">
        <w:rPr>
          <w:rFonts w:cs="Times New Roman"/>
          <w:sz w:val="26"/>
          <w:szCs w:val="26"/>
        </w:rPr>
        <w:t xml:space="preserve"> in settlement negotiations with Columbia’s counsel</w:t>
      </w:r>
      <w:r w:rsidR="00982322" w:rsidRPr="00C47563">
        <w:rPr>
          <w:rFonts w:cs="Times New Roman"/>
          <w:sz w:val="26"/>
          <w:szCs w:val="26"/>
        </w:rPr>
        <w:t>, and</w:t>
      </w:r>
      <w:r w:rsidR="00C33126" w:rsidRPr="00C47563">
        <w:rPr>
          <w:rFonts w:cs="Times New Roman"/>
          <w:sz w:val="26"/>
          <w:szCs w:val="26"/>
        </w:rPr>
        <w:t xml:space="preserve"> </w:t>
      </w:r>
      <w:r w:rsidR="0076430B" w:rsidRPr="00C47563">
        <w:rPr>
          <w:rFonts w:cs="Times New Roman"/>
          <w:sz w:val="26"/>
          <w:szCs w:val="26"/>
        </w:rPr>
        <w:t xml:space="preserve">having the </w:t>
      </w:r>
      <w:r w:rsidR="00C33126" w:rsidRPr="00C47563">
        <w:rPr>
          <w:rFonts w:cs="Times New Roman"/>
          <w:sz w:val="26"/>
          <w:szCs w:val="26"/>
        </w:rPr>
        <w:t>opportunity to comment on the Joint Petition</w:t>
      </w:r>
      <w:bookmarkEnd w:id="23"/>
      <w:r w:rsidR="00C33126" w:rsidRPr="00C47563">
        <w:rPr>
          <w:rFonts w:cs="Times New Roman"/>
          <w:sz w:val="26"/>
          <w:szCs w:val="26"/>
        </w:rPr>
        <w:t>.</w:t>
      </w:r>
      <w:r w:rsidR="00082519" w:rsidRPr="00C47563">
        <w:rPr>
          <w:rFonts w:cs="Times New Roman"/>
          <w:sz w:val="26"/>
          <w:szCs w:val="26"/>
        </w:rPr>
        <w:t xml:space="preserve">  </w:t>
      </w:r>
      <w:r w:rsidR="00082519" w:rsidRPr="00C47563">
        <w:rPr>
          <w:rFonts w:cs="Times New Roman"/>
          <w:i/>
          <w:iCs/>
          <w:sz w:val="26"/>
          <w:szCs w:val="26"/>
        </w:rPr>
        <w:t>Id</w:t>
      </w:r>
      <w:r w:rsidR="00082519" w:rsidRPr="00C47563">
        <w:rPr>
          <w:rFonts w:cs="Times New Roman"/>
          <w:sz w:val="26"/>
          <w:szCs w:val="26"/>
        </w:rPr>
        <w:t>. at 3.</w:t>
      </w:r>
      <w:r w:rsidR="00C47563">
        <w:rPr>
          <w:rFonts w:cs="Times New Roman"/>
          <w:sz w:val="26"/>
          <w:szCs w:val="26"/>
        </w:rPr>
        <w:t xml:space="preserve">  </w:t>
      </w:r>
    </w:p>
    <w:p w14:paraId="6686A763" w14:textId="77777777" w:rsidR="00082519" w:rsidRPr="00C47563" w:rsidRDefault="00082519" w:rsidP="00C47563">
      <w:pPr>
        <w:pStyle w:val="BodyText2"/>
        <w:spacing w:line="360" w:lineRule="auto"/>
        <w:jc w:val="left"/>
        <w:rPr>
          <w:rFonts w:cs="Times New Roman"/>
          <w:sz w:val="26"/>
          <w:szCs w:val="26"/>
        </w:rPr>
      </w:pPr>
    </w:p>
    <w:p w14:paraId="362595E8" w14:textId="11D08F9A" w:rsidR="00C33126" w:rsidRPr="00C47563" w:rsidRDefault="0024011D" w:rsidP="00C47563">
      <w:pPr>
        <w:pStyle w:val="BodyText2"/>
        <w:spacing w:line="360" w:lineRule="auto"/>
        <w:ind w:firstLine="1440"/>
        <w:jc w:val="left"/>
        <w:rPr>
          <w:rFonts w:cs="Times New Roman"/>
          <w:sz w:val="26"/>
          <w:szCs w:val="26"/>
        </w:rPr>
      </w:pPr>
      <w:r w:rsidRPr="00C47563">
        <w:rPr>
          <w:rFonts w:cs="Times New Roman"/>
          <w:sz w:val="26"/>
          <w:szCs w:val="26"/>
        </w:rPr>
        <w:t xml:space="preserve">In reply to </w:t>
      </w:r>
      <w:r w:rsidR="00E10980" w:rsidRPr="00C47563">
        <w:rPr>
          <w:rFonts w:cs="Times New Roman"/>
          <w:sz w:val="26"/>
          <w:szCs w:val="26"/>
        </w:rPr>
        <w:t xml:space="preserve">Mr. Culbertson’s </w:t>
      </w:r>
      <w:r w:rsidR="000D1606" w:rsidRPr="00C47563">
        <w:rPr>
          <w:rFonts w:cs="Times New Roman"/>
          <w:sz w:val="26"/>
          <w:szCs w:val="26"/>
        </w:rPr>
        <w:t xml:space="preserve">averment that </w:t>
      </w:r>
      <w:r w:rsidR="00C33126" w:rsidRPr="00C47563">
        <w:rPr>
          <w:rFonts w:cs="Times New Roman"/>
          <w:sz w:val="26"/>
          <w:szCs w:val="26"/>
        </w:rPr>
        <w:t>Columbia’s financials have not been audited in accordance with the “GAO Yellow Book</w:t>
      </w:r>
      <w:r w:rsidR="00DF5D4A" w:rsidRPr="00C47563">
        <w:rPr>
          <w:rFonts w:cs="Times New Roman"/>
          <w:sz w:val="26"/>
          <w:szCs w:val="26"/>
        </w:rPr>
        <w:t>,</w:t>
      </w:r>
      <w:r w:rsidR="00C33126" w:rsidRPr="00C47563">
        <w:rPr>
          <w:rFonts w:cs="Times New Roman"/>
          <w:sz w:val="26"/>
          <w:szCs w:val="26"/>
        </w:rPr>
        <w:t>” Columbia explain</w:t>
      </w:r>
      <w:r w:rsidR="001E4198" w:rsidRPr="00C47563">
        <w:rPr>
          <w:rFonts w:cs="Times New Roman"/>
          <w:sz w:val="26"/>
          <w:szCs w:val="26"/>
        </w:rPr>
        <w:t>s</w:t>
      </w:r>
      <w:r w:rsidR="00C33126" w:rsidRPr="00C47563">
        <w:rPr>
          <w:rFonts w:cs="Times New Roman"/>
          <w:sz w:val="26"/>
          <w:szCs w:val="26"/>
        </w:rPr>
        <w:t xml:space="preserve"> </w:t>
      </w:r>
      <w:r w:rsidR="001E4198" w:rsidRPr="00C47563">
        <w:rPr>
          <w:rFonts w:cs="Times New Roman"/>
          <w:sz w:val="26"/>
          <w:szCs w:val="26"/>
        </w:rPr>
        <w:t>that the Company is s</w:t>
      </w:r>
      <w:r w:rsidR="00C33126" w:rsidRPr="00C47563">
        <w:rPr>
          <w:rFonts w:cs="Times New Roman"/>
          <w:sz w:val="26"/>
          <w:szCs w:val="26"/>
        </w:rPr>
        <w:t xml:space="preserve">ubject to regular audits by the Commission, and the GAO Yellow Book applies </w:t>
      </w:r>
      <w:r w:rsidR="00EE5768" w:rsidRPr="00C47563">
        <w:rPr>
          <w:rFonts w:cs="Times New Roman"/>
          <w:sz w:val="26"/>
          <w:szCs w:val="26"/>
        </w:rPr>
        <w:t xml:space="preserve">only </w:t>
      </w:r>
      <w:r w:rsidR="00C33126" w:rsidRPr="00C47563">
        <w:rPr>
          <w:rFonts w:cs="Times New Roman"/>
          <w:sz w:val="26"/>
          <w:szCs w:val="26"/>
        </w:rPr>
        <w:t>to audits of government agencies</w:t>
      </w:r>
      <w:r w:rsidR="00EE5768" w:rsidRPr="00C47563">
        <w:rPr>
          <w:rFonts w:cs="Times New Roman"/>
          <w:sz w:val="26"/>
          <w:szCs w:val="26"/>
        </w:rPr>
        <w:t xml:space="preserve"> and is therefore not relevant to this proceeding</w:t>
      </w:r>
      <w:r w:rsidR="00C33126" w:rsidRPr="00C47563">
        <w:rPr>
          <w:rFonts w:cs="Times New Roman"/>
          <w:sz w:val="26"/>
          <w:szCs w:val="26"/>
        </w:rPr>
        <w:t xml:space="preserve">.  </w:t>
      </w:r>
      <w:r w:rsidR="00505076" w:rsidRPr="00C47563">
        <w:rPr>
          <w:rFonts w:cs="Times New Roman"/>
          <w:sz w:val="26"/>
          <w:szCs w:val="26"/>
        </w:rPr>
        <w:t xml:space="preserve">R. Exc. at 3 (citing </w:t>
      </w:r>
      <w:r w:rsidR="00C33126" w:rsidRPr="00C47563">
        <w:rPr>
          <w:rFonts w:cs="Times New Roman"/>
          <w:sz w:val="26"/>
          <w:szCs w:val="26"/>
        </w:rPr>
        <w:t>Columbia M</w:t>
      </w:r>
      <w:r w:rsidR="00EE5768" w:rsidRPr="00C47563">
        <w:rPr>
          <w:rFonts w:cs="Times New Roman"/>
          <w:sz w:val="26"/>
          <w:szCs w:val="26"/>
        </w:rPr>
        <w:t>.</w:t>
      </w:r>
      <w:r w:rsidR="00C33126" w:rsidRPr="00C47563">
        <w:rPr>
          <w:rFonts w:cs="Times New Roman"/>
          <w:sz w:val="26"/>
          <w:szCs w:val="26"/>
        </w:rPr>
        <w:t>B</w:t>
      </w:r>
      <w:r w:rsidR="00EE5768" w:rsidRPr="00C47563">
        <w:rPr>
          <w:rFonts w:cs="Times New Roman"/>
          <w:sz w:val="26"/>
          <w:szCs w:val="26"/>
        </w:rPr>
        <w:t>.</w:t>
      </w:r>
      <w:r w:rsidR="00C33126" w:rsidRPr="00C47563">
        <w:rPr>
          <w:rFonts w:cs="Times New Roman"/>
          <w:sz w:val="26"/>
          <w:szCs w:val="26"/>
        </w:rPr>
        <w:t xml:space="preserve"> </w:t>
      </w:r>
      <w:r w:rsidR="00EE5768" w:rsidRPr="00C47563">
        <w:rPr>
          <w:rFonts w:cs="Times New Roman"/>
          <w:sz w:val="26"/>
          <w:szCs w:val="26"/>
        </w:rPr>
        <w:t xml:space="preserve">at </w:t>
      </w:r>
      <w:r w:rsidR="00C33126" w:rsidRPr="00C47563">
        <w:rPr>
          <w:rFonts w:cs="Times New Roman"/>
          <w:sz w:val="26"/>
          <w:szCs w:val="26"/>
        </w:rPr>
        <w:t>6-7</w:t>
      </w:r>
      <w:r w:rsidR="00EE5768" w:rsidRPr="00C47563">
        <w:rPr>
          <w:rFonts w:cs="Times New Roman"/>
          <w:sz w:val="26"/>
          <w:szCs w:val="26"/>
        </w:rPr>
        <w:t>)</w:t>
      </w:r>
      <w:r w:rsidR="00C33126" w:rsidRPr="00C47563">
        <w:rPr>
          <w:rFonts w:cs="Times New Roman"/>
          <w:sz w:val="26"/>
          <w:szCs w:val="26"/>
        </w:rPr>
        <w:t>.</w:t>
      </w:r>
      <w:r w:rsidR="005E6C0E" w:rsidRPr="00C47563">
        <w:rPr>
          <w:rFonts w:cs="Times New Roman"/>
          <w:sz w:val="26"/>
          <w:szCs w:val="26"/>
        </w:rPr>
        <w:t xml:space="preserve">  </w:t>
      </w:r>
      <w:r w:rsidR="00C55884" w:rsidRPr="00C47563">
        <w:rPr>
          <w:rFonts w:cs="Times New Roman"/>
          <w:sz w:val="26"/>
          <w:szCs w:val="26"/>
        </w:rPr>
        <w:t xml:space="preserve">Columbia continues that </w:t>
      </w:r>
      <w:r w:rsidR="00C33126" w:rsidRPr="00C47563">
        <w:rPr>
          <w:rFonts w:cs="Times New Roman"/>
          <w:sz w:val="26"/>
          <w:szCs w:val="26"/>
        </w:rPr>
        <w:t>the “Federal Acquisition Regulations”</w:t>
      </w:r>
      <w:r w:rsidR="00C55884" w:rsidRPr="00C47563">
        <w:rPr>
          <w:rFonts w:cs="Times New Roman"/>
          <w:sz w:val="26"/>
          <w:szCs w:val="26"/>
        </w:rPr>
        <w:t xml:space="preserve"> are likewise irrelevant </w:t>
      </w:r>
      <w:r w:rsidR="008A4F0C" w:rsidRPr="00C47563">
        <w:rPr>
          <w:rFonts w:cs="Times New Roman"/>
          <w:sz w:val="26"/>
          <w:szCs w:val="26"/>
        </w:rPr>
        <w:t xml:space="preserve">to this proceeding because </w:t>
      </w:r>
      <w:r w:rsidR="00C33126" w:rsidRPr="00C47563">
        <w:rPr>
          <w:rFonts w:cs="Times New Roman"/>
          <w:sz w:val="26"/>
          <w:szCs w:val="26"/>
        </w:rPr>
        <w:t xml:space="preserve">Columbia does not engage in procurement for the federal government.  </w:t>
      </w:r>
      <w:r w:rsidR="00F47F00" w:rsidRPr="00C47563">
        <w:rPr>
          <w:rFonts w:cs="Times New Roman"/>
          <w:sz w:val="26"/>
          <w:szCs w:val="26"/>
        </w:rPr>
        <w:t xml:space="preserve">R. Exc. at 3.  </w:t>
      </w:r>
    </w:p>
    <w:p w14:paraId="6E1C115A" w14:textId="77777777" w:rsidR="00F47F00" w:rsidRPr="00C47563" w:rsidRDefault="00F47F00" w:rsidP="00C47563">
      <w:pPr>
        <w:pStyle w:val="BodyText2"/>
        <w:spacing w:line="360" w:lineRule="auto"/>
        <w:jc w:val="left"/>
        <w:rPr>
          <w:rFonts w:cs="Times New Roman"/>
          <w:sz w:val="26"/>
          <w:szCs w:val="26"/>
        </w:rPr>
      </w:pPr>
    </w:p>
    <w:p w14:paraId="2A6F6572" w14:textId="7A0FF012" w:rsidR="00463955" w:rsidRPr="00C47563" w:rsidRDefault="00F47F00" w:rsidP="00C47563">
      <w:pPr>
        <w:pStyle w:val="BodyText2"/>
        <w:spacing w:line="360" w:lineRule="auto"/>
        <w:ind w:firstLine="1440"/>
        <w:jc w:val="left"/>
        <w:rPr>
          <w:rFonts w:cs="Times New Roman"/>
          <w:sz w:val="26"/>
          <w:szCs w:val="26"/>
        </w:rPr>
      </w:pPr>
      <w:r w:rsidRPr="00C47563">
        <w:rPr>
          <w:rFonts w:cs="Times New Roman"/>
          <w:sz w:val="26"/>
          <w:szCs w:val="26"/>
        </w:rPr>
        <w:t xml:space="preserve">Further, Columbia contends that Mr. Culbertson’s arguments are flawed because he </w:t>
      </w:r>
      <w:r w:rsidR="00C33126" w:rsidRPr="00C47563">
        <w:rPr>
          <w:rFonts w:cs="Times New Roman"/>
          <w:sz w:val="26"/>
          <w:szCs w:val="26"/>
        </w:rPr>
        <w:t>confuses the concept of an “audit” with a rate investigation</w:t>
      </w:r>
      <w:r w:rsidRPr="00C47563">
        <w:rPr>
          <w:rFonts w:cs="Times New Roman"/>
          <w:sz w:val="26"/>
          <w:szCs w:val="26"/>
        </w:rPr>
        <w:t xml:space="preserve">, and </w:t>
      </w:r>
      <w:r w:rsidR="00D05B56" w:rsidRPr="00C47563">
        <w:rPr>
          <w:rFonts w:cs="Times New Roman"/>
          <w:sz w:val="26"/>
          <w:szCs w:val="26"/>
        </w:rPr>
        <w:t>neither the Code nor</w:t>
      </w:r>
      <w:r w:rsidR="00C33126" w:rsidRPr="00C47563">
        <w:rPr>
          <w:rFonts w:cs="Times New Roman"/>
          <w:sz w:val="26"/>
          <w:szCs w:val="26"/>
        </w:rPr>
        <w:t xml:space="preserve"> the Commission’s </w:t>
      </w:r>
      <w:r w:rsidR="00D05B56" w:rsidRPr="00C47563">
        <w:rPr>
          <w:rFonts w:cs="Times New Roman"/>
          <w:sz w:val="26"/>
          <w:szCs w:val="26"/>
        </w:rPr>
        <w:t>R</w:t>
      </w:r>
      <w:r w:rsidR="00C33126" w:rsidRPr="00C47563">
        <w:rPr>
          <w:rFonts w:cs="Times New Roman"/>
          <w:sz w:val="26"/>
          <w:szCs w:val="26"/>
        </w:rPr>
        <w:t>egulations direct an “audit” as part of a Section 1308(d)</w:t>
      </w:r>
      <w:r w:rsidR="00774D1A" w:rsidRPr="00C47563">
        <w:rPr>
          <w:rFonts w:cs="Times New Roman"/>
          <w:sz w:val="26"/>
          <w:szCs w:val="26"/>
        </w:rPr>
        <w:t>, 66</w:t>
      </w:r>
      <w:r w:rsidR="00287971">
        <w:rPr>
          <w:rFonts w:cs="Times New Roman"/>
          <w:sz w:val="26"/>
          <w:szCs w:val="26"/>
        </w:rPr>
        <w:t> </w:t>
      </w:r>
      <w:r w:rsidR="00774D1A" w:rsidRPr="00C47563">
        <w:rPr>
          <w:rFonts w:cs="Times New Roman"/>
          <w:sz w:val="26"/>
          <w:szCs w:val="26"/>
        </w:rPr>
        <w:t>Pa. C.S. § 1308(d),</w:t>
      </w:r>
      <w:r w:rsidR="00C33126" w:rsidRPr="00C47563">
        <w:rPr>
          <w:rFonts w:cs="Times New Roman"/>
          <w:sz w:val="26"/>
          <w:szCs w:val="26"/>
        </w:rPr>
        <w:t xml:space="preserve"> rate filing and investigation.  </w:t>
      </w:r>
      <w:r w:rsidR="00774D1A" w:rsidRPr="00C47563">
        <w:rPr>
          <w:rFonts w:cs="Times New Roman"/>
          <w:sz w:val="26"/>
          <w:szCs w:val="26"/>
        </w:rPr>
        <w:t xml:space="preserve">Nevertheless, Columbia </w:t>
      </w:r>
      <w:r w:rsidR="003E6161" w:rsidRPr="00C47563">
        <w:rPr>
          <w:rFonts w:cs="Times New Roman"/>
          <w:sz w:val="26"/>
          <w:szCs w:val="26"/>
        </w:rPr>
        <w:t>asserts that its</w:t>
      </w:r>
      <w:r w:rsidR="00C33126" w:rsidRPr="00C47563">
        <w:rPr>
          <w:rFonts w:cs="Times New Roman"/>
          <w:sz w:val="26"/>
          <w:szCs w:val="26"/>
        </w:rPr>
        <w:t xml:space="preserve"> proposed rates, policies</w:t>
      </w:r>
      <w:r w:rsidR="003E6161" w:rsidRPr="00C47563">
        <w:rPr>
          <w:rFonts w:cs="Times New Roman"/>
          <w:sz w:val="26"/>
          <w:szCs w:val="26"/>
        </w:rPr>
        <w:t>,</w:t>
      </w:r>
      <w:r w:rsidR="00C33126" w:rsidRPr="00C47563">
        <w:rPr>
          <w:rFonts w:cs="Times New Roman"/>
          <w:sz w:val="26"/>
          <w:szCs w:val="26"/>
        </w:rPr>
        <w:t xml:space="preserve"> and procedures have been thoroughly examined by experts in the fields of accounting, fair return, rate design, low income programs</w:t>
      </w:r>
      <w:r w:rsidR="003E6161" w:rsidRPr="00C47563">
        <w:rPr>
          <w:rFonts w:cs="Times New Roman"/>
          <w:sz w:val="26"/>
          <w:szCs w:val="26"/>
        </w:rPr>
        <w:t>,</w:t>
      </w:r>
      <w:r w:rsidR="00C33126" w:rsidRPr="00C47563">
        <w:rPr>
          <w:rFonts w:cs="Times New Roman"/>
          <w:sz w:val="26"/>
          <w:szCs w:val="26"/>
        </w:rPr>
        <w:t xml:space="preserve"> and other relevant matters. </w:t>
      </w:r>
      <w:r w:rsidR="003E6161" w:rsidRPr="00C47563">
        <w:rPr>
          <w:rFonts w:cs="Times New Roman"/>
          <w:sz w:val="26"/>
          <w:szCs w:val="26"/>
        </w:rPr>
        <w:t xml:space="preserve"> </w:t>
      </w:r>
      <w:r w:rsidR="00CE7851" w:rsidRPr="00C47563">
        <w:rPr>
          <w:rFonts w:cs="Times New Roman"/>
          <w:sz w:val="26"/>
          <w:szCs w:val="26"/>
        </w:rPr>
        <w:t>Columbia states that t</w:t>
      </w:r>
      <w:r w:rsidR="00C33126" w:rsidRPr="00C47563">
        <w:rPr>
          <w:rFonts w:cs="Times New Roman"/>
          <w:sz w:val="26"/>
          <w:szCs w:val="26"/>
        </w:rPr>
        <w:t xml:space="preserve">he active </w:t>
      </w:r>
      <w:r w:rsidR="00E2479E" w:rsidRPr="00C47563">
        <w:rPr>
          <w:rFonts w:cs="Times New Roman"/>
          <w:sz w:val="26"/>
          <w:szCs w:val="26"/>
        </w:rPr>
        <w:t>P</w:t>
      </w:r>
      <w:r w:rsidR="00C33126" w:rsidRPr="00C47563">
        <w:rPr>
          <w:rFonts w:cs="Times New Roman"/>
          <w:sz w:val="26"/>
          <w:szCs w:val="26"/>
        </w:rPr>
        <w:t xml:space="preserve">arties examined </w:t>
      </w:r>
      <w:r w:rsidR="00CE7851" w:rsidRPr="00C47563">
        <w:rPr>
          <w:rFonts w:cs="Times New Roman"/>
          <w:sz w:val="26"/>
          <w:szCs w:val="26"/>
        </w:rPr>
        <w:t>the Company’s</w:t>
      </w:r>
      <w:r w:rsidR="00C33126" w:rsidRPr="00C47563">
        <w:rPr>
          <w:rFonts w:cs="Times New Roman"/>
          <w:sz w:val="26"/>
          <w:szCs w:val="26"/>
        </w:rPr>
        <w:t xml:space="preserve"> current rates and proposed rates</w:t>
      </w:r>
      <w:r w:rsidR="00CE7851" w:rsidRPr="00C47563">
        <w:rPr>
          <w:rFonts w:cs="Times New Roman"/>
          <w:sz w:val="26"/>
          <w:szCs w:val="26"/>
        </w:rPr>
        <w:t>, and t</w:t>
      </w:r>
      <w:r w:rsidR="00C33126" w:rsidRPr="00C47563">
        <w:rPr>
          <w:rFonts w:cs="Times New Roman"/>
          <w:sz w:val="26"/>
          <w:szCs w:val="26"/>
        </w:rPr>
        <w:t>he Settlement provides for certain changes to Columbia’s current tariff terms, thus demonstrating that current rates have been investigated.</w:t>
      </w:r>
      <w:r w:rsidR="005602D8" w:rsidRPr="00C47563">
        <w:rPr>
          <w:rFonts w:cs="Times New Roman"/>
          <w:sz w:val="26"/>
          <w:szCs w:val="26"/>
        </w:rPr>
        <w:t xml:space="preserve">  R.</w:t>
      </w:r>
      <w:r w:rsidR="00287971">
        <w:rPr>
          <w:rFonts w:cs="Times New Roman"/>
          <w:sz w:val="26"/>
          <w:szCs w:val="26"/>
        </w:rPr>
        <w:t> </w:t>
      </w:r>
      <w:r w:rsidR="005602D8" w:rsidRPr="00C47563">
        <w:rPr>
          <w:rFonts w:cs="Times New Roman"/>
          <w:sz w:val="26"/>
          <w:szCs w:val="26"/>
        </w:rPr>
        <w:t>Exc.</w:t>
      </w:r>
      <w:r w:rsidR="00287971">
        <w:rPr>
          <w:rFonts w:cs="Times New Roman"/>
          <w:sz w:val="26"/>
          <w:szCs w:val="26"/>
        </w:rPr>
        <w:t> </w:t>
      </w:r>
      <w:r w:rsidR="005602D8" w:rsidRPr="00C47563">
        <w:rPr>
          <w:rFonts w:cs="Times New Roman"/>
          <w:sz w:val="26"/>
          <w:szCs w:val="26"/>
        </w:rPr>
        <w:t>at 4.</w:t>
      </w:r>
      <w:r w:rsidR="00C47563">
        <w:rPr>
          <w:rFonts w:cs="Times New Roman"/>
          <w:sz w:val="26"/>
          <w:szCs w:val="26"/>
        </w:rPr>
        <w:t xml:space="preserve">  </w:t>
      </w:r>
    </w:p>
    <w:p w14:paraId="4B44CB2A" w14:textId="77777777" w:rsidR="00463955" w:rsidRPr="00C47563" w:rsidRDefault="00463955" w:rsidP="00C47563">
      <w:pPr>
        <w:pStyle w:val="BodyText2"/>
        <w:spacing w:line="360" w:lineRule="auto"/>
        <w:ind w:firstLine="1440"/>
        <w:jc w:val="left"/>
        <w:rPr>
          <w:rFonts w:cs="Times New Roman"/>
          <w:sz w:val="26"/>
          <w:szCs w:val="26"/>
        </w:rPr>
      </w:pPr>
    </w:p>
    <w:p w14:paraId="186FA320" w14:textId="04F8B428" w:rsidR="00FA7677" w:rsidRPr="00C47563" w:rsidRDefault="002F3ADB" w:rsidP="00C47563">
      <w:pPr>
        <w:pStyle w:val="BodyText2"/>
        <w:spacing w:line="360" w:lineRule="auto"/>
        <w:ind w:firstLine="1440"/>
        <w:jc w:val="left"/>
        <w:rPr>
          <w:rFonts w:cs="Times New Roman"/>
          <w:sz w:val="26"/>
          <w:szCs w:val="26"/>
        </w:rPr>
      </w:pPr>
      <w:r w:rsidRPr="00C47563">
        <w:rPr>
          <w:rFonts w:cs="Times New Roman"/>
          <w:sz w:val="26"/>
          <w:szCs w:val="26"/>
        </w:rPr>
        <w:t xml:space="preserve">Upon review, we shall deny Mr. Culbertson’s Exception.  </w:t>
      </w:r>
      <w:r w:rsidR="00A225A8" w:rsidRPr="00C47563">
        <w:rPr>
          <w:rFonts w:cs="Times New Roman"/>
          <w:sz w:val="26"/>
          <w:szCs w:val="26"/>
        </w:rPr>
        <w:t>W</w:t>
      </w:r>
      <w:r w:rsidRPr="00C47563">
        <w:rPr>
          <w:rFonts w:cs="Times New Roman"/>
          <w:sz w:val="26"/>
          <w:szCs w:val="26"/>
        </w:rPr>
        <w:t xml:space="preserve">e find that the record demonstrates that </w:t>
      </w:r>
      <w:r w:rsidR="00567A46" w:rsidRPr="00C47563">
        <w:rPr>
          <w:rFonts w:cs="Times New Roman"/>
          <w:sz w:val="26"/>
          <w:szCs w:val="26"/>
        </w:rPr>
        <w:t xml:space="preserve">in addition to the </w:t>
      </w:r>
      <w:r w:rsidR="005C7F97" w:rsidRPr="00C47563">
        <w:rPr>
          <w:rFonts w:cs="Times New Roman"/>
          <w:sz w:val="26"/>
          <w:szCs w:val="26"/>
        </w:rPr>
        <w:t xml:space="preserve">testimony and exhibits Columbia </w:t>
      </w:r>
      <w:r w:rsidR="00882746" w:rsidRPr="00C47563">
        <w:rPr>
          <w:rFonts w:cs="Times New Roman"/>
          <w:sz w:val="26"/>
          <w:szCs w:val="26"/>
        </w:rPr>
        <w:t xml:space="preserve">presented in support of its filing, </w:t>
      </w:r>
      <w:r w:rsidRPr="00C47563">
        <w:rPr>
          <w:rFonts w:cs="Times New Roman"/>
          <w:sz w:val="26"/>
          <w:szCs w:val="26"/>
        </w:rPr>
        <w:t xml:space="preserve">Columbia’s filing has been subject to an extensive and detailed investigation by eight other active </w:t>
      </w:r>
      <w:r w:rsidR="00A94793" w:rsidRPr="00C47563">
        <w:rPr>
          <w:rFonts w:cs="Times New Roman"/>
          <w:sz w:val="26"/>
          <w:szCs w:val="26"/>
        </w:rPr>
        <w:t>P</w:t>
      </w:r>
      <w:r w:rsidRPr="00C47563">
        <w:rPr>
          <w:rFonts w:cs="Times New Roman"/>
          <w:sz w:val="26"/>
          <w:szCs w:val="26"/>
        </w:rPr>
        <w:t>arties</w:t>
      </w:r>
      <w:r w:rsidRPr="00C47563">
        <w:rPr>
          <w:rFonts w:cs="Times New Roman"/>
          <w:b/>
          <w:bCs/>
          <w:sz w:val="26"/>
          <w:szCs w:val="26"/>
        </w:rPr>
        <w:t xml:space="preserve"> </w:t>
      </w:r>
      <w:r w:rsidRPr="00C47563">
        <w:rPr>
          <w:rFonts w:cs="Times New Roman"/>
          <w:sz w:val="26"/>
          <w:szCs w:val="26"/>
        </w:rPr>
        <w:t>in this proceeding</w:t>
      </w:r>
      <w:r w:rsidR="00EA2A3B" w:rsidRPr="00C47563">
        <w:rPr>
          <w:rFonts w:cs="Times New Roman"/>
          <w:sz w:val="26"/>
          <w:szCs w:val="26"/>
        </w:rPr>
        <w:t>:</w:t>
      </w:r>
      <w:r w:rsidR="005F328F" w:rsidRPr="00C47563">
        <w:rPr>
          <w:rFonts w:cs="Times New Roman"/>
          <w:sz w:val="26"/>
          <w:szCs w:val="26"/>
        </w:rPr>
        <w:t xml:space="preserve"> </w:t>
      </w:r>
      <w:r w:rsidR="00EA2A3B" w:rsidRPr="00C47563">
        <w:rPr>
          <w:rFonts w:cs="Times New Roman"/>
          <w:sz w:val="26"/>
          <w:szCs w:val="26"/>
        </w:rPr>
        <w:t xml:space="preserve"> I&amp;E, the OCA, the OSBA,</w:t>
      </w:r>
      <w:r w:rsidR="00B36AF0" w:rsidRPr="00C47563">
        <w:rPr>
          <w:rFonts w:cs="Times New Roman"/>
          <w:sz w:val="26"/>
          <w:szCs w:val="26"/>
        </w:rPr>
        <w:t xml:space="preserve"> Shipl</w:t>
      </w:r>
      <w:r w:rsidR="00D34101" w:rsidRPr="00C47563">
        <w:rPr>
          <w:rFonts w:cs="Times New Roman"/>
          <w:sz w:val="26"/>
          <w:szCs w:val="26"/>
        </w:rPr>
        <w:t>e</w:t>
      </w:r>
      <w:r w:rsidR="00B36AF0" w:rsidRPr="00C47563">
        <w:rPr>
          <w:rFonts w:cs="Times New Roman"/>
          <w:sz w:val="26"/>
          <w:szCs w:val="26"/>
        </w:rPr>
        <w:t>y</w:t>
      </w:r>
      <w:r w:rsidR="00D34101" w:rsidRPr="00C47563">
        <w:rPr>
          <w:rFonts w:cs="Times New Roman"/>
          <w:sz w:val="26"/>
          <w:szCs w:val="26"/>
        </w:rPr>
        <w:t>/RESA,</w:t>
      </w:r>
      <w:r w:rsidR="00EA2A3B" w:rsidRPr="00C47563">
        <w:rPr>
          <w:rFonts w:cs="Times New Roman"/>
          <w:sz w:val="26"/>
          <w:szCs w:val="26"/>
        </w:rPr>
        <w:t xml:space="preserve"> </w:t>
      </w:r>
      <w:r w:rsidR="00B40449" w:rsidRPr="00C47563">
        <w:rPr>
          <w:rFonts w:cs="Times New Roman"/>
          <w:sz w:val="26"/>
          <w:szCs w:val="26"/>
        </w:rPr>
        <w:t xml:space="preserve">CAUSE-PA, CII, PSU, </w:t>
      </w:r>
      <w:r w:rsidR="002A1AFC" w:rsidRPr="00C47563">
        <w:rPr>
          <w:rFonts w:cs="Times New Roman"/>
          <w:sz w:val="26"/>
          <w:szCs w:val="26"/>
        </w:rPr>
        <w:t>and the Task Force</w:t>
      </w:r>
      <w:r w:rsidRPr="00C47563">
        <w:rPr>
          <w:rFonts w:cs="Times New Roman"/>
          <w:sz w:val="26"/>
          <w:szCs w:val="26"/>
        </w:rPr>
        <w:t>.</w:t>
      </w:r>
      <w:r w:rsidR="002A1AFC" w:rsidRPr="00C47563">
        <w:rPr>
          <w:rFonts w:cs="Times New Roman"/>
          <w:sz w:val="26"/>
          <w:szCs w:val="26"/>
        </w:rPr>
        <w:t xml:space="preserve">  </w:t>
      </w:r>
      <w:r w:rsidR="00C762FC" w:rsidRPr="00C47563">
        <w:rPr>
          <w:rFonts w:cs="Times New Roman"/>
          <w:sz w:val="26"/>
          <w:szCs w:val="26"/>
        </w:rPr>
        <w:t xml:space="preserve">These Parties engaged in </w:t>
      </w:r>
      <w:r w:rsidR="00B9488F" w:rsidRPr="00C47563">
        <w:rPr>
          <w:rFonts w:cs="Times New Roman"/>
          <w:sz w:val="26"/>
          <w:szCs w:val="26"/>
        </w:rPr>
        <w:t xml:space="preserve">extensive discovery with the Company, </w:t>
      </w:r>
      <w:r w:rsidR="00381B0B" w:rsidRPr="00C47563">
        <w:rPr>
          <w:rFonts w:cs="Times New Roman"/>
          <w:sz w:val="26"/>
          <w:szCs w:val="26"/>
        </w:rPr>
        <w:t xml:space="preserve">had their </w:t>
      </w:r>
      <w:r w:rsidR="00922B13" w:rsidRPr="00C47563">
        <w:rPr>
          <w:rFonts w:cs="Times New Roman"/>
          <w:sz w:val="26"/>
          <w:szCs w:val="26"/>
        </w:rPr>
        <w:t xml:space="preserve">expert witnesses review Columbia’s filing </w:t>
      </w:r>
      <w:r w:rsidR="000C224D" w:rsidRPr="00C47563">
        <w:rPr>
          <w:rFonts w:cs="Times New Roman"/>
          <w:sz w:val="26"/>
          <w:szCs w:val="26"/>
        </w:rPr>
        <w:t>a</w:t>
      </w:r>
      <w:r w:rsidR="00922B13" w:rsidRPr="00C47563">
        <w:rPr>
          <w:rFonts w:cs="Times New Roman"/>
          <w:sz w:val="26"/>
          <w:szCs w:val="26"/>
        </w:rPr>
        <w:t>nd testimony</w:t>
      </w:r>
      <w:r w:rsidR="000C224D" w:rsidRPr="00C47563">
        <w:rPr>
          <w:rFonts w:cs="Times New Roman"/>
          <w:sz w:val="26"/>
          <w:szCs w:val="26"/>
        </w:rPr>
        <w:t>,</w:t>
      </w:r>
      <w:r w:rsidR="00922B13" w:rsidRPr="00C47563">
        <w:rPr>
          <w:rFonts w:cs="Times New Roman"/>
          <w:sz w:val="26"/>
          <w:szCs w:val="26"/>
        </w:rPr>
        <w:t xml:space="preserve"> submitted </w:t>
      </w:r>
      <w:r w:rsidR="000C224D" w:rsidRPr="00C47563">
        <w:rPr>
          <w:rFonts w:cs="Times New Roman"/>
          <w:sz w:val="26"/>
          <w:szCs w:val="26"/>
        </w:rPr>
        <w:t>direct, rebut</w:t>
      </w:r>
      <w:r w:rsidR="00955913" w:rsidRPr="00C47563">
        <w:rPr>
          <w:rFonts w:cs="Times New Roman"/>
          <w:sz w:val="26"/>
          <w:szCs w:val="26"/>
        </w:rPr>
        <w:t>t</w:t>
      </w:r>
      <w:r w:rsidR="000C224D" w:rsidRPr="00C47563">
        <w:rPr>
          <w:rFonts w:cs="Times New Roman"/>
          <w:sz w:val="26"/>
          <w:szCs w:val="26"/>
        </w:rPr>
        <w:t>al</w:t>
      </w:r>
      <w:r w:rsidR="00955913" w:rsidRPr="00C47563">
        <w:rPr>
          <w:rFonts w:cs="Times New Roman"/>
          <w:sz w:val="26"/>
          <w:szCs w:val="26"/>
        </w:rPr>
        <w:t xml:space="preserve">, and surrebuttal </w:t>
      </w:r>
      <w:r w:rsidR="00922B13" w:rsidRPr="00C47563">
        <w:rPr>
          <w:rFonts w:cs="Times New Roman"/>
          <w:sz w:val="26"/>
          <w:szCs w:val="26"/>
        </w:rPr>
        <w:t xml:space="preserve">testimony analyzing Columbia’s case; </w:t>
      </w:r>
      <w:r w:rsidR="003A183F" w:rsidRPr="00C47563">
        <w:rPr>
          <w:rFonts w:cs="Times New Roman"/>
          <w:sz w:val="26"/>
          <w:szCs w:val="26"/>
        </w:rPr>
        <w:t>were represented by counsel at the ev</w:t>
      </w:r>
      <w:r w:rsidR="00922B13" w:rsidRPr="00C47563">
        <w:rPr>
          <w:rFonts w:cs="Times New Roman"/>
          <w:sz w:val="26"/>
          <w:szCs w:val="26"/>
        </w:rPr>
        <w:t xml:space="preserve">identiary hearing </w:t>
      </w:r>
      <w:r w:rsidR="003A183F" w:rsidRPr="00C47563">
        <w:rPr>
          <w:rFonts w:cs="Times New Roman"/>
          <w:sz w:val="26"/>
          <w:szCs w:val="26"/>
        </w:rPr>
        <w:t>in this proceeding</w:t>
      </w:r>
      <w:r w:rsidR="00FE2D04" w:rsidRPr="00C47563">
        <w:rPr>
          <w:rFonts w:cs="Times New Roman"/>
          <w:sz w:val="26"/>
          <w:szCs w:val="26"/>
        </w:rPr>
        <w:t xml:space="preserve"> during which their various testimony and exhibits </w:t>
      </w:r>
      <w:r w:rsidR="00922B13" w:rsidRPr="00C47563">
        <w:rPr>
          <w:rFonts w:cs="Times New Roman"/>
          <w:sz w:val="26"/>
          <w:szCs w:val="26"/>
        </w:rPr>
        <w:t xml:space="preserve">were </w:t>
      </w:r>
      <w:r w:rsidR="00FE2D04" w:rsidRPr="00C47563">
        <w:rPr>
          <w:rFonts w:cs="Times New Roman"/>
          <w:sz w:val="26"/>
          <w:szCs w:val="26"/>
        </w:rPr>
        <w:t xml:space="preserve">admitted into the record, and </w:t>
      </w:r>
      <w:r w:rsidR="00922B13" w:rsidRPr="00C47563">
        <w:rPr>
          <w:rFonts w:cs="Times New Roman"/>
          <w:sz w:val="26"/>
          <w:szCs w:val="26"/>
        </w:rPr>
        <w:t xml:space="preserve">engaged in settlement discussions that </w:t>
      </w:r>
      <w:r w:rsidR="00780F4B" w:rsidRPr="00C47563">
        <w:rPr>
          <w:rFonts w:cs="Times New Roman"/>
          <w:sz w:val="26"/>
          <w:szCs w:val="26"/>
        </w:rPr>
        <w:t>resulted in the Settlement</w:t>
      </w:r>
      <w:r w:rsidR="00B3723D" w:rsidRPr="00C47563">
        <w:rPr>
          <w:rFonts w:cs="Times New Roman"/>
          <w:sz w:val="26"/>
          <w:szCs w:val="26"/>
        </w:rPr>
        <w:t xml:space="preserve"> of </w:t>
      </w:r>
      <w:r w:rsidR="00E6046F" w:rsidRPr="00C47563">
        <w:rPr>
          <w:rFonts w:cs="Times New Roman"/>
          <w:sz w:val="26"/>
          <w:szCs w:val="26"/>
        </w:rPr>
        <w:t xml:space="preserve">all of </w:t>
      </w:r>
      <w:r w:rsidR="00B3723D" w:rsidRPr="00C47563">
        <w:rPr>
          <w:rFonts w:cs="Times New Roman"/>
          <w:sz w:val="26"/>
          <w:szCs w:val="26"/>
        </w:rPr>
        <w:t>the issues in this proceeding, exc</w:t>
      </w:r>
      <w:r w:rsidR="00F66BD8" w:rsidRPr="00C47563">
        <w:rPr>
          <w:rFonts w:cs="Times New Roman"/>
          <w:sz w:val="26"/>
          <w:szCs w:val="26"/>
        </w:rPr>
        <w:t>ept</w:t>
      </w:r>
      <w:r w:rsidR="00B3723D" w:rsidRPr="00C47563">
        <w:rPr>
          <w:rFonts w:cs="Times New Roman"/>
          <w:sz w:val="26"/>
          <w:szCs w:val="26"/>
        </w:rPr>
        <w:t xml:space="preserve"> </w:t>
      </w:r>
      <w:r w:rsidR="00DD0C0C" w:rsidRPr="00C47563">
        <w:rPr>
          <w:rFonts w:cs="Times New Roman"/>
          <w:sz w:val="26"/>
          <w:szCs w:val="26"/>
        </w:rPr>
        <w:t>those raised by Mr. Culbertson</w:t>
      </w:r>
      <w:r w:rsidR="00922B13" w:rsidRPr="00C47563">
        <w:rPr>
          <w:rFonts w:cs="Times New Roman"/>
          <w:sz w:val="26"/>
          <w:szCs w:val="26"/>
        </w:rPr>
        <w:t>.</w:t>
      </w:r>
      <w:r w:rsidR="00C82F4F" w:rsidRPr="00C47563">
        <w:rPr>
          <w:rFonts w:cs="Times New Roman"/>
          <w:sz w:val="26"/>
          <w:szCs w:val="26"/>
        </w:rPr>
        <w:t xml:space="preserve"> </w:t>
      </w:r>
    </w:p>
    <w:p w14:paraId="43745BE6" w14:textId="77777777" w:rsidR="00FA7677" w:rsidRPr="00C47563" w:rsidRDefault="00FA7677" w:rsidP="00C47563">
      <w:pPr>
        <w:pStyle w:val="BodyText2"/>
        <w:spacing w:line="360" w:lineRule="auto"/>
        <w:ind w:firstLine="1440"/>
        <w:jc w:val="left"/>
        <w:rPr>
          <w:rFonts w:cs="Times New Roman"/>
          <w:sz w:val="26"/>
          <w:szCs w:val="26"/>
        </w:rPr>
      </w:pPr>
    </w:p>
    <w:p w14:paraId="3CCF934C" w14:textId="77777777" w:rsidR="00E71F3E" w:rsidRPr="00C47563" w:rsidRDefault="00FA7677" w:rsidP="003D520E">
      <w:pPr>
        <w:pStyle w:val="BodyText2"/>
        <w:spacing w:line="360" w:lineRule="auto"/>
        <w:ind w:firstLine="1440"/>
        <w:jc w:val="left"/>
        <w:rPr>
          <w:rFonts w:cs="Times New Roman"/>
          <w:sz w:val="26"/>
          <w:szCs w:val="26"/>
        </w:rPr>
      </w:pPr>
      <w:r w:rsidRPr="00C47563">
        <w:rPr>
          <w:rFonts w:cs="Times New Roman"/>
          <w:sz w:val="26"/>
          <w:szCs w:val="26"/>
        </w:rPr>
        <w:t xml:space="preserve">As we have stated </w:t>
      </w:r>
      <w:r w:rsidR="00E71F3E" w:rsidRPr="00C47563">
        <w:rPr>
          <w:rFonts w:cs="Times New Roman"/>
          <w:sz w:val="26"/>
          <w:szCs w:val="26"/>
        </w:rPr>
        <w:t xml:space="preserve">in prior decisions, </w:t>
      </w:r>
    </w:p>
    <w:p w14:paraId="39502C5F" w14:textId="77777777" w:rsidR="00E71F3E" w:rsidRPr="00C47563" w:rsidRDefault="00E71F3E" w:rsidP="003D520E">
      <w:pPr>
        <w:pStyle w:val="BodyText2"/>
        <w:spacing w:line="240" w:lineRule="auto"/>
        <w:ind w:firstLine="1440"/>
        <w:jc w:val="left"/>
        <w:rPr>
          <w:rFonts w:cs="Times New Roman"/>
          <w:sz w:val="26"/>
          <w:szCs w:val="26"/>
        </w:rPr>
      </w:pPr>
    </w:p>
    <w:p w14:paraId="71FEEEC5" w14:textId="77777777" w:rsidR="00E71F3E" w:rsidRPr="00C47563" w:rsidRDefault="00E71F3E" w:rsidP="00C47563">
      <w:pPr>
        <w:pStyle w:val="ListParagraph"/>
        <w:ind w:left="1440" w:right="1440" w:firstLine="720"/>
        <w:rPr>
          <w:sz w:val="26"/>
          <w:szCs w:val="26"/>
        </w:rPr>
      </w:pPr>
      <w:r w:rsidRPr="00C47563">
        <w:rPr>
          <w:sz w:val="26"/>
          <w:szCs w:val="26"/>
        </w:rPr>
        <w:t>In the context of a general rate increase case such as this one, the Commission is aided by the active participation of entities representing various subgroups of the entire public.  A number of these active participants have a statutorily imposed obligation to provide this representation, while others are self-created entities choosing to represent a delineated subgroup.  Taken as a whole, these active participants cover the entire spectrum of the public whose welfare is to be protected.</w:t>
      </w:r>
    </w:p>
    <w:p w14:paraId="5C1AF27A" w14:textId="77777777" w:rsidR="00E71F3E" w:rsidRPr="00C47563" w:rsidRDefault="00E71F3E" w:rsidP="00C47563">
      <w:pPr>
        <w:pStyle w:val="ListParagraph"/>
        <w:ind w:left="1440" w:right="1440"/>
        <w:rPr>
          <w:sz w:val="26"/>
          <w:szCs w:val="26"/>
        </w:rPr>
      </w:pPr>
    </w:p>
    <w:p w14:paraId="5BC0C750" w14:textId="77777777" w:rsidR="007B76A6" w:rsidRPr="00C47563" w:rsidRDefault="00E71F3E" w:rsidP="00C47563">
      <w:pPr>
        <w:pStyle w:val="ListParagraph"/>
        <w:ind w:left="1440" w:right="1440"/>
        <w:rPr>
          <w:sz w:val="26"/>
          <w:szCs w:val="26"/>
        </w:rPr>
      </w:pPr>
      <w:r w:rsidRPr="00C47563">
        <w:rPr>
          <w:sz w:val="26"/>
          <w:szCs w:val="26"/>
        </w:rPr>
        <w:tab/>
        <w:t xml:space="preserve">The OCA is statutorily charged with the duty of representing “the interests of consumers”, </w:t>
      </w:r>
      <w:r w:rsidRPr="00C47563">
        <w:rPr>
          <w:i/>
          <w:sz w:val="26"/>
          <w:szCs w:val="26"/>
        </w:rPr>
        <w:t>i.e.</w:t>
      </w:r>
      <w:r w:rsidRPr="00C47563">
        <w:rPr>
          <w:sz w:val="26"/>
          <w:szCs w:val="26"/>
        </w:rPr>
        <w:t xml:space="preserve">, individual ratepayers, “in any matter properly before the commission,” such as the instant general rate increase case.  66 Pa. C.S. </w:t>
      </w:r>
    </w:p>
    <w:p w14:paraId="10D5165A" w14:textId="4316C643" w:rsidR="00E71F3E" w:rsidRPr="00C47563" w:rsidRDefault="00E71F3E" w:rsidP="00C47563">
      <w:pPr>
        <w:pStyle w:val="ListParagraph"/>
        <w:ind w:left="1440" w:right="1440"/>
        <w:rPr>
          <w:sz w:val="26"/>
          <w:szCs w:val="26"/>
        </w:rPr>
      </w:pPr>
      <w:r w:rsidRPr="00C47563">
        <w:rPr>
          <w:sz w:val="26"/>
          <w:szCs w:val="26"/>
        </w:rPr>
        <w:t>§ 3206(a).  The OSBA is statutorily charged with the duty of representing “the interests of small business consumers, in any matter properly before the commission,” such as the instant general rate increase case.  66 Pa. C.S. § 3206(b).  I&amp;E is statutorily charged with taking “appropriate enforcement actions, including rate proceedings . . . to insure compliance with this title [Title 66, Pennsylvania Consolidated Statutes], commission regulations and orders.”  66 Pa. C.S. § 308.2.(a)(11).</w:t>
      </w:r>
    </w:p>
    <w:p w14:paraId="59C740FA" w14:textId="77777777" w:rsidR="00E71F3E" w:rsidRPr="00C47563" w:rsidRDefault="00E71F3E" w:rsidP="00C47563">
      <w:pPr>
        <w:pStyle w:val="ListParagraph"/>
        <w:ind w:left="1440" w:right="1440"/>
        <w:rPr>
          <w:sz w:val="26"/>
          <w:szCs w:val="26"/>
        </w:rPr>
      </w:pPr>
    </w:p>
    <w:p w14:paraId="53705606" w14:textId="1FDA8947" w:rsidR="000D5BDE" w:rsidRPr="00C47563" w:rsidRDefault="00E71F3E" w:rsidP="00C47563">
      <w:pPr>
        <w:pStyle w:val="BodyText2"/>
        <w:spacing w:line="240" w:lineRule="auto"/>
        <w:ind w:left="1440" w:right="1440"/>
        <w:jc w:val="left"/>
        <w:rPr>
          <w:rFonts w:cs="Times New Roman"/>
          <w:sz w:val="26"/>
          <w:szCs w:val="26"/>
        </w:rPr>
      </w:pPr>
      <w:r w:rsidRPr="00C47563">
        <w:rPr>
          <w:rFonts w:cs="Times New Roman"/>
          <w:sz w:val="26"/>
          <w:szCs w:val="26"/>
        </w:rPr>
        <w:t xml:space="preserve">One could argue that these three entities alone constitute representation of the entire public whose welfare is to be protected. </w:t>
      </w:r>
      <w:r w:rsidR="00C82F4F" w:rsidRPr="00C47563">
        <w:rPr>
          <w:rFonts w:cs="Times New Roman"/>
          <w:sz w:val="26"/>
          <w:szCs w:val="26"/>
        </w:rPr>
        <w:t xml:space="preserve"> </w:t>
      </w:r>
    </w:p>
    <w:p w14:paraId="14F6263C" w14:textId="186CDD59" w:rsidR="000D5BDE" w:rsidRPr="00C47563" w:rsidRDefault="000D5BDE" w:rsidP="00C47563">
      <w:pPr>
        <w:pStyle w:val="BodyText2"/>
        <w:spacing w:line="360" w:lineRule="auto"/>
        <w:ind w:firstLine="1440"/>
        <w:jc w:val="left"/>
        <w:rPr>
          <w:rFonts w:cs="Times New Roman"/>
          <w:sz w:val="26"/>
          <w:szCs w:val="26"/>
        </w:rPr>
      </w:pPr>
    </w:p>
    <w:p w14:paraId="1F277A2F" w14:textId="47E57375" w:rsidR="00ED6E32" w:rsidRPr="00C47563" w:rsidRDefault="00BA338E" w:rsidP="00C47563">
      <w:pPr>
        <w:pStyle w:val="ListParagraph"/>
        <w:spacing w:line="360" w:lineRule="auto"/>
        <w:ind w:left="0"/>
        <w:rPr>
          <w:sz w:val="26"/>
          <w:szCs w:val="26"/>
        </w:rPr>
      </w:pPr>
      <w:r w:rsidRPr="00C47563">
        <w:rPr>
          <w:i/>
          <w:iCs/>
          <w:sz w:val="26"/>
          <w:szCs w:val="26"/>
        </w:rPr>
        <w:t xml:space="preserve">Pa. PUC v. </w:t>
      </w:r>
      <w:r w:rsidR="00F977E8" w:rsidRPr="00C47563">
        <w:rPr>
          <w:i/>
          <w:iCs/>
          <w:sz w:val="26"/>
          <w:szCs w:val="26"/>
        </w:rPr>
        <w:t>UGI Utilities, Inc. – Electric Division</w:t>
      </w:r>
      <w:r w:rsidR="00F977E8" w:rsidRPr="00C47563">
        <w:rPr>
          <w:sz w:val="26"/>
          <w:szCs w:val="26"/>
        </w:rPr>
        <w:t>, Docket No. R-2021-3023618 (Order entered October 28, 2021)</w:t>
      </w:r>
      <w:r w:rsidR="0000402E" w:rsidRPr="00C47563">
        <w:rPr>
          <w:sz w:val="26"/>
          <w:szCs w:val="26"/>
        </w:rPr>
        <w:t xml:space="preserve"> (</w:t>
      </w:r>
      <w:r w:rsidR="0000402E" w:rsidRPr="00C47563">
        <w:rPr>
          <w:i/>
          <w:iCs/>
          <w:sz w:val="26"/>
          <w:szCs w:val="26"/>
        </w:rPr>
        <w:t>UGI Utilities</w:t>
      </w:r>
      <w:r w:rsidR="0000402E" w:rsidRPr="00C47563">
        <w:rPr>
          <w:sz w:val="26"/>
          <w:szCs w:val="26"/>
        </w:rPr>
        <w:t>)</w:t>
      </w:r>
      <w:r w:rsidR="00166031" w:rsidRPr="00C47563">
        <w:rPr>
          <w:sz w:val="26"/>
          <w:szCs w:val="26"/>
        </w:rPr>
        <w:t>, at 37-38</w:t>
      </w:r>
      <w:r w:rsidR="00F977E8" w:rsidRPr="00C47563">
        <w:rPr>
          <w:sz w:val="26"/>
          <w:szCs w:val="26"/>
        </w:rPr>
        <w:t>.</w:t>
      </w:r>
      <w:r w:rsidR="00CB7598" w:rsidRPr="00C47563">
        <w:rPr>
          <w:sz w:val="26"/>
          <w:szCs w:val="26"/>
        </w:rPr>
        <w:t xml:space="preserve">  All three of these entities, frequently described as the “public advocates,” actively participated in this proceeding, and all three participated in the negotiation of the Settlement contained in the Joint Petition and have stated their support for its adoption by the Commission.  </w:t>
      </w:r>
      <w:r w:rsidR="00CB7598" w:rsidRPr="00C47563">
        <w:rPr>
          <w:i/>
          <w:sz w:val="26"/>
          <w:szCs w:val="26"/>
        </w:rPr>
        <w:t>See</w:t>
      </w:r>
      <w:r w:rsidR="00CB7598" w:rsidRPr="00C47563">
        <w:rPr>
          <w:sz w:val="26"/>
          <w:szCs w:val="26"/>
        </w:rPr>
        <w:t xml:space="preserve"> OCA Statement in Support, OSBA Statement in Support, and I&amp;E Statement in Support.</w:t>
      </w:r>
      <w:r w:rsidR="00E9229B" w:rsidRPr="00C47563">
        <w:rPr>
          <w:sz w:val="26"/>
          <w:szCs w:val="26"/>
        </w:rPr>
        <w:t xml:space="preserve">  </w:t>
      </w:r>
    </w:p>
    <w:p w14:paraId="030286D6" w14:textId="77777777" w:rsidR="00ED6E32" w:rsidRPr="00C47563" w:rsidRDefault="00ED6E32" w:rsidP="00C47563">
      <w:pPr>
        <w:pStyle w:val="ListParagraph"/>
        <w:spacing w:line="360" w:lineRule="auto"/>
        <w:ind w:left="0"/>
        <w:rPr>
          <w:sz w:val="26"/>
          <w:szCs w:val="26"/>
        </w:rPr>
      </w:pPr>
    </w:p>
    <w:p w14:paraId="621B72E7" w14:textId="179333D0" w:rsidR="00E9229B" w:rsidRPr="00C47563" w:rsidRDefault="00E9229B" w:rsidP="00C47563">
      <w:pPr>
        <w:pStyle w:val="ListParagraph"/>
        <w:spacing w:line="360" w:lineRule="auto"/>
        <w:ind w:left="0" w:firstLine="1440"/>
        <w:rPr>
          <w:sz w:val="26"/>
          <w:szCs w:val="26"/>
        </w:rPr>
      </w:pPr>
      <w:r w:rsidRPr="00C47563">
        <w:rPr>
          <w:sz w:val="26"/>
          <w:szCs w:val="26"/>
        </w:rPr>
        <w:t xml:space="preserve">The other entities who actively participated in this case represent other subgroups of the public as a whole.  For instance, CAUSE-PA is an unincorporated association of low-income individuals that advocates to enable consumers of limited income in the Commonwealth of Pennsylvania to connect to and maintain affordable water, electric, heating, and telecommunications services.  </w:t>
      </w:r>
      <w:r w:rsidR="00891046" w:rsidRPr="00C47563">
        <w:rPr>
          <w:sz w:val="26"/>
          <w:szCs w:val="26"/>
        </w:rPr>
        <w:t xml:space="preserve">The Task Force is a Pennsylvania non-profit corporation </w:t>
      </w:r>
      <w:r w:rsidR="00FA66D7" w:rsidRPr="00C47563">
        <w:rPr>
          <w:sz w:val="26"/>
          <w:szCs w:val="26"/>
        </w:rPr>
        <w:t xml:space="preserve">and statewide association of thirty-seven organizations providing utility assistance and </w:t>
      </w:r>
      <w:r w:rsidR="008A77C3" w:rsidRPr="00C47563">
        <w:rPr>
          <w:sz w:val="26"/>
          <w:szCs w:val="26"/>
        </w:rPr>
        <w:t xml:space="preserve">energy conservation services in each of Pennsylvania’s sixty-seven counties.  </w:t>
      </w:r>
      <w:r w:rsidRPr="00C47563">
        <w:rPr>
          <w:sz w:val="26"/>
          <w:szCs w:val="26"/>
        </w:rPr>
        <w:t xml:space="preserve">RESA is a trade association of </w:t>
      </w:r>
      <w:r w:rsidR="00960632" w:rsidRPr="00C47563">
        <w:rPr>
          <w:sz w:val="26"/>
          <w:szCs w:val="26"/>
        </w:rPr>
        <w:t xml:space="preserve">retail energy suppliers dedicated to promoting efficient, sustainable, and customer-oriented </w:t>
      </w:r>
      <w:r w:rsidR="0074609D" w:rsidRPr="00C47563">
        <w:rPr>
          <w:sz w:val="26"/>
          <w:szCs w:val="26"/>
        </w:rPr>
        <w:t>competitive retail markets</w:t>
      </w:r>
      <w:r w:rsidRPr="00C47563">
        <w:rPr>
          <w:sz w:val="26"/>
          <w:szCs w:val="26"/>
        </w:rPr>
        <w:t>.</w:t>
      </w:r>
      <w:r w:rsidR="00D3405C" w:rsidRPr="00C47563">
        <w:rPr>
          <w:sz w:val="26"/>
          <w:szCs w:val="26"/>
        </w:rPr>
        <w:t xml:space="preserve">  Shipley </w:t>
      </w:r>
      <w:r w:rsidR="00244AF5" w:rsidRPr="00C47563">
        <w:rPr>
          <w:sz w:val="26"/>
          <w:szCs w:val="26"/>
        </w:rPr>
        <w:t xml:space="preserve">is a licensed natural gas supplier providing natural gas supply </w:t>
      </w:r>
      <w:r w:rsidR="00B03166" w:rsidRPr="00C47563">
        <w:rPr>
          <w:sz w:val="26"/>
          <w:szCs w:val="26"/>
        </w:rPr>
        <w:t xml:space="preserve">service using Columbia’s jurisdictional facilities.  </w:t>
      </w:r>
      <w:r w:rsidR="004A4B97" w:rsidRPr="00C47563">
        <w:rPr>
          <w:sz w:val="26"/>
          <w:szCs w:val="26"/>
        </w:rPr>
        <w:t>CII is an ad hoc group of energy-intensive customers</w:t>
      </w:r>
      <w:r w:rsidR="007B4507" w:rsidRPr="00C47563">
        <w:rPr>
          <w:sz w:val="26"/>
          <w:szCs w:val="26"/>
        </w:rPr>
        <w:t xml:space="preserve"> receiving service from Columbia under both sales and transportation rate schedules</w:t>
      </w:r>
      <w:r w:rsidR="00A42B44" w:rsidRPr="00C47563">
        <w:rPr>
          <w:sz w:val="26"/>
          <w:szCs w:val="26"/>
        </w:rPr>
        <w:t>.</w:t>
      </w:r>
      <w:r w:rsidR="00516D5B" w:rsidRPr="00C47563">
        <w:rPr>
          <w:sz w:val="26"/>
          <w:szCs w:val="26"/>
        </w:rPr>
        <w:t xml:space="preserve">  PSU is a major </w:t>
      </w:r>
      <w:r w:rsidR="002C0F56" w:rsidRPr="00C47563">
        <w:rPr>
          <w:sz w:val="26"/>
          <w:szCs w:val="26"/>
        </w:rPr>
        <w:t xml:space="preserve">customer of Columbia for natural gas service for separate accounts under </w:t>
      </w:r>
      <w:r w:rsidR="00F73AE6" w:rsidRPr="00C47563">
        <w:rPr>
          <w:sz w:val="26"/>
          <w:szCs w:val="26"/>
        </w:rPr>
        <w:t>Large Distribution Service, Small Distribution Service</w:t>
      </w:r>
      <w:r w:rsidR="00691A96" w:rsidRPr="00C47563">
        <w:rPr>
          <w:sz w:val="26"/>
          <w:szCs w:val="26"/>
        </w:rPr>
        <w:t xml:space="preserve">, and Residential Sales Service.  </w:t>
      </w:r>
      <w:r w:rsidRPr="00C47563">
        <w:rPr>
          <w:sz w:val="26"/>
          <w:szCs w:val="26"/>
        </w:rPr>
        <w:t xml:space="preserve">Together, these entities represent low-income individuals and large </w:t>
      </w:r>
      <w:r w:rsidR="00507DEF" w:rsidRPr="00C47563">
        <w:rPr>
          <w:sz w:val="26"/>
          <w:szCs w:val="26"/>
        </w:rPr>
        <w:t xml:space="preserve">commercial </w:t>
      </w:r>
      <w:r w:rsidRPr="00C47563">
        <w:rPr>
          <w:sz w:val="26"/>
          <w:szCs w:val="26"/>
        </w:rPr>
        <w:t>c</w:t>
      </w:r>
      <w:r w:rsidR="00507DEF" w:rsidRPr="00C47563">
        <w:rPr>
          <w:sz w:val="26"/>
          <w:szCs w:val="26"/>
        </w:rPr>
        <w:t>ustomers</w:t>
      </w:r>
      <w:r w:rsidRPr="00C47563">
        <w:rPr>
          <w:sz w:val="26"/>
          <w:szCs w:val="26"/>
        </w:rPr>
        <w:t xml:space="preserve">, either individually </w:t>
      </w:r>
      <w:r w:rsidR="00040A43" w:rsidRPr="00C47563">
        <w:rPr>
          <w:sz w:val="26"/>
          <w:szCs w:val="26"/>
        </w:rPr>
        <w:t xml:space="preserve">or </w:t>
      </w:r>
      <w:r w:rsidRPr="00C47563">
        <w:rPr>
          <w:sz w:val="26"/>
          <w:szCs w:val="26"/>
        </w:rPr>
        <w:t xml:space="preserve">collectively.  Each of them has stated that the public interest, from their perspective, is protected by the Settlement contained in the Joint Petition.  </w:t>
      </w:r>
      <w:r w:rsidRPr="00C47563">
        <w:rPr>
          <w:i/>
          <w:sz w:val="26"/>
          <w:szCs w:val="26"/>
        </w:rPr>
        <w:t>See</w:t>
      </w:r>
      <w:r w:rsidRPr="00C47563">
        <w:rPr>
          <w:sz w:val="26"/>
          <w:szCs w:val="26"/>
        </w:rPr>
        <w:t xml:space="preserve"> CAUSE-PA Statement in Support, </w:t>
      </w:r>
      <w:r w:rsidR="00436E43" w:rsidRPr="00C47563">
        <w:rPr>
          <w:sz w:val="26"/>
          <w:szCs w:val="26"/>
        </w:rPr>
        <w:t xml:space="preserve">CII Statement in Support, </w:t>
      </w:r>
      <w:r w:rsidR="007C4166" w:rsidRPr="00C47563">
        <w:rPr>
          <w:sz w:val="26"/>
          <w:szCs w:val="26"/>
        </w:rPr>
        <w:t xml:space="preserve">PSU Statement in Support, Task Force Statement in Support, and Shipley/RESA Statement in Support.  </w:t>
      </w:r>
    </w:p>
    <w:p w14:paraId="5213EF9E" w14:textId="77777777" w:rsidR="00E9229B" w:rsidRPr="00C47563" w:rsidRDefault="00E9229B" w:rsidP="00C47563">
      <w:pPr>
        <w:pStyle w:val="ListParagraph"/>
        <w:spacing w:line="360" w:lineRule="auto"/>
        <w:ind w:left="0" w:firstLine="720"/>
        <w:rPr>
          <w:sz w:val="26"/>
          <w:szCs w:val="26"/>
        </w:rPr>
      </w:pPr>
    </w:p>
    <w:p w14:paraId="354ED528" w14:textId="1C14F096" w:rsidR="00666BFF" w:rsidRPr="00C47563" w:rsidRDefault="00666BFF" w:rsidP="00C47563">
      <w:pPr>
        <w:pStyle w:val="BodyText2"/>
        <w:spacing w:line="360" w:lineRule="auto"/>
        <w:ind w:firstLine="1440"/>
        <w:jc w:val="left"/>
        <w:rPr>
          <w:rFonts w:cs="Times New Roman"/>
          <w:sz w:val="26"/>
          <w:szCs w:val="26"/>
        </w:rPr>
      </w:pPr>
      <w:r w:rsidRPr="00C47563">
        <w:rPr>
          <w:rFonts w:cs="Times New Roman"/>
          <w:sz w:val="26"/>
          <w:szCs w:val="26"/>
        </w:rPr>
        <w:t>Moreover, Mr. Culbertson was provided with the opportunity to be heard on his claims and to fully participate in th</w:t>
      </w:r>
      <w:r w:rsidR="005D71E3" w:rsidRPr="00C47563">
        <w:rPr>
          <w:rFonts w:cs="Times New Roman"/>
          <w:sz w:val="26"/>
          <w:szCs w:val="26"/>
        </w:rPr>
        <w:t xml:space="preserve">is </w:t>
      </w:r>
      <w:r w:rsidR="005C057E" w:rsidRPr="00C47563">
        <w:rPr>
          <w:rFonts w:cs="Times New Roman"/>
          <w:sz w:val="26"/>
          <w:szCs w:val="26"/>
        </w:rPr>
        <w:t>proceeding</w:t>
      </w:r>
      <w:r w:rsidRPr="00C47563">
        <w:rPr>
          <w:rFonts w:cs="Times New Roman"/>
          <w:sz w:val="26"/>
          <w:szCs w:val="26"/>
        </w:rPr>
        <w:t>.  Mr. Culbertson participated in discovery, attended the public input hearings during which he asked witnesses questions, presented written direct and surrebuttal testimony that was stipulated into evidence at the evidentiary hearing, cross-examined Columbia witness</w:t>
      </w:r>
      <w:r w:rsidR="003A7A58" w:rsidRPr="00C47563">
        <w:rPr>
          <w:rFonts w:cs="Times New Roman"/>
          <w:sz w:val="26"/>
          <w:szCs w:val="26"/>
        </w:rPr>
        <w:t xml:space="preserve"> Mr. Kempic</w:t>
      </w:r>
      <w:r w:rsidRPr="00C47563">
        <w:rPr>
          <w:rFonts w:cs="Times New Roman"/>
          <w:sz w:val="26"/>
          <w:szCs w:val="26"/>
        </w:rPr>
        <w:t>, and filed a Main Brief and a Reply Brief.</w:t>
      </w:r>
      <w:r w:rsidR="00C47563">
        <w:rPr>
          <w:rFonts w:cs="Times New Roman"/>
          <w:sz w:val="26"/>
          <w:szCs w:val="26"/>
        </w:rPr>
        <w:t xml:space="preserve">  </w:t>
      </w:r>
    </w:p>
    <w:p w14:paraId="092CD92A" w14:textId="1893D3F6" w:rsidR="00666BFF" w:rsidRPr="00C47563" w:rsidRDefault="00666BFF" w:rsidP="00C47563">
      <w:pPr>
        <w:tabs>
          <w:tab w:val="left" w:pos="-720"/>
        </w:tabs>
        <w:suppressAutoHyphens/>
        <w:spacing w:after="0" w:line="360" w:lineRule="auto"/>
        <w:ind w:firstLine="1440"/>
        <w:contextualSpacing/>
        <w:rPr>
          <w:rFonts w:ascii="Times New Roman" w:hAnsi="Times New Roman" w:cs="Times New Roman"/>
          <w:sz w:val="26"/>
          <w:szCs w:val="26"/>
        </w:rPr>
      </w:pPr>
    </w:p>
    <w:p w14:paraId="4E8C3B19" w14:textId="6C1929E9" w:rsidR="003E1613" w:rsidRPr="00C47563" w:rsidRDefault="0095471B" w:rsidP="00C47563">
      <w:pPr>
        <w:pStyle w:val="BodyText2"/>
        <w:spacing w:line="360" w:lineRule="auto"/>
        <w:ind w:firstLine="1440"/>
        <w:jc w:val="left"/>
        <w:rPr>
          <w:rFonts w:cs="Times New Roman"/>
          <w:sz w:val="26"/>
          <w:szCs w:val="26"/>
        </w:rPr>
      </w:pPr>
      <w:r w:rsidRPr="00C47563">
        <w:rPr>
          <w:rFonts w:cs="Times New Roman"/>
          <w:sz w:val="26"/>
          <w:szCs w:val="26"/>
        </w:rPr>
        <w:t>Accordingly, we conclude that t</w:t>
      </w:r>
      <w:r w:rsidR="00F124BF" w:rsidRPr="00C47563">
        <w:rPr>
          <w:rFonts w:cs="Times New Roman"/>
          <w:sz w:val="26"/>
          <w:szCs w:val="26"/>
        </w:rPr>
        <w:t xml:space="preserve">he investigation conducted in this case was proper and was similar to investigations conducted </w:t>
      </w:r>
      <w:r w:rsidR="00C5179F" w:rsidRPr="00C47563">
        <w:rPr>
          <w:rFonts w:cs="Times New Roman"/>
          <w:sz w:val="26"/>
          <w:szCs w:val="26"/>
        </w:rPr>
        <w:t>in other recent Section 1308(d) general rate increase proceedings</w:t>
      </w:r>
      <w:r w:rsidR="00A77DA3" w:rsidRPr="00C47563">
        <w:rPr>
          <w:rFonts w:cs="Times New Roman"/>
          <w:sz w:val="26"/>
          <w:szCs w:val="26"/>
        </w:rPr>
        <w:t xml:space="preserve"> to ensure that </w:t>
      </w:r>
      <w:r w:rsidR="004442C2" w:rsidRPr="00C47563">
        <w:rPr>
          <w:rFonts w:cs="Times New Roman"/>
          <w:sz w:val="26"/>
          <w:szCs w:val="26"/>
        </w:rPr>
        <w:t>a public utility’s rates are just and reasonable</w:t>
      </w:r>
      <w:r w:rsidR="00BD330F" w:rsidRPr="00C47563">
        <w:rPr>
          <w:rFonts w:cs="Times New Roman"/>
          <w:sz w:val="26"/>
          <w:szCs w:val="26"/>
        </w:rPr>
        <w:t xml:space="preserve">.  </w:t>
      </w:r>
      <w:r w:rsidR="00BD330F" w:rsidRPr="00C47563">
        <w:rPr>
          <w:rFonts w:cs="Times New Roman"/>
          <w:i/>
          <w:iCs/>
          <w:sz w:val="26"/>
          <w:szCs w:val="26"/>
        </w:rPr>
        <w:t>See</w:t>
      </w:r>
      <w:r w:rsidR="00BD330F" w:rsidRPr="00C47563">
        <w:rPr>
          <w:rFonts w:cs="Times New Roman"/>
          <w:sz w:val="26"/>
          <w:szCs w:val="26"/>
        </w:rPr>
        <w:t xml:space="preserve"> </w:t>
      </w:r>
      <w:r w:rsidR="0000402E" w:rsidRPr="00C47563">
        <w:rPr>
          <w:rFonts w:cs="Times New Roman"/>
          <w:i/>
          <w:iCs/>
          <w:sz w:val="26"/>
          <w:szCs w:val="26"/>
        </w:rPr>
        <w:t>UGI Utilities</w:t>
      </w:r>
      <w:r w:rsidR="004442C2" w:rsidRPr="00C47563">
        <w:rPr>
          <w:rFonts w:cs="Times New Roman"/>
          <w:sz w:val="26"/>
          <w:szCs w:val="26"/>
        </w:rPr>
        <w:t xml:space="preserve">; </w:t>
      </w:r>
      <w:r w:rsidR="00A22945" w:rsidRPr="00C47563">
        <w:rPr>
          <w:rFonts w:cs="Times New Roman"/>
          <w:i/>
          <w:iCs/>
          <w:sz w:val="26"/>
          <w:szCs w:val="26"/>
        </w:rPr>
        <w:t xml:space="preserve">Pa. PUC v. </w:t>
      </w:r>
      <w:r w:rsidR="00D12A60" w:rsidRPr="00C47563">
        <w:rPr>
          <w:rFonts w:cs="Times New Roman"/>
          <w:i/>
          <w:iCs/>
          <w:sz w:val="26"/>
          <w:szCs w:val="26"/>
        </w:rPr>
        <w:t>Philadelphia Gas Works</w:t>
      </w:r>
      <w:r w:rsidR="00D12A60" w:rsidRPr="00C47563">
        <w:rPr>
          <w:rFonts w:cs="Times New Roman"/>
          <w:sz w:val="26"/>
          <w:szCs w:val="26"/>
        </w:rPr>
        <w:t>, Docket No. R</w:t>
      </w:r>
      <w:r w:rsidR="001017BC">
        <w:rPr>
          <w:rFonts w:cs="Times New Roman"/>
          <w:sz w:val="26"/>
          <w:szCs w:val="26"/>
        </w:rPr>
        <w:noBreakHyphen/>
      </w:r>
      <w:r w:rsidR="00D12A60" w:rsidRPr="00C47563">
        <w:rPr>
          <w:rFonts w:cs="Times New Roman"/>
          <w:sz w:val="26"/>
          <w:szCs w:val="26"/>
        </w:rPr>
        <w:t>2020</w:t>
      </w:r>
      <w:r w:rsidR="001017BC">
        <w:rPr>
          <w:rFonts w:cs="Times New Roman"/>
          <w:sz w:val="26"/>
          <w:szCs w:val="26"/>
        </w:rPr>
        <w:noBreakHyphen/>
      </w:r>
      <w:r w:rsidR="00B5249B" w:rsidRPr="00C47563">
        <w:rPr>
          <w:rFonts w:cs="Times New Roman"/>
          <w:sz w:val="26"/>
          <w:szCs w:val="26"/>
        </w:rPr>
        <w:t>3017206 (Orde</w:t>
      </w:r>
      <w:r w:rsidR="00415300" w:rsidRPr="00C47563">
        <w:rPr>
          <w:rFonts w:cs="Times New Roman"/>
          <w:sz w:val="26"/>
          <w:szCs w:val="26"/>
        </w:rPr>
        <w:t>r</w:t>
      </w:r>
      <w:r w:rsidR="000E7687" w:rsidRPr="00C47563">
        <w:rPr>
          <w:rFonts w:cs="Times New Roman"/>
          <w:sz w:val="26"/>
          <w:szCs w:val="26"/>
        </w:rPr>
        <w:t xml:space="preserve"> entered </w:t>
      </w:r>
      <w:r w:rsidR="0016054F" w:rsidRPr="00C47563">
        <w:rPr>
          <w:rFonts w:cs="Times New Roman"/>
          <w:sz w:val="26"/>
          <w:szCs w:val="26"/>
        </w:rPr>
        <w:t>November 19, 2020);</w:t>
      </w:r>
      <w:r w:rsidR="00B5249B" w:rsidRPr="00C47563">
        <w:rPr>
          <w:rFonts w:cs="Times New Roman"/>
          <w:sz w:val="26"/>
          <w:szCs w:val="26"/>
        </w:rPr>
        <w:t xml:space="preserve"> </w:t>
      </w:r>
      <w:r w:rsidR="004442C2" w:rsidRPr="00C47563">
        <w:rPr>
          <w:rFonts w:cs="Times New Roman"/>
          <w:i/>
          <w:iCs/>
          <w:sz w:val="26"/>
          <w:szCs w:val="26"/>
        </w:rPr>
        <w:t xml:space="preserve">Pa. PUC v. </w:t>
      </w:r>
      <w:r w:rsidR="00DE64E5" w:rsidRPr="00C47563">
        <w:rPr>
          <w:rFonts w:cs="Times New Roman"/>
          <w:i/>
          <w:iCs/>
          <w:sz w:val="26"/>
          <w:szCs w:val="26"/>
        </w:rPr>
        <w:t>Columbia Water Company</w:t>
      </w:r>
      <w:r w:rsidR="00DE64E5" w:rsidRPr="00C47563">
        <w:rPr>
          <w:rFonts w:cs="Times New Roman"/>
          <w:sz w:val="26"/>
          <w:szCs w:val="26"/>
        </w:rPr>
        <w:t>, Docket No. R-2017-</w:t>
      </w:r>
      <w:r w:rsidR="00657BF7" w:rsidRPr="00C47563">
        <w:rPr>
          <w:rFonts w:cs="Times New Roman"/>
          <w:sz w:val="26"/>
          <w:szCs w:val="26"/>
        </w:rPr>
        <w:t xml:space="preserve">2598203 (Order entered </w:t>
      </w:r>
      <w:r w:rsidR="007A6AD0" w:rsidRPr="00C47563">
        <w:rPr>
          <w:rFonts w:cs="Times New Roman"/>
          <w:sz w:val="26"/>
          <w:szCs w:val="26"/>
        </w:rPr>
        <w:t>March 1, 2018)</w:t>
      </w:r>
      <w:r w:rsidR="00146CDF" w:rsidRPr="00C47563">
        <w:rPr>
          <w:rFonts w:cs="Times New Roman"/>
          <w:sz w:val="26"/>
          <w:szCs w:val="26"/>
        </w:rPr>
        <w:t xml:space="preserve">. </w:t>
      </w:r>
      <w:r w:rsidR="004C3CE4" w:rsidRPr="00C47563">
        <w:rPr>
          <w:rFonts w:cs="Times New Roman"/>
          <w:sz w:val="26"/>
          <w:szCs w:val="26"/>
        </w:rPr>
        <w:t xml:space="preserve"> </w:t>
      </w:r>
      <w:r w:rsidR="00746687" w:rsidRPr="00C47563">
        <w:rPr>
          <w:rFonts w:cs="Times New Roman"/>
          <w:sz w:val="26"/>
          <w:szCs w:val="26"/>
        </w:rPr>
        <w:t xml:space="preserve">As Columbia has explained, the GAO Yellow Book </w:t>
      </w:r>
      <w:r w:rsidR="00BF0CF5" w:rsidRPr="00C47563">
        <w:rPr>
          <w:rFonts w:cs="Times New Roman"/>
          <w:sz w:val="26"/>
          <w:szCs w:val="26"/>
        </w:rPr>
        <w:t>and</w:t>
      </w:r>
      <w:r w:rsidR="00746687" w:rsidRPr="00C47563">
        <w:rPr>
          <w:rFonts w:cs="Times New Roman"/>
          <w:sz w:val="26"/>
          <w:szCs w:val="26"/>
        </w:rPr>
        <w:t xml:space="preserve"> the “Federal Acquisition Regulations” </w:t>
      </w:r>
      <w:r w:rsidR="003E1613" w:rsidRPr="00C47563">
        <w:rPr>
          <w:rFonts w:cs="Times New Roman"/>
          <w:sz w:val="26"/>
          <w:szCs w:val="26"/>
        </w:rPr>
        <w:t xml:space="preserve">do not apply to Commission rate investigations.  </w:t>
      </w:r>
    </w:p>
    <w:p w14:paraId="3972D1B3" w14:textId="2470B964" w:rsidR="00746687" w:rsidRPr="00C47563" w:rsidRDefault="00746687" w:rsidP="00C47563">
      <w:pPr>
        <w:pStyle w:val="BodyText2"/>
        <w:spacing w:line="360" w:lineRule="auto"/>
        <w:ind w:firstLine="1440"/>
        <w:jc w:val="left"/>
        <w:rPr>
          <w:rFonts w:cs="Times New Roman"/>
          <w:sz w:val="26"/>
          <w:szCs w:val="26"/>
        </w:rPr>
      </w:pPr>
    </w:p>
    <w:p w14:paraId="2D925B7A" w14:textId="77777777" w:rsidR="00AF7209" w:rsidRPr="00C47563" w:rsidRDefault="00444D90" w:rsidP="00C47563">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Under the Code, t</w:t>
      </w:r>
      <w:r w:rsidR="006C73A7" w:rsidRPr="00C47563">
        <w:rPr>
          <w:rFonts w:ascii="Times New Roman" w:eastAsia="Times New Roman" w:hAnsi="Times New Roman" w:cs="Times New Roman"/>
          <w:sz w:val="26"/>
          <w:szCs w:val="26"/>
        </w:rPr>
        <w:t xml:space="preserve">he Commission </w:t>
      </w:r>
      <w:r w:rsidR="003E1613" w:rsidRPr="00C47563">
        <w:rPr>
          <w:rFonts w:ascii="Times New Roman" w:eastAsia="Times New Roman" w:hAnsi="Times New Roman" w:cs="Times New Roman"/>
          <w:sz w:val="26"/>
          <w:szCs w:val="26"/>
        </w:rPr>
        <w:t>is responsible for</w:t>
      </w:r>
      <w:r w:rsidR="006C73A7" w:rsidRPr="00C47563">
        <w:rPr>
          <w:rFonts w:ascii="Times New Roman" w:eastAsia="Times New Roman" w:hAnsi="Times New Roman" w:cs="Times New Roman"/>
          <w:sz w:val="26"/>
          <w:szCs w:val="26"/>
        </w:rPr>
        <w:t xml:space="preserve"> ensur</w:t>
      </w:r>
      <w:r w:rsidR="003E1613" w:rsidRPr="00C47563">
        <w:rPr>
          <w:rFonts w:ascii="Times New Roman" w:eastAsia="Times New Roman" w:hAnsi="Times New Roman" w:cs="Times New Roman"/>
          <w:sz w:val="26"/>
          <w:szCs w:val="26"/>
        </w:rPr>
        <w:t>ing</w:t>
      </w:r>
      <w:r w:rsidR="006C73A7" w:rsidRPr="00C47563">
        <w:rPr>
          <w:rFonts w:ascii="Times New Roman" w:eastAsia="Times New Roman" w:hAnsi="Times New Roman" w:cs="Times New Roman"/>
          <w:sz w:val="26"/>
          <w:szCs w:val="26"/>
        </w:rPr>
        <w:t xml:space="preserve"> that a public utility’s base rates are just and reasonable and not unduly discriminatory.  66 Pa. C.S.</w:t>
      </w:r>
      <w:r w:rsidR="00640D58" w:rsidRPr="00C47563">
        <w:rPr>
          <w:rFonts w:ascii="Times New Roman" w:eastAsia="Times New Roman" w:hAnsi="Times New Roman" w:cs="Times New Roman"/>
          <w:sz w:val="26"/>
          <w:szCs w:val="26"/>
        </w:rPr>
        <w:t xml:space="preserve"> </w:t>
      </w:r>
    </w:p>
    <w:p w14:paraId="18AF617D" w14:textId="26200C06" w:rsidR="004A333E" w:rsidRPr="00C47563" w:rsidRDefault="006C73A7" w:rsidP="00C47563">
      <w:pPr>
        <w:tabs>
          <w:tab w:val="left" w:pos="-720"/>
        </w:tabs>
        <w:suppressAutoHyphens/>
        <w:spacing w:after="0" w:line="36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 1301, 1304.  </w:t>
      </w:r>
      <w:r w:rsidR="00F67AB4" w:rsidRPr="00C47563">
        <w:rPr>
          <w:rFonts w:ascii="Times New Roman" w:eastAsia="Times New Roman" w:hAnsi="Times New Roman" w:cs="Times New Roman"/>
          <w:sz w:val="26"/>
          <w:szCs w:val="26"/>
        </w:rPr>
        <w:t xml:space="preserve">We explained the Commission’s </w:t>
      </w:r>
      <w:r w:rsidR="009B41F0" w:rsidRPr="00C47563">
        <w:rPr>
          <w:rFonts w:ascii="Times New Roman" w:eastAsia="Times New Roman" w:hAnsi="Times New Roman" w:cs="Times New Roman"/>
          <w:sz w:val="26"/>
          <w:szCs w:val="26"/>
        </w:rPr>
        <w:t xml:space="preserve">process for </w:t>
      </w:r>
      <w:r w:rsidR="00C6474B" w:rsidRPr="00C47563">
        <w:rPr>
          <w:rFonts w:ascii="Times New Roman" w:eastAsia="Times New Roman" w:hAnsi="Times New Roman" w:cs="Times New Roman"/>
          <w:sz w:val="26"/>
          <w:szCs w:val="26"/>
        </w:rPr>
        <w:t>determining just and reasonable rates</w:t>
      </w:r>
      <w:r w:rsidR="009B41F0" w:rsidRPr="00C47563">
        <w:rPr>
          <w:rFonts w:ascii="Times New Roman" w:eastAsia="Times New Roman" w:hAnsi="Times New Roman" w:cs="Times New Roman"/>
          <w:sz w:val="26"/>
          <w:szCs w:val="26"/>
        </w:rPr>
        <w:t xml:space="preserve"> in </w:t>
      </w:r>
      <w:r w:rsidR="000D4B68" w:rsidRPr="00C47563">
        <w:rPr>
          <w:rFonts w:ascii="Times New Roman" w:eastAsia="Times New Roman" w:hAnsi="Times New Roman" w:cs="Times New Roman"/>
          <w:i/>
          <w:iCs/>
          <w:sz w:val="26"/>
          <w:szCs w:val="26"/>
        </w:rPr>
        <w:t xml:space="preserve">Pa. PUC v. </w:t>
      </w:r>
      <w:r w:rsidR="005C4F79" w:rsidRPr="00C47563">
        <w:rPr>
          <w:rFonts w:ascii="Times New Roman" w:eastAsia="Times New Roman" w:hAnsi="Times New Roman" w:cs="Times New Roman"/>
          <w:i/>
          <w:iCs/>
          <w:sz w:val="26"/>
          <w:szCs w:val="26"/>
        </w:rPr>
        <w:t>Columbia Gas of Pennsylvania, Inc</w:t>
      </w:r>
      <w:r w:rsidR="005C4F79" w:rsidRPr="00C47563">
        <w:rPr>
          <w:rFonts w:ascii="Times New Roman" w:eastAsia="Times New Roman" w:hAnsi="Times New Roman" w:cs="Times New Roman"/>
          <w:sz w:val="26"/>
          <w:szCs w:val="26"/>
        </w:rPr>
        <w:t xml:space="preserve">., Docket No. </w:t>
      </w:r>
      <w:r w:rsidR="005C4F79" w:rsidRPr="00C47563">
        <w:rPr>
          <w:rFonts w:ascii="Times New Roman" w:hAnsi="Times New Roman" w:cs="Times New Roman"/>
          <w:sz w:val="26"/>
          <w:szCs w:val="26"/>
        </w:rPr>
        <w:t>R</w:t>
      </w:r>
      <w:r w:rsidR="00567CFE">
        <w:rPr>
          <w:rFonts w:ascii="Times New Roman" w:hAnsi="Times New Roman" w:cs="Times New Roman"/>
          <w:sz w:val="26"/>
          <w:szCs w:val="26"/>
        </w:rPr>
        <w:noBreakHyphen/>
      </w:r>
      <w:r w:rsidR="005C4F79" w:rsidRPr="00C47563">
        <w:rPr>
          <w:rFonts w:ascii="Times New Roman" w:hAnsi="Times New Roman" w:cs="Times New Roman"/>
          <w:sz w:val="26"/>
          <w:szCs w:val="26"/>
        </w:rPr>
        <w:t>2020</w:t>
      </w:r>
      <w:r w:rsidR="00567CFE">
        <w:rPr>
          <w:rFonts w:ascii="Times New Roman" w:hAnsi="Times New Roman" w:cs="Times New Roman"/>
          <w:sz w:val="26"/>
          <w:szCs w:val="26"/>
        </w:rPr>
        <w:noBreakHyphen/>
      </w:r>
      <w:r w:rsidR="005C4F79" w:rsidRPr="00C47563">
        <w:rPr>
          <w:rFonts w:ascii="Times New Roman" w:hAnsi="Times New Roman" w:cs="Times New Roman"/>
          <w:sz w:val="26"/>
          <w:szCs w:val="26"/>
        </w:rPr>
        <w:t>3018835</w:t>
      </w:r>
      <w:r w:rsidR="005C4F79" w:rsidRPr="00C47563">
        <w:rPr>
          <w:rFonts w:ascii="Times New Roman" w:eastAsia="Times New Roman" w:hAnsi="Times New Roman" w:cs="Times New Roman"/>
          <w:sz w:val="26"/>
          <w:szCs w:val="26"/>
        </w:rPr>
        <w:t xml:space="preserve"> (Order entered </w:t>
      </w:r>
      <w:r w:rsidR="0071079E" w:rsidRPr="00C47563">
        <w:rPr>
          <w:rFonts w:ascii="Times New Roman" w:eastAsia="Times New Roman" w:hAnsi="Times New Roman" w:cs="Times New Roman"/>
          <w:sz w:val="26"/>
          <w:szCs w:val="26"/>
        </w:rPr>
        <w:t>February 19, 2021) (</w:t>
      </w:r>
      <w:r w:rsidR="004A333E" w:rsidRPr="00C47563">
        <w:rPr>
          <w:rFonts w:ascii="Times New Roman" w:eastAsia="Times New Roman" w:hAnsi="Times New Roman" w:cs="Times New Roman"/>
          <w:i/>
          <w:iCs/>
          <w:sz w:val="26"/>
          <w:szCs w:val="26"/>
        </w:rPr>
        <w:t>Columbia February 2021 Order</w:t>
      </w:r>
      <w:r w:rsidR="004A333E" w:rsidRPr="00C47563">
        <w:rPr>
          <w:rFonts w:ascii="Times New Roman" w:eastAsia="Times New Roman" w:hAnsi="Times New Roman" w:cs="Times New Roman"/>
          <w:sz w:val="26"/>
          <w:szCs w:val="26"/>
        </w:rPr>
        <w:t>), as follows:</w:t>
      </w:r>
      <w:r w:rsidR="005C4F79" w:rsidRPr="00C47563">
        <w:rPr>
          <w:rFonts w:ascii="Times New Roman" w:eastAsia="Times New Roman" w:hAnsi="Times New Roman" w:cs="Times New Roman"/>
          <w:sz w:val="26"/>
          <w:szCs w:val="26"/>
        </w:rPr>
        <w:t xml:space="preserve"> </w:t>
      </w:r>
      <w:r w:rsidR="009B41F0" w:rsidRPr="00C47563">
        <w:rPr>
          <w:rFonts w:ascii="Times New Roman" w:eastAsia="Times New Roman" w:hAnsi="Times New Roman" w:cs="Times New Roman"/>
          <w:sz w:val="26"/>
          <w:szCs w:val="26"/>
        </w:rPr>
        <w:t xml:space="preserve"> </w:t>
      </w:r>
    </w:p>
    <w:p w14:paraId="003E8277" w14:textId="77777777" w:rsidR="004A333E" w:rsidRPr="00C47563" w:rsidRDefault="004A333E" w:rsidP="00567CFE">
      <w:pPr>
        <w:tabs>
          <w:tab w:val="left" w:pos="-720"/>
        </w:tabs>
        <w:suppressAutoHyphens/>
        <w:spacing w:after="0" w:line="240" w:lineRule="auto"/>
        <w:ind w:firstLine="1440"/>
        <w:contextualSpacing/>
        <w:rPr>
          <w:rFonts w:ascii="Times New Roman" w:eastAsia="Times New Roman" w:hAnsi="Times New Roman" w:cs="Times New Roman"/>
          <w:sz w:val="26"/>
          <w:szCs w:val="26"/>
        </w:rPr>
      </w:pPr>
    </w:p>
    <w:p w14:paraId="20832DFF" w14:textId="2064A4E1" w:rsidR="006C73A7" w:rsidRPr="00C47563" w:rsidRDefault="0094312D" w:rsidP="00C47563">
      <w:pPr>
        <w:tabs>
          <w:tab w:val="left" w:pos="-720"/>
        </w:tabs>
        <w:suppressAutoHyphens/>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w:t>
      </w:r>
      <w:r w:rsidR="006C73A7" w:rsidRPr="00C47563">
        <w:rPr>
          <w:rFonts w:ascii="Times New Roman" w:eastAsia="Times New Roman" w:hAnsi="Times New Roman" w:cs="Times New Roman"/>
          <w:sz w:val="26"/>
          <w:szCs w:val="26"/>
        </w:rPr>
        <w:t>In determining just and reasonable rates, the PUC has discretion to determine the proper balance between interests of ratepayers and utilities…Further, the PUC is obliged to consider broad public interests in the rate-making process.</w:t>
      </w:r>
      <w:r w:rsidRPr="00C47563">
        <w:rPr>
          <w:rFonts w:ascii="Times New Roman" w:eastAsia="Times New Roman" w:hAnsi="Times New Roman" w:cs="Times New Roman"/>
          <w:sz w:val="26"/>
          <w:szCs w:val="26"/>
        </w:rPr>
        <w:t>”</w:t>
      </w:r>
      <w:r w:rsidR="006C73A7" w:rsidRPr="00C47563">
        <w:rPr>
          <w:rFonts w:ascii="Times New Roman" w:eastAsia="Times New Roman" w:hAnsi="Times New Roman" w:cs="Times New Roman"/>
          <w:sz w:val="26"/>
          <w:szCs w:val="26"/>
        </w:rPr>
        <w:t xml:space="preserve">  </w:t>
      </w:r>
      <w:r w:rsidR="006C73A7" w:rsidRPr="00C47563">
        <w:rPr>
          <w:rFonts w:ascii="Times New Roman" w:eastAsia="Times New Roman" w:hAnsi="Times New Roman" w:cs="Times New Roman"/>
          <w:i/>
          <w:iCs/>
          <w:sz w:val="26"/>
          <w:szCs w:val="26"/>
        </w:rPr>
        <w:t>Popowsky </w:t>
      </w:r>
      <w:r w:rsidR="00374769" w:rsidRPr="00C47563">
        <w:rPr>
          <w:rFonts w:ascii="Times New Roman" w:eastAsia="Times New Roman" w:hAnsi="Times New Roman" w:cs="Times New Roman"/>
          <w:i/>
          <w:iCs/>
          <w:sz w:val="26"/>
          <w:szCs w:val="26"/>
        </w:rPr>
        <w:t>v. Pa. PUC</w:t>
      </w:r>
      <w:r w:rsidR="006C73A7" w:rsidRPr="00C47563">
        <w:rPr>
          <w:rFonts w:ascii="Times New Roman" w:eastAsia="Times New Roman" w:hAnsi="Times New Roman" w:cs="Times New Roman"/>
          <w:sz w:val="26"/>
          <w:szCs w:val="26"/>
        </w:rPr>
        <w:t xml:space="preserve">, 665 A.2d </w:t>
      </w:r>
      <w:r w:rsidR="0093750B" w:rsidRPr="00C47563">
        <w:rPr>
          <w:rFonts w:ascii="Times New Roman" w:eastAsia="Times New Roman" w:hAnsi="Times New Roman" w:cs="Times New Roman"/>
          <w:sz w:val="26"/>
          <w:szCs w:val="26"/>
        </w:rPr>
        <w:t xml:space="preserve">808, </w:t>
      </w:r>
      <w:r w:rsidR="006C73A7" w:rsidRPr="00C47563">
        <w:rPr>
          <w:rFonts w:ascii="Times New Roman" w:eastAsia="Times New Roman" w:hAnsi="Times New Roman" w:cs="Times New Roman"/>
          <w:sz w:val="26"/>
          <w:szCs w:val="26"/>
        </w:rPr>
        <w:t>812</w:t>
      </w:r>
      <w:r w:rsidR="00070D3F" w:rsidRPr="00C47563">
        <w:rPr>
          <w:rFonts w:ascii="Times New Roman" w:eastAsia="Times New Roman" w:hAnsi="Times New Roman" w:cs="Times New Roman"/>
          <w:sz w:val="26"/>
          <w:szCs w:val="26"/>
        </w:rPr>
        <w:t xml:space="preserve"> (Pa. </w:t>
      </w:r>
      <w:r w:rsidR="004D37B0" w:rsidRPr="00C47563">
        <w:rPr>
          <w:rFonts w:ascii="Times New Roman" w:eastAsia="Times New Roman" w:hAnsi="Times New Roman" w:cs="Times New Roman"/>
          <w:sz w:val="26"/>
          <w:szCs w:val="26"/>
        </w:rPr>
        <w:t>1995)</w:t>
      </w:r>
      <w:r w:rsidR="006C73A7" w:rsidRPr="00C47563">
        <w:rPr>
          <w:rFonts w:ascii="Times New Roman" w:eastAsia="Times New Roman" w:hAnsi="Times New Roman" w:cs="Times New Roman"/>
          <w:sz w:val="26"/>
          <w:szCs w:val="26"/>
        </w:rPr>
        <w:t xml:space="preserve"> </w:t>
      </w:r>
      <w:r w:rsidR="00070D3F" w:rsidRPr="00C47563">
        <w:rPr>
          <w:rFonts w:ascii="Times New Roman" w:eastAsia="Times New Roman" w:hAnsi="Times New Roman" w:cs="Times New Roman"/>
          <w:sz w:val="26"/>
          <w:szCs w:val="26"/>
        </w:rPr>
        <w:t>(</w:t>
      </w:r>
      <w:r w:rsidR="00070D3F" w:rsidRPr="00C47563">
        <w:rPr>
          <w:rFonts w:ascii="Times New Roman" w:eastAsia="Times New Roman" w:hAnsi="Times New Roman" w:cs="Times New Roman"/>
          <w:i/>
          <w:iCs/>
          <w:sz w:val="26"/>
          <w:szCs w:val="26"/>
        </w:rPr>
        <w:t>Popowsky</w:t>
      </w:r>
      <w:r w:rsidR="003E747E" w:rsidRPr="00C47563">
        <w:rPr>
          <w:rFonts w:ascii="Times New Roman" w:eastAsia="Times New Roman" w:hAnsi="Times New Roman" w:cs="Times New Roman"/>
          <w:i/>
          <w:iCs/>
          <w:sz w:val="26"/>
          <w:szCs w:val="26"/>
        </w:rPr>
        <w:t xml:space="preserve"> I</w:t>
      </w:r>
      <w:r w:rsidR="00070D3F" w:rsidRPr="00C47563">
        <w:rPr>
          <w:rFonts w:ascii="Times New Roman" w:eastAsia="Times New Roman" w:hAnsi="Times New Roman" w:cs="Times New Roman"/>
          <w:sz w:val="26"/>
          <w:szCs w:val="26"/>
        </w:rPr>
        <w:t xml:space="preserve">) </w:t>
      </w:r>
      <w:r w:rsidR="006C73A7" w:rsidRPr="00C47563">
        <w:rPr>
          <w:rFonts w:ascii="Times New Roman" w:eastAsia="Times New Roman" w:hAnsi="Times New Roman" w:cs="Times New Roman"/>
          <w:sz w:val="26"/>
          <w:szCs w:val="26"/>
        </w:rPr>
        <w:t>(citations omitted);</w:t>
      </w:r>
      <w:r w:rsidR="006C73A7" w:rsidRPr="00C47563">
        <w:rPr>
          <w:rFonts w:ascii="Times New Roman" w:eastAsia="Times New Roman" w:hAnsi="Times New Roman" w:cs="Times New Roman"/>
          <w:i/>
          <w:iCs/>
          <w:sz w:val="26"/>
          <w:szCs w:val="26"/>
        </w:rPr>
        <w:t xml:space="preserve"> see also</w:t>
      </w:r>
      <w:r w:rsidR="006C73A7" w:rsidRPr="00C47563">
        <w:rPr>
          <w:rFonts w:ascii="Times New Roman" w:eastAsia="Times New Roman" w:hAnsi="Times New Roman" w:cs="Times New Roman"/>
          <w:sz w:val="26"/>
          <w:szCs w:val="26"/>
        </w:rPr>
        <w:t xml:space="preserve"> </w:t>
      </w:r>
      <w:r w:rsidR="006C73A7" w:rsidRPr="00C47563">
        <w:rPr>
          <w:rFonts w:ascii="Times New Roman" w:eastAsia="Times New Roman" w:hAnsi="Times New Roman" w:cs="Times New Roman"/>
          <w:i/>
          <w:iCs/>
          <w:sz w:val="26"/>
          <w:szCs w:val="26"/>
        </w:rPr>
        <w:t>Hope Natural Ga</w:t>
      </w:r>
      <w:r w:rsidR="006C73A7" w:rsidRPr="00C47563">
        <w:rPr>
          <w:rFonts w:ascii="Times New Roman" w:eastAsia="Times New Roman" w:hAnsi="Times New Roman" w:cs="Times New Roman"/>
          <w:sz w:val="26"/>
          <w:szCs w:val="26"/>
        </w:rPr>
        <w:t xml:space="preserve">s, 320 U.S. at 603 (the “fixing of ‘just and reasonable’ rates, involves a balancing of the investor and the consumer interests…”).  </w:t>
      </w:r>
    </w:p>
    <w:p w14:paraId="0D3B3782" w14:textId="77777777" w:rsidR="002A15DA" w:rsidRPr="00C47563" w:rsidRDefault="002A15DA" w:rsidP="00C47563">
      <w:pPr>
        <w:tabs>
          <w:tab w:val="left" w:pos="-720"/>
        </w:tabs>
        <w:suppressAutoHyphens/>
        <w:spacing w:after="0" w:line="240" w:lineRule="auto"/>
        <w:ind w:left="1440" w:right="1440"/>
        <w:contextualSpacing/>
        <w:rPr>
          <w:rFonts w:ascii="Times New Roman" w:eastAsia="Times New Roman" w:hAnsi="Times New Roman" w:cs="Times New Roman"/>
          <w:sz w:val="26"/>
          <w:szCs w:val="26"/>
        </w:rPr>
      </w:pPr>
    </w:p>
    <w:p w14:paraId="01211791" w14:textId="33CD2DC0" w:rsidR="006C73A7" w:rsidRPr="00C47563" w:rsidRDefault="002A15DA" w:rsidP="00C47563">
      <w:pPr>
        <w:tabs>
          <w:tab w:val="left" w:pos="-720"/>
        </w:tabs>
        <w:suppressAutoHyphens/>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ab/>
      </w:r>
      <w:r w:rsidR="006C73A7" w:rsidRPr="00C47563">
        <w:rPr>
          <w:rFonts w:ascii="Times New Roman" w:eastAsia="Times New Roman" w:hAnsi="Times New Roman" w:cs="Times New Roman"/>
          <w:sz w:val="26"/>
          <w:szCs w:val="26"/>
        </w:rPr>
        <w:t xml:space="preserve">Regarding our discretion in fixing just and reasonable rates, the Pennsylvania Supreme Court explained: </w:t>
      </w:r>
    </w:p>
    <w:p w14:paraId="6D91D86F" w14:textId="77777777" w:rsidR="006C73A7" w:rsidRPr="00C47563" w:rsidRDefault="006C73A7" w:rsidP="00C47563">
      <w:pPr>
        <w:spacing w:after="0" w:line="240" w:lineRule="auto"/>
        <w:ind w:right="1440"/>
        <w:contextualSpacing/>
        <w:rPr>
          <w:rFonts w:ascii="Times New Roman" w:eastAsia="Times New Roman" w:hAnsi="Times New Roman" w:cs="Times New Roman"/>
          <w:sz w:val="26"/>
          <w:szCs w:val="26"/>
        </w:rPr>
      </w:pPr>
    </w:p>
    <w:p w14:paraId="0F291476" w14:textId="77777777" w:rsidR="006C73A7" w:rsidRPr="00C47563" w:rsidRDefault="006C73A7" w:rsidP="00C47563">
      <w:pPr>
        <w:autoSpaceDE w:val="0"/>
        <w:autoSpaceDN w:val="0"/>
        <w:adjustRightInd w:val="0"/>
        <w:spacing w:after="0" w:line="240" w:lineRule="auto"/>
        <w:ind w:left="2160" w:right="1440"/>
        <w:contextualSpacing/>
        <w:rPr>
          <w:rFonts w:ascii="Times New Roman" w:eastAsiaTheme="minorEastAsia" w:hAnsi="Times New Roman" w:cs="Times New Roman"/>
          <w:sz w:val="26"/>
          <w:szCs w:val="26"/>
        </w:rPr>
      </w:pPr>
      <w:r w:rsidRPr="00C47563">
        <w:rPr>
          <w:rFonts w:ascii="Times New Roman" w:eastAsiaTheme="minorEastAsia" w:hAnsi="Times New Roman" w:cs="Times New Roman"/>
          <w:sz w:val="26"/>
          <w:szCs w:val="26"/>
        </w:rPr>
        <w:t>There is ample authority for the proposition that the power to fix “just and reasonable” rates imports a flexibility in the exercise of a complicated regulatory function by a specialized decision-making body and that the term “just and reasonable” was not intended to confine the ambit of regulatory discretion to an absolute or mathematical formulation but rather to confer upon the regulatory body the power to make and apply policy concerning the appropriate balance between prices charged to utility customers and returns on capital to utility investors consonant with constitutional protections applicable to both.</w:t>
      </w:r>
    </w:p>
    <w:p w14:paraId="3602B4BB" w14:textId="77777777" w:rsidR="006C73A7" w:rsidRPr="00C47563" w:rsidRDefault="006C73A7" w:rsidP="00975503">
      <w:pPr>
        <w:spacing w:after="0" w:line="360" w:lineRule="auto"/>
        <w:ind w:right="1440"/>
        <w:contextualSpacing/>
        <w:rPr>
          <w:rFonts w:ascii="Times New Roman" w:eastAsia="Times New Roman" w:hAnsi="Times New Roman" w:cs="Times New Roman"/>
          <w:i/>
          <w:iCs/>
          <w:sz w:val="26"/>
          <w:szCs w:val="26"/>
        </w:rPr>
      </w:pPr>
    </w:p>
    <w:p w14:paraId="50BA9DD9" w14:textId="2F8DD445" w:rsidR="00F71106" w:rsidRPr="00C47563" w:rsidRDefault="004436D0" w:rsidP="00975503">
      <w:pPr>
        <w:pStyle w:val="BodyText2"/>
        <w:spacing w:line="360" w:lineRule="auto"/>
        <w:ind w:firstLine="0"/>
        <w:jc w:val="left"/>
        <w:rPr>
          <w:rFonts w:cs="Times New Roman"/>
          <w:sz w:val="26"/>
          <w:szCs w:val="26"/>
        </w:rPr>
      </w:pPr>
      <w:r w:rsidRPr="00C47563">
        <w:rPr>
          <w:rFonts w:eastAsia="Times New Roman" w:cs="Times New Roman"/>
          <w:i/>
          <w:iCs/>
          <w:sz w:val="26"/>
          <w:szCs w:val="26"/>
        </w:rPr>
        <w:t>Columbia February 2021 Order</w:t>
      </w:r>
      <w:r w:rsidRPr="00C47563">
        <w:rPr>
          <w:rFonts w:cs="Times New Roman"/>
          <w:sz w:val="26"/>
          <w:szCs w:val="26"/>
        </w:rPr>
        <w:t xml:space="preserve"> at </w:t>
      </w:r>
      <w:r w:rsidR="006735B9" w:rsidRPr="00C47563">
        <w:rPr>
          <w:rFonts w:cs="Times New Roman"/>
          <w:sz w:val="26"/>
          <w:szCs w:val="26"/>
        </w:rPr>
        <w:t>42-43</w:t>
      </w:r>
      <w:r w:rsidR="00600290" w:rsidRPr="00C47563">
        <w:rPr>
          <w:rFonts w:cs="Times New Roman"/>
          <w:sz w:val="26"/>
          <w:szCs w:val="26"/>
        </w:rPr>
        <w:t xml:space="preserve"> (citations omitted)</w:t>
      </w:r>
      <w:r w:rsidR="006735B9" w:rsidRPr="00C47563">
        <w:rPr>
          <w:rFonts w:cs="Times New Roman"/>
          <w:sz w:val="26"/>
          <w:szCs w:val="26"/>
        </w:rPr>
        <w:t>.</w:t>
      </w:r>
      <w:r w:rsidRPr="00C47563">
        <w:rPr>
          <w:rFonts w:cs="Times New Roman"/>
          <w:sz w:val="26"/>
          <w:szCs w:val="26"/>
        </w:rPr>
        <w:t xml:space="preserve">  </w:t>
      </w:r>
      <w:r w:rsidR="00015C1D" w:rsidRPr="00C47563">
        <w:rPr>
          <w:rFonts w:cs="Times New Roman"/>
          <w:sz w:val="26"/>
          <w:szCs w:val="26"/>
        </w:rPr>
        <w:t xml:space="preserve">Finding that a </w:t>
      </w:r>
      <w:r w:rsidR="00A42B68" w:rsidRPr="00C47563">
        <w:rPr>
          <w:rFonts w:cs="Times New Roman"/>
          <w:sz w:val="26"/>
          <w:szCs w:val="26"/>
        </w:rPr>
        <w:t>proper investigation</w:t>
      </w:r>
      <w:r w:rsidR="006E5CF7" w:rsidRPr="00C47563">
        <w:rPr>
          <w:rFonts w:cs="Times New Roman"/>
          <w:sz w:val="26"/>
          <w:szCs w:val="26"/>
        </w:rPr>
        <w:t>, which considered</w:t>
      </w:r>
      <w:r w:rsidR="00914C82" w:rsidRPr="00C47563">
        <w:rPr>
          <w:rFonts w:eastAsia="Times New Roman" w:cs="Times New Roman"/>
          <w:sz w:val="26"/>
          <w:szCs w:val="26"/>
        </w:rPr>
        <w:t xml:space="preserve"> investor and the consumer interests</w:t>
      </w:r>
      <w:r w:rsidR="006E5CF7" w:rsidRPr="00C47563">
        <w:rPr>
          <w:rFonts w:eastAsia="Times New Roman" w:cs="Times New Roman"/>
          <w:sz w:val="26"/>
          <w:szCs w:val="26"/>
        </w:rPr>
        <w:t>,</w:t>
      </w:r>
      <w:r w:rsidR="00914C82" w:rsidRPr="00C47563">
        <w:rPr>
          <w:rFonts w:cs="Times New Roman"/>
          <w:sz w:val="26"/>
          <w:szCs w:val="26"/>
        </w:rPr>
        <w:t xml:space="preserve"> </w:t>
      </w:r>
      <w:r w:rsidR="00A42B68" w:rsidRPr="00C47563">
        <w:rPr>
          <w:rFonts w:cs="Times New Roman"/>
          <w:sz w:val="26"/>
          <w:szCs w:val="26"/>
        </w:rPr>
        <w:t xml:space="preserve">was conducted in this proceeding, we shall deny Mr. Culbertson’s Exception No. 1. </w:t>
      </w:r>
      <w:r w:rsidR="00C47563">
        <w:rPr>
          <w:rFonts w:cs="Times New Roman"/>
          <w:sz w:val="26"/>
          <w:szCs w:val="26"/>
        </w:rPr>
        <w:t xml:space="preserve"> </w:t>
      </w:r>
    </w:p>
    <w:p w14:paraId="04A4A4E6" w14:textId="77777777" w:rsidR="00F71106" w:rsidRPr="00C47563" w:rsidRDefault="00F71106" w:rsidP="00975503">
      <w:pPr>
        <w:pStyle w:val="BodyText2"/>
        <w:spacing w:line="360" w:lineRule="auto"/>
        <w:ind w:firstLine="1440"/>
        <w:jc w:val="left"/>
        <w:rPr>
          <w:rFonts w:cs="Times New Roman"/>
          <w:sz w:val="26"/>
          <w:szCs w:val="26"/>
        </w:rPr>
      </w:pPr>
    </w:p>
    <w:p w14:paraId="4C413CB3" w14:textId="1969EC83" w:rsidR="006E59D7" w:rsidRPr="00C47563" w:rsidRDefault="00D41345" w:rsidP="00975503">
      <w:pPr>
        <w:pStyle w:val="Heading4"/>
      </w:pPr>
      <w:bookmarkStart w:id="24" w:name="_Toc89253063"/>
      <w:bookmarkStart w:id="25" w:name="_Hlk84519745"/>
      <w:r w:rsidRPr="00C47563">
        <w:t>b</w:t>
      </w:r>
      <w:r w:rsidR="006E59D7" w:rsidRPr="00C47563">
        <w:t>.</w:t>
      </w:r>
      <w:r w:rsidR="006E59D7" w:rsidRPr="00C47563">
        <w:tab/>
        <w:t xml:space="preserve">Exception No. 2, </w:t>
      </w:r>
      <w:r w:rsidR="007F02BB" w:rsidRPr="00C47563">
        <w:t>Rep</w:t>
      </w:r>
      <w:r w:rsidR="00442E03" w:rsidRPr="00C47563">
        <w:t>lies</w:t>
      </w:r>
      <w:r w:rsidR="007F02BB" w:rsidRPr="00C47563">
        <w:t>, and Disposition</w:t>
      </w:r>
      <w:bookmarkEnd w:id="24"/>
    </w:p>
    <w:bookmarkEnd w:id="25"/>
    <w:p w14:paraId="558E1736" w14:textId="4E646483" w:rsidR="006E59D7" w:rsidRPr="00C47563" w:rsidRDefault="006E59D7" w:rsidP="00975503">
      <w:pPr>
        <w:keepNext/>
        <w:spacing w:after="0" w:line="360" w:lineRule="auto"/>
        <w:ind w:firstLine="1440"/>
        <w:contextualSpacing/>
        <w:rPr>
          <w:rFonts w:ascii="Times New Roman" w:eastAsia="Times New Roman" w:hAnsi="Times New Roman" w:cs="Times New Roman"/>
          <w:b/>
          <w:bCs/>
          <w:sz w:val="26"/>
          <w:szCs w:val="26"/>
        </w:rPr>
      </w:pPr>
    </w:p>
    <w:p w14:paraId="18B2EA39" w14:textId="21D18515" w:rsidR="00CE1D7D" w:rsidRDefault="00CE1D7D" w:rsidP="00975503">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his Exception No. 2, Mr. Culbertson contends the Commission should have disqualified the ALJ based on his </w:t>
      </w:r>
      <w:r w:rsidR="00304E39" w:rsidRPr="00C47563">
        <w:rPr>
          <w:rFonts w:ascii="Times New Roman" w:eastAsia="Times New Roman" w:hAnsi="Times New Roman" w:cs="Times New Roman"/>
          <w:sz w:val="26"/>
          <w:szCs w:val="26"/>
        </w:rPr>
        <w:t>M</w:t>
      </w:r>
      <w:r w:rsidRPr="00C47563">
        <w:rPr>
          <w:rFonts w:ascii="Times New Roman" w:eastAsia="Times New Roman" w:hAnsi="Times New Roman" w:cs="Times New Roman"/>
          <w:sz w:val="26"/>
          <w:szCs w:val="26"/>
        </w:rPr>
        <w:t xml:space="preserve">otion to </w:t>
      </w:r>
      <w:r w:rsidR="00304E39" w:rsidRPr="00C47563">
        <w:rPr>
          <w:rFonts w:ascii="Times New Roman" w:eastAsia="Times New Roman" w:hAnsi="Times New Roman" w:cs="Times New Roman"/>
          <w:sz w:val="26"/>
          <w:szCs w:val="26"/>
        </w:rPr>
        <w:t>R</w:t>
      </w:r>
      <w:r w:rsidRPr="00C47563">
        <w:rPr>
          <w:rFonts w:ascii="Times New Roman" w:eastAsia="Times New Roman" w:hAnsi="Times New Roman" w:cs="Times New Roman"/>
          <w:sz w:val="26"/>
          <w:szCs w:val="26"/>
        </w:rPr>
        <w:t>emove,</w:t>
      </w:r>
      <w:r w:rsidR="00CF15F6" w:rsidRPr="00C47563">
        <w:rPr>
          <w:rStyle w:val="FootnoteReference"/>
          <w:rFonts w:ascii="Times New Roman" w:eastAsia="Times New Roman" w:hAnsi="Times New Roman" w:cs="Times New Roman"/>
          <w:sz w:val="26"/>
          <w:szCs w:val="26"/>
        </w:rPr>
        <w:footnoteReference w:id="7"/>
      </w:r>
      <w:r w:rsidRPr="00C47563">
        <w:rPr>
          <w:rFonts w:ascii="Times New Roman" w:eastAsia="Times New Roman" w:hAnsi="Times New Roman" w:cs="Times New Roman"/>
          <w:sz w:val="26"/>
          <w:szCs w:val="26"/>
        </w:rPr>
        <w:t xml:space="preserve"> and the ALJ should have disqualified himself because his impartiality was reasonably questioned.  Mr. Culbertson relies on Section 319 of the Code, 66 Pa. C.S. § 319, and the canons of judicial ethics found in the Code of Judicial Conduct at 207 Pa. Code Chapter 33.  Arguing the latter, Mr. Culbertson contends that the rules of judicial conduct require a judge to avoid impropriety, including the appearance of impropriety, and that a judge shall perform duties impartially, competently, and diligently.  Describing the ALJ’s Recommended Decision as “a form of bad fruit from the poison tree” and “simply illegal,” Mr. Culbertson concludes that “[h]aving had a previous bad experience with [the ALJ], I</w:t>
      </w:r>
      <w:r w:rsidR="0097550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was reasonably certain issues brought before [him] in this rate case would not be judged impartially</w:t>
      </w:r>
      <w:r w:rsidR="00C47563"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The complete record shows that to be correct.”  Exc. at 15.</w:t>
      </w:r>
    </w:p>
    <w:p w14:paraId="2504BCA1" w14:textId="77777777" w:rsidR="00C47563" w:rsidRPr="00C47563" w:rsidRDefault="00C47563" w:rsidP="00C47563">
      <w:pPr>
        <w:keepNext/>
        <w:spacing w:after="0" w:line="360" w:lineRule="auto"/>
        <w:ind w:firstLine="1440"/>
        <w:contextualSpacing/>
        <w:rPr>
          <w:rFonts w:ascii="Times New Roman" w:eastAsia="Times New Roman" w:hAnsi="Times New Roman" w:cs="Times New Roman"/>
          <w:sz w:val="26"/>
          <w:szCs w:val="26"/>
        </w:rPr>
      </w:pPr>
    </w:p>
    <w:p w14:paraId="2995D42F" w14:textId="24FB2246"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its </w:t>
      </w:r>
      <w:r w:rsidR="0054741F" w:rsidRPr="00C47563">
        <w:rPr>
          <w:rFonts w:ascii="Times New Roman" w:eastAsia="Times New Roman" w:hAnsi="Times New Roman" w:cs="Times New Roman"/>
          <w:sz w:val="26"/>
          <w:szCs w:val="26"/>
        </w:rPr>
        <w:t>R</w:t>
      </w:r>
      <w:r w:rsidRPr="00C47563">
        <w:rPr>
          <w:rFonts w:ascii="Times New Roman" w:eastAsia="Times New Roman" w:hAnsi="Times New Roman" w:cs="Times New Roman"/>
          <w:sz w:val="26"/>
          <w:szCs w:val="26"/>
        </w:rPr>
        <w:t>eplies</w:t>
      </w:r>
      <w:r w:rsidR="0054741F" w:rsidRPr="00C47563">
        <w:rPr>
          <w:rFonts w:ascii="Times New Roman" w:eastAsia="Times New Roman" w:hAnsi="Times New Roman" w:cs="Times New Roman"/>
          <w:sz w:val="26"/>
          <w:szCs w:val="26"/>
        </w:rPr>
        <w:t xml:space="preserve"> to Exceptions</w:t>
      </w:r>
      <w:r w:rsidRPr="00C47563">
        <w:rPr>
          <w:rFonts w:ascii="Times New Roman" w:eastAsia="Times New Roman" w:hAnsi="Times New Roman" w:cs="Times New Roman"/>
          <w:sz w:val="26"/>
          <w:szCs w:val="26"/>
        </w:rPr>
        <w:t>, Columbia asserts first that by failing to preserve the issue by raising it in briefs, Mr. Culbertson has waived it on exception, as exceptions are intended to challenge findings in the Recommended Decision and not reargue motions, citing our Regulation at 52 Pa. Code § 5.533.  Addressing the merits, Columbia describes Mr. Culbertson’s argument as “mere speculation and unsupported theories that do not constitute evidence of bias.”  R. Exc. at 5 (citing Columbia</w:t>
      </w:r>
      <w:r w:rsidR="006B20E2" w:rsidRPr="00C47563">
        <w:rPr>
          <w:rFonts w:ascii="Times New Roman" w:eastAsia="Times New Roman" w:hAnsi="Times New Roman" w:cs="Times New Roman"/>
          <w:sz w:val="26"/>
          <w:szCs w:val="26"/>
        </w:rPr>
        <w:t>’s Answer to Motion to Remove)</w:t>
      </w:r>
      <w:r w:rsidRPr="00C47563">
        <w:rPr>
          <w:rFonts w:ascii="Times New Roman" w:eastAsia="Times New Roman" w:hAnsi="Times New Roman" w:cs="Times New Roman"/>
          <w:sz w:val="26"/>
          <w:szCs w:val="26"/>
        </w:rPr>
        <w:t>.</w:t>
      </w:r>
    </w:p>
    <w:p w14:paraId="73F9DC0F" w14:textId="77777777" w:rsidR="00CE1D7D" w:rsidRPr="00C47563" w:rsidRDefault="00CE1D7D" w:rsidP="00C47563">
      <w:pPr>
        <w:spacing w:after="0" w:line="360" w:lineRule="auto"/>
        <w:contextualSpacing/>
        <w:rPr>
          <w:rFonts w:ascii="Times New Roman" w:eastAsia="Times New Roman" w:hAnsi="Times New Roman" w:cs="Times New Roman"/>
          <w:sz w:val="26"/>
          <w:szCs w:val="26"/>
        </w:rPr>
      </w:pPr>
    </w:p>
    <w:p w14:paraId="537C30DC" w14:textId="4D785619"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We reject Mr. Culbertson’s Exception No. 2 and agree that Mr. Culbertson has failed to substantiate his claim.  Section 319 of the Code establishes by statute the code of ethics applicable to Commissioners and Administrative Law Judges of the Commission.  The regulations governing judicial conduct cited by Mr. Culbertson are applicable to justices and judges of state courts, common pleas courts, the Philadelphia Municipal Court (except the Traffic Division), and all senior judges.  </w:t>
      </w:r>
      <w:r w:rsidRPr="00C47563">
        <w:rPr>
          <w:rFonts w:ascii="Times New Roman" w:hAnsi="Times New Roman" w:cs="Times New Roman"/>
          <w:sz w:val="26"/>
          <w:szCs w:val="26"/>
        </w:rPr>
        <w:t>207 Pa. Code §</w:t>
      </w:r>
      <w:r w:rsidR="00C665F3">
        <w:rPr>
          <w:rFonts w:ascii="Times New Roman" w:hAnsi="Times New Roman" w:cs="Times New Roman"/>
          <w:sz w:val="26"/>
          <w:szCs w:val="26"/>
        </w:rPr>
        <w:t> </w:t>
      </w:r>
      <w:r w:rsidRPr="00C47563">
        <w:rPr>
          <w:rFonts w:ascii="Times New Roman" w:hAnsi="Times New Roman" w:cs="Times New Roman"/>
          <w:sz w:val="26"/>
          <w:szCs w:val="26"/>
        </w:rPr>
        <w:t>19</w:t>
      </w:r>
      <w:r w:rsidR="00C665F3">
        <w:rPr>
          <w:rFonts w:ascii="Times New Roman" w:hAnsi="Times New Roman" w:cs="Times New Roman"/>
          <w:sz w:val="26"/>
          <w:szCs w:val="26"/>
        </w:rPr>
        <w:noBreakHyphen/>
      </w:r>
      <w:r w:rsidRPr="00C47563">
        <w:rPr>
          <w:rFonts w:ascii="Times New Roman" w:hAnsi="Times New Roman" w:cs="Times New Roman"/>
          <w:sz w:val="26"/>
          <w:szCs w:val="26"/>
        </w:rPr>
        <w:t xml:space="preserve">1.  </w:t>
      </w:r>
      <w:proofErr w:type="gramStart"/>
      <w:r w:rsidRPr="00C47563">
        <w:rPr>
          <w:rFonts w:ascii="Times New Roman" w:eastAsia="Times New Roman" w:hAnsi="Times New Roman" w:cs="Times New Roman"/>
          <w:sz w:val="26"/>
          <w:szCs w:val="26"/>
        </w:rPr>
        <w:t>Accordingly</w:t>
      </w:r>
      <w:proofErr w:type="gramEnd"/>
      <w:r w:rsidRPr="00C47563">
        <w:rPr>
          <w:rFonts w:ascii="Times New Roman" w:eastAsia="Times New Roman" w:hAnsi="Times New Roman" w:cs="Times New Roman"/>
          <w:sz w:val="26"/>
          <w:szCs w:val="26"/>
        </w:rPr>
        <w:t xml:space="preserve"> our decision will rely on the ethics provisions applicable to Mr.</w:t>
      </w:r>
      <w:r w:rsidR="003C6FCB">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Culbertson’s claim involving the ALJ before the Commission as found in the Code, our Regulations under the Code, and applicable case law.</w:t>
      </w:r>
    </w:p>
    <w:p w14:paraId="6BCC3683" w14:textId="77777777" w:rsidR="00F568B5" w:rsidRPr="00C47563" w:rsidRDefault="00F568B5" w:rsidP="00C47563">
      <w:pPr>
        <w:pStyle w:val="FootnoteText"/>
        <w:spacing w:line="360" w:lineRule="auto"/>
        <w:ind w:firstLine="1440"/>
        <w:rPr>
          <w:rFonts w:ascii="Times New Roman" w:hAnsi="Times New Roman" w:cs="Times New Roman"/>
          <w:sz w:val="26"/>
          <w:szCs w:val="26"/>
        </w:rPr>
      </w:pPr>
    </w:p>
    <w:p w14:paraId="53482D33" w14:textId="42FFDEC1" w:rsidR="00CE1D7D" w:rsidRPr="00C47563" w:rsidRDefault="00CE1D7D" w:rsidP="00C47563">
      <w:pPr>
        <w:pStyle w:val="FootnoteText"/>
        <w:spacing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Though applicable to two different adjudicative bodies, in matters involving the Commission’s jurisdiction, the ethical standards imposed on adjudicators in utility proceedings are similar to those applied in the state and local court system.  The Code requires that Commissioners and ALJs alike avoid actual as well as the appearance of impropriety and that they carry out their duties in a professional, impartial, and diligent manner.  66 Pa. C.S. § 319(a)(1),(2).  The statute also establishes standards governing conduct by Commissioners and ALJs regarding, among others, financial, extra-curricular, and political affairs.  66 Pa. C.S. § 319(a)(8)-(11).  In concert with statutory obligations under Section 319 of the Code, our Regulations also provide further direction regarding our ALJs, including their authority, restrictions on duties and activities, manner of conducting hearings, and disqualification.  52 Pa. Code §§ 5.481-5.486.</w:t>
      </w:r>
    </w:p>
    <w:p w14:paraId="12FAF2CB" w14:textId="77777777"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p>
    <w:p w14:paraId="01C323BB" w14:textId="5260BAB6" w:rsidR="0094251F" w:rsidRDefault="00CE1D7D" w:rsidP="0094251F">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Other than obliquely referring to an alleged prior bad prior experience with the ALJ or his own personal opinions, in his Exceptions, Mr. Culbertson refers to no </w:t>
      </w:r>
    </w:p>
    <w:p w14:paraId="4041137D" w14:textId="4FB8DB55" w:rsidR="00CE1D7D" w:rsidRPr="00C47563" w:rsidRDefault="00CE1D7D" w:rsidP="003C6FCB">
      <w:pPr>
        <w:spacing w:after="0" w:line="36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evidence, in an affidavit or otherwise, of an actual or apparent impartiality or unprofessional conduct of the proceeding by the ALJ.</w:t>
      </w:r>
      <w:r w:rsidRPr="00C47563">
        <w:rPr>
          <w:rStyle w:val="FootnoteReference"/>
          <w:rFonts w:ascii="Times New Roman" w:eastAsia="Times New Roman" w:hAnsi="Times New Roman" w:cs="Times New Roman"/>
          <w:sz w:val="26"/>
          <w:szCs w:val="26"/>
        </w:rPr>
        <w:footnoteReference w:id="8"/>
      </w:r>
      <w:r w:rsidRPr="00C47563">
        <w:rPr>
          <w:rFonts w:ascii="Times New Roman" w:eastAsia="Times New Roman" w:hAnsi="Times New Roman" w:cs="Times New Roman"/>
          <w:sz w:val="26"/>
          <w:szCs w:val="26"/>
        </w:rPr>
        <w:t xml:space="preserve">  In the </w:t>
      </w:r>
      <w:r w:rsidR="005E4AB3" w:rsidRPr="00C47563">
        <w:rPr>
          <w:rFonts w:ascii="Times New Roman" w:eastAsia="Times New Roman" w:hAnsi="Times New Roman" w:cs="Times New Roman"/>
          <w:sz w:val="26"/>
          <w:szCs w:val="26"/>
        </w:rPr>
        <w:t>M</w:t>
      </w:r>
      <w:r w:rsidRPr="00C47563">
        <w:rPr>
          <w:rFonts w:ascii="Times New Roman" w:eastAsia="Times New Roman" w:hAnsi="Times New Roman" w:cs="Times New Roman"/>
          <w:sz w:val="26"/>
          <w:szCs w:val="26"/>
        </w:rPr>
        <w:t>otion</w:t>
      </w:r>
      <w:r w:rsidR="005E4AB3" w:rsidRPr="00C47563">
        <w:rPr>
          <w:rFonts w:ascii="Times New Roman" w:eastAsia="Times New Roman" w:hAnsi="Times New Roman" w:cs="Times New Roman"/>
          <w:sz w:val="26"/>
          <w:szCs w:val="26"/>
        </w:rPr>
        <w:t xml:space="preserve"> to Remove</w:t>
      </w:r>
      <w:r w:rsidRPr="00C47563">
        <w:rPr>
          <w:rFonts w:ascii="Times New Roman" w:eastAsia="Times New Roman" w:hAnsi="Times New Roman" w:cs="Times New Roman"/>
          <w:sz w:val="26"/>
          <w:szCs w:val="26"/>
        </w:rPr>
        <w:t xml:space="preserve">, Mr. Culbertson relied on the same authority cited in his Exceptions.  Further, he argued that the ALJ cannot be impartial and independent because he is a Commission employee and he has, as alleged in the motion, a nexus to other cases before the Commission, one final and one pending.  </w:t>
      </w:r>
    </w:p>
    <w:p w14:paraId="1B956FAA" w14:textId="77777777" w:rsidR="00CE1D7D" w:rsidRPr="00C47563" w:rsidRDefault="00CE1D7D" w:rsidP="003C6FCB">
      <w:pPr>
        <w:spacing w:after="0" w:line="360" w:lineRule="auto"/>
        <w:ind w:firstLine="1440"/>
        <w:contextualSpacing/>
        <w:rPr>
          <w:rFonts w:ascii="Times New Roman" w:eastAsia="Times New Roman" w:hAnsi="Times New Roman" w:cs="Times New Roman"/>
          <w:sz w:val="26"/>
          <w:szCs w:val="26"/>
        </w:rPr>
      </w:pPr>
    </w:p>
    <w:p w14:paraId="4EE98AA6" w14:textId="261A504B" w:rsidR="00CE1D7D" w:rsidRPr="00C47563" w:rsidRDefault="00CE1D7D" w:rsidP="003C6FCB">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We have previously addressed the standard for justifying recusal as follows:</w:t>
      </w:r>
    </w:p>
    <w:p w14:paraId="5A8722D0" w14:textId="77777777" w:rsidR="00B777DA" w:rsidRPr="00C47563" w:rsidRDefault="00B777DA" w:rsidP="003C6FCB">
      <w:pPr>
        <w:spacing w:after="0" w:line="240" w:lineRule="auto"/>
        <w:ind w:firstLine="1440"/>
        <w:contextualSpacing/>
        <w:rPr>
          <w:rFonts w:ascii="Times New Roman" w:eastAsia="Times New Roman" w:hAnsi="Times New Roman" w:cs="Times New Roman"/>
          <w:sz w:val="26"/>
          <w:szCs w:val="26"/>
        </w:rPr>
      </w:pPr>
    </w:p>
    <w:p w14:paraId="67D606C9" w14:textId="3BDC2E21" w:rsidR="00CE1D7D" w:rsidRPr="00C47563" w:rsidRDefault="00CE1D7D" w:rsidP="009A6EA6">
      <w:pPr>
        <w:keepNext/>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To render a hearing unfair, the defect or practice complained of must be such as might lead to a denial of justice, or there must be an absence of one of the elements deemed essential to due process of law</w:t>
      </w:r>
      <w:r w:rsidR="00C47563"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2 Am Jr. 2d, Administrative Law § 410.  Unfairness is evident if the tribunal’s partiality or hostility goes too far toward the extreme of its authority, and its members engage in conduct such as heated, argumentative questioning of a party more characteristic of a prosecutor than of a neutral detached and impartial decision maker.  </w:t>
      </w:r>
      <w:r w:rsidRPr="00C47563">
        <w:rPr>
          <w:rFonts w:ascii="Times New Roman" w:eastAsia="Times New Roman" w:hAnsi="Times New Roman" w:cs="Times New Roman"/>
          <w:i/>
          <w:iCs/>
          <w:sz w:val="26"/>
          <w:szCs w:val="26"/>
        </w:rPr>
        <w:t>See Dayoub v. Commonwealth of Pennsylvania, State Dental Council &amp; Examining Board</w:t>
      </w:r>
      <w:r w:rsidRPr="00C47563">
        <w:rPr>
          <w:rFonts w:ascii="Times New Roman" w:eastAsia="Times New Roman" w:hAnsi="Times New Roman" w:cs="Times New Roman"/>
          <w:sz w:val="26"/>
          <w:szCs w:val="26"/>
        </w:rPr>
        <w:t>, 453 A.2d 751 (Pa.</w:t>
      </w:r>
      <w:r w:rsidR="003C6FCB">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Cmwlth.</w:t>
      </w:r>
      <w:r w:rsidR="003C6FCB">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1982).</w:t>
      </w:r>
    </w:p>
    <w:p w14:paraId="75C88587" w14:textId="77777777" w:rsidR="003B6428" w:rsidRPr="009A6EA6" w:rsidRDefault="003B6428" w:rsidP="009A6EA6">
      <w:pPr>
        <w:keepNext/>
        <w:spacing w:after="0" w:line="360" w:lineRule="auto"/>
        <w:contextualSpacing/>
        <w:rPr>
          <w:rFonts w:ascii="Times New Roman" w:eastAsia="Times New Roman" w:hAnsi="Times New Roman" w:cs="Times New Roman"/>
          <w:sz w:val="26"/>
          <w:szCs w:val="26"/>
        </w:rPr>
      </w:pPr>
    </w:p>
    <w:p w14:paraId="5E6313F9" w14:textId="16FFFE39" w:rsidR="00CE1D7D" w:rsidRPr="00C47563" w:rsidRDefault="00CE1D7D" w:rsidP="009A6EA6">
      <w:pPr>
        <w:keepNext/>
        <w:spacing w:after="0" w:line="36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i/>
          <w:iCs/>
          <w:sz w:val="26"/>
          <w:szCs w:val="26"/>
        </w:rPr>
        <w:t>Patton v. PPL Electric Utilities Corp.</w:t>
      </w:r>
      <w:r w:rsidRPr="00C47563">
        <w:rPr>
          <w:rFonts w:ascii="Times New Roman" w:eastAsia="Times New Roman" w:hAnsi="Times New Roman" w:cs="Times New Roman"/>
          <w:sz w:val="26"/>
          <w:szCs w:val="26"/>
        </w:rPr>
        <w:t>, 2005 WL 1880603 (</w:t>
      </w:r>
      <w:r w:rsidRPr="00C47563">
        <w:rPr>
          <w:rFonts w:ascii="Times New Roman" w:eastAsia="Times New Roman" w:hAnsi="Times New Roman" w:cs="Times New Roman"/>
          <w:i/>
          <w:iCs/>
          <w:sz w:val="26"/>
          <w:szCs w:val="26"/>
        </w:rPr>
        <w:t>Patton</w:t>
      </w:r>
      <w:r w:rsidRPr="00C47563">
        <w:rPr>
          <w:rFonts w:ascii="Times New Roman" w:eastAsia="Times New Roman" w:hAnsi="Times New Roman" w:cs="Times New Roman"/>
          <w:sz w:val="26"/>
          <w:szCs w:val="26"/>
        </w:rPr>
        <w:t xml:space="preserve">) </w:t>
      </w:r>
      <w:r w:rsidR="00E30810"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quoting</w:t>
      </w:r>
      <w:r w:rsidRPr="00C47563">
        <w:rPr>
          <w:rFonts w:ascii="Times New Roman" w:eastAsia="Times New Roman" w:hAnsi="Times New Roman" w:cs="Times New Roman"/>
          <w:i/>
          <w:iCs/>
          <w:sz w:val="26"/>
          <w:szCs w:val="26"/>
        </w:rPr>
        <w:t xml:space="preserve"> Rosenblum v. Bell Atlantic-Pennsylvania, Inc.</w:t>
      </w:r>
      <w:r w:rsidRPr="00C47563">
        <w:rPr>
          <w:rFonts w:ascii="Times New Roman" w:eastAsia="Times New Roman" w:hAnsi="Times New Roman" w:cs="Times New Roman"/>
          <w:sz w:val="26"/>
          <w:szCs w:val="26"/>
        </w:rPr>
        <w:t>, 1995 Pa. PUC LEXIS 79 at *2</w:t>
      </w:r>
      <w:r w:rsidR="00E30810"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w:t>
      </w:r>
    </w:p>
    <w:p w14:paraId="1A02108D" w14:textId="77777777" w:rsidR="00CE1D7D" w:rsidRPr="00C47563" w:rsidRDefault="00CE1D7D" w:rsidP="00C47563">
      <w:pPr>
        <w:spacing w:after="0" w:line="360" w:lineRule="auto"/>
        <w:contextualSpacing/>
        <w:rPr>
          <w:rFonts w:ascii="Times New Roman" w:eastAsia="Times New Roman" w:hAnsi="Times New Roman" w:cs="Times New Roman"/>
          <w:sz w:val="26"/>
          <w:szCs w:val="26"/>
        </w:rPr>
      </w:pPr>
    </w:p>
    <w:p w14:paraId="5C41A393" w14:textId="77777777"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In</w:t>
      </w:r>
      <w:r w:rsidRPr="00C47563">
        <w:rPr>
          <w:rFonts w:ascii="Times New Roman" w:eastAsia="Times New Roman" w:hAnsi="Times New Roman" w:cs="Times New Roman"/>
          <w:i/>
          <w:iCs/>
          <w:sz w:val="26"/>
          <w:szCs w:val="26"/>
        </w:rPr>
        <w:t xml:space="preserve"> Patton</w:t>
      </w:r>
      <w:r w:rsidRPr="00C47563">
        <w:rPr>
          <w:rFonts w:ascii="Times New Roman" w:eastAsia="Times New Roman" w:hAnsi="Times New Roman" w:cs="Times New Roman"/>
          <w:sz w:val="26"/>
          <w:szCs w:val="26"/>
        </w:rPr>
        <w:t xml:space="preserve">, the complainant filed exceptions challenging the ALJ’s Initial Decision dismissing the complaint and, at the same time, filed a Motion to Recuse the ALJ.  The complainant argued that an observation by the ALJ of the nature of the complainant’s argument was derogatory and outrageous.  On review of the record, we determined that “the ALJ conducted himself at all times in a fair and neutral manner[,]” and in finding against the complainant, he “did so with references to the record of evidence before him and a thorough discussion of his findings.”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We find the same here.</w:t>
      </w:r>
    </w:p>
    <w:p w14:paraId="5D2D1AA3" w14:textId="77777777"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p>
    <w:p w14:paraId="2663D00F" w14:textId="3B2A08F5"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We also note Mr. Culbertson’s lack of verified evidence.  In this case, Mr. Culbertson’s references to the Code are supported by his assertions why he believes the ALJ could not reach an impartial and independent adjudication.  However, we have previously ruled that recitation of the law “without proof of specific disqualifying acts, are tantamount to mere assertions” presenting insufficient grounds to remove an ALJ.  </w:t>
      </w:r>
      <w:r w:rsidRPr="00C47563">
        <w:rPr>
          <w:rFonts w:ascii="Times New Roman" w:eastAsia="Times New Roman" w:hAnsi="Times New Roman" w:cs="Times New Roman"/>
          <w:i/>
          <w:iCs/>
          <w:sz w:val="26"/>
          <w:szCs w:val="26"/>
        </w:rPr>
        <w:t>Mosso v. Peoples Natural Gas Co.</w:t>
      </w:r>
      <w:r w:rsidRPr="00C47563">
        <w:rPr>
          <w:rFonts w:ascii="Times New Roman" w:eastAsia="Times New Roman" w:hAnsi="Times New Roman" w:cs="Times New Roman"/>
          <w:sz w:val="26"/>
          <w:szCs w:val="26"/>
        </w:rPr>
        <w:t xml:space="preserve">, 70 Pa. P.U.C. 146 (1989), 0089 WL 1646825 at 2.  Further, “[t]o be disqualifying, personal bias must result in an opinion on the merits of a case not supported by the record.”  </w:t>
      </w:r>
      <w:r w:rsidRPr="00C47563">
        <w:rPr>
          <w:rFonts w:ascii="Times New Roman" w:eastAsia="Times New Roman" w:hAnsi="Times New Roman" w:cs="Times New Roman"/>
          <w:i/>
          <w:iCs/>
          <w:sz w:val="26"/>
          <w:szCs w:val="26"/>
        </w:rPr>
        <w:t>Re Pennsylvania Gas and Water Company</w:t>
      </w:r>
      <w:r w:rsidRPr="00C47563">
        <w:rPr>
          <w:rFonts w:ascii="Times New Roman" w:eastAsia="Times New Roman" w:hAnsi="Times New Roman" w:cs="Times New Roman"/>
          <w:sz w:val="26"/>
          <w:szCs w:val="26"/>
        </w:rPr>
        <w:t>, 1991</w:t>
      </w:r>
      <w:r w:rsidR="009A6EA6">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Pa.</w:t>
      </w:r>
      <w:r w:rsidR="009A6EA6">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PUC L</w:t>
      </w:r>
      <w:r w:rsidR="00807428" w:rsidRPr="00C47563">
        <w:rPr>
          <w:rFonts w:ascii="Times New Roman" w:eastAsia="Times New Roman" w:hAnsi="Times New Roman" w:cs="Times New Roman"/>
          <w:sz w:val="26"/>
          <w:szCs w:val="26"/>
        </w:rPr>
        <w:t>EXIS</w:t>
      </w:r>
      <w:r w:rsidRPr="00C47563">
        <w:rPr>
          <w:rFonts w:ascii="Times New Roman" w:eastAsia="Times New Roman" w:hAnsi="Times New Roman" w:cs="Times New Roman"/>
          <w:sz w:val="26"/>
          <w:szCs w:val="26"/>
        </w:rPr>
        <w:t xml:space="preserve"> 155 at * 3-4 (citations omitted).</w:t>
      </w:r>
    </w:p>
    <w:p w14:paraId="5E31980E" w14:textId="77777777"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p>
    <w:p w14:paraId="2FA32B4D" w14:textId="77777777"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Mr. Culbertson’s averment of a prior bad decision from the ALJ also fails because prior adverse rulings by a decision-maker do not constitute grounds for recusal.</w:t>
      </w:r>
    </w:p>
    <w:p w14:paraId="21C0F720" w14:textId="77777777" w:rsidR="00CE1D7D" w:rsidRPr="00C47563" w:rsidRDefault="00CE1D7D" w:rsidP="009A6EA6">
      <w:pPr>
        <w:spacing w:after="0" w:line="240" w:lineRule="auto"/>
        <w:ind w:left="1440" w:right="1440"/>
        <w:contextualSpacing/>
        <w:rPr>
          <w:rFonts w:ascii="Times New Roman" w:eastAsia="Times New Roman" w:hAnsi="Times New Roman" w:cs="Times New Roman"/>
          <w:sz w:val="26"/>
          <w:szCs w:val="26"/>
        </w:rPr>
      </w:pPr>
    </w:p>
    <w:p w14:paraId="02D54B6A" w14:textId="77777777" w:rsidR="00CE1D7D" w:rsidRPr="00C47563" w:rsidRDefault="00CE1D7D" w:rsidP="00C47563">
      <w:pPr>
        <w:keepNext/>
        <w:spacing w:after="0" w:line="240" w:lineRule="auto"/>
        <w:ind w:left="1440" w:right="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It is well established that adverse rulings, conclusions, opinions, and subjective findings are not a basis for recusal.  Opinions are the culmination of a decision-maker’s deliberative process.  … [I]n order to insure that decision-makers are free to say whatever needs to be said and to conclude what needs to be concluded, opinions are not normally proper evidence in support of recusal.</w:t>
      </w:r>
    </w:p>
    <w:p w14:paraId="4BBACB3E" w14:textId="77777777" w:rsidR="00CE1D7D" w:rsidRPr="00C47563" w:rsidRDefault="00CE1D7D" w:rsidP="00C47563">
      <w:pPr>
        <w:keepNext/>
        <w:spacing w:after="0" w:line="360" w:lineRule="auto"/>
        <w:contextualSpacing/>
        <w:rPr>
          <w:rFonts w:ascii="Times New Roman" w:eastAsia="Times New Roman" w:hAnsi="Times New Roman" w:cs="Times New Roman"/>
          <w:sz w:val="26"/>
          <w:szCs w:val="26"/>
        </w:rPr>
      </w:pPr>
    </w:p>
    <w:p w14:paraId="5813EA08" w14:textId="77777777" w:rsidR="00CE1D7D" w:rsidRPr="00C47563" w:rsidRDefault="00CE1D7D" w:rsidP="009277DF">
      <w:pPr>
        <w:keepNext/>
        <w:spacing w:after="0" w:line="36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i/>
          <w:iCs/>
          <w:sz w:val="26"/>
          <w:szCs w:val="26"/>
        </w:rPr>
        <w:t xml:space="preserve">Id. </w:t>
      </w:r>
      <w:r w:rsidRPr="00C47563">
        <w:rPr>
          <w:rFonts w:ascii="Times New Roman" w:eastAsia="Times New Roman" w:hAnsi="Times New Roman" w:cs="Times New Roman"/>
          <w:sz w:val="26"/>
          <w:szCs w:val="26"/>
        </w:rPr>
        <w:t>at * 8 (citations omitted).</w:t>
      </w:r>
    </w:p>
    <w:p w14:paraId="0F0623F4" w14:textId="77777777" w:rsidR="00CE1D7D" w:rsidRPr="00C47563" w:rsidRDefault="00CE1D7D" w:rsidP="009277DF">
      <w:pPr>
        <w:spacing w:after="0" w:line="360" w:lineRule="auto"/>
        <w:contextualSpacing/>
        <w:rPr>
          <w:rFonts w:ascii="Times New Roman" w:eastAsia="Times New Roman" w:hAnsi="Times New Roman" w:cs="Times New Roman"/>
          <w:sz w:val="26"/>
          <w:szCs w:val="26"/>
        </w:rPr>
      </w:pPr>
    </w:p>
    <w:p w14:paraId="799E0275" w14:textId="6D116A3A" w:rsidR="00CE1D7D" w:rsidRPr="00C47563" w:rsidRDefault="00CE1D7D" w:rsidP="009277DF">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We find no evidence to support a conclusion that the ALJ was compromised – in actuality or in appearance.  The motion presents argument with neither accompanying affidavit, as required by 52 Pa. Code § 5.482(a), nor verification, and cannot be relied on as evidence sufficient to warrant grant</w:t>
      </w:r>
      <w:r w:rsidR="002320B7" w:rsidRPr="00C47563">
        <w:rPr>
          <w:rFonts w:ascii="Times New Roman" w:eastAsia="Times New Roman" w:hAnsi="Times New Roman" w:cs="Times New Roman"/>
          <w:sz w:val="26"/>
          <w:szCs w:val="26"/>
        </w:rPr>
        <w:t>ing</w:t>
      </w:r>
      <w:r w:rsidRPr="00C47563">
        <w:rPr>
          <w:rFonts w:ascii="Times New Roman" w:eastAsia="Times New Roman" w:hAnsi="Times New Roman" w:cs="Times New Roman"/>
          <w:sz w:val="26"/>
          <w:szCs w:val="26"/>
        </w:rPr>
        <w:t xml:space="preserve"> of Mr. Culbertson’s Exception.  Thus, Mr. Culbertson’s Exception lacks evidence to support his contention.</w:t>
      </w:r>
    </w:p>
    <w:p w14:paraId="3DD132E6" w14:textId="77777777" w:rsidR="00CE1D7D" w:rsidRPr="00C47563" w:rsidRDefault="00CE1D7D" w:rsidP="00C47563">
      <w:pPr>
        <w:spacing w:after="0" w:line="360" w:lineRule="auto"/>
        <w:ind w:firstLine="1440"/>
        <w:contextualSpacing/>
        <w:rPr>
          <w:rFonts w:ascii="Times New Roman" w:eastAsia="Times New Roman" w:hAnsi="Times New Roman" w:cs="Times New Roman"/>
          <w:sz w:val="26"/>
          <w:szCs w:val="26"/>
        </w:rPr>
      </w:pPr>
    </w:p>
    <w:p w14:paraId="1D9A66B7" w14:textId="599063FF" w:rsidR="00CE1D7D" w:rsidRDefault="00CE1D7D"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In addition, Columbia contends</w:t>
      </w:r>
      <w:r w:rsidR="00D767B9" w:rsidRPr="00C47563">
        <w:rPr>
          <w:rFonts w:ascii="Times New Roman" w:eastAsia="Times New Roman" w:hAnsi="Times New Roman" w:cs="Times New Roman"/>
          <w:sz w:val="26"/>
          <w:szCs w:val="26"/>
        </w:rPr>
        <w:t xml:space="preserve"> that</w:t>
      </w:r>
      <w:r w:rsidRPr="00C47563">
        <w:rPr>
          <w:rFonts w:ascii="Times New Roman" w:eastAsia="Times New Roman" w:hAnsi="Times New Roman" w:cs="Times New Roman"/>
          <w:sz w:val="26"/>
          <w:szCs w:val="26"/>
        </w:rPr>
        <w:t xml:space="preserve"> Mr. Culbertson failed to brief the issue, and therefore, has waived it.  R. Exc. at 5.  Because it was not an issue preserved in briefing, in his Recommended Decision the ALJ does not address Mr. Culbertson’s specific claims of impartiality.</w:t>
      </w:r>
      <w:r w:rsidRPr="00C47563">
        <w:rPr>
          <w:rStyle w:val="FootnoteReference"/>
          <w:rFonts w:ascii="Times New Roman" w:eastAsia="Times New Roman" w:hAnsi="Times New Roman" w:cs="Times New Roman"/>
          <w:sz w:val="26"/>
          <w:szCs w:val="26"/>
        </w:rPr>
        <w:footnoteReference w:id="9"/>
      </w:r>
      <w:r w:rsidRPr="00C47563">
        <w:rPr>
          <w:rFonts w:ascii="Times New Roman" w:eastAsia="Times New Roman" w:hAnsi="Times New Roman" w:cs="Times New Roman"/>
          <w:sz w:val="26"/>
          <w:szCs w:val="26"/>
        </w:rPr>
        <w:t xml:space="preserve">  By failing to preserve the issue in briefs, Mr. Culbertson has denied the ALJ the opportunity to provide his position for our consideration.  Thus, notwithstanding our denial of the Exception because it is not warranted on the merits, we also find that by failing to seek interlocutory review of the issue as our Regulations allow, and then by failing to brief the issue as our Regulations require, Mr. Culbertson has not preserved it for our review.</w:t>
      </w:r>
      <w:r w:rsidRPr="00C47563">
        <w:rPr>
          <w:rFonts w:ascii="Times New Roman" w:eastAsia="Times New Roman" w:hAnsi="Times New Roman" w:cs="Times New Roman"/>
          <w:sz w:val="26"/>
          <w:szCs w:val="26"/>
          <w:vertAlign w:val="superscript"/>
        </w:rPr>
        <w:footnoteReference w:id="10"/>
      </w:r>
    </w:p>
    <w:p w14:paraId="13590F32" w14:textId="77777777" w:rsidR="0092660A" w:rsidRDefault="0092660A" w:rsidP="00C47563">
      <w:pPr>
        <w:spacing w:after="0" w:line="360" w:lineRule="auto"/>
        <w:ind w:firstLine="1440"/>
        <w:contextualSpacing/>
        <w:rPr>
          <w:rFonts w:ascii="Times New Roman" w:eastAsia="Times New Roman" w:hAnsi="Times New Roman" w:cs="Times New Roman"/>
          <w:sz w:val="26"/>
          <w:szCs w:val="26"/>
        </w:rPr>
      </w:pPr>
    </w:p>
    <w:p w14:paraId="63957633" w14:textId="5A9AD059" w:rsidR="0001192D" w:rsidRPr="00C47563" w:rsidRDefault="00D85A09" w:rsidP="0094251F">
      <w:pPr>
        <w:pStyle w:val="Heading4"/>
      </w:pPr>
      <w:bookmarkStart w:id="26" w:name="_Toc89253064"/>
      <w:r w:rsidRPr="00C47563">
        <w:t>c</w:t>
      </w:r>
      <w:r w:rsidR="0001192D" w:rsidRPr="00C47563">
        <w:t>.</w:t>
      </w:r>
      <w:r w:rsidR="0001192D" w:rsidRPr="00C47563">
        <w:tab/>
        <w:t xml:space="preserve">Exception No. </w:t>
      </w:r>
      <w:r w:rsidR="00760839" w:rsidRPr="00C47563">
        <w:t>3</w:t>
      </w:r>
      <w:r w:rsidR="0001192D" w:rsidRPr="00C47563">
        <w:t>, Re</w:t>
      </w:r>
      <w:r w:rsidRPr="00C47563">
        <w:t>plies</w:t>
      </w:r>
      <w:r w:rsidR="0001192D" w:rsidRPr="00C47563">
        <w:t>, and Disposition</w:t>
      </w:r>
      <w:bookmarkEnd w:id="26"/>
    </w:p>
    <w:p w14:paraId="7B8B112C" w14:textId="0E68BDB8" w:rsidR="00471209" w:rsidRPr="00C47563" w:rsidRDefault="00471209" w:rsidP="00C47563">
      <w:pPr>
        <w:keepNext/>
        <w:spacing w:after="0" w:line="360" w:lineRule="auto"/>
        <w:ind w:firstLine="1440"/>
        <w:contextualSpacing/>
        <w:rPr>
          <w:rFonts w:ascii="Times New Roman" w:eastAsia="Times New Roman" w:hAnsi="Times New Roman" w:cs="Times New Roman"/>
          <w:b/>
          <w:bCs/>
          <w:sz w:val="26"/>
          <w:szCs w:val="26"/>
        </w:rPr>
      </w:pPr>
    </w:p>
    <w:p w14:paraId="41C0CEDF" w14:textId="3BEDF00B" w:rsidR="00F21A2F" w:rsidRPr="00C47563" w:rsidRDefault="00F21A2F" w:rsidP="00C47563">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In his Exception No. 3, Mr. Culbertson takes issue with many of the ALJ’s conclusions, all of which he argues under the rubric “[t]he big lie or the magic words? – ‘is in the public interest.’”  Exc. at 15.</w:t>
      </w:r>
      <w:r w:rsidR="004A4BD4"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Mr. Culbertson challenges the conclusion that the ALJ’s recommendation comports with “laws, regulations, standards, and contracts.”  Exc. at 15-16 (citing </w:t>
      </w:r>
      <w:r w:rsidRPr="00C47563">
        <w:rPr>
          <w:rFonts w:ascii="Times New Roman" w:eastAsia="Times New Roman" w:hAnsi="Times New Roman" w:cs="Times New Roman"/>
          <w:i/>
          <w:iCs/>
          <w:sz w:val="26"/>
          <w:szCs w:val="26"/>
        </w:rPr>
        <w:t>Hope Natural Gas</w:t>
      </w:r>
      <w:r w:rsidR="004A4BD4"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w:t>
      </w:r>
      <w:r w:rsidR="004A4BD4"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Mr. Culbertson asserts “there is a recipe and formula for just and reasonable rates,” initially provided in the federal law he relies on, which includes consideration of not just contemporary investors and consumers but also social and economic costs.  Exc. at 16.  Mr. Culbertson then cites several additional sections of the Natural Gas Act, 15 U.S.C. § 717, </w:t>
      </w:r>
      <w:r w:rsidRPr="00C47563">
        <w:rPr>
          <w:rFonts w:ascii="Times New Roman" w:eastAsia="Times New Roman" w:hAnsi="Times New Roman" w:cs="Times New Roman"/>
          <w:i/>
          <w:iCs/>
          <w:sz w:val="26"/>
          <w:szCs w:val="26"/>
        </w:rPr>
        <w:t>et seq</w:t>
      </w:r>
      <w:r w:rsidRPr="00C47563">
        <w:rPr>
          <w:rFonts w:ascii="Times New Roman" w:eastAsia="Times New Roman" w:hAnsi="Times New Roman" w:cs="Times New Roman"/>
          <w:sz w:val="26"/>
          <w:szCs w:val="26"/>
        </w:rPr>
        <w:t>., setting forth his position of the proper manner of calculating costs to be considered in determining just and reasonable rates.  Exc. at 16-17.</w:t>
      </w:r>
    </w:p>
    <w:p w14:paraId="1CCD1B87"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03A5CDB5" w14:textId="5B7E4B65"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Next Mr. Culbertson challenges the “black box” nature of the Joint Settlement, comparing it to a “point spread” in sports betting and “[a] prognostication of actual legitimate cost” as a reliable ratemaking standard, concluding that “[b]lack box settlements are illegal.”  </w:t>
      </w:r>
      <w:r w:rsidRPr="00C47563">
        <w:rPr>
          <w:rFonts w:ascii="Times New Roman" w:eastAsia="Times New Roman" w:hAnsi="Times New Roman" w:cs="Times New Roman"/>
          <w:i/>
          <w:iCs/>
          <w:sz w:val="26"/>
          <w:szCs w:val="26"/>
        </w:rPr>
        <w:t xml:space="preserve">Id. </w:t>
      </w:r>
      <w:r w:rsidRPr="00C47563">
        <w:rPr>
          <w:rFonts w:ascii="Times New Roman" w:eastAsia="Times New Roman" w:hAnsi="Times New Roman" w:cs="Times New Roman"/>
          <w:sz w:val="26"/>
          <w:szCs w:val="26"/>
        </w:rPr>
        <w:t xml:space="preserve">at 17. </w:t>
      </w:r>
      <w:r w:rsidRPr="00C47563">
        <w:rPr>
          <w:rFonts w:ascii="Times New Roman" w:eastAsia="Times New Roman" w:hAnsi="Times New Roman" w:cs="Times New Roman"/>
          <w:i/>
          <w:iCs/>
          <w:sz w:val="26"/>
          <w:szCs w:val="26"/>
        </w:rPr>
        <w:t xml:space="preserve"> </w:t>
      </w:r>
      <w:r w:rsidRPr="00C47563">
        <w:rPr>
          <w:rFonts w:ascii="Times New Roman" w:eastAsia="Times New Roman" w:hAnsi="Times New Roman" w:cs="Times New Roman"/>
          <w:sz w:val="26"/>
          <w:szCs w:val="26"/>
        </w:rPr>
        <w:t xml:space="preserve">Mr. Culbertson claims that “[n]ot using the right recipe or process to reach just and reasonable costs and rates results in substandard or unlawful outcomes.”  </w:t>
      </w:r>
      <w:r w:rsidRPr="00C47563">
        <w:rPr>
          <w:rFonts w:ascii="Times New Roman" w:eastAsia="Times New Roman" w:hAnsi="Times New Roman" w:cs="Times New Roman"/>
          <w:i/>
          <w:iCs/>
          <w:sz w:val="26"/>
          <w:szCs w:val="26"/>
        </w:rPr>
        <w:t xml:space="preserve">Id. </w:t>
      </w:r>
      <w:r w:rsidRPr="00C47563">
        <w:rPr>
          <w:rFonts w:ascii="Times New Roman" w:eastAsia="Times New Roman" w:hAnsi="Times New Roman" w:cs="Times New Roman"/>
          <w:sz w:val="26"/>
          <w:szCs w:val="26"/>
        </w:rPr>
        <w:t xml:space="preserve">at 18.  In support, Mr. Culbertson relies on citations to federal regulations in the U.S. Code; Article VIII, Section 10, of the Pennsylvania Constitution; the Securities and Exchange Act of 1934, 15 U.S.C. § 78a, </w:t>
      </w:r>
      <w:r w:rsidRPr="00C47563">
        <w:rPr>
          <w:rFonts w:ascii="Times New Roman" w:eastAsia="Times New Roman" w:hAnsi="Times New Roman" w:cs="Times New Roman"/>
          <w:i/>
          <w:iCs/>
          <w:sz w:val="26"/>
          <w:szCs w:val="26"/>
        </w:rPr>
        <w:t>et seq</w:t>
      </w:r>
      <w:r w:rsidRPr="00C47563">
        <w:rPr>
          <w:rFonts w:ascii="Times New Roman" w:eastAsia="Times New Roman" w:hAnsi="Times New Roman" w:cs="Times New Roman"/>
          <w:sz w:val="26"/>
          <w:szCs w:val="26"/>
        </w:rPr>
        <w:t>.; Commonwealth Management Directives; and other non-specified generally accepted accounting and auditing practices.  Exc.</w:t>
      </w:r>
      <w:r w:rsidRPr="00C47563">
        <w:rPr>
          <w:rFonts w:ascii="Times New Roman" w:eastAsia="Times New Roman" w:hAnsi="Times New Roman" w:cs="Times New Roman"/>
          <w:i/>
          <w:iCs/>
          <w:sz w:val="26"/>
          <w:szCs w:val="26"/>
        </w:rPr>
        <w:t xml:space="preserve"> </w:t>
      </w:r>
      <w:r w:rsidRPr="00C47563">
        <w:rPr>
          <w:rFonts w:ascii="Times New Roman" w:eastAsia="Times New Roman" w:hAnsi="Times New Roman" w:cs="Times New Roman"/>
          <w:sz w:val="26"/>
          <w:szCs w:val="26"/>
        </w:rPr>
        <w:t xml:space="preserve">at 18-20.  We also note that Mr. Culbertson challenges the </w:t>
      </w:r>
      <w:r w:rsidR="00D24806"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black box</w:t>
      </w:r>
      <w:r w:rsidR="00D24806"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nature of the settlement in his Exception No. 4, claiming, based on a Google search, that the description of the settlement as “black box” is not a “generally accepted definition,” is misrepresented in the Recommended Decision, and is an illegal prognostication under both state and federal law.  </w:t>
      </w:r>
      <w:r w:rsidRPr="00C47563">
        <w:rPr>
          <w:rFonts w:ascii="Times New Roman" w:eastAsia="Times New Roman" w:hAnsi="Times New Roman" w:cs="Times New Roman"/>
          <w:i/>
          <w:iCs/>
          <w:sz w:val="26"/>
          <w:szCs w:val="26"/>
        </w:rPr>
        <w:t xml:space="preserve">Id. </w:t>
      </w:r>
      <w:r w:rsidRPr="00C47563">
        <w:rPr>
          <w:rFonts w:ascii="Times New Roman" w:eastAsia="Times New Roman" w:hAnsi="Times New Roman" w:cs="Times New Roman"/>
          <w:sz w:val="26"/>
          <w:szCs w:val="26"/>
        </w:rPr>
        <w:t>at 29, 30-31.</w:t>
      </w:r>
      <w:r w:rsidRPr="00C47563">
        <w:rPr>
          <w:rStyle w:val="FootnoteReference"/>
          <w:rFonts w:ascii="Times New Roman" w:eastAsia="Times New Roman" w:hAnsi="Times New Roman" w:cs="Times New Roman"/>
          <w:sz w:val="26"/>
          <w:szCs w:val="26"/>
        </w:rPr>
        <w:footnoteReference w:id="11"/>
      </w:r>
    </w:p>
    <w:p w14:paraId="0AD14D0F"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1A85E3AF" w14:textId="2AF3FD94"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Finally, Mr. Culbertson contends that “the use of the phrase ‘is in the public interest’ in the Recommended Decision is “meant to be deceptive and to appease customers and the Commission,” because the underlying investigation supporting the Joint Settlement did not include thorough documentation of the ALJ’s review of existing rates.”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at 20.  In support, Mr. Culbertson includes in his Exceptions a table contained in his Rate Complaint and briefs in which he presents his comparison of the rate base of Columbia’s affiliates in other jurisdictions that he contends is “substantial evidence to not raise rates” because that table “outweighs Columbia’s 10 volume submission of why the rates should be increased.”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at 22.</w:t>
      </w:r>
    </w:p>
    <w:p w14:paraId="1D7C82FF" w14:textId="77777777" w:rsidR="00F21A2F" w:rsidRPr="00C47563" w:rsidRDefault="00F21A2F" w:rsidP="00C47563">
      <w:pPr>
        <w:spacing w:after="0" w:line="360" w:lineRule="auto"/>
        <w:contextualSpacing/>
        <w:rPr>
          <w:rFonts w:ascii="Times New Roman" w:eastAsia="Times New Roman" w:hAnsi="Times New Roman" w:cs="Times New Roman"/>
          <w:sz w:val="26"/>
          <w:szCs w:val="26"/>
        </w:rPr>
      </w:pPr>
    </w:p>
    <w:p w14:paraId="4CBA42FC" w14:textId="6F1ED9DB"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Columbia responds that Mr. Culbertson’s criticisms are unfounded.  First, noting his reliance on federal law, Columbia states that as a Pennsylvania natural gas distribution company, it is subject to regulation primarily, and specifically with regard to intrastate sales, by the Commission under the Code and not the Federal Energy Regulatory Commission under the Natural Gas Act.  R. Exc. at 6.</w:t>
      </w:r>
    </w:p>
    <w:p w14:paraId="20A888ED"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7C99BB98" w14:textId="58690260"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Next, relying on several prior past Commission decisions and quoting our recent decision in </w:t>
      </w:r>
      <w:r w:rsidRPr="00C47563">
        <w:rPr>
          <w:rFonts w:ascii="Times New Roman" w:eastAsia="Times New Roman" w:hAnsi="Times New Roman" w:cs="Times New Roman"/>
          <w:i/>
          <w:iCs/>
          <w:sz w:val="26"/>
          <w:szCs w:val="26"/>
        </w:rPr>
        <w:t>Pa. PUC v. Pike County Light &amp; Power Company – Electric</w:t>
      </w:r>
      <w:r w:rsidRPr="00C47563">
        <w:rPr>
          <w:rFonts w:ascii="Times New Roman" w:eastAsia="Times New Roman" w:hAnsi="Times New Roman" w:cs="Times New Roman"/>
          <w:sz w:val="26"/>
          <w:szCs w:val="26"/>
        </w:rPr>
        <w:t>, Docket</w:t>
      </w:r>
      <w:r w:rsidR="0015354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No. R-2020-3022135 (Order entered July 21, 2021) (</w:t>
      </w:r>
      <w:r w:rsidRPr="00C47563">
        <w:rPr>
          <w:rFonts w:ascii="Times New Roman" w:eastAsia="Times New Roman" w:hAnsi="Times New Roman" w:cs="Times New Roman"/>
          <w:i/>
          <w:iCs/>
          <w:sz w:val="26"/>
          <w:szCs w:val="26"/>
        </w:rPr>
        <w:t>Pike County Light &amp; Power</w:t>
      </w:r>
      <w:r w:rsidRPr="00C47563">
        <w:rPr>
          <w:rFonts w:ascii="Times New Roman" w:eastAsia="Times New Roman" w:hAnsi="Times New Roman" w:cs="Times New Roman"/>
          <w:sz w:val="26"/>
          <w:szCs w:val="26"/>
        </w:rPr>
        <w:t>), Columbia contends that the Commission has historically relied on “black box” settlements as important tools to resolve rate cases.  R. Exc. at 6-7.</w:t>
      </w:r>
    </w:p>
    <w:p w14:paraId="30BEABB5" w14:textId="77777777" w:rsidR="00F21A2F" w:rsidRPr="00C47563" w:rsidRDefault="00F21A2F" w:rsidP="00C47563">
      <w:pPr>
        <w:spacing w:after="0" w:line="360" w:lineRule="auto"/>
        <w:contextualSpacing/>
        <w:rPr>
          <w:rFonts w:ascii="Times New Roman" w:eastAsia="Times New Roman" w:hAnsi="Times New Roman" w:cs="Times New Roman"/>
          <w:sz w:val="26"/>
          <w:szCs w:val="26"/>
        </w:rPr>
      </w:pPr>
    </w:p>
    <w:p w14:paraId="1DCE1167"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response to Mr. Culbertson’s contention that the Settlement the ALJ recommended to the Commission does not consider actual legitimate costs, Columbia contends that Mr. Culbertson “failed to present substantial and legally credible evidence” addressing Columbia’s rate base or expenses.  R. Exc. at 8.  Relying on the ALJ’s analysis of the Settlement in his Recommended Decision, Columbia refers to the substantial evidence from the other active Parties to the case and concurs with the ALJ’s conclusion that Mr. Culbertson “offered no factual evidence or arguments to rebut the substantial evidence of record” from those Parties.  </w:t>
      </w:r>
      <w:r w:rsidRPr="00C47563">
        <w:rPr>
          <w:rFonts w:ascii="Times New Roman" w:eastAsia="Times New Roman" w:hAnsi="Times New Roman" w:cs="Times New Roman"/>
          <w:i/>
          <w:iCs/>
          <w:sz w:val="26"/>
          <w:szCs w:val="26"/>
        </w:rPr>
        <w:t>Id.</w:t>
      </w:r>
    </w:p>
    <w:p w14:paraId="057E5D4F"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5BCE5EB6"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As for Mr. Culbertson’s cited legal support, Columbia responds that several authorities, including the Pennsylvania Constitution, Pennsylvania Management Directives, and sections of federal law and regulations, are neither relevant nor supportive.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at 8-9.  </w:t>
      </w:r>
    </w:p>
    <w:p w14:paraId="1714631B"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042AC75F"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Finally, as to Mr. Culbertson’s challenges to its existing rates or his calculation of affiliates’ rate bases in other states, Columbia refers to its explanation in briefs why rate bases of other companies, even affiliated companies, can differ and are irrelevant to evaluating Columbia’s rate base in Pennsylvania.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at 9 (citing Columbia M.B. at 20-21, Columbia R.B. at 8).  </w:t>
      </w:r>
    </w:p>
    <w:p w14:paraId="782F42B4" w14:textId="77777777" w:rsidR="00F21A2F" w:rsidRPr="00C47563" w:rsidRDefault="00F21A2F" w:rsidP="00C47563">
      <w:pPr>
        <w:spacing w:after="0" w:line="360" w:lineRule="auto"/>
        <w:contextualSpacing/>
        <w:rPr>
          <w:rFonts w:ascii="Times New Roman" w:eastAsia="Times New Roman" w:hAnsi="Times New Roman" w:cs="Times New Roman"/>
          <w:sz w:val="26"/>
          <w:szCs w:val="26"/>
        </w:rPr>
      </w:pPr>
    </w:p>
    <w:p w14:paraId="481EE043" w14:textId="647B149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We find the ALJ’s disposition of these issues in his Recommended Decision to be persuasive on both the law and the facts.  Thus, we agree with Columbia, and we </w:t>
      </w:r>
      <w:r w:rsidR="00550440" w:rsidRPr="00C47563">
        <w:rPr>
          <w:rFonts w:ascii="Times New Roman" w:eastAsia="Times New Roman" w:hAnsi="Times New Roman" w:cs="Times New Roman"/>
          <w:sz w:val="26"/>
          <w:szCs w:val="26"/>
        </w:rPr>
        <w:t>conclude</w:t>
      </w:r>
      <w:r w:rsidRPr="00C47563">
        <w:rPr>
          <w:rFonts w:ascii="Times New Roman" w:eastAsia="Times New Roman" w:hAnsi="Times New Roman" w:cs="Times New Roman"/>
          <w:sz w:val="26"/>
          <w:szCs w:val="26"/>
        </w:rPr>
        <w:t xml:space="preserve"> that Mr. Culbertson’s Exception No. 3, and his similar assertion regarding </w:t>
      </w:r>
      <w:r w:rsidR="00126A41"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black box</w:t>
      </w:r>
      <w:r w:rsidR="00126A41"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settlements in </w:t>
      </w:r>
      <w:r w:rsidR="00550440" w:rsidRPr="00C47563">
        <w:rPr>
          <w:rFonts w:ascii="Times New Roman" w:eastAsia="Times New Roman" w:hAnsi="Times New Roman" w:cs="Times New Roman"/>
          <w:sz w:val="26"/>
          <w:szCs w:val="26"/>
        </w:rPr>
        <w:t xml:space="preserve">his </w:t>
      </w:r>
      <w:r w:rsidRPr="00C47563">
        <w:rPr>
          <w:rFonts w:ascii="Times New Roman" w:eastAsia="Times New Roman" w:hAnsi="Times New Roman" w:cs="Times New Roman"/>
          <w:sz w:val="26"/>
          <w:szCs w:val="26"/>
        </w:rPr>
        <w:t>Exception No. 4, are unfounded in the law and unsubstantiated by the evidence.</w:t>
      </w:r>
    </w:p>
    <w:p w14:paraId="638E4154"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636D2F4C" w14:textId="321EA293"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First, as to the law relevant to our decision, our ratemaking jurisdiction over Columbia’s intrastate rates derives from the Code, 66 Pa. C.S. §§ 101 – 3316 and, with few exceptions not applicable here, not the Natural Gas Act, the Securities and Exchange Act of 1934, or other federal statutory or regulatory provisions.</w:t>
      </w:r>
      <w:r w:rsidRPr="00C47563">
        <w:rPr>
          <w:rStyle w:val="FootnoteReference"/>
          <w:rFonts w:ascii="Times New Roman" w:eastAsia="Times New Roman" w:hAnsi="Times New Roman" w:cs="Times New Roman"/>
          <w:sz w:val="26"/>
          <w:szCs w:val="26"/>
        </w:rPr>
        <w:footnoteReference w:id="12"/>
      </w:r>
      <w:r w:rsidRPr="00C47563">
        <w:rPr>
          <w:rFonts w:ascii="Times New Roman" w:eastAsia="Times New Roman" w:hAnsi="Times New Roman" w:cs="Times New Roman"/>
          <w:sz w:val="26"/>
          <w:szCs w:val="26"/>
        </w:rPr>
        <w:t xml:space="preserve">  Other legal sources relied on by Mr. Culbertson outside the Code are equally irrelevant.  The Commonwealth Management Directives cited are issued by the Governor and applicable to agencies and other entities under the Governor’s jurisdiction.</w:t>
      </w:r>
      <w:r w:rsidRPr="00C47563">
        <w:rPr>
          <w:rStyle w:val="FootnoteReference"/>
          <w:rFonts w:ascii="Times New Roman" w:eastAsia="Times New Roman" w:hAnsi="Times New Roman" w:cs="Times New Roman"/>
          <w:sz w:val="26"/>
          <w:szCs w:val="26"/>
        </w:rPr>
        <w:footnoteReference w:id="13"/>
      </w:r>
      <w:r w:rsidRPr="00C47563">
        <w:rPr>
          <w:rFonts w:ascii="Times New Roman" w:eastAsia="Times New Roman" w:hAnsi="Times New Roman" w:cs="Times New Roman"/>
          <w:sz w:val="26"/>
          <w:szCs w:val="26"/>
        </w:rPr>
        <w:t xml:space="preserve">  The Commission is an independent agency not under the Governor’s jurisdiction.  Article III, Section 10 of the Pennsylvania Constitution addresses audits of entities funded or aided by the Commonwealth, including Pennsylvania agencies and institutions.  Columbia is regulated by the Commission, but it is not funded by the Commission.</w:t>
      </w:r>
      <w:r w:rsidRPr="00C47563">
        <w:rPr>
          <w:rStyle w:val="FootnoteReference"/>
          <w:rFonts w:ascii="Times New Roman" w:eastAsia="Times New Roman" w:hAnsi="Times New Roman" w:cs="Times New Roman"/>
          <w:sz w:val="26"/>
          <w:szCs w:val="26"/>
        </w:rPr>
        <w:footnoteReference w:id="14"/>
      </w:r>
      <w:r w:rsidRPr="00C47563">
        <w:rPr>
          <w:rFonts w:ascii="Times New Roman" w:eastAsia="Times New Roman" w:hAnsi="Times New Roman" w:cs="Times New Roman"/>
          <w:sz w:val="26"/>
          <w:szCs w:val="26"/>
        </w:rPr>
        <w:t xml:space="preserve">  Nothing in the Code</w:t>
      </w:r>
      <w:r w:rsidR="00BE7BF8"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or pertinent Pennsylvania law applicable to our resolution, supports Mr. Culbertson’s legal conclusion that </w:t>
      </w:r>
      <w:r w:rsidR="00126A41"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black box</w:t>
      </w:r>
      <w:r w:rsidR="00126A41"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settlements are illegal.</w:t>
      </w:r>
    </w:p>
    <w:p w14:paraId="6EBC5325"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49CE98CB" w14:textId="5C4FAD4E"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Mr. Culbertson also </w:t>
      </w:r>
      <w:r w:rsidR="00CD4B23" w:rsidRPr="00C47563">
        <w:rPr>
          <w:rFonts w:ascii="Times New Roman" w:eastAsia="Times New Roman" w:hAnsi="Times New Roman" w:cs="Times New Roman"/>
          <w:sz w:val="26"/>
          <w:szCs w:val="26"/>
        </w:rPr>
        <w:t xml:space="preserve">asserts that because </w:t>
      </w:r>
      <w:r w:rsidRPr="00C47563">
        <w:rPr>
          <w:rFonts w:ascii="Times New Roman" w:eastAsia="Times New Roman" w:hAnsi="Times New Roman" w:cs="Times New Roman"/>
          <w:sz w:val="26"/>
          <w:szCs w:val="26"/>
        </w:rPr>
        <w:t>the Settlement is a “black box</w:t>
      </w:r>
      <w:r w:rsidR="00372260"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 </w:t>
      </w:r>
      <w:r w:rsidR="00372260" w:rsidRPr="00C47563">
        <w:rPr>
          <w:rFonts w:ascii="Times New Roman" w:eastAsia="Times New Roman" w:hAnsi="Times New Roman" w:cs="Times New Roman"/>
          <w:sz w:val="26"/>
          <w:szCs w:val="26"/>
        </w:rPr>
        <w:t xml:space="preserve">it </w:t>
      </w:r>
      <w:r w:rsidRPr="00C47563">
        <w:rPr>
          <w:rFonts w:ascii="Times New Roman" w:eastAsia="Times New Roman" w:hAnsi="Times New Roman" w:cs="Times New Roman"/>
          <w:sz w:val="26"/>
          <w:szCs w:val="26"/>
        </w:rPr>
        <w:t>fails to use the right recipe or process to reach just and reasonable costs and rates and is illegal.  However, as Columbia responds, not only are settlements, including those characterized as “black box,” not illegal in Pennsylvania but also settled rate cases are encouraged.</w:t>
      </w:r>
      <w:r w:rsidR="00192B70" w:rsidRPr="00C47563">
        <w:rPr>
          <w:rFonts w:ascii="Times New Roman" w:eastAsia="Times New Roman" w:hAnsi="Times New Roman" w:cs="Times New Roman"/>
          <w:sz w:val="26"/>
          <w:szCs w:val="26"/>
        </w:rPr>
        <w:t xml:space="preserve">  </w:t>
      </w:r>
    </w:p>
    <w:p w14:paraId="15C88262"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483EACE3" w14:textId="7C49A476" w:rsidR="00F21A2F" w:rsidRPr="00C47563" w:rsidRDefault="00F21A2F" w:rsidP="00C47563">
      <w:pPr>
        <w:pStyle w:val="FootnoteText"/>
        <w:spacing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Columbia refers to two recent cases in which the Commission approved </w:t>
      </w:r>
      <w:r w:rsidR="005141C1" w:rsidRPr="00C47563">
        <w:rPr>
          <w:rFonts w:ascii="Times New Roman" w:hAnsi="Times New Roman" w:cs="Times New Roman"/>
          <w:sz w:val="26"/>
          <w:szCs w:val="26"/>
        </w:rPr>
        <w:t>“</w:t>
      </w:r>
      <w:r w:rsidRPr="00C47563">
        <w:rPr>
          <w:rFonts w:ascii="Times New Roman" w:hAnsi="Times New Roman" w:cs="Times New Roman"/>
          <w:sz w:val="26"/>
          <w:szCs w:val="26"/>
        </w:rPr>
        <w:t>black box</w:t>
      </w:r>
      <w:r w:rsidR="005141C1" w:rsidRPr="00C47563">
        <w:rPr>
          <w:rFonts w:ascii="Times New Roman" w:hAnsi="Times New Roman" w:cs="Times New Roman"/>
          <w:sz w:val="26"/>
          <w:szCs w:val="26"/>
        </w:rPr>
        <w:t>”</w:t>
      </w:r>
      <w:r w:rsidRPr="00C47563">
        <w:rPr>
          <w:rFonts w:ascii="Times New Roman" w:hAnsi="Times New Roman" w:cs="Times New Roman"/>
          <w:sz w:val="26"/>
          <w:szCs w:val="26"/>
        </w:rPr>
        <w:t xml:space="preserve"> settlements, affirming them as important tools in achieving consensus over the resolution of just and reasonable rates in rate cases.  </w:t>
      </w:r>
      <w:r w:rsidRPr="00C47563">
        <w:rPr>
          <w:rFonts w:ascii="Times New Roman" w:hAnsi="Times New Roman" w:cs="Times New Roman"/>
          <w:i/>
          <w:iCs/>
          <w:sz w:val="26"/>
          <w:szCs w:val="26"/>
        </w:rPr>
        <w:t>See</w:t>
      </w:r>
      <w:r w:rsidRPr="00C47563">
        <w:rPr>
          <w:rFonts w:ascii="Times New Roman" w:hAnsi="Times New Roman" w:cs="Times New Roman"/>
          <w:sz w:val="26"/>
          <w:szCs w:val="26"/>
        </w:rPr>
        <w:t xml:space="preserve"> Columbia R. Exc. at 6 (citing </w:t>
      </w:r>
      <w:r w:rsidRPr="00C47563">
        <w:rPr>
          <w:rFonts w:ascii="Times New Roman" w:hAnsi="Times New Roman" w:cs="Times New Roman"/>
          <w:i/>
          <w:iCs/>
          <w:sz w:val="26"/>
          <w:szCs w:val="26"/>
        </w:rPr>
        <w:t>Pa. PUC v. Aqua Pennsylvania, Inc</w:t>
      </w:r>
      <w:r w:rsidRPr="00C47563">
        <w:rPr>
          <w:rFonts w:ascii="Times New Roman" w:hAnsi="Times New Roman" w:cs="Times New Roman"/>
          <w:sz w:val="26"/>
          <w:szCs w:val="26"/>
        </w:rPr>
        <w:t>., Docket No. R-2018-3003558 (Order entered May</w:t>
      </w:r>
      <w:r w:rsidR="00153543">
        <w:rPr>
          <w:rFonts w:ascii="Times New Roman" w:hAnsi="Times New Roman" w:cs="Times New Roman"/>
          <w:sz w:val="26"/>
          <w:szCs w:val="26"/>
        </w:rPr>
        <w:t> </w:t>
      </w:r>
      <w:r w:rsidRPr="00C47563">
        <w:rPr>
          <w:rFonts w:ascii="Times New Roman" w:hAnsi="Times New Roman" w:cs="Times New Roman"/>
          <w:sz w:val="26"/>
          <w:szCs w:val="26"/>
        </w:rPr>
        <w:t>9,</w:t>
      </w:r>
      <w:r w:rsidR="00153543">
        <w:rPr>
          <w:rFonts w:ascii="Times New Roman" w:hAnsi="Times New Roman" w:cs="Times New Roman"/>
          <w:sz w:val="26"/>
          <w:szCs w:val="26"/>
        </w:rPr>
        <w:t> </w:t>
      </w:r>
      <w:r w:rsidRPr="00C47563">
        <w:rPr>
          <w:rFonts w:ascii="Times New Roman" w:hAnsi="Times New Roman" w:cs="Times New Roman"/>
          <w:sz w:val="26"/>
          <w:szCs w:val="26"/>
        </w:rPr>
        <w:t>2019) (</w:t>
      </w:r>
      <w:r w:rsidRPr="00C47563">
        <w:rPr>
          <w:rFonts w:ascii="Times New Roman" w:hAnsi="Times New Roman" w:cs="Times New Roman"/>
          <w:i/>
          <w:iCs/>
          <w:sz w:val="26"/>
          <w:szCs w:val="26"/>
        </w:rPr>
        <w:t>Aqua</w:t>
      </w:r>
      <w:r w:rsidRPr="00C47563">
        <w:rPr>
          <w:rFonts w:ascii="Times New Roman" w:hAnsi="Times New Roman" w:cs="Times New Roman"/>
          <w:sz w:val="26"/>
          <w:szCs w:val="26"/>
        </w:rPr>
        <w:t>) (denying exceptions to recommended decision and approving black box settlement without modification</w:t>
      </w:r>
      <w:proofErr w:type="gramStart"/>
      <w:r w:rsidRPr="00C47563">
        <w:rPr>
          <w:rFonts w:ascii="Times New Roman" w:hAnsi="Times New Roman" w:cs="Times New Roman"/>
          <w:sz w:val="26"/>
          <w:szCs w:val="26"/>
        </w:rPr>
        <w:t>);</w:t>
      </w:r>
      <w:proofErr w:type="gramEnd"/>
      <w:r w:rsidRPr="00C47563">
        <w:rPr>
          <w:rFonts w:ascii="Times New Roman" w:hAnsi="Times New Roman" w:cs="Times New Roman"/>
          <w:sz w:val="26"/>
          <w:szCs w:val="26"/>
        </w:rPr>
        <w:t xml:space="preserve"> </w:t>
      </w:r>
      <w:r w:rsidRPr="00C47563">
        <w:rPr>
          <w:rFonts w:ascii="Times New Roman" w:hAnsi="Times New Roman" w:cs="Times New Roman"/>
          <w:i/>
          <w:iCs/>
          <w:sz w:val="26"/>
          <w:szCs w:val="26"/>
        </w:rPr>
        <w:t>Pike County Light &amp; Power, supra</w:t>
      </w:r>
      <w:r w:rsidRPr="00C47563">
        <w:rPr>
          <w:rFonts w:ascii="Times New Roman" w:hAnsi="Times New Roman" w:cs="Times New Roman"/>
          <w:sz w:val="26"/>
          <w:szCs w:val="26"/>
        </w:rPr>
        <w:t xml:space="preserve">.  This Commission approved these two as well as many other “black box” settlements in the past, most recently approving another </w:t>
      </w:r>
      <w:r w:rsidR="00C0665C" w:rsidRPr="00C47563">
        <w:rPr>
          <w:rFonts w:ascii="Times New Roman" w:hAnsi="Times New Roman" w:cs="Times New Roman"/>
          <w:sz w:val="26"/>
          <w:szCs w:val="26"/>
        </w:rPr>
        <w:t>“</w:t>
      </w:r>
      <w:r w:rsidRPr="00C47563">
        <w:rPr>
          <w:rFonts w:ascii="Times New Roman" w:hAnsi="Times New Roman" w:cs="Times New Roman"/>
          <w:sz w:val="26"/>
          <w:szCs w:val="26"/>
        </w:rPr>
        <w:t>black box</w:t>
      </w:r>
      <w:r w:rsidR="00C0665C" w:rsidRPr="00C47563">
        <w:rPr>
          <w:rFonts w:ascii="Times New Roman" w:hAnsi="Times New Roman" w:cs="Times New Roman"/>
          <w:sz w:val="26"/>
          <w:szCs w:val="26"/>
        </w:rPr>
        <w:t>”</w:t>
      </w:r>
      <w:r w:rsidRPr="00C47563">
        <w:rPr>
          <w:rFonts w:ascii="Times New Roman" w:hAnsi="Times New Roman" w:cs="Times New Roman"/>
          <w:sz w:val="26"/>
          <w:szCs w:val="26"/>
        </w:rPr>
        <w:t xml:space="preserve"> settlement of a base rate case in which a consumer complainant, like Mr. Culbertson, challenged adoption of a </w:t>
      </w:r>
      <w:r w:rsidR="005141C1" w:rsidRPr="00C47563">
        <w:rPr>
          <w:rFonts w:ascii="Times New Roman" w:hAnsi="Times New Roman" w:cs="Times New Roman"/>
          <w:sz w:val="26"/>
          <w:szCs w:val="26"/>
        </w:rPr>
        <w:t>“</w:t>
      </w:r>
      <w:r w:rsidRPr="00C47563">
        <w:rPr>
          <w:rFonts w:ascii="Times New Roman" w:hAnsi="Times New Roman" w:cs="Times New Roman"/>
          <w:sz w:val="26"/>
          <w:szCs w:val="26"/>
        </w:rPr>
        <w:t>black box</w:t>
      </w:r>
      <w:r w:rsidR="005141C1" w:rsidRPr="00C47563">
        <w:rPr>
          <w:rFonts w:ascii="Times New Roman" w:hAnsi="Times New Roman" w:cs="Times New Roman"/>
          <w:sz w:val="26"/>
          <w:szCs w:val="26"/>
        </w:rPr>
        <w:t>”</w:t>
      </w:r>
      <w:r w:rsidRPr="00C47563">
        <w:rPr>
          <w:rFonts w:ascii="Times New Roman" w:hAnsi="Times New Roman" w:cs="Times New Roman"/>
          <w:sz w:val="26"/>
          <w:szCs w:val="26"/>
        </w:rPr>
        <w:t xml:space="preserve"> settlement.  In that case, </w:t>
      </w:r>
      <w:r w:rsidRPr="00C47563">
        <w:rPr>
          <w:rFonts w:ascii="Times New Roman" w:hAnsi="Times New Roman" w:cs="Times New Roman"/>
          <w:i/>
          <w:iCs/>
          <w:sz w:val="26"/>
          <w:szCs w:val="26"/>
        </w:rPr>
        <w:t xml:space="preserve">UGI Utilities, </w:t>
      </w:r>
      <w:r w:rsidRPr="00C47563">
        <w:rPr>
          <w:rFonts w:ascii="Times New Roman" w:hAnsi="Times New Roman" w:cs="Times New Roman"/>
          <w:sz w:val="26"/>
          <w:szCs w:val="26"/>
        </w:rPr>
        <w:t>the complainant contended such a settlement could never be in the public interest because “it leaves no trace of the established reasons for compromise or lack thereof, essentially negating the burden of proof that is supposed to be on the utility.”</w:t>
      </w:r>
      <w:r w:rsidRPr="00C47563">
        <w:rPr>
          <w:rStyle w:val="FootnoteReference"/>
          <w:rFonts w:ascii="Times New Roman" w:hAnsi="Times New Roman" w:cs="Times New Roman"/>
          <w:sz w:val="26"/>
          <w:szCs w:val="26"/>
        </w:rPr>
        <w:footnoteReference w:id="15"/>
      </w:r>
      <w:r w:rsidRPr="00C47563">
        <w:rPr>
          <w:rFonts w:ascii="Times New Roman" w:hAnsi="Times New Roman" w:cs="Times New Roman"/>
          <w:sz w:val="26"/>
          <w:szCs w:val="26"/>
        </w:rPr>
        <w:t xml:space="preserve">  </w:t>
      </w:r>
      <w:r w:rsidRPr="00C47563">
        <w:rPr>
          <w:rFonts w:ascii="Times New Roman" w:hAnsi="Times New Roman" w:cs="Times New Roman"/>
          <w:i/>
          <w:iCs/>
          <w:sz w:val="26"/>
          <w:szCs w:val="26"/>
        </w:rPr>
        <w:t>Id.</w:t>
      </w:r>
      <w:r w:rsidRPr="00C47563">
        <w:rPr>
          <w:rFonts w:ascii="Times New Roman" w:hAnsi="Times New Roman" w:cs="Times New Roman"/>
          <w:sz w:val="26"/>
          <w:szCs w:val="26"/>
        </w:rPr>
        <w:t xml:space="preserve"> at 34. </w:t>
      </w:r>
    </w:p>
    <w:p w14:paraId="277B5EA7"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42EAEC82" w14:textId="0D98A08C" w:rsidR="00F21A2F" w:rsidRPr="00C47563" w:rsidRDefault="00F21A2F" w:rsidP="00C47563">
      <w:pPr>
        <w:pStyle w:val="FootnoteText"/>
        <w:spacing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All </w:t>
      </w:r>
      <w:r w:rsidR="00CD6A9E" w:rsidRPr="00C47563">
        <w:rPr>
          <w:rFonts w:ascii="Times New Roman" w:hAnsi="Times New Roman" w:cs="Times New Roman"/>
          <w:sz w:val="26"/>
          <w:szCs w:val="26"/>
        </w:rPr>
        <w:t>P</w:t>
      </w:r>
      <w:r w:rsidRPr="00C47563">
        <w:rPr>
          <w:rFonts w:ascii="Times New Roman" w:hAnsi="Times New Roman" w:cs="Times New Roman"/>
          <w:sz w:val="26"/>
          <w:szCs w:val="26"/>
        </w:rPr>
        <w:t xml:space="preserve">arties to the settlement in that case, as in this, provided substantial reasons in their statements supporting the settlement outlining how the settlements are achieved, how they satisfy each individual party’s interest, and why they are in the public interest.  In this case, the Settlement referred to the Parties’ substantial collective investigation through formal and informal discovery and the resulting evidentiary record consisting of multiple statements of direct, rebuttal, surrebuttal, and rejoinder testimony, and the conduct of multiple settlement discussions that culminated in an agreement to an overall rate increase, an allocation of the increase among the rate classes, and a rate design among and within the rate classes.  The Joint Petition was signed by all Parties to the litigation except two individual </w:t>
      </w:r>
      <w:r w:rsidR="003A4728" w:rsidRPr="00C47563">
        <w:rPr>
          <w:rFonts w:ascii="Times New Roman" w:hAnsi="Times New Roman" w:cs="Times New Roman"/>
          <w:sz w:val="26"/>
          <w:szCs w:val="26"/>
        </w:rPr>
        <w:t>C</w:t>
      </w:r>
      <w:r w:rsidRPr="00C47563">
        <w:rPr>
          <w:rFonts w:ascii="Times New Roman" w:hAnsi="Times New Roman" w:cs="Times New Roman"/>
          <w:sz w:val="26"/>
          <w:szCs w:val="26"/>
        </w:rPr>
        <w:t xml:space="preserve">omplainants, one of whom, Mr. Culbertson, continued his litigation.  The Settlement was also supported by nine Statements in Support representing ten parties, each of which addressed multiple issues and justified the settlement resolution.  </w:t>
      </w:r>
      <w:r w:rsidRPr="00C47563">
        <w:rPr>
          <w:rFonts w:ascii="Times New Roman" w:hAnsi="Times New Roman" w:cs="Times New Roman"/>
          <w:i/>
          <w:iCs/>
          <w:sz w:val="26"/>
          <w:szCs w:val="26"/>
        </w:rPr>
        <w:t xml:space="preserve">See </w:t>
      </w:r>
      <w:r w:rsidRPr="00C47563">
        <w:rPr>
          <w:rFonts w:ascii="Times New Roman" w:hAnsi="Times New Roman" w:cs="Times New Roman"/>
          <w:sz w:val="26"/>
          <w:szCs w:val="26"/>
        </w:rPr>
        <w:t>Joint Petition, Appendices D, E, F, G, H, I, J, K, and L (Statements in Support of Columbia, I&amp;E, OCA, OSBA, CAUSE-PA, CII, PSU, Task Force, and Shipley/RESA, respectively).</w:t>
      </w:r>
    </w:p>
    <w:p w14:paraId="498007C6" w14:textId="07460BD3"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4FB71AE2"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In his description of the Settlement, the ALJ addressed each of these issues as well as additional discrete issues stipulated to and addressed by the Parties, such as the Distribution System Improvement Charge (DSIC) and a stipulated equity return for such purposes; normalization accounting for the tax repairs deduction and the tax treatment of Section 263A mixed service costs; amortization and recovery of costs related to Blackhawk Storage, Corporate Services Other Post-Employment Benefit (OPEB) costs, pension prepayments, and COVID 19-related uncollectibles expense; a reduction to rate base for Accumulated Deferred Income Taxes; continued deferrals and deposits for certain OPEB expenses; periodic reporting to the Commission’s Bureaus of Technical Utility Services and I&amp;E, the OCA, and the OSBA of actual capital expenses, plant additions, and retirements going forward; the preservation of documentation regarding all debt issued between this and the next base rate case and the prevailing yield on U.S. utility bonds for each issuance; Columbia’s Pilot Weather Normalization Adjustment, Gas Procurement Charge, and Merchant Function Charge; Universal Service and Conservation issues including the Company’s Customer Assistance Program, Low Income Usage Reduction Program, and low-income customers’ deposits; a natural gas supplier issue addressing a collaborative to be convened in the event there are material changes to shipper responsibilities in a transmission rate case at the Federal Energy Regulatory Commission; and other proposed tariff changes not modified by the Settlement or withdrawn by the Company.  R.D. at 7-13.</w:t>
      </w:r>
    </w:p>
    <w:p w14:paraId="3E8F35C8"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0ECCB707" w14:textId="27D9BAEB" w:rsidR="00F21A2F" w:rsidRPr="00C47563" w:rsidRDefault="00F21A2F" w:rsidP="00C47563">
      <w:pPr>
        <w:spacing w:after="0" w:line="360" w:lineRule="auto"/>
        <w:ind w:firstLine="1440"/>
        <w:contextualSpacing/>
        <w:rPr>
          <w:rFonts w:ascii="Times New Roman" w:eastAsia="Times New Roman" w:hAnsi="Times New Roman" w:cs="Times New Roman"/>
          <w:i/>
          <w:iCs/>
          <w:sz w:val="26"/>
          <w:szCs w:val="26"/>
        </w:rPr>
      </w:pPr>
      <w:r w:rsidRPr="00C47563">
        <w:rPr>
          <w:rFonts w:ascii="Times New Roman" w:eastAsia="Times New Roman" w:hAnsi="Times New Roman" w:cs="Times New Roman"/>
          <w:sz w:val="26"/>
          <w:szCs w:val="26"/>
        </w:rPr>
        <w:t>The ALJ also reviewed in depth each of the nine signatory Parties’ Statements in Support and outlined the reasons asserted by each why the revenue allowance specifically and the overall settlement generally is reasonable, referring to specific expense and investment requirements related to pipeline replacement and safety and operating and maintenance expense efficiencies and savings, the relativity of the settled revenue requirement compared to the Parties’ opposing litigated positions, and the benefits of the resolution of each of the discrete issues specified above.  R.D. at 13-58.</w:t>
      </w:r>
      <w:r w:rsidR="00825A6E"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On the basis of this </w:t>
      </w:r>
      <w:r w:rsidR="00B50C41" w:rsidRPr="00C47563">
        <w:rPr>
          <w:rFonts w:ascii="Times New Roman" w:eastAsia="Times New Roman" w:hAnsi="Times New Roman" w:cs="Times New Roman"/>
          <w:sz w:val="26"/>
          <w:szCs w:val="26"/>
        </w:rPr>
        <w:t>substantial</w:t>
      </w:r>
      <w:r w:rsidR="002A2697"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 xml:space="preserve">record, the ALJ found the Settlement to be in the public interest.  As </w:t>
      </w:r>
      <w:r w:rsidR="002A2697" w:rsidRPr="00C47563">
        <w:rPr>
          <w:rFonts w:ascii="Times New Roman" w:eastAsia="Times New Roman" w:hAnsi="Times New Roman" w:cs="Times New Roman"/>
          <w:sz w:val="26"/>
          <w:szCs w:val="26"/>
        </w:rPr>
        <w:t>t</w:t>
      </w:r>
      <w:r w:rsidRPr="00C47563">
        <w:rPr>
          <w:rFonts w:ascii="Times New Roman" w:eastAsia="Times New Roman" w:hAnsi="Times New Roman" w:cs="Times New Roman"/>
          <w:sz w:val="26"/>
          <w:szCs w:val="26"/>
        </w:rPr>
        <w:t xml:space="preserve">he </w:t>
      </w:r>
      <w:r w:rsidR="003959A6" w:rsidRPr="00C47563">
        <w:rPr>
          <w:rFonts w:ascii="Times New Roman" w:eastAsia="Times New Roman" w:hAnsi="Times New Roman" w:cs="Times New Roman"/>
          <w:sz w:val="26"/>
          <w:szCs w:val="26"/>
        </w:rPr>
        <w:t xml:space="preserve">ALJ </w:t>
      </w:r>
      <w:r w:rsidRPr="00C47563">
        <w:rPr>
          <w:rFonts w:ascii="Times New Roman" w:eastAsia="Times New Roman" w:hAnsi="Times New Roman" w:cs="Times New Roman"/>
          <w:sz w:val="26"/>
          <w:szCs w:val="26"/>
        </w:rPr>
        <w:t xml:space="preserve">noted, the Settlement includes satisfaction of claims by multiple Parties representing specific customers and customer classes and other </w:t>
      </w:r>
      <w:r w:rsidR="002A2697" w:rsidRPr="00C47563">
        <w:rPr>
          <w:rFonts w:ascii="Times New Roman" w:eastAsia="Times New Roman" w:hAnsi="Times New Roman" w:cs="Times New Roman"/>
          <w:sz w:val="26"/>
          <w:szCs w:val="26"/>
        </w:rPr>
        <w:t>P</w:t>
      </w:r>
      <w:r w:rsidRPr="00C47563">
        <w:rPr>
          <w:rFonts w:ascii="Times New Roman" w:eastAsia="Times New Roman" w:hAnsi="Times New Roman" w:cs="Times New Roman"/>
          <w:sz w:val="26"/>
          <w:szCs w:val="26"/>
        </w:rPr>
        <w:t>arties with discrete interests.</w:t>
      </w:r>
      <w:r w:rsidR="006D3684" w:rsidRPr="00C47563">
        <w:rPr>
          <w:rFonts w:ascii="Times New Roman" w:eastAsia="Times New Roman" w:hAnsi="Times New Roman" w:cs="Times New Roman"/>
          <w:sz w:val="26"/>
          <w:szCs w:val="26"/>
        </w:rPr>
        <w:t xml:space="preserve">  </w:t>
      </w:r>
      <w:r w:rsidR="006D3684" w:rsidRPr="00C47563">
        <w:rPr>
          <w:rFonts w:ascii="Times New Roman" w:eastAsia="Times New Roman" w:hAnsi="Times New Roman" w:cs="Times New Roman"/>
          <w:i/>
          <w:iCs/>
          <w:sz w:val="26"/>
          <w:szCs w:val="26"/>
        </w:rPr>
        <w:t>See</w:t>
      </w:r>
      <w:r w:rsidR="006D3684" w:rsidRPr="00C47563">
        <w:rPr>
          <w:rFonts w:ascii="Times New Roman" w:eastAsia="Times New Roman" w:hAnsi="Times New Roman" w:cs="Times New Roman"/>
          <w:sz w:val="26"/>
          <w:szCs w:val="26"/>
        </w:rPr>
        <w:t xml:space="preserve"> R.D. at 62.</w:t>
      </w:r>
      <w:r w:rsidR="00875990" w:rsidRPr="00C47563">
        <w:rPr>
          <w:rFonts w:ascii="Times New Roman" w:eastAsia="Times New Roman" w:hAnsi="Times New Roman" w:cs="Times New Roman"/>
          <w:sz w:val="26"/>
          <w:szCs w:val="26"/>
        </w:rPr>
        <w:t xml:space="preserve">  </w:t>
      </w:r>
      <w:r w:rsidRPr="00C47563">
        <w:rPr>
          <w:rFonts w:ascii="Times New Roman" w:eastAsia="Times New Roman" w:hAnsi="Times New Roman" w:cs="Times New Roman"/>
          <w:sz w:val="26"/>
          <w:szCs w:val="26"/>
        </w:rPr>
        <w:t>The ALJ also note</w:t>
      </w:r>
      <w:r w:rsidR="007A1E18" w:rsidRPr="00C47563">
        <w:rPr>
          <w:rFonts w:ascii="Times New Roman" w:eastAsia="Times New Roman" w:hAnsi="Times New Roman" w:cs="Times New Roman"/>
          <w:sz w:val="26"/>
          <w:szCs w:val="26"/>
        </w:rPr>
        <w:t>d</w:t>
      </w:r>
      <w:r w:rsidRPr="00C47563">
        <w:rPr>
          <w:rFonts w:ascii="Times New Roman" w:eastAsia="Times New Roman" w:hAnsi="Times New Roman" w:cs="Times New Roman"/>
          <w:sz w:val="26"/>
          <w:szCs w:val="26"/>
        </w:rPr>
        <w:t xml:space="preserve"> the additional customer benefit that accrues through a reduced rate case expense resulting from truncation of the litigation, since this is an expense ultimately recovered through rates paid by customers.  </w:t>
      </w:r>
      <w:r w:rsidRPr="00C47563">
        <w:rPr>
          <w:rFonts w:ascii="Times New Roman" w:eastAsia="Times New Roman" w:hAnsi="Times New Roman" w:cs="Times New Roman"/>
          <w:i/>
          <w:iCs/>
          <w:sz w:val="26"/>
          <w:szCs w:val="26"/>
        </w:rPr>
        <w:t>Id.</w:t>
      </w:r>
    </w:p>
    <w:p w14:paraId="5E96510C" w14:textId="77777777" w:rsidR="00F21A2F" w:rsidRPr="00C47563" w:rsidRDefault="00F21A2F" w:rsidP="00C47563">
      <w:pPr>
        <w:spacing w:after="0" w:line="360" w:lineRule="auto"/>
        <w:contextualSpacing/>
        <w:rPr>
          <w:rFonts w:ascii="Times New Roman" w:eastAsia="Times New Roman" w:hAnsi="Times New Roman" w:cs="Times New Roman"/>
          <w:sz w:val="26"/>
          <w:szCs w:val="26"/>
        </w:rPr>
      </w:pPr>
    </w:p>
    <w:p w14:paraId="28EDB1B5" w14:textId="3B6B07EC" w:rsidR="00F21A2F" w:rsidRPr="00C47563" w:rsidRDefault="00F52DBE" w:rsidP="00C47563">
      <w:pPr>
        <w:spacing w:after="0" w:line="360" w:lineRule="auto"/>
        <w:ind w:firstLine="1440"/>
        <w:contextualSpacing/>
        <w:rPr>
          <w:rFonts w:ascii="Times New Roman" w:eastAsia="Calibri" w:hAnsi="Times New Roman" w:cs="Times New Roman"/>
          <w:color w:val="000000"/>
          <w:sz w:val="26"/>
          <w:szCs w:val="26"/>
        </w:rPr>
      </w:pPr>
      <w:r w:rsidRPr="00C47563">
        <w:rPr>
          <w:rFonts w:ascii="Times New Roman" w:eastAsia="Times New Roman" w:hAnsi="Times New Roman" w:cs="Times New Roman"/>
          <w:sz w:val="26"/>
          <w:szCs w:val="26"/>
        </w:rPr>
        <w:t xml:space="preserve">We agree with the ALJ’s conclusion that </w:t>
      </w:r>
      <w:r w:rsidR="00196CBC" w:rsidRPr="00C47563">
        <w:rPr>
          <w:rFonts w:ascii="Times New Roman" w:eastAsia="Times New Roman" w:hAnsi="Times New Roman" w:cs="Times New Roman"/>
          <w:sz w:val="26"/>
          <w:szCs w:val="26"/>
        </w:rPr>
        <w:t xml:space="preserve">the Joint Petition constitutes a “fair, just and reasonable resolution of the Commission’s investigation” and </w:t>
      </w:r>
      <w:r w:rsidR="00196DBD" w:rsidRPr="00C47563">
        <w:rPr>
          <w:rFonts w:ascii="Times New Roman" w:eastAsia="Times New Roman" w:hAnsi="Times New Roman" w:cs="Times New Roman"/>
          <w:sz w:val="26"/>
          <w:szCs w:val="26"/>
        </w:rPr>
        <w:t>is</w:t>
      </w:r>
      <w:r w:rsidR="00196CBC" w:rsidRPr="00C47563">
        <w:rPr>
          <w:rFonts w:ascii="Times New Roman" w:eastAsia="Times New Roman" w:hAnsi="Times New Roman" w:cs="Times New Roman"/>
          <w:sz w:val="26"/>
          <w:szCs w:val="26"/>
        </w:rPr>
        <w:t xml:space="preserve"> in the public interest. </w:t>
      </w:r>
      <w:r w:rsidR="00196DBD" w:rsidRPr="00C47563">
        <w:rPr>
          <w:rFonts w:ascii="Times New Roman" w:eastAsia="Times New Roman" w:hAnsi="Times New Roman" w:cs="Times New Roman"/>
          <w:sz w:val="26"/>
          <w:szCs w:val="26"/>
        </w:rPr>
        <w:t xml:space="preserve"> </w:t>
      </w:r>
      <w:r w:rsidR="00F21A2F" w:rsidRPr="00C47563">
        <w:rPr>
          <w:rFonts w:ascii="Times New Roman" w:eastAsia="Times New Roman" w:hAnsi="Times New Roman" w:cs="Times New Roman"/>
          <w:sz w:val="26"/>
          <w:szCs w:val="26"/>
        </w:rPr>
        <w:t xml:space="preserve">As we </w:t>
      </w:r>
      <w:r w:rsidR="008713E0" w:rsidRPr="00C47563">
        <w:rPr>
          <w:rFonts w:ascii="Times New Roman" w:eastAsia="Times New Roman" w:hAnsi="Times New Roman" w:cs="Times New Roman"/>
          <w:sz w:val="26"/>
          <w:szCs w:val="26"/>
        </w:rPr>
        <w:t>stated</w:t>
      </w:r>
      <w:r w:rsidR="00F21A2F" w:rsidRPr="00C47563">
        <w:rPr>
          <w:rFonts w:ascii="Times New Roman" w:eastAsia="Times New Roman" w:hAnsi="Times New Roman" w:cs="Times New Roman"/>
          <w:sz w:val="26"/>
          <w:szCs w:val="26"/>
        </w:rPr>
        <w:t xml:space="preserve"> most recently in </w:t>
      </w:r>
      <w:r w:rsidR="00F21A2F" w:rsidRPr="00C47563">
        <w:rPr>
          <w:rFonts w:ascii="Times New Roman" w:eastAsia="Times New Roman" w:hAnsi="Times New Roman" w:cs="Times New Roman"/>
          <w:i/>
          <w:iCs/>
          <w:sz w:val="26"/>
          <w:szCs w:val="26"/>
        </w:rPr>
        <w:t>UGI Electric</w:t>
      </w:r>
      <w:r w:rsidR="00F21A2F" w:rsidRPr="00C47563">
        <w:rPr>
          <w:rFonts w:ascii="Times New Roman" w:eastAsia="Times New Roman" w:hAnsi="Times New Roman" w:cs="Times New Roman"/>
          <w:sz w:val="26"/>
          <w:szCs w:val="26"/>
        </w:rPr>
        <w:t xml:space="preserve">, Commission policy encourages settlements because </w:t>
      </w:r>
      <w:r w:rsidR="00F21A2F" w:rsidRPr="00C47563">
        <w:rPr>
          <w:rFonts w:ascii="Times New Roman" w:hAnsi="Times New Roman" w:cs="Times New Roman"/>
          <w:sz w:val="26"/>
          <w:szCs w:val="26"/>
        </w:rPr>
        <w:t xml:space="preserve">“the results achieved from a negotiated settlement or stipulation, or both, in which the interested parties have had an opportunity to participate are often preferable to those achieved at the conclusion of a fully litigated proceeding.”  </w:t>
      </w:r>
      <w:r w:rsidR="00F21A2F" w:rsidRPr="00C47563">
        <w:rPr>
          <w:rFonts w:ascii="Times New Roman" w:hAnsi="Times New Roman" w:cs="Times New Roman"/>
          <w:i/>
          <w:iCs/>
          <w:sz w:val="26"/>
          <w:szCs w:val="26"/>
        </w:rPr>
        <w:t xml:space="preserve">UGI Electric </w:t>
      </w:r>
      <w:r w:rsidR="00F21A2F" w:rsidRPr="00C47563">
        <w:rPr>
          <w:rFonts w:ascii="Times New Roman" w:hAnsi="Times New Roman" w:cs="Times New Roman"/>
          <w:sz w:val="26"/>
          <w:szCs w:val="26"/>
        </w:rPr>
        <w:t xml:space="preserve">at 22, quoting 52 Pa. Code § 69.401.  </w:t>
      </w:r>
      <w:r w:rsidR="00F21A2F" w:rsidRPr="00C47563">
        <w:rPr>
          <w:rFonts w:ascii="Times New Roman" w:hAnsi="Times New Roman" w:cs="Times New Roman"/>
          <w:i/>
          <w:iCs/>
          <w:sz w:val="26"/>
          <w:szCs w:val="26"/>
        </w:rPr>
        <w:t>See also</w:t>
      </w:r>
      <w:r w:rsidR="00F21A2F" w:rsidRPr="00C47563">
        <w:rPr>
          <w:rFonts w:ascii="Times New Roman" w:hAnsi="Times New Roman" w:cs="Times New Roman"/>
          <w:sz w:val="26"/>
          <w:szCs w:val="26"/>
        </w:rPr>
        <w:t xml:space="preserve"> 52 Pa. Code § 5.231(a).</w:t>
      </w:r>
      <w:r w:rsidR="008713E0" w:rsidRPr="00C47563">
        <w:rPr>
          <w:rFonts w:ascii="Times New Roman" w:hAnsi="Times New Roman" w:cs="Times New Roman"/>
          <w:sz w:val="26"/>
          <w:szCs w:val="26"/>
        </w:rPr>
        <w:t xml:space="preserve">  </w:t>
      </w:r>
      <w:r w:rsidR="00C83318" w:rsidRPr="00C47563">
        <w:rPr>
          <w:rFonts w:ascii="Times New Roman" w:hAnsi="Times New Roman" w:cs="Times New Roman"/>
          <w:sz w:val="26"/>
          <w:szCs w:val="26"/>
        </w:rPr>
        <w:t>Moreover, a</w:t>
      </w:r>
      <w:r w:rsidR="00F21A2F" w:rsidRPr="00C47563">
        <w:rPr>
          <w:rFonts w:ascii="Times New Roman" w:hAnsi="Times New Roman" w:cs="Times New Roman"/>
          <w:sz w:val="26"/>
          <w:szCs w:val="26"/>
        </w:rPr>
        <w:t xml:space="preserve">s Columbia noted in its Replies to Mr. Culbertson’s Exceptions, </w:t>
      </w:r>
      <w:r w:rsidR="007639C3" w:rsidRPr="00C47563">
        <w:rPr>
          <w:rFonts w:ascii="Times New Roman" w:hAnsi="Times New Roman" w:cs="Times New Roman"/>
          <w:sz w:val="26"/>
          <w:szCs w:val="26"/>
        </w:rPr>
        <w:t>“</w:t>
      </w:r>
      <w:r w:rsidR="00F21A2F" w:rsidRPr="00C47563">
        <w:rPr>
          <w:rFonts w:ascii="Times New Roman" w:hAnsi="Times New Roman" w:cs="Times New Roman"/>
          <w:sz w:val="26"/>
          <w:szCs w:val="26"/>
        </w:rPr>
        <w:t>b</w:t>
      </w:r>
      <w:r w:rsidR="00F21A2F" w:rsidRPr="00C47563">
        <w:rPr>
          <w:rFonts w:ascii="Times New Roman" w:eastAsia="Times New Roman" w:hAnsi="Times New Roman" w:cs="Times New Roman"/>
          <w:sz w:val="26"/>
          <w:szCs w:val="26"/>
        </w:rPr>
        <w:t>lack box</w:t>
      </w:r>
      <w:r w:rsidR="007639C3" w:rsidRPr="00C47563">
        <w:rPr>
          <w:rFonts w:ascii="Times New Roman" w:eastAsia="Times New Roman" w:hAnsi="Times New Roman" w:cs="Times New Roman"/>
          <w:sz w:val="26"/>
          <w:szCs w:val="26"/>
        </w:rPr>
        <w:t>”</w:t>
      </w:r>
      <w:r w:rsidR="00F21A2F" w:rsidRPr="00C47563">
        <w:rPr>
          <w:rFonts w:ascii="Times New Roman" w:eastAsia="Times New Roman" w:hAnsi="Times New Roman" w:cs="Times New Roman"/>
          <w:sz w:val="26"/>
          <w:szCs w:val="26"/>
        </w:rPr>
        <w:t xml:space="preserve"> settlements can serve an important purpose in reaching consensus in rate cases</w:t>
      </w:r>
      <w:r w:rsidR="00764DF3" w:rsidRPr="00C47563">
        <w:rPr>
          <w:rFonts w:ascii="Times New Roman" w:eastAsia="Times New Roman" w:hAnsi="Times New Roman" w:cs="Times New Roman"/>
          <w:sz w:val="26"/>
          <w:szCs w:val="26"/>
        </w:rPr>
        <w:t xml:space="preserve">.  As we </w:t>
      </w:r>
      <w:r w:rsidR="004A6D18" w:rsidRPr="00C47563">
        <w:rPr>
          <w:rFonts w:ascii="Times New Roman" w:eastAsia="Times New Roman" w:hAnsi="Times New Roman" w:cs="Times New Roman"/>
          <w:sz w:val="26"/>
          <w:szCs w:val="26"/>
        </w:rPr>
        <w:t>discussed earlier, t</w:t>
      </w:r>
      <w:r w:rsidR="008713E0" w:rsidRPr="00C47563">
        <w:rPr>
          <w:rFonts w:ascii="Times New Roman" w:eastAsia="Times New Roman" w:hAnsi="Times New Roman" w:cs="Times New Roman"/>
          <w:sz w:val="26"/>
          <w:szCs w:val="26"/>
        </w:rPr>
        <w:t xml:space="preserve">his Commission has historically permitted </w:t>
      </w:r>
      <w:r w:rsidR="007639C3" w:rsidRPr="00C47563">
        <w:rPr>
          <w:rFonts w:ascii="Times New Roman" w:eastAsia="Times New Roman" w:hAnsi="Times New Roman" w:cs="Times New Roman"/>
          <w:sz w:val="26"/>
          <w:szCs w:val="26"/>
        </w:rPr>
        <w:t>“</w:t>
      </w:r>
      <w:r w:rsidR="008713E0" w:rsidRPr="00C47563">
        <w:rPr>
          <w:rFonts w:ascii="Times New Roman" w:eastAsia="Times New Roman" w:hAnsi="Times New Roman" w:cs="Times New Roman"/>
          <w:sz w:val="26"/>
          <w:szCs w:val="26"/>
        </w:rPr>
        <w:t>black box</w:t>
      </w:r>
      <w:r w:rsidR="007639C3" w:rsidRPr="00C47563">
        <w:rPr>
          <w:rFonts w:ascii="Times New Roman" w:eastAsia="Times New Roman" w:hAnsi="Times New Roman" w:cs="Times New Roman"/>
          <w:sz w:val="26"/>
          <w:szCs w:val="26"/>
        </w:rPr>
        <w:t>”</w:t>
      </w:r>
      <w:r w:rsidR="008713E0" w:rsidRPr="00C47563">
        <w:rPr>
          <w:rFonts w:ascii="Times New Roman" w:eastAsia="Times New Roman" w:hAnsi="Times New Roman" w:cs="Times New Roman"/>
          <w:sz w:val="26"/>
          <w:szCs w:val="26"/>
        </w:rPr>
        <w:t xml:space="preserve"> se</w:t>
      </w:r>
      <w:r w:rsidR="00AF71F1" w:rsidRPr="00C47563">
        <w:rPr>
          <w:rFonts w:ascii="Times New Roman" w:eastAsia="Times New Roman" w:hAnsi="Times New Roman" w:cs="Times New Roman"/>
          <w:sz w:val="26"/>
          <w:szCs w:val="26"/>
        </w:rPr>
        <w:t>ttlements as a way o</w:t>
      </w:r>
      <w:r w:rsidR="004A6D18" w:rsidRPr="00C47563">
        <w:rPr>
          <w:rFonts w:ascii="Times New Roman" w:eastAsia="Times New Roman" w:hAnsi="Times New Roman" w:cs="Times New Roman"/>
          <w:sz w:val="26"/>
          <w:szCs w:val="26"/>
        </w:rPr>
        <w:t>f</w:t>
      </w:r>
      <w:r w:rsidR="00AF71F1" w:rsidRPr="00C47563">
        <w:rPr>
          <w:rFonts w:ascii="Times New Roman" w:eastAsia="Times New Roman" w:hAnsi="Times New Roman" w:cs="Times New Roman"/>
          <w:sz w:val="26"/>
          <w:szCs w:val="26"/>
        </w:rPr>
        <w:t xml:space="preserve"> promoting </w:t>
      </w:r>
      <w:r w:rsidR="00C47BAE" w:rsidRPr="00C47563">
        <w:rPr>
          <w:rFonts w:ascii="Times New Roman" w:eastAsia="Times New Roman" w:hAnsi="Times New Roman" w:cs="Times New Roman"/>
          <w:sz w:val="26"/>
          <w:szCs w:val="26"/>
        </w:rPr>
        <w:t>consensus among the parties in contentious rate proceedings</w:t>
      </w:r>
      <w:r w:rsidR="00A85935" w:rsidRPr="00C47563">
        <w:rPr>
          <w:rFonts w:ascii="Times New Roman" w:eastAsia="Times New Roman" w:hAnsi="Times New Roman" w:cs="Times New Roman"/>
          <w:sz w:val="26"/>
          <w:szCs w:val="26"/>
        </w:rPr>
        <w:t>, because reaching an agreement on each component of a rate increase can be difficult and impractical</w:t>
      </w:r>
      <w:r w:rsidR="00C47BAE" w:rsidRPr="00C47563">
        <w:rPr>
          <w:rFonts w:ascii="Times New Roman" w:eastAsia="Times New Roman" w:hAnsi="Times New Roman" w:cs="Times New Roman"/>
          <w:sz w:val="26"/>
          <w:szCs w:val="26"/>
        </w:rPr>
        <w:t xml:space="preserve">. </w:t>
      </w:r>
      <w:r w:rsidR="00905829" w:rsidRPr="00C47563">
        <w:rPr>
          <w:rFonts w:ascii="Times New Roman" w:eastAsia="Times New Roman" w:hAnsi="Times New Roman" w:cs="Times New Roman"/>
          <w:sz w:val="26"/>
          <w:szCs w:val="26"/>
        </w:rPr>
        <w:t xml:space="preserve"> </w:t>
      </w:r>
      <w:r w:rsidR="0049483D" w:rsidRPr="00C47563">
        <w:rPr>
          <w:rFonts w:ascii="Times New Roman" w:eastAsia="Times New Roman" w:hAnsi="Times New Roman" w:cs="Times New Roman"/>
          <w:i/>
          <w:iCs/>
          <w:sz w:val="26"/>
          <w:szCs w:val="26"/>
        </w:rPr>
        <w:t>See</w:t>
      </w:r>
      <w:r w:rsidR="0049483D" w:rsidRPr="00C47563">
        <w:rPr>
          <w:rFonts w:ascii="Times New Roman" w:eastAsia="Times New Roman" w:hAnsi="Times New Roman" w:cs="Times New Roman"/>
          <w:sz w:val="26"/>
          <w:szCs w:val="26"/>
        </w:rPr>
        <w:t xml:space="preserve"> </w:t>
      </w:r>
      <w:r w:rsidR="00F21A2F" w:rsidRPr="00C47563">
        <w:rPr>
          <w:rFonts w:ascii="Times New Roman" w:hAnsi="Times New Roman" w:cs="Times New Roman"/>
          <w:i/>
          <w:color w:val="000000"/>
          <w:sz w:val="26"/>
          <w:szCs w:val="26"/>
        </w:rPr>
        <w:t xml:space="preserve">UGI Electric </w:t>
      </w:r>
      <w:r w:rsidR="00F21A2F" w:rsidRPr="00C47563">
        <w:rPr>
          <w:rFonts w:ascii="Times New Roman" w:hAnsi="Times New Roman" w:cs="Times New Roman"/>
          <w:iCs/>
          <w:color w:val="000000"/>
          <w:sz w:val="26"/>
          <w:szCs w:val="26"/>
        </w:rPr>
        <w:t xml:space="preserve">at 33 </w:t>
      </w:r>
      <w:r w:rsidR="0049483D" w:rsidRPr="00C47563">
        <w:rPr>
          <w:rFonts w:ascii="Times New Roman" w:hAnsi="Times New Roman" w:cs="Times New Roman"/>
          <w:iCs/>
          <w:color w:val="000000"/>
          <w:sz w:val="26"/>
          <w:szCs w:val="26"/>
        </w:rPr>
        <w:t>(</w:t>
      </w:r>
      <w:r w:rsidR="00F21A2F" w:rsidRPr="00C47563">
        <w:rPr>
          <w:rFonts w:ascii="Times New Roman" w:hAnsi="Times New Roman" w:cs="Times New Roman"/>
          <w:iCs/>
          <w:color w:val="000000"/>
          <w:sz w:val="26"/>
          <w:szCs w:val="26"/>
        </w:rPr>
        <w:t>quoting</w:t>
      </w:r>
      <w:r w:rsidR="00F21A2F" w:rsidRPr="00C47563">
        <w:rPr>
          <w:rFonts w:ascii="Times New Roman" w:hAnsi="Times New Roman" w:cs="Times New Roman"/>
          <w:i/>
          <w:color w:val="000000"/>
          <w:sz w:val="26"/>
          <w:szCs w:val="26"/>
        </w:rPr>
        <w:t xml:space="preserve"> </w:t>
      </w:r>
      <w:r w:rsidR="00F21A2F" w:rsidRPr="00C47563">
        <w:rPr>
          <w:rFonts w:ascii="Times New Roman" w:hAnsi="Times New Roman" w:cs="Times New Roman"/>
          <w:i/>
          <w:iCs/>
          <w:color w:val="000000"/>
          <w:sz w:val="26"/>
          <w:szCs w:val="26"/>
        </w:rPr>
        <w:t>Peoples TWP</w:t>
      </w:r>
      <w:r w:rsidR="00F21A2F" w:rsidRPr="00C47563">
        <w:rPr>
          <w:rFonts w:ascii="Times New Roman" w:hAnsi="Times New Roman" w:cs="Times New Roman"/>
          <w:color w:val="000000"/>
          <w:sz w:val="26"/>
          <w:szCs w:val="26"/>
        </w:rPr>
        <w:t xml:space="preserve"> at 28</w:t>
      </w:r>
      <w:r w:rsidR="0049483D" w:rsidRPr="00C47563">
        <w:rPr>
          <w:rFonts w:ascii="Times New Roman" w:hAnsi="Times New Roman" w:cs="Times New Roman"/>
          <w:color w:val="000000"/>
          <w:sz w:val="26"/>
          <w:szCs w:val="26"/>
        </w:rPr>
        <w:t>)</w:t>
      </w:r>
      <w:r w:rsidR="00F21A2F" w:rsidRPr="00C47563">
        <w:rPr>
          <w:rFonts w:ascii="Times New Roman" w:hAnsi="Times New Roman" w:cs="Times New Roman"/>
          <w:color w:val="000000"/>
          <w:sz w:val="26"/>
          <w:szCs w:val="26"/>
        </w:rPr>
        <w:t>; Columbia R</w:t>
      </w:r>
      <w:r w:rsidR="00052787">
        <w:rPr>
          <w:rFonts w:ascii="Times New Roman" w:hAnsi="Times New Roman" w:cs="Times New Roman"/>
          <w:color w:val="000000"/>
          <w:sz w:val="26"/>
          <w:szCs w:val="26"/>
        </w:rPr>
        <w:t>. </w:t>
      </w:r>
      <w:r w:rsidR="00F21A2F" w:rsidRPr="00C47563">
        <w:rPr>
          <w:rFonts w:ascii="Times New Roman" w:hAnsi="Times New Roman" w:cs="Times New Roman"/>
          <w:color w:val="000000"/>
          <w:sz w:val="26"/>
          <w:szCs w:val="26"/>
        </w:rPr>
        <w:t>Exc.</w:t>
      </w:r>
      <w:r w:rsidR="00052787">
        <w:rPr>
          <w:rFonts w:ascii="Times New Roman" w:hAnsi="Times New Roman" w:cs="Times New Roman"/>
          <w:color w:val="000000"/>
          <w:sz w:val="26"/>
          <w:szCs w:val="26"/>
        </w:rPr>
        <w:t> </w:t>
      </w:r>
      <w:r w:rsidR="00F21A2F" w:rsidRPr="00C47563">
        <w:rPr>
          <w:rFonts w:ascii="Times New Roman" w:hAnsi="Times New Roman" w:cs="Times New Roman"/>
          <w:color w:val="000000"/>
          <w:sz w:val="26"/>
          <w:szCs w:val="26"/>
        </w:rPr>
        <w:t>at</w:t>
      </w:r>
      <w:r w:rsidR="00C47563">
        <w:rPr>
          <w:rFonts w:ascii="Times New Roman" w:hAnsi="Times New Roman" w:cs="Times New Roman"/>
          <w:color w:val="000000"/>
          <w:sz w:val="26"/>
          <w:szCs w:val="26"/>
        </w:rPr>
        <w:t> </w:t>
      </w:r>
      <w:r w:rsidR="00F21A2F" w:rsidRPr="00C47563">
        <w:rPr>
          <w:rFonts w:ascii="Times New Roman" w:hAnsi="Times New Roman" w:cs="Times New Roman"/>
          <w:color w:val="000000"/>
          <w:sz w:val="26"/>
          <w:szCs w:val="26"/>
        </w:rPr>
        <w:t>6</w:t>
      </w:r>
      <w:r w:rsidR="00C47563">
        <w:rPr>
          <w:rFonts w:ascii="Times New Roman" w:hAnsi="Times New Roman" w:cs="Times New Roman"/>
          <w:color w:val="000000"/>
          <w:sz w:val="26"/>
          <w:szCs w:val="26"/>
        </w:rPr>
        <w:noBreakHyphen/>
      </w:r>
      <w:r w:rsidR="00F21A2F" w:rsidRPr="00C47563">
        <w:rPr>
          <w:rFonts w:ascii="Times New Roman" w:hAnsi="Times New Roman" w:cs="Times New Roman"/>
          <w:color w:val="000000"/>
          <w:sz w:val="26"/>
          <w:szCs w:val="26"/>
        </w:rPr>
        <w:t>7</w:t>
      </w:r>
      <w:r w:rsidR="00F21A2F" w:rsidRPr="00C47563">
        <w:rPr>
          <w:rFonts w:ascii="Times New Roman" w:eastAsia="Calibri" w:hAnsi="Times New Roman" w:cs="Times New Roman"/>
          <w:color w:val="000000"/>
          <w:sz w:val="26"/>
          <w:szCs w:val="26"/>
        </w:rPr>
        <w:t>.</w:t>
      </w:r>
    </w:p>
    <w:p w14:paraId="10B057A6" w14:textId="21DF73C9" w:rsidR="00F21A2F" w:rsidRPr="00C47563" w:rsidRDefault="00F21A2F"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 xml:space="preserve">Thus, based on our review of the record, the Joint Petition and attached supporting statements, and the ALJ’s Recommended Decision, we conclude that the “black box” settlement in this proceeding is in the public interest and results in just and reasonable rates, including a substantially lower rate increase than originally proposed by Columbia.  As we </w:t>
      </w:r>
      <w:r w:rsidR="00904401" w:rsidRPr="00C47563">
        <w:rPr>
          <w:rFonts w:ascii="Times New Roman" w:hAnsi="Times New Roman" w:cs="Times New Roman"/>
          <w:sz w:val="26"/>
          <w:szCs w:val="26"/>
        </w:rPr>
        <w:t>have</w:t>
      </w:r>
      <w:r w:rsidRPr="00C47563">
        <w:rPr>
          <w:rFonts w:ascii="Times New Roman" w:hAnsi="Times New Roman" w:cs="Times New Roman"/>
          <w:sz w:val="26"/>
          <w:szCs w:val="26"/>
        </w:rPr>
        <w:t xml:space="preserve"> stated:</w:t>
      </w:r>
    </w:p>
    <w:p w14:paraId="581F4170" w14:textId="77777777" w:rsidR="00F21A2F" w:rsidRPr="00C47563" w:rsidRDefault="00F21A2F" w:rsidP="00052787">
      <w:pPr>
        <w:spacing w:after="0" w:line="240" w:lineRule="auto"/>
        <w:ind w:firstLine="1440"/>
        <w:rPr>
          <w:rFonts w:ascii="Times New Roman" w:hAnsi="Times New Roman" w:cs="Times New Roman"/>
          <w:sz w:val="26"/>
          <w:szCs w:val="26"/>
        </w:rPr>
      </w:pPr>
    </w:p>
    <w:p w14:paraId="421E4020" w14:textId="77777777" w:rsidR="00F21A2F" w:rsidRPr="00C47563" w:rsidRDefault="00F21A2F" w:rsidP="00C47563">
      <w:pPr>
        <w:spacing w:after="0" w:line="240" w:lineRule="auto"/>
        <w:ind w:left="1440" w:right="1440" w:firstLine="720"/>
        <w:rPr>
          <w:rFonts w:ascii="Times New Roman" w:hAnsi="Times New Roman" w:cs="Times New Roman"/>
          <w:sz w:val="26"/>
          <w:szCs w:val="26"/>
        </w:rPr>
      </w:pPr>
      <w:r w:rsidRPr="00C47563">
        <w:rPr>
          <w:rFonts w:ascii="Times New Roman" w:hAnsi="Times New Roman" w:cs="Times New Roman"/>
          <w:sz w:val="26"/>
          <w:szCs w:val="26"/>
        </w:rPr>
        <w:t>The “public interest” to be served in this general rate increase proceeding is the welfare of the public as compared to the welfare of a private individual or company.  The Joint Petitioners are a diverse group of entities (some having a legally established responsibility) that when considered as a whole, clearly serve to represent the public interest of the community having a stake in the outcome of this case.</w:t>
      </w:r>
    </w:p>
    <w:p w14:paraId="1D8EEEAF" w14:textId="77777777" w:rsidR="00F21A2F" w:rsidRPr="00C47563" w:rsidRDefault="00F21A2F" w:rsidP="00C47563">
      <w:pPr>
        <w:spacing w:after="0" w:line="360" w:lineRule="auto"/>
        <w:rPr>
          <w:rFonts w:ascii="Times New Roman" w:hAnsi="Times New Roman" w:cs="Times New Roman"/>
          <w:sz w:val="26"/>
          <w:szCs w:val="26"/>
        </w:rPr>
      </w:pPr>
    </w:p>
    <w:p w14:paraId="0F676800" w14:textId="77777777" w:rsidR="00F21A2F" w:rsidRPr="00C47563" w:rsidRDefault="00F21A2F" w:rsidP="00C47563">
      <w:pPr>
        <w:spacing w:after="0" w:line="360" w:lineRule="auto"/>
        <w:contextualSpacing/>
        <w:rPr>
          <w:rFonts w:ascii="Times New Roman" w:hAnsi="Times New Roman" w:cs="Times New Roman"/>
          <w:sz w:val="26"/>
          <w:szCs w:val="26"/>
        </w:rPr>
      </w:pPr>
      <w:r w:rsidRPr="00C47563">
        <w:rPr>
          <w:rFonts w:ascii="Times New Roman" w:hAnsi="Times New Roman" w:cs="Times New Roman"/>
          <w:i/>
          <w:iCs/>
          <w:sz w:val="26"/>
          <w:szCs w:val="26"/>
        </w:rPr>
        <w:t xml:space="preserve">UGI Electric </w:t>
      </w:r>
      <w:r w:rsidRPr="00C47563">
        <w:rPr>
          <w:rFonts w:ascii="Times New Roman" w:hAnsi="Times New Roman" w:cs="Times New Roman"/>
          <w:sz w:val="26"/>
          <w:szCs w:val="26"/>
        </w:rPr>
        <w:t xml:space="preserve">at 39.  The fact that the settlement is described as a “black box,” meaning the parties did not stipulate precisely how each arrived at its conclusions, “does not diminish the effectiveness of the examination conducted by numerous parties having various, and in some cases antithetical, goals.”  </w:t>
      </w:r>
      <w:r w:rsidRPr="00C47563">
        <w:rPr>
          <w:rFonts w:ascii="Times New Roman" w:hAnsi="Times New Roman" w:cs="Times New Roman"/>
          <w:i/>
          <w:iCs/>
          <w:sz w:val="26"/>
          <w:szCs w:val="26"/>
        </w:rPr>
        <w:t xml:space="preserve">UGI Electric </w:t>
      </w:r>
      <w:r w:rsidRPr="00C47563">
        <w:rPr>
          <w:rFonts w:ascii="Times New Roman" w:hAnsi="Times New Roman" w:cs="Times New Roman"/>
          <w:sz w:val="26"/>
          <w:szCs w:val="26"/>
        </w:rPr>
        <w:t xml:space="preserve">at 41.  </w:t>
      </w:r>
    </w:p>
    <w:p w14:paraId="0D0D72DD" w14:textId="77777777" w:rsidR="00F21A2F" w:rsidRPr="00C47563" w:rsidRDefault="00F21A2F" w:rsidP="00C47563">
      <w:pPr>
        <w:spacing w:after="0" w:line="360" w:lineRule="auto"/>
        <w:contextualSpacing/>
        <w:rPr>
          <w:rFonts w:ascii="Times New Roman" w:hAnsi="Times New Roman" w:cs="Times New Roman"/>
          <w:sz w:val="26"/>
          <w:szCs w:val="26"/>
        </w:rPr>
      </w:pPr>
    </w:p>
    <w:p w14:paraId="57FC37DD" w14:textId="25EEE00E" w:rsidR="00F21A2F" w:rsidRDefault="00F21A2F" w:rsidP="00C47563">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There is no single path to just and reasonable rates.  Many paths can lead to the same destination.  Except for insular issues that require a specific finding,</w:t>
      </w:r>
      <w:r w:rsidRPr="00C47563">
        <w:rPr>
          <w:rStyle w:val="FootnoteReference"/>
          <w:rFonts w:ascii="Times New Roman" w:hAnsi="Times New Roman" w:cs="Times New Roman"/>
          <w:sz w:val="26"/>
          <w:szCs w:val="26"/>
        </w:rPr>
        <w:footnoteReference w:id="16"/>
      </w:r>
      <w:r w:rsidRPr="00C47563">
        <w:rPr>
          <w:rFonts w:ascii="Times New Roman" w:hAnsi="Times New Roman" w:cs="Times New Roman"/>
          <w:sz w:val="26"/>
          <w:szCs w:val="26"/>
        </w:rPr>
        <w:t xml:space="preserve"> many alternative paths can lead to a finding that the Settlement produces just and reasonable rates that are in the public interest.  However, it is characterized as a “black box” because unless an issue is resolved in a manner specifically prescribed in the settlement, how each party gets to its resolution is of no matter to the ultimate conclusion if it is supported by the record.  We find that to be the case here.  As Columbia aptly describes in its Statement in Support, the Joint Petitioners, their counsel, and experts, “have considerable experience in rate proceedings. </w:t>
      </w:r>
      <w:r w:rsidR="00692DE0" w:rsidRPr="00C47563">
        <w:rPr>
          <w:rFonts w:ascii="Times New Roman" w:hAnsi="Times New Roman" w:cs="Times New Roman"/>
          <w:sz w:val="26"/>
          <w:szCs w:val="26"/>
        </w:rPr>
        <w:t xml:space="preserve"> </w:t>
      </w:r>
      <w:r w:rsidRPr="00C47563">
        <w:rPr>
          <w:rFonts w:ascii="Times New Roman" w:hAnsi="Times New Roman" w:cs="Times New Roman"/>
          <w:sz w:val="26"/>
          <w:szCs w:val="26"/>
        </w:rPr>
        <w:t>Their knowledge, experience, and ability to evaluate the strengths and weaknesses of their litigation positions provided a strong foundation upon which to build a consensus on the settled issues</w:t>
      </w:r>
      <w:r w:rsidR="00C47563"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 The Settlement reflects a carefully balanced compromise” of each Party’s interests.  Columbia Statement in Support  at 2-3.  </w:t>
      </w:r>
    </w:p>
    <w:p w14:paraId="581650FA" w14:textId="77777777" w:rsidR="0094251F" w:rsidRPr="00C47563" w:rsidRDefault="0094251F" w:rsidP="00C47563">
      <w:pPr>
        <w:spacing w:after="0" w:line="360" w:lineRule="auto"/>
        <w:ind w:firstLine="1440"/>
        <w:contextualSpacing/>
        <w:rPr>
          <w:rFonts w:ascii="Times New Roman" w:hAnsi="Times New Roman" w:cs="Times New Roman"/>
          <w:sz w:val="26"/>
          <w:szCs w:val="26"/>
        </w:rPr>
      </w:pPr>
    </w:p>
    <w:p w14:paraId="268C896C" w14:textId="77777777" w:rsidR="00AC149B" w:rsidRPr="00C47563" w:rsidRDefault="00F21A2F" w:rsidP="00C47563">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In this manner, a “black box” settlement is generally not dissimilar to settlements in general.  Each party to a litigated matter ultimately finds reasons to agree to a settled conclusion of its issues and thereby to procure a resolution it deems satisfies its needs, even if it is not the fully litigated position on all issues the party initially advocated.  If settlements were rejected, particularly on the basis of a challenge to their descriptive name, settlements in general would become impractical because parties would not be able to agree on the specific path any settlement takes to achieve resolution.</w:t>
      </w:r>
      <w:r w:rsidRPr="00C47563">
        <w:rPr>
          <w:rStyle w:val="FootnoteReference"/>
          <w:rFonts w:ascii="Times New Roman" w:hAnsi="Times New Roman" w:cs="Times New Roman"/>
          <w:sz w:val="26"/>
          <w:szCs w:val="26"/>
        </w:rPr>
        <w:footnoteReference w:id="17"/>
      </w:r>
      <w:r w:rsidRPr="00C47563">
        <w:rPr>
          <w:rFonts w:ascii="Times New Roman" w:hAnsi="Times New Roman" w:cs="Times New Roman"/>
          <w:sz w:val="26"/>
          <w:szCs w:val="26"/>
        </w:rPr>
        <w:t xml:space="preserve">  </w:t>
      </w:r>
    </w:p>
    <w:p w14:paraId="007FBFCD" w14:textId="77777777" w:rsidR="00AC149B" w:rsidRPr="00C47563" w:rsidRDefault="00AC149B" w:rsidP="00C47563">
      <w:pPr>
        <w:spacing w:after="0" w:line="360" w:lineRule="auto"/>
        <w:ind w:firstLine="1440"/>
        <w:contextualSpacing/>
        <w:rPr>
          <w:rFonts w:ascii="Times New Roman" w:hAnsi="Times New Roman" w:cs="Times New Roman"/>
          <w:sz w:val="26"/>
          <w:szCs w:val="26"/>
        </w:rPr>
      </w:pPr>
    </w:p>
    <w:p w14:paraId="4060FE72" w14:textId="61F793DB" w:rsidR="00F21A2F" w:rsidRPr="00C47563" w:rsidRDefault="00AC149B"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hAnsi="Times New Roman" w:cs="Times New Roman"/>
          <w:sz w:val="26"/>
          <w:szCs w:val="26"/>
        </w:rPr>
        <w:t>O</w:t>
      </w:r>
      <w:r w:rsidR="00F21A2F" w:rsidRPr="00C47563">
        <w:rPr>
          <w:rFonts w:ascii="Times New Roman" w:hAnsi="Times New Roman" w:cs="Times New Roman"/>
          <w:sz w:val="26"/>
          <w:szCs w:val="26"/>
        </w:rPr>
        <w:t xml:space="preserve">n the record </w:t>
      </w:r>
      <w:r w:rsidRPr="00C47563">
        <w:rPr>
          <w:rFonts w:ascii="Times New Roman" w:hAnsi="Times New Roman" w:cs="Times New Roman"/>
          <w:sz w:val="26"/>
          <w:szCs w:val="26"/>
        </w:rPr>
        <w:t>in this proceeding</w:t>
      </w:r>
      <w:r w:rsidR="00F21A2F" w:rsidRPr="00C47563">
        <w:rPr>
          <w:rFonts w:ascii="Times New Roman" w:hAnsi="Times New Roman" w:cs="Times New Roman"/>
          <w:sz w:val="26"/>
          <w:szCs w:val="26"/>
        </w:rPr>
        <w:t xml:space="preserve">, each Party to this case believes its path is supportable.  We agree.  </w:t>
      </w:r>
      <w:r w:rsidR="00F21A2F" w:rsidRPr="00C47563">
        <w:rPr>
          <w:rFonts w:ascii="Times New Roman" w:eastAsia="Times New Roman" w:hAnsi="Times New Roman" w:cs="Times New Roman"/>
          <w:sz w:val="26"/>
          <w:szCs w:val="26"/>
        </w:rPr>
        <w:t xml:space="preserve">“The [Commission] has broad discretion in determining whether rates are reasonable” and “is vested with discretion to decide what factors it will consider in setting or evaluating a utility’s rates.”  </w:t>
      </w:r>
      <w:r w:rsidR="00F21A2F" w:rsidRPr="00C47563">
        <w:rPr>
          <w:rFonts w:ascii="Times New Roman" w:eastAsia="Times New Roman" w:hAnsi="Times New Roman" w:cs="Times New Roman"/>
          <w:i/>
          <w:iCs/>
          <w:sz w:val="26"/>
          <w:szCs w:val="26"/>
        </w:rPr>
        <w:t>Popowsky v. Pa. PUC</w:t>
      </w:r>
      <w:r w:rsidR="00F21A2F" w:rsidRPr="00C47563">
        <w:rPr>
          <w:rFonts w:ascii="Times New Roman" w:eastAsia="Times New Roman" w:hAnsi="Times New Roman" w:cs="Times New Roman"/>
          <w:sz w:val="26"/>
          <w:szCs w:val="26"/>
        </w:rPr>
        <w:t>, 683 A.2d 958, 961 (Pa.</w:t>
      </w:r>
      <w:r w:rsidR="00DA5BB2">
        <w:rPr>
          <w:rFonts w:ascii="Times New Roman" w:eastAsia="Times New Roman" w:hAnsi="Times New Roman" w:cs="Times New Roman"/>
          <w:sz w:val="26"/>
          <w:szCs w:val="26"/>
        </w:rPr>
        <w:t> </w:t>
      </w:r>
      <w:r w:rsidR="00F21A2F" w:rsidRPr="00C47563">
        <w:rPr>
          <w:rFonts w:ascii="Times New Roman" w:eastAsia="Times New Roman" w:hAnsi="Times New Roman" w:cs="Times New Roman"/>
          <w:sz w:val="26"/>
          <w:szCs w:val="26"/>
        </w:rPr>
        <w:t>Cmwlth. 1996).</w:t>
      </w:r>
      <w:r w:rsidR="00D05786" w:rsidRPr="00C47563">
        <w:rPr>
          <w:rFonts w:ascii="Times New Roman" w:eastAsia="Times New Roman" w:hAnsi="Times New Roman" w:cs="Times New Roman"/>
          <w:sz w:val="26"/>
          <w:szCs w:val="26"/>
        </w:rPr>
        <w:t xml:space="preserve">  </w:t>
      </w:r>
      <w:r w:rsidR="00F21A2F" w:rsidRPr="00C47563">
        <w:rPr>
          <w:rFonts w:ascii="Times New Roman" w:eastAsia="Times New Roman" w:hAnsi="Times New Roman" w:cs="Times New Roman"/>
          <w:sz w:val="26"/>
          <w:szCs w:val="26"/>
        </w:rPr>
        <w:t xml:space="preserve">The public interest historically considers the interests of ratepayers, investors, and the regulated community.  </w:t>
      </w:r>
      <w:r w:rsidR="00F21A2F" w:rsidRPr="00C47563">
        <w:rPr>
          <w:rFonts w:ascii="Times New Roman" w:eastAsia="Times New Roman" w:hAnsi="Times New Roman" w:cs="Times New Roman"/>
          <w:i/>
          <w:iCs/>
          <w:sz w:val="26"/>
          <w:szCs w:val="26"/>
        </w:rPr>
        <w:t>Pa. PUC v. Bell Atlantic-Pennsylvania, Inc</w:t>
      </w:r>
      <w:r w:rsidR="00F21A2F" w:rsidRPr="00C47563">
        <w:rPr>
          <w:rFonts w:ascii="Times New Roman" w:eastAsia="Times New Roman" w:hAnsi="Times New Roman" w:cs="Times New Roman"/>
          <w:sz w:val="26"/>
          <w:szCs w:val="26"/>
        </w:rPr>
        <w:t xml:space="preserve">., 1995 Pa. PUC LEXIS 193 (Order entered September 29, 1995).  Further, the ratemaking process involves </w:t>
      </w:r>
      <w:r w:rsidR="00F21A2F" w:rsidRPr="00C47563">
        <w:rPr>
          <w:rFonts w:ascii="Times New Roman" w:hAnsi="Times New Roman" w:cs="Times New Roman"/>
          <w:sz w:val="26"/>
          <w:szCs w:val="26"/>
        </w:rPr>
        <w:t>many complex and interrelated adjustments</w:t>
      </w:r>
      <w:r w:rsidR="00F21A2F" w:rsidRPr="00C47563">
        <w:rPr>
          <w:rFonts w:ascii="Times New Roman" w:eastAsia="Times New Roman" w:hAnsi="Times New Roman" w:cs="Times New Roman"/>
          <w:sz w:val="26"/>
          <w:szCs w:val="26"/>
        </w:rPr>
        <w:t xml:space="preserve"> that encompass a broad review of utility revenues, expenses, rate base, depreciation, taxes, and cost of capital.  It is neither inflexible nor absolute.</w:t>
      </w:r>
      <w:r w:rsidR="00D05786" w:rsidRPr="00C47563">
        <w:rPr>
          <w:rFonts w:ascii="Times New Roman" w:eastAsia="Times New Roman" w:hAnsi="Times New Roman" w:cs="Times New Roman"/>
          <w:sz w:val="26"/>
          <w:szCs w:val="26"/>
        </w:rPr>
        <w:t xml:space="preserve">  </w:t>
      </w:r>
      <w:r w:rsidR="00D05786" w:rsidRPr="00C47563">
        <w:rPr>
          <w:rFonts w:ascii="Times New Roman" w:eastAsia="Times New Roman" w:hAnsi="Times New Roman" w:cs="Times New Roman"/>
          <w:i/>
          <w:iCs/>
          <w:sz w:val="26"/>
          <w:szCs w:val="26"/>
        </w:rPr>
        <w:t xml:space="preserve">See </w:t>
      </w:r>
      <w:r w:rsidR="00F21A2F" w:rsidRPr="00C47563">
        <w:rPr>
          <w:rFonts w:ascii="Times New Roman" w:eastAsia="Times New Roman" w:hAnsi="Times New Roman" w:cs="Times New Roman"/>
          <w:i/>
          <w:iCs/>
          <w:sz w:val="26"/>
          <w:szCs w:val="26"/>
        </w:rPr>
        <w:t>Popowsky v. Pa. PUC</w:t>
      </w:r>
      <w:r w:rsidR="00F21A2F" w:rsidRPr="00C47563">
        <w:rPr>
          <w:rFonts w:ascii="Times New Roman" w:eastAsia="Times New Roman" w:hAnsi="Times New Roman" w:cs="Times New Roman"/>
          <w:sz w:val="26"/>
          <w:szCs w:val="26"/>
        </w:rPr>
        <w:t>, 665 A.2d 808, 812 (Pa.</w:t>
      </w:r>
      <w:r w:rsidR="00DA5BB2">
        <w:rPr>
          <w:rFonts w:ascii="Times New Roman" w:eastAsia="Times New Roman" w:hAnsi="Times New Roman" w:cs="Times New Roman"/>
          <w:sz w:val="26"/>
          <w:szCs w:val="26"/>
        </w:rPr>
        <w:t> </w:t>
      </w:r>
      <w:r w:rsidR="00F21A2F" w:rsidRPr="00C47563">
        <w:rPr>
          <w:rFonts w:ascii="Times New Roman" w:eastAsia="Times New Roman" w:hAnsi="Times New Roman" w:cs="Times New Roman"/>
          <w:sz w:val="26"/>
          <w:szCs w:val="26"/>
        </w:rPr>
        <w:t>1995) (citations omitted)</w:t>
      </w:r>
      <w:r w:rsidR="00D05786" w:rsidRPr="00C47563">
        <w:rPr>
          <w:rFonts w:ascii="Times New Roman" w:eastAsia="Times New Roman" w:hAnsi="Times New Roman" w:cs="Times New Roman"/>
          <w:sz w:val="26"/>
          <w:szCs w:val="26"/>
        </w:rPr>
        <w:t xml:space="preserve">; </w:t>
      </w:r>
      <w:r w:rsidR="00F21A2F" w:rsidRPr="00C47563">
        <w:rPr>
          <w:rFonts w:ascii="Times New Roman" w:eastAsia="Times New Roman" w:hAnsi="Times New Roman" w:cs="Times New Roman"/>
          <w:i/>
          <w:iCs/>
          <w:sz w:val="26"/>
          <w:szCs w:val="26"/>
        </w:rPr>
        <w:t xml:space="preserve">Peoples TWP </w:t>
      </w:r>
      <w:r w:rsidR="00F21A2F" w:rsidRPr="00C47563">
        <w:rPr>
          <w:rFonts w:ascii="Times New Roman" w:eastAsia="Times New Roman" w:hAnsi="Times New Roman" w:cs="Times New Roman"/>
          <w:sz w:val="26"/>
          <w:szCs w:val="26"/>
        </w:rPr>
        <w:t>at 28.  We believe the Joint Stipulation agreed to by the Parties and recommended for adoption by the ALJ satisfies the public interest and results in just and reasonable rates.  For all these reasons, Mr. Culbertson’s Exception No. 3 fails on the law.</w:t>
      </w:r>
    </w:p>
    <w:p w14:paraId="640E41FD"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12067A4E" w14:textId="43DBC5BE"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addition to denying Mr. Culbertson’s Exceptions on legal grounds, we will also deny Mr. Culbertson’s Exceptions on the factual grounds on which Mr. Culbertson bases his challenges to the ALJ’s Recommended Decision.  This is fully demonstrated in the ALJ’s disposition of Mr. Culbertson’s factual evidence in the Recommended Decision as well as in our review of the evidentiary record before us.  </w:t>
      </w:r>
    </w:p>
    <w:p w14:paraId="1D8EAB53"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2F07A5DA" w14:textId="1ABB4036"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As acknowledged by the ALJ</w:t>
      </w:r>
      <w:r w:rsidR="008E50A7" w:rsidRPr="00C47563">
        <w:rPr>
          <w:rFonts w:ascii="Times New Roman" w:eastAsia="Times New Roman" w:hAnsi="Times New Roman" w:cs="Times New Roman"/>
          <w:sz w:val="26"/>
          <w:szCs w:val="26"/>
        </w:rPr>
        <w:t xml:space="preserve"> and as addressed in our disposition of </w:t>
      </w:r>
      <w:r w:rsidR="00606825" w:rsidRPr="00C47563">
        <w:rPr>
          <w:rFonts w:ascii="Times New Roman" w:eastAsia="Times New Roman" w:hAnsi="Times New Roman" w:cs="Times New Roman"/>
          <w:sz w:val="26"/>
          <w:szCs w:val="26"/>
        </w:rPr>
        <w:t>Mr. Culbertson’s Exception No. 1</w:t>
      </w:r>
      <w:r w:rsidRPr="00C47563">
        <w:rPr>
          <w:rFonts w:ascii="Times New Roman" w:eastAsia="Times New Roman" w:hAnsi="Times New Roman" w:cs="Times New Roman"/>
          <w:sz w:val="26"/>
          <w:szCs w:val="26"/>
        </w:rPr>
        <w:t xml:space="preserve">, Mr. Culbertson fully participated in the proceeding, by, among other actions, serving discovery, producing testimony, and cross-examining witnesses.  However, the ALJ concluded that Mr. Culbertson “failed to provide substantial and legally credible evidence in support of his contentions regarding Columbia’s rates and service.”  R.D. at 59.  Most importantly, as the ALJ found, Mr. Culbertson failed on the facts “to overcome the substantial evidence of record supporting the rate increase agreed to by the Joint Petitioners in the Settlement.”  </w:t>
      </w:r>
      <w:r w:rsidRPr="00C47563">
        <w:rPr>
          <w:rFonts w:ascii="Times New Roman" w:eastAsia="Times New Roman" w:hAnsi="Times New Roman" w:cs="Times New Roman"/>
          <w:i/>
          <w:iCs/>
          <w:sz w:val="26"/>
          <w:szCs w:val="26"/>
        </w:rPr>
        <w:t>Id.</w:t>
      </w:r>
      <w:r w:rsidR="005A36F3">
        <w:rPr>
          <w:rFonts w:ascii="Times New Roman" w:eastAsia="Times New Roman" w:hAnsi="Times New Roman" w:cs="Times New Roman"/>
          <w:i/>
          <w:iCs/>
          <w:sz w:val="26"/>
          <w:szCs w:val="26"/>
        </w:rPr>
        <w:t> </w:t>
      </w:r>
      <w:r w:rsidRPr="00C47563">
        <w:rPr>
          <w:rFonts w:ascii="Times New Roman" w:eastAsia="Times New Roman" w:hAnsi="Times New Roman" w:cs="Times New Roman"/>
          <w:sz w:val="26"/>
          <w:szCs w:val="26"/>
        </w:rPr>
        <w:t>at</w:t>
      </w:r>
      <w:r w:rsidR="005A36F3">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60.</w:t>
      </w:r>
      <w:r w:rsidR="00C64B4A" w:rsidRPr="00C47563">
        <w:rPr>
          <w:rFonts w:ascii="Times New Roman" w:eastAsia="Times New Roman" w:hAnsi="Times New Roman" w:cs="Times New Roman"/>
          <w:sz w:val="26"/>
          <w:szCs w:val="26"/>
        </w:rPr>
        <w:t xml:space="preserve">  The precise factual reasons </w:t>
      </w:r>
      <w:r w:rsidR="00FC6BBA" w:rsidRPr="00C47563">
        <w:rPr>
          <w:rFonts w:ascii="Times New Roman" w:eastAsia="Times New Roman" w:hAnsi="Times New Roman" w:cs="Times New Roman"/>
          <w:sz w:val="26"/>
          <w:szCs w:val="26"/>
        </w:rPr>
        <w:t xml:space="preserve">for finding that Mr. Culbertson has </w:t>
      </w:r>
      <w:r w:rsidR="002D2ADD" w:rsidRPr="00C47563">
        <w:rPr>
          <w:rFonts w:ascii="Times New Roman" w:eastAsia="Times New Roman" w:hAnsi="Times New Roman" w:cs="Times New Roman"/>
          <w:sz w:val="26"/>
          <w:szCs w:val="26"/>
        </w:rPr>
        <w:t xml:space="preserve">not satisfied his burden of proof </w:t>
      </w:r>
      <w:r w:rsidR="00005E33" w:rsidRPr="00C47563">
        <w:rPr>
          <w:rFonts w:ascii="Times New Roman" w:eastAsia="Times New Roman" w:hAnsi="Times New Roman" w:cs="Times New Roman"/>
          <w:sz w:val="26"/>
          <w:szCs w:val="26"/>
        </w:rPr>
        <w:t xml:space="preserve">on the claims he has raised in this proceeding are addressed in our disposition of </w:t>
      </w:r>
      <w:r w:rsidR="00E62637" w:rsidRPr="00C47563">
        <w:rPr>
          <w:rFonts w:ascii="Times New Roman" w:eastAsia="Times New Roman" w:hAnsi="Times New Roman" w:cs="Times New Roman"/>
          <w:sz w:val="26"/>
          <w:szCs w:val="26"/>
        </w:rPr>
        <w:t xml:space="preserve">his Exception No. 4, below. </w:t>
      </w:r>
      <w:r w:rsidR="00C47563">
        <w:rPr>
          <w:rFonts w:ascii="Times New Roman" w:eastAsia="Times New Roman" w:hAnsi="Times New Roman" w:cs="Times New Roman"/>
          <w:sz w:val="26"/>
          <w:szCs w:val="26"/>
        </w:rPr>
        <w:t xml:space="preserve"> </w:t>
      </w:r>
    </w:p>
    <w:p w14:paraId="53726FAA" w14:textId="77777777" w:rsidR="00F21A2F" w:rsidRPr="00C47563" w:rsidRDefault="00F21A2F" w:rsidP="00C47563">
      <w:pPr>
        <w:spacing w:after="0" w:line="360" w:lineRule="auto"/>
        <w:ind w:firstLine="1440"/>
        <w:contextualSpacing/>
        <w:rPr>
          <w:rFonts w:ascii="Times New Roman" w:eastAsia="Times New Roman" w:hAnsi="Times New Roman" w:cs="Times New Roman"/>
          <w:sz w:val="26"/>
          <w:szCs w:val="26"/>
        </w:rPr>
      </w:pPr>
    </w:p>
    <w:p w14:paraId="6031B0D9" w14:textId="18F2882E" w:rsidR="00B025B7" w:rsidRPr="00C47563" w:rsidRDefault="00D04270" w:rsidP="0094251F">
      <w:pPr>
        <w:pStyle w:val="Heading4"/>
      </w:pPr>
      <w:bookmarkStart w:id="27" w:name="_Toc89253065"/>
      <w:bookmarkStart w:id="28" w:name="_Hlk84525135"/>
      <w:r w:rsidRPr="00C47563">
        <w:t>d</w:t>
      </w:r>
      <w:r w:rsidR="00752D43" w:rsidRPr="00C47563">
        <w:t>.</w:t>
      </w:r>
      <w:r w:rsidR="00752D43" w:rsidRPr="00C47563">
        <w:tab/>
      </w:r>
      <w:r w:rsidR="00067692" w:rsidRPr="00C47563">
        <w:t xml:space="preserve">Exception No. 4, </w:t>
      </w:r>
      <w:r w:rsidR="003F5A08" w:rsidRPr="00C47563">
        <w:t>Rep</w:t>
      </w:r>
      <w:r w:rsidRPr="00C47563">
        <w:t>lies</w:t>
      </w:r>
      <w:r w:rsidR="003F5A08" w:rsidRPr="00C47563">
        <w:t>, and Disposition</w:t>
      </w:r>
      <w:bookmarkEnd w:id="27"/>
      <w:r w:rsidR="003F5A08" w:rsidRPr="00C47563">
        <w:t xml:space="preserve"> </w:t>
      </w:r>
    </w:p>
    <w:bookmarkEnd w:id="28"/>
    <w:p w14:paraId="7AB8F22F" w14:textId="64634F6E" w:rsidR="003F5A08" w:rsidRPr="00C47563" w:rsidRDefault="003F5A08" w:rsidP="00C47563">
      <w:pPr>
        <w:keepNext/>
        <w:spacing w:after="0" w:line="360" w:lineRule="auto"/>
        <w:ind w:firstLine="1440"/>
        <w:contextualSpacing/>
        <w:rPr>
          <w:rFonts w:ascii="Times New Roman" w:eastAsia="Times New Roman" w:hAnsi="Times New Roman" w:cs="Times New Roman"/>
          <w:sz w:val="26"/>
          <w:szCs w:val="26"/>
        </w:rPr>
      </w:pPr>
    </w:p>
    <w:p w14:paraId="07044BE6" w14:textId="0715FA94" w:rsidR="00665A1D" w:rsidRPr="00C47563" w:rsidRDefault="00AA3399" w:rsidP="00C47563">
      <w:pPr>
        <w:keepNext/>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his Exception No. 4, Mr. Culbertson disagrees with the ALJ’s </w:t>
      </w:r>
      <w:r w:rsidR="0052011E" w:rsidRPr="00C47563">
        <w:rPr>
          <w:rFonts w:ascii="Times New Roman" w:eastAsia="Times New Roman" w:hAnsi="Times New Roman" w:cs="Times New Roman"/>
          <w:sz w:val="26"/>
          <w:szCs w:val="26"/>
        </w:rPr>
        <w:t>Conclusion of Law No. 11, which provides as follows:  “Complainant Richard C. Culbertson</w:t>
      </w:r>
      <w:r w:rsidR="004146D3" w:rsidRPr="00C47563">
        <w:rPr>
          <w:rFonts w:ascii="Times New Roman" w:eastAsia="Times New Roman" w:hAnsi="Times New Roman" w:cs="Times New Roman"/>
          <w:sz w:val="26"/>
          <w:szCs w:val="26"/>
        </w:rPr>
        <w:t xml:space="preserve"> has failed to provide substantial and legally credible evidence to support his claims</w:t>
      </w:r>
      <w:r w:rsidR="000A0ADA" w:rsidRPr="00C47563">
        <w:rPr>
          <w:rFonts w:ascii="Times New Roman" w:eastAsia="Times New Roman" w:hAnsi="Times New Roman" w:cs="Times New Roman"/>
          <w:sz w:val="26"/>
          <w:szCs w:val="26"/>
        </w:rPr>
        <w:t xml:space="preserve"> regarding Columbia’s rates and service and has therefore</w:t>
      </w:r>
      <w:r w:rsidR="000B0C30" w:rsidRPr="00C47563">
        <w:rPr>
          <w:rFonts w:ascii="Times New Roman" w:eastAsia="Times New Roman" w:hAnsi="Times New Roman" w:cs="Times New Roman"/>
          <w:sz w:val="26"/>
          <w:szCs w:val="26"/>
        </w:rPr>
        <w:t xml:space="preserve"> failed to prove his claims by a preponderance of the evidence</w:t>
      </w:r>
      <w:r w:rsidR="00833382" w:rsidRPr="00C47563">
        <w:rPr>
          <w:rFonts w:ascii="Times New Roman" w:eastAsia="Times New Roman" w:hAnsi="Times New Roman" w:cs="Times New Roman"/>
          <w:sz w:val="26"/>
          <w:szCs w:val="26"/>
        </w:rPr>
        <w:t xml:space="preserve">.”  Exc. at </w:t>
      </w:r>
      <w:r w:rsidR="007A1812" w:rsidRPr="00C47563">
        <w:rPr>
          <w:rFonts w:ascii="Times New Roman" w:eastAsia="Times New Roman" w:hAnsi="Times New Roman" w:cs="Times New Roman"/>
          <w:sz w:val="26"/>
          <w:szCs w:val="26"/>
        </w:rPr>
        <w:t xml:space="preserve">23 (citing </w:t>
      </w:r>
      <w:r w:rsidR="00833382" w:rsidRPr="00C47563">
        <w:rPr>
          <w:rFonts w:ascii="Times New Roman" w:eastAsia="Times New Roman" w:hAnsi="Times New Roman" w:cs="Times New Roman"/>
          <w:sz w:val="26"/>
          <w:szCs w:val="26"/>
        </w:rPr>
        <w:t>R.D. at 66</w:t>
      </w:r>
      <w:r w:rsidR="007A1812" w:rsidRPr="00C47563">
        <w:rPr>
          <w:rFonts w:ascii="Times New Roman" w:eastAsia="Times New Roman" w:hAnsi="Times New Roman" w:cs="Times New Roman"/>
          <w:sz w:val="26"/>
          <w:szCs w:val="26"/>
        </w:rPr>
        <w:t>)</w:t>
      </w:r>
      <w:r w:rsidR="00833382" w:rsidRPr="00C47563">
        <w:rPr>
          <w:rFonts w:ascii="Times New Roman" w:eastAsia="Times New Roman" w:hAnsi="Times New Roman" w:cs="Times New Roman"/>
          <w:sz w:val="26"/>
          <w:szCs w:val="26"/>
        </w:rPr>
        <w:t>.</w:t>
      </w:r>
      <w:r w:rsidR="00B03439" w:rsidRPr="00C47563">
        <w:rPr>
          <w:rFonts w:ascii="Times New Roman" w:eastAsia="Times New Roman" w:hAnsi="Times New Roman" w:cs="Times New Roman"/>
          <w:sz w:val="26"/>
          <w:szCs w:val="26"/>
        </w:rPr>
        <w:t xml:space="preserve">  Mr.</w:t>
      </w:r>
      <w:r w:rsidR="005A36F3">
        <w:rPr>
          <w:rFonts w:ascii="Times New Roman" w:eastAsia="Times New Roman" w:hAnsi="Times New Roman" w:cs="Times New Roman"/>
          <w:sz w:val="26"/>
          <w:szCs w:val="26"/>
        </w:rPr>
        <w:t> </w:t>
      </w:r>
      <w:r w:rsidR="00B03439" w:rsidRPr="00C47563">
        <w:rPr>
          <w:rFonts w:ascii="Times New Roman" w:eastAsia="Times New Roman" w:hAnsi="Times New Roman" w:cs="Times New Roman"/>
          <w:sz w:val="26"/>
          <w:szCs w:val="26"/>
        </w:rPr>
        <w:t xml:space="preserve">Culbertson appears to argue that he was prevented from </w:t>
      </w:r>
      <w:r w:rsidR="001802FF" w:rsidRPr="00C47563">
        <w:rPr>
          <w:rFonts w:ascii="Times New Roman" w:eastAsia="Times New Roman" w:hAnsi="Times New Roman" w:cs="Times New Roman"/>
          <w:sz w:val="26"/>
          <w:szCs w:val="26"/>
        </w:rPr>
        <w:t>presenting evidence to support his claims</w:t>
      </w:r>
      <w:r w:rsidR="00907504" w:rsidRPr="00C47563">
        <w:rPr>
          <w:rFonts w:ascii="Times New Roman" w:eastAsia="Times New Roman" w:hAnsi="Times New Roman" w:cs="Times New Roman"/>
          <w:sz w:val="26"/>
          <w:szCs w:val="26"/>
        </w:rPr>
        <w:t xml:space="preserve"> and did not have an opportunity to fully participate in the case</w:t>
      </w:r>
      <w:r w:rsidR="001802FF" w:rsidRPr="00C47563">
        <w:rPr>
          <w:rFonts w:ascii="Times New Roman" w:eastAsia="Times New Roman" w:hAnsi="Times New Roman" w:cs="Times New Roman"/>
          <w:sz w:val="26"/>
          <w:szCs w:val="26"/>
        </w:rPr>
        <w:t xml:space="preserve"> based on the ALJ’s rulings in various Interim Orders</w:t>
      </w:r>
      <w:r w:rsidR="005C66AB" w:rsidRPr="00C47563">
        <w:rPr>
          <w:rFonts w:ascii="Times New Roman" w:eastAsia="Times New Roman" w:hAnsi="Times New Roman" w:cs="Times New Roman"/>
          <w:sz w:val="26"/>
          <w:szCs w:val="26"/>
        </w:rPr>
        <w:t xml:space="preserve">, </w:t>
      </w:r>
      <w:r w:rsidR="00C14C64" w:rsidRPr="00C47563">
        <w:rPr>
          <w:rFonts w:ascii="Times New Roman" w:eastAsia="Times New Roman" w:hAnsi="Times New Roman" w:cs="Times New Roman"/>
          <w:sz w:val="26"/>
          <w:szCs w:val="26"/>
        </w:rPr>
        <w:t>most</w:t>
      </w:r>
      <w:r w:rsidR="00947CBD" w:rsidRPr="00C47563">
        <w:rPr>
          <w:rFonts w:ascii="Times New Roman" w:eastAsia="Times New Roman" w:hAnsi="Times New Roman" w:cs="Times New Roman"/>
          <w:sz w:val="26"/>
          <w:szCs w:val="26"/>
        </w:rPr>
        <w:t xml:space="preserve"> of which are</w:t>
      </w:r>
      <w:r w:rsidR="00C14C64" w:rsidRPr="00C47563">
        <w:rPr>
          <w:rFonts w:ascii="Times New Roman" w:eastAsia="Times New Roman" w:hAnsi="Times New Roman" w:cs="Times New Roman"/>
          <w:sz w:val="26"/>
          <w:szCs w:val="26"/>
        </w:rPr>
        <w:t xml:space="preserve"> Orders denying his motions to compel discovery</w:t>
      </w:r>
      <w:r w:rsidR="005E0614" w:rsidRPr="00C47563">
        <w:rPr>
          <w:rFonts w:ascii="Times New Roman" w:eastAsia="Times New Roman" w:hAnsi="Times New Roman" w:cs="Times New Roman"/>
          <w:sz w:val="26"/>
          <w:szCs w:val="26"/>
        </w:rPr>
        <w:t xml:space="preserve">.  </w:t>
      </w:r>
      <w:r w:rsidR="004E3A4A" w:rsidRPr="00C47563">
        <w:rPr>
          <w:rFonts w:ascii="Times New Roman" w:eastAsia="Times New Roman" w:hAnsi="Times New Roman" w:cs="Times New Roman"/>
          <w:sz w:val="26"/>
          <w:szCs w:val="26"/>
        </w:rPr>
        <w:t xml:space="preserve">Exc. at 24.  </w:t>
      </w:r>
      <w:r w:rsidR="00224711" w:rsidRPr="00C47563">
        <w:rPr>
          <w:rFonts w:ascii="Times New Roman" w:eastAsia="Times New Roman" w:hAnsi="Times New Roman" w:cs="Times New Roman"/>
          <w:sz w:val="26"/>
          <w:szCs w:val="26"/>
        </w:rPr>
        <w:t>Mr. Culbertson also believes the ALJ’s consolidation of the formal complaints</w:t>
      </w:r>
      <w:r w:rsidR="00E41F5B" w:rsidRPr="00C47563">
        <w:rPr>
          <w:rFonts w:ascii="Times New Roman" w:eastAsia="Times New Roman" w:hAnsi="Times New Roman" w:cs="Times New Roman"/>
          <w:sz w:val="26"/>
          <w:szCs w:val="26"/>
        </w:rPr>
        <w:t xml:space="preserve"> in this proceeding deprived his </w:t>
      </w:r>
      <w:r w:rsidR="00C82BCF" w:rsidRPr="00C47563">
        <w:rPr>
          <w:rFonts w:ascii="Times New Roman" w:eastAsia="Times New Roman" w:hAnsi="Times New Roman" w:cs="Times New Roman"/>
          <w:sz w:val="26"/>
          <w:szCs w:val="26"/>
        </w:rPr>
        <w:t xml:space="preserve">Rate </w:t>
      </w:r>
      <w:r w:rsidR="00EE1124" w:rsidRPr="00C47563">
        <w:rPr>
          <w:rFonts w:ascii="Times New Roman" w:eastAsia="Times New Roman" w:hAnsi="Times New Roman" w:cs="Times New Roman"/>
          <w:sz w:val="26"/>
          <w:szCs w:val="26"/>
        </w:rPr>
        <w:t>C</w:t>
      </w:r>
      <w:r w:rsidR="00E41F5B" w:rsidRPr="00C47563">
        <w:rPr>
          <w:rFonts w:ascii="Times New Roman" w:eastAsia="Times New Roman" w:hAnsi="Times New Roman" w:cs="Times New Roman"/>
          <w:sz w:val="26"/>
          <w:szCs w:val="26"/>
        </w:rPr>
        <w:t xml:space="preserve">omplaint from receiving </w:t>
      </w:r>
      <w:r w:rsidR="000F06E7" w:rsidRPr="00C47563">
        <w:rPr>
          <w:rFonts w:ascii="Times New Roman" w:eastAsia="Times New Roman" w:hAnsi="Times New Roman" w:cs="Times New Roman"/>
          <w:sz w:val="26"/>
          <w:szCs w:val="26"/>
        </w:rPr>
        <w:t>full, individual consideration.</w:t>
      </w:r>
      <w:r w:rsidR="00E41F5B" w:rsidRPr="00C47563">
        <w:rPr>
          <w:rFonts w:ascii="Times New Roman" w:eastAsia="Times New Roman" w:hAnsi="Times New Roman" w:cs="Times New Roman"/>
          <w:sz w:val="26"/>
          <w:szCs w:val="26"/>
        </w:rPr>
        <w:t xml:space="preserve"> </w:t>
      </w:r>
      <w:r w:rsidR="000F06E7" w:rsidRPr="00C47563">
        <w:rPr>
          <w:rFonts w:ascii="Times New Roman" w:eastAsia="Times New Roman" w:hAnsi="Times New Roman" w:cs="Times New Roman"/>
          <w:sz w:val="26"/>
          <w:szCs w:val="26"/>
        </w:rPr>
        <w:t xml:space="preserve"> </w:t>
      </w:r>
      <w:r w:rsidR="004E3A4A" w:rsidRPr="00C47563">
        <w:rPr>
          <w:rFonts w:ascii="Times New Roman" w:eastAsia="Times New Roman" w:hAnsi="Times New Roman" w:cs="Times New Roman"/>
          <w:i/>
          <w:iCs/>
          <w:sz w:val="26"/>
          <w:szCs w:val="26"/>
        </w:rPr>
        <w:t>Id</w:t>
      </w:r>
      <w:r w:rsidR="004E3A4A" w:rsidRPr="00C47563">
        <w:rPr>
          <w:rFonts w:ascii="Times New Roman" w:eastAsia="Times New Roman" w:hAnsi="Times New Roman" w:cs="Times New Roman"/>
          <w:sz w:val="26"/>
          <w:szCs w:val="26"/>
        </w:rPr>
        <w:t>.</w:t>
      </w:r>
      <w:r w:rsidR="002A1D42" w:rsidRPr="00C47563">
        <w:rPr>
          <w:rFonts w:ascii="Times New Roman" w:eastAsia="Times New Roman" w:hAnsi="Times New Roman" w:cs="Times New Roman"/>
          <w:sz w:val="26"/>
          <w:szCs w:val="26"/>
        </w:rPr>
        <w:t xml:space="preserve"> at 25.  </w:t>
      </w:r>
      <w:r w:rsidR="00F60D30" w:rsidRPr="00C47563">
        <w:rPr>
          <w:rFonts w:ascii="Times New Roman" w:eastAsia="Times New Roman" w:hAnsi="Times New Roman" w:cs="Times New Roman"/>
          <w:sz w:val="26"/>
          <w:szCs w:val="26"/>
        </w:rPr>
        <w:t xml:space="preserve">Further, Mr. Culbertson argues that </w:t>
      </w:r>
      <w:r w:rsidR="00535A1D" w:rsidRPr="00C47563">
        <w:rPr>
          <w:rFonts w:ascii="Times New Roman" w:eastAsia="Times New Roman" w:hAnsi="Times New Roman" w:cs="Times New Roman"/>
          <w:sz w:val="26"/>
          <w:szCs w:val="26"/>
        </w:rPr>
        <w:t xml:space="preserve">the ALJ should not have granted Columbia a Protective Order on the grounds that </w:t>
      </w:r>
      <w:r w:rsidR="00665A1D" w:rsidRPr="00C47563">
        <w:rPr>
          <w:rFonts w:ascii="Times New Roman" w:eastAsia="Times New Roman" w:hAnsi="Times New Roman" w:cs="Times New Roman"/>
          <w:sz w:val="26"/>
          <w:szCs w:val="26"/>
        </w:rPr>
        <w:t xml:space="preserve">most matters in this rate proceeding should be subject to public scrutiny.  </w:t>
      </w:r>
      <w:r w:rsidR="00E1267A" w:rsidRPr="00C47563">
        <w:rPr>
          <w:rFonts w:ascii="Times New Roman" w:eastAsia="Times New Roman" w:hAnsi="Times New Roman" w:cs="Times New Roman"/>
          <w:i/>
          <w:iCs/>
          <w:sz w:val="26"/>
          <w:szCs w:val="26"/>
        </w:rPr>
        <w:t>Id</w:t>
      </w:r>
      <w:r w:rsidR="00E1267A" w:rsidRPr="00C47563">
        <w:rPr>
          <w:rFonts w:ascii="Times New Roman" w:eastAsia="Times New Roman" w:hAnsi="Times New Roman" w:cs="Times New Roman"/>
          <w:sz w:val="26"/>
          <w:szCs w:val="26"/>
        </w:rPr>
        <w:t>.</w:t>
      </w:r>
      <w:r w:rsidR="00665A1D" w:rsidRPr="00C47563">
        <w:rPr>
          <w:rFonts w:ascii="Times New Roman" w:eastAsia="Times New Roman" w:hAnsi="Times New Roman" w:cs="Times New Roman"/>
          <w:sz w:val="26"/>
          <w:szCs w:val="26"/>
        </w:rPr>
        <w:t xml:space="preserve"> at 26</w:t>
      </w:r>
      <w:r w:rsidR="000A2B23" w:rsidRPr="00C47563">
        <w:rPr>
          <w:rFonts w:ascii="Times New Roman" w:eastAsia="Times New Roman" w:hAnsi="Times New Roman" w:cs="Times New Roman"/>
          <w:sz w:val="26"/>
          <w:szCs w:val="26"/>
        </w:rPr>
        <w:t>-</w:t>
      </w:r>
      <w:r w:rsidR="00E1267A" w:rsidRPr="00C47563">
        <w:rPr>
          <w:rFonts w:ascii="Times New Roman" w:eastAsia="Times New Roman" w:hAnsi="Times New Roman" w:cs="Times New Roman"/>
          <w:sz w:val="26"/>
          <w:szCs w:val="26"/>
        </w:rPr>
        <w:t>27.</w:t>
      </w:r>
      <w:r w:rsidR="00C47563">
        <w:rPr>
          <w:rFonts w:ascii="Times New Roman" w:eastAsia="Times New Roman" w:hAnsi="Times New Roman" w:cs="Times New Roman"/>
          <w:sz w:val="26"/>
          <w:szCs w:val="26"/>
        </w:rPr>
        <w:t xml:space="preserve">  </w:t>
      </w:r>
    </w:p>
    <w:p w14:paraId="1C9B9A3D" w14:textId="77777777" w:rsidR="00665A1D" w:rsidRPr="00C47563" w:rsidRDefault="00665A1D" w:rsidP="0094251F">
      <w:pPr>
        <w:spacing w:after="0" w:line="360" w:lineRule="auto"/>
        <w:ind w:firstLine="1440"/>
        <w:contextualSpacing/>
        <w:rPr>
          <w:rFonts w:ascii="Times New Roman" w:eastAsia="Times New Roman" w:hAnsi="Times New Roman" w:cs="Times New Roman"/>
          <w:sz w:val="26"/>
          <w:szCs w:val="26"/>
        </w:rPr>
      </w:pPr>
    </w:p>
    <w:p w14:paraId="62E9B633" w14:textId="56400CDE" w:rsidR="00844033" w:rsidRPr="00C47563" w:rsidRDefault="00AC74F5" w:rsidP="0094251F">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support of his arguments, </w:t>
      </w:r>
      <w:r w:rsidR="005E0614" w:rsidRPr="00C47563">
        <w:rPr>
          <w:rFonts w:ascii="Times New Roman" w:eastAsia="Times New Roman" w:hAnsi="Times New Roman" w:cs="Times New Roman"/>
          <w:sz w:val="26"/>
          <w:szCs w:val="26"/>
        </w:rPr>
        <w:t>Mr. Culbertson cites to the following Interim Orders:</w:t>
      </w:r>
      <w:r w:rsidR="006A72DD" w:rsidRPr="00C47563">
        <w:rPr>
          <w:rFonts w:ascii="Times New Roman" w:eastAsia="Times New Roman" w:hAnsi="Times New Roman" w:cs="Times New Roman"/>
          <w:sz w:val="26"/>
          <w:szCs w:val="26"/>
        </w:rPr>
        <w:t xml:space="preserve"> </w:t>
      </w:r>
      <w:r w:rsidR="00696E18" w:rsidRPr="00C47563">
        <w:rPr>
          <w:rFonts w:ascii="Times New Roman" w:eastAsia="Times New Roman" w:hAnsi="Times New Roman" w:cs="Times New Roman"/>
          <w:sz w:val="26"/>
          <w:szCs w:val="26"/>
        </w:rPr>
        <w:t xml:space="preserve"> </w:t>
      </w:r>
      <w:r w:rsidR="006A72DD" w:rsidRPr="00C47563">
        <w:rPr>
          <w:rFonts w:ascii="Times New Roman" w:eastAsia="Times New Roman" w:hAnsi="Times New Roman" w:cs="Times New Roman"/>
          <w:sz w:val="26"/>
          <w:szCs w:val="26"/>
        </w:rPr>
        <w:t xml:space="preserve">First Interim Order </w:t>
      </w:r>
      <w:r w:rsidR="00E1783D" w:rsidRPr="00C47563">
        <w:rPr>
          <w:rFonts w:ascii="Times New Roman" w:eastAsia="Times New Roman" w:hAnsi="Times New Roman" w:cs="Times New Roman"/>
          <w:sz w:val="26"/>
          <w:szCs w:val="26"/>
        </w:rPr>
        <w:t xml:space="preserve">dated June 25, </w:t>
      </w:r>
      <w:r w:rsidR="00FF6085" w:rsidRPr="00C47563">
        <w:rPr>
          <w:rFonts w:ascii="Times New Roman" w:eastAsia="Times New Roman" w:hAnsi="Times New Roman" w:cs="Times New Roman"/>
          <w:sz w:val="26"/>
          <w:szCs w:val="26"/>
        </w:rPr>
        <w:t xml:space="preserve">2021 </w:t>
      </w:r>
      <w:r w:rsidR="006A72DD" w:rsidRPr="00C47563">
        <w:rPr>
          <w:rFonts w:ascii="Times New Roman" w:eastAsia="Times New Roman" w:hAnsi="Times New Roman" w:cs="Times New Roman"/>
          <w:sz w:val="26"/>
          <w:szCs w:val="26"/>
        </w:rPr>
        <w:t>(</w:t>
      </w:r>
      <w:r w:rsidR="006C6633" w:rsidRPr="00C47563">
        <w:rPr>
          <w:rFonts w:ascii="Times New Roman" w:eastAsia="Times New Roman" w:hAnsi="Times New Roman" w:cs="Times New Roman"/>
          <w:sz w:val="26"/>
          <w:szCs w:val="26"/>
        </w:rPr>
        <w:t xml:space="preserve">granting, in part, and denying, in part, Mr. Culbertson’s Motion to </w:t>
      </w:r>
      <w:r w:rsidR="000D7F53" w:rsidRPr="00C47563">
        <w:rPr>
          <w:rFonts w:ascii="Times New Roman" w:eastAsia="Times New Roman" w:hAnsi="Times New Roman" w:cs="Times New Roman"/>
          <w:sz w:val="26"/>
          <w:szCs w:val="26"/>
        </w:rPr>
        <w:t xml:space="preserve">Compel Discovery); </w:t>
      </w:r>
      <w:r w:rsidR="00D42B7F" w:rsidRPr="00C47563">
        <w:rPr>
          <w:rFonts w:ascii="Times New Roman" w:eastAsia="Times New Roman" w:hAnsi="Times New Roman" w:cs="Times New Roman"/>
          <w:sz w:val="26"/>
          <w:szCs w:val="26"/>
        </w:rPr>
        <w:t>Second Interim Order dated June</w:t>
      </w:r>
      <w:r w:rsidR="005A36F3">
        <w:rPr>
          <w:rFonts w:ascii="Times New Roman" w:eastAsia="Times New Roman" w:hAnsi="Times New Roman" w:cs="Times New Roman"/>
          <w:sz w:val="26"/>
          <w:szCs w:val="26"/>
        </w:rPr>
        <w:t> </w:t>
      </w:r>
      <w:r w:rsidR="00D42B7F" w:rsidRPr="00C47563">
        <w:rPr>
          <w:rFonts w:ascii="Times New Roman" w:eastAsia="Times New Roman" w:hAnsi="Times New Roman" w:cs="Times New Roman"/>
          <w:sz w:val="26"/>
          <w:szCs w:val="26"/>
        </w:rPr>
        <w:t>30,</w:t>
      </w:r>
      <w:r w:rsidR="005A36F3">
        <w:rPr>
          <w:rFonts w:ascii="Times New Roman" w:eastAsia="Times New Roman" w:hAnsi="Times New Roman" w:cs="Times New Roman"/>
          <w:sz w:val="26"/>
          <w:szCs w:val="26"/>
        </w:rPr>
        <w:t> </w:t>
      </w:r>
      <w:r w:rsidR="00D42B7F" w:rsidRPr="00C47563">
        <w:rPr>
          <w:rFonts w:ascii="Times New Roman" w:eastAsia="Times New Roman" w:hAnsi="Times New Roman" w:cs="Times New Roman"/>
          <w:sz w:val="26"/>
          <w:szCs w:val="26"/>
        </w:rPr>
        <w:t>2021</w:t>
      </w:r>
      <w:r w:rsidR="00F81BCD" w:rsidRPr="00C47563">
        <w:rPr>
          <w:rFonts w:ascii="Times New Roman" w:eastAsia="Times New Roman" w:hAnsi="Times New Roman" w:cs="Times New Roman"/>
          <w:sz w:val="26"/>
          <w:szCs w:val="26"/>
        </w:rPr>
        <w:t xml:space="preserve"> (denying </w:t>
      </w:r>
      <w:bookmarkStart w:id="29" w:name="_Hlk86760067"/>
      <w:bookmarkStart w:id="30" w:name="_Hlk86759322"/>
      <w:r w:rsidR="00E06A9A" w:rsidRPr="00C47563">
        <w:rPr>
          <w:rFonts w:ascii="Times New Roman" w:eastAsia="Times New Roman" w:hAnsi="Times New Roman" w:cs="Times New Roman"/>
          <w:sz w:val="26"/>
          <w:szCs w:val="26"/>
        </w:rPr>
        <w:t xml:space="preserve">Mr. Culbertson’s </w:t>
      </w:r>
      <w:r w:rsidR="00E82471" w:rsidRPr="00C47563">
        <w:rPr>
          <w:rFonts w:ascii="Times New Roman" w:eastAsia="Times New Roman" w:hAnsi="Times New Roman" w:cs="Times New Roman"/>
          <w:sz w:val="26"/>
          <w:szCs w:val="26"/>
        </w:rPr>
        <w:t xml:space="preserve">Second </w:t>
      </w:r>
      <w:r w:rsidR="00E06A9A" w:rsidRPr="00C47563">
        <w:rPr>
          <w:rFonts w:ascii="Times New Roman" w:eastAsia="Times New Roman" w:hAnsi="Times New Roman" w:cs="Times New Roman"/>
          <w:sz w:val="26"/>
          <w:szCs w:val="26"/>
        </w:rPr>
        <w:t>Motion to Compel Discovery</w:t>
      </w:r>
      <w:bookmarkEnd w:id="29"/>
      <w:r w:rsidR="00E82471" w:rsidRPr="00C47563">
        <w:rPr>
          <w:rFonts w:ascii="Times New Roman" w:eastAsia="Times New Roman" w:hAnsi="Times New Roman" w:cs="Times New Roman"/>
          <w:sz w:val="26"/>
          <w:szCs w:val="26"/>
        </w:rPr>
        <w:t>)</w:t>
      </w:r>
      <w:bookmarkEnd w:id="30"/>
      <w:r w:rsidR="00E82471" w:rsidRPr="00C47563">
        <w:rPr>
          <w:rFonts w:ascii="Times New Roman" w:eastAsia="Times New Roman" w:hAnsi="Times New Roman" w:cs="Times New Roman"/>
          <w:sz w:val="26"/>
          <w:szCs w:val="26"/>
        </w:rPr>
        <w:t xml:space="preserve">; </w:t>
      </w:r>
      <w:r w:rsidR="000A699E" w:rsidRPr="00C47563">
        <w:rPr>
          <w:rFonts w:ascii="Times New Roman" w:eastAsia="Times New Roman" w:hAnsi="Times New Roman" w:cs="Times New Roman"/>
          <w:sz w:val="26"/>
          <w:szCs w:val="26"/>
        </w:rPr>
        <w:t xml:space="preserve">Third Interim Order dated </w:t>
      </w:r>
      <w:r w:rsidR="00AC3734" w:rsidRPr="00C47563">
        <w:rPr>
          <w:rFonts w:ascii="Times New Roman" w:eastAsia="Times New Roman" w:hAnsi="Times New Roman" w:cs="Times New Roman"/>
          <w:sz w:val="26"/>
          <w:szCs w:val="26"/>
        </w:rPr>
        <w:t xml:space="preserve">July 20, 2021 (denying Mr. Culbertson’s Third Motion to Compel Discovery); </w:t>
      </w:r>
      <w:r w:rsidR="00B54845" w:rsidRPr="00C47563">
        <w:rPr>
          <w:rFonts w:ascii="Times New Roman" w:eastAsia="Times New Roman" w:hAnsi="Times New Roman" w:cs="Times New Roman"/>
          <w:sz w:val="26"/>
          <w:szCs w:val="26"/>
        </w:rPr>
        <w:t xml:space="preserve">Fourth Interim Order dated </w:t>
      </w:r>
      <w:r w:rsidR="00CA70F4" w:rsidRPr="00C47563">
        <w:rPr>
          <w:rFonts w:ascii="Times New Roman" w:eastAsia="Times New Roman" w:hAnsi="Times New Roman" w:cs="Times New Roman"/>
          <w:sz w:val="26"/>
          <w:szCs w:val="26"/>
        </w:rPr>
        <w:t xml:space="preserve">July 23, 2021 (consolidating the formal complaints in this proceeding for </w:t>
      </w:r>
      <w:r w:rsidR="00085A13" w:rsidRPr="00C47563">
        <w:rPr>
          <w:rFonts w:ascii="Times New Roman" w:eastAsia="Times New Roman" w:hAnsi="Times New Roman" w:cs="Times New Roman"/>
          <w:sz w:val="26"/>
          <w:szCs w:val="26"/>
        </w:rPr>
        <w:t>evidentiary hearings and disposition);</w:t>
      </w:r>
      <w:r w:rsidR="00727040" w:rsidRPr="00C47563">
        <w:rPr>
          <w:rFonts w:ascii="Times New Roman" w:eastAsia="Times New Roman" w:hAnsi="Times New Roman" w:cs="Times New Roman"/>
          <w:sz w:val="26"/>
          <w:szCs w:val="26"/>
        </w:rPr>
        <w:t xml:space="preserve"> Fifth Interim Order dated</w:t>
      </w:r>
      <w:r w:rsidR="004F3B65" w:rsidRPr="00C47563">
        <w:rPr>
          <w:rFonts w:ascii="Times New Roman" w:eastAsia="Times New Roman" w:hAnsi="Times New Roman" w:cs="Times New Roman"/>
          <w:sz w:val="26"/>
          <w:szCs w:val="26"/>
        </w:rPr>
        <w:t xml:space="preserve"> July 27, 2021 (denying Mr. Culbertson’s </w:t>
      </w:r>
      <w:r w:rsidR="004C6E94" w:rsidRPr="00C47563">
        <w:rPr>
          <w:rFonts w:ascii="Times New Roman" w:eastAsia="Times New Roman" w:hAnsi="Times New Roman" w:cs="Times New Roman"/>
          <w:sz w:val="26"/>
          <w:szCs w:val="26"/>
        </w:rPr>
        <w:t>Fourth</w:t>
      </w:r>
      <w:r w:rsidR="004F3B65" w:rsidRPr="00C47563">
        <w:rPr>
          <w:rFonts w:ascii="Times New Roman" w:eastAsia="Times New Roman" w:hAnsi="Times New Roman" w:cs="Times New Roman"/>
          <w:sz w:val="26"/>
          <w:szCs w:val="26"/>
        </w:rPr>
        <w:t xml:space="preserve"> Motion to Compel Discovery</w:t>
      </w:r>
      <w:r w:rsidR="00696E18" w:rsidRPr="00C47563">
        <w:rPr>
          <w:rFonts w:ascii="Times New Roman" w:eastAsia="Times New Roman" w:hAnsi="Times New Roman" w:cs="Times New Roman"/>
          <w:sz w:val="26"/>
          <w:szCs w:val="26"/>
        </w:rPr>
        <w:t>)</w:t>
      </w:r>
      <w:r w:rsidR="004C6E94" w:rsidRPr="00C47563">
        <w:rPr>
          <w:rFonts w:ascii="Times New Roman" w:eastAsia="Times New Roman" w:hAnsi="Times New Roman" w:cs="Times New Roman"/>
          <w:sz w:val="26"/>
          <w:szCs w:val="26"/>
        </w:rPr>
        <w:t xml:space="preserve">; </w:t>
      </w:r>
      <w:r w:rsidR="003D6573" w:rsidRPr="00C47563">
        <w:rPr>
          <w:rFonts w:ascii="Times New Roman" w:eastAsia="Times New Roman" w:hAnsi="Times New Roman" w:cs="Times New Roman"/>
          <w:sz w:val="26"/>
          <w:szCs w:val="26"/>
        </w:rPr>
        <w:t xml:space="preserve">Sixth Interim Order </w:t>
      </w:r>
      <w:r w:rsidR="00907504" w:rsidRPr="00C47563">
        <w:rPr>
          <w:rFonts w:ascii="Times New Roman" w:eastAsia="Times New Roman" w:hAnsi="Times New Roman" w:cs="Times New Roman"/>
          <w:sz w:val="26"/>
          <w:szCs w:val="26"/>
        </w:rPr>
        <w:t xml:space="preserve">dated </w:t>
      </w:r>
      <w:r w:rsidR="00211EC0" w:rsidRPr="00C47563">
        <w:rPr>
          <w:rFonts w:ascii="Times New Roman" w:eastAsia="Times New Roman" w:hAnsi="Times New Roman" w:cs="Times New Roman"/>
          <w:sz w:val="26"/>
          <w:szCs w:val="26"/>
        </w:rPr>
        <w:t xml:space="preserve">July 28, 2021 </w:t>
      </w:r>
      <w:r w:rsidR="003D6573" w:rsidRPr="00C47563">
        <w:rPr>
          <w:rFonts w:ascii="Times New Roman" w:eastAsia="Times New Roman" w:hAnsi="Times New Roman" w:cs="Times New Roman"/>
          <w:sz w:val="26"/>
          <w:szCs w:val="26"/>
        </w:rPr>
        <w:t>(</w:t>
      </w:r>
      <w:r w:rsidR="00F53840" w:rsidRPr="00C47563">
        <w:rPr>
          <w:rFonts w:ascii="Times New Roman" w:eastAsia="Times New Roman" w:hAnsi="Times New Roman" w:cs="Times New Roman"/>
          <w:sz w:val="26"/>
          <w:szCs w:val="26"/>
        </w:rPr>
        <w:t xml:space="preserve">requiring responses to Columbia’s Motion for a </w:t>
      </w:r>
      <w:r w:rsidR="00F2624A" w:rsidRPr="00C47563">
        <w:rPr>
          <w:rFonts w:ascii="Times New Roman" w:eastAsia="Times New Roman" w:hAnsi="Times New Roman" w:cs="Times New Roman"/>
          <w:sz w:val="26"/>
          <w:szCs w:val="26"/>
        </w:rPr>
        <w:t>Protective Order by July 30, 2021);</w:t>
      </w:r>
      <w:r w:rsidR="00211EC0" w:rsidRPr="00C47563">
        <w:rPr>
          <w:rFonts w:ascii="Times New Roman" w:eastAsia="Times New Roman" w:hAnsi="Times New Roman" w:cs="Times New Roman"/>
          <w:sz w:val="26"/>
          <w:szCs w:val="26"/>
        </w:rPr>
        <w:t xml:space="preserve"> Seventh Interim Order dated </w:t>
      </w:r>
      <w:r w:rsidR="00CA3B16" w:rsidRPr="00C47563">
        <w:rPr>
          <w:rFonts w:ascii="Times New Roman" w:eastAsia="Times New Roman" w:hAnsi="Times New Roman" w:cs="Times New Roman"/>
          <w:sz w:val="26"/>
          <w:szCs w:val="26"/>
        </w:rPr>
        <w:t>July</w:t>
      </w:r>
      <w:r w:rsidR="005A36F3">
        <w:rPr>
          <w:rFonts w:ascii="Times New Roman" w:eastAsia="Times New Roman" w:hAnsi="Times New Roman" w:cs="Times New Roman"/>
          <w:sz w:val="26"/>
          <w:szCs w:val="26"/>
        </w:rPr>
        <w:t> </w:t>
      </w:r>
      <w:r w:rsidR="00CA3B16" w:rsidRPr="00C47563">
        <w:rPr>
          <w:rFonts w:ascii="Times New Roman" w:eastAsia="Times New Roman" w:hAnsi="Times New Roman" w:cs="Times New Roman"/>
          <w:sz w:val="26"/>
          <w:szCs w:val="26"/>
        </w:rPr>
        <w:t>28,</w:t>
      </w:r>
      <w:r w:rsidR="005A36F3">
        <w:rPr>
          <w:rFonts w:ascii="Times New Roman" w:eastAsia="Times New Roman" w:hAnsi="Times New Roman" w:cs="Times New Roman"/>
          <w:sz w:val="26"/>
          <w:szCs w:val="26"/>
        </w:rPr>
        <w:t> </w:t>
      </w:r>
      <w:r w:rsidR="00CA3B16" w:rsidRPr="00C47563">
        <w:rPr>
          <w:rFonts w:ascii="Times New Roman" w:eastAsia="Times New Roman" w:hAnsi="Times New Roman" w:cs="Times New Roman"/>
          <w:sz w:val="26"/>
          <w:szCs w:val="26"/>
        </w:rPr>
        <w:t xml:space="preserve">2021 (denying Mr. Culbertson’s </w:t>
      </w:r>
      <w:r w:rsidR="00706015" w:rsidRPr="00C47563">
        <w:rPr>
          <w:rFonts w:ascii="Times New Roman" w:eastAsia="Times New Roman" w:hAnsi="Times New Roman" w:cs="Times New Roman"/>
          <w:sz w:val="26"/>
          <w:szCs w:val="26"/>
        </w:rPr>
        <w:t xml:space="preserve">Motions for Reconsideration of the First and Second Interim Orders); </w:t>
      </w:r>
      <w:r w:rsidR="009424CB" w:rsidRPr="00C47563">
        <w:rPr>
          <w:rFonts w:ascii="Times New Roman" w:eastAsia="Times New Roman" w:hAnsi="Times New Roman" w:cs="Times New Roman"/>
          <w:sz w:val="26"/>
          <w:szCs w:val="26"/>
        </w:rPr>
        <w:t>Eight</w:t>
      </w:r>
      <w:r w:rsidR="00BB44C2" w:rsidRPr="00C47563">
        <w:rPr>
          <w:rFonts w:ascii="Times New Roman" w:eastAsia="Times New Roman" w:hAnsi="Times New Roman" w:cs="Times New Roman"/>
          <w:sz w:val="26"/>
          <w:szCs w:val="26"/>
        </w:rPr>
        <w:t>h Interim Order dated July 29, 2021 (</w:t>
      </w:r>
      <w:r w:rsidR="00303873" w:rsidRPr="00C47563">
        <w:rPr>
          <w:rFonts w:ascii="Times New Roman" w:eastAsia="Times New Roman" w:hAnsi="Times New Roman" w:cs="Times New Roman"/>
          <w:sz w:val="26"/>
          <w:szCs w:val="26"/>
        </w:rPr>
        <w:t>denying Mr.</w:t>
      </w:r>
      <w:r w:rsidR="005A36F3">
        <w:rPr>
          <w:rFonts w:ascii="Times New Roman" w:eastAsia="Times New Roman" w:hAnsi="Times New Roman" w:cs="Times New Roman"/>
          <w:sz w:val="26"/>
          <w:szCs w:val="26"/>
        </w:rPr>
        <w:t> </w:t>
      </w:r>
      <w:r w:rsidR="00303873" w:rsidRPr="00C47563">
        <w:rPr>
          <w:rFonts w:ascii="Times New Roman" w:eastAsia="Times New Roman" w:hAnsi="Times New Roman" w:cs="Times New Roman"/>
          <w:sz w:val="26"/>
          <w:szCs w:val="26"/>
        </w:rPr>
        <w:t xml:space="preserve">Culbertson’s </w:t>
      </w:r>
      <w:r w:rsidR="00E93D1B" w:rsidRPr="00C47563">
        <w:rPr>
          <w:rFonts w:ascii="Times New Roman" w:eastAsia="Times New Roman" w:hAnsi="Times New Roman" w:cs="Times New Roman"/>
          <w:sz w:val="26"/>
          <w:szCs w:val="26"/>
        </w:rPr>
        <w:t>Fifth</w:t>
      </w:r>
      <w:r w:rsidR="00303873" w:rsidRPr="00C47563">
        <w:rPr>
          <w:rFonts w:ascii="Times New Roman" w:eastAsia="Times New Roman" w:hAnsi="Times New Roman" w:cs="Times New Roman"/>
          <w:sz w:val="26"/>
          <w:szCs w:val="26"/>
        </w:rPr>
        <w:t xml:space="preserve"> Motion to Compel Discovery</w:t>
      </w:r>
      <w:r w:rsidR="00E93D1B" w:rsidRPr="00C47563">
        <w:rPr>
          <w:rFonts w:ascii="Times New Roman" w:eastAsia="Times New Roman" w:hAnsi="Times New Roman" w:cs="Times New Roman"/>
          <w:sz w:val="26"/>
          <w:szCs w:val="26"/>
        </w:rPr>
        <w:t xml:space="preserve">); </w:t>
      </w:r>
      <w:r w:rsidR="00EC7893" w:rsidRPr="00C47563">
        <w:rPr>
          <w:rFonts w:ascii="Times New Roman" w:eastAsia="Times New Roman" w:hAnsi="Times New Roman" w:cs="Times New Roman"/>
          <w:sz w:val="26"/>
          <w:szCs w:val="26"/>
        </w:rPr>
        <w:t xml:space="preserve">Ninth </w:t>
      </w:r>
      <w:r w:rsidR="00594CCB" w:rsidRPr="00C47563">
        <w:rPr>
          <w:rFonts w:ascii="Times New Roman" w:eastAsia="Times New Roman" w:hAnsi="Times New Roman" w:cs="Times New Roman"/>
          <w:sz w:val="26"/>
          <w:szCs w:val="26"/>
        </w:rPr>
        <w:t>Interim Order dated August</w:t>
      </w:r>
      <w:r w:rsidR="005A36F3">
        <w:rPr>
          <w:rFonts w:ascii="Times New Roman" w:eastAsia="Times New Roman" w:hAnsi="Times New Roman" w:cs="Times New Roman"/>
          <w:sz w:val="26"/>
          <w:szCs w:val="26"/>
        </w:rPr>
        <w:t> </w:t>
      </w:r>
      <w:r w:rsidR="00594CCB" w:rsidRPr="00C47563">
        <w:rPr>
          <w:rFonts w:ascii="Times New Roman" w:eastAsia="Times New Roman" w:hAnsi="Times New Roman" w:cs="Times New Roman"/>
          <w:sz w:val="26"/>
          <w:szCs w:val="26"/>
        </w:rPr>
        <w:t>26, 2021 (</w:t>
      </w:r>
      <w:r w:rsidR="00B053D1" w:rsidRPr="00C47563">
        <w:rPr>
          <w:rFonts w:ascii="Times New Roman" w:eastAsia="Times New Roman" w:hAnsi="Times New Roman" w:cs="Times New Roman"/>
          <w:sz w:val="26"/>
          <w:szCs w:val="26"/>
        </w:rPr>
        <w:t>requiring Answers to Columbia’s Motion to Strike</w:t>
      </w:r>
      <w:r w:rsidR="00703F7F" w:rsidRPr="00C47563">
        <w:rPr>
          <w:rFonts w:ascii="Times New Roman" w:eastAsia="Times New Roman" w:hAnsi="Times New Roman" w:cs="Times New Roman"/>
          <w:sz w:val="26"/>
          <w:szCs w:val="26"/>
        </w:rPr>
        <w:t xml:space="preserve"> pages 34-42 of Mr.</w:t>
      </w:r>
      <w:r w:rsidR="005A36F3">
        <w:rPr>
          <w:rFonts w:ascii="Times New Roman" w:eastAsia="Times New Roman" w:hAnsi="Times New Roman" w:cs="Times New Roman"/>
          <w:sz w:val="26"/>
          <w:szCs w:val="26"/>
        </w:rPr>
        <w:t> </w:t>
      </w:r>
      <w:r w:rsidR="00703F7F" w:rsidRPr="00C47563">
        <w:rPr>
          <w:rFonts w:ascii="Times New Roman" w:eastAsia="Times New Roman" w:hAnsi="Times New Roman" w:cs="Times New Roman"/>
          <w:sz w:val="26"/>
          <w:szCs w:val="26"/>
        </w:rPr>
        <w:t>Culbertson’s Main Brief</w:t>
      </w:r>
      <w:r w:rsidR="003911B1" w:rsidRPr="00C47563">
        <w:rPr>
          <w:rFonts w:ascii="Times New Roman" w:eastAsia="Times New Roman" w:hAnsi="Times New Roman" w:cs="Times New Roman"/>
          <w:sz w:val="26"/>
          <w:szCs w:val="26"/>
        </w:rPr>
        <w:t xml:space="preserve"> be filed by August 30, 2021); </w:t>
      </w:r>
      <w:r w:rsidR="00101F8A" w:rsidRPr="00C47563">
        <w:rPr>
          <w:rFonts w:ascii="Times New Roman" w:eastAsia="Times New Roman" w:hAnsi="Times New Roman" w:cs="Times New Roman"/>
          <w:sz w:val="26"/>
          <w:szCs w:val="26"/>
        </w:rPr>
        <w:t xml:space="preserve">Tenth Interim Order dated </w:t>
      </w:r>
      <w:r w:rsidR="00CB0999" w:rsidRPr="00C47563">
        <w:rPr>
          <w:rFonts w:ascii="Times New Roman" w:eastAsia="Times New Roman" w:hAnsi="Times New Roman" w:cs="Times New Roman"/>
          <w:sz w:val="26"/>
          <w:szCs w:val="26"/>
        </w:rPr>
        <w:t xml:space="preserve">September 2, 2021 (granting </w:t>
      </w:r>
      <w:r w:rsidR="000F04D8" w:rsidRPr="00C47563">
        <w:rPr>
          <w:rFonts w:ascii="Times New Roman" w:eastAsia="Times New Roman" w:hAnsi="Times New Roman" w:cs="Times New Roman"/>
          <w:sz w:val="26"/>
          <w:szCs w:val="26"/>
        </w:rPr>
        <w:t xml:space="preserve">Columbia’s Motion to Strike); </w:t>
      </w:r>
      <w:r w:rsidR="0088382E" w:rsidRPr="00C47563">
        <w:rPr>
          <w:rFonts w:ascii="Times New Roman" w:eastAsia="Times New Roman" w:hAnsi="Times New Roman" w:cs="Times New Roman"/>
          <w:sz w:val="26"/>
          <w:szCs w:val="26"/>
        </w:rPr>
        <w:t xml:space="preserve">and the Eleventh </w:t>
      </w:r>
      <w:r w:rsidR="00154F0E" w:rsidRPr="00C47563">
        <w:rPr>
          <w:rFonts w:ascii="Times New Roman" w:eastAsia="Times New Roman" w:hAnsi="Times New Roman" w:cs="Times New Roman"/>
          <w:sz w:val="26"/>
          <w:szCs w:val="26"/>
        </w:rPr>
        <w:t>Interim Order dated September 8, 2021 (</w:t>
      </w:r>
      <w:r w:rsidR="002C678D" w:rsidRPr="00C47563">
        <w:rPr>
          <w:rFonts w:ascii="Times New Roman" w:eastAsia="Times New Roman" w:hAnsi="Times New Roman" w:cs="Times New Roman"/>
          <w:sz w:val="26"/>
          <w:szCs w:val="26"/>
        </w:rPr>
        <w:t xml:space="preserve">setting the deadline for filing objections to the </w:t>
      </w:r>
      <w:r w:rsidR="004136A2" w:rsidRPr="00C47563">
        <w:rPr>
          <w:rFonts w:ascii="Times New Roman" w:eastAsia="Times New Roman" w:hAnsi="Times New Roman" w:cs="Times New Roman"/>
          <w:sz w:val="26"/>
          <w:szCs w:val="26"/>
        </w:rPr>
        <w:t>Settlement).</w:t>
      </w:r>
      <w:r w:rsidR="00683B50" w:rsidRPr="00C47563">
        <w:rPr>
          <w:rFonts w:ascii="Times New Roman" w:eastAsia="Times New Roman" w:hAnsi="Times New Roman" w:cs="Times New Roman"/>
          <w:sz w:val="26"/>
          <w:szCs w:val="26"/>
        </w:rPr>
        <w:t xml:space="preserve">  Exc. at </w:t>
      </w:r>
      <w:r w:rsidR="00572992" w:rsidRPr="00C47563">
        <w:rPr>
          <w:rFonts w:ascii="Times New Roman" w:eastAsia="Times New Roman" w:hAnsi="Times New Roman" w:cs="Times New Roman"/>
          <w:sz w:val="26"/>
          <w:szCs w:val="26"/>
        </w:rPr>
        <w:t xml:space="preserve">23-29.  </w:t>
      </w:r>
    </w:p>
    <w:p w14:paraId="50EB14CA" w14:textId="4693C5BE" w:rsidR="001C5828" w:rsidRPr="00C47563" w:rsidRDefault="001C5828" w:rsidP="0094251F">
      <w:pPr>
        <w:spacing w:after="0" w:line="360" w:lineRule="auto"/>
        <w:ind w:firstLine="1440"/>
        <w:contextualSpacing/>
        <w:rPr>
          <w:rFonts w:ascii="Times New Roman" w:eastAsia="Times New Roman" w:hAnsi="Times New Roman" w:cs="Times New Roman"/>
          <w:sz w:val="26"/>
          <w:szCs w:val="26"/>
        </w:rPr>
      </w:pPr>
    </w:p>
    <w:p w14:paraId="61D2FD56" w14:textId="674D10BE" w:rsidR="001C5828" w:rsidRPr="00C47563" w:rsidRDefault="00844033" w:rsidP="0094251F">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In its Replies to Exceptions, Columbia </w:t>
      </w:r>
      <w:r w:rsidR="009453A7" w:rsidRPr="00C47563">
        <w:rPr>
          <w:rFonts w:ascii="Times New Roman" w:eastAsia="Times New Roman" w:hAnsi="Times New Roman" w:cs="Times New Roman"/>
          <w:sz w:val="26"/>
          <w:szCs w:val="26"/>
        </w:rPr>
        <w:t>avers that the Commission’s Regulations do not allow parties to re-argue interim discovery rulings in Exceptions</w:t>
      </w:r>
      <w:r w:rsidR="00DF420A" w:rsidRPr="00C47563">
        <w:rPr>
          <w:rFonts w:ascii="Times New Roman" w:eastAsia="Times New Roman" w:hAnsi="Times New Roman" w:cs="Times New Roman"/>
          <w:sz w:val="26"/>
          <w:szCs w:val="26"/>
        </w:rPr>
        <w:t>, and Mr. Culbertson’s Exception</w:t>
      </w:r>
      <w:r w:rsidR="00155158" w:rsidRPr="00C47563">
        <w:rPr>
          <w:rFonts w:ascii="Times New Roman" w:eastAsia="Times New Roman" w:hAnsi="Times New Roman" w:cs="Times New Roman"/>
          <w:sz w:val="26"/>
          <w:szCs w:val="26"/>
        </w:rPr>
        <w:t xml:space="preserve"> No. 4</w:t>
      </w:r>
      <w:r w:rsidR="00DF420A" w:rsidRPr="00C47563">
        <w:rPr>
          <w:rFonts w:ascii="Times New Roman" w:eastAsia="Times New Roman" w:hAnsi="Times New Roman" w:cs="Times New Roman"/>
          <w:sz w:val="26"/>
          <w:szCs w:val="26"/>
        </w:rPr>
        <w:t xml:space="preserve"> should be denied</w:t>
      </w:r>
      <w:r w:rsidR="00155158" w:rsidRPr="00C47563">
        <w:rPr>
          <w:rFonts w:ascii="Times New Roman" w:eastAsia="Times New Roman" w:hAnsi="Times New Roman" w:cs="Times New Roman"/>
          <w:sz w:val="26"/>
          <w:szCs w:val="26"/>
        </w:rPr>
        <w:t xml:space="preserve"> on this basis.  </w:t>
      </w:r>
      <w:r w:rsidR="00C20705" w:rsidRPr="00C47563">
        <w:rPr>
          <w:rFonts w:ascii="Times New Roman" w:eastAsia="Times New Roman" w:hAnsi="Times New Roman" w:cs="Times New Roman"/>
          <w:sz w:val="26"/>
          <w:szCs w:val="26"/>
        </w:rPr>
        <w:t xml:space="preserve">R. Exc. at 9 </w:t>
      </w:r>
      <w:r w:rsidR="00572992" w:rsidRPr="00C47563">
        <w:rPr>
          <w:rFonts w:ascii="Times New Roman" w:eastAsia="Times New Roman" w:hAnsi="Times New Roman" w:cs="Times New Roman"/>
          <w:sz w:val="26"/>
          <w:szCs w:val="26"/>
        </w:rPr>
        <w:t>(citing 52</w:t>
      </w:r>
      <w:r w:rsidR="003D7EBC">
        <w:rPr>
          <w:rFonts w:ascii="Times New Roman" w:eastAsia="Times New Roman" w:hAnsi="Times New Roman" w:cs="Times New Roman"/>
          <w:sz w:val="26"/>
          <w:szCs w:val="26"/>
        </w:rPr>
        <w:t> </w:t>
      </w:r>
      <w:r w:rsidR="00572992" w:rsidRPr="00C47563">
        <w:rPr>
          <w:rFonts w:ascii="Times New Roman" w:eastAsia="Times New Roman" w:hAnsi="Times New Roman" w:cs="Times New Roman"/>
          <w:sz w:val="26"/>
          <w:szCs w:val="26"/>
        </w:rPr>
        <w:t>Pa. Code §</w:t>
      </w:r>
      <w:r w:rsidR="00CF7276" w:rsidRPr="00C47563">
        <w:rPr>
          <w:rFonts w:ascii="Times New Roman" w:eastAsia="Times New Roman" w:hAnsi="Times New Roman" w:cs="Times New Roman"/>
          <w:sz w:val="26"/>
          <w:szCs w:val="26"/>
        </w:rPr>
        <w:t xml:space="preserve"> 5.533</w:t>
      </w:r>
      <w:r w:rsidR="005E6096" w:rsidRPr="00C47563">
        <w:rPr>
          <w:rFonts w:ascii="Times New Roman" w:eastAsia="Times New Roman" w:hAnsi="Times New Roman" w:cs="Times New Roman"/>
          <w:sz w:val="26"/>
          <w:szCs w:val="26"/>
        </w:rPr>
        <w:t>)</w:t>
      </w:r>
      <w:r w:rsidR="00CF7276" w:rsidRPr="00C47563">
        <w:rPr>
          <w:rFonts w:ascii="Times New Roman" w:eastAsia="Times New Roman" w:hAnsi="Times New Roman" w:cs="Times New Roman"/>
          <w:sz w:val="26"/>
          <w:szCs w:val="26"/>
        </w:rPr>
        <w:t xml:space="preserve">.  </w:t>
      </w:r>
      <w:r w:rsidR="00F62EE1" w:rsidRPr="00C47563">
        <w:rPr>
          <w:rFonts w:ascii="Times New Roman" w:eastAsia="Times New Roman" w:hAnsi="Times New Roman" w:cs="Times New Roman"/>
          <w:sz w:val="26"/>
          <w:szCs w:val="26"/>
        </w:rPr>
        <w:t xml:space="preserve">In response to Mr. Culbertson’s argument that </w:t>
      </w:r>
      <w:r w:rsidR="00D72054" w:rsidRPr="00C47563">
        <w:rPr>
          <w:rFonts w:ascii="Times New Roman" w:eastAsia="Times New Roman" w:hAnsi="Times New Roman" w:cs="Times New Roman"/>
          <w:sz w:val="26"/>
          <w:szCs w:val="26"/>
        </w:rPr>
        <w:t xml:space="preserve">the Protective Order entered in this proceeding was improper, Columbia states </w:t>
      </w:r>
      <w:r w:rsidR="00281387" w:rsidRPr="00C47563">
        <w:rPr>
          <w:rFonts w:ascii="Times New Roman" w:eastAsia="Times New Roman" w:hAnsi="Times New Roman" w:cs="Times New Roman"/>
          <w:sz w:val="26"/>
          <w:szCs w:val="26"/>
        </w:rPr>
        <w:t>that Mr. Culbertson failed to file an answer opposing Columbia’s Motion for a Protective Order</w:t>
      </w:r>
      <w:r w:rsidR="00A71143" w:rsidRPr="00C47563">
        <w:rPr>
          <w:rFonts w:ascii="Times New Roman" w:eastAsia="Times New Roman" w:hAnsi="Times New Roman" w:cs="Times New Roman"/>
          <w:sz w:val="26"/>
          <w:szCs w:val="26"/>
        </w:rPr>
        <w:t xml:space="preserve">, which was unopposed by all other active Parties.  </w:t>
      </w:r>
      <w:r w:rsidR="00C55909" w:rsidRPr="00C47563">
        <w:rPr>
          <w:rFonts w:ascii="Times New Roman" w:eastAsia="Times New Roman" w:hAnsi="Times New Roman" w:cs="Times New Roman"/>
          <w:sz w:val="26"/>
          <w:szCs w:val="26"/>
        </w:rPr>
        <w:t xml:space="preserve">R. Exc. at 9-10.  Columbia notes that most of the evidence </w:t>
      </w:r>
      <w:r w:rsidR="00BE6375" w:rsidRPr="00C47563">
        <w:rPr>
          <w:rFonts w:ascii="Times New Roman" w:eastAsia="Times New Roman" w:hAnsi="Times New Roman" w:cs="Times New Roman"/>
          <w:sz w:val="26"/>
          <w:szCs w:val="26"/>
        </w:rPr>
        <w:t xml:space="preserve">in this proceeding is public and not subject to the Protective Order.  </w:t>
      </w:r>
      <w:r w:rsidR="00D942D4" w:rsidRPr="00C47563">
        <w:rPr>
          <w:rFonts w:ascii="Times New Roman" w:eastAsia="Times New Roman" w:hAnsi="Times New Roman" w:cs="Times New Roman"/>
          <w:i/>
          <w:iCs/>
          <w:sz w:val="26"/>
          <w:szCs w:val="26"/>
        </w:rPr>
        <w:t>Id</w:t>
      </w:r>
      <w:r w:rsidR="00D942D4" w:rsidRPr="00C47563">
        <w:rPr>
          <w:rFonts w:ascii="Times New Roman" w:eastAsia="Times New Roman" w:hAnsi="Times New Roman" w:cs="Times New Roman"/>
          <w:sz w:val="26"/>
          <w:szCs w:val="26"/>
        </w:rPr>
        <w:t xml:space="preserve">. at 10, n.4 (citing Tr. at 155-200).  </w:t>
      </w:r>
      <w:r w:rsidR="00CB25AA" w:rsidRPr="00C47563">
        <w:rPr>
          <w:rFonts w:ascii="Times New Roman" w:eastAsia="Times New Roman" w:hAnsi="Times New Roman" w:cs="Times New Roman"/>
          <w:sz w:val="26"/>
          <w:szCs w:val="26"/>
        </w:rPr>
        <w:t xml:space="preserve">Columbia </w:t>
      </w:r>
      <w:r w:rsidR="00565C4B" w:rsidRPr="00C47563">
        <w:rPr>
          <w:rFonts w:ascii="Times New Roman" w:eastAsia="Times New Roman" w:hAnsi="Times New Roman" w:cs="Times New Roman"/>
          <w:sz w:val="26"/>
          <w:szCs w:val="26"/>
        </w:rPr>
        <w:t xml:space="preserve">submits that Mr. Culbertson was </w:t>
      </w:r>
      <w:r w:rsidR="00F21E91" w:rsidRPr="00C47563">
        <w:rPr>
          <w:rFonts w:ascii="Times New Roman" w:eastAsia="Times New Roman" w:hAnsi="Times New Roman" w:cs="Times New Roman"/>
          <w:sz w:val="26"/>
          <w:szCs w:val="26"/>
        </w:rPr>
        <w:t xml:space="preserve">provided a full and fair opportunity to engage in discovery and that Columbia </w:t>
      </w:r>
      <w:r w:rsidR="00C82A8E" w:rsidRPr="00C47563">
        <w:rPr>
          <w:rFonts w:ascii="Times New Roman" w:eastAsia="Times New Roman" w:hAnsi="Times New Roman" w:cs="Times New Roman"/>
          <w:sz w:val="26"/>
          <w:szCs w:val="26"/>
        </w:rPr>
        <w:t xml:space="preserve">answered Mr. Culbertson’s </w:t>
      </w:r>
      <w:r w:rsidR="002A40F1" w:rsidRPr="00C47563">
        <w:rPr>
          <w:rFonts w:ascii="Times New Roman" w:eastAsia="Times New Roman" w:hAnsi="Times New Roman" w:cs="Times New Roman"/>
          <w:sz w:val="26"/>
          <w:szCs w:val="26"/>
        </w:rPr>
        <w:t xml:space="preserve">interrogatories that it did not </w:t>
      </w:r>
      <w:r w:rsidR="00023E27" w:rsidRPr="00C47563">
        <w:rPr>
          <w:rFonts w:ascii="Times New Roman" w:eastAsia="Times New Roman" w:hAnsi="Times New Roman" w:cs="Times New Roman"/>
          <w:sz w:val="26"/>
          <w:szCs w:val="26"/>
        </w:rPr>
        <w:t>f</w:t>
      </w:r>
      <w:r w:rsidR="002A40F1" w:rsidRPr="00C47563">
        <w:rPr>
          <w:rFonts w:ascii="Times New Roman" w:eastAsia="Times New Roman" w:hAnsi="Times New Roman" w:cs="Times New Roman"/>
          <w:sz w:val="26"/>
          <w:szCs w:val="26"/>
        </w:rPr>
        <w:t>in</w:t>
      </w:r>
      <w:r w:rsidR="00023E27" w:rsidRPr="00C47563">
        <w:rPr>
          <w:rFonts w:ascii="Times New Roman" w:eastAsia="Times New Roman" w:hAnsi="Times New Roman" w:cs="Times New Roman"/>
          <w:sz w:val="26"/>
          <w:szCs w:val="26"/>
        </w:rPr>
        <w:t xml:space="preserve">d objectionable </w:t>
      </w:r>
      <w:r w:rsidR="002A40F1" w:rsidRPr="00C47563">
        <w:rPr>
          <w:rFonts w:ascii="Times New Roman" w:eastAsia="Times New Roman" w:hAnsi="Times New Roman" w:cs="Times New Roman"/>
          <w:sz w:val="26"/>
          <w:szCs w:val="26"/>
        </w:rPr>
        <w:t xml:space="preserve">and </w:t>
      </w:r>
      <w:r w:rsidR="00AD7996" w:rsidRPr="00C47563">
        <w:rPr>
          <w:rFonts w:ascii="Times New Roman" w:eastAsia="Times New Roman" w:hAnsi="Times New Roman" w:cs="Times New Roman"/>
          <w:sz w:val="26"/>
          <w:szCs w:val="26"/>
        </w:rPr>
        <w:t xml:space="preserve">properly objected to </w:t>
      </w:r>
      <w:r w:rsidR="00F65E60" w:rsidRPr="00C47563">
        <w:rPr>
          <w:rFonts w:ascii="Times New Roman" w:eastAsia="Times New Roman" w:hAnsi="Times New Roman" w:cs="Times New Roman"/>
          <w:sz w:val="26"/>
          <w:szCs w:val="26"/>
        </w:rPr>
        <w:t xml:space="preserve">certain discovery consistent with the Commission’s Regulations.  </w:t>
      </w:r>
      <w:r w:rsidR="00474643" w:rsidRPr="00C47563">
        <w:rPr>
          <w:rFonts w:ascii="Times New Roman" w:eastAsia="Times New Roman" w:hAnsi="Times New Roman" w:cs="Times New Roman"/>
          <w:sz w:val="26"/>
          <w:szCs w:val="26"/>
        </w:rPr>
        <w:t>Columbia continues that it complied with the ALJ’s Interim Orders</w:t>
      </w:r>
      <w:r w:rsidR="00CA6B90" w:rsidRPr="00C47563">
        <w:rPr>
          <w:rFonts w:ascii="Times New Roman" w:eastAsia="Times New Roman" w:hAnsi="Times New Roman" w:cs="Times New Roman"/>
          <w:sz w:val="26"/>
          <w:szCs w:val="26"/>
        </w:rPr>
        <w:t>, and the outcomes of the ALJ’s interim discovery rulings do not excuse Mr. Culbertson’s failure to</w:t>
      </w:r>
      <w:r w:rsidR="00392351" w:rsidRPr="00C47563">
        <w:rPr>
          <w:rFonts w:ascii="Times New Roman" w:eastAsia="Times New Roman" w:hAnsi="Times New Roman" w:cs="Times New Roman"/>
          <w:sz w:val="26"/>
          <w:szCs w:val="26"/>
        </w:rPr>
        <w:t xml:space="preserve"> </w:t>
      </w:r>
      <w:r w:rsidR="00CA6B90" w:rsidRPr="00C47563">
        <w:rPr>
          <w:rFonts w:ascii="Times New Roman" w:eastAsia="Times New Roman" w:hAnsi="Times New Roman" w:cs="Times New Roman"/>
          <w:sz w:val="26"/>
          <w:szCs w:val="26"/>
        </w:rPr>
        <w:t>present</w:t>
      </w:r>
      <w:r w:rsidR="00392351" w:rsidRPr="00C47563">
        <w:rPr>
          <w:rFonts w:ascii="Times New Roman" w:eastAsia="Times New Roman" w:hAnsi="Times New Roman" w:cs="Times New Roman"/>
          <w:sz w:val="26"/>
          <w:szCs w:val="26"/>
        </w:rPr>
        <w:t xml:space="preserve"> substantial evidence in support of his claims.  </w:t>
      </w:r>
      <w:r w:rsidR="001E0D9C" w:rsidRPr="00C47563">
        <w:rPr>
          <w:rFonts w:ascii="Times New Roman" w:eastAsia="Times New Roman" w:hAnsi="Times New Roman" w:cs="Times New Roman"/>
          <w:sz w:val="26"/>
          <w:szCs w:val="26"/>
        </w:rPr>
        <w:t xml:space="preserve">Columbia </w:t>
      </w:r>
      <w:r w:rsidR="00AD06E9" w:rsidRPr="00C47563">
        <w:rPr>
          <w:rFonts w:ascii="Times New Roman" w:eastAsia="Times New Roman" w:hAnsi="Times New Roman" w:cs="Times New Roman"/>
          <w:sz w:val="26"/>
          <w:szCs w:val="26"/>
        </w:rPr>
        <w:t xml:space="preserve">further </w:t>
      </w:r>
      <w:r w:rsidR="001E0D9C" w:rsidRPr="00C47563">
        <w:rPr>
          <w:rFonts w:ascii="Times New Roman" w:eastAsia="Times New Roman" w:hAnsi="Times New Roman" w:cs="Times New Roman"/>
          <w:sz w:val="26"/>
          <w:szCs w:val="26"/>
        </w:rPr>
        <w:t xml:space="preserve">argues that </w:t>
      </w:r>
      <w:r w:rsidR="00283EDB" w:rsidRPr="00C47563">
        <w:rPr>
          <w:rFonts w:ascii="Times New Roman" w:eastAsia="Times New Roman" w:hAnsi="Times New Roman" w:cs="Times New Roman"/>
          <w:sz w:val="26"/>
          <w:szCs w:val="26"/>
        </w:rPr>
        <w:t xml:space="preserve">issues Mr. Culbertson failed to raise in </w:t>
      </w:r>
      <w:r w:rsidR="007F23BC" w:rsidRPr="00C47563">
        <w:rPr>
          <w:rFonts w:ascii="Times New Roman" w:eastAsia="Times New Roman" w:hAnsi="Times New Roman" w:cs="Times New Roman"/>
          <w:sz w:val="26"/>
          <w:szCs w:val="26"/>
        </w:rPr>
        <w:t xml:space="preserve">his briefs </w:t>
      </w:r>
      <w:r w:rsidR="003046CB" w:rsidRPr="00C47563">
        <w:rPr>
          <w:rFonts w:ascii="Times New Roman" w:eastAsia="Times New Roman" w:hAnsi="Times New Roman" w:cs="Times New Roman"/>
          <w:sz w:val="26"/>
          <w:szCs w:val="26"/>
        </w:rPr>
        <w:t>are waived.  R. Exc. at 10.</w:t>
      </w:r>
      <w:r w:rsidR="00C47563">
        <w:rPr>
          <w:rFonts w:ascii="Times New Roman" w:eastAsia="Times New Roman" w:hAnsi="Times New Roman" w:cs="Times New Roman"/>
          <w:sz w:val="26"/>
          <w:szCs w:val="26"/>
        </w:rPr>
        <w:t xml:space="preserve">  </w:t>
      </w:r>
    </w:p>
    <w:p w14:paraId="25835883" w14:textId="3AE74F04" w:rsidR="00BB6CA0" w:rsidRPr="00C47563" w:rsidRDefault="00BB6CA0" w:rsidP="0094251F">
      <w:pPr>
        <w:spacing w:after="0" w:line="360" w:lineRule="auto"/>
        <w:ind w:firstLine="1440"/>
        <w:contextualSpacing/>
        <w:rPr>
          <w:rFonts w:ascii="Times New Roman" w:eastAsia="Times New Roman" w:hAnsi="Times New Roman" w:cs="Times New Roman"/>
          <w:sz w:val="26"/>
          <w:szCs w:val="26"/>
        </w:rPr>
      </w:pPr>
    </w:p>
    <w:p w14:paraId="361DCE1B" w14:textId="0C8D5A2D" w:rsidR="00C80386" w:rsidRPr="00C47563" w:rsidRDefault="005E310D" w:rsidP="0094251F">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Based on our review of the record, we deny Mr. Culbertson’s Exception No.</w:t>
      </w:r>
      <w:r w:rsidR="00845499" w:rsidRPr="00C47563">
        <w:rPr>
          <w:rFonts w:ascii="Times New Roman" w:eastAsia="Times New Roman" w:hAnsi="Times New Roman" w:cs="Times New Roman"/>
          <w:sz w:val="26"/>
          <w:szCs w:val="26"/>
        </w:rPr>
        <w:t xml:space="preserve"> 4</w:t>
      </w:r>
      <w:r w:rsidR="00660B4A" w:rsidRPr="00C47563">
        <w:rPr>
          <w:rFonts w:ascii="Times New Roman" w:eastAsia="Times New Roman" w:hAnsi="Times New Roman" w:cs="Times New Roman"/>
          <w:sz w:val="26"/>
          <w:szCs w:val="26"/>
        </w:rPr>
        <w:t xml:space="preserve"> as we agree with the ALJ’s determination that Mr. Culbertson has failed to satisfy his burden of proof</w:t>
      </w:r>
      <w:r w:rsidRPr="00C47563">
        <w:rPr>
          <w:rFonts w:ascii="Times New Roman" w:eastAsia="Times New Roman" w:hAnsi="Times New Roman" w:cs="Times New Roman"/>
          <w:sz w:val="26"/>
          <w:szCs w:val="26"/>
        </w:rPr>
        <w:t xml:space="preserve"> </w:t>
      </w:r>
      <w:r w:rsidR="002806B8" w:rsidRPr="00C47563">
        <w:rPr>
          <w:rFonts w:ascii="Times New Roman" w:eastAsia="Times New Roman" w:hAnsi="Times New Roman" w:cs="Times New Roman"/>
          <w:sz w:val="26"/>
          <w:szCs w:val="26"/>
        </w:rPr>
        <w:t>regarding</w:t>
      </w:r>
      <w:r w:rsidR="00660B4A" w:rsidRPr="00C47563">
        <w:rPr>
          <w:rFonts w:ascii="Times New Roman" w:eastAsia="Times New Roman" w:hAnsi="Times New Roman" w:cs="Times New Roman"/>
          <w:sz w:val="26"/>
          <w:szCs w:val="26"/>
        </w:rPr>
        <w:t xml:space="preserve"> his claims </w:t>
      </w:r>
      <w:r w:rsidR="002806B8" w:rsidRPr="00C47563">
        <w:rPr>
          <w:rFonts w:ascii="Times New Roman" w:eastAsia="Times New Roman" w:hAnsi="Times New Roman" w:cs="Times New Roman"/>
          <w:sz w:val="26"/>
          <w:szCs w:val="26"/>
        </w:rPr>
        <w:t xml:space="preserve">about </w:t>
      </w:r>
      <w:r w:rsidR="00660B4A" w:rsidRPr="00C47563">
        <w:rPr>
          <w:rFonts w:ascii="Times New Roman" w:eastAsia="Times New Roman" w:hAnsi="Times New Roman" w:cs="Times New Roman"/>
          <w:sz w:val="26"/>
          <w:szCs w:val="26"/>
        </w:rPr>
        <w:t>Columbia’s rates and service</w:t>
      </w:r>
      <w:r w:rsidR="002806B8" w:rsidRPr="00C47563">
        <w:rPr>
          <w:rFonts w:ascii="Times New Roman" w:eastAsia="Times New Roman" w:hAnsi="Times New Roman" w:cs="Times New Roman"/>
          <w:sz w:val="26"/>
          <w:szCs w:val="26"/>
        </w:rPr>
        <w:t>.</w:t>
      </w:r>
      <w:r w:rsidR="00605971" w:rsidRPr="00C47563">
        <w:rPr>
          <w:rFonts w:ascii="Times New Roman" w:eastAsia="Times New Roman" w:hAnsi="Times New Roman" w:cs="Times New Roman"/>
          <w:sz w:val="26"/>
          <w:szCs w:val="26"/>
        </w:rPr>
        <w:t xml:space="preserve">  As discussed in our disposition of Mr. Culbertson’s Exception</w:t>
      </w:r>
      <w:r w:rsidR="00A3468A" w:rsidRPr="00C47563">
        <w:rPr>
          <w:rFonts w:ascii="Times New Roman" w:eastAsia="Times New Roman" w:hAnsi="Times New Roman" w:cs="Times New Roman"/>
          <w:sz w:val="26"/>
          <w:szCs w:val="26"/>
        </w:rPr>
        <w:t xml:space="preserve"> No. 1, Mr. Culbertson was provided with the opportunity to fully participate</w:t>
      </w:r>
      <w:r w:rsidR="00660B84" w:rsidRPr="00C47563">
        <w:rPr>
          <w:rFonts w:ascii="Times New Roman" w:eastAsia="Times New Roman" w:hAnsi="Times New Roman" w:cs="Times New Roman"/>
          <w:sz w:val="26"/>
          <w:szCs w:val="26"/>
        </w:rPr>
        <w:t xml:space="preserve"> in all aspects of this proceeding</w:t>
      </w:r>
      <w:r w:rsidR="008A4AA3" w:rsidRPr="00C47563">
        <w:rPr>
          <w:rFonts w:ascii="Times New Roman" w:eastAsia="Times New Roman" w:hAnsi="Times New Roman" w:cs="Times New Roman"/>
          <w:sz w:val="26"/>
          <w:szCs w:val="26"/>
        </w:rPr>
        <w:t>,</w:t>
      </w:r>
      <w:r w:rsidR="00660B84" w:rsidRPr="00C47563">
        <w:rPr>
          <w:rFonts w:ascii="Times New Roman" w:eastAsia="Times New Roman" w:hAnsi="Times New Roman" w:cs="Times New Roman"/>
          <w:sz w:val="26"/>
          <w:szCs w:val="26"/>
        </w:rPr>
        <w:t xml:space="preserve"> and he exercised that opportunity in most instances</w:t>
      </w:r>
      <w:r w:rsidR="009468D0" w:rsidRPr="00C47563">
        <w:rPr>
          <w:rFonts w:ascii="Times New Roman" w:eastAsia="Times New Roman" w:hAnsi="Times New Roman" w:cs="Times New Roman"/>
          <w:sz w:val="26"/>
          <w:szCs w:val="26"/>
        </w:rPr>
        <w:t xml:space="preserve">, with the exceptions of failure to submit or to submit timely responses to </w:t>
      </w:r>
      <w:r w:rsidR="0046246B" w:rsidRPr="00C47563">
        <w:rPr>
          <w:rFonts w:ascii="Times New Roman" w:eastAsia="Times New Roman" w:hAnsi="Times New Roman" w:cs="Times New Roman"/>
          <w:sz w:val="26"/>
          <w:szCs w:val="26"/>
        </w:rPr>
        <w:t xml:space="preserve">Columbia’s Motion for a Protective Order and the </w:t>
      </w:r>
      <w:r w:rsidR="00855862" w:rsidRPr="00C47563">
        <w:rPr>
          <w:rFonts w:ascii="Times New Roman" w:eastAsia="Times New Roman" w:hAnsi="Times New Roman" w:cs="Times New Roman"/>
          <w:sz w:val="26"/>
          <w:szCs w:val="26"/>
        </w:rPr>
        <w:t>Settlement</w:t>
      </w:r>
      <w:r w:rsidR="00F056F2" w:rsidRPr="00C47563">
        <w:rPr>
          <w:rFonts w:ascii="Times New Roman" w:eastAsia="Times New Roman" w:hAnsi="Times New Roman" w:cs="Times New Roman"/>
          <w:sz w:val="26"/>
          <w:szCs w:val="26"/>
        </w:rPr>
        <w:t>.</w:t>
      </w:r>
      <w:r w:rsidR="00855862" w:rsidRPr="00C47563">
        <w:rPr>
          <w:rFonts w:ascii="Times New Roman" w:eastAsia="Times New Roman" w:hAnsi="Times New Roman" w:cs="Times New Roman"/>
          <w:sz w:val="26"/>
          <w:szCs w:val="26"/>
        </w:rPr>
        <w:t xml:space="preserve"> </w:t>
      </w:r>
      <w:r w:rsidR="004B3269" w:rsidRPr="00C47563">
        <w:rPr>
          <w:rFonts w:ascii="Times New Roman" w:eastAsia="Times New Roman" w:hAnsi="Times New Roman" w:cs="Times New Roman"/>
          <w:sz w:val="26"/>
          <w:szCs w:val="26"/>
        </w:rPr>
        <w:t xml:space="preserve"> We cannot consider </w:t>
      </w:r>
      <w:r w:rsidR="00F056F2" w:rsidRPr="00C47563">
        <w:rPr>
          <w:rFonts w:ascii="Times New Roman" w:eastAsia="Times New Roman" w:hAnsi="Times New Roman" w:cs="Times New Roman"/>
          <w:sz w:val="26"/>
          <w:szCs w:val="26"/>
        </w:rPr>
        <w:t xml:space="preserve">at this stage in the proceeding </w:t>
      </w:r>
      <w:r w:rsidR="00E81629" w:rsidRPr="00C47563">
        <w:rPr>
          <w:rFonts w:ascii="Times New Roman" w:eastAsia="Times New Roman" w:hAnsi="Times New Roman" w:cs="Times New Roman"/>
          <w:sz w:val="26"/>
          <w:szCs w:val="26"/>
        </w:rPr>
        <w:t xml:space="preserve">Mr. Culbertson’s objections to the ALJ’s interlocutory decisions in the various Interim Orders </w:t>
      </w:r>
      <w:r w:rsidR="00135876" w:rsidRPr="00C47563">
        <w:rPr>
          <w:rFonts w:ascii="Times New Roman" w:eastAsia="Times New Roman" w:hAnsi="Times New Roman" w:cs="Times New Roman"/>
          <w:sz w:val="26"/>
          <w:szCs w:val="26"/>
        </w:rPr>
        <w:t xml:space="preserve">Mr. Culbertson cites in his Exceptions.  </w:t>
      </w:r>
      <w:r w:rsidR="00D641C4" w:rsidRPr="00C47563">
        <w:rPr>
          <w:rFonts w:ascii="Times New Roman" w:eastAsia="Times New Roman" w:hAnsi="Times New Roman" w:cs="Times New Roman"/>
          <w:i/>
          <w:iCs/>
          <w:sz w:val="26"/>
          <w:szCs w:val="26"/>
        </w:rPr>
        <w:t xml:space="preserve">See </w:t>
      </w:r>
      <w:r w:rsidR="00D641C4" w:rsidRPr="00C47563">
        <w:rPr>
          <w:rFonts w:ascii="Times New Roman" w:eastAsia="Times New Roman" w:hAnsi="Times New Roman" w:cs="Times New Roman"/>
          <w:sz w:val="26"/>
          <w:szCs w:val="26"/>
        </w:rPr>
        <w:t>52 Pa. Code §</w:t>
      </w:r>
      <w:r w:rsidR="00D63EA4" w:rsidRPr="00C47563">
        <w:rPr>
          <w:rFonts w:ascii="Times New Roman" w:eastAsia="Times New Roman" w:hAnsi="Times New Roman" w:cs="Times New Roman"/>
          <w:sz w:val="26"/>
          <w:szCs w:val="26"/>
        </w:rPr>
        <w:t xml:space="preserve"> 5.533 (stating</w:t>
      </w:r>
      <w:r w:rsidR="001132AE" w:rsidRPr="00C47563">
        <w:rPr>
          <w:rFonts w:ascii="Times New Roman" w:eastAsia="Times New Roman" w:hAnsi="Times New Roman" w:cs="Times New Roman"/>
          <w:sz w:val="26"/>
          <w:szCs w:val="26"/>
        </w:rPr>
        <w:t xml:space="preserve"> “Exceptions may not be filed with respect to an interlocutory decision”).  </w:t>
      </w:r>
    </w:p>
    <w:p w14:paraId="23AC7681" w14:textId="77777777" w:rsidR="00C80386" w:rsidRPr="00C47563" w:rsidRDefault="00C80386" w:rsidP="0094251F">
      <w:pPr>
        <w:spacing w:after="0" w:line="360" w:lineRule="auto"/>
        <w:ind w:firstLine="1440"/>
        <w:contextualSpacing/>
        <w:rPr>
          <w:rFonts w:ascii="Times New Roman" w:eastAsia="Times New Roman" w:hAnsi="Times New Roman" w:cs="Times New Roman"/>
          <w:sz w:val="26"/>
          <w:szCs w:val="26"/>
        </w:rPr>
      </w:pPr>
    </w:p>
    <w:p w14:paraId="48568E1F" w14:textId="1D597CB4" w:rsidR="00D06360" w:rsidRPr="00C47563" w:rsidRDefault="0009001E" w:rsidP="0094251F">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We have </w:t>
      </w:r>
      <w:r w:rsidR="00CD6B51" w:rsidRPr="00C47563">
        <w:rPr>
          <w:rFonts w:ascii="Times New Roman" w:eastAsia="Times New Roman" w:hAnsi="Times New Roman" w:cs="Times New Roman"/>
          <w:sz w:val="26"/>
          <w:szCs w:val="26"/>
        </w:rPr>
        <w:t>thoroughly</w:t>
      </w:r>
      <w:r w:rsidRPr="00C47563">
        <w:rPr>
          <w:rFonts w:ascii="Times New Roman" w:eastAsia="Times New Roman" w:hAnsi="Times New Roman" w:cs="Times New Roman"/>
          <w:sz w:val="26"/>
          <w:szCs w:val="26"/>
        </w:rPr>
        <w:t xml:space="preserve"> reviewed</w:t>
      </w:r>
      <w:r w:rsidR="00CD6B51" w:rsidRPr="00C47563">
        <w:rPr>
          <w:rFonts w:ascii="Times New Roman" w:eastAsia="Times New Roman" w:hAnsi="Times New Roman" w:cs="Times New Roman"/>
          <w:sz w:val="26"/>
          <w:szCs w:val="26"/>
        </w:rPr>
        <w:t xml:space="preserve"> </w:t>
      </w:r>
      <w:r w:rsidR="006A473D" w:rsidRPr="00C47563">
        <w:rPr>
          <w:rFonts w:ascii="Times New Roman" w:eastAsia="Times New Roman" w:hAnsi="Times New Roman" w:cs="Times New Roman"/>
          <w:sz w:val="26"/>
          <w:szCs w:val="26"/>
        </w:rPr>
        <w:t xml:space="preserve">Mr. Culbertson’s </w:t>
      </w:r>
      <w:r w:rsidR="00226AEC" w:rsidRPr="00C47563">
        <w:rPr>
          <w:rFonts w:ascii="Times New Roman" w:eastAsia="Times New Roman" w:hAnsi="Times New Roman" w:cs="Times New Roman"/>
          <w:sz w:val="26"/>
          <w:szCs w:val="26"/>
        </w:rPr>
        <w:t>direct and surrebuttal testimony</w:t>
      </w:r>
      <w:r w:rsidR="00E6063C" w:rsidRPr="00C47563">
        <w:rPr>
          <w:rFonts w:ascii="Times New Roman" w:eastAsia="Times New Roman" w:hAnsi="Times New Roman" w:cs="Times New Roman"/>
          <w:sz w:val="26"/>
          <w:szCs w:val="26"/>
        </w:rPr>
        <w:t>, exhibits, and Main and Reply Briefs</w:t>
      </w:r>
      <w:r w:rsidR="000067B2" w:rsidRPr="00C47563">
        <w:rPr>
          <w:rFonts w:ascii="Times New Roman" w:eastAsia="Times New Roman" w:hAnsi="Times New Roman" w:cs="Times New Roman"/>
          <w:sz w:val="26"/>
          <w:szCs w:val="26"/>
        </w:rPr>
        <w:t xml:space="preserve"> in reaching our determination</w:t>
      </w:r>
      <w:r w:rsidR="00B82169" w:rsidRPr="00C47563">
        <w:rPr>
          <w:rFonts w:ascii="Times New Roman" w:eastAsia="Times New Roman" w:hAnsi="Times New Roman" w:cs="Times New Roman"/>
          <w:sz w:val="26"/>
          <w:szCs w:val="26"/>
        </w:rPr>
        <w:t xml:space="preserve"> and conclude that Mr. Culbertson </w:t>
      </w:r>
      <w:r w:rsidR="000B134D" w:rsidRPr="00C47563">
        <w:rPr>
          <w:rFonts w:ascii="Times New Roman" w:eastAsia="Times New Roman" w:hAnsi="Times New Roman" w:cs="Times New Roman"/>
          <w:sz w:val="26"/>
          <w:szCs w:val="26"/>
        </w:rPr>
        <w:t xml:space="preserve">did not provide sufficient evidence to establish </w:t>
      </w:r>
      <w:r w:rsidR="006E002E" w:rsidRPr="00C47563">
        <w:rPr>
          <w:rFonts w:ascii="Times New Roman" w:eastAsia="Times New Roman" w:hAnsi="Times New Roman" w:cs="Times New Roman"/>
          <w:sz w:val="26"/>
          <w:szCs w:val="26"/>
        </w:rPr>
        <w:t>his case by a preponderance of the evidence</w:t>
      </w:r>
      <w:r w:rsidR="000067B2" w:rsidRPr="00C47563">
        <w:rPr>
          <w:rFonts w:ascii="Times New Roman" w:eastAsia="Times New Roman" w:hAnsi="Times New Roman" w:cs="Times New Roman"/>
          <w:sz w:val="26"/>
          <w:szCs w:val="26"/>
        </w:rPr>
        <w:t>.</w:t>
      </w:r>
      <w:r w:rsidR="008545A5" w:rsidRPr="00C47563">
        <w:rPr>
          <w:rFonts w:ascii="Times New Roman" w:eastAsia="Times New Roman" w:hAnsi="Times New Roman" w:cs="Times New Roman"/>
          <w:sz w:val="26"/>
          <w:szCs w:val="26"/>
        </w:rPr>
        <w:t xml:space="preserve"> </w:t>
      </w:r>
      <w:r w:rsidR="000067B2" w:rsidRPr="00C47563">
        <w:rPr>
          <w:rFonts w:ascii="Times New Roman" w:eastAsia="Times New Roman" w:hAnsi="Times New Roman" w:cs="Times New Roman"/>
          <w:sz w:val="26"/>
          <w:szCs w:val="26"/>
        </w:rPr>
        <w:t xml:space="preserve"> </w:t>
      </w:r>
      <w:r w:rsidR="0085457B" w:rsidRPr="00C47563">
        <w:rPr>
          <w:rFonts w:ascii="Times New Roman" w:eastAsia="Times New Roman" w:hAnsi="Times New Roman" w:cs="Times New Roman"/>
          <w:sz w:val="26"/>
          <w:szCs w:val="26"/>
        </w:rPr>
        <w:t xml:space="preserve">Among his claims, Mr. Culbertson </w:t>
      </w:r>
      <w:r w:rsidR="00AA415A" w:rsidRPr="00C47563">
        <w:rPr>
          <w:rFonts w:ascii="Times New Roman" w:eastAsia="Times New Roman" w:hAnsi="Times New Roman" w:cs="Times New Roman"/>
          <w:sz w:val="26"/>
          <w:szCs w:val="26"/>
        </w:rPr>
        <w:t xml:space="preserve">has </w:t>
      </w:r>
      <w:r w:rsidR="008A1146" w:rsidRPr="00C47563">
        <w:rPr>
          <w:rFonts w:ascii="Times New Roman" w:eastAsia="Times New Roman" w:hAnsi="Times New Roman" w:cs="Times New Roman"/>
          <w:sz w:val="26"/>
          <w:szCs w:val="26"/>
        </w:rPr>
        <w:t xml:space="preserve">made </w:t>
      </w:r>
      <w:r w:rsidR="00AA415A" w:rsidRPr="00C47563">
        <w:rPr>
          <w:rFonts w:ascii="Times New Roman" w:eastAsia="Times New Roman" w:hAnsi="Times New Roman" w:cs="Times New Roman"/>
          <w:sz w:val="26"/>
          <w:szCs w:val="26"/>
        </w:rPr>
        <w:t>aver</w:t>
      </w:r>
      <w:r w:rsidR="008A1146" w:rsidRPr="00C47563">
        <w:rPr>
          <w:rFonts w:ascii="Times New Roman" w:eastAsia="Times New Roman" w:hAnsi="Times New Roman" w:cs="Times New Roman"/>
          <w:sz w:val="26"/>
          <w:szCs w:val="26"/>
        </w:rPr>
        <w:t xml:space="preserve">ments </w:t>
      </w:r>
      <w:r w:rsidR="00247E69" w:rsidRPr="00C47563">
        <w:rPr>
          <w:rFonts w:ascii="Times New Roman" w:eastAsia="Times New Roman" w:hAnsi="Times New Roman" w:cs="Times New Roman"/>
          <w:sz w:val="26"/>
          <w:szCs w:val="26"/>
        </w:rPr>
        <w:t>concerning</w:t>
      </w:r>
      <w:r w:rsidR="00840263" w:rsidRPr="00C47563">
        <w:rPr>
          <w:rFonts w:ascii="Times New Roman" w:eastAsia="Times New Roman" w:hAnsi="Times New Roman" w:cs="Times New Roman"/>
          <w:sz w:val="26"/>
          <w:szCs w:val="26"/>
        </w:rPr>
        <w:t xml:space="preserve"> </w:t>
      </w:r>
      <w:r w:rsidR="00247E69" w:rsidRPr="00C47563">
        <w:rPr>
          <w:rFonts w:ascii="Times New Roman" w:eastAsia="Times New Roman" w:hAnsi="Times New Roman" w:cs="Times New Roman"/>
          <w:sz w:val="26"/>
          <w:szCs w:val="26"/>
        </w:rPr>
        <w:t>Columbia’s disconnection of an inactive serv</w:t>
      </w:r>
      <w:r w:rsidR="0035530D" w:rsidRPr="00C47563">
        <w:rPr>
          <w:rFonts w:ascii="Times New Roman" w:eastAsia="Times New Roman" w:hAnsi="Times New Roman" w:cs="Times New Roman"/>
          <w:sz w:val="26"/>
          <w:szCs w:val="26"/>
        </w:rPr>
        <w:t>ice line at his property</w:t>
      </w:r>
      <w:r w:rsidR="00C87743" w:rsidRPr="00C47563">
        <w:rPr>
          <w:rFonts w:ascii="Times New Roman" w:eastAsia="Times New Roman" w:hAnsi="Times New Roman" w:cs="Times New Roman"/>
          <w:sz w:val="26"/>
          <w:szCs w:val="26"/>
        </w:rPr>
        <w:t xml:space="preserve"> and</w:t>
      </w:r>
      <w:r w:rsidR="00715448" w:rsidRPr="00C47563">
        <w:rPr>
          <w:rFonts w:ascii="Times New Roman" w:eastAsia="Times New Roman" w:hAnsi="Times New Roman" w:cs="Times New Roman"/>
          <w:sz w:val="26"/>
          <w:szCs w:val="26"/>
        </w:rPr>
        <w:t xml:space="preserve"> </w:t>
      </w:r>
      <w:r w:rsidR="009C3284" w:rsidRPr="00C47563">
        <w:rPr>
          <w:rFonts w:ascii="Times New Roman" w:eastAsia="Times New Roman" w:hAnsi="Times New Roman" w:cs="Times New Roman"/>
          <w:sz w:val="26"/>
          <w:szCs w:val="26"/>
        </w:rPr>
        <w:t xml:space="preserve">Columbia’s disconnection of an inactive service line at </w:t>
      </w:r>
      <w:r w:rsidR="00DE01CB" w:rsidRPr="00C47563">
        <w:rPr>
          <w:rFonts w:ascii="Times New Roman" w:eastAsia="Times New Roman" w:hAnsi="Times New Roman" w:cs="Times New Roman"/>
          <w:sz w:val="26"/>
          <w:szCs w:val="26"/>
        </w:rPr>
        <w:t xml:space="preserve">a property owned by Mr. </w:t>
      </w:r>
      <w:r w:rsidR="009705E9" w:rsidRPr="00C47563">
        <w:rPr>
          <w:rFonts w:ascii="Times New Roman" w:eastAsia="Times New Roman" w:hAnsi="Times New Roman" w:cs="Times New Roman"/>
          <w:sz w:val="26"/>
          <w:szCs w:val="26"/>
        </w:rPr>
        <w:t xml:space="preserve">Michael </w:t>
      </w:r>
      <w:r w:rsidR="00DE01CB" w:rsidRPr="00C47563">
        <w:rPr>
          <w:rFonts w:ascii="Times New Roman" w:eastAsia="Times New Roman" w:hAnsi="Times New Roman" w:cs="Times New Roman"/>
          <w:sz w:val="26"/>
          <w:szCs w:val="26"/>
        </w:rPr>
        <w:t xml:space="preserve">Hicks, </w:t>
      </w:r>
      <w:r w:rsidR="00C87743" w:rsidRPr="00C47563">
        <w:rPr>
          <w:rFonts w:ascii="Times New Roman" w:eastAsia="Times New Roman" w:hAnsi="Times New Roman" w:cs="Times New Roman"/>
          <w:sz w:val="26"/>
          <w:szCs w:val="26"/>
        </w:rPr>
        <w:t xml:space="preserve">Sr., </w:t>
      </w:r>
      <w:r w:rsidR="00DE01CB" w:rsidRPr="00C47563">
        <w:rPr>
          <w:rFonts w:ascii="Times New Roman" w:eastAsia="Times New Roman" w:hAnsi="Times New Roman" w:cs="Times New Roman"/>
          <w:sz w:val="26"/>
          <w:szCs w:val="26"/>
        </w:rPr>
        <w:t xml:space="preserve">a former Columbia customer who testified </w:t>
      </w:r>
      <w:r w:rsidR="00840263" w:rsidRPr="00C47563">
        <w:rPr>
          <w:rFonts w:ascii="Times New Roman" w:eastAsia="Times New Roman" w:hAnsi="Times New Roman" w:cs="Times New Roman"/>
          <w:sz w:val="26"/>
          <w:szCs w:val="26"/>
        </w:rPr>
        <w:t>at a public input hearing in this proceeding</w:t>
      </w:r>
      <w:r w:rsidR="00C87743" w:rsidRPr="00C47563">
        <w:rPr>
          <w:rFonts w:ascii="Times New Roman" w:eastAsia="Times New Roman" w:hAnsi="Times New Roman" w:cs="Times New Roman"/>
          <w:sz w:val="26"/>
          <w:szCs w:val="26"/>
        </w:rPr>
        <w:t xml:space="preserve">.  Mr. Culbertson </w:t>
      </w:r>
      <w:r w:rsidR="00306E73" w:rsidRPr="00C47563">
        <w:rPr>
          <w:rFonts w:ascii="Times New Roman" w:eastAsia="Times New Roman" w:hAnsi="Times New Roman" w:cs="Times New Roman"/>
          <w:sz w:val="26"/>
          <w:szCs w:val="26"/>
        </w:rPr>
        <w:t xml:space="preserve">has </w:t>
      </w:r>
      <w:r w:rsidR="00C87743" w:rsidRPr="00C47563">
        <w:rPr>
          <w:rFonts w:ascii="Times New Roman" w:eastAsia="Times New Roman" w:hAnsi="Times New Roman" w:cs="Times New Roman"/>
          <w:sz w:val="26"/>
          <w:szCs w:val="26"/>
        </w:rPr>
        <w:t>also</w:t>
      </w:r>
      <w:r w:rsidR="00306E73" w:rsidRPr="00C47563">
        <w:rPr>
          <w:rFonts w:ascii="Times New Roman" w:eastAsia="Times New Roman" w:hAnsi="Times New Roman" w:cs="Times New Roman"/>
          <w:sz w:val="26"/>
          <w:szCs w:val="26"/>
        </w:rPr>
        <w:t xml:space="preserve"> made averments regarding Columbia’s audits, internal controls</w:t>
      </w:r>
      <w:r w:rsidR="008E2F8C" w:rsidRPr="00C47563">
        <w:rPr>
          <w:rFonts w:ascii="Times New Roman" w:eastAsia="Times New Roman" w:hAnsi="Times New Roman" w:cs="Times New Roman"/>
          <w:sz w:val="26"/>
          <w:szCs w:val="26"/>
        </w:rPr>
        <w:t xml:space="preserve">, rates, rate base, and safety. </w:t>
      </w:r>
      <w:r w:rsidR="000067B2" w:rsidRPr="00C47563">
        <w:rPr>
          <w:rFonts w:ascii="Times New Roman" w:eastAsia="Times New Roman" w:hAnsi="Times New Roman" w:cs="Times New Roman"/>
          <w:sz w:val="26"/>
          <w:szCs w:val="26"/>
        </w:rPr>
        <w:t xml:space="preserve"> </w:t>
      </w:r>
      <w:r w:rsidR="00415BC4" w:rsidRPr="00C47563">
        <w:rPr>
          <w:rFonts w:ascii="Times New Roman" w:eastAsia="Times New Roman" w:hAnsi="Times New Roman" w:cs="Times New Roman"/>
          <w:sz w:val="26"/>
          <w:szCs w:val="26"/>
        </w:rPr>
        <w:t>W</w:t>
      </w:r>
      <w:r w:rsidR="00551374" w:rsidRPr="00C47563">
        <w:rPr>
          <w:rFonts w:ascii="Times New Roman" w:eastAsia="Times New Roman" w:hAnsi="Times New Roman" w:cs="Times New Roman"/>
          <w:sz w:val="26"/>
          <w:szCs w:val="26"/>
        </w:rPr>
        <w:t xml:space="preserve">e will not consider Mr. Culbertson’s claims </w:t>
      </w:r>
      <w:r w:rsidR="001B5F1B" w:rsidRPr="00C47563">
        <w:rPr>
          <w:rFonts w:ascii="Times New Roman" w:eastAsia="Times New Roman" w:hAnsi="Times New Roman" w:cs="Times New Roman"/>
          <w:sz w:val="26"/>
          <w:szCs w:val="26"/>
        </w:rPr>
        <w:t>concerning</w:t>
      </w:r>
      <w:r w:rsidR="000C7ECB" w:rsidRPr="00C47563">
        <w:rPr>
          <w:rFonts w:ascii="Times New Roman" w:eastAsia="Times New Roman" w:hAnsi="Times New Roman" w:cs="Times New Roman"/>
          <w:sz w:val="26"/>
          <w:szCs w:val="26"/>
        </w:rPr>
        <w:t xml:space="preserve"> </w:t>
      </w:r>
      <w:r w:rsidR="00B8767B" w:rsidRPr="00C47563">
        <w:rPr>
          <w:rFonts w:ascii="Times New Roman" w:eastAsia="Times New Roman" w:hAnsi="Times New Roman" w:cs="Times New Roman"/>
          <w:sz w:val="26"/>
          <w:szCs w:val="26"/>
        </w:rPr>
        <w:t>his Service Line Complaint</w:t>
      </w:r>
      <w:r w:rsidR="00415BC4" w:rsidRPr="00C47563">
        <w:rPr>
          <w:rFonts w:ascii="Times New Roman" w:eastAsia="Times New Roman" w:hAnsi="Times New Roman" w:cs="Times New Roman"/>
          <w:sz w:val="26"/>
          <w:szCs w:val="26"/>
        </w:rPr>
        <w:t>,</w:t>
      </w:r>
      <w:r w:rsidR="00B8767B" w:rsidRPr="00C47563">
        <w:rPr>
          <w:rFonts w:ascii="Times New Roman" w:eastAsia="Times New Roman" w:hAnsi="Times New Roman" w:cs="Times New Roman"/>
          <w:sz w:val="26"/>
          <w:szCs w:val="26"/>
        </w:rPr>
        <w:t xml:space="preserve"> which is currently pending before this Commission</w:t>
      </w:r>
      <w:r w:rsidR="00415BC4" w:rsidRPr="00C47563">
        <w:rPr>
          <w:rFonts w:ascii="Times New Roman" w:eastAsia="Times New Roman" w:hAnsi="Times New Roman" w:cs="Times New Roman"/>
          <w:sz w:val="26"/>
          <w:szCs w:val="26"/>
        </w:rPr>
        <w:t>, as these claims are more properly resolved in the Service Line Complaint proceeding</w:t>
      </w:r>
      <w:r w:rsidR="00B8767B" w:rsidRPr="00C47563">
        <w:rPr>
          <w:rFonts w:ascii="Times New Roman" w:eastAsia="Times New Roman" w:hAnsi="Times New Roman" w:cs="Times New Roman"/>
          <w:sz w:val="26"/>
          <w:szCs w:val="26"/>
        </w:rPr>
        <w:t>.</w:t>
      </w:r>
      <w:r w:rsidR="00A528F7" w:rsidRPr="00C47563">
        <w:rPr>
          <w:rFonts w:ascii="Times New Roman" w:eastAsia="Times New Roman" w:hAnsi="Times New Roman" w:cs="Times New Roman"/>
          <w:sz w:val="26"/>
          <w:szCs w:val="26"/>
        </w:rPr>
        <w:t xml:space="preserve"> </w:t>
      </w:r>
      <w:r w:rsidR="00E6048F" w:rsidRPr="00C47563">
        <w:rPr>
          <w:rFonts w:ascii="Times New Roman" w:eastAsia="Times New Roman" w:hAnsi="Times New Roman" w:cs="Times New Roman"/>
          <w:sz w:val="26"/>
          <w:szCs w:val="26"/>
        </w:rPr>
        <w:t xml:space="preserve"> </w:t>
      </w:r>
      <w:r w:rsidR="00B8767B" w:rsidRPr="00C47563">
        <w:rPr>
          <w:rFonts w:ascii="Times New Roman" w:eastAsia="Times New Roman" w:hAnsi="Times New Roman" w:cs="Times New Roman"/>
          <w:sz w:val="26"/>
          <w:szCs w:val="26"/>
        </w:rPr>
        <w:t xml:space="preserve">We </w:t>
      </w:r>
      <w:r w:rsidR="00F32BDD" w:rsidRPr="00C47563">
        <w:rPr>
          <w:rFonts w:ascii="Times New Roman" w:eastAsia="Times New Roman" w:hAnsi="Times New Roman" w:cs="Times New Roman"/>
          <w:sz w:val="26"/>
          <w:szCs w:val="26"/>
        </w:rPr>
        <w:t xml:space="preserve">also will not consider any arguments Mr. Culbertson makes </w:t>
      </w:r>
      <w:r w:rsidR="001A3808" w:rsidRPr="00C47563">
        <w:rPr>
          <w:rFonts w:ascii="Times New Roman" w:eastAsia="Times New Roman" w:hAnsi="Times New Roman" w:cs="Times New Roman"/>
          <w:sz w:val="26"/>
          <w:szCs w:val="26"/>
        </w:rPr>
        <w:t>regarding Mr. Hicks’ service line</w:t>
      </w:r>
      <w:r w:rsidR="00532381" w:rsidRPr="00C47563">
        <w:rPr>
          <w:rFonts w:ascii="Times New Roman" w:eastAsia="Times New Roman" w:hAnsi="Times New Roman" w:cs="Times New Roman"/>
          <w:sz w:val="26"/>
          <w:szCs w:val="26"/>
        </w:rPr>
        <w:t>,</w:t>
      </w:r>
      <w:r w:rsidR="001A3808" w:rsidRPr="00C47563">
        <w:rPr>
          <w:rFonts w:ascii="Times New Roman" w:eastAsia="Times New Roman" w:hAnsi="Times New Roman" w:cs="Times New Roman"/>
          <w:sz w:val="26"/>
          <w:szCs w:val="26"/>
        </w:rPr>
        <w:t xml:space="preserve"> </w:t>
      </w:r>
      <w:r w:rsidR="00532381" w:rsidRPr="00C47563">
        <w:rPr>
          <w:rFonts w:ascii="Times New Roman" w:eastAsia="Times New Roman" w:hAnsi="Times New Roman" w:cs="Times New Roman"/>
          <w:sz w:val="26"/>
          <w:szCs w:val="26"/>
        </w:rPr>
        <w:t xml:space="preserve">as we agree </w:t>
      </w:r>
      <w:r w:rsidR="00A85AEA" w:rsidRPr="00C47563">
        <w:rPr>
          <w:rFonts w:ascii="Times New Roman" w:eastAsia="Times New Roman" w:hAnsi="Times New Roman" w:cs="Times New Roman"/>
          <w:sz w:val="26"/>
          <w:szCs w:val="26"/>
        </w:rPr>
        <w:t xml:space="preserve">with the ALJ </w:t>
      </w:r>
      <w:r w:rsidR="00532381" w:rsidRPr="00C47563">
        <w:rPr>
          <w:rFonts w:ascii="Times New Roman" w:eastAsia="Times New Roman" w:hAnsi="Times New Roman" w:cs="Times New Roman"/>
          <w:sz w:val="26"/>
          <w:szCs w:val="26"/>
        </w:rPr>
        <w:t>that these issues are</w:t>
      </w:r>
      <w:r w:rsidR="00A85AEA" w:rsidRPr="00C47563">
        <w:rPr>
          <w:rFonts w:ascii="Times New Roman" w:eastAsia="Times New Roman" w:hAnsi="Times New Roman" w:cs="Times New Roman"/>
          <w:sz w:val="26"/>
          <w:szCs w:val="26"/>
        </w:rPr>
        <w:t xml:space="preserve"> irrelevant and cannot be raised by Mr. Culbertson as he is not an attorney and cannot lawfully represent </w:t>
      </w:r>
      <w:r w:rsidR="00365DA3" w:rsidRPr="00C47563">
        <w:rPr>
          <w:rFonts w:ascii="Times New Roman" w:eastAsia="Times New Roman" w:hAnsi="Times New Roman" w:cs="Times New Roman"/>
          <w:sz w:val="26"/>
          <w:szCs w:val="26"/>
        </w:rPr>
        <w:t>another customer.</w:t>
      </w:r>
      <w:r w:rsidR="00E30277" w:rsidRPr="00C47563">
        <w:rPr>
          <w:rFonts w:ascii="Times New Roman" w:eastAsia="Times New Roman" w:hAnsi="Times New Roman" w:cs="Times New Roman"/>
          <w:sz w:val="26"/>
          <w:szCs w:val="26"/>
        </w:rPr>
        <w:t xml:space="preserve">  </w:t>
      </w:r>
      <w:r w:rsidR="00E30277" w:rsidRPr="00C47563">
        <w:rPr>
          <w:rFonts w:ascii="Times New Roman" w:eastAsia="Times New Roman" w:hAnsi="Times New Roman" w:cs="Times New Roman"/>
          <w:i/>
          <w:iCs/>
          <w:sz w:val="26"/>
          <w:szCs w:val="26"/>
        </w:rPr>
        <w:t>See</w:t>
      </w:r>
      <w:r w:rsidR="00E30277" w:rsidRPr="00C47563">
        <w:rPr>
          <w:rFonts w:ascii="Times New Roman" w:eastAsia="Times New Roman" w:hAnsi="Times New Roman" w:cs="Times New Roman"/>
          <w:sz w:val="26"/>
          <w:szCs w:val="26"/>
        </w:rPr>
        <w:t xml:space="preserve"> </w:t>
      </w:r>
      <w:r w:rsidR="00B25718" w:rsidRPr="00C47563">
        <w:rPr>
          <w:rFonts w:ascii="Times New Roman" w:eastAsia="Times New Roman" w:hAnsi="Times New Roman" w:cs="Times New Roman"/>
          <w:sz w:val="26"/>
          <w:szCs w:val="26"/>
        </w:rPr>
        <w:t xml:space="preserve">52 Pa. Code §§ </w:t>
      </w:r>
      <w:r w:rsidR="00E30277" w:rsidRPr="00C47563">
        <w:rPr>
          <w:rFonts w:ascii="Times New Roman" w:eastAsia="Times New Roman" w:hAnsi="Times New Roman" w:cs="Times New Roman"/>
          <w:sz w:val="26"/>
          <w:szCs w:val="26"/>
        </w:rPr>
        <w:t xml:space="preserve">1.21(b), </w:t>
      </w:r>
      <w:r w:rsidR="006448DC" w:rsidRPr="00C47563">
        <w:rPr>
          <w:rFonts w:ascii="Times New Roman" w:eastAsia="Times New Roman" w:hAnsi="Times New Roman" w:cs="Times New Roman"/>
          <w:sz w:val="26"/>
          <w:szCs w:val="26"/>
        </w:rPr>
        <w:t>1.22(a)</w:t>
      </w:r>
      <w:r w:rsidR="00B945EB" w:rsidRPr="00C47563">
        <w:rPr>
          <w:rFonts w:ascii="Times New Roman" w:eastAsia="Times New Roman" w:hAnsi="Times New Roman" w:cs="Times New Roman"/>
          <w:sz w:val="26"/>
          <w:szCs w:val="26"/>
        </w:rPr>
        <w:t>, 1.23(a)</w:t>
      </w:r>
      <w:r w:rsidR="00B25718" w:rsidRPr="00C47563">
        <w:rPr>
          <w:rFonts w:ascii="Times New Roman" w:eastAsia="Times New Roman" w:hAnsi="Times New Roman" w:cs="Times New Roman"/>
          <w:sz w:val="26"/>
          <w:szCs w:val="26"/>
        </w:rPr>
        <w:t xml:space="preserve">. </w:t>
      </w:r>
      <w:r w:rsidR="00C47563">
        <w:rPr>
          <w:rFonts w:ascii="Times New Roman" w:eastAsia="Times New Roman" w:hAnsi="Times New Roman" w:cs="Times New Roman"/>
          <w:sz w:val="26"/>
          <w:szCs w:val="26"/>
        </w:rPr>
        <w:t xml:space="preserve"> </w:t>
      </w:r>
    </w:p>
    <w:p w14:paraId="2F5EC91E" w14:textId="77777777" w:rsidR="00D06360" w:rsidRPr="00C47563" w:rsidRDefault="00D06360" w:rsidP="0094251F">
      <w:pPr>
        <w:spacing w:after="0" w:line="360" w:lineRule="auto"/>
        <w:ind w:firstLine="1440"/>
        <w:contextualSpacing/>
        <w:rPr>
          <w:rFonts w:ascii="Times New Roman" w:eastAsia="Times New Roman" w:hAnsi="Times New Roman" w:cs="Times New Roman"/>
          <w:sz w:val="26"/>
          <w:szCs w:val="26"/>
        </w:rPr>
      </w:pPr>
    </w:p>
    <w:p w14:paraId="187CB862" w14:textId="116B27E0" w:rsidR="00852B08" w:rsidRDefault="00920AD2" w:rsidP="00C47563">
      <w:pPr>
        <w:autoSpaceDE w:val="0"/>
        <w:autoSpaceDN w:val="0"/>
        <w:adjustRightInd w:val="0"/>
        <w:spacing w:after="0" w:line="360" w:lineRule="auto"/>
        <w:ind w:left="90" w:firstLine="1350"/>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Additionally, i</w:t>
      </w:r>
      <w:r w:rsidR="004B3BBB" w:rsidRPr="00C47563">
        <w:rPr>
          <w:rFonts w:ascii="Times New Roman" w:eastAsia="Times New Roman" w:hAnsi="Times New Roman" w:cs="Times New Roman"/>
          <w:sz w:val="26"/>
          <w:szCs w:val="26"/>
        </w:rPr>
        <w:t xml:space="preserve">n support of his claim that the Commission does not properly investigate </w:t>
      </w:r>
      <w:r w:rsidR="000D0B93" w:rsidRPr="00C47563">
        <w:rPr>
          <w:rFonts w:ascii="Times New Roman" w:eastAsia="Times New Roman" w:hAnsi="Times New Roman" w:cs="Times New Roman"/>
          <w:sz w:val="26"/>
          <w:szCs w:val="26"/>
        </w:rPr>
        <w:t xml:space="preserve">Columbia through </w:t>
      </w:r>
      <w:r w:rsidR="004D23CF" w:rsidRPr="00C47563">
        <w:rPr>
          <w:rFonts w:ascii="Times New Roman" w:eastAsia="Times New Roman" w:hAnsi="Times New Roman" w:cs="Times New Roman"/>
          <w:sz w:val="26"/>
          <w:szCs w:val="26"/>
        </w:rPr>
        <w:t xml:space="preserve">government audits, Mr. Culbertson makes </w:t>
      </w:r>
      <w:r w:rsidR="006131D3" w:rsidRPr="00C47563">
        <w:rPr>
          <w:rFonts w:ascii="Times New Roman" w:eastAsia="Times New Roman" w:hAnsi="Times New Roman" w:cs="Times New Roman"/>
          <w:sz w:val="26"/>
          <w:szCs w:val="26"/>
        </w:rPr>
        <w:t>various general statements in his testimony</w:t>
      </w:r>
      <w:r w:rsidR="00342E9E" w:rsidRPr="00C47563">
        <w:rPr>
          <w:rFonts w:ascii="Times New Roman" w:eastAsia="Times New Roman" w:hAnsi="Times New Roman" w:cs="Times New Roman"/>
          <w:sz w:val="26"/>
          <w:szCs w:val="26"/>
        </w:rPr>
        <w:t xml:space="preserve">, including statements that Columbia should be audited according to the </w:t>
      </w:r>
      <w:r w:rsidR="00732572" w:rsidRPr="00C47563">
        <w:rPr>
          <w:rFonts w:ascii="Times New Roman" w:eastAsia="Times New Roman" w:hAnsi="Times New Roman" w:cs="Times New Roman"/>
          <w:sz w:val="26"/>
          <w:szCs w:val="26"/>
        </w:rPr>
        <w:t xml:space="preserve">GAO Yellowbook.  </w:t>
      </w:r>
      <w:r w:rsidRPr="00C47563">
        <w:rPr>
          <w:rFonts w:ascii="Times New Roman" w:eastAsia="Times New Roman" w:hAnsi="Times New Roman" w:cs="Times New Roman"/>
          <w:sz w:val="26"/>
          <w:szCs w:val="26"/>
        </w:rPr>
        <w:t xml:space="preserve">Culbertson St. 1 at </w:t>
      </w:r>
      <w:r w:rsidR="00342E9E" w:rsidRPr="00C47563">
        <w:rPr>
          <w:rFonts w:ascii="Times New Roman" w:eastAsia="Times New Roman" w:hAnsi="Times New Roman" w:cs="Times New Roman"/>
          <w:sz w:val="26"/>
          <w:szCs w:val="26"/>
        </w:rPr>
        <w:t>15</w:t>
      </w:r>
      <w:r w:rsidR="007D546E" w:rsidRPr="00C47563">
        <w:rPr>
          <w:rFonts w:ascii="Times New Roman" w:eastAsia="Times New Roman" w:hAnsi="Times New Roman" w:cs="Times New Roman"/>
          <w:sz w:val="26"/>
          <w:szCs w:val="26"/>
        </w:rPr>
        <w:t xml:space="preserve">.  As we previously stated, </w:t>
      </w:r>
      <w:r w:rsidR="003F05F2" w:rsidRPr="00C47563">
        <w:rPr>
          <w:rFonts w:ascii="Times New Roman" w:eastAsia="Times New Roman" w:hAnsi="Times New Roman" w:cs="Times New Roman"/>
          <w:sz w:val="26"/>
          <w:szCs w:val="26"/>
        </w:rPr>
        <w:t xml:space="preserve">these statements are not relevant to this rate proceeding because the </w:t>
      </w:r>
      <w:r w:rsidR="00556EC3" w:rsidRPr="00C47563">
        <w:rPr>
          <w:rFonts w:ascii="Times New Roman" w:eastAsia="Times New Roman" w:hAnsi="Times New Roman" w:cs="Times New Roman"/>
          <w:sz w:val="26"/>
          <w:szCs w:val="26"/>
        </w:rPr>
        <w:t xml:space="preserve">GAO Yellow Book does not apply to the </w:t>
      </w:r>
      <w:r w:rsidR="003F05F2" w:rsidRPr="00C47563">
        <w:rPr>
          <w:rFonts w:ascii="Times New Roman" w:eastAsia="Times New Roman" w:hAnsi="Times New Roman" w:cs="Times New Roman"/>
          <w:sz w:val="26"/>
          <w:szCs w:val="26"/>
        </w:rPr>
        <w:t>Commission</w:t>
      </w:r>
      <w:r w:rsidR="00556EC3" w:rsidRPr="00C47563">
        <w:rPr>
          <w:rFonts w:ascii="Times New Roman" w:eastAsia="Times New Roman" w:hAnsi="Times New Roman" w:cs="Times New Roman"/>
          <w:sz w:val="26"/>
          <w:szCs w:val="26"/>
        </w:rPr>
        <w:t xml:space="preserve">’s conduction of audits.  </w:t>
      </w:r>
      <w:r w:rsidR="00440147" w:rsidRPr="00C47563">
        <w:rPr>
          <w:rFonts w:ascii="Times New Roman" w:eastAsia="Times New Roman" w:hAnsi="Times New Roman" w:cs="Times New Roman"/>
          <w:sz w:val="26"/>
          <w:szCs w:val="26"/>
        </w:rPr>
        <w:t xml:space="preserve">Rather, the </w:t>
      </w:r>
      <w:r w:rsidR="00860E82" w:rsidRPr="00C47563">
        <w:rPr>
          <w:rFonts w:ascii="Times New Roman" w:eastAsia="Times New Roman" w:hAnsi="Times New Roman" w:cs="Times New Roman"/>
          <w:sz w:val="26"/>
          <w:szCs w:val="26"/>
        </w:rPr>
        <w:t xml:space="preserve">Commission conducts </w:t>
      </w:r>
      <w:r w:rsidR="00A75CD5" w:rsidRPr="00C47563">
        <w:rPr>
          <w:rFonts w:ascii="Times New Roman" w:eastAsia="Times New Roman" w:hAnsi="Times New Roman" w:cs="Times New Roman"/>
          <w:sz w:val="26"/>
          <w:szCs w:val="26"/>
        </w:rPr>
        <w:t>audits of jurisdictional public utilities pursuant to Section 516(a) of the Code, 66 Pa. C.S. § 516(a)</w:t>
      </w:r>
      <w:r w:rsidR="00DA2E8D" w:rsidRPr="00C47563">
        <w:rPr>
          <w:rFonts w:ascii="Times New Roman" w:eastAsia="Times New Roman" w:hAnsi="Times New Roman" w:cs="Times New Roman"/>
          <w:sz w:val="26"/>
          <w:szCs w:val="26"/>
        </w:rPr>
        <w:t>,</w:t>
      </w:r>
      <w:r w:rsidR="00A75CD5" w:rsidRPr="00C47563">
        <w:rPr>
          <w:rFonts w:ascii="Times New Roman" w:eastAsia="Times New Roman" w:hAnsi="Times New Roman" w:cs="Times New Roman"/>
          <w:sz w:val="26"/>
          <w:szCs w:val="26"/>
        </w:rPr>
        <w:t xml:space="preserve"> and </w:t>
      </w:r>
      <w:r w:rsidR="00DA2E8D" w:rsidRPr="00C47563">
        <w:rPr>
          <w:rFonts w:ascii="Times New Roman" w:eastAsia="Times New Roman" w:hAnsi="Times New Roman" w:cs="Times New Roman"/>
          <w:sz w:val="26"/>
          <w:szCs w:val="26"/>
        </w:rPr>
        <w:t xml:space="preserve">the Commission’s Bureau of Audits </w:t>
      </w:r>
      <w:r w:rsidR="00BC015B" w:rsidRPr="00C47563">
        <w:rPr>
          <w:rFonts w:ascii="Times New Roman" w:eastAsia="Times New Roman" w:hAnsi="Times New Roman" w:cs="Times New Roman"/>
          <w:sz w:val="26"/>
          <w:szCs w:val="26"/>
        </w:rPr>
        <w:t>is responsible for financial and management audits of such public utilities.</w:t>
      </w:r>
      <w:r w:rsidR="003D16D3" w:rsidRPr="00C47563">
        <w:rPr>
          <w:rFonts w:ascii="Times New Roman" w:eastAsia="Times New Roman" w:hAnsi="Times New Roman" w:cs="Times New Roman"/>
          <w:sz w:val="26"/>
          <w:szCs w:val="26"/>
        </w:rPr>
        <w:t xml:space="preserve">  </w:t>
      </w:r>
      <w:r w:rsidR="00CA5B21" w:rsidRPr="00C47563">
        <w:rPr>
          <w:rFonts w:ascii="Times New Roman" w:eastAsia="Times New Roman" w:hAnsi="Times New Roman" w:cs="Times New Roman"/>
          <w:sz w:val="26"/>
          <w:szCs w:val="26"/>
        </w:rPr>
        <w:t>Mr. Culbert</w:t>
      </w:r>
      <w:r w:rsidR="008D2DEC" w:rsidRPr="00C47563">
        <w:rPr>
          <w:rFonts w:ascii="Times New Roman" w:eastAsia="Times New Roman" w:hAnsi="Times New Roman" w:cs="Times New Roman"/>
          <w:sz w:val="26"/>
          <w:szCs w:val="26"/>
        </w:rPr>
        <w:t>s</w:t>
      </w:r>
      <w:r w:rsidR="00CA5B21" w:rsidRPr="00C47563">
        <w:rPr>
          <w:rFonts w:ascii="Times New Roman" w:eastAsia="Times New Roman" w:hAnsi="Times New Roman" w:cs="Times New Roman"/>
          <w:sz w:val="26"/>
          <w:szCs w:val="26"/>
        </w:rPr>
        <w:t>on</w:t>
      </w:r>
      <w:r w:rsidR="008D2DEC" w:rsidRPr="00C47563">
        <w:rPr>
          <w:rFonts w:ascii="Times New Roman" w:eastAsia="Times New Roman" w:hAnsi="Times New Roman" w:cs="Times New Roman"/>
          <w:sz w:val="26"/>
          <w:szCs w:val="26"/>
        </w:rPr>
        <w:t xml:space="preserve"> also made general</w:t>
      </w:r>
      <w:r w:rsidR="00CA5B21" w:rsidRPr="00C47563">
        <w:rPr>
          <w:rFonts w:ascii="Times New Roman" w:eastAsia="Times New Roman" w:hAnsi="Times New Roman" w:cs="Times New Roman"/>
          <w:sz w:val="26"/>
          <w:szCs w:val="26"/>
        </w:rPr>
        <w:t xml:space="preserve"> </w:t>
      </w:r>
      <w:r w:rsidR="003D16D3" w:rsidRPr="00C47563">
        <w:rPr>
          <w:rFonts w:ascii="Times New Roman" w:eastAsia="Times New Roman" w:hAnsi="Times New Roman" w:cs="Times New Roman"/>
          <w:sz w:val="26"/>
          <w:szCs w:val="26"/>
        </w:rPr>
        <w:t xml:space="preserve">claims that </w:t>
      </w:r>
      <w:r w:rsidR="00553167" w:rsidRPr="00C47563">
        <w:rPr>
          <w:rFonts w:ascii="Times New Roman" w:eastAsia="Times New Roman" w:hAnsi="Times New Roman" w:cs="Times New Roman"/>
          <w:sz w:val="26"/>
          <w:szCs w:val="26"/>
        </w:rPr>
        <w:t>Columbia does not have adequate internal controls within the Company</w:t>
      </w:r>
      <w:r w:rsidR="00593EC3" w:rsidRPr="00C47563">
        <w:rPr>
          <w:rFonts w:ascii="Times New Roman" w:eastAsia="Times New Roman" w:hAnsi="Times New Roman" w:cs="Times New Roman"/>
          <w:sz w:val="26"/>
          <w:szCs w:val="26"/>
        </w:rPr>
        <w:t xml:space="preserve"> and that, as a result, the Company’s rates are not just and reasonable</w:t>
      </w:r>
      <w:r w:rsidR="003C54ED" w:rsidRPr="00C47563">
        <w:rPr>
          <w:rFonts w:ascii="Times New Roman" w:eastAsia="Times New Roman" w:hAnsi="Times New Roman" w:cs="Times New Roman"/>
          <w:sz w:val="26"/>
          <w:szCs w:val="26"/>
        </w:rPr>
        <w:t xml:space="preserve"> (Culbertson St. 1 at </w:t>
      </w:r>
      <w:r w:rsidR="00CA5B21" w:rsidRPr="00C47563">
        <w:rPr>
          <w:rFonts w:ascii="Times New Roman" w:eastAsia="Times New Roman" w:hAnsi="Times New Roman" w:cs="Times New Roman"/>
          <w:sz w:val="26"/>
          <w:szCs w:val="26"/>
        </w:rPr>
        <w:t>2, 17-21, 36)</w:t>
      </w:r>
      <w:r w:rsidR="00600C93" w:rsidRPr="00C47563">
        <w:rPr>
          <w:rFonts w:ascii="Times New Roman" w:eastAsia="Times New Roman" w:hAnsi="Times New Roman" w:cs="Times New Roman"/>
          <w:sz w:val="26"/>
          <w:szCs w:val="26"/>
        </w:rPr>
        <w:t xml:space="preserve"> and </w:t>
      </w:r>
      <w:r w:rsidR="001563AD" w:rsidRPr="00C47563">
        <w:rPr>
          <w:rFonts w:ascii="Times New Roman" w:eastAsia="Times New Roman" w:hAnsi="Times New Roman" w:cs="Times New Roman"/>
          <w:sz w:val="26"/>
          <w:szCs w:val="26"/>
        </w:rPr>
        <w:t>that Columbia’s distribution system is un</w:t>
      </w:r>
      <w:r w:rsidR="00595936" w:rsidRPr="00C47563">
        <w:rPr>
          <w:rFonts w:ascii="Times New Roman" w:eastAsia="Times New Roman" w:hAnsi="Times New Roman" w:cs="Times New Roman"/>
          <w:sz w:val="26"/>
          <w:szCs w:val="26"/>
        </w:rPr>
        <w:t>safe and the Company has not take</w:t>
      </w:r>
      <w:r w:rsidR="00DA5206" w:rsidRPr="00C47563">
        <w:rPr>
          <w:rFonts w:ascii="Times New Roman" w:eastAsia="Times New Roman" w:hAnsi="Times New Roman" w:cs="Times New Roman"/>
          <w:sz w:val="26"/>
          <w:szCs w:val="26"/>
        </w:rPr>
        <w:t>n the implementation of the American Petroleum Institute R</w:t>
      </w:r>
      <w:r w:rsidR="00222EB7" w:rsidRPr="00C47563">
        <w:rPr>
          <w:rFonts w:ascii="Times New Roman" w:eastAsia="Times New Roman" w:hAnsi="Times New Roman" w:cs="Times New Roman"/>
          <w:sz w:val="26"/>
          <w:szCs w:val="26"/>
        </w:rPr>
        <w:t>e</w:t>
      </w:r>
      <w:r w:rsidR="00DA5206" w:rsidRPr="00C47563">
        <w:rPr>
          <w:rFonts w:ascii="Times New Roman" w:eastAsia="Times New Roman" w:hAnsi="Times New Roman" w:cs="Times New Roman"/>
          <w:sz w:val="26"/>
          <w:szCs w:val="26"/>
        </w:rPr>
        <w:t>c</w:t>
      </w:r>
      <w:r w:rsidR="00222EB7" w:rsidRPr="00C47563">
        <w:rPr>
          <w:rFonts w:ascii="Times New Roman" w:eastAsia="Times New Roman" w:hAnsi="Times New Roman" w:cs="Times New Roman"/>
          <w:sz w:val="26"/>
          <w:szCs w:val="26"/>
        </w:rPr>
        <w:t>ommended Practice</w:t>
      </w:r>
      <w:r w:rsidR="003D7EBC">
        <w:rPr>
          <w:rFonts w:ascii="Times New Roman" w:eastAsia="Times New Roman" w:hAnsi="Times New Roman" w:cs="Times New Roman"/>
          <w:sz w:val="26"/>
          <w:szCs w:val="26"/>
        </w:rPr>
        <w:t> </w:t>
      </w:r>
      <w:r w:rsidR="00222EB7" w:rsidRPr="00C47563">
        <w:rPr>
          <w:rFonts w:ascii="Times New Roman" w:eastAsia="Times New Roman" w:hAnsi="Times New Roman" w:cs="Times New Roman"/>
          <w:sz w:val="26"/>
          <w:szCs w:val="26"/>
        </w:rPr>
        <w:t xml:space="preserve">1173 – Pipeline Safety Management Systems </w:t>
      </w:r>
      <w:r w:rsidR="00B63E44" w:rsidRPr="00C47563">
        <w:rPr>
          <w:rFonts w:ascii="Times New Roman" w:eastAsia="Times New Roman" w:hAnsi="Times New Roman" w:cs="Times New Roman"/>
          <w:sz w:val="26"/>
          <w:szCs w:val="26"/>
        </w:rPr>
        <w:t xml:space="preserve">(API 1173) </w:t>
      </w:r>
      <w:r w:rsidR="00222EB7" w:rsidRPr="00C47563">
        <w:rPr>
          <w:rFonts w:ascii="Times New Roman" w:eastAsia="Times New Roman" w:hAnsi="Times New Roman" w:cs="Times New Roman"/>
          <w:sz w:val="26"/>
          <w:szCs w:val="26"/>
        </w:rPr>
        <w:t>seriously.</w:t>
      </w:r>
      <w:r w:rsidR="00CF6E8E" w:rsidRPr="00C47563">
        <w:rPr>
          <w:rStyle w:val="FootnoteReference"/>
          <w:rFonts w:ascii="Times New Roman" w:eastAsia="Times New Roman" w:hAnsi="Times New Roman" w:cs="Times New Roman"/>
          <w:sz w:val="26"/>
          <w:szCs w:val="26"/>
        </w:rPr>
        <w:footnoteReference w:id="18"/>
      </w:r>
      <w:r w:rsidR="00553167" w:rsidRPr="00C47563">
        <w:rPr>
          <w:rFonts w:ascii="Times New Roman" w:eastAsia="Times New Roman" w:hAnsi="Times New Roman" w:cs="Times New Roman"/>
          <w:sz w:val="26"/>
          <w:szCs w:val="26"/>
        </w:rPr>
        <w:t xml:space="preserve"> </w:t>
      </w:r>
      <w:r w:rsidR="00222EB7" w:rsidRPr="00C47563">
        <w:rPr>
          <w:rFonts w:ascii="Times New Roman" w:eastAsia="Times New Roman" w:hAnsi="Times New Roman" w:cs="Times New Roman"/>
          <w:sz w:val="26"/>
          <w:szCs w:val="26"/>
        </w:rPr>
        <w:t xml:space="preserve"> </w:t>
      </w:r>
      <w:r w:rsidR="00515BFB" w:rsidRPr="00C47563">
        <w:rPr>
          <w:rFonts w:ascii="Times New Roman" w:eastAsia="Times New Roman" w:hAnsi="Times New Roman" w:cs="Times New Roman"/>
          <w:sz w:val="26"/>
          <w:szCs w:val="26"/>
        </w:rPr>
        <w:t>H</w:t>
      </w:r>
      <w:r w:rsidR="008D2DEC" w:rsidRPr="00C47563">
        <w:rPr>
          <w:rFonts w:ascii="Times New Roman" w:eastAsia="Times New Roman" w:hAnsi="Times New Roman" w:cs="Times New Roman"/>
          <w:sz w:val="26"/>
          <w:szCs w:val="26"/>
        </w:rPr>
        <w:t xml:space="preserve">owever </w:t>
      </w:r>
      <w:r w:rsidR="00515BFB" w:rsidRPr="00C47563">
        <w:rPr>
          <w:rFonts w:ascii="Times New Roman" w:eastAsia="Times New Roman" w:hAnsi="Times New Roman" w:cs="Times New Roman"/>
          <w:sz w:val="26"/>
          <w:szCs w:val="26"/>
        </w:rPr>
        <w:t>Mr. Culbertson</w:t>
      </w:r>
      <w:r w:rsidR="008D2DEC" w:rsidRPr="00C47563">
        <w:rPr>
          <w:rFonts w:ascii="Times New Roman" w:eastAsia="Times New Roman" w:hAnsi="Times New Roman" w:cs="Times New Roman"/>
          <w:sz w:val="26"/>
          <w:szCs w:val="26"/>
        </w:rPr>
        <w:t xml:space="preserve"> did not present any evidence in support of these claims</w:t>
      </w:r>
      <w:r w:rsidR="00AC0E61" w:rsidRPr="00C47563">
        <w:rPr>
          <w:rFonts w:ascii="Times New Roman" w:eastAsia="Times New Roman" w:hAnsi="Times New Roman" w:cs="Times New Roman"/>
          <w:sz w:val="26"/>
          <w:szCs w:val="26"/>
        </w:rPr>
        <w:t>.</w:t>
      </w:r>
      <w:r w:rsidR="00BA54F6" w:rsidRPr="00C47563">
        <w:rPr>
          <w:rStyle w:val="FootnoteReference"/>
          <w:rFonts w:ascii="Times New Roman" w:eastAsia="Times New Roman" w:hAnsi="Times New Roman" w:cs="Times New Roman"/>
          <w:sz w:val="26"/>
          <w:szCs w:val="26"/>
        </w:rPr>
        <w:footnoteReference w:id="19"/>
      </w:r>
      <w:r w:rsidR="00AC0E61" w:rsidRPr="00C47563">
        <w:rPr>
          <w:rFonts w:ascii="Times New Roman" w:eastAsia="Times New Roman" w:hAnsi="Times New Roman" w:cs="Times New Roman"/>
          <w:sz w:val="26"/>
          <w:szCs w:val="26"/>
        </w:rPr>
        <w:t xml:space="preserve">  </w:t>
      </w:r>
    </w:p>
    <w:p w14:paraId="16F91C4C" w14:textId="77777777" w:rsidR="0094251F" w:rsidRPr="00C47563" w:rsidRDefault="0094251F" w:rsidP="00C47563">
      <w:pPr>
        <w:autoSpaceDE w:val="0"/>
        <w:autoSpaceDN w:val="0"/>
        <w:adjustRightInd w:val="0"/>
        <w:spacing w:after="0" w:line="360" w:lineRule="auto"/>
        <w:ind w:left="90" w:firstLine="1350"/>
        <w:rPr>
          <w:rFonts w:ascii="Times New Roman" w:eastAsia="Times New Roman" w:hAnsi="Times New Roman" w:cs="Times New Roman"/>
          <w:sz w:val="26"/>
          <w:szCs w:val="26"/>
        </w:rPr>
      </w:pPr>
    </w:p>
    <w:p w14:paraId="05F836FE" w14:textId="525414CB" w:rsidR="00B16C47" w:rsidRPr="00C47563" w:rsidRDefault="000C664F"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Mr. Culbertson further averred that </w:t>
      </w:r>
      <w:r w:rsidR="00B07B96" w:rsidRPr="00C47563">
        <w:rPr>
          <w:rFonts w:ascii="Times New Roman" w:eastAsia="Times New Roman" w:hAnsi="Times New Roman" w:cs="Times New Roman"/>
          <w:sz w:val="26"/>
          <w:szCs w:val="26"/>
        </w:rPr>
        <w:t xml:space="preserve">Columbia’s rates are not just and reasonable based on the size of the Company and </w:t>
      </w:r>
      <w:r w:rsidR="00BD2A2B" w:rsidRPr="00C47563">
        <w:rPr>
          <w:rFonts w:ascii="Times New Roman" w:eastAsia="Times New Roman" w:hAnsi="Times New Roman" w:cs="Times New Roman"/>
          <w:sz w:val="26"/>
          <w:szCs w:val="26"/>
        </w:rPr>
        <w:t xml:space="preserve">presented an exhibit of a chart containing information on the rate bases of </w:t>
      </w:r>
      <w:r w:rsidR="000473BB" w:rsidRPr="00C47563">
        <w:rPr>
          <w:rFonts w:ascii="Times New Roman" w:eastAsia="Times New Roman" w:hAnsi="Times New Roman" w:cs="Times New Roman"/>
          <w:sz w:val="26"/>
          <w:szCs w:val="26"/>
        </w:rPr>
        <w:t xml:space="preserve">Columbia and its companies in Kentucky, </w:t>
      </w:r>
      <w:r w:rsidR="0095642B" w:rsidRPr="00C47563">
        <w:rPr>
          <w:rFonts w:ascii="Times New Roman" w:eastAsia="Times New Roman" w:hAnsi="Times New Roman" w:cs="Times New Roman"/>
          <w:sz w:val="26"/>
          <w:szCs w:val="26"/>
        </w:rPr>
        <w:t xml:space="preserve">Maryland, Ohio, Virginia, and Indiana, </w:t>
      </w:r>
      <w:r w:rsidR="00F31F22" w:rsidRPr="00C47563">
        <w:rPr>
          <w:rFonts w:ascii="Times New Roman" w:eastAsia="Times New Roman" w:hAnsi="Times New Roman" w:cs="Times New Roman"/>
          <w:sz w:val="26"/>
          <w:szCs w:val="26"/>
        </w:rPr>
        <w:t xml:space="preserve">which are owned by the same parent company, NiSource, Inc.  Culbertson St. </w:t>
      </w:r>
      <w:r w:rsidR="007C5FFC" w:rsidRPr="00C47563">
        <w:rPr>
          <w:rFonts w:ascii="Times New Roman" w:eastAsia="Times New Roman" w:hAnsi="Times New Roman" w:cs="Times New Roman"/>
          <w:sz w:val="26"/>
          <w:szCs w:val="26"/>
        </w:rPr>
        <w:t xml:space="preserve">1 at 18, </w:t>
      </w:r>
      <w:r w:rsidR="00E67EEF" w:rsidRPr="00C47563">
        <w:rPr>
          <w:rFonts w:ascii="Times New Roman" w:eastAsia="Times New Roman" w:hAnsi="Times New Roman" w:cs="Times New Roman"/>
          <w:sz w:val="26"/>
          <w:szCs w:val="26"/>
        </w:rPr>
        <w:t xml:space="preserve">20, </w:t>
      </w:r>
      <w:r w:rsidR="007C5FFC" w:rsidRPr="00C47563">
        <w:rPr>
          <w:rFonts w:ascii="Times New Roman" w:eastAsia="Times New Roman" w:hAnsi="Times New Roman" w:cs="Times New Roman"/>
          <w:sz w:val="26"/>
          <w:szCs w:val="26"/>
        </w:rPr>
        <w:t>58</w:t>
      </w:r>
      <w:r w:rsidR="00AC5000" w:rsidRPr="00C47563">
        <w:rPr>
          <w:rFonts w:ascii="Times New Roman" w:eastAsia="Times New Roman" w:hAnsi="Times New Roman" w:cs="Times New Roman"/>
          <w:sz w:val="26"/>
          <w:szCs w:val="26"/>
        </w:rPr>
        <w:t>; Culbertson Exhs. A, B.</w:t>
      </w:r>
      <w:r w:rsidR="007C5FFC" w:rsidRPr="00C47563">
        <w:rPr>
          <w:rFonts w:ascii="Times New Roman" w:eastAsia="Times New Roman" w:hAnsi="Times New Roman" w:cs="Times New Roman"/>
          <w:sz w:val="26"/>
          <w:szCs w:val="26"/>
        </w:rPr>
        <w:t xml:space="preserve"> </w:t>
      </w:r>
      <w:r w:rsidR="009D1D89" w:rsidRPr="00C47563">
        <w:rPr>
          <w:rFonts w:ascii="Times New Roman" w:eastAsia="Times New Roman" w:hAnsi="Times New Roman" w:cs="Times New Roman"/>
          <w:sz w:val="26"/>
          <w:szCs w:val="26"/>
        </w:rPr>
        <w:t xml:space="preserve"> Mr. Culbertson argued that because the </w:t>
      </w:r>
      <w:r w:rsidR="00ED6118" w:rsidRPr="00C47563">
        <w:rPr>
          <w:rFonts w:ascii="Times New Roman" w:eastAsia="Times New Roman" w:hAnsi="Times New Roman" w:cs="Times New Roman"/>
          <w:sz w:val="26"/>
          <w:szCs w:val="26"/>
        </w:rPr>
        <w:t xml:space="preserve">rates in Pennsylvania are higher than the rates in other states, this makes </w:t>
      </w:r>
      <w:r w:rsidR="00E67EEF" w:rsidRPr="00C47563">
        <w:rPr>
          <w:rFonts w:ascii="Times New Roman" w:eastAsia="Times New Roman" w:hAnsi="Times New Roman" w:cs="Times New Roman"/>
          <w:sz w:val="26"/>
          <w:szCs w:val="26"/>
        </w:rPr>
        <w:t>Columbia’s financials suspect.</w:t>
      </w:r>
      <w:r w:rsidR="006E1CA5" w:rsidRPr="00C47563">
        <w:rPr>
          <w:rFonts w:ascii="Times New Roman" w:eastAsia="Times New Roman" w:hAnsi="Times New Roman" w:cs="Times New Roman"/>
          <w:sz w:val="26"/>
          <w:szCs w:val="26"/>
        </w:rPr>
        <w:t xml:space="preserve">  We have previously held that </w:t>
      </w:r>
      <w:r w:rsidR="00AB53DD" w:rsidRPr="00C47563">
        <w:rPr>
          <w:rFonts w:ascii="Times New Roman" w:hAnsi="Times New Roman" w:cs="Times New Roman"/>
          <w:sz w:val="26"/>
          <w:szCs w:val="26"/>
        </w:rPr>
        <w:t>because each public utility has different problems of supply, production, distribution, competition, and geographic conditions, there need not be, and cannot be, absolute equality and uniformity of rates between utilities or between classes of service within the same utility</w:t>
      </w:r>
      <w:r w:rsidR="00AC5B8C" w:rsidRPr="00C47563">
        <w:rPr>
          <w:rFonts w:ascii="Times New Roman" w:hAnsi="Times New Roman" w:cs="Times New Roman"/>
          <w:sz w:val="26"/>
          <w:szCs w:val="26"/>
        </w:rPr>
        <w:t xml:space="preserve">.  </w:t>
      </w:r>
      <w:r w:rsidR="00D918DD" w:rsidRPr="00C47563">
        <w:rPr>
          <w:rFonts w:ascii="Times New Roman" w:eastAsia="Times New Roman" w:hAnsi="Times New Roman" w:cs="Times New Roman"/>
          <w:i/>
          <w:iCs/>
          <w:sz w:val="26"/>
          <w:szCs w:val="26"/>
        </w:rPr>
        <w:t>Hersca v. Twin Lakes Utilities, Inc</w:t>
      </w:r>
      <w:r w:rsidR="00D918DD" w:rsidRPr="00C47563">
        <w:rPr>
          <w:rFonts w:ascii="Times New Roman" w:eastAsia="Times New Roman" w:hAnsi="Times New Roman" w:cs="Times New Roman"/>
          <w:sz w:val="26"/>
          <w:szCs w:val="26"/>
        </w:rPr>
        <w:t xml:space="preserve">., Docket No. </w:t>
      </w:r>
      <w:r w:rsidR="00DB4DB3" w:rsidRPr="00C47563">
        <w:rPr>
          <w:rFonts w:ascii="Times New Roman" w:eastAsia="Times New Roman" w:hAnsi="Times New Roman" w:cs="Times New Roman"/>
          <w:sz w:val="26"/>
          <w:szCs w:val="26"/>
        </w:rPr>
        <w:t xml:space="preserve">C-2020-3020883, at 14 (Order entered </w:t>
      </w:r>
      <w:r w:rsidR="00095773" w:rsidRPr="00C47563">
        <w:rPr>
          <w:rFonts w:ascii="Times New Roman" w:eastAsia="Times New Roman" w:hAnsi="Times New Roman" w:cs="Times New Roman"/>
          <w:sz w:val="26"/>
          <w:szCs w:val="26"/>
        </w:rPr>
        <w:t>August</w:t>
      </w:r>
      <w:r w:rsidR="003D7EBC">
        <w:rPr>
          <w:rFonts w:ascii="Times New Roman" w:eastAsia="Times New Roman" w:hAnsi="Times New Roman" w:cs="Times New Roman"/>
          <w:sz w:val="26"/>
          <w:szCs w:val="26"/>
        </w:rPr>
        <w:t> </w:t>
      </w:r>
      <w:r w:rsidR="00095773" w:rsidRPr="00C47563">
        <w:rPr>
          <w:rFonts w:ascii="Times New Roman" w:eastAsia="Times New Roman" w:hAnsi="Times New Roman" w:cs="Times New Roman"/>
          <w:sz w:val="26"/>
          <w:szCs w:val="26"/>
        </w:rPr>
        <w:t>5,</w:t>
      </w:r>
      <w:r w:rsidR="003D7EBC">
        <w:rPr>
          <w:rFonts w:ascii="Times New Roman" w:eastAsia="Times New Roman" w:hAnsi="Times New Roman" w:cs="Times New Roman"/>
          <w:sz w:val="26"/>
          <w:szCs w:val="26"/>
        </w:rPr>
        <w:t> </w:t>
      </w:r>
      <w:r w:rsidR="00095773" w:rsidRPr="00C47563">
        <w:rPr>
          <w:rFonts w:ascii="Times New Roman" w:eastAsia="Times New Roman" w:hAnsi="Times New Roman" w:cs="Times New Roman"/>
          <w:sz w:val="26"/>
          <w:szCs w:val="26"/>
        </w:rPr>
        <w:t>2021)</w:t>
      </w:r>
      <w:r w:rsidR="009C3DA8" w:rsidRPr="00C47563">
        <w:rPr>
          <w:rFonts w:ascii="Times New Roman" w:hAnsi="Times New Roman" w:cs="Times New Roman"/>
          <w:sz w:val="26"/>
          <w:szCs w:val="26"/>
        </w:rPr>
        <w:t xml:space="preserve">.  </w:t>
      </w:r>
      <w:r w:rsidR="00B16C47" w:rsidRPr="00C47563">
        <w:rPr>
          <w:rFonts w:ascii="Times New Roman" w:hAnsi="Times New Roman" w:cs="Times New Roman"/>
          <w:sz w:val="26"/>
          <w:szCs w:val="26"/>
        </w:rPr>
        <w:t xml:space="preserve">In this case, </w:t>
      </w:r>
      <w:r w:rsidR="00B16C47" w:rsidRPr="00C47563">
        <w:rPr>
          <w:rFonts w:ascii="Times New Roman" w:eastAsia="Times New Roman" w:hAnsi="Times New Roman" w:cs="Times New Roman"/>
          <w:sz w:val="26"/>
          <w:szCs w:val="26"/>
        </w:rPr>
        <w:t>Columbia’s witnesses testified</w:t>
      </w:r>
      <w:r w:rsidR="006B1B9F" w:rsidRPr="00C47563">
        <w:rPr>
          <w:rFonts w:ascii="Times New Roman" w:eastAsia="Times New Roman" w:hAnsi="Times New Roman" w:cs="Times New Roman"/>
          <w:sz w:val="26"/>
          <w:szCs w:val="26"/>
        </w:rPr>
        <w:t xml:space="preserve"> that</w:t>
      </w:r>
      <w:r w:rsidR="00B16C47" w:rsidRPr="00C47563">
        <w:rPr>
          <w:rFonts w:ascii="Times New Roman" w:eastAsia="Times New Roman" w:hAnsi="Times New Roman" w:cs="Times New Roman"/>
          <w:sz w:val="26"/>
          <w:szCs w:val="26"/>
        </w:rPr>
        <w:t xml:space="preserve"> rate base may differ among utilities and jurisdictions based on differences in size, territory, number and types of customers, location of customers, and differing state and local laws.  Further, this Commission has no jurisdiction to investigate rate bases of utilities outside its jurisdiction.  While Columbia maintains records of its plant in service, no </w:t>
      </w:r>
      <w:r w:rsidR="000F5428" w:rsidRPr="00C47563">
        <w:rPr>
          <w:rFonts w:ascii="Times New Roman" w:eastAsia="Times New Roman" w:hAnsi="Times New Roman" w:cs="Times New Roman"/>
          <w:sz w:val="26"/>
          <w:szCs w:val="26"/>
        </w:rPr>
        <w:t>P</w:t>
      </w:r>
      <w:r w:rsidR="00B16C47" w:rsidRPr="00C47563">
        <w:rPr>
          <w:rFonts w:ascii="Times New Roman" w:eastAsia="Times New Roman" w:hAnsi="Times New Roman" w:cs="Times New Roman"/>
          <w:sz w:val="26"/>
          <w:szCs w:val="26"/>
        </w:rPr>
        <w:t xml:space="preserve">arty, including Mr. Culbertson, challenged any asset as imprudently constructed or at an excessive cost.  </w:t>
      </w:r>
      <w:r w:rsidR="00976513" w:rsidRPr="00C47563">
        <w:rPr>
          <w:rFonts w:ascii="Times New Roman" w:eastAsia="Times New Roman" w:hAnsi="Times New Roman" w:cs="Times New Roman"/>
          <w:i/>
          <w:iCs/>
          <w:sz w:val="26"/>
          <w:szCs w:val="26"/>
        </w:rPr>
        <w:t>See</w:t>
      </w:r>
      <w:r w:rsidR="00976513" w:rsidRPr="00C47563">
        <w:rPr>
          <w:rFonts w:ascii="Times New Roman" w:eastAsia="Times New Roman" w:hAnsi="Times New Roman" w:cs="Times New Roman"/>
          <w:sz w:val="26"/>
          <w:szCs w:val="26"/>
        </w:rPr>
        <w:t xml:space="preserve"> </w:t>
      </w:r>
      <w:r w:rsidR="00B16C47" w:rsidRPr="00C47563">
        <w:rPr>
          <w:rFonts w:ascii="Times New Roman" w:eastAsia="Times New Roman" w:hAnsi="Times New Roman" w:cs="Times New Roman"/>
          <w:sz w:val="26"/>
          <w:szCs w:val="26"/>
        </w:rPr>
        <w:t>R. Exc. at 9; Columbia M.B. at 20-21, Columbia R.B. at 8-9.</w:t>
      </w:r>
      <w:r w:rsidR="00DE49D0" w:rsidRPr="00C47563">
        <w:rPr>
          <w:rFonts w:ascii="Times New Roman" w:eastAsia="Times New Roman" w:hAnsi="Times New Roman" w:cs="Times New Roman"/>
          <w:sz w:val="26"/>
          <w:szCs w:val="26"/>
        </w:rPr>
        <w:t xml:space="preserve">  For all of these reasons, we deny Mr. Culbertson’s Exception</w:t>
      </w:r>
      <w:r w:rsidR="00064114" w:rsidRPr="00C47563">
        <w:rPr>
          <w:rFonts w:ascii="Times New Roman" w:eastAsia="Times New Roman" w:hAnsi="Times New Roman" w:cs="Times New Roman"/>
          <w:sz w:val="26"/>
          <w:szCs w:val="26"/>
        </w:rPr>
        <w:t xml:space="preserve"> No. 4.</w:t>
      </w:r>
      <w:r w:rsidR="00DE49D0" w:rsidRPr="00C47563">
        <w:rPr>
          <w:rFonts w:ascii="Times New Roman" w:eastAsia="Times New Roman" w:hAnsi="Times New Roman" w:cs="Times New Roman"/>
          <w:sz w:val="26"/>
          <w:szCs w:val="26"/>
        </w:rPr>
        <w:t xml:space="preserve"> </w:t>
      </w:r>
    </w:p>
    <w:p w14:paraId="56F4A12E" w14:textId="01D84CA3" w:rsidR="00FA49BD" w:rsidRPr="00C47563" w:rsidRDefault="00FA49BD" w:rsidP="00C47563">
      <w:pPr>
        <w:spacing w:after="0" w:line="360" w:lineRule="auto"/>
        <w:ind w:firstLine="1440"/>
        <w:contextualSpacing/>
        <w:rPr>
          <w:rFonts w:ascii="Times New Roman" w:eastAsia="Times New Roman" w:hAnsi="Times New Roman" w:cs="Times New Roman"/>
          <w:sz w:val="26"/>
          <w:szCs w:val="26"/>
        </w:rPr>
      </w:pPr>
    </w:p>
    <w:p w14:paraId="66F876E6" w14:textId="3A7A1D2D" w:rsidR="00831269" w:rsidRPr="00C47563" w:rsidRDefault="00CE6E99" w:rsidP="0094251F">
      <w:pPr>
        <w:pStyle w:val="Heading4"/>
      </w:pPr>
      <w:bookmarkStart w:id="31" w:name="_Toc89253066"/>
      <w:r w:rsidRPr="00C47563">
        <w:t>e</w:t>
      </w:r>
      <w:r w:rsidR="00831269" w:rsidRPr="00C47563">
        <w:t>.</w:t>
      </w:r>
      <w:r w:rsidR="00831269" w:rsidRPr="00C47563">
        <w:tab/>
        <w:t xml:space="preserve">Exception No. </w:t>
      </w:r>
      <w:r w:rsidR="00D85A68" w:rsidRPr="00C47563">
        <w:t>5</w:t>
      </w:r>
      <w:r w:rsidR="00831269" w:rsidRPr="00C47563">
        <w:t>, Re</w:t>
      </w:r>
      <w:r w:rsidR="007E36CD" w:rsidRPr="00C47563">
        <w:t>plies</w:t>
      </w:r>
      <w:r w:rsidR="00831269" w:rsidRPr="00C47563">
        <w:t>, and Disposition</w:t>
      </w:r>
      <w:bookmarkEnd w:id="31"/>
      <w:r w:rsidR="00831269" w:rsidRPr="00C47563">
        <w:t xml:space="preserve"> </w:t>
      </w:r>
    </w:p>
    <w:p w14:paraId="3CE4B255" w14:textId="48AB66B4" w:rsidR="00A23C2A" w:rsidRPr="00C47563" w:rsidRDefault="00A23C2A" w:rsidP="00C47563">
      <w:pPr>
        <w:keepNext/>
        <w:spacing w:after="0" w:line="360" w:lineRule="auto"/>
        <w:rPr>
          <w:rFonts w:ascii="Times New Roman" w:hAnsi="Times New Roman" w:cs="Times New Roman"/>
          <w:sz w:val="26"/>
          <w:szCs w:val="26"/>
        </w:rPr>
      </w:pPr>
    </w:p>
    <w:p w14:paraId="13FDC27E" w14:textId="5D391A21" w:rsidR="009D4E44" w:rsidRPr="00C47563" w:rsidRDefault="009D4E44" w:rsidP="00C47563">
      <w:pPr>
        <w:keepNext/>
        <w:spacing w:after="0" w:line="360" w:lineRule="auto"/>
        <w:ind w:firstLine="1440"/>
        <w:contextualSpacing/>
        <w:rPr>
          <w:rFonts w:ascii="Times New Roman" w:eastAsia="Times New Roman" w:hAnsi="Times New Roman" w:cs="Times New Roman"/>
          <w:i/>
          <w:iCs/>
          <w:sz w:val="26"/>
          <w:szCs w:val="26"/>
        </w:rPr>
      </w:pPr>
      <w:r w:rsidRPr="00C47563">
        <w:rPr>
          <w:rFonts w:ascii="Times New Roman" w:eastAsia="Times New Roman" w:hAnsi="Times New Roman" w:cs="Times New Roman"/>
          <w:sz w:val="26"/>
          <w:szCs w:val="26"/>
        </w:rPr>
        <w:t xml:space="preserve">In his Exception No. 5, Mr. Culbertson challenges the statement from the Joint Petition that recognizes that “the proposed Settlement does not bind Formal Complainants that do not choose to join </w:t>
      </w:r>
      <w:r w:rsidR="00401910"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the Settlement</w:t>
      </w:r>
      <w:r w:rsidR="00401910"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Exc. at 31 (</w:t>
      </w:r>
      <w:r w:rsidR="00EF1D78" w:rsidRPr="00C47563">
        <w:rPr>
          <w:rFonts w:ascii="Times New Roman" w:eastAsia="Times New Roman" w:hAnsi="Times New Roman" w:cs="Times New Roman"/>
          <w:sz w:val="26"/>
          <w:szCs w:val="26"/>
        </w:rPr>
        <w:t xml:space="preserve">citing Joint Petition at </w:t>
      </w:r>
      <w:r w:rsidR="00401910" w:rsidRPr="00C47563">
        <w:rPr>
          <w:rFonts w:ascii="Times New Roman" w:eastAsia="Times New Roman" w:hAnsi="Times New Roman" w:cs="Times New Roman"/>
          <w:sz w:val="26"/>
          <w:szCs w:val="26"/>
        </w:rPr>
        <w:t>14</w:t>
      </w:r>
      <w:r w:rsidRPr="00C47563">
        <w:rPr>
          <w:rFonts w:ascii="Times New Roman" w:eastAsia="Times New Roman" w:hAnsi="Times New Roman" w:cs="Times New Roman"/>
          <w:sz w:val="26"/>
          <w:szCs w:val="26"/>
        </w:rPr>
        <w:t xml:space="preserve">).  He takes exception to this statement because, as he asserts, “all parties to this rate case know it is not true.  I was never invited to participate in this black box settlement.”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at 32.  Contending “the nature or text of the settlement was never disclosed” until after it was reached, he states that he “would have vigorously opposed it.”  </w:t>
      </w:r>
      <w:r w:rsidRPr="00C47563">
        <w:rPr>
          <w:rFonts w:ascii="Times New Roman" w:eastAsia="Times New Roman" w:hAnsi="Times New Roman" w:cs="Times New Roman"/>
          <w:i/>
          <w:iCs/>
          <w:sz w:val="26"/>
          <w:szCs w:val="26"/>
        </w:rPr>
        <w:t>Id.</w:t>
      </w:r>
      <w:r w:rsidRPr="00C47563">
        <w:rPr>
          <w:rFonts w:ascii="Times New Roman" w:eastAsia="Times New Roman" w:hAnsi="Times New Roman" w:cs="Times New Roman"/>
          <w:sz w:val="26"/>
          <w:szCs w:val="26"/>
        </w:rPr>
        <w:t xml:space="preserve">  </w:t>
      </w:r>
    </w:p>
    <w:p w14:paraId="091B27FB" w14:textId="77777777" w:rsidR="009D4E44" w:rsidRPr="00C47563" w:rsidRDefault="009D4E44" w:rsidP="00C47563">
      <w:pPr>
        <w:spacing w:after="0" w:line="360" w:lineRule="auto"/>
        <w:contextualSpacing/>
        <w:rPr>
          <w:rFonts w:ascii="Times New Roman" w:eastAsia="Times New Roman" w:hAnsi="Times New Roman" w:cs="Times New Roman"/>
          <w:sz w:val="26"/>
          <w:szCs w:val="26"/>
        </w:rPr>
      </w:pPr>
    </w:p>
    <w:p w14:paraId="71D9713E" w14:textId="14456D7B" w:rsidR="009D4E44" w:rsidRPr="00C47563" w:rsidRDefault="009D4E44"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In its response to Exception No. 5, Columbia asserts that “[t]here is nothing untrue about the statement” because the ALJ provided Mr. Culbertson with an opportunity to join the Settlement, and he declined.  R. Exc. at 11.  Columbia also addresses this issue in its responses to other Exceptions.  In response to Exception No. 3, Columbia contradicts Mr. Culbertson’s statement that he was excluded from settlement discussions, stating that Columbia’s counsel engaged in settlement negotiations with Mr.</w:t>
      </w:r>
      <w:r w:rsidR="003D7EBC">
        <w:rPr>
          <w:rFonts w:ascii="Times New Roman" w:eastAsia="Times New Roman" w:hAnsi="Times New Roman" w:cs="Times New Roman"/>
          <w:sz w:val="26"/>
          <w:szCs w:val="26"/>
        </w:rPr>
        <w:t> </w:t>
      </w:r>
      <w:r w:rsidRPr="00C47563">
        <w:rPr>
          <w:rFonts w:ascii="Times New Roman" w:eastAsia="Times New Roman" w:hAnsi="Times New Roman" w:cs="Times New Roman"/>
          <w:sz w:val="26"/>
          <w:szCs w:val="26"/>
        </w:rPr>
        <w:t>Culbertson, but they were unable to resolve his issues.  R. Exc. at 8.  In its response to Mr. Culbertson’s Exception Nos. 3 and 4, Columbia describe</w:t>
      </w:r>
      <w:r w:rsidR="00162FC1" w:rsidRPr="00C47563">
        <w:rPr>
          <w:rFonts w:ascii="Times New Roman" w:eastAsia="Times New Roman" w:hAnsi="Times New Roman" w:cs="Times New Roman"/>
          <w:sz w:val="26"/>
          <w:szCs w:val="26"/>
        </w:rPr>
        <w:t>s</w:t>
      </w:r>
      <w:r w:rsidRPr="00C47563">
        <w:rPr>
          <w:rFonts w:ascii="Times New Roman" w:eastAsia="Times New Roman" w:hAnsi="Times New Roman" w:cs="Times New Roman"/>
          <w:sz w:val="26"/>
          <w:szCs w:val="26"/>
        </w:rPr>
        <w:t xml:space="preserve"> Mr. Culbertson’s full participation in this proceeding by way of discovery, testimony, cross-examination, and briefing, and asserts that as a non-settling party, Mr. Culbertson’s due process rights were fully protected.  Further, Columbia asserts that notwithstanding the opportunity to do so, Mr. Culbertson did not file comments or objections to the </w:t>
      </w:r>
      <w:r w:rsidR="001A40DB" w:rsidRPr="00C47563">
        <w:rPr>
          <w:rFonts w:ascii="Times New Roman" w:eastAsia="Times New Roman" w:hAnsi="Times New Roman" w:cs="Times New Roman"/>
          <w:sz w:val="26"/>
          <w:szCs w:val="26"/>
        </w:rPr>
        <w:t>S</w:t>
      </w:r>
      <w:r w:rsidRPr="00C47563">
        <w:rPr>
          <w:rFonts w:ascii="Times New Roman" w:eastAsia="Times New Roman" w:hAnsi="Times New Roman" w:cs="Times New Roman"/>
          <w:sz w:val="26"/>
          <w:szCs w:val="26"/>
        </w:rPr>
        <w:t>ettlement.  R. Exc. at 7-8.</w:t>
      </w:r>
    </w:p>
    <w:p w14:paraId="3DDA460B" w14:textId="77777777" w:rsidR="009D4E44" w:rsidRPr="00C47563" w:rsidRDefault="009D4E44" w:rsidP="00C47563">
      <w:pPr>
        <w:spacing w:after="0" w:line="360" w:lineRule="auto"/>
        <w:contextualSpacing/>
        <w:rPr>
          <w:rFonts w:ascii="Times New Roman" w:eastAsia="Times New Roman" w:hAnsi="Times New Roman" w:cs="Times New Roman"/>
          <w:sz w:val="26"/>
          <w:szCs w:val="26"/>
        </w:rPr>
      </w:pPr>
    </w:p>
    <w:p w14:paraId="79BDEAD6" w14:textId="672061EF" w:rsidR="009D4E44" w:rsidRPr="00C47563" w:rsidRDefault="009D4E44"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It is evident from the ALJ’s disposition of Mr. Culbertson’s issues in the Recommended Decision </w:t>
      </w:r>
      <w:r w:rsidR="008672BC" w:rsidRPr="00C47563">
        <w:rPr>
          <w:rFonts w:ascii="Times New Roman" w:eastAsia="Times New Roman" w:hAnsi="Times New Roman" w:cs="Times New Roman"/>
          <w:sz w:val="26"/>
          <w:szCs w:val="26"/>
        </w:rPr>
        <w:t xml:space="preserve">and the language in the Settlement </w:t>
      </w:r>
      <w:r w:rsidRPr="00C47563">
        <w:rPr>
          <w:rFonts w:ascii="Times New Roman" w:eastAsia="Times New Roman" w:hAnsi="Times New Roman" w:cs="Times New Roman"/>
          <w:sz w:val="26"/>
          <w:szCs w:val="26"/>
        </w:rPr>
        <w:t>that Mr. Culbertson did not join the Settlement</w:t>
      </w:r>
      <w:r w:rsidR="004C3647" w:rsidRPr="00C47563">
        <w:rPr>
          <w:rFonts w:ascii="Times New Roman" w:eastAsia="Times New Roman" w:hAnsi="Times New Roman" w:cs="Times New Roman"/>
          <w:sz w:val="26"/>
          <w:szCs w:val="26"/>
        </w:rPr>
        <w:t xml:space="preserve"> ,and the issues he raised were reserved for litigation</w:t>
      </w:r>
      <w:r w:rsidRPr="00C47563">
        <w:rPr>
          <w:rFonts w:ascii="Times New Roman" w:eastAsia="Times New Roman" w:hAnsi="Times New Roman" w:cs="Times New Roman"/>
          <w:sz w:val="26"/>
          <w:szCs w:val="26"/>
        </w:rPr>
        <w:t xml:space="preserve">.  And even if that was not his “choice,” it </w:t>
      </w:r>
      <w:r w:rsidR="00CB2078" w:rsidRPr="00C47563">
        <w:rPr>
          <w:rFonts w:ascii="Times New Roman" w:eastAsia="Times New Roman" w:hAnsi="Times New Roman" w:cs="Times New Roman"/>
          <w:sz w:val="26"/>
          <w:szCs w:val="26"/>
        </w:rPr>
        <w:t xml:space="preserve">appears from his </w:t>
      </w:r>
      <w:r w:rsidR="008E51DD" w:rsidRPr="00C47563">
        <w:rPr>
          <w:rFonts w:ascii="Times New Roman" w:eastAsia="Times New Roman" w:hAnsi="Times New Roman" w:cs="Times New Roman"/>
          <w:sz w:val="26"/>
          <w:szCs w:val="26"/>
        </w:rPr>
        <w:t xml:space="preserve">Briefs and </w:t>
      </w:r>
      <w:r w:rsidRPr="00C47563">
        <w:rPr>
          <w:rFonts w:ascii="Times New Roman" w:eastAsia="Times New Roman" w:hAnsi="Times New Roman" w:cs="Times New Roman"/>
          <w:sz w:val="26"/>
          <w:szCs w:val="26"/>
        </w:rPr>
        <w:t xml:space="preserve">Exceptions that Mr. Culbertson would not have joined but rather would have “vigorously opposed” the settled resolution, precisely as he has.  </w:t>
      </w:r>
    </w:p>
    <w:p w14:paraId="05E70197" w14:textId="77777777" w:rsidR="009D4E44" w:rsidRPr="00C47563" w:rsidRDefault="009D4E44" w:rsidP="00C47563">
      <w:pPr>
        <w:spacing w:after="0" w:line="360" w:lineRule="auto"/>
        <w:ind w:firstLine="1440"/>
        <w:contextualSpacing/>
        <w:rPr>
          <w:rFonts w:ascii="Times New Roman" w:eastAsia="Times New Roman" w:hAnsi="Times New Roman" w:cs="Times New Roman"/>
          <w:sz w:val="26"/>
          <w:szCs w:val="26"/>
        </w:rPr>
      </w:pPr>
    </w:p>
    <w:p w14:paraId="0A34BC6D" w14:textId="0108C3A7" w:rsidR="009D4E44" w:rsidRPr="00C47563" w:rsidRDefault="009278E0"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T</w:t>
      </w:r>
      <w:r w:rsidR="009D4E44" w:rsidRPr="00C47563">
        <w:rPr>
          <w:rFonts w:ascii="Times New Roman" w:eastAsia="Times New Roman" w:hAnsi="Times New Roman" w:cs="Times New Roman"/>
          <w:sz w:val="26"/>
          <w:szCs w:val="26"/>
        </w:rPr>
        <w:t>he ALJ’s identification and disposition of Mr. Culbertson’s issues demonstrates that the ALJ understood and addressed Mr. Culbertson’s vigorous opposition to the Settlement.  In his Recommended Decision, the ALJ fully describe</w:t>
      </w:r>
      <w:r w:rsidRPr="00C47563">
        <w:rPr>
          <w:rFonts w:ascii="Times New Roman" w:eastAsia="Times New Roman" w:hAnsi="Times New Roman" w:cs="Times New Roman"/>
          <w:sz w:val="26"/>
          <w:szCs w:val="26"/>
        </w:rPr>
        <w:t>d</w:t>
      </w:r>
      <w:r w:rsidR="009D4E44" w:rsidRPr="00C47563">
        <w:rPr>
          <w:rFonts w:ascii="Times New Roman" w:eastAsia="Times New Roman" w:hAnsi="Times New Roman" w:cs="Times New Roman"/>
          <w:sz w:val="26"/>
          <w:szCs w:val="26"/>
        </w:rPr>
        <w:t xml:space="preserve"> Mr. Culbertson’s active participation in the proceeding, including those issues addressed in his </w:t>
      </w:r>
      <w:r w:rsidR="00AA7C04" w:rsidRPr="00C47563">
        <w:rPr>
          <w:rFonts w:ascii="Times New Roman" w:eastAsia="Times New Roman" w:hAnsi="Times New Roman" w:cs="Times New Roman"/>
          <w:sz w:val="26"/>
          <w:szCs w:val="26"/>
        </w:rPr>
        <w:t>B</w:t>
      </w:r>
      <w:r w:rsidR="009D4E44" w:rsidRPr="00C47563">
        <w:rPr>
          <w:rFonts w:ascii="Times New Roman" w:eastAsia="Times New Roman" w:hAnsi="Times New Roman" w:cs="Times New Roman"/>
          <w:sz w:val="26"/>
          <w:szCs w:val="26"/>
        </w:rPr>
        <w:t xml:space="preserve">riefs opposing the settlement and that were “relevant to this base rate filing or germane for consideration,” a clear indication that the ALJ understood that Mr. Culbertson had not joined the Settlement.  </w:t>
      </w:r>
      <w:r w:rsidR="009D4E44" w:rsidRPr="00C47563">
        <w:rPr>
          <w:rFonts w:ascii="Times New Roman" w:eastAsia="Times New Roman" w:hAnsi="Times New Roman" w:cs="Times New Roman"/>
          <w:i/>
          <w:iCs/>
          <w:sz w:val="26"/>
          <w:szCs w:val="26"/>
        </w:rPr>
        <w:t xml:space="preserve">See </w:t>
      </w:r>
      <w:r w:rsidR="009D4E44" w:rsidRPr="00C47563">
        <w:rPr>
          <w:rFonts w:ascii="Times New Roman" w:eastAsia="Times New Roman" w:hAnsi="Times New Roman" w:cs="Times New Roman"/>
          <w:sz w:val="26"/>
          <w:szCs w:val="26"/>
        </w:rPr>
        <w:t xml:space="preserve">R.D. at 58-62.  As noted above, the complainant in </w:t>
      </w:r>
      <w:r w:rsidR="009D4E44" w:rsidRPr="00C47563">
        <w:rPr>
          <w:rFonts w:ascii="Times New Roman" w:eastAsia="Times New Roman" w:hAnsi="Times New Roman" w:cs="Times New Roman"/>
          <w:i/>
          <w:iCs/>
          <w:sz w:val="26"/>
          <w:szCs w:val="26"/>
        </w:rPr>
        <w:t xml:space="preserve">UGI Electric </w:t>
      </w:r>
      <w:r w:rsidR="009D4E44" w:rsidRPr="00C47563">
        <w:rPr>
          <w:rFonts w:ascii="Times New Roman" w:eastAsia="Times New Roman" w:hAnsi="Times New Roman" w:cs="Times New Roman"/>
          <w:sz w:val="26"/>
          <w:szCs w:val="26"/>
        </w:rPr>
        <w:t xml:space="preserve">also objected to the </w:t>
      </w:r>
      <w:r w:rsidR="0050137D" w:rsidRPr="00C47563">
        <w:rPr>
          <w:rFonts w:ascii="Times New Roman" w:eastAsia="Times New Roman" w:hAnsi="Times New Roman" w:cs="Times New Roman"/>
          <w:sz w:val="26"/>
          <w:szCs w:val="26"/>
        </w:rPr>
        <w:t>“</w:t>
      </w:r>
      <w:r w:rsidR="009D4E44" w:rsidRPr="00C47563">
        <w:rPr>
          <w:rFonts w:ascii="Times New Roman" w:eastAsia="Times New Roman" w:hAnsi="Times New Roman" w:cs="Times New Roman"/>
          <w:sz w:val="26"/>
          <w:szCs w:val="26"/>
        </w:rPr>
        <w:t>black box</w:t>
      </w:r>
      <w:r w:rsidR="0050137D" w:rsidRPr="00C47563">
        <w:rPr>
          <w:rFonts w:ascii="Times New Roman" w:eastAsia="Times New Roman" w:hAnsi="Times New Roman" w:cs="Times New Roman"/>
          <w:sz w:val="26"/>
          <w:szCs w:val="26"/>
        </w:rPr>
        <w:t>”</w:t>
      </w:r>
      <w:r w:rsidR="009D4E44" w:rsidRPr="00C47563">
        <w:rPr>
          <w:rFonts w:ascii="Times New Roman" w:eastAsia="Times New Roman" w:hAnsi="Times New Roman" w:cs="Times New Roman"/>
          <w:sz w:val="26"/>
          <w:szCs w:val="26"/>
        </w:rPr>
        <w:t xml:space="preserve"> settlement on the basis that she was not involved in the negotiation of the settlement.  </w:t>
      </w:r>
      <w:r w:rsidR="009D4E44" w:rsidRPr="00C47563">
        <w:rPr>
          <w:rFonts w:ascii="Times New Roman" w:eastAsia="Times New Roman" w:hAnsi="Times New Roman" w:cs="Times New Roman"/>
          <w:i/>
          <w:iCs/>
          <w:sz w:val="26"/>
          <w:szCs w:val="26"/>
        </w:rPr>
        <w:t xml:space="preserve">UGI Electric </w:t>
      </w:r>
      <w:r w:rsidR="009D4E44" w:rsidRPr="00C47563">
        <w:rPr>
          <w:rFonts w:ascii="Times New Roman" w:eastAsia="Times New Roman" w:hAnsi="Times New Roman" w:cs="Times New Roman"/>
          <w:sz w:val="26"/>
          <w:szCs w:val="26"/>
        </w:rPr>
        <w:t xml:space="preserve">at 32.  In both cases, the ALJs determined that each complainant had a full and fair opportunity to participate in the proceeding and object to the settlement, including filing formal exceptions subject to our individual review and disposition.  In both cases, the ALJs found that notwithstanding complainants’ objections, the settlement produced just and reasonable rates in the public interest.  </w:t>
      </w:r>
    </w:p>
    <w:p w14:paraId="242D486A" w14:textId="77777777" w:rsidR="009D4E44" w:rsidRPr="00C47563" w:rsidRDefault="009D4E44" w:rsidP="00C47563">
      <w:pPr>
        <w:spacing w:after="0" w:line="360" w:lineRule="auto"/>
        <w:ind w:firstLine="1440"/>
        <w:contextualSpacing/>
        <w:rPr>
          <w:rFonts w:ascii="Times New Roman" w:eastAsia="Times New Roman" w:hAnsi="Times New Roman" w:cs="Times New Roman"/>
          <w:sz w:val="26"/>
          <w:szCs w:val="26"/>
        </w:rPr>
      </w:pPr>
    </w:p>
    <w:p w14:paraId="783FC16D" w14:textId="17A883A1" w:rsidR="009D4E44" w:rsidRPr="00C47563" w:rsidRDefault="009D4E44" w:rsidP="00C47563">
      <w:pPr>
        <w:spacing w:after="0" w:line="360" w:lineRule="auto"/>
        <w:ind w:firstLine="14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Up to and including in his Exceptions, Mr. Culbertson was provided the opportunity to do what he states he would have done had he chosen not to join the settlement, that is to vigorously oppose it.  Any perceived or real discrepancy in how he exercised his right to oppose the settlement – by choice or not – has had no impact limiting, altering, or otherwise diminishing either his rights or his advocacy before us.  </w:t>
      </w:r>
      <w:r w:rsidR="00ED00F6" w:rsidRPr="00C47563">
        <w:rPr>
          <w:rFonts w:ascii="Times New Roman" w:eastAsia="Times New Roman" w:hAnsi="Times New Roman" w:cs="Times New Roman"/>
          <w:sz w:val="26"/>
          <w:szCs w:val="26"/>
        </w:rPr>
        <w:t>Accordingly</w:t>
      </w:r>
      <w:r w:rsidRPr="00C47563">
        <w:rPr>
          <w:rFonts w:ascii="Times New Roman" w:eastAsia="Times New Roman" w:hAnsi="Times New Roman" w:cs="Times New Roman"/>
          <w:sz w:val="26"/>
          <w:szCs w:val="26"/>
        </w:rPr>
        <w:t>, Mr. Culbertson’s Exception No. 5 is denied.</w:t>
      </w:r>
    </w:p>
    <w:p w14:paraId="728FE739" w14:textId="15A65BC3" w:rsidR="00DB738A" w:rsidRPr="00C47563" w:rsidRDefault="00DB738A" w:rsidP="00C47563">
      <w:pPr>
        <w:spacing w:after="0" w:line="360" w:lineRule="auto"/>
        <w:rPr>
          <w:rFonts w:ascii="Times New Roman" w:hAnsi="Times New Roman" w:cs="Times New Roman"/>
          <w:sz w:val="26"/>
          <w:szCs w:val="26"/>
        </w:rPr>
      </w:pPr>
    </w:p>
    <w:p w14:paraId="6DA27192" w14:textId="6151A203" w:rsidR="0013236E" w:rsidRPr="00C47563" w:rsidRDefault="00C6045A" w:rsidP="0094251F">
      <w:pPr>
        <w:pStyle w:val="Heading4"/>
      </w:pPr>
      <w:bookmarkStart w:id="32" w:name="_Toc89253067"/>
      <w:r w:rsidRPr="00C47563">
        <w:t>f</w:t>
      </w:r>
      <w:r w:rsidR="00210E43" w:rsidRPr="00C47563">
        <w:t>.</w:t>
      </w:r>
      <w:r w:rsidR="00210E43" w:rsidRPr="00C47563">
        <w:tab/>
      </w:r>
      <w:r w:rsidR="0013236E" w:rsidRPr="00C47563">
        <w:t>Exception No. 6, Re</w:t>
      </w:r>
      <w:r w:rsidR="00C90E96">
        <w:t>plies</w:t>
      </w:r>
      <w:r w:rsidR="0013236E" w:rsidRPr="00C47563">
        <w:t>, and Disposition</w:t>
      </w:r>
      <w:bookmarkEnd w:id="32"/>
      <w:r w:rsidR="0013236E" w:rsidRPr="00C47563">
        <w:t xml:space="preserve"> </w:t>
      </w:r>
    </w:p>
    <w:p w14:paraId="70C164A6" w14:textId="77777777" w:rsidR="0013236E" w:rsidRPr="00C47563" w:rsidRDefault="0013236E" w:rsidP="00C47563">
      <w:pPr>
        <w:keepNext/>
        <w:spacing w:after="0" w:line="360" w:lineRule="auto"/>
        <w:ind w:firstLine="720"/>
        <w:contextualSpacing/>
        <w:rPr>
          <w:rFonts w:ascii="Times New Roman" w:eastAsia="Times New Roman" w:hAnsi="Times New Roman" w:cs="Times New Roman"/>
          <w:sz w:val="26"/>
          <w:szCs w:val="26"/>
        </w:rPr>
      </w:pPr>
    </w:p>
    <w:p w14:paraId="61B728BB" w14:textId="2B73CEAB" w:rsidR="00AF7143" w:rsidRPr="00C47563" w:rsidRDefault="00F52615" w:rsidP="00C47563">
      <w:pPr>
        <w:keepNext/>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 xml:space="preserve">In his Exception No. 6, Mr. Culbertson objects to the ALJ’s </w:t>
      </w:r>
      <w:r w:rsidR="00EC6F5F" w:rsidRPr="00C47563">
        <w:rPr>
          <w:rFonts w:ascii="Times New Roman" w:hAnsi="Times New Roman" w:cs="Times New Roman"/>
          <w:sz w:val="26"/>
          <w:szCs w:val="26"/>
        </w:rPr>
        <w:t xml:space="preserve">statement that </w:t>
      </w:r>
      <w:r w:rsidR="00512604" w:rsidRPr="00C47563">
        <w:rPr>
          <w:rFonts w:ascii="Times New Roman" w:hAnsi="Times New Roman" w:cs="Times New Roman"/>
          <w:sz w:val="26"/>
          <w:szCs w:val="26"/>
        </w:rPr>
        <w:t>“</w:t>
      </w:r>
      <w:r w:rsidR="00EC6F5F" w:rsidRPr="00C47563">
        <w:rPr>
          <w:rFonts w:ascii="Times New Roman" w:hAnsi="Times New Roman" w:cs="Times New Roman"/>
          <w:sz w:val="26"/>
          <w:szCs w:val="26"/>
        </w:rPr>
        <w:t>[t]</w:t>
      </w:r>
      <w:bookmarkStart w:id="33" w:name="_Hlk87627389"/>
      <w:r w:rsidR="00EC6F5F" w:rsidRPr="00C47563">
        <w:rPr>
          <w:rFonts w:ascii="Times New Roman" w:hAnsi="Times New Roman" w:cs="Times New Roman"/>
          <w:sz w:val="26"/>
          <w:szCs w:val="26"/>
        </w:rPr>
        <w:t xml:space="preserve">he </w:t>
      </w:r>
      <w:r w:rsidR="006067DB" w:rsidRPr="00C47563">
        <w:rPr>
          <w:rFonts w:ascii="Times New Roman" w:hAnsi="Times New Roman" w:cs="Times New Roman"/>
          <w:sz w:val="26"/>
          <w:szCs w:val="26"/>
        </w:rPr>
        <w:t xml:space="preserve">primary issue underlying Mr. Culbertson’s Complaint </w:t>
      </w:r>
      <w:bookmarkEnd w:id="33"/>
      <w:r w:rsidR="006067DB" w:rsidRPr="00C47563">
        <w:rPr>
          <w:rFonts w:ascii="Times New Roman" w:hAnsi="Times New Roman" w:cs="Times New Roman"/>
          <w:sz w:val="26"/>
          <w:szCs w:val="26"/>
        </w:rPr>
        <w:t>in this proceeding is his belief that Columbia improperly disconnected an inactive service line at 1608 McFarland Road, Pittsburgh, Pennsylvania, and subsequently required Mr. Culbertson to replace the customer-owned portion of the service line before restoring service.</w:t>
      </w:r>
      <w:r w:rsidR="00F737C4" w:rsidRPr="00C47563">
        <w:rPr>
          <w:rFonts w:ascii="Times New Roman" w:hAnsi="Times New Roman" w:cs="Times New Roman"/>
          <w:sz w:val="26"/>
          <w:szCs w:val="26"/>
        </w:rPr>
        <w:t xml:space="preserve">”  </w:t>
      </w:r>
      <w:r w:rsidR="00920DD7" w:rsidRPr="00C47563">
        <w:rPr>
          <w:rFonts w:ascii="Times New Roman" w:hAnsi="Times New Roman" w:cs="Times New Roman"/>
          <w:sz w:val="26"/>
          <w:szCs w:val="26"/>
        </w:rPr>
        <w:t>R.D. at 62</w:t>
      </w:r>
      <w:r w:rsidR="007C3F0F" w:rsidRPr="00C47563">
        <w:rPr>
          <w:rFonts w:ascii="Times New Roman" w:hAnsi="Times New Roman" w:cs="Times New Roman"/>
          <w:sz w:val="26"/>
          <w:szCs w:val="26"/>
        </w:rPr>
        <w:t xml:space="preserve"> (citing </w:t>
      </w:r>
      <w:r w:rsidR="004B753B" w:rsidRPr="00C47563">
        <w:rPr>
          <w:rFonts w:ascii="Times New Roman" w:hAnsi="Times New Roman" w:cs="Times New Roman"/>
          <w:sz w:val="26"/>
          <w:szCs w:val="26"/>
        </w:rPr>
        <w:t>Culbertson Rate Complaint</w:t>
      </w:r>
      <w:r w:rsidR="0033477F" w:rsidRPr="00C47563">
        <w:rPr>
          <w:rFonts w:ascii="Times New Roman" w:hAnsi="Times New Roman" w:cs="Times New Roman"/>
          <w:sz w:val="26"/>
          <w:szCs w:val="26"/>
        </w:rPr>
        <w:t xml:space="preserve"> at 10, 25, 27-30, 40-46, 50, 53, 59)</w:t>
      </w:r>
      <w:r w:rsidR="00920DD7" w:rsidRPr="00C47563">
        <w:rPr>
          <w:rFonts w:ascii="Times New Roman" w:hAnsi="Times New Roman" w:cs="Times New Roman"/>
          <w:sz w:val="26"/>
          <w:szCs w:val="26"/>
        </w:rPr>
        <w:t>.</w:t>
      </w:r>
      <w:r w:rsidR="00172341" w:rsidRPr="00C47563">
        <w:rPr>
          <w:rFonts w:ascii="Times New Roman" w:hAnsi="Times New Roman" w:cs="Times New Roman"/>
          <w:sz w:val="26"/>
          <w:szCs w:val="26"/>
        </w:rPr>
        <w:t xml:space="preserve">  Mr. Culbertson avers that</w:t>
      </w:r>
      <w:r w:rsidR="002D18A9" w:rsidRPr="00C47563">
        <w:rPr>
          <w:rFonts w:ascii="Times New Roman" w:hAnsi="Times New Roman" w:cs="Times New Roman"/>
          <w:sz w:val="26"/>
          <w:szCs w:val="26"/>
        </w:rPr>
        <w:t xml:space="preserve"> </w:t>
      </w:r>
      <w:r w:rsidR="00A34A34" w:rsidRPr="00C47563">
        <w:rPr>
          <w:rFonts w:ascii="Times New Roman" w:hAnsi="Times New Roman" w:cs="Times New Roman"/>
          <w:sz w:val="26"/>
          <w:szCs w:val="26"/>
        </w:rPr>
        <w:t xml:space="preserve">his </w:t>
      </w:r>
      <w:r w:rsidR="00F75765" w:rsidRPr="00C47563">
        <w:rPr>
          <w:rFonts w:ascii="Times New Roman" w:hAnsi="Times New Roman" w:cs="Times New Roman"/>
          <w:sz w:val="26"/>
          <w:szCs w:val="26"/>
        </w:rPr>
        <w:t xml:space="preserve">Service Line </w:t>
      </w:r>
      <w:r w:rsidR="00CA5461" w:rsidRPr="00C47563">
        <w:rPr>
          <w:rFonts w:ascii="Times New Roman" w:hAnsi="Times New Roman" w:cs="Times New Roman"/>
          <w:sz w:val="26"/>
          <w:szCs w:val="26"/>
        </w:rPr>
        <w:t xml:space="preserve">Complaint against Columbia </w:t>
      </w:r>
      <w:r w:rsidR="00F75765" w:rsidRPr="00C47563">
        <w:rPr>
          <w:rFonts w:ascii="Times New Roman" w:hAnsi="Times New Roman" w:cs="Times New Roman"/>
          <w:sz w:val="26"/>
          <w:szCs w:val="26"/>
        </w:rPr>
        <w:t>is</w:t>
      </w:r>
      <w:r w:rsidR="00CA5461" w:rsidRPr="00C47563">
        <w:rPr>
          <w:rFonts w:ascii="Times New Roman" w:hAnsi="Times New Roman" w:cs="Times New Roman"/>
          <w:sz w:val="26"/>
          <w:szCs w:val="26"/>
        </w:rPr>
        <w:t xml:space="preserve"> not </w:t>
      </w:r>
      <w:r w:rsidR="00162D00" w:rsidRPr="00C47563">
        <w:rPr>
          <w:rFonts w:ascii="Times New Roman" w:hAnsi="Times New Roman" w:cs="Times New Roman"/>
          <w:sz w:val="26"/>
          <w:szCs w:val="26"/>
        </w:rPr>
        <w:t>his</w:t>
      </w:r>
      <w:r w:rsidR="00CA5461" w:rsidRPr="00C47563">
        <w:rPr>
          <w:rFonts w:ascii="Times New Roman" w:hAnsi="Times New Roman" w:cs="Times New Roman"/>
          <w:sz w:val="26"/>
          <w:szCs w:val="26"/>
        </w:rPr>
        <w:t xml:space="preserve"> primary </w:t>
      </w:r>
      <w:r w:rsidR="00162D00" w:rsidRPr="00C47563">
        <w:rPr>
          <w:rFonts w:ascii="Times New Roman" w:hAnsi="Times New Roman" w:cs="Times New Roman"/>
          <w:sz w:val="26"/>
          <w:szCs w:val="26"/>
        </w:rPr>
        <w:t xml:space="preserve">concern </w:t>
      </w:r>
      <w:r w:rsidR="00CA5461" w:rsidRPr="00C47563">
        <w:rPr>
          <w:rFonts w:ascii="Times New Roman" w:hAnsi="Times New Roman" w:cs="Times New Roman"/>
          <w:sz w:val="26"/>
          <w:szCs w:val="26"/>
        </w:rPr>
        <w:t xml:space="preserve">in </w:t>
      </w:r>
      <w:r w:rsidR="009A6B83" w:rsidRPr="00C47563">
        <w:rPr>
          <w:rFonts w:ascii="Times New Roman" w:hAnsi="Times New Roman" w:cs="Times New Roman"/>
          <w:sz w:val="26"/>
          <w:szCs w:val="26"/>
        </w:rPr>
        <w:t>this rate case proceeding, and the issues that Mr. Culbertson</w:t>
      </w:r>
      <w:r w:rsidR="00162D00" w:rsidRPr="00C47563">
        <w:rPr>
          <w:rFonts w:ascii="Times New Roman" w:hAnsi="Times New Roman" w:cs="Times New Roman"/>
          <w:sz w:val="26"/>
          <w:szCs w:val="26"/>
        </w:rPr>
        <w:t xml:space="preserve"> </w:t>
      </w:r>
      <w:r w:rsidR="00A70576" w:rsidRPr="00C47563">
        <w:rPr>
          <w:rFonts w:ascii="Times New Roman" w:hAnsi="Times New Roman" w:cs="Times New Roman"/>
          <w:sz w:val="26"/>
          <w:szCs w:val="26"/>
        </w:rPr>
        <w:t xml:space="preserve">has raised in this rate proceeding are set forth in his </w:t>
      </w:r>
      <w:r w:rsidR="0071582E" w:rsidRPr="00C47563">
        <w:rPr>
          <w:rFonts w:ascii="Times New Roman" w:hAnsi="Times New Roman" w:cs="Times New Roman"/>
          <w:sz w:val="26"/>
          <w:szCs w:val="26"/>
        </w:rPr>
        <w:t xml:space="preserve">sixty-page </w:t>
      </w:r>
      <w:r w:rsidR="00A03791" w:rsidRPr="00C47563">
        <w:rPr>
          <w:rFonts w:ascii="Times New Roman" w:hAnsi="Times New Roman" w:cs="Times New Roman"/>
          <w:sz w:val="26"/>
          <w:szCs w:val="26"/>
        </w:rPr>
        <w:t>Rate</w:t>
      </w:r>
      <w:r w:rsidR="00A70576" w:rsidRPr="00C47563">
        <w:rPr>
          <w:rFonts w:ascii="Times New Roman" w:hAnsi="Times New Roman" w:cs="Times New Roman"/>
          <w:sz w:val="26"/>
          <w:szCs w:val="26"/>
        </w:rPr>
        <w:t xml:space="preserve"> C</w:t>
      </w:r>
      <w:r w:rsidR="0071582E" w:rsidRPr="00C47563">
        <w:rPr>
          <w:rFonts w:ascii="Times New Roman" w:hAnsi="Times New Roman" w:cs="Times New Roman"/>
          <w:sz w:val="26"/>
          <w:szCs w:val="26"/>
        </w:rPr>
        <w:t>omplaint.</w:t>
      </w:r>
      <w:r w:rsidR="002958A0" w:rsidRPr="00C47563">
        <w:rPr>
          <w:rFonts w:ascii="Times New Roman" w:hAnsi="Times New Roman" w:cs="Times New Roman"/>
          <w:sz w:val="26"/>
          <w:szCs w:val="26"/>
        </w:rPr>
        <w:t xml:space="preserve">  Exc. at 32.  </w:t>
      </w:r>
      <w:r w:rsidR="00C5724D" w:rsidRPr="00C47563">
        <w:rPr>
          <w:rFonts w:ascii="Times New Roman" w:hAnsi="Times New Roman" w:cs="Times New Roman"/>
          <w:sz w:val="26"/>
          <w:szCs w:val="26"/>
        </w:rPr>
        <w:t xml:space="preserve">Mr. Culbertson states that he is concerned about ensuring that </w:t>
      </w:r>
      <w:r w:rsidR="000E3E04" w:rsidRPr="00C47563">
        <w:rPr>
          <w:rFonts w:ascii="Times New Roman" w:hAnsi="Times New Roman" w:cs="Times New Roman"/>
          <w:sz w:val="26"/>
          <w:szCs w:val="26"/>
        </w:rPr>
        <w:t xml:space="preserve">an investigation </w:t>
      </w:r>
      <w:r w:rsidR="007074E4" w:rsidRPr="00C47563">
        <w:rPr>
          <w:rFonts w:ascii="Times New Roman" w:hAnsi="Times New Roman" w:cs="Times New Roman"/>
          <w:sz w:val="26"/>
          <w:szCs w:val="26"/>
        </w:rPr>
        <w:t>has been</w:t>
      </w:r>
      <w:r w:rsidR="00B41467" w:rsidRPr="00C47563">
        <w:rPr>
          <w:rFonts w:ascii="Times New Roman" w:hAnsi="Times New Roman" w:cs="Times New Roman"/>
          <w:sz w:val="26"/>
          <w:szCs w:val="26"/>
        </w:rPr>
        <w:t xml:space="preserve"> conducted </w:t>
      </w:r>
      <w:r w:rsidR="00204F9F" w:rsidRPr="00C47563">
        <w:rPr>
          <w:rFonts w:ascii="Times New Roman" w:hAnsi="Times New Roman" w:cs="Times New Roman"/>
          <w:sz w:val="26"/>
          <w:szCs w:val="26"/>
        </w:rPr>
        <w:t xml:space="preserve">in this proceeding </w:t>
      </w:r>
      <w:r w:rsidR="00B41467" w:rsidRPr="00C47563">
        <w:rPr>
          <w:rFonts w:ascii="Times New Roman" w:hAnsi="Times New Roman" w:cs="Times New Roman"/>
          <w:sz w:val="26"/>
          <w:szCs w:val="26"/>
        </w:rPr>
        <w:t xml:space="preserve">to ensure that Columbia’s rates are </w:t>
      </w:r>
      <w:r w:rsidR="00204F9F" w:rsidRPr="00C47563">
        <w:rPr>
          <w:rFonts w:ascii="Times New Roman" w:hAnsi="Times New Roman" w:cs="Times New Roman"/>
          <w:sz w:val="26"/>
          <w:szCs w:val="26"/>
        </w:rPr>
        <w:t>just and reasonable</w:t>
      </w:r>
      <w:r w:rsidR="007074E4" w:rsidRPr="00C47563">
        <w:rPr>
          <w:rFonts w:ascii="Times New Roman" w:hAnsi="Times New Roman" w:cs="Times New Roman"/>
          <w:sz w:val="26"/>
          <w:szCs w:val="26"/>
        </w:rPr>
        <w:t>, and he questions whether such an investigation has been conducted</w:t>
      </w:r>
      <w:r w:rsidR="00A40545" w:rsidRPr="00C47563">
        <w:rPr>
          <w:rFonts w:ascii="Times New Roman" w:hAnsi="Times New Roman" w:cs="Times New Roman"/>
          <w:sz w:val="26"/>
          <w:szCs w:val="26"/>
        </w:rPr>
        <w:t xml:space="preserve">.  </w:t>
      </w:r>
      <w:r w:rsidR="00A40545" w:rsidRPr="00C47563">
        <w:rPr>
          <w:rFonts w:ascii="Times New Roman" w:hAnsi="Times New Roman" w:cs="Times New Roman"/>
          <w:i/>
          <w:iCs/>
          <w:sz w:val="26"/>
          <w:szCs w:val="26"/>
        </w:rPr>
        <w:t>Id</w:t>
      </w:r>
      <w:r w:rsidR="00A40545" w:rsidRPr="00C47563">
        <w:rPr>
          <w:rFonts w:ascii="Times New Roman" w:hAnsi="Times New Roman" w:cs="Times New Roman"/>
          <w:sz w:val="26"/>
          <w:szCs w:val="26"/>
        </w:rPr>
        <w:t xml:space="preserve">. at 33.  </w:t>
      </w:r>
    </w:p>
    <w:p w14:paraId="539946EB" w14:textId="77777777" w:rsidR="00AF7143" w:rsidRPr="00C47563" w:rsidRDefault="00AF7143" w:rsidP="00C47563">
      <w:pPr>
        <w:spacing w:after="0" w:line="360" w:lineRule="auto"/>
        <w:ind w:firstLine="720"/>
        <w:contextualSpacing/>
        <w:rPr>
          <w:rFonts w:ascii="Times New Roman" w:hAnsi="Times New Roman" w:cs="Times New Roman"/>
          <w:sz w:val="26"/>
          <w:szCs w:val="26"/>
        </w:rPr>
      </w:pPr>
    </w:p>
    <w:p w14:paraId="1A0C8244" w14:textId="22CA43BA" w:rsidR="001459A0" w:rsidRPr="00C47563" w:rsidRDefault="005B7135" w:rsidP="00C47563">
      <w:pPr>
        <w:pStyle w:val="BodyText2"/>
        <w:spacing w:line="360" w:lineRule="auto"/>
        <w:ind w:firstLine="1440"/>
        <w:jc w:val="left"/>
        <w:rPr>
          <w:rFonts w:cs="Times New Roman"/>
          <w:sz w:val="26"/>
          <w:szCs w:val="26"/>
        </w:rPr>
      </w:pPr>
      <w:r w:rsidRPr="00C47563">
        <w:rPr>
          <w:rFonts w:cs="Times New Roman"/>
          <w:sz w:val="26"/>
          <w:szCs w:val="26"/>
        </w:rPr>
        <w:t xml:space="preserve">In its Replies, Columbia avers that </w:t>
      </w:r>
      <w:r w:rsidR="00366717" w:rsidRPr="00C47563">
        <w:rPr>
          <w:rFonts w:cs="Times New Roman"/>
          <w:sz w:val="26"/>
          <w:szCs w:val="26"/>
        </w:rPr>
        <w:t>the ALJ correctly found that t</w:t>
      </w:r>
      <w:r w:rsidR="001459A0" w:rsidRPr="00C47563">
        <w:rPr>
          <w:rFonts w:cs="Times New Roman"/>
          <w:sz w:val="26"/>
          <w:szCs w:val="26"/>
        </w:rPr>
        <w:t xml:space="preserve">he issues </w:t>
      </w:r>
      <w:r w:rsidR="00366717" w:rsidRPr="00C47563">
        <w:rPr>
          <w:rFonts w:cs="Times New Roman"/>
          <w:sz w:val="26"/>
          <w:szCs w:val="26"/>
        </w:rPr>
        <w:t>relating</w:t>
      </w:r>
      <w:r w:rsidR="001459A0" w:rsidRPr="00C47563">
        <w:rPr>
          <w:rFonts w:cs="Times New Roman"/>
          <w:sz w:val="26"/>
          <w:szCs w:val="26"/>
        </w:rPr>
        <w:t xml:space="preserve"> to Mr. Culbertson’s inactive customer service line were fully litigated in the separate </w:t>
      </w:r>
      <w:r w:rsidR="00F57E30" w:rsidRPr="00C47563">
        <w:rPr>
          <w:rFonts w:cs="Times New Roman"/>
          <w:sz w:val="26"/>
          <w:szCs w:val="26"/>
        </w:rPr>
        <w:t>Service Line C</w:t>
      </w:r>
      <w:r w:rsidR="001459A0" w:rsidRPr="00C47563">
        <w:rPr>
          <w:rFonts w:cs="Times New Roman"/>
          <w:sz w:val="26"/>
          <w:szCs w:val="26"/>
        </w:rPr>
        <w:t>omplaint proceeding and th</w:t>
      </w:r>
      <w:r w:rsidR="00366717" w:rsidRPr="00C47563">
        <w:rPr>
          <w:rFonts w:cs="Times New Roman"/>
          <w:sz w:val="26"/>
          <w:szCs w:val="26"/>
        </w:rPr>
        <w:t>at</w:t>
      </w:r>
      <w:r w:rsidR="001459A0" w:rsidRPr="00C47563">
        <w:rPr>
          <w:rFonts w:cs="Times New Roman"/>
          <w:sz w:val="26"/>
          <w:szCs w:val="26"/>
        </w:rPr>
        <w:t xml:space="preserve"> case is pending before the Commission for decision.  </w:t>
      </w:r>
      <w:r w:rsidR="00366717" w:rsidRPr="00C47563">
        <w:rPr>
          <w:rFonts w:cs="Times New Roman"/>
          <w:sz w:val="26"/>
          <w:szCs w:val="26"/>
        </w:rPr>
        <w:t>Accordingly, Columbia states that</w:t>
      </w:r>
      <w:r w:rsidR="001459A0" w:rsidRPr="00C47563">
        <w:rPr>
          <w:rFonts w:cs="Times New Roman"/>
          <w:sz w:val="26"/>
          <w:szCs w:val="26"/>
        </w:rPr>
        <w:t xml:space="preserve"> the issues regarding Mr. Culbertson’s inactive customer service line are not properly before the Commission in this base rate case.  </w:t>
      </w:r>
      <w:r w:rsidR="00F83D8D" w:rsidRPr="00C47563">
        <w:rPr>
          <w:rFonts w:cs="Times New Roman"/>
          <w:sz w:val="26"/>
          <w:szCs w:val="26"/>
        </w:rPr>
        <w:t xml:space="preserve">R. Exc. at 11.  </w:t>
      </w:r>
      <w:r w:rsidR="00460289" w:rsidRPr="00C47563">
        <w:rPr>
          <w:rFonts w:cs="Times New Roman"/>
          <w:sz w:val="26"/>
          <w:szCs w:val="26"/>
        </w:rPr>
        <w:t xml:space="preserve">Columbia also states that </w:t>
      </w:r>
      <w:r w:rsidR="001459A0" w:rsidRPr="00C47563">
        <w:rPr>
          <w:rFonts w:cs="Times New Roman"/>
          <w:sz w:val="26"/>
          <w:szCs w:val="26"/>
        </w:rPr>
        <w:t xml:space="preserve">Mr. Culbertson </w:t>
      </w:r>
      <w:r w:rsidR="00C834E5" w:rsidRPr="00C47563">
        <w:rPr>
          <w:rFonts w:cs="Times New Roman"/>
          <w:sz w:val="26"/>
          <w:szCs w:val="26"/>
        </w:rPr>
        <w:t>argues in his Exceptions that</w:t>
      </w:r>
      <w:r w:rsidR="001459A0" w:rsidRPr="00C47563">
        <w:rPr>
          <w:rFonts w:cs="Times New Roman"/>
          <w:sz w:val="26"/>
          <w:szCs w:val="26"/>
        </w:rPr>
        <w:t xml:space="preserve"> Columbia </w:t>
      </w:r>
      <w:r w:rsidR="00C834E5" w:rsidRPr="00C47563">
        <w:rPr>
          <w:rFonts w:cs="Times New Roman"/>
          <w:sz w:val="26"/>
          <w:szCs w:val="26"/>
        </w:rPr>
        <w:t xml:space="preserve">is </w:t>
      </w:r>
      <w:r w:rsidR="001459A0" w:rsidRPr="00C47563">
        <w:rPr>
          <w:rFonts w:cs="Times New Roman"/>
          <w:sz w:val="26"/>
          <w:szCs w:val="26"/>
        </w:rPr>
        <w:t xml:space="preserve">engaging in a scheme to abandon </w:t>
      </w:r>
      <w:r w:rsidR="009913E4" w:rsidRPr="00C47563">
        <w:rPr>
          <w:rFonts w:cs="Times New Roman"/>
          <w:sz w:val="26"/>
          <w:szCs w:val="26"/>
        </w:rPr>
        <w:t xml:space="preserve">customers’ </w:t>
      </w:r>
      <w:r w:rsidR="001459A0" w:rsidRPr="00C47563">
        <w:rPr>
          <w:rFonts w:cs="Times New Roman"/>
          <w:sz w:val="26"/>
          <w:szCs w:val="26"/>
        </w:rPr>
        <w:t xml:space="preserve">service lines for the purpose of “padding the rate base.”  </w:t>
      </w:r>
      <w:r w:rsidR="00AE509C" w:rsidRPr="00C47563">
        <w:rPr>
          <w:rFonts w:cs="Times New Roman"/>
          <w:i/>
          <w:iCs/>
          <w:sz w:val="26"/>
          <w:szCs w:val="26"/>
        </w:rPr>
        <w:t>Id</w:t>
      </w:r>
      <w:r w:rsidR="00AE509C" w:rsidRPr="00C47563">
        <w:rPr>
          <w:rFonts w:cs="Times New Roman"/>
          <w:sz w:val="26"/>
          <w:szCs w:val="26"/>
        </w:rPr>
        <w:t xml:space="preserve">. (citing </w:t>
      </w:r>
      <w:r w:rsidR="001459A0" w:rsidRPr="00C47563">
        <w:rPr>
          <w:rFonts w:cs="Times New Roman"/>
          <w:sz w:val="26"/>
          <w:szCs w:val="26"/>
        </w:rPr>
        <w:t>Exc.</w:t>
      </w:r>
      <w:r w:rsidR="00AE509C" w:rsidRPr="00C47563">
        <w:rPr>
          <w:rFonts w:cs="Times New Roman"/>
          <w:sz w:val="26"/>
          <w:szCs w:val="26"/>
        </w:rPr>
        <w:t xml:space="preserve"> at</w:t>
      </w:r>
      <w:r w:rsidR="001459A0" w:rsidRPr="00C47563">
        <w:rPr>
          <w:rFonts w:cs="Times New Roman"/>
          <w:sz w:val="26"/>
          <w:szCs w:val="26"/>
        </w:rPr>
        <w:t xml:space="preserve"> 10</w:t>
      </w:r>
      <w:r w:rsidR="00AE509C" w:rsidRPr="00C47563">
        <w:rPr>
          <w:rFonts w:cs="Times New Roman"/>
          <w:sz w:val="26"/>
          <w:szCs w:val="26"/>
        </w:rPr>
        <w:t>)</w:t>
      </w:r>
      <w:r w:rsidR="001459A0" w:rsidRPr="00C47563">
        <w:rPr>
          <w:rFonts w:cs="Times New Roman"/>
          <w:sz w:val="26"/>
          <w:szCs w:val="26"/>
        </w:rPr>
        <w:t xml:space="preserve">.  </w:t>
      </w:r>
      <w:r w:rsidR="00AE509C" w:rsidRPr="00C47563">
        <w:rPr>
          <w:rFonts w:cs="Times New Roman"/>
          <w:sz w:val="26"/>
          <w:szCs w:val="26"/>
        </w:rPr>
        <w:t xml:space="preserve">Columbia </w:t>
      </w:r>
      <w:r w:rsidR="00925080" w:rsidRPr="00C47563">
        <w:rPr>
          <w:rFonts w:cs="Times New Roman"/>
          <w:sz w:val="26"/>
          <w:szCs w:val="26"/>
        </w:rPr>
        <w:t>argues that there</w:t>
      </w:r>
      <w:r w:rsidR="001459A0" w:rsidRPr="00C47563">
        <w:rPr>
          <w:rFonts w:cs="Times New Roman"/>
          <w:sz w:val="26"/>
          <w:szCs w:val="26"/>
        </w:rPr>
        <w:t xml:space="preserve"> is no evidence in the record to suggest that Columbia has engaged in a scheme involving customer service lines</w:t>
      </w:r>
      <w:r w:rsidR="00880A19" w:rsidRPr="00C47563">
        <w:rPr>
          <w:rFonts w:cs="Times New Roman"/>
          <w:sz w:val="26"/>
          <w:szCs w:val="26"/>
        </w:rPr>
        <w:t xml:space="preserve"> or</w:t>
      </w:r>
      <w:r w:rsidR="001459A0" w:rsidRPr="00C47563">
        <w:rPr>
          <w:rFonts w:cs="Times New Roman"/>
          <w:sz w:val="26"/>
          <w:szCs w:val="26"/>
        </w:rPr>
        <w:t xml:space="preserve"> that Columbia has made unnecessary investments in rate base.</w:t>
      </w:r>
      <w:r w:rsidR="008F071F" w:rsidRPr="00C47563">
        <w:rPr>
          <w:rFonts w:cs="Times New Roman"/>
          <w:sz w:val="26"/>
          <w:szCs w:val="26"/>
        </w:rPr>
        <w:t xml:space="preserve">  Exc. at 11.</w:t>
      </w:r>
      <w:r w:rsidR="00564193" w:rsidRPr="00C47563">
        <w:rPr>
          <w:rFonts w:cs="Times New Roman"/>
          <w:sz w:val="26"/>
          <w:szCs w:val="26"/>
        </w:rPr>
        <w:t xml:space="preserve">  Columbia further avers that while </w:t>
      </w:r>
      <w:r w:rsidR="001459A0" w:rsidRPr="00C47563">
        <w:rPr>
          <w:rFonts w:cs="Times New Roman"/>
          <w:sz w:val="26"/>
          <w:szCs w:val="26"/>
        </w:rPr>
        <w:t xml:space="preserve">Mr. Culbertson argues that the issues </w:t>
      </w:r>
      <w:r w:rsidR="00832D74" w:rsidRPr="00C47563">
        <w:rPr>
          <w:rFonts w:cs="Times New Roman"/>
          <w:sz w:val="26"/>
          <w:szCs w:val="26"/>
        </w:rPr>
        <w:t>concerning</w:t>
      </w:r>
      <w:r w:rsidR="001459A0" w:rsidRPr="00C47563">
        <w:rPr>
          <w:rFonts w:cs="Times New Roman"/>
          <w:sz w:val="26"/>
          <w:szCs w:val="26"/>
        </w:rPr>
        <w:t xml:space="preserve"> his service line were not the primary reason for his </w:t>
      </w:r>
      <w:r w:rsidR="00FB329A" w:rsidRPr="00C47563">
        <w:rPr>
          <w:rFonts w:cs="Times New Roman"/>
          <w:sz w:val="26"/>
          <w:szCs w:val="26"/>
        </w:rPr>
        <w:t xml:space="preserve">Rate </w:t>
      </w:r>
      <w:r w:rsidR="001459A0" w:rsidRPr="00C47563">
        <w:rPr>
          <w:rFonts w:cs="Times New Roman"/>
          <w:sz w:val="26"/>
          <w:szCs w:val="26"/>
        </w:rPr>
        <w:t xml:space="preserve">Complaint </w:t>
      </w:r>
      <w:r w:rsidR="00832D74" w:rsidRPr="00C47563">
        <w:rPr>
          <w:rFonts w:cs="Times New Roman"/>
          <w:sz w:val="26"/>
          <w:szCs w:val="26"/>
        </w:rPr>
        <w:t>in</w:t>
      </w:r>
      <w:r w:rsidR="001459A0" w:rsidRPr="00C47563">
        <w:rPr>
          <w:rFonts w:cs="Times New Roman"/>
          <w:sz w:val="26"/>
          <w:szCs w:val="26"/>
        </w:rPr>
        <w:t xml:space="preserve"> this proceeding, Mr. Culbertson failed to pre</w:t>
      </w:r>
      <w:r w:rsidR="005A0404" w:rsidRPr="00C47563">
        <w:rPr>
          <w:rFonts w:cs="Times New Roman"/>
          <w:sz w:val="26"/>
          <w:szCs w:val="26"/>
        </w:rPr>
        <w:t>s</w:t>
      </w:r>
      <w:r w:rsidR="001459A0" w:rsidRPr="00C47563">
        <w:rPr>
          <w:rFonts w:cs="Times New Roman"/>
          <w:sz w:val="26"/>
          <w:szCs w:val="26"/>
        </w:rPr>
        <w:t xml:space="preserve">ent substantial evidence to support any of his claims against Columbia’s rates and service.  </w:t>
      </w:r>
      <w:r w:rsidR="00ED06D3" w:rsidRPr="00C47563">
        <w:rPr>
          <w:rFonts w:cs="Times New Roman"/>
          <w:sz w:val="26"/>
          <w:szCs w:val="26"/>
        </w:rPr>
        <w:t xml:space="preserve">As such, Columbia submits that </w:t>
      </w:r>
      <w:r w:rsidR="001459A0" w:rsidRPr="00C47563">
        <w:rPr>
          <w:rFonts w:cs="Times New Roman"/>
          <w:sz w:val="26"/>
          <w:szCs w:val="26"/>
        </w:rPr>
        <w:t xml:space="preserve">the </w:t>
      </w:r>
      <w:r w:rsidR="00ED06D3" w:rsidRPr="00C47563">
        <w:rPr>
          <w:rFonts w:cs="Times New Roman"/>
          <w:sz w:val="26"/>
          <w:szCs w:val="26"/>
        </w:rPr>
        <w:t xml:space="preserve">ALJ </w:t>
      </w:r>
      <w:r w:rsidR="001459A0" w:rsidRPr="00C47563">
        <w:rPr>
          <w:rFonts w:cs="Times New Roman"/>
          <w:sz w:val="26"/>
          <w:szCs w:val="26"/>
        </w:rPr>
        <w:t xml:space="preserve">properly recommended that the Commission dismiss Mr. Culbertson’s claims for failure to meet the burden of proof.  </w:t>
      </w:r>
      <w:r w:rsidR="00180237" w:rsidRPr="00C47563">
        <w:rPr>
          <w:rFonts w:cs="Times New Roman"/>
          <w:i/>
          <w:iCs/>
          <w:sz w:val="26"/>
          <w:szCs w:val="26"/>
        </w:rPr>
        <w:t>Id</w:t>
      </w:r>
      <w:r w:rsidR="00180237" w:rsidRPr="00C47563">
        <w:rPr>
          <w:rFonts w:cs="Times New Roman"/>
          <w:sz w:val="26"/>
          <w:szCs w:val="26"/>
        </w:rPr>
        <w:t xml:space="preserve">. at 12.  </w:t>
      </w:r>
    </w:p>
    <w:p w14:paraId="43BA1A6D" w14:textId="55949BF7" w:rsidR="008D6E2D" w:rsidRPr="00C47563" w:rsidRDefault="008D6E2D" w:rsidP="00C47563">
      <w:pPr>
        <w:pStyle w:val="BodyText2"/>
        <w:spacing w:line="360" w:lineRule="auto"/>
        <w:jc w:val="left"/>
        <w:rPr>
          <w:rFonts w:cs="Times New Roman"/>
          <w:sz w:val="26"/>
          <w:szCs w:val="26"/>
        </w:rPr>
      </w:pPr>
    </w:p>
    <w:p w14:paraId="4ED25FE3" w14:textId="74724CA5" w:rsidR="005C01CE" w:rsidRDefault="002A5E6A" w:rsidP="00C47563">
      <w:pPr>
        <w:pStyle w:val="BodyText2"/>
        <w:spacing w:line="360" w:lineRule="auto"/>
        <w:ind w:firstLine="1440"/>
        <w:jc w:val="left"/>
        <w:rPr>
          <w:rFonts w:cs="Times New Roman"/>
          <w:sz w:val="26"/>
          <w:szCs w:val="26"/>
        </w:rPr>
      </w:pPr>
      <w:r w:rsidRPr="00C47563">
        <w:rPr>
          <w:rFonts w:cs="Times New Roman"/>
          <w:sz w:val="26"/>
          <w:szCs w:val="26"/>
        </w:rPr>
        <w:t xml:space="preserve">Upon review, we will grant Mr. Culbertson’s Exception to the limited extent that </w:t>
      </w:r>
      <w:r w:rsidR="003A40F7" w:rsidRPr="00C47563">
        <w:rPr>
          <w:rFonts w:cs="Times New Roman"/>
          <w:sz w:val="26"/>
          <w:szCs w:val="26"/>
        </w:rPr>
        <w:t xml:space="preserve">Mr. Culbertson raised various issues in his </w:t>
      </w:r>
      <w:r w:rsidR="00715969" w:rsidRPr="00C47563">
        <w:rPr>
          <w:rFonts w:cs="Times New Roman"/>
          <w:sz w:val="26"/>
          <w:szCs w:val="26"/>
        </w:rPr>
        <w:t xml:space="preserve">Rate Complaint, </w:t>
      </w:r>
      <w:r w:rsidR="009630B8" w:rsidRPr="00C47563">
        <w:rPr>
          <w:rFonts w:cs="Times New Roman"/>
          <w:sz w:val="26"/>
          <w:szCs w:val="26"/>
        </w:rPr>
        <w:t>and it is not clear that the issue regarding Mr. Culbertson’s inactive service line</w:t>
      </w:r>
      <w:r w:rsidR="00731213" w:rsidRPr="00C47563">
        <w:rPr>
          <w:rFonts w:cs="Times New Roman"/>
          <w:sz w:val="26"/>
          <w:szCs w:val="26"/>
        </w:rPr>
        <w:t xml:space="preserve"> that </w:t>
      </w:r>
      <w:r w:rsidR="00956454" w:rsidRPr="00C47563">
        <w:rPr>
          <w:rFonts w:cs="Times New Roman"/>
          <w:sz w:val="26"/>
          <w:szCs w:val="26"/>
        </w:rPr>
        <w:t>is</w:t>
      </w:r>
      <w:r w:rsidR="00731213" w:rsidRPr="00C47563">
        <w:rPr>
          <w:rFonts w:cs="Times New Roman"/>
          <w:sz w:val="26"/>
          <w:szCs w:val="26"/>
        </w:rPr>
        <w:t xml:space="preserve"> part of the pending Service Line Complaint </w:t>
      </w:r>
      <w:r w:rsidR="000F2463" w:rsidRPr="00C47563">
        <w:rPr>
          <w:rFonts w:cs="Times New Roman"/>
          <w:sz w:val="26"/>
          <w:szCs w:val="26"/>
        </w:rPr>
        <w:t>is</w:t>
      </w:r>
      <w:r w:rsidR="00731213" w:rsidRPr="00C47563">
        <w:rPr>
          <w:rFonts w:cs="Times New Roman"/>
          <w:sz w:val="26"/>
          <w:szCs w:val="26"/>
        </w:rPr>
        <w:t xml:space="preserve"> </w:t>
      </w:r>
      <w:r w:rsidR="004152B2" w:rsidRPr="00C47563">
        <w:rPr>
          <w:rFonts w:cs="Times New Roman"/>
          <w:sz w:val="26"/>
          <w:szCs w:val="26"/>
        </w:rPr>
        <w:t xml:space="preserve">the </w:t>
      </w:r>
      <w:r w:rsidR="00731213" w:rsidRPr="00C47563">
        <w:rPr>
          <w:rFonts w:cs="Times New Roman"/>
          <w:sz w:val="26"/>
          <w:szCs w:val="26"/>
        </w:rPr>
        <w:t xml:space="preserve">primary issue underlying Mr. Culbertson’s </w:t>
      </w:r>
      <w:r w:rsidR="004152B2" w:rsidRPr="00C47563">
        <w:rPr>
          <w:rFonts w:cs="Times New Roman"/>
          <w:sz w:val="26"/>
          <w:szCs w:val="26"/>
        </w:rPr>
        <w:t xml:space="preserve">Rate </w:t>
      </w:r>
      <w:r w:rsidR="00731213" w:rsidRPr="00C47563">
        <w:rPr>
          <w:rFonts w:cs="Times New Roman"/>
          <w:sz w:val="26"/>
          <w:szCs w:val="26"/>
        </w:rPr>
        <w:t>Complaint</w:t>
      </w:r>
      <w:r w:rsidR="004152B2" w:rsidRPr="00C47563">
        <w:rPr>
          <w:rFonts w:cs="Times New Roman"/>
          <w:sz w:val="26"/>
          <w:szCs w:val="26"/>
        </w:rPr>
        <w:t xml:space="preserve">.  </w:t>
      </w:r>
      <w:r w:rsidR="002A2DAE" w:rsidRPr="00C47563">
        <w:rPr>
          <w:rFonts w:cs="Times New Roman"/>
          <w:sz w:val="26"/>
          <w:szCs w:val="26"/>
        </w:rPr>
        <w:t xml:space="preserve">While the issue regarding Mr. Culbertson’s inactive service line </w:t>
      </w:r>
      <w:r w:rsidR="006E355C" w:rsidRPr="00C47563">
        <w:rPr>
          <w:rFonts w:cs="Times New Roman"/>
          <w:sz w:val="26"/>
          <w:szCs w:val="26"/>
        </w:rPr>
        <w:t xml:space="preserve">is </w:t>
      </w:r>
      <w:r w:rsidR="002A2DAE" w:rsidRPr="00C47563">
        <w:rPr>
          <w:rFonts w:cs="Times New Roman"/>
          <w:sz w:val="26"/>
          <w:szCs w:val="26"/>
        </w:rPr>
        <w:t xml:space="preserve">a significant part of </w:t>
      </w:r>
      <w:r w:rsidR="006E355C" w:rsidRPr="00C47563">
        <w:rPr>
          <w:rFonts w:cs="Times New Roman"/>
          <w:sz w:val="26"/>
          <w:szCs w:val="26"/>
        </w:rPr>
        <w:t>Mr. Culbertson’s</w:t>
      </w:r>
      <w:r w:rsidR="002A2DAE" w:rsidRPr="00C47563">
        <w:rPr>
          <w:rFonts w:cs="Times New Roman"/>
          <w:sz w:val="26"/>
          <w:szCs w:val="26"/>
        </w:rPr>
        <w:t xml:space="preserve"> Rate Complaint, Mr. Culbertson also raised issues </w:t>
      </w:r>
      <w:r w:rsidR="004950AE" w:rsidRPr="00C47563">
        <w:rPr>
          <w:rFonts w:cs="Times New Roman"/>
          <w:sz w:val="26"/>
          <w:szCs w:val="26"/>
        </w:rPr>
        <w:t>concerning</w:t>
      </w:r>
      <w:r w:rsidR="006945A9" w:rsidRPr="00C47563">
        <w:rPr>
          <w:rFonts w:cs="Times New Roman"/>
          <w:sz w:val="26"/>
          <w:szCs w:val="26"/>
        </w:rPr>
        <w:t xml:space="preserve"> </w:t>
      </w:r>
      <w:r w:rsidR="00442D79" w:rsidRPr="00C47563">
        <w:rPr>
          <w:rFonts w:cs="Times New Roman"/>
          <w:sz w:val="26"/>
          <w:szCs w:val="26"/>
        </w:rPr>
        <w:t xml:space="preserve">whether Columbia’s rates have been </w:t>
      </w:r>
      <w:r w:rsidR="008322FB" w:rsidRPr="00C47563">
        <w:rPr>
          <w:rFonts w:cs="Times New Roman"/>
          <w:sz w:val="26"/>
          <w:szCs w:val="26"/>
        </w:rPr>
        <w:t xml:space="preserve">properly </w:t>
      </w:r>
      <w:r w:rsidR="00442D79" w:rsidRPr="00C47563">
        <w:rPr>
          <w:rFonts w:cs="Times New Roman"/>
          <w:sz w:val="26"/>
          <w:szCs w:val="26"/>
        </w:rPr>
        <w:t>investigated to ensure the rates are just and reasonable</w:t>
      </w:r>
      <w:r w:rsidR="008322FB" w:rsidRPr="00C47563">
        <w:rPr>
          <w:rFonts w:cs="Times New Roman"/>
          <w:sz w:val="26"/>
          <w:szCs w:val="26"/>
        </w:rPr>
        <w:t xml:space="preserve"> </w:t>
      </w:r>
      <w:r w:rsidR="009522FF" w:rsidRPr="00C47563">
        <w:rPr>
          <w:rFonts w:cs="Times New Roman"/>
          <w:sz w:val="26"/>
          <w:szCs w:val="26"/>
        </w:rPr>
        <w:t xml:space="preserve">and </w:t>
      </w:r>
      <w:r w:rsidR="00104B5D" w:rsidRPr="00C47563">
        <w:rPr>
          <w:rFonts w:cs="Times New Roman"/>
          <w:sz w:val="26"/>
          <w:szCs w:val="26"/>
        </w:rPr>
        <w:t xml:space="preserve">issues concerning Columbia’s audits, internal controls, and safety practices.  </w:t>
      </w:r>
    </w:p>
    <w:p w14:paraId="5FF34881" w14:textId="77777777" w:rsidR="0094251F" w:rsidRPr="00C47563" w:rsidRDefault="0094251F" w:rsidP="00C47563">
      <w:pPr>
        <w:pStyle w:val="BodyText2"/>
        <w:spacing w:line="360" w:lineRule="auto"/>
        <w:ind w:firstLine="1440"/>
        <w:jc w:val="left"/>
        <w:rPr>
          <w:rFonts w:cs="Times New Roman"/>
          <w:sz w:val="26"/>
          <w:szCs w:val="26"/>
        </w:rPr>
      </w:pPr>
    </w:p>
    <w:p w14:paraId="617D5725" w14:textId="56BE126D" w:rsidR="0087520B" w:rsidRPr="00C47563" w:rsidRDefault="005A6B31" w:rsidP="00C46871">
      <w:pPr>
        <w:pStyle w:val="BodyText2"/>
        <w:spacing w:line="360" w:lineRule="auto"/>
        <w:ind w:firstLine="1440"/>
        <w:jc w:val="left"/>
        <w:rPr>
          <w:rFonts w:cs="Times New Roman"/>
          <w:sz w:val="26"/>
          <w:szCs w:val="26"/>
        </w:rPr>
      </w:pPr>
      <w:r w:rsidRPr="00C47563">
        <w:rPr>
          <w:rFonts w:cs="Times New Roman"/>
          <w:sz w:val="26"/>
          <w:szCs w:val="26"/>
        </w:rPr>
        <w:t xml:space="preserve">In finding that Mr. Culbertson did not satisfy his burden of proof, the ALJ addressed </w:t>
      </w:r>
      <w:r w:rsidR="00730EDB" w:rsidRPr="00C47563">
        <w:rPr>
          <w:rFonts w:cs="Times New Roman"/>
          <w:sz w:val="26"/>
          <w:szCs w:val="26"/>
        </w:rPr>
        <w:t xml:space="preserve">all of </w:t>
      </w:r>
      <w:r w:rsidR="0040209B" w:rsidRPr="00C47563">
        <w:rPr>
          <w:rFonts w:cs="Times New Roman"/>
          <w:sz w:val="26"/>
          <w:szCs w:val="26"/>
        </w:rPr>
        <w:t>these issues</w:t>
      </w:r>
      <w:r w:rsidR="008127FD" w:rsidRPr="00C47563">
        <w:rPr>
          <w:rFonts w:cs="Times New Roman"/>
          <w:sz w:val="26"/>
          <w:szCs w:val="26"/>
        </w:rPr>
        <w:t xml:space="preserve">.  </w:t>
      </w:r>
      <w:r w:rsidR="00034C95" w:rsidRPr="00C47563">
        <w:rPr>
          <w:rFonts w:cs="Times New Roman"/>
          <w:i/>
          <w:iCs/>
          <w:sz w:val="26"/>
          <w:szCs w:val="26"/>
        </w:rPr>
        <w:t>See</w:t>
      </w:r>
      <w:r w:rsidR="00034C95" w:rsidRPr="00C47563">
        <w:rPr>
          <w:rFonts w:cs="Times New Roman"/>
          <w:sz w:val="26"/>
          <w:szCs w:val="26"/>
        </w:rPr>
        <w:t xml:space="preserve"> R.D. at 60, 61.</w:t>
      </w:r>
      <w:r w:rsidR="003806CA" w:rsidRPr="00C47563">
        <w:rPr>
          <w:rFonts w:cs="Times New Roman"/>
          <w:sz w:val="26"/>
          <w:szCs w:val="26"/>
        </w:rPr>
        <w:t xml:space="preserve"> </w:t>
      </w:r>
      <w:r w:rsidR="00C91AA8" w:rsidRPr="00C47563">
        <w:rPr>
          <w:rFonts w:cs="Times New Roman"/>
          <w:sz w:val="26"/>
          <w:szCs w:val="26"/>
        </w:rPr>
        <w:t xml:space="preserve"> </w:t>
      </w:r>
      <w:r w:rsidR="002C3D82" w:rsidRPr="00C47563">
        <w:rPr>
          <w:rFonts w:cs="Times New Roman"/>
          <w:sz w:val="26"/>
          <w:szCs w:val="26"/>
        </w:rPr>
        <w:t>We do not find it necessary to modify</w:t>
      </w:r>
      <w:r w:rsidR="00E03CC4" w:rsidRPr="00C47563">
        <w:rPr>
          <w:rFonts w:cs="Times New Roman"/>
          <w:sz w:val="26"/>
          <w:szCs w:val="26"/>
        </w:rPr>
        <w:t xml:space="preserve"> the ALJ’s </w:t>
      </w:r>
      <w:r w:rsidR="003F7F0B" w:rsidRPr="00C47563">
        <w:rPr>
          <w:rFonts w:cs="Times New Roman"/>
          <w:sz w:val="26"/>
          <w:szCs w:val="26"/>
        </w:rPr>
        <w:t>decision</w:t>
      </w:r>
      <w:r w:rsidR="002F1FB4" w:rsidRPr="00C47563">
        <w:rPr>
          <w:rFonts w:cs="Times New Roman"/>
          <w:sz w:val="26"/>
          <w:szCs w:val="26"/>
        </w:rPr>
        <w:t xml:space="preserve">, given that the ALJ </w:t>
      </w:r>
      <w:r w:rsidR="00AD5128" w:rsidRPr="00C47563">
        <w:rPr>
          <w:rFonts w:cs="Times New Roman"/>
          <w:sz w:val="26"/>
          <w:szCs w:val="26"/>
        </w:rPr>
        <w:t xml:space="preserve">addressed </w:t>
      </w:r>
      <w:r w:rsidR="000C45E1" w:rsidRPr="00C47563">
        <w:rPr>
          <w:rFonts w:cs="Times New Roman"/>
          <w:sz w:val="26"/>
          <w:szCs w:val="26"/>
        </w:rPr>
        <w:t>the various issues raised in Mr. Culbertson’s Complaint a</w:t>
      </w:r>
      <w:r w:rsidR="006E6775" w:rsidRPr="00C47563">
        <w:rPr>
          <w:rFonts w:cs="Times New Roman"/>
          <w:sz w:val="26"/>
          <w:szCs w:val="26"/>
        </w:rPr>
        <w:t xml:space="preserve">s well as the issues </w:t>
      </w:r>
      <w:r w:rsidR="003F7624" w:rsidRPr="00C47563">
        <w:rPr>
          <w:rFonts w:cs="Times New Roman"/>
          <w:sz w:val="26"/>
          <w:szCs w:val="26"/>
        </w:rPr>
        <w:t>Mr. Culbertson</w:t>
      </w:r>
      <w:r w:rsidR="00AE756C" w:rsidRPr="00C47563">
        <w:rPr>
          <w:rFonts w:cs="Times New Roman"/>
          <w:sz w:val="26"/>
          <w:szCs w:val="26"/>
        </w:rPr>
        <w:t xml:space="preserve"> </w:t>
      </w:r>
      <w:r w:rsidR="006566D8" w:rsidRPr="00C47563">
        <w:rPr>
          <w:rFonts w:cs="Times New Roman"/>
          <w:sz w:val="26"/>
          <w:szCs w:val="26"/>
        </w:rPr>
        <w:t>raised</w:t>
      </w:r>
      <w:r w:rsidR="00AE756C" w:rsidRPr="00C47563">
        <w:rPr>
          <w:rFonts w:cs="Times New Roman"/>
          <w:sz w:val="26"/>
          <w:szCs w:val="26"/>
        </w:rPr>
        <w:t xml:space="preserve"> throughout this proceeding</w:t>
      </w:r>
      <w:r w:rsidR="00751CCC" w:rsidRPr="00C47563">
        <w:rPr>
          <w:rFonts w:cs="Times New Roman"/>
          <w:sz w:val="26"/>
          <w:szCs w:val="26"/>
        </w:rPr>
        <w:t xml:space="preserve"> in his briefs, </w:t>
      </w:r>
      <w:r w:rsidR="00784A6E" w:rsidRPr="00C47563">
        <w:rPr>
          <w:rFonts w:cs="Times New Roman"/>
          <w:sz w:val="26"/>
          <w:szCs w:val="26"/>
        </w:rPr>
        <w:t>testimony, and exhibits</w:t>
      </w:r>
      <w:r w:rsidR="009142F7" w:rsidRPr="00C47563">
        <w:rPr>
          <w:rFonts w:cs="Times New Roman"/>
          <w:sz w:val="26"/>
          <w:szCs w:val="26"/>
        </w:rPr>
        <w:t>.</w:t>
      </w:r>
      <w:r w:rsidR="006566D8" w:rsidRPr="00C47563">
        <w:rPr>
          <w:rFonts w:cs="Times New Roman"/>
          <w:sz w:val="26"/>
          <w:szCs w:val="26"/>
        </w:rPr>
        <w:t xml:space="preserve">  </w:t>
      </w:r>
      <w:r w:rsidR="00C62575" w:rsidRPr="00C47563">
        <w:rPr>
          <w:rFonts w:cs="Times New Roman"/>
          <w:sz w:val="26"/>
          <w:szCs w:val="26"/>
        </w:rPr>
        <w:t>W</w:t>
      </w:r>
      <w:r w:rsidR="00A3670C" w:rsidRPr="00C47563">
        <w:rPr>
          <w:rFonts w:cs="Times New Roman"/>
          <w:sz w:val="26"/>
          <w:szCs w:val="26"/>
        </w:rPr>
        <w:t xml:space="preserve">e view the ALJ’s statement regarding </w:t>
      </w:r>
      <w:r w:rsidR="008E7069" w:rsidRPr="00C47563">
        <w:rPr>
          <w:rFonts w:cs="Times New Roman"/>
          <w:sz w:val="26"/>
          <w:szCs w:val="26"/>
        </w:rPr>
        <w:t xml:space="preserve">the </w:t>
      </w:r>
      <w:r w:rsidR="004C2163" w:rsidRPr="00C47563">
        <w:rPr>
          <w:rFonts w:cs="Times New Roman"/>
          <w:sz w:val="26"/>
          <w:szCs w:val="26"/>
        </w:rPr>
        <w:t xml:space="preserve">primary issue underlying Mr. Culbertson’s </w:t>
      </w:r>
      <w:r w:rsidR="008E7069" w:rsidRPr="00C47563">
        <w:rPr>
          <w:rFonts w:cs="Times New Roman"/>
          <w:sz w:val="26"/>
          <w:szCs w:val="26"/>
        </w:rPr>
        <w:t xml:space="preserve">Rate </w:t>
      </w:r>
      <w:r w:rsidR="004C2163" w:rsidRPr="00C47563">
        <w:rPr>
          <w:rFonts w:cs="Times New Roman"/>
          <w:sz w:val="26"/>
          <w:szCs w:val="26"/>
        </w:rPr>
        <w:t xml:space="preserve">Complaint </w:t>
      </w:r>
      <w:r w:rsidR="00F0172A" w:rsidRPr="00C47563">
        <w:rPr>
          <w:rFonts w:cs="Times New Roman"/>
          <w:sz w:val="26"/>
          <w:szCs w:val="26"/>
        </w:rPr>
        <w:t>as dicta</w:t>
      </w:r>
      <w:r w:rsidR="00941DFC" w:rsidRPr="00C47563">
        <w:rPr>
          <w:rFonts w:cs="Times New Roman"/>
          <w:sz w:val="26"/>
          <w:szCs w:val="26"/>
        </w:rPr>
        <w:t xml:space="preserve"> as</w:t>
      </w:r>
      <w:r w:rsidR="00F0172A" w:rsidRPr="00C47563">
        <w:rPr>
          <w:rFonts w:cs="Times New Roman"/>
          <w:sz w:val="26"/>
          <w:szCs w:val="26"/>
        </w:rPr>
        <w:t xml:space="preserve"> </w:t>
      </w:r>
      <w:r w:rsidR="00310A5C" w:rsidRPr="00C47563">
        <w:rPr>
          <w:rFonts w:cs="Times New Roman"/>
          <w:sz w:val="26"/>
          <w:szCs w:val="26"/>
        </w:rPr>
        <w:t xml:space="preserve">it does not form a basis for </w:t>
      </w:r>
      <w:r w:rsidR="00B91FC4" w:rsidRPr="00C47563">
        <w:rPr>
          <w:rFonts w:cs="Times New Roman"/>
          <w:sz w:val="26"/>
          <w:szCs w:val="26"/>
        </w:rPr>
        <w:t xml:space="preserve">the ALJ’s </w:t>
      </w:r>
      <w:r w:rsidR="00AA5301" w:rsidRPr="00C47563">
        <w:rPr>
          <w:rFonts w:cs="Times New Roman"/>
          <w:sz w:val="26"/>
          <w:szCs w:val="26"/>
        </w:rPr>
        <w:t xml:space="preserve">decision to </w:t>
      </w:r>
      <w:r w:rsidR="008E0F84" w:rsidRPr="00C47563">
        <w:rPr>
          <w:rFonts w:cs="Times New Roman"/>
          <w:sz w:val="26"/>
          <w:szCs w:val="26"/>
        </w:rPr>
        <w:t xml:space="preserve">dismiss Mr. Culbertson’s </w:t>
      </w:r>
      <w:r w:rsidR="009A4FD1" w:rsidRPr="00C47563">
        <w:rPr>
          <w:rFonts w:cs="Times New Roman"/>
          <w:sz w:val="26"/>
          <w:szCs w:val="26"/>
        </w:rPr>
        <w:t xml:space="preserve">Rate </w:t>
      </w:r>
      <w:r w:rsidR="008E0F84" w:rsidRPr="00C47563">
        <w:rPr>
          <w:rFonts w:cs="Times New Roman"/>
          <w:sz w:val="26"/>
          <w:szCs w:val="26"/>
        </w:rPr>
        <w:t>Complaint</w:t>
      </w:r>
      <w:r w:rsidR="006E5E2D" w:rsidRPr="00C47563">
        <w:rPr>
          <w:rFonts w:cs="Times New Roman"/>
          <w:sz w:val="26"/>
          <w:szCs w:val="26"/>
        </w:rPr>
        <w:t>.</w:t>
      </w:r>
      <w:r w:rsidR="00A904C6" w:rsidRPr="00C47563">
        <w:rPr>
          <w:rFonts w:cs="Times New Roman"/>
          <w:sz w:val="26"/>
          <w:szCs w:val="26"/>
        </w:rPr>
        <w:t xml:space="preserve">  In fact, as the ALJ</w:t>
      </w:r>
      <w:r w:rsidR="00075A15" w:rsidRPr="00C47563">
        <w:rPr>
          <w:rFonts w:cs="Times New Roman"/>
          <w:sz w:val="26"/>
          <w:szCs w:val="26"/>
        </w:rPr>
        <w:t xml:space="preserve"> properly concluded</w:t>
      </w:r>
      <w:r w:rsidR="006C5E4D" w:rsidRPr="00C47563">
        <w:rPr>
          <w:rFonts w:cs="Times New Roman"/>
          <w:sz w:val="26"/>
          <w:szCs w:val="26"/>
        </w:rPr>
        <w:t xml:space="preserve"> and as we discussed in our disposition of Mr. Culbertson’s Exception No.</w:t>
      </w:r>
      <w:r w:rsidR="00891DD1" w:rsidRPr="00C47563">
        <w:rPr>
          <w:rFonts w:cs="Times New Roman"/>
          <w:sz w:val="26"/>
          <w:szCs w:val="26"/>
        </w:rPr>
        <w:t xml:space="preserve"> 4</w:t>
      </w:r>
      <w:r w:rsidR="00C41E49" w:rsidRPr="00C47563">
        <w:rPr>
          <w:rFonts w:cs="Times New Roman"/>
          <w:sz w:val="26"/>
          <w:szCs w:val="26"/>
        </w:rPr>
        <w:t xml:space="preserve">, </w:t>
      </w:r>
      <w:r w:rsidR="00C41E49" w:rsidRPr="00C47563">
        <w:rPr>
          <w:rFonts w:eastAsia="Times New Roman" w:cs="Times New Roman"/>
          <w:sz w:val="26"/>
          <w:szCs w:val="26"/>
        </w:rPr>
        <w:t>Mr. Culbertson’s claims concerning his Service Line Complaint</w:t>
      </w:r>
      <w:r w:rsidR="00A25E80" w:rsidRPr="00C47563">
        <w:rPr>
          <w:rFonts w:eastAsia="Times New Roman" w:cs="Times New Roman"/>
          <w:sz w:val="26"/>
          <w:szCs w:val="26"/>
        </w:rPr>
        <w:t xml:space="preserve"> have been fully litigated and are pending a Commission decision</w:t>
      </w:r>
      <w:r w:rsidR="006C0122" w:rsidRPr="00C47563">
        <w:rPr>
          <w:rFonts w:eastAsia="Times New Roman" w:cs="Times New Roman"/>
          <w:sz w:val="26"/>
          <w:szCs w:val="26"/>
        </w:rPr>
        <w:t xml:space="preserve"> and</w:t>
      </w:r>
      <w:r w:rsidR="002F40CC" w:rsidRPr="00C47563">
        <w:rPr>
          <w:rFonts w:eastAsia="Times New Roman" w:cs="Times New Roman"/>
          <w:sz w:val="26"/>
          <w:szCs w:val="26"/>
        </w:rPr>
        <w:t>, consequently</w:t>
      </w:r>
      <w:r w:rsidR="000D6C2E" w:rsidRPr="00C47563">
        <w:rPr>
          <w:rFonts w:eastAsia="Times New Roman" w:cs="Times New Roman"/>
          <w:sz w:val="26"/>
          <w:szCs w:val="26"/>
        </w:rPr>
        <w:t>,</w:t>
      </w:r>
      <w:r w:rsidR="002F40CC" w:rsidRPr="00C47563">
        <w:rPr>
          <w:rFonts w:eastAsia="Times New Roman" w:cs="Times New Roman"/>
          <w:sz w:val="26"/>
          <w:szCs w:val="26"/>
        </w:rPr>
        <w:t xml:space="preserve"> </w:t>
      </w:r>
      <w:r w:rsidR="004905B5" w:rsidRPr="00C47563">
        <w:rPr>
          <w:rFonts w:eastAsia="Times New Roman" w:cs="Times New Roman"/>
          <w:sz w:val="26"/>
          <w:szCs w:val="26"/>
        </w:rPr>
        <w:t xml:space="preserve">are </w:t>
      </w:r>
      <w:r w:rsidR="002F40CC" w:rsidRPr="00C47563">
        <w:rPr>
          <w:rFonts w:eastAsia="Times New Roman" w:cs="Times New Roman"/>
          <w:sz w:val="26"/>
          <w:szCs w:val="26"/>
        </w:rPr>
        <w:t xml:space="preserve">more properly considered in the </w:t>
      </w:r>
      <w:r w:rsidR="00950941" w:rsidRPr="00C47563">
        <w:rPr>
          <w:rFonts w:eastAsia="Times New Roman" w:cs="Times New Roman"/>
          <w:sz w:val="26"/>
          <w:szCs w:val="26"/>
        </w:rPr>
        <w:t>Service Line Complaint proceeding</w:t>
      </w:r>
      <w:r w:rsidR="00C41E49" w:rsidRPr="00C47563">
        <w:rPr>
          <w:rFonts w:eastAsia="Times New Roman" w:cs="Times New Roman"/>
          <w:sz w:val="26"/>
          <w:szCs w:val="26"/>
        </w:rPr>
        <w:t xml:space="preserve">. </w:t>
      </w:r>
      <w:r w:rsidR="00920DD7" w:rsidRPr="00C47563">
        <w:rPr>
          <w:rFonts w:cs="Times New Roman"/>
          <w:sz w:val="26"/>
          <w:szCs w:val="26"/>
        </w:rPr>
        <w:t xml:space="preserve"> </w:t>
      </w:r>
    </w:p>
    <w:p w14:paraId="2B2347EA" w14:textId="566FA390" w:rsidR="0087520B" w:rsidRPr="00C47563" w:rsidRDefault="0087520B" w:rsidP="00C46871">
      <w:pPr>
        <w:spacing w:after="0" w:line="360" w:lineRule="auto"/>
        <w:ind w:firstLine="1440"/>
        <w:contextualSpacing/>
        <w:rPr>
          <w:rFonts w:ascii="Times New Roman" w:eastAsia="Times New Roman" w:hAnsi="Times New Roman" w:cs="Times New Roman"/>
          <w:sz w:val="26"/>
          <w:szCs w:val="26"/>
        </w:rPr>
      </w:pPr>
    </w:p>
    <w:p w14:paraId="6F72D03C" w14:textId="1B440E8D" w:rsidR="001F7740" w:rsidRPr="00C47563" w:rsidRDefault="0094251F" w:rsidP="00C46871">
      <w:pPr>
        <w:pStyle w:val="Heading3"/>
        <w:spacing w:line="360" w:lineRule="auto"/>
      </w:pPr>
      <w:bookmarkStart w:id="34" w:name="_Toc89253068"/>
      <w:r>
        <w:t>5</w:t>
      </w:r>
      <w:r w:rsidR="0069214B" w:rsidRPr="00C47563">
        <w:t>.</w:t>
      </w:r>
      <w:r w:rsidR="0069214B" w:rsidRPr="00C47563">
        <w:tab/>
      </w:r>
      <w:r w:rsidR="001F7740" w:rsidRPr="00C47563">
        <w:t xml:space="preserve">Disposition of the </w:t>
      </w:r>
      <w:r w:rsidR="00B0545F" w:rsidRPr="00C47563">
        <w:t>Joint Petition</w:t>
      </w:r>
      <w:bookmarkEnd w:id="34"/>
    </w:p>
    <w:p w14:paraId="2620B99D" w14:textId="77777777" w:rsidR="001F7740" w:rsidRPr="00C47563" w:rsidRDefault="001F7740" w:rsidP="00C46871">
      <w:pPr>
        <w:keepNext/>
        <w:spacing w:after="0" w:line="360" w:lineRule="auto"/>
        <w:ind w:firstLine="1440"/>
        <w:contextualSpacing/>
        <w:rPr>
          <w:rFonts w:ascii="Times New Roman" w:eastAsia="Times New Roman" w:hAnsi="Times New Roman" w:cs="Times New Roman"/>
          <w:sz w:val="26"/>
          <w:szCs w:val="26"/>
        </w:rPr>
      </w:pPr>
    </w:p>
    <w:p w14:paraId="68961748" w14:textId="53343976" w:rsidR="00B314FE" w:rsidRDefault="00B314FE" w:rsidP="00C46871">
      <w:pPr>
        <w:keepNext/>
        <w:spacing w:after="0" w:line="360" w:lineRule="auto"/>
        <w:ind w:firstLine="1440"/>
        <w:rPr>
          <w:rFonts w:ascii="Times New Roman" w:eastAsia="Times New Roman" w:hAnsi="Times New Roman" w:cs="Times New Roman"/>
          <w:color w:val="000000"/>
          <w:spacing w:val="2"/>
          <w:sz w:val="26"/>
          <w:szCs w:val="26"/>
        </w:rPr>
      </w:pPr>
      <w:r w:rsidRPr="00C47563">
        <w:rPr>
          <w:rFonts w:ascii="Times New Roman" w:hAnsi="Times New Roman" w:cs="Times New Roman"/>
          <w:sz w:val="26"/>
          <w:szCs w:val="26"/>
        </w:rPr>
        <w:t>We find that the proposed Settlement balances the concerns of all Parties involved, is in the public interest, and should be approved without modification.  In terms of the revenue requirement, the total increase in annual revenues of $58.5 million that the Joint Petitioners agreed to is $39.8 million less than Columbia’s original request of $98.3</w:t>
      </w:r>
      <w:r w:rsidR="00C46871">
        <w:rPr>
          <w:rFonts w:ascii="Times New Roman" w:hAnsi="Times New Roman" w:cs="Times New Roman"/>
          <w:sz w:val="26"/>
          <w:szCs w:val="26"/>
        </w:rPr>
        <w:t> </w:t>
      </w:r>
      <w:r w:rsidRPr="00C47563">
        <w:rPr>
          <w:rFonts w:ascii="Times New Roman" w:hAnsi="Times New Roman" w:cs="Times New Roman"/>
          <w:sz w:val="26"/>
          <w:szCs w:val="26"/>
        </w:rPr>
        <w:t>million, representing about a 40% reduction from the original requested amount.  Joint Petition at ¶</w:t>
      </w:r>
      <w:r w:rsidR="000F7861" w:rsidRPr="00C47563">
        <w:rPr>
          <w:rFonts w:ascii="Times New Roman" w:hAnsi="Times New Roman" w:cs="Times New Roman"/>
          <w:sz w:val="26"/>
          <w:szCs w:val="26"/>
        </w:rPr>
        <w:t xml:space="preserve"> </w:t>
      </w:r>
      <w:r w:rsidRPr="00C47563">
        <w:rPr>
          <w:rFonts w:ascii="Times New Roman" w:hAnsi="Times New Roman" w:cs="Times New Roman"/>
          <w:sz w:val="26"/>
          <w:szCs w:val="26"/>
        </w:rPr>
        <w:t>16</w:t>
      </w:r>
      <w:r w:rsidR="000F7861" w:rsidRPr="00C47563">
        <w:rPr>
          <w:rFonts w:ascii="Times New Roman" w:hAnsi="Times New Roman" w:cs="Times New Roman"/>
          <w:sz w:val="26"/>
          <w:szCs w:val="26"/>
        </w:rPr>
        <w:t>;</w:t>
      </w:r>
      <w:r w:rsidRPr="00C47563">
        <w:rPr>
          <w:rFonts w:ascii="Times New Roman" w:hAnsi="Times New Roman" w:cs="Times New Roman"/>
          <w:sz w:val="26"/>
          <w:szCs w:val="26"/>
        </w:rPr>
        <w:t xml:space="preserve"> I&amp;E Statement in Support at 5; OCA Statement in Support at 5.  The Settlement will reduce the impact of the rate increase on residential customers.  The Joint Petitioners aver that while they were not able to agree on a specific cost of service study in the Settlement, they were able to agree to a revenue allocation that is within the range of reasonable revenue allocations proposed by the Joint Petitioners in this proceeding.  Columbia Statement in Support at 12.  Further, </w:t>
      </w:r>
      <w:r w:rsidRPr="00C47563">
        <w:rPr>
          <w:rFonts w:ascii="Times New Roman" w:eastAsia="Times New Roman" w:hAnsi="Times New Roman" w:cs="Times New Roman"/>
          <w:color w:val="000000"/>
          <w:spacing w:val="2"/>
          <w:sz w:val="26"/>
          <w:szCs w:val="26"/>
        </w:rPr>
        <w:t>by using structural rate design to limit the disproportionate burdens on low-income households and through enhancements to Columbia's universal service and CAP programs, the Settlement takes rate affordability into account to better match households in need with available assistance.  CAUSE-PA Statement in Support at 3.</w:t>
      </w:r>
    </w:p>
    <w:p w14:paraId="6976D382" w14:textId="77777777" w:rsidR="00C47563" w:rsidRPr="00C47563" w:rsidRDefault="00C47563" w:rsidP="0094251F">
      <w:pPr>
        <w:spacing w:after="0" w:line="360" w:lineRule="auto"/>
        <w:ind w:firstLine="1440"/>
        <w:rPr>
          <w:rFonts w:ascii="Times New Roman" w:eastAsia="Times New Roman" w:hAnsi="Times New Roman" w:cs="Times New Roman"/>
          <w:color w:val="000000"/>
          <w:spacing w:val="2"/>
          <w:sz w:val="26"/>
          <w:szCs w:val="26"/>
        </w:rPr>
      </w:pPr>
    </w:p>
    <w:p w14:paraId="0CC277CF" w14:textId="13F9F859" w:rsidR="00B314FE" w:rsidRPr="00C47563" w:rsidRDefault="00B314FE" w:rsidP="00C47563">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 xml:space="preserve">In addition to these provisions, there are other provisions within the Settlement that are beneficial to the Company’s customers and the public.  Among these provisions are the following: </w:t>
      </w:r>
      <w:r w:rsidR="00542289" w:rsidRPr="00C47563">
        <w:rPr>
          <w:rFonts w:ascii="Times New Roman" w:hAnsi="Times New Roman" w:cs="Times New Roman"/>
          <w:sz w:val="26"/>
          <w:szCs w:val="26"/>
        </w:rPr>
        <w:t xml:space="preserve"> </w:t>
      </w:r>
      <w:r w:rsidRPr="00C47563">
        <w:rPr>
          <w:rFonts w:ascii="Times New Roman" w:hAnsi="Times New Roman" w:cs="Times New Roman"/>
          <w:sz w:val="26"/>
          <w:szCs w:val="26"/>
        </w:rPr>
        <w:t xml:space="preserve">(1) the Company’s agreement that the residential customer charge will not be increased and will remain at $16.75 per month, which will protect residential customers while still providing Columbia with adequate revenue (Joint Petition at ¶ 32; Columbia Statement in Support at 14); (2) Columbia’s eligibility to include plant additions in the Distribution System Improvement Charge once eligible account balances exceed the levels projected by Columbia as of December 31, 2022 (Joint Petition at ¶ 20); (3) the Company’s agreement to discontinue the deferral of COVID-19 related Uncollectible Accounts Expense as of the implementation dates of the rates contemplated by this Settlement, or earlier if directed by the Commission (Joint Petition at ¶ 24); and (4) numerous provisions and modifications concerning the Company’s universal service and CAP programs, including increased funding for the Company’s Emergency Repair Fund, which provides for the repair and replacement of faulty equipment for low-income households, and for its LIURP, and the Company’s agreement to develop an outreach campaign to promote existing CAP programs (Joint Petition at ¶¶ 37-45).  </w:t>
      </w:r>
    </w:p>
    <w:p w14:paraId="1B7AFF11" w14:textId="77777777" w:rsidR="00B314FE" w:rsidRPr="00C47563" w:rsidRDefault="00B314FE" w:rsidP="00C47563">
      <w:pPr>
        <w:spacing w:after="0" w:line="360" w:lineRule="auto"/>
        <w:ind w:firstLine="1440"/>
        <w:contextualSpacing/>
        <w:rPr>
          <w:rFonts w:ascii="Times New Roman" w:hAnsi="Times New Roman" w:cs="Times New Roman"/>
          <w:sz w:val="26"/>
          <w:szCs w:val="26"/>
        </w:rPr>
      </w:pPr>
    </w:p>
    <w:p w14:paraId="5897F1DC" w14:textId="77777777" w:rsidR="00B314FE" w:rsidRPr="00C47563" w:rsidRDefault="00B314FE" w:rsidP="00C47563">
      <w:pPr>
        <w:spacing w:after="0" w:line="360" w:lineRule="auto"/>
        <w:ind w:firstLine="1440"/>
        <w:rPr>
          <w:rFonts w:ascii="Times New Roman" w:hAnsi="Times New Roman" w:cs="Times New Roman"/>
          <w:sz w:val="26"/>
          <w:szCs w:val="26"/>
        </w:rPr>
      </w:pPr>
      <w:r w:rsidRPr="00C47563">
        <w:rPr>
          <w:rFonts w:ascii="Times New Roman" w:hAnsi="Times New Roman" w:cs="Times New Roman"/>
          <w:sz w:val="26"/>
          <w:szCs w:val="26"/>
        </w:rPr>
        <w:t>Further, we find that the Settlement will result in significant savings of time and expenses for all Parties involved by avoiding the necessity of further administrative proceedings, as well as possible appellate court proceedings, thereby conserving administrative resources.  The Settlement also benefits all Parties by providing regulatory certainty with respect to the disposition of the issues.  For the reasons stated herein and in the Joint Petitioners’ Statements in Support, we agree with the ALJ’s conclusion that the Settlement is in the public interest and we shall approve it without modification.</w:t>
      </w:r>
    </w:p>
    <w:p w14:paraId="1486426D" w14:textId="77777777" w:rsidR="0065079B" w:rsidRPr="00C47563" w:rsidRDefault="0065079B" w:rsidP="00C47563">
      <w:pPr>
        <w:spacing w:after="0" w:line="360" w:lineRule="auto"/>
        <w:ind w:firstLine="1440"/>
        <w:contextualSpacing/>
        <w:rPr>
          <w:rFonts w:ascii="Times New Roman" w:eastAsia="Times New Roman" w:hAnsi="Times New Roman" w:cs="Times New Roman"/>
          <w:sz w:val="26"/>
          <w:szCs w:val="26"/>
        </w:rPr>
      </w:pPr>
    </w:p>
    <w:p w14:paraId="6D5A67D8" w14:textId="77777777" w:rsidR="003870D4" w:rsidRPr="00C47563" w:rsidRDefault="003870D4" w:rsidP="00E0474B">
      <w:pPr>
        <w:pStyle w:val="Heading1"/>
      </w:pPr>
      <w:bookmarkStart w:id="35" w:name="_Toc89253069"/>
      <w:r w:rsidRPr="00C47563">
        <w:t>IV.</w:t>
      </w:r>
      <w:r w:rsidRPr="00C47563">
        <w:tab/>
        <w:t>Conclusion</w:t>
      </w:r>
      <w:bookmarkEnd w:id="35"/>
    </w:p>
    <w:p w14:paraId="404EC2B4" w14:textId="77777777" w:rsidR="003870D4" w:rsidRPr="00C47563" w:rsidRDefault="003870D4" w:rsidP="00E0474B">
      <w:pPr>
        <w:keepNext/>
        <w:keepLines/>
        <w:spacing w:after="0" w:line="360" w:lineRule="auto"/>
        <w:contextualSpacing/>
        <w:rPr>
          <w:rFonts w:ascii="Times New Roman" w:eastAsia="Times New Roman" w:hAnsi="Times New Roman" w:cs="Times New Roman"/>
          <w:sz w:val="26"/>
          <w:szCs w:val="26"/>
        </w:rPr>
      </w:pPr>
    </w:p>
    <w:p w14:paraId="5A4C4E71" w14:textId="2B09AC2A" w:rsidR="00A67468" w:rsidRPr="00C47563" w:rsidRDefault="00A67468" w:rsidP="00E0474B">
      <w:pPr>
        <w:spacing w:after="0" w:line="360" w:lineRule="auto"/>
        <w:ind w:firstLine="1440"/>
        <w:rPr>
          <w:rFonts w:ascii="Times New Roman" w:eastAsia="Times New Roman" w:hAnsi="Times New Roman" w:cs="Times New Roman"/>
          <w:sz w:val="26"/>
          <w:szCs w:val="26"/>
        </w:rPr>
      </w:pPr>
      <w:r w:rsidRPr="00C47563">
        <w:rPr>
          <w:rFonts w:ascii="Times New Roman" w:eastAsia="Times New Roman" w:hAnsi="Times New Roman" w:cs="Times New Roman"/>
          <w:color w:val="000000"/>
          <w:sz w:val="26"/>
          <w:szCs w:val="26"/>
        </w:rPr>
        <w:t>We have reviewed the record developed in this proceeding, including the ALJ’</w:t>
      </w:r>
      <w:r w:rsidR="00B34AF4" w:rsidRPr="00C47563">
        <w:rPr>
          <w:rFonts w:ascii="Times New Roman" w:eastAsia="Times New Roman" w:hAnsi="Times New Roman" w:cs="Times New Roman"/>
          <w:color w:val="000000"/>
          <w:sz w:val="26"/>
          <w:szCs w:val="26"/>
        </w:rPr>
        <w:t>s</w:t>
      </w:r>
      <w:r w:rsidRPr="00C47563">
        <w:rPr>
          <w:rFonts w:ascii="Times New Roman" w:eastAsia="Times New Roman" w:hAnsi="Times New Roman" w:cs="Times New Roman"/>
          <w:color w:val="000000"/>
          <w:sz w:val="26"/>
          <w:szCs w:val="26"/>
        </w:rPr>
        <w:t xml:space="preserve"> Recommended Decision and the Exceptions and Re</w:t>
      </w:r>
      <w:r w:rsidR="00B34AF4" w:rsidRPr="00C47563">
        <w:rPr>
          <w:rFonts w:ascii="Times New Roman" w:eastAsia="Times New Roman" w:hAnsi="Times New Roman" w:cs="Times New Roman"/>
          <w:color w:val="000000"/>
          <w:sz w:val="26"/>
          <w:szCs w:val="26"/>
        </w:rPr>
        <w:t>s</w:t>
      </w:r>
      <w:r w:rsidRPr="00C47563">
        <w:rPr>
          <w:rFonts w:ascii="Times New Roman" w:eastAsia="Times New Roman" w:hAnsi="Times New Roman" w:cs="Times New Roman"/>
          <w:color w:val="000000"/>
          <w:sz w:val="26"/>
          <w:szCs w:val="26"/>
        </w:rPr>
        <w:t>p</w:t>
      </w:r>
      <w:r w:rsidR="00B34AF4" w:rsidRPr="00C47563">
        <w:rPr>
          <w:rFonts w:ascii="Times New Roman" w:eastAsia="Times New Roman" w:hAnsi="Times New Roman" w:cs="Times New Roman"/>
          <w:color w:val="000000"/>
          <w:sz w:val="26"/>
          <w:szCs w:val="26"/>
        </w:rPr>
        <w:t>onses</w:t>
      </w:r>
      <w:r w:rsidRPr="00C47563">
        <w:rPr>
          <w:rFonts w:ascii="Times New Roman" w:eastAsia="Times New Roman" w:hAnsi="Times New Roman" w:cs="Times New Roman"/>
          <w:color w:val="000000"/>
          <w:sz w:val="26"/>
          <w:szCs w:val="26"/>
        </w:rPr>
        <w:t xml:space="preserve"> filed thereto.  Based upon our review, evaluation</w:t>
      </w:r>
      <w:r w:rsidR="00B34AF4" w:rsidRPr="00C47563">
        <w:rPr>
          <w:rFonts w:ascii="Times New Roman" w:eastAsia="Times New Roman" w:hAnsi="Times New Roman" w:cs="Times New Roman"/>
          <w:color w:val="000000"/>
          <w:sz w:val="26"/>
          <w:szCs w:val="26"/>
        </w:rPr>
        <w:t>,</w:t>
      </w:r>
      <w:r w:rsidRPr="00C47563">
        <w:rPr>
          <w:rFonts w:ascii="Times New Roman" w:eastAsia="Times New Roman" w:hAnsi="Times New Roman" w:cs="Times New Roman"/>
          <w:color w:val="000000"/>
          <w:sz w:val="26"/>
          <w:szCs w:val="26"/>
        </w:rPr>
        <w:t xml:space="preserve"> and analysis of the record evidence, we shall </w:t>
      </w:r>
      <w:r w:rsidR="00600317" w:rsidRPr="00C47563">
        <w:rPr>
          <w:rFonts w:ascii="Times New Roman" w:eastAsia="Times New Roman" w:hAnsi="Times New Roman" w:cs="Times New Roman"/>
          <w:color w:val="000000"/>
          <w:sz w:val="26"/>
          <w:szCs w:val="26"/>
        </w:rPr>
        <w:t>deny, in major part, and grant, in limited part,</w:t>
      </w:r>
      <w:r w:rsidRPr="00C47563">
        <w:rPr>
          <w:rFonts w:ascii="Times New Roman" w:eastAsia="Times New Roman" w:hAnsi="Times New Roman" w:cs="Times New Roman"/>
          <w:sz w:val="26"/>
          <w:szCs w:val="26"/>
        </w:rPr>
        <w:t xml:space="preserve"> the Exceptions filed</w:t>
      </w:r>
      <w:r w:rsidR="00CC0D3D" w:rsidRPr="00C47563">
        <w:rPr>
          <w:rFonts w:ascii="Times New Roman" w:eastAsia="Times New Roman" w:hAnsi="Times New Roman" w:cs="Times New Roman"/>
          <w:sz w:val="26"/>
          <w:szCs w:val="26"/>
        </w:rPr>
        <w:t xml:space="preserve"> </w:t>
      </w:r>
      <w:r w:rsidR="00BB0B7B" w:rsidRPr="00C47563">
        <w:rPr>
          <w:rFonts w:ascii="Times New Roman" w:eastAsia="Times New Roman" w:hAnsi="Times New Roman" w:cs="Times New Roman"/>
          <w:sz w:val="26"/>
          <w:szCs w:val="26"/>
        </w:rPr>
        <w:t>Mr. Culbertson</w:t>
      </w:r>
      <w:r w:rsidRPr="00C47563">
        <w:rPr>
          <w:rFonts w:ascii="Times New Roman" w:eastAsia="Times New Roman" w:hAnsi="Times New Roman" w:cs="Times New Roman"/>
          <w:sz w:val="26"/>
          <w:szCs w:val="26"/>
        </w:rPr>
        <w:t xml:space="preserve">, approve </w:t>
      </w:r>
      <w:r w:rsidR="00E130A0" w:rsidRPr="00C47563">
        <w:rPr>
          <w:rFonts w:ascii="Times New Roman" w:eastAsia="Times New Roman" w:hAnsi="Times New Roman" w:cs="Times New Roman"/>
          <w:sz w:val="26"/>
          <w:szCs w:val="26"/>
        </w:rPr>
        <w:t>the</w:t>
      </w:r>
      <w:r w:rsidRPr="00C47563">
        <w:rPr>
          <w:rFonts w:ascii="Times New Roman" w:eastAsia="Times New Roman" w:hAnsi="Times New Roman" w:cs="Times New Roman"/>
          <w:sz w:val="26"/>
          <w:szCs w:val="26"/>
        </w:rPr>
        <w:t xml:space="preserve"> Settlement in its entirety, and adopt the ALJ</w:t>
      </w:r>
      <w:r w:rsidR="00E130A0" w:rsidRPr="00C47563">
        <w:rPr>
          <w:rFonts w:ascii="Times New Roman" w:eastAsia="Times New Roman" w:hAnsi="Times New Roman" w:cs="Times New Roman"/>
          <w:sz w:val="26"/>
          <w:szCs w:val="26"/>
        </w:rPr>
        <w:t>’</w:t>
      </w:r>
      <w:r w:rsidRPr="00C47563">
        <w:rPr>
          <w:rFonts w:ascii="Times New Roman" w:eastAsia="Times New Roman" w:hAnsi="Times New Roman" w:cs="Times New Roman"/>
          <w:sz w:val="26"/>
          <w:szCs w:val="26"/>
        </w:rPr>
        <w:t xml:space="preserve">s Recommended Decision, consistent with this Opinion and Order; </w:t>
      </w:r>
      <w:r w:rsidRPr="00C47563">
        <w:rPr>
          <w:rFonts w:ascii="Times New Roman" w:eastAsia="Times New Roman" w:hAnsi="Times New Roman" w:cs="Times New Roman"/>
          <w:b/>
          <w:sz w:val="26"/>
          <w:szCs w:val="26"/>
        </w:rPr>
        <w:t>THEREFORE,</w:t>
      </w:r>
    </w:p>
    <w:p w14:paraId="1C5FF026" w14:textId="77777777" w:rsidR="00A67468" w:rsidRPr="00C47563" w:rsidRDefault="00A67468" w:rsidP="00C47563">
      <w:pPr>
        <w:tabs>
          <w:tab w:val="left" w:pos="-720"/>
        </w:tabs>
        <w:suppressAutoHyphens/>
        <w:spacing w:after="0" w:line="360" w:lineRule="auto"/>
        <w:ind w:firstLine="1440"/>
        <w:contextualSpacing/>
        <w:rPr>
          <w:rFonts w:ascii="Times New Roman" w:eastAsia="Calibri" w:hAnsi="Times New Roman" w:cs="Times New Roman"/>
          <w:spacing w:val="-3"/>
          <w:sz w:val="26"/>
          <w:szCs w:val="26"/>
        </w:rPr>
      </w:pPr>
    </w:p>
    <w:p w14:paraId="416A59AE" w14:textId="332C08A3" w:rsidR="00EF699A" w:rsidRPr="00C47563" w:rsidRDefault="00EF699A" w:rsidP="00C47563">
      <w:pPr>
        <w:keepNext/>
        <w:keepLines/>
        <w:spacing w:after="0" w:line="360" w:lineRule="auto"/>
        <w:ind w:left="720" w:firstLine="720"/>
        <w:contextualSpacing/>
        <w:rPr>
          <w:rFonts w:ascii="Times New Roman" w:eastAsia="Calibri" w:hAnsi="Times New Roman" w:cs="Times New Roman"/>
          <w:b/>
          <w:sz w:val="26"/>
          <w:szCs w:val="26"/>
        </w:rPr>
      </w:pPr>
      <w:r w:rsidRPr="00C47563">
        <w:rPr>
          <w:rFonts w:ascii="Times New Roman" w:eastAsia="Calibri" w:hAnsi="Times New Roman" w:cs="Times New Roman"/>
          <w:b/>
          <w:sz w:val="26"/>
          <w:szCs w:val="26"/>
        </w:rPr>
        <w:t>IT IS ORDERED:</w:t>
      </w:r>
    </w:p>
    <w:p w14:paraId="27FF317E" w14:textId="77777777" w:rsidR="00EF699A" w:rsidRPr="00C47563" w:rsidRDefault="00EF699A" w:rsidP="00C47563">
      <w:pPr>
        <w:keepNext/>
        <w:keepLines/>
        <w:spacing w:after="0" w:line="360" w:lineRule="auto"/>
        <w:ind w:left="720"/>
        <w:contextualSpacing/>
        <w:rPr>
          <w:rFonts w:ascii="Times New Roman" w:eastAsia="Calibri" w:hAnsi="Times New Roman" w:cs="Times New Roman"/>
          <w:b/>
          <w:sz w:val="26"/>
          <w:szCs w:val="26"/>
        </w:rPr>
      </w:pPr>
    </w:p>
    <w:p w14:paraId="06EC9840" w14:textId="23A356C4" w:rsidR="005D6803" w:rsidRPr="00C47563" w:rsidRDefault="00B21D40" w:rsidP="00C47563">
      <w:pPr>
        <w:keepNext/>
        <w:keepLines/>
        <w:spacing w:after="0" w:line="360" w:lineRule="auto"/>
        <w:ind w:firstLine="1440"/>
        <w:contextualSpacing/>
        <w:rPr>
          <w:rFonts w:ascii="Times New Roman" w:eastAsia="Times New Roman" w:hAnsi="Times New Roman" w:cs="Times New Roman"/>
          <w:sz w:val="26"/>
          <w:szCs w:val="26"/>
        </w:rPr>
      </w:pPr>
      <w:r w:rsidRPr="00C47563">
        <w:rPr>
          <w:rFonts w:ascii="Times New Roman" w:eastAsia="Calibri" w:hAnsi="Times New Roman" w:cs="Times New Roman"/>
          <w:spacing w:val="-3"/>
          <w:sz w:val="26"/>
          <w:szCs w:val="26"/>
        </w:rPr>
        <w:t>1.</w:t>
      </w:r>
      <w:r w:rsidR="00EF699A" w:rsidRPr="00C47563">
        <w:rPr>
          <w:rFonts w:ascii="Times New Roman" w:eastAsia="Calibri" w:hAnsi="Times New Roman" w:cs="Times New Roman"/>
          <w:spacing w:val="-3"/>
          <w:sz w:val="26"/>
          <w:szCs w:val="26"/>
        </w:rPr>
        <w:tab/>
        <w:t>That</w:t>
      </w:r>
      <w:r w:rsidR="005D6803" w:rsidRPr="00C47563">
        <w:rPr>
          <w:rFonts w:ascii="Times New Roman" w:eastAsia="Calibri" w:hAnsi="Times New Roman" w:cs="Times New Roman"/>
          <w:spacing w:val="-3"/>
          <w:sz w:val="26"/>
          <w:szCs w:val="26"/>
        </w:rPr>
        <w:t xml:space="preserve"> </w:t>
      </w:r>
      <w:r w:rsidR="005D6803" w:rsidRPr="00C47563">
        <w:rPr>
          <w:rFonts w:ascii="Times New Roman" w:hAnsi="Times New Roman" w:cs="Times New Roman"/>
          <w:sz w:val="26"/>
          <w:szCs w:val="26"/>
        </w:rPr>
        <w:t xml:space="preserve">the </w:t>
      </w:r>
      <w:r w:rsidR="005C3B47" w:rsidRPr="00C47563">
        <w:rPr>
          <w:rFonts w:ascii="Times New Roman" w:hAnsi="Times New Roman" w:cs="Times New Roman"/>
          <w:sz w:val="26"/>
          <w:szCs w:val="26"/>
        </w:rPr>
        <w:t xml:space="preserve">Exceptions </w:t>
      </w:r>
      <w:r w:rsidR="00590F37" w:rsidRPr="00C47563">
        <w:rPr>
          <w:rFonts w:ascii="Times New Roman" w:eastAsia="Times New Roman" w:hAnsi="Times New Roman" w:cs="Times New Roman"/>
          <w:sz w:val="26"/>
          <w:szCs w:val="26"/>
        </w:rPr>
        <w:t xml:space="preserve">filed by </w:t>
      </w:r>
      <w:r w:rsidR="005F0AB0" w:rsidRPr="00C47563">
        <w:rPr>
          <w:rFonts w:ascii="Times New Roman" w:eastAsia="Times New Roman" w:hAnsi="Times New Roman" w:cs="Times New Roman"/>
          <w:sz w:val="26"/>
          <w:szCs w:val="26"/>
        </w:rPr>
        <w:t>Richard C. Culbertson on October</w:t>
      </w:r>
      <w:r w:rsidR="00E0474B">
        <w:rPr>
          <w:rFonts w:ascii="Times New Roman" w:eastAsia="Times New Roman" w:hAnsi="Times New Roman" w:cs="Times New Roman"/>
          <w:sz w:val="26"/>
          <w:szCs w:val="26"/>
        </w:rPr>
        <w:t> </w:t>
      </w:r>
      <w:r w:rsidR="005F0AB0" w:rsidRPr="00C47563">
        <w:rPr>
          <w:rFonts w:ascii="Times New Roman" w:eastAsia="Times New Roman" w:hAnsi="Times New Roman" w:cs="Times New Roman"/>
          <w:sz w:val="26"/>
          <w:szCs w:val="26"/>
        </w:rPr>
        <w:t>20,</w:t>
      </w:r>
      <w:r w:rsidR="00E0474B">
        <w:rPr>
          <w:rFonts w:ascii="Times New Roman" w:eastAsia="Times New Roman" w:hAnsi="Times New Roman" w:cs="Times New Roman"/>
          <w:sz w:val="26"/>
          <w:szCs w:val="26"/>
        </w:rPr>
        <w:t> </w:t>
      </w:r>
      <w:r w:rsidR="005F0AB0" w:rsidRPr="00C47563">
        <w:rPr>
          <w:rFonts w:ascii="Times New Roman" w:eastAsia="Times New Roman" w:hAnsi="Times New Roman" w:cs="Times New Roman"/>
          <w:sz w:val="26"/>
          <w:szCs w:val="26"/>
        </w:rPr>
        <w:t xml:space="preserve">2021, </w:t>
      </w:r>
      <w:r w:rsidR="00361170" w:rsidRPr="00C47563">
        <w:rPr>
          <w:rFonts w:ascii="Times New Roman" w:eastAsia="Times New Roman" w:hAnsi="Times New Roman" w:cs="Times New Roman"/>
          <w:sz w:val="26"/>
          <w:szCs w:val="26"/>
        </w:rPr>
        <w:t xml:space="preserve">are denied, in major part, and granted, in limited part, consistent with this Opinion and Order.  </w:t>
      </w:r>
      <w:bookmarkStart w:id="36" w:name="_Hlk88472168"/>
    </w:p>
    <w:p w14:paraId="18CD8EDB" w14:textId="77777777" w:rsidR="00F9136B" w:rsidRPr="00C47563" w:rsidRDefault="00F9136B" w:rsidP="00C47563">
      <w:pPr>
        <w:keepNext/>
        <w:keepLines/>
        <w:spacing w:after="0" w:line="360" w:lineRule="auto"/>
        <w:ind w:firstLine="1440"/>
        <w:contextualSpacing/>
        <w:rPr>
          <w:rFonts w:ascii="Times New Roman" w:hAnsi="Times New Roman" w:cs="Times New Roman"/>
          <w:sz w:val="26"/>
          <w:szCs w:val="26"/>
        </w:rPr>
      </w:pPr>
    </w:p>
    <w:bookmarkEnd w:id="36"/>
    <w:p w14:paraId="3D99710B" w14:textId="34B469B2" w:rsidR="005D6803" w:rsidRPr="00C47563" w:rsidRDefault="005D6803" w:rsidP="00C47563">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2.</w:t>
      </w:r>
      <w:r w:rsidRPr="00C47563">
        <w:rPr>
          <w:rFonts w:ascii="Times New Roman" w:hAnsi="Times New Roman" w:cs="Times New Roman"/>
          <w:sz w:val="26"/>
          <w:szCs w:val="26"/>
        </w:rPr>
        <w:tab/>
        <w:t xml:space="preserve">That the Recommended Decision of Administrative Law Judge </w:t>
      </w:r>
      <w:r w:rsidR="005C7391" w:rsidRPr="00C47563">
        <w:rPr>
          <w:rFonts w:ascii="Times New Roman" w:eastAsia="Times New Roman" w:hAnsi="Times New Roman" w:cs="Times New Roman"/>
          <w:sz w:val="26"/>
          <w:szCs w:val="26"/>
        </w:rPr>
        <w:t>Mark A. Hoyer served on October 12, 2021, is adopted</w:t>
      </w:r>
      <w:r w:rsidR="00C20778" w:rsidRPr="00C47563">
        <w:rPr>
          <w:rFonts w:ascii="Times New Roman" w:eastAsia="Times New Roman" w:hAnsi="Times New Roman" w:cs="Times New Roman"/>
          <w:sz w:val="26"/>
          <w:szCs w:val="26"/>
        </w:rPr>
        <w:t>,</w:t>
      </w:r>
      <w:r w:rsidRPr="00C47563">
        <w:rPr>
          <w:rFonts w:ascii="Times New Roman" w:hAnsi="Times New Roman" w:cs="Times New Roman"/>
          <w:sz w:val="26"/>
          <w:szCs w:val="26"/>
        </w:rPr>
        <w:t xml:space="preserve"> </w:t>
      </w:r>
      <w:r w:rsidR="00330E37" w:rsidRPr="00C47563">
        <w:rPr>
          <w:rFonts w:ascii="Times New Roman" w:hAnsi="Times New Roman" w:cs="Times New Roman"/>
          <w:sz w:val="26"/>
          <w:szCs w:val="26"/>
        </w:rPr>
        <w:t>consistent with</w:t>
      </w:r>
      <w:r w:rsidRPr="00C47563">
        <w:rPr>
          <w:rFonts w:ascii="Times New Roman" w:hAnsi="Times New Roman" w:cs="Times New Roman"/>
          <w:sz w:val="26"/>
          <w:szCs w:val="26"/>
        </w:rPr>
        <w:t xml:space="preserve"> this Opinion and Order.</w:t>
      </w:r>
    </w:p>
    <w:p w14:paraId="429289C3" w14:textId="77777777" w:rsidR="002A584C" w:rsidRPr="00C47563" w:rsidRDefault="002A584C" w:rsidP="00C47563">
      <w:pPr>
        <w:spacing w:after="0" w:line="360" w:lineRule="auto"/>
        <w:ind w:firstLine="1440"/>
        <w:contextualSpacing/>
        <w:rPr>
          <w:rFonts w:ascii="Times New Roman" w:hAnsi="Times New Roman" w:cs="Times New Roman"/>
          <w:sz w:val="26"/>
          <w:szCs w:val="26"/>
        </w:rPr>
      </w:pPr>
    </w:p>
    <w:p w14:paraId="0ABBE4B8" w14:textId="14CC2F5F" w:rsidR="005D6803" w:rsidRPr="00C47563" w:rsidRDefault="0022459D" w:rsidP="00C47563">
      <w:pPr>
        <w:keepNext/>
        <w:keepLines/>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3</w:t>
      </w:r>
      <w:r w:rsidR="005D6803" w:rsidRPr="00C47563">
        <w:rPr>
          <w:rFonts w:ascii="Times New Roman" w:hAnsi="Times New Roman" w:cs="Times New Roman"/>
          <w:sz w:val="26"/>
          <w:szCs w:val="26"/>
        </w:rPr>
        <w:t>.</w:t>
      </w:r>
      <w:r w:rsidR="005D6803" w:rsidRPr="00C47563">
        <w:rPr>
          <w:rFonts w:ascii="Times New Roman" w:hAnsi="Times New Roman" w:cs="Times New Roman"/>
          <w:sz w:val="26"/>
          <w:szCs w:val="26"/>
        </w:rPr>
        <w:tab/>
      </w:r>
      <w:r w:rsidR="00FD7F72" w:rsidRPr="00C47563">
        <w:rPr>
          <w:rFonts w:ascii="Times New Roman" w:hAnsi="Times New Roman" w:cs="Times New Roman"/>
          <w:sz w:val="26"/>
          <w:szCs w:val="26"/>
        </w:rPr>
        <w:t>That</w:t>
      </w:r>
      <w:r w:rsidR="00FD7F72" w:rsidRPr="00C47563">
        <w:rPr>
          <w:rFonts w:ascii="Times New Roman" w:eastAsia="Times New Roman" w:hAnsi="Times New Roman" w:cs="Times New Roman"/>
          <w:sz w:val="26"/>
          <w:szCs w:val="26"/>
        </w:rPr>
        <w:t xml:space="preserve"> the </w:t>
      </w:r>
      <w:bookmarkStart w:id="37" w:name="_Hlk85120484"/>
      <w:r w:rsidR="00C20778" w:rsidRPr="00C47563">
        <w:rPr>
          <w:rFonts w:ascii="Times New Roman" w:eastAsia="Times New Roman" w:hAnsi="Times New Roman" w:cs="Times New Roman"/>
          <w:sz w:val="26"/>
          <w:szCs w:val="26"/>
        </w:rPr>
        <w:t>Joint Petition for Settlement, filed on September 7, 2021, by Columbia Gas of Pennsylvania, Inc., the Commission’s Bureau of Investigation and Enforcement, the Office of Consumer Advocate, the Office of Small Business Advocate, Columbia Industrial Intervenors, Shipley Choice, LLC d/b/a Shipley Energy Company and the Retail Energy Supply Association, the Coalition for Affordable Utility Services and Energy Efficiency in Pennsylvania, the Pennsylvania State University, and the Pennsylvania Weatherization Providers Task Force</w:t>
      </w:r>
      <w:r w:rsidR="001013F5" w:rsidRPr="00C47563">
        <w:rPr>
          <w:rFonts w:ascii="Times New Roman" w:eastAsia="Times New Roman" w:hAnsi="Times New Roman" w:cs="Times New Roman"/>
          <w:sz w:val="26"/>
          <w:szCs w:val="26"/>
        </w:rPr>
        <w:t>,</w:t>
      </w:r>
      <w:r w:rsidR="00C20778" w:rsidRPr="00C47563">
        <w:rPr>
          <w:rFonts w:ascii="Times New Roman" w:eastAsia="Times New Roman" w:hAnsi="Times New Roman" w:cs="Times New Roman"/>
          <w:sz w:val="26"/>
          <w:szCs w:val="26"/>
        </w:rPr>
        <w:t xml:space="preserve"> </w:t>
      </w:r>
      <w:bookmarkEnd w:id="37"/>
      <w:r w:rsidR="005D6803" w:rsidRPr="00C47563">
        <w:rPr>
          <w:rFonts w:ascii="Times New Roman" w:hAnsi="Times New Roman" w:cs="Times New Roman"/>
          <w:sz w:val="26"/>
          <w:szCs w:val="26"/>
        </w:rPr>
        <w:t>is approved</w:t>
      </w:r>
      <w:r w:rsidR="00D6308D" w:rsidRPr="00C47563">
        <w:rPr>
          <w:rFonts w:ascii="Times New Roman" w:hAnsi="Times New Roman" w:cs="Times New Roman"/>
          <w:sz w:val="26"/>
          <w:szCs w:val="26"/>
        </w:rPr>
        <w:t xml:space="preserve"> </w:t>
      </w:r>
      <w:r w:rsidR="005D6803" w:rsidRPr="00C47563">
        <w:rPr>
          <w:rFonts w:ascii="Times New Roman" w:hAnsi="Times New Roman" w:cs="Times New Roman"/>
          <w:sz w:val="26"/>
          <w:szCs w:val="26"/>
        </w:rPr>
        <w:t>in its entirety without modification.</w:t>
      </w:r>
    </w:p>
    <w:p w14:paraId="65422961" w14:textId="77777777" w:rsidR="00625BB7" w:rsidRPr="00C47563" w:rsidRDefault="00625BB7" w:rsidP="00C47563">
      <w:pPr>
        <w:spacing w:after="0" w:line="360" w:lineRule="auto"/>
        <w:ind w:firstLine="1440"/>
        <w:contextualSpacing/>
        <w:rPr>
          <w:rFonts w:ascii="Times New Roman" w:hAnsi="Times New Roman" w:cs="Times New Roman"/>
          <w:sz w:val="26"/>
          <w:szCs w:val="26"/>
        </w:rPr>
      </w:pPr>
    </w:p>
    <w:p w14:paraId="363A5378" w14:textId="60EF9D09" w:rsidR="001203D3" w:rsidRPr="00C47563" w:rsidRDefault="0022459D" w:rsidP="00E0474B">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4</w:t>
      </w:r>
      <w:r w:rsidR="001203D3" w:rsidRPr="00C47563">
        <w:rPr>
          <w:rFonts w:ascii="Times New Roman" w:hAnsi="Times New Roman" w:cs="Times New Roman"/>
          <w:sz w:val="26"/>
          <w:szCs w:val="26"/>
        </w:rPr>
        <w:t>.</w:t>
      </w:r>
      <w:r w:rsidR="001203D3" w:rsidRPr="00C47563">
        <w:rPr>
          <w:rFonts w:ascii="Times New Roman" w:hAnsi="Times New Roman" w:cs="Times New Roman"/>
          <w:sz w:val="26"/>
          <w:szCs w:val="26"/>
        </w:rPr>
        <w:tab/>
      </w:r>
      <w:r w:rsidR="00A93B48" w:rsidRPr="00C47563">
        <w:rPr>
          <w:rFonts w:ascii="Times New Roman" w:hAnsi="Times New Roman" w:cs="Times New Roman"/>
          <w:sz w:val="26"/>
          <w:szCs w:val="26"/>
        </w:rPr>
        <w:t xml:space="preserve">That Columbia Gas of Pennsylvania, Inc. </w:t>
      </w:r>
      <w:r w:rsidR="003159AA" w:rsidRPr="00C47563">
        <w:rPr>
          <w:rFonts w:ascii="Times New Roman" w:hAnsi="Times New Roman" w:cs="Times New Roman"/>
          <w:sz w:val="26"/>
          <w:szCs w:val="26"/>
        </w:rPr>
        <w:t>shall not place into effect the rates contained in</w:t>
      </w:r>
      <w:r w:rsidR="005E4422" w:rsidRPr="00C47563">
        <w:rPr>
          <w:rFonts w:ascii="Times New Roman" w:hAnsi="Times New Roman" w:cs="Times New Roman"/>
          <w:sz w:val="26"/>
          <w:szCs w:val="26"/>
        </w:rPr>
        <w:t xml:space="preserve"> Supplement No. 325 to Tariff Gas – Pa. P.U.C. No. 9.</w:t>
      </w:r>
      <w:r w:rsidR="003159AA" w:rsidRPr="00C47563">
        <w:rPr>
          <w:rFonts w:ascii="Times New Roman" w:hAnsi="Times New Roman" w:cs="Times New Roman"/>
          <w:sz w:val="26"/>
          <w:szCs w:val="26"/>
        </w:rPr>
        <w:t xml:space="preserve"> </w:t>
      </w:r>
      <w:r w:rsidR="00A93B48" w:rsidRPr="00C47563">
        <w:rPr>
          <w:rFonts w:ascii="Times New Roman" w:hAnsi="Times New Roman" w:cs="Times New Roman"/>
          <w:sz w:val="26"/>
          <w:szCs w:val="26"/>
        </w:rPr>
        <w:t xml:space="preserve"> </w:t>
      </w:r>
    </w:p>
    <w:p w14:paraId="31EFDDD2" w14:textId="0546D458" w:rsidR="00F23865" w:rsidRPr="00C47563" w:rsidRDefault="00F23865" w:rsidP="00E0474B">
      <w:pPr>
        <w:spacing w:after="0" w:line="360" w:lineRule="auto"/>
        <w:ind w:left="720"/>
        <w:rPr>
          <w:rFonts w:ascii="Times New Roman" w:hAnsi="Times New Roman" w:cs="Times New Roman"/>
          <w:sz w:val="26"/>
          <w:szCs w:val="26"/>
        </w:rPr>
      </w:pPr>
    </w:p>
    <w:p w14:paraId="7207C3FC" w14:textId="2B7E9E2C" w:rsidR="0009151A" w:rsidRPr="00C47563" w:rsidRDefault="0022459D" w:rsidP="00E0474B">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5.</w:t>
      </w:r>
      <w:r w:rsidRPr="00C47563">
        <w:rPr>
          <w:rFonts w:ascii="Times New Roman" w:hAnsi="Times New Roman" w:cs="Times New Roman"/>
          <w:sz w:val="26"/>
          <w:szCs w:val="26"/>
        </w:rPr>
        <w:tab/>
      </w:r>
      <w:r w:rsidR="00DC1385" w:rsidRPr="00C47563">
        <w:rPr>
          <w:rFonts w:ascii="Times New Roman" w:hAnsi="Times New Roman" w:cs="Times New Roman"/>
          <w:sz w:val="26"/>
          <w:szCs w:val="26"/>
        </w:rPr>
        <w:t>That Columbia Gas of Pennsylvania, Inc.</w:t>
      </w:r>
      <w:r w:rsidR="0009151A" w:rsidRPr="00C47563">
        <w:rPr>
          <w:rFonts w:ascii="Times New Roman" w:hAnsi="Times New Roman" w:cs="Times New Roman"/>
          <w:sz w:val="26"/>
          <w:szCs w:val="26"/>
        </w:rPr>
        <w:t xml:space="preserve"> shall file tariff supplements with the Commission, reflecting the rates set forth in its proposed compliance tariff attached to the Joint Petition for Settlement as Appendix </w:t>
      </w:r>
      <w:r w:rsidR="00211554" w:rsidRPr="00C47563">
        <w:rPr>
          <w:rFonts w:ascii="Times New Roman" w:hAnsi="Times New Roman" w:cs="Times New Roman"/>
          <w:sz w:val="26"/>
          <w:szCs w:val="26"/>
        </w:rPr>
        <w:t>C</w:t>
      </w:r>
      <w:r w:rsidR="0009151A" w:rsidRPr="00C47563">
        <w:rPr>
          <w:rFonts w:ascii="Times New Roman" w:hAnsi="Times New Roman" w:cs="Times New Roman"/>
          <w:sz w:val="26"/>
          <w:szCs w:val="26"/>
        </w:rPr>
        <w:t xml:space="preserve">, to become effective on one (1) days’ notice after the entry </w:t>
      </w:r>
      <w:r w:rsidR="00F83DAF" w:rsidRPr="00C47563">
        <w:rPr>
          <w:rFonts w:ascii="Times New Roman" w:hAnsi="Times New Roman" w:cs="Times New Roman"/>
          <w:sz w:val="26"/>
          <w:szCs w:val="26"/>
        </w:rPr>
        <w:t xml:space="preserve">date </w:t>
      </w:r>
      <w:r w:rsidR="0009151A" w:rsidRPr="00C47563">
        <w:rPr>
          <w:rFonts w:ascii="Times New Roman" w:hAnsi="Times New Roman" w:cs="Times New Roman"/>
          <w:sz w:val="26"/>
          <w:szCs w:val="26"/>
        </w:rPr>
        <w:t xml:space="preserve">of this Opinion and Order, for service rendered on and after </w:t>
      </w:r>
      <w:r w:rsidR="00F243E0" w:rsidRPr="00C47563">
        <w:rPr>
          <w:rFonts w:ascii="Times New Roman" w:hAnsi="Times New Roman" w:cs="Times New Roman"/>
          <w:sz w:val="26"/>
          <w:szCs w:val="26"/>
        </w:rPr>
        <w:t>December</w:t>
      </w:r>
      <w:r w:rsidR="0009151A" w:rsidRPr="00C47563">
        <w:rPr>
          <w:rFonts w:ascii="Times New Roman" w:hAnsi="Times New Roman" w:cs="Times New Roman"/>
          <w:sz w:val="26"/>
          <w:szCs w:val="26"/>
        </w:rPr>
        <w:t xml:space="preserve"> </w:t>
      </w:r>
      <w:r w:rsidR="00F243E0" w:rsidRPr="00C47563">
        <w:rPr>
          <w:rFonts w:ascii="Times New Roman" w:hAnsi="Times New Roman" w:cs="Times New Roman"/>
          <w:sz w:val="26"/>
          <w:szCs w:val="26"/>
        </w:rPr>
        <w:t>2</w:t>
      </w:r>
      <w:r w:rsidR="0009151A" w:rsidRPr="00C47563">
        <w:rPr>
          <w:rFonts w:ascii="Times New Roman" w:hAnsi="Times New Roman" w:cs="Times New Roman"/>
          <w:sz w:val="26"/>
          <w:szCs w:val="26"/>
        </w:rPr>
        <w:t>9, 2021, so as to produce an annual increase in base rate operating revenues not to exceed $5</w:t>
      </w:r>
      <w:r w:rsidR="006C3053" w:rsidRPr="00C47563">
        <w:rPr>
          <w:rFonts w:ascii="Times New Roman" w:hAnsi="Times New Roman" w:cs="Times New Roman"/>
          <w:sz w:val="26"/>
          <w:szCs w:val="26"/>
        </w:rPr>
        <w:t>8.5</w:t>
      </w:r>
      <w:r w:rsidR="0009151A" w:rsidRPr="00C47563">
        <w:rPr>
          <w:rFonts w:ascii="Times New Roman" w:hAnsi="Times New Roman" w:cs="Times New Roman"/>
          <w:sz w:val="26"/>
          <w:szCs w:val="26"/>
        </w:rPr>
        <w:t xml:space="preserve"> million, consistent with this Opinion and Order.</w:t>
      </w:r>
    </w:p>
    <w:p w14:paraId="3B6BE2E3" w14:textId="77777777" w:rsidR="008B6BDC" w:rsidRPr="00C47563" w:rsidRDefault="008B6BDC" w:rsidP="00E0474B">
      <w:pPr>
        <w:spacing w:after="0" w:line="360" w:lineRule="auto"/>
        <w:ind w:firstLine="1440"/>
        <w:contextualSpacing/>
        <w:rPr>
          <w:rFonts w:ascii="Times New Roman" w:hAnsi="Times New Roman" w:cs="Times New Roman"/>
          <w:sz w:val="26"/>
          <w:szCs w:val="26"/>
        </w:rPr>
      </w:pPr>
    </w:p>
    <w:p w14:paraId="047E3B73" w14:textId="77777777" w:rsidR="00D86F4B" w:rsidRPr="00C47563" w:rsidRDefault="00D86A12" w:rsidP="00E0474B">
      <w:pPr>
        <w:spacing w:after="0" w:line="360" w:lineRule="auto"/>
        <w:ind w:firstLine="1440"/>
        <w:contextualSpacing/>
        <w:rPr>
          <w:rFonts w:ascii="Times New Roman" w:hAnsi="Times New Roman" w:cs="Times New Roman"/>
          <w:sz w:val="26"/>
          <w:szCs w:val="26"/>
        </w:rPr>
      </w:pPr>
      <w:r w:rsidRPr="00C47563">
        <w:rPr>
          <w:rFonts w:ascii="Times New Roman" w:hAnsi="Times New Roman" w:cs="Times New Roman"/>
          <w:sz w:val="26"/>
          <w:szCs w:val="26"/>
        </w:rPr>
        <w:t>6</w:t>
      </w:r>
      <w:r w:rsidR="00D24B77" w:rsidRPr="00C47563">
        <w:rPr>
          <w:rFonts w:ascii="Times New Roman" w:hAnsi="Times New Roman" w:cs="Times New Roman"/>
          <w:sz w:val="26"/>
          <w:szCs w:val="26"/>
        </w:rPr>
        <w:t>.</w:t>
      </w:r>
      <w:r w:rsidR="00320067" w:rsidRPr="00C47563">
        <w:rPr>
          <w:rFonts w:ascii="Times New Roman" w:hAnsi="Times New Roman" w:cs="Times New Roman"/>
          <w:sz w:val="26"/>
          <w:szCs w:val="26"/>
        </w:rPr>
        <w:tab/>
      </w:r>
      <w:r w:rsidR="009200CE" w:rsidRPr="00C47563">
        <w:rPr>
          <w:rFonts w:ascii="Times New Roman" w:hAnsi="Times New Roman" w:cs="Times New Roman"/>
          <w:sz w:val="26"/>
          <w:szCs w:val="26"/>
        </w:rPr>
        <w:t xml:space="preserve">That after </w:t>
      </w:r>
      <w:bookmarkStart w:id="38" w:name="_Hlk84430826"/>
      <w:r w:rsidR="008B19D8" w:rsidRPr="00C47563">
        <w:rPr>
          <w:rFonts w:ascii="Times New Roman" w:hAnsi="Times New Roman" w:cs="Times New Roman"/>
          <w:sz w:val="26"/>
          <w:szCs w:val="26"/>
        </w:rPr>
        <w:t>Columbia Gas of Pennsylvania, Inc.</w:t>
      </w:r>
      <w:r w:rsidR="009200CE" w:rsidRPr="00C47563">
        <w:rPr>
          <w:rFonts w:ascii="Times New Roman" w:hAnsi="Times New Roman" w:cs="Times New Roman"/>
          <w:sz w:val="26"/>
          <w:szCs w:val="26"/>
        </w:rPr>
        <w:t xml:space="preserve"> </w:t>
      </w:r>
      <w:bookmarkEnd w:id="38"/>
      <w:r w:rsidR="009200CE" w:rsidRPr="00C47563">
        <w:rPr>
          <w:rFonts w:ascii="Times New Roman" w:hAnsi="Times New Roman" w:cs="Times New Roman"/>
          <w:sz w:val="26"/>
          <w:szCs w:val="26"/>
        </w:rPr>
        <w:t xml:space="preserve">files the required tariff supplements set forth in Ordering Paragraph No. 5 of this Opinion and Order, the Formal Complaints filed by the Office of Consumer Advocate at Docket Number </w:t>
      </w:r>
    </w:p>
    <w:p w14:paraId="40686DED" w14:textId="5BDE916F" w:rsidR="009200CE" w:rsidRPr="00C47563" w:rsidRDefault="00836B3F" w:rsidP="00E0474B">
      <w:pPr>
        <w:spacing w:after="0" w:line="360" w:lineRule="auto"/>
        <w:contextualSpacing/>
        <w:rPr>
          <w:rFonts w:ascii="Times New Roman" w:hAnsi="Times New Roman" w:cs="Times New Roman"/>
          <w:sz w:val="26"/>
          <w:szCs w:val="26"/>
        </w:rPr>
      </w:pPr>
      <w:r w:rsidRPr="00C47563">
        <w:rPr>
          <w:rFonts w:ascii="Times New Roman" w:hAnsi="Times New Roman" w:cs="Times New Roman"/>
          <w:sz w:val="26"/>
          <w:szCs w:val="26"/>
        </w:rPr>
        <w:t>C-2021-3025078</w:t>
      </w:r>
      <w:r w:rsidR="00B8496B" w:rsidRPr="00C47563">
        <w:rPr>
          <w:rFonts w:ascii="Times New Roman" w:hAnsi="Times New Roman" w:cs="Times New Roman"/>
          <w:sz w:val="26"/>
          <w:szCs w:val="26"/>
        </w:rPr>
        <w:t>,</w:t>
      </w:r>
      <w:r w:rsidR="009200CE" w:rsidRPr="00C47563">
        <w:rPr>
          <w:rFonts w:ascii="Times New Roman" w:hAnsi="Times New Roman" w:cs="Times New Roman"/>
          <w:sz w:val="26"/>
          <w:szCs w:val="26"/>
        </w:rPr>
        <w:t xml:space="preserve"> by the Office of Small Business Advocate at </w:t>
      </w:r>
      <w:r w:rsidRPr="00C47563">
        <w:rPr>
          <w:rFonts w:ascii="Times New Roman" w:hAnsi="Times New Roman" w:cs="Times New Roman"/>
          <w:sz w:val="26"/>
          <w:szCs w:val="26"/>
        </w:rPr>
        <w:t>C-2021-3025257</w:t>
      </w:r>
      <w:r w:rsidR="00B8496B" w:rsidRPr="00C47563">
        <w:rPr>
          <w:rFonts w:ascii="Times New Roman" w:hAnsi="Times New Roman" w:cs="Times New Roman"/>
          <w:sz w:val="26"/>
          <w:szCs w:val="26"/>
        </w:rPr>
        <w:t>, by Columbia Industrial Intervenors at Docket No. C-2021-3025600</w:t>
      </w:r>
      <w:r w:rsidR="009402FA" w:rsidRPr="00C47563">
        <w:rPr>
          <w:rFonts w:ascii="Times New Roman" w:hAnsi="Times New Roman" w:cs="Times New Roman"/>
          <w:sz w:val="26"/>
          <w:szCs w:val="26"/>
        </w:rPr>
        <w:t>,</w:t>
      </w:r>
      <w:r w:rsidR="00B8496B" w:rsidRPr="00C47563">
        <w:rPr>
          <w:rFonts w:ascii="Times New Roman" w:hAnsi="Times New Roman" w:cs="Times New Roman"/>
          <w:sz w:val="26"/>
          <w:szCs w:val="26"/>
        </w:rPr>
        <w:t xml:space="preserve"> and the Pennsylvania State University at Docket No. C-2021-3025775</w:t>
      </w:r>
      <w:r w:rsidR="009200CE" w:rsidRPr="00C47563">
        <w:rPr>
          <w:rFonts w:ascii="Times New Roman" w:hAnsi="Times New Roman" w:cs="Times New Roman"/>
          <w:sz w:val="26"/>
          <w:szCs w:val="26"/>
        </w:rPr>
        <w:t xml:space="preserve"> shall be deemed satisfied, and the Commission’s investigation at Docket No. </w:t>
      </w:r>
      <w:r w:rsidRPr="00C47563">
        <w:rPr>
          <w:rFonts w:ascii="Times New Roman" w:hAnsi="Times New Roman" w:cs="Times New Roman"/>
          <w:sz w:val="26"/>
          <w:szCs w:val="26"/>
        </w:rPr>
        <w:t xml:space="preserve">R-2021-3024296 </w:t>
      </w:r>
      <w:r w:rsidR="009200CE" w:rsidRPr="00C47563">
        <w:rPr>
          <w:rFonts w:ascii="Times New Roman" w:hAnsi="Times New Roman" w:cs="Times New Roman"/>
          <w:sz w:val="26"/>
          <w:szCs w:val="26"/>
        </w:rPr>
        <w:t xml:space="preserve">shall be terminated, and all </w:t>
      </w:r>
      <w:r w:rsidR="0052345A" w:rsidRPr="00C47563">
        <w:rPr>
          <w:rFonts w:ascii="Times New Roman" w:hAnsi="Times New Roman" w:cs="Times New Roman"/>
          <w:sz w:val="26"/>
          <w:szCs w:val="26"/>
        </w:rPr>
        <w:t>five</w:t>
      </w:r>
      <w:r w:rsidR="009200CE" w:rsidRPr="00C47563">
        <w:rPr>
          <w:rFonts w:ascii="Times New Roman" w:hAnsi="Times New Roman" w:cs="Times New Roman"/>
          <w:sz w:val="26"/>
          <w:szCs w:val="26"/>
        </w:rPr>
        <w:t xml:space="preserve"> dockets shall be marked closed.</w:t>
      </w:r>
    </w:p>
    <w:p w14:paraId="7005AD2D" w14:textId="014DF837" w:rsidR="00895992" w:rsidRPr="00C47563" w:rsidRDefault="00895992" w:rsidP="00E0474B">
      <w:pPr>
        <w:spacing w:after="0" w:line="360" w:lineRule="auto"/>
        <w:ind w:firstLine="1440"/>
        <w:contextualSpacing/>
        <w:rPr>
          <w:rFonts w:ascii="Times New Roman" w:hAnsi="Times New Roman" w:cs="Times New Roman"/>
          <w:sz w:val="26"/>
          <w:szCs w:val="26"/>
        </w:rPr>
      </w:pPr>
    </w:p>
    <w:p w14:paraId="03560E8F" w14:textId="3EA26900" w:rsidR="006C2E3B" w:rsidRPr="00C47563" w:rsidRDefault="00F91EEA" w:rsidP="00E0474B">
      <w:pPr>
        <w:spacing w:after="0" w:line="360" w:lineRule="auto"/>
        <w:ind w:right="3" w:firstLine="1445"/>
        <w:rPr>
          <w:rFonts w:ascii="Times New Roman" w:hAnsi="Times New Roman" w:cs="Times New Roman"/>
          <w:sz w:val="26"/>
          <w:szCs w:val="26"/>
        </w:rPr>
      </w:pPr>
      <w:r w:rsidRPr="00C47563">
        <w:rPr>
          <w:rFonts w:ascii="Times New Roman" w:hAnsi="Times New Roman" w:cs="Times New Roman"/>
          <w:sz w:val="26"/>
          <w:szCs w:val="26"/>
        </w:rPr>
        <w:t>7</w:t>
      </w:r>
      <w:r w:rsidR="009D42D4" w:rsidRPr="00C47563">
        <w:rPr>
          <w:rFonts w:ascii="Times New Roman" w:hAnsi="Times New Roman" w:cs="Times New Roman"/>
          <w:sz w:val="26"/>
          <w:szCs w:val="26"/>
        </w:rPr>
        <w:t>.</w:t>
      </w:r>
      <w:r w:rsidR="009D42D4" w:rsidRPr="00C47563">
        <w:rPr>
          <w:rFonts w:ascii="Times New Roman" w:hAnsi="Times New Roman" w:cs="Times New Roman"/>
          <w:sz w:val="26"/>
          <w:szCs w:val="26"/>
        </w:rPr>
        <w:tab/>
      </w:r>
      <w:r w:rsidRPr="00C47563">
        <w:rPr>
          <w:rFonts w:ascii="Times New Roman" w:hAnsi="Times New Roman" w:cs="Times New Roman"/>
          <w:sz w:val="26"/>
          <w:szCs w:val="26"/>
        </w:rPr>
        <w:t xml:space="preserve">That the Formal Complaint filed by </w:t>
      </w:r>
      <w:r w:rsidR="005B3C08" w:rsidRPr="00C47563">
        <w:rPr>
          <w:rFonts w:ascii="Times New Roman" w:hAnsi="Times New Roman" w:cs="Times New Roman"/>
          <w:sz w:val="26"/>
          <w:szCs w:val="26"/>
        </w:rPr>
        <w:t>Richard C. Culbertson against Columbia Gas of Pennsylvania, Inc.</w:t>
      </w:r>
      <w:r w:rsidR="0047300E" w:rsidRPr="00C47563">
        <w:rPr>
          <w:rFonts w:ascii="Times New Roman" w:hAnsi="Times New Roman" w:cs="Times New Roman"/>
          <w:sz w:val="26"/>
          <w:szCs w:val="26"/>
        </w:rPr>
        <w:t xml:space="preserve"> </w:t>
      </w:r>
      <w:r w:rsidR="005B3C08" w:rsidRPr="00C47563">
        <w:rPr>
          <w:rFonts w:ascii="Times New Roman" w:hAnsi="Times New Roman" w:cs="Times New Roman"/>
          <w:sz w:val="26"/>
          <w:szCs w:val="26"/>
        </w:rPr>
        <w:t>at Docket No. C-2021-3026054</w:t>
      </w:r>
      <w:r w:rsidR="006C2E3B" w:rsidRPr="00C47563">
        <w:rPr>
          <w:rFonts w:ascii="Times New Roman" w:hAnsi="Times New Roman" w:cs="Times New Roman"/>
          <w:sz w:val="26"/>
          <w:szCs w:val="26"/>
        </w:rPr>
        <w:t xml:space="preserve">, is dismissed and marked closed.  </w:t>
      </w:r>
    </w:p>
    <w:p w14:paraId="36FEBB4D" w14:textId="77777777" w:rsidR="00E179C4" w:rsidRPr="00C47563" w:rsidRDefault="00E179C4" w:rsidP="00C47563">
      <w:pPr>
        <w:spacing w:after="0" w:line="358" w:lineRule="auto"/>
        <w:ind w:right="3" w:firstLine="1445"/>
        <w:rPr>
          <w:rFonts w:ascii="Times New Roman" w:hAnsi="Times New Roman" w:cs="Times New Roman"/>
          <w:sz w:val="26"/>
          <w:szCs w:val="26"/>
        </w:rPr>
      </w:pPr>
    </w:p>
    <w:p w14:paraId="7B946045" w14:textId="54F12A4E" w:rsidR="005B3C08" w:rsidRPr="00C47563" w:rsidRDefault="0047300E" w:rsidP="00C47563">
      <w:pPr>
        <w:keepNext/>
        <w:spacing w:after="0" w:line="358" w:lineRule="auto"/>
        <w:ind w:right="3" w:firstLine="1445"/>
        <w:rPr>
          <w:rFonts w:ascii="Times New Roman" w:hAnsi="Times New Roman" w:cs="Times New Roman"/>
          <w:sz w:val="26"/>
          <w:szCs w:val="26"/>
        </w:rPr>
      </w:pPr>
      <w:r w:rsidRPr="00C47563">
        <w:rPr>
          <w:rFonts w:ascii="Times New Roman" w:hAnsi="Times New Roman" w:cs="Times New Roman"/>
          <w:sz w:val="26"/>
          <w:szCs w:val="26"/>
        </w:rPr>
        <w:t>8.</w:t>
      </w:r>
      <w:r w:rsidRPr="00C47563">
        <w:rPr>
          <w:rFonts w:ascii="Times New Roman" w:hAnsi="Times New Roman" w:cs="Times New Roman"/>
          <w:sz w:val="26"/>
          <w:szCs w:val="26"/>
        </w:rPr>
        <w:tab/>
        <w:t xml:space="preserve">That the Formal Complaint filed by </w:t>
      </w:r>
      <w:r w:rsidR="005B3C08" w:rsidRPr="00C47563">
        <w:rPr>
          <w:rFonts w:ascii="Times New Roman" w:hAnsi="Times New Roman" w:cs="Times New Roman"/>
          <w:sz w:val="26"/>
          <w:szCs w:val="26"/>
        </w:rPr>
        <w:t xml:space="preserve">Ronald Lamb </w:t>
      </w:r>
      <w:r w:rsidRPr="00C47563">
        <w:rPr>
          <w:rFonts w:ascii="Times New Roman" w:hAnsi="Times New Roman" w:cs="Times New Roman"/>
          <w:sz w:val="26"/>
          <w:szCs w:val="26"/>
        </w:rPr>
        <w:t xml:space="preserve">against Columbia Gas of Pennsylvania, Inc. </w:t>
      </w:r>
      <w:r w:rsidR="005B3C08" w:rsidRPr="00C47563">
        <w:rPr>
          <w:rFonts w:ascii="Times New Roman" w:hAnsi="Times New Roman" w:cs="Times New Roman"/>
          <w:sz w:val="26"/>
          <w:szCs w:val="26"/>
        </w:rPr>
        <w:t>at Docket No. C-2021-3027217</w:t>
      </w:r>
      <w:r w:rsidR="0077366F" w:rsidRPr="00C47563">
        <w:rPr>
          <w:rFonts w:ascii="Times New Roman" w:hAnsi="Times New Roman" w:cs="Times New Roman"/>
          <w:sz w:val="26"/>
          <w:szCs w:val="26"/>
        </w:rPr>
        <w:t>, is dismissed and marked closed</w:t>
      </w:r>
      <w:r w:rsidR="005B3C08" w:rsidRPr="00C47563">
        <w:rPr>
          <w:rFonts w:ascii="Times New Roman" w:hAnsi="Times New Roman" w:cs="Times New Roman"/>
          <w:sz w:val="26"/>
          <w:szCs w:val="26"/>
        </w:rPr>
        <w:t>.</w:t>
      </w:r>
      <w:r w:rsidR="00C47563">
        <w:rPr>
          <w:rFonts w:ascii="Times New Roman" w:hAnsi="Times New Roman" w:cs="Times New Roman"/>
          <w:sz w:val="26"/>
          <w:szCs w:val="26"/>
        </w:rPr>
        <w:t xml:space="preserve">  </w:t>
      </w:r>
    </w:p>
    <w:p w14:paraId="063E3579" w14:textId="30EEB31A" w:rsidR="005B3C08" w:rsidRPr="00C47563" w:rsidRDefault="005B3C08" w:rsidP="00C47563">
      <w:pPr>
        <w:keepNext/>
        <w:spacing w:after="0" w:line="259" w:lineRule="auto"/>
        <w:rPr>
          <w:rFonts w:ascii="Times New Roman" w:hAnsi="Times New Roman" w:cs="Times New Roman"/>
          <w:sz w:val="26"/>
          <w:szCs w:val="26"/>
        </w:rPr>
      </w:pPr>
    </w:p>
    <w:p w14:paraId="08509B61" w14:textId="5059C562" w:rsidR="00F95A41" w:rsidRPr="00C47563" w:rsidRDefault="00587947"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4C78FDB7" wp14:editId="584ECD60">
            <wp:simplePos x="0" y="0"/>
            <wp:positionH relativeFrom="column">
              <wp:posOffset>3181350</wp:posOffset>
            </wp:positionH>
            <wp:positionV relativeFrom="paragraph">
              <wp:posOffset>175895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95A41" w:rsidRPr="00C47563">
        <w:rPr>
          <w:rFonts w:ascii="Times New Roman" w:eastAsia="Times New Roman" w:hAnsi="Times New Roman" w:cs="Times New Roman"/>
          <w:b/>
          <w:sz w:val="26"/>
          <w:szCs w:val="26"/>
        </w:rPr>
        <w:t>BY THE COMMISSION,</w:t>
      </w:r>
    </w:p>
    <w:p w14:paraId="176599CE" w14:textId="77777777" w:rsidR="00F95A41" w:rsidRPr="00C47563" w:rsidRDefault="00F95A41"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2FCA24D7" w14:textId="77777777" w:rsidR="001A6397" w:rsidRPr="00C47563" w:rsidRDefault="001A6397"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78F41E00" w14:textId="5B487904" w:rsidR="00FE5BF0" w:rsidRPr="00C47563" w:rsidRDefault="00FE5BF0"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06576573" w14:textId="77777777" w:rsidR="002F75EB" w:rsidRPr="00C47563" w:rsidRDefault="002F75EB"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6DF02978" w14:textId="77777777" w:rsidR="00F95A41" w:rsidRPr="00C47563" w:rsidRDefault="00F95A41"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Rosemary Chiavetta</w:t>
      </w:r>
    </w:p>
    <w:p w14:paraId="3173D3D6" w14:textId="77777777" w:rsidR="00F95A41" w:rsidRPr="00C47563" w:rsidRDefault="00F95A41" w:rsidP="00E0474B">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Secretary</w:t>
      </w:r>
    </w:p>
    <w:p w14:paraId="2751302D" w14:textId="77777777" w:rsidR="0075556D" w:rsidRPr="00C47563" w:rsidRDefault="0075556D" w:rsidP="00C47563">
      <w:pPr>
        <w:keepNext/>
        <w:keepLines/>
        <w:tabs>
          <w:tab w:val="left" w:pos="-720"/>
        </w:tabs>
        <w:suppressAutoHyphens/>
        <w:spacing w:after="0" w:line="360" w:lineRule="auto"/>
        <w:contextualSpacing/>
        <w:rPr>
          <w:rFonts w:ascii="Times New Roman" w:eastAsia="Times New Roman" w:hAnsi="Times New Roman" w:cs="Times New Roman"/>
          <w:sz w:val="26"/>
          <w:szCs w:val="26"/>
        </w:rPr>
      </w:pPr>
    </w:p>
    <w:p w14:paraId="656AD9B3" w14:textId="55C2A56D" w:rsidR="00F95A41" w:rsidRPr="00C47563" w:rsidRDefault="00F95A41" w:rsidP="00C47563">
      <w:pPr>
        <w:keepNext/>
        <w:keepLines/>
        <w:tabs>
          <w:tab w:val="left" w:pos="-720"/>
        </w:tabs>
        <w:suppressAutoHyphens/>
        <w:spacing w:after="0" w:line="48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(SEAL)</w:t>
      </w:r>
    </w:p>
    <w:p w14:paraId="4F2EA049" w14:textId="3FFD0C6F" w:rsidR="00F95A41" w:rsidRPr="00C47563" w:rsidRDefault="00F95A41" w:rsidP="00C47563">
      <w:pPr>
        <w:keepNext/>
        <w:keepLines/>
        <w:tabs>
          <w:tab w:val="left" w:pos="-720"/>
        </w:tabs>
        <w:suppressAutoHyphens/>
        <w:spacing w:after="0" w:line="480" w:lineRule="auto"/>
        <w:contextualSpacing/>
        <w:rPr>
          <w:rFonts w:ascii="Times New Roman" w:eastAsia="Times New Roman" w:hAnsi="Times New Roman" w:cs="Times New Roman"/>
          <w:sz w:val="26"/>
          <w:szCs w:val="26"/>
        </w:rPr>
      </w:pPr>
      <w:r w:rsidRPr="00C47563">
        <w:rPr>
          <w:rFonts w:ascii="Times New Roman" w:eastAsia="Times New Roman" w:hAnsi="Times New Roman" w:cs="Times New Roman"/>
          <w:sz w:val="26"/>
          <w:szCs w:val="26"/>
        </w:rPr>
        <w:t xml:space="preserve">ORDER ADOPTED:  </w:t>
      </w:r>
      <w:r w:rsidR="005963A3" w:rsidRPr="00C47563">
        <w:rPr>
          <w:rFonts w:ascii="Times New Roman" w:eastAsia="Times New Roman" w:hAnsi="Times New Roman" w:cs="Times New Roman"/>
          <w:sz w:val="26"/>
          <w:szCs w:val="26"/>
        </w:rPr>
        <w:t>December 16</w:t>
      </w:r>
      <w:r w:rsidR="00192FF2" w:rsidRPr="00C47563">
        <w:rPr>
          <w:rFonts w:ascii="Times New Roman" w:eastAsia="Times New Roman" w:hAnsi="Times New Roman" w:cs="Times New Roman"/>
          <w:sz w:val="26"/>
          <w:szCs w:val="26"/>
        </w:rPr>
        <w:t>, 2021</w:t>
      </w:r>
    </w:p>
    <w:p w14:paraId="4AC7FED0" w14:textId="166BEC65" w:rsidR="00F95A41" w:rsidRPr="00C47563" w:rsidRDefault="00F95A41" w:rsidP="00C47563">
      <w:pPr>
        <w:keepNext/>
        <w:keepLines/>
        <w:tabs>
          <w:tab w:val="left" w:pos="-720"/>
        </w:tabs>
        <w:suppressAutoHyphens/>
        <w:spacing w:after="0" w:line="480" w:lineRule="auto"/>
        <w:contextualSpacing/>
        <w:rPr>
          <w:rFonts w:ascii="Times New Roman" w:hAnsi="Times New Roman" w:cs="Times New Roman"/>
          <w:sz w:val="26"/>
          <w:szCs w:val="26"/>
        </w:rPr>
      </w:pPr>
      <w:r w:rsidRPr="00C47563">
        <w:rPr>
          <w:rFonts w:ascii="Times New Roman" w:eastAsia="Times New Roman" w:hAnsi="Times New Roman" w:cs="Times New Roman"/>
          <w:sz w:val="26"/>
          <w:szCs w:val="26"/>
        </w:rPr>
        <w:t xml:space="preserve">ORDER ENTERED:  </w:t>
      </w:r>
      <w:r w:rsidR="00587947">
        <w:rPr>
          <w:rFonts w:ascii="Times New Roman" w:eastAsia="Times New Roman" w:hAnsi="Times New Roman" w:cs="Times New Roman"/>
          <w:sz w:val="26"/>
          <w:szCs w:val="26"/>
        </w:rPr>
        <w:t>December 16, 2021</w:t>
      </w:r>
    </w:p>
    <w:sectPr w:rsidR="00F95A41" w:rsidRPr="00C47563" w:rsidSect="0094251F">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FFAE" w14:textId="77777777" w:rsidR="009A5399" w:rsidRDefault="009A5399" w:rsidP="00840676">
      <w:pPr>
        <w:spacing w:after="0" w:line="240" w:lineRule="auto"/>
      </w:pPr>
      <w:r>
        <w:separator/>
      </w:r>
    </w:p>
  </w:endnote>
  <w:endnote w:type="continuationSeparator" w:id="0">
    <w:p w14:paraId="2A936C65" w14:textId="77777777" w:rsidR="009A5399" w:rsidRDefault="009A5399" w:rsidP="0084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05604"/>
      <w:docPartObj>
        <w:docPartGallery w:val="Page Numbers (Bottom of Page)"/>
        <w:docPartUnique/>
      </w:docPartObj>
    </w:sdtPr>
    <w:sdtEndPr>
      <w:rPr>
        <w:rFonts w:ascii="Times New Roman" w:hAnsi="Times New Roman" w:cs="Times New Roman"/>
        <w:noProof/>
        <w:sz w:val="26"/>
        <w:szCs w:val="26"/>
      </w:rPr>
    </w:sdtEndPr>
    <w:sdtContent>
      <w:p w14:paraId="0D929DB2" w14:textId="2150977D" w:rsidR="000164BE" w:rsidRPr="00922F6B" w:rsidRDefault="000164BE" w:rsidP="00922F6B">
        <w:pPr>
          <w:pStyle w:val="Footer"/>
          <w:jc w:val="center"/>
          <w:rPr>
            <w:sz w:val="26"/>
            <w:szCs w:val="26"/>
          </w:rPr>
        </w:pPr>
        <w:r w:rsidRPr="00EF699A">
          <w:rPr>
            <w:rFonts w:ascii="Times New Roman" w:hAnsi="Times New Roman" w:cs="Times New Roman"/>
            <w:sz w:val="26"/>
            <w:szCs w:val="26"/>
          </w:rPr>
          <w:fldChar w:fldCharType="begin"/>
        </w:r>
        <w:r w:rsidRPr="00EF699A">
          <w:rPr>
            <w:rFonts w:ascii="Times New Roman" w:hAnsi="Times New Roman" w:cs="Times New Roman"/>
            <w:sz w:val="26"/>
            <w:szCs w:val="26"/>
          </w:rPr>
          <w:instrText xml:space="preserve"> PAGE   \* MERGEFORMAT </w:instrText>
        </w:r>
        <w:r w:rsidRPr="00EF699A">
          <w:rPr>
            <w:rFonts w:ascii="Times New Roman" w:hAnsi="Times New Roman" w:cs="Times New Roman"/>
            <w:sz w:val="26"/>
            <w:szCs w:val="26"/>
          </w:rPr>
          <w:fldChar w:fldCharType="separate"/>
        </w:r>
        <w:r w:rsidR="004A2596">
          <w:rPr>
            <w:rFonts w:ascii="Times New Roman" w:hAnsi="Times New Roman" w:cs="Times New Roman"/>
            <w:noProof/>
            <w:sz w:val="26"/>
            <w:szCs w:val="26"/>
          </w:rPr>
          <w:t>21</w:t>
        </w:r>
        <w:r w:rsidRPr="00EF699A">
          <w:rPr>
            <w:rFonts w:ascii="Times New Roman" w:hAnsi="Times New Roman" w:cs="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222249"/>
      <w:docPartObj>
        <w:docPartGallery w:val="Page Numbers (Bottom of Page)"/>
        <w:docPartUnique/>
      </w:docPartObj>
    </w:sdtPr>
    <w:sdtEndPr>
      <w:rPr>
        <w:rFonts w:ascii="Times New Roman" w:hAnsi="Times New Roman" w:cs="Times New Roman"/>
        <w:noProof/>
        <w:sz w:val="26"/>
        <w:szCs w:val="26"/>
      </w:rPr>
    </w:sdtEndPr>
    <w:sdtContent>
      <w:p w14:paraId="08BB2B47" w14:textId="24B56BC2" w:rsidR="0094251F" w:rsidRPr="00F76A45" w:rsidRDefault="0094251F" w:rsidP="0094251F">
        <w:pPr>
          <w:pStyle w:val="Footer"/>
          <w:jc w:val="center"/>
          <w:rPr>
            <w:rFonts w:ascii="Times New Roman" w:hAnsi="Times New Roman" w:cs="Times New Roman"/>
            <w:sz w:val="26"/>
            <w:szCs w:val="26"/>
          </w:rPr>
        </w:pPr>
        <w:r w:rsidRPr="00F76A45">
          <w:rPr>
            <w:rFonts w:ascii="Times New Roman" w:hAnsi="Times New Roman" w:cs="Times New Roman"/>
            <w:sz w:val="26"/>
            <w:szCs w:val="26"/>
          </w:rPr>
          <w:fldChar w:fldCharType="begin"/>
        </w:r>
        <w:r w:rsidRPr="00F76A45">
          <w:rPr>
            <w:rFonts w:ascii="Times New Roman" w:hAnsi="Times New Roman" w:cs="Times New Roman"/>
            <w:sz w:val="26"/>
            <w:szCs w:val="26"/>
          </w:rPr>
          <w:instrText xml:space="preserve"> PAGE   \* MERGEFORMAT </w:instrText>
        </w:r>
        <w:r w:rsidRPr="00F76A45">
          <w:rPr>
            <w:rFonts w:ascii="Times New Roman" w:hAnsi="Times New Roman" w:cs="Times New Roman"/>
            <w:sz w:val="26"/>
            <w:szCs w:val="26"/>
          </w:rPr>
          <w:fldChar w:fldCharType="separate"/>
        </w:r>
        <w:r w:rsidRPr="00F76A45">
          <w:rPr>
            <w:rFonts w:ascii="Times New Roman" w:hAnsi="Times New Roman" w:cs="Times New Roman"/>
            <w:noProof/>
            <w:sz w:val="26"/>
            <w:szCs w:val="26"/>
          </w:rPr>
          <w:t>2</w:t>
        </w:r>
        <w:r w:rsidRPr="00F76A45">
          <w:rPr>
            <w:rFonts w:ascii="Times New Roman" w:hAnsi="Times New Roman" w:cs="Times New Roman"/>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74AE" w14:textId="42199971" w:rsidR="0094251F" w:rsidRPr="0094251F" w:rsidRDefault="0094251F" w:rsidP="0094251F">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AFB7" w14:textId="77777777" w:rsidR="009A5399" w:rsidRPr="00BD38E2" w:rsidRDefault="009A5399" w:rsidP="00840676">
      <w:pPr>
        <w:spacing w:after="0" w:line="240" w:lineRule="auto"/>
        <w:rPr>
          <w:rFonts w:ascii="Times New Roman" w:hAnsi="Times New Roman" w:cs="Times New Roman"/>
          <w:sz w:val="26"/>
          <w:szCs w:val="26"/>
        </w:rPr>
      </w:pPr>
      <w:r w:rsidRPr="00BD38E2">
        <w:rPr>
          <w:rFonts w:ascii="Times New Roman" w:hAnsi="Times New Roman" w:cs="Times New Roman"/>
          <w:sz w:val="26"/>
          <w:szCs w:val="26"/>
        </w:rPr>
        <w:separator/>
      </w:r>
    </w:p>
  </w:footnote>
  <w:footnote w:type="continuationSeparator" w:id="0">
    <w:p w14:paraId="4E6C8CF8" w14:textId="77777777" w:rsidR="009A5399" w:rsidRDefault="009A5399" w:rsidP="00840676">
      <w:pPr>
        <w:spacing w:after="0" w:line="240" w:lineRule="auto"/>
      </w:pPr>
      <w:r>
        <w:continuationSeparator/>
      </w:r>
    </w:p>
  </w:footnote>
  <w:footnote w:id="1">
    <w:p w14:paraId="6720F625" w14:textId="404249DF" w:rsidR="000A61ED" w:rsidRPr="007A2898" w:rsidRDefault="000A61ED" w:rsidP="007A2898">
      <w:pPr>
        <w:pStyle w:val="FootnoteText"/>
        <w:ind w:firstLine="720"/>
        <w:rPr>
          <w:rFonts w:ascii="Times New Roman" w:hAnsi="Times New Roman" w:cs="Times New Roman"/>
          <w:sz w:val="26"/>
          <w:szCs w:val="26"/>
        </w:rPr>
      </w:pPr>
      <w:r w:rsidRPr="007A2898">
        <w:rPr>
          <w:rStyle w:val="FootnoteReference"/>
          <w:rFonts w:ascii="Times New Roman" w:hAnsi="Times New Roman" w:cs="Times New Roman"/>
          <w:sz w:val="26"/>
          <w:szCs w:val="26"/>
        </w:rPr>
        <w:footnoteRef/>
      </w:r>
      <w:r w:rsidRPr="007A2898">
        <w:rPr>
          <w:rFonts w:ascii="Times New Roman" w:hAnsi="Times New Roman" w:cs="Times New Roman"/>
          <w:sz w:val="26"/>
          <w:szCs w:val="26"/>
        </w:rPr>
        <w:t xml:space="preserve"> </w:t>
      </w:r>
      <w:r w:rsidR="007A2898">
        <w:rPr>
          <w:rFonts w:ascii="Times New Roman" w:hAnsi="Times New Roman" w:cs="Times New Roman"/>
          <w:sz w:val="26"/>
          <w:szCs w:val="26"/>
        </w:rPr>
        <w:tab/>
      </w:r>
      <w:r w:rsidR="008B14C2" w:rsidRPr="007A2898">
        <w:rPr>
          <w:rFonts w:ascii="Times New Roman" w:hAnsi="Times New Roman" w:cs="Times New Roman"/>
          <w:sz w:val="26"/>
          <w:szCs w:val="26"/>
        </w:rPr>
        <w:t xml:space="preserve">All active Parties, except for </w:t>
      </w:r>
      <w:r w:rsidR="002609A4" w:rsidRPr="007A2898">
        <w:rPr>
          <w:rFonts w:ascii="Times New Roman" w:hAnsi="Times New Roman" w:cs="Times New Roman"/>
          <w:sz w:val="26"/>
          <w:szCs w:val="26"/>
        </w:rPr>
        <w:t xml:space="preserve">two individual </w:t>
      </w:r>
      <w:r w:rsidR="004F2199">
        <w:rPr>
          <w:rFonts w:ascii="Times New Roman" w:hAnsi="Times New Roman" w:cs="Times New Roman"/>
          <w:sz w:val="26"/>
          <w:szCs w:val="26"/>
        </w:rPr>
        <w:t>C</w:t>
      </w:r>
      <w:r w:rsidR="002609A4" w:rsidRPr="007A2898">
        <w:rPr>
          <w:rFonts w:ascii="Times New Roman" w:hAnsi="Times New Roman" w:cs="Times New Roman"/>
          <w:sz w:val="26"/>
          <w:szCs w:val="26"/>
        </w:rPr>
        <w:t xml:space="preserve">omplainants, </w:t>
      </w:r>
      <w:r w:rsidR="00FC41D5" w:rsidRPr="007A2898">
        <w:rPr>
          <w:rFonts w:ascii="Times New Roman" w:hAnsi="Times New Roman" w:cs="Times New Roman"/>
          <w:sz w:val="26"/>
          <w:szCs w:val="26"/>
        </w:rPr>
        <w:t>Richard C.</w:t>
      </w:r>
      <w:r w:rsidR="002609A4" w:rsidRPr="007A2898">
        <w:rPr>
          <w:rFonts w:ascii="Times New Roman" w:hAnsi="Times New Roman" w:cs="Times New Roman"/>
          <w:sz w:val="26"/>
          <w:szCs w:val="26"/>
        </w:rPr>
        <w:t xml:space="preserve"> Culbertson</w:t>
      </w:r>
      <w:r w:rsidR="00FC41D5" w:rsidRPr="007A2898">
        <w:rPr>
          <w:rFonts w:ascii="Times New Roman" w:hAnsi="Times New Roman" w:cs="Times New Roman"/>
          <w:sz w:val="26"/>
          <w:szCs w:val="26"/>
        </w:rPr>
        <w:t xml:space="preserve"> and Ronald Lamb, agreed to the </w:t>
      </w:r>
      <w:r w:rsidR="007A2898" w:rsidRPr="007A2898">
        <w:rPr>
          <w:rFonts w:ascii="Times New Roman" w:hAnsi="Times New Roman" w:cs="Times New Roman"/>
          <w:sz w:val="26"/>
          <w:szCs w:val="26"/>
        </w:rPr>
        <w:t>Settlement.</w:t>
      </w:r>
      <w:r w:rsidR="00C47563">
        <w:rPr>
          <w:rFonts w:ascii="Times New Roman" w:hAnsi="Times New Roman" w:cs="Times New Roman"/>
          <w:sz w:val="26"/>
          <w:szCs w:val="26"/>
        </w:rPr>
        <w:t xml:space="preserve">  </w:t>
      </w:r>
    </w:p>
  </w:footnote>
  <w:footnote w:id="2">
    <w:p w14:paraId="0E932ECA" w14:textId="36FB2B19" w:rsidR="007E4A15" w:rsidRPr="000E662B" w:rsidRDefault="000E662B" w:rsidP="00FE1AF4">
      <w:pPr>
        <w:pStyle w:val="footnotedescription"/>
        <w:rPr>
          <w:sz w:val="26"/>
          <w:szCs w:val="26"/>
        </w:rPr>
      </w:pPr>
      <w:r>
        <w:rPr>
          <w:sz w:val="26"/>
          <w:szCs w:val="26"/>
        </w:rPr>
        <w:tab/>
      </w:r>
      <w:r w:rsidR="007E4A15" w:rsidRPr="000E662B">
        <w:rPr>
          <w:rStyle w:val="footnotemark"/>
          <w:sz w:val="26"/>
          <w:szCs w:val="26"/>
        </w:rPr>
        <w:footnoteRef/>
      </w:r>
      <w:r w:rsidR="00885BA2">
        <w:rPr>
          <w:sz w:val="26"/>
          <w:szCs w:val="26"/>
        </w:rPr>
        <w:tab/>
        <w:t>These</w:t>
      </w:r>
      <w:r w:rsidR="007E4A15" w:rsidRPr="000E662B">
        <w:rPr>
          <w:sz w:val="26"/>
          <w:szCs w:val="26"/>
        </w:rPr>
        <w:t xml:space="preserve"> formal complaints were consolidated for hearing and disposition at Docket No. R-2021-3024296 by the Fourth Interim Order issued on July 23, 2021.  </w:t>
      </w:r>
    </w:p>
  </w:footnote>
  <w:footnote w:id="3">
    <w:p w14:paraId="1903A6DF" w14:textId="77777777" w:rsidR="000164BE" w:rsidRPr="006111A1" w:rsidRDefault="000164BE" w:rsidP="006111A1">
      <w:pPr>
        <w:pStyle w:val="FootnoteText"/>
        <w:keepNext/>
        <w:keepLines/>
        <w:ind w:firstLine="720"/>
        <w:rPr>
          <w:rFonts w:ascii="Times New Roman" w:hAnsi="Times New Roman" w:cs="Times New Roman"/>
          <w:sz w:val="26"/>
          <w:szCs w:val="26"/>
        </w:rPr>
      </w:pPr>
      <w:r w:rsidRPr="006111A1">
        <w:rPr>
          <w:rStyle w:val="FootnoteReference"/>
          <w:rFonts w:ascii="Times New Roman" w:hAnsi="Times New Roman" w:cs="Times New Roman"/>
          <w:sz w:val="26"/>
          <w:szCs w:val="26"/>
        </w:rPr>
        <w:footnoteRef/>
      </w:r>
      <w:r w:rsidRPr="006111A1">
        <w:rPr>
          <w:rFonts w:ascii="Times New Roman" w:hAnsi="Times New Roman" w:cs="Times New Roman"/>
          <w:sz w:val="26"/>
          <w:szCs w:val="26"/>
        </w:rPr>
        <w:tab/>
        <w:t>For example, full or partial</w:t>
      </w:r>
      <w:r w:rsidRPr="006111A1">
        <w:rPr>
          <w:rFonts w:ascii="Times New Roman" w:eastAsia="Times New Roman" w:hAnsi="Times New Roman" w:cs="Times New Roman"/>
          <w:sz w:val="26"/>
          <w:szCs w:val="26"/>
        </w:rPr>
        <w:t xml:space="preserve"> settlements may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Commission’s decision.  </w:t>
      </w:r>
    </w:p>
  </w:footnote>
  <w:footnote w:id="4">
    <w:p w14:paraId="5F0121BC" w14:textId="6635CBD1" w:rsidR="006F11D4" w:rsidRPr="008C7D93" w:rsidRDefault="006F11D4" w:rsidP="00C47563">
      <w:pPr>
        <w:spacing w:after="0" w:line="240" w:lineRule="auto"/>
        <w:ind w:firstLine="720"/>
        <w:textAlignment w:val="baseline"/>
        <w:rPr>
          <w:rFonts w:ascii="Times New Roman" w:eastAsia="Times New Roman" w:hAnsi="Times New Roman" w:cs="Times New Roman"/>
          <w:color w:val="000000"/>
          <w:sz w:val="26"/>
          <w:szCs w:val="26"/>
          <w:vertAlign w:val="superscript"/>
        </w:rPr>
      </w:pPr>
      <w:r w:rsidRPr="00EE59E7">
        <w:rPr>
          <w:rStyle w:val="FootnoteReference"/>
          <w:rFonts w:ascii="Times New Roman" w:hAnsi="Times New Roman" w:cs="Times New Roman"/>
          <w:sz w:val="26"/>
          <w:szCs w:val="26"/>
        </w:rPr>
        <w:footnoteRef/>
      </w:r>
      <w:r w:rsidRPr="00EE59E7">
        <w:rPr>
          <w:rFonts w:ascii="Times New Roman" w:eastAsia="Times New Roman" w:hAnsi="Times New Roman" w:cs="Times New Roman"/>
          <w:color w:val="000000"/>
          <w:sz w:val="26"/>
          <w:szCs w:val="26"/>
        </w:rPr>
        <w:t xml:space="preserve"> </w:t>
      </w:r>
      <w:r w:rsidRPr="00EE59E7">
        <w:rPr>
          <w:rFonts w:ascii="Times New Roman" w:eastAsia="Times New Roman" w:hAnsi="Times New Roman" w:cs="Times New Roman"/>
          <w:color w:val="000000"/>
          <w:sz w:val="26"/>
          <w:szCs w:val="26"/>
        </w:rPr>
        <w:tab/>
        <w:t>PSU and CII participated on a limited set of issues and agree to the Settlement terms related to revenue allocation and rate design in paragraph 31 and Appendices A and B and assignment of CAP costs.  PSU and CII take no position on the remaining Settlement terms but do not oppose the settlement of all other issues</w:t>
      </w:r>
      <w:r>
        <w:rPr>
          <w:rFonts w:ascii="Times New Roman" w:eastAsia="Times New Roman" w:hAnsi="Times New Roman" w:cs="Times New Roman"/>
          <w:color w:val="000000"/>
          <w:sz w:val="26"/>
          <w:szCs w:val="26"/>
        </w:rPr>
        <w:t>.</w:t>
      </w:r>
      <w:r w:rsidRPr="00EE59E7">
        <w:rPr>
          <w:rFonts w:ascii="Times New Roman" w:eastAsia="Times New Roman" w:hAnsi="Times New Roman" w:cs="Times New Roman"/>
          <w:color w:val="000000"/>
          <w:sz w:val="26"/>
          <w:szCs w:val="26"/>
        </w:rPr>
        <w:t xml:space="preserve"> </w:t>
      </w:r>
    </w:p>
  </w:footnote>
  <w:footnote w:id="5">
    <w:p w14:paraId="3AD8FDF3" w14:textId="5A6822EB" w:rsidR="006F7DA7" w:rsidRPr="0055349F" w:rsidRDefault="006F7DA7" w:rsidP="003B6A2E">
      <w:pPr>
        <w:pStyle w:val="FootnoteText"/>
        <w:ind w:firstLine="720"/>
        <w:rPr>
          <w:rFonts w:ascii="Times New Roman" w:hAnsi="Times New Roman" w:cs="Times New Roman"/>
          <w:sz w:val="26"/>
          <w:szCs w:val="26"/>
        </w:rPr>
      </w:pPr>
      <w:r w:rsidRPr="0055349F">
        <w:rPr>
          <w:rStyle w:val="FootnoteReference"/>
          <w:rFonts w:ascii="Times New Roman" w:hAnsi="Times New Roman" w:cs="Times New Roman"/>
          <w:sz w:val="26"/>
          <w:szCs w:val="26"/>
        </w:rPr>
        <w:footnoteRef/>
      </w:r>
      <w:r w:rsidRPr="0055349F">
        <w:rPr>
          <w:rFonts w:ascii="Times New Roman" w:hAnsi="Times New Roman" w:cs="Times New Roman"/>
          <w:sz w:val="26"/>
          <w:szCs w:val="26"/>
        </w:rPr>
        <w:t xml:space="preserve"> </w:t>
      </w:r>
      <w:r w:rsidR="00BA22D3">
        <w:rPr>
          <w:rFonts w:ascii="Times New Roman" w:hAnsi="Times New Roman" w:cs="Times New Roman"/>
          <w:sz w:val="26"/>
          <w:szCs w:val="26"/>
        </w:rPr>
        <w:tab/>
      </w:r>
      <w:r w:rsidRPr="0055349F">
        <w:rPr>
          <w:rFonts w:ascii="Times New Roman" w:hAnsi="Times New Roman" w:cs="Times New Roman"/>
          <w:sz w:val="26"/>
          <w:szCs w:val="26"/>
        </w:rPr>
        <w:t xml:space="preserve">On May 8, 2017, Mr. Culbertson </w:t>
      </w:r>
      <w:r w:rsidR="00F43F7C" w:rsidRPr="0055349F">
        <w:rPr>
          <w:rFonts w:ascii="Times New Roman" w:hAnsi="Times New Roman" w:cs="Times New Roman"/>
          <w:sz w:val="26"/>
          <w:szCs w:val="26"/>
        </w:rPr>
        <w:t xml:space="preserve">filed a Formal Complaint against Columbia </w:t>
      </w:r>
      <w:r w:rsidR="00FE3391">
        <w:rPr>
          <w:rFonts w:ascii="Times New Roman" w:hAnsi="Times New Roman" w:cs="Times New Roman"/>
          <w:sz w:val="26"/>
          <w:szCs w:val="26"/>
        </w:rPr>
        <w:t xml:space="preserve">at </w:t>
      </w:r>
      <w:r w:rsidR="00C42D36" w:rsidRPr="0055349F">
        <w:rPr>
          <w:rFonts w:ascii="Times New Roman" w:hAnsi="Times New Roman" w:cs="Times New Roman"/>
          <w:sz w:val="26"/>
          <w:szCs w:val="26"/>
        </w:rPr>
        <w:t xml:space="preserve">Docket No. F- 2017-2605797 </w:t>
      </w:r>
      <w:r w:rsidR="00F43F7C" w:rsidRPr="0055349F">
        <w:rPr>
          <w:rFonts w:ascii="Times New Roman" w:hAnsi="Times New Roman" w:cs="Times New Roman"/>
          <w:sz w:val="26"/>
          <w:szCs w:val="26"/>
        </w:rPr>
        <w:t xml:space="preserve">alleging, </w:t>
      </w:r>
      <w:r w:rsidR="00F43F7C" w:rsidRPr="00B7254F">
        <w:rPr>
          <w:rFonts w:ascii="Times New Roman" w:hAnsi="Times New Roman" w:cs="Times New Roman"/>
          <w:i/>
          <w:iCs/>
          <w:sz w:val="26"/>
          <w:szCs w:val="26"/>
        </w:rPr>
        <w:t>inter alia</w:t>
      </w:r>
      <w:r w:rsidR="00F43F7C" w:rsidRPr="0055349F">
        <w:rPr>
          <w:rFonts w:ascii="Times New Roman" w:hAnsi="Times New Roman" w:cs="Times New Roman"/>
          <w:sz w:val="26"/>
          <w:szCs w:val="26"/>
        </w:rPr>
        <w:t xml:space="preserve">, that </w:t>
      </w:r>
      <w:r w:rsidR="004E6FDF" w:rsidRPr="0055349F">
        <w:rPr>
          <w:rFonts w:ascii="Times New Roman" w:hAnsi="Times New Roman" w:cs="Times New Roman"/>
          <w:sz w:val="26"/>
          <w:szCs w:val="26"/>
        </w:rPr>
        <w:t>Columbia improperly abandoned the service line at 1608 McFarland Road, Pittsburgh, Pennsylvania</w:t>
      </w:r>
      <w:r w:rsidR="008E4B7A">
        <w:rPr>
          <w:rFonts w:ascii="Times New Roman" w:hAnsi="Times New Roman" w:cs="Times New Roman"/>
          <w:sz w:val="26"/>
          <w:szCs w:val="26"/>
        </w:rPr>
        <w:t xml:space="preserve"> (Service Line Compla</w:t>
      </w:r>
      <w:r w:rsidR="0028749A">
        <w:rPr>
          <w:rFonts w:ascii="Times New Roman" w:hAnsi="Times New Roman" w:cs="Times New Roman"/>
          <w:sz w:val="26"/>
          <w:szCs w:val="26"/>
        </w:rPr>
        <w:t>int)</w:t>
      </w:r>
      <w:r w:rsidR="00F60021" w:rsidRPr="0055349F">
        <w:rPr>
          <w:rFonts w:ascii="Times New Roman" w:hAnsi="Times New Roman" w:cs="Times New Roman"/>
          <w:sz w:val="26"/>
          <w:szCs w:val="26"/>
        </w:rPr>
        <w:t xml:space="preserve">.  </w:t>
      </w:r>
      <w:r w:rsidR="002E6CD6">
        <w:rPr>
          <w:rFonts w:ascii="Times New Roman" w:hAnsi="Times New Roman" w:cs="Times New Roman"/>
          <w:sz w:val="26"/>
          <w:szCs w:val="26"/>
        </w:rPr>
        <w:t xml:space="preserve">An evidentiary hearing was held on </w:t>
      </w:r>
      <w:r w:rsidR="00A55EDF">
        <w:rPr>
          <w:rFonts w:ascii="Times New Roman" w:hAnsi="Times New Roman" w:cs="Times New Roman"/>
          <w:sz w:val="26"/>
          <w:szCs w:val="26"/>
        </w:rPr>
        <w:t xml:space="preserve">February 4, 2019.  </w:t>
      </w:r>
      <w:r w:rsidR="00C42D36" w:rsidRPr="0055349F">
        <w:rPr>
          <w:rFonts w:ascii="Times New Roman" w:hAnsi="Times New Roman" w:cs="Times New Roman"/>
          <w:sz w:val="26"/>
          <w:szCs w:val="26"/>
        </w:rPr>
        <w:t xml:space="preserve">By Initial Decision issued on October 4, </w:t>
      </w:r>
      <w:r w:rsidR="00A07930" w:rsidRPr="0055349F">
        <w:rPr>
          <w:rFonts w:ascii="Times New Roman" w:hAnsi="Times New Roman" w:cs="Times New Roman"/>
          <w:sz w:val="26"/>
          <w:szCs w:val="26"/>
        </w:rPr>
        <w:t xml:space="preserve">2019, ALJ Hoyer denied the </w:t>
      </w:r>
      <w:r w:rsidR="001666B8">
        <w:rPr>
          <w:rFonts w:ascii="Times New Roman" w:hAnsi="Times New Roman" w:cs="Times New Roman"/>
          <w:sz w:val="26"/>
          <w:szCs w:val="26"/>
        </w:rPr>
        <w:t xml:space="preserve">Service Line </w:t>
      </w:r>
      <w:r w:rsidR="00A07930" w:rsidRPr="0055349F">
        <w:rPr>
          <w:rFonts w:ascii="Times New Roman" w:hAnsi="Times New Roman" w:cs="Times New Roman"/>
          <w:sz w:val="26"/>
          <w:szCs w:val="26"/>
        </w:rPr>
        <w:t xml:space="preserve">Complaint on the basis that Mr. Culbertson failed to demonstrate that </w:t>
      </w:r>
      <w:r w:rsidR="00A26F1E" w:rsidRPr="0055349F">
        <w:rPr>
          <w:rFonts w:ascii="Times New Roman" w:hAnsi="Times New Roman" w:cs="Times New Roman"/>
          <w:sz w:val="26"/>
          <w:szCs w:val="26"/>
        </w:rPr>
        <w:t>Columbia violated the Code, a Commission Order or Regulation, or a Company Commission-approved tariff.  Mr.</w:t>
      </w:r>
      <w:r w:rsidR="00B65CFE">
        <w:rPr>
          <w:rFonts w:ascii="Times New Roman" w:hAnsi="Times New Roman" w:cs="Times New Roman"/>
          <w:sz w:val="26"/>
          <w:szCs w:val="26"/>
        </w:rPr>
        <w:t> </w:t>
      </w:r>
      <w:r w:rsidR="00A26F1E" w:rsidRPr="0055349F">
        <w:rPr>
          <w:rFonts w:ascii="Times New Roman" w:hAnsi="Times New Roman" w:cs="Times New Roman"/>
          <w:sz w:val="26"/>
          <w:szCs w:val="26"/>
        </w:rPr>
        <w:t xml:space="preserve">Culbertson filed Exceptions on </w:t>
      </w:r>
      <w:r w:rsidR="002A35AA" w:rsidRPr="0055349F">
        <w:rPr>
          <w:rFonts w:ascii="Times New Roman" w:hAnsi="Times New Roman" w:cs="Times New Roman"/>
          <w:sz w:val="26"/>
          <w:szCs w:val="26"/>
        </w:rPr>
        <w:t xml:space="preserve">October 24, 2019, and Columbia filed Replies to Exceptions on </w:t>
      </w:r>
      <w:r w:rsidR="00CE4551" w:rsidRPr="0055349F">
        <w:rPr>
          <w:rFonts w:ascii="Times New Roman" w:hAnsi="Times New Roman" w:cs="Times New Roman"/>
          <w:sz w:val="26"/>
          <w:szCs w:val="26"/>
        </w:rPr>
        <w:t xml:space="preserve">November 4, 2019.  </w:t>
      </w:r>
      <w:r w:rsidR="0055349F" w:rsidRPr="0055349F">
        <w:rPr>
          <w:rFonts w:ascii="Times New Roman" w:hAnsi="Times New Roman" w:cs="Times New Roman"/>
          <w:sz w:val="26"/>
          <w:szCs w:val="26"/>
        </w:rPr>
        <w:t xml:space="preserve">A decision on the Exceptions is pending before the Commission. </w:t>
      </w:r>
      <w:r w:rsidR="002A35AA" w:rsidRPr="0055349F">
        <w:rPr>
          <w:rFonts w:ascii="Times New Roman" w:hAnsi="Times New Roman" w:cs="Times New Roman"/>
          <w:sz w:val="26"/>
          <w:szCs w:val="26"/>
        </w:rPr>
        <w:t xml:space="preserve"> </w:t>
      </w:r>
    </w:p>
  </w:footnote>
  <w:footnote w:id="6">
    <w:p w14:paraId="64D79934" w14:textId="5152F7AD" w:rsidR="00971BAA" w:rsidRPr="00C91E00" w:rsidRDefault="00971BAA" w:rsidP="00B7787E">
      <w:pPr>
        <w:pStyle w:val="FootnoteText"/>
        <w:keepLines/>
        <w:ind w:firstLine="720"/>
        <w:rPr>
          <w:rFonts w:ascii="Times New Roman" w:hAnsi="Times New Roman" w:cs="Times New Roman"/>
          <w:sz w:val="26"/>
          <w:szCs w:val="26"/>
        </w:rPr>
      </w:pPr>
      <w:r w:rsidRPr="00C91E00">
        <w:rPr>
          <w:rStyle w:val="FootnoteReference"/>
          <w:rFonts w:ascii="Times New Roman" w:hAnsi="Times New Roman" w:cs="Times New Roman"/>
          <w:sz w:val="26"/>
          <w:szCs w:val="26"/>
        </w:rPr>
        <w:footnoteRef/>
      </w:r>
      <w:r w:rsidRPr="00C91E00">
        <w:rPr>
          <w:rFonts w:ascii="Times New Roman" w:hAnsi="Times New Roman" w:cs="Times New Roman"/>
          <w:sz w:val="26"/>
          <w:szCs w:val="26"/>
        </w:rPr>
        <w:t xml:space="preserve"> </w:t>
      </w:r>
      <w:r w:rsidR="00C91E00" w:rsidRPr="00C91E00">
        <w:rPr>
          <w:rFonts w:ascii="Times New Roman" w:hAnsi="Times New Roman" w:cs="Times New Roman"/>
          <w:sz w:val="26"/>
          <w:szCs w:val="26"/>
        </w:rPr>
        <w:tab/>
      </w:r>
      <w:r w:rsidR="00E86944" w:rsidRPr="00C91E00">
        <w:rPr>
          <w:rFonts w:ascii="Times New Roman" w:hAnsi="Times New Roman" w:cs="Times New Roman"/>
          <w:sz w:val="26"/>
          <w:szCs w:val="26"/>
        </w:rPr>
        <w:t xml:space="preserve">In his Exceptions, Mr. Culbertson raises issues relating to </w:t>
      </w:r>
      <w:r w:rsidR="00CD19EE" w:rsidRPr="00C91E00">
        <w:rPr>
          <w:rFonts w:ascii="Times New Roman" w:hAnsi="Times New Roman" w:cs="Times New Roman"/>
          <w:sz w:val="26"/>
          <w:szCs w:val="26"/>
        </w:rPr>
        <w:t xml:space="preserve">the Service Line Complaint proceeding and Columbia’s prior rate </w:t>
      </w:r>
      <w:r w:rsidR="00A45003" w:rsidRPr="00C91E00">
        <w:rPr>
          <w:rFonts w:ascii="Times New Roman" w:hAnsi="Times New Roman" w:cs="Times New Roman"/>
          <w:sz w:val="26"/>
          <w:szCs w:val="26"/>
        </w:rPr>
        <w:t>proceeding</w:t>
      </w:r>
      <w:r w:rsidR="00834654" w:rsidRPr="00C91E00">
        <w:rPr>
          <w:rFonts w:ascii="Times New Roman" w:hAnsi="Times New Roman" w:cs="Times New Roman"/>
          <w:sz w:val="26"/>
          <w:szCs w:val="26"/>
        </w:rPr>
        <w:t xml:space="preserve">, </w:t>
      </w:r>
      <w:r w:rsidR="00834654" w:rsidRPr="00C91E00">
        <w:rPr>
          <w:rFonts w:ascii="Times New Roman" w:hAnsi="Times New Roman" w:cs="Times New Roman"/>
          <w:i/>
          <w:iCs/>
          <w:sz w:val="26"/>
          <w:szCs w:val="26"/>
        </w:rPr>
        <w:t>Pa. PUC v. Columbia Gas of Pennsylvania, Inc.</w:t>
      </w:r>
      <w:r w:rsidR="00834654" w:rsidRPr="00C91E00">
        <w:rPr>
          <w:rFonts w:ascii="Times New Roman" w:hAnsi="Times New Roman" w:cs="Times New Roman"/>
          <w:sz w:val="26"/>
          <w:szCs w:val="26"/>
        </w:rPr>
        <w:t>, Docket No. R-2020-</w:t>
      </w:r>
      <w:r w:rsidR="00BD1B2C" w:rsidRPr="00C91E00">
        <w:rPr>
          <w:rFonts w:ascii="Times New Roman" w:hAnsi="Times New Roman" w:cs="Times New Roman"/>
          <w:sz w:val="26"/>
          <w:szCs w:val="26"/>
        </w:rPr>
        <w:t xml:space="preserve">3018835 (Order entered </w:t>
      </w:r>
      <w:r w:rsidR="009863E7" w:rsidRPr="00C91E00">
        <w:rPr>
          <w:rFonts w:ascii="Times New Roman" w:hAnsi="Times New Roman" w:cs="Times New Roman"/>
          <w:sz w:val="26"/>
          <w:szCs w:val="26"/>
        </w:rPr>
        <w:t>February 19, 2021).</w:t>
      </w:r>
      <w:r w:rsidR="002573DB" w:rsidRPr="00C91E00">
        <w:rPr>
          <w:rFonts w:ascii="Times New Roman" w:hAnsi="Times New Roman" w:cs="Times New Roman"/>
          <w:sz w:val="26"/>
          <w:szCs w:val="26"/>
        </w:rPr>
        <w:t xml:space="preserve">  </w:t>
      </w:r>
      <w:r w:rsidR="003F2AF2" w:rsidRPr="00C91E00">
        <w:rPr>
          <w:rFonts w:ascii="Times New Roman" w:hAnsi="Times New Roman" w:cs="Times New Roman"/>
          <w:sz w:val="26"/>
          <w:szCs w:val="26"/>
        </w:rPr>
        <w:t xml:space="preserve">As we will </w:t>
      </w:r>
      <w:r w:rsidR="00E9350D">
        <w:rPr>
          <w:rFonts w:ascii="Times New Roman" w:hAnsi="Times New Roman" w:cs="Times New Roman"/>
          <w:sz w:val="26"/>
          <w:szCs w:val="26"/>
        </w:rPr>
        <w:t>discuss</w:t>
      </w:r>
      <w:r w:rsidR="003F2AF2" w:rsidRPr="00C91E00">
        <w:rPr>
          <w:rFonts w:ascii="Times New Roman" w:hAnsi="Times New Roman" w:cs="Times New Roman"/>
          <w:sz w:val="26"/>
          <w:szCs w:val="26"/>
        </w:rPr>
        <w:t xml:space="preserve"> herein, we will not address the merits of the </w:t>
      </w:r>
      <w:r w:rsidR="00AA1E4D" w:rsidRPr="00C91E00">
        <w:rPr>
          <w:rFonts w:ascii="Times New Roman" w:hAnsi="Times New Roman" w:cs="Times New Roman"/>
          <w:sz w:val="26"/>
          <w:szCs w:val="26"/>
        </w:rPr>
        <w:t xml:space="preserve">pending </w:t>
      </w:r>
      <w:r w:rsidR="003F2AF2" w:rsidRPr="00C91E00">
        <w:rPr>
          <w:rFonts w:ascii="Times New Roman" w:hAnsi="Times New Roman" w:cs="Times New Roman"/>
          <w:sz w:val="26"/>
          <w:szCs w:val="26"/>
        </w:rPr>
        <w:t>Service Line Complaint proceeding</w:t>
      </w:r>
      <w:r w:rsidR="00AA1E4D" w:rsidRPr="00C91E00">
        <w:rPr>
          <w:rFonts w:ascii="Times New Roman" w:hAnsi="Times New Roman" w:cs="Times New Roman"/>
          <w:sz w:val="26"/>
          <w:szCs w:val="26"/>
        </w:rPr>
        <w:t xml:space="preserve">.  We also will not address </w:t>
      </w:r>
      <w:r w:rsidR="00E373E1">
        <w:rPr>
          <w:rFonts w:ascii="Times New Roman" w:hAnsi="Times New Roman" w:cs="Times New Roman"/>
          <w:sz w:val="26"/>
          <w:szCs w:val="26"/>
        </w:rPr>
        <w:t xml:space="preserve">in this case </w:t>
      </w:r>
      <w:r w:rsidR="00C91E00" w:rsidRPr="00C91E00">
        <w:rPr>
          <w:rFonts w:ascii="Times New Roman" w:hAnsi="Times New Roman" w:cs="Times New Roman"/>
          <w:sz w:val="26"/>
          <w:szCs w:val="26"/>
        </w:rPr>
        <w:t>any claims relating to</w:t>
      </w:r>
      <w:r w:rsidR="00E9350D">
        <w:rPr>
          <w:rFonts w:ascii="Times New Roman" w:hAnsi="Times New Roman" w:cs="Times New Roman"/>
          <w:sz w:val="26"/>
          <w:szCs w:val="26"/>
        </w:rPr>
        <w:t xml:space="preserve"> </w:t>
      </w:r>
      <w:r w:rsidR="00871DBC">
        <w:rPr>
          <w:rFonts w:ascii="Times New Roman" w:hAnsi="Times New Roman" w:cs="Times New Roman"/>
          <w:sz w:val="26"/>
          <w:szCs w:val="26"/>
        </w:rPr>
        <w:t xml:space="preserve">issues addressed or rates set in </w:t>
      </w:r>
      <w:r w:rsidR="003D2C82">
        <w:rPr>
          <w:rFonts w:ascii="Times New Roman" w:hAnsi="Times New Roman" w:cs="Times New Roman"/>
          <w:sz w:val="26"/>
          <w:szCs w:val="26"/>
        </w:rPr>
        <w:t>Columbia’s prior rate proceeding</w:t>
      </w:r>
      <w:r w:rsidR="00272F2D">
        <w:rPr>
          <w:rFonts w:ascii="Times New Roman" w:hAnsi="Times New Roman" w:cs="Times New Roman"/>
          <w:sz w:val="26"/>
          <w:szCs w:val="26"/>
        </w:rPr>
        <w:t xml:space="preserve">.  Mr. Culbertson </w:t>
      </w:r>
      <w:r w:rsidR="000F5907">
        <w:rPr>
          <w:rFonts w:ascii="Times New Roman" w:hAnsi="Times New Roman" w:cs="Times New Roman"/>
          <w:sz w:val="26"/>
          <w:szCs w:val="26"/>
        </w:rPr>
        <w:t>had the opportunity to participate in th</w:t>
      </w:r>
      <w:r w:rsidR="001F6F06">
        <w:rPr>
          <w:rFonts w:ascii="Times New Roman" w:hAnsi="Times New Roman" w:cs="Times New Roman"/>
          <w:sz w:val="26"/>
          <w:szCs w:val="26"/>
        </w:rPr>
        <w:t>e prior</w:t>
      </w:r>
      <w:r w:rsidR="000F5907">
        <w:rPr>
          <w:rFonts w:ascii="Times New Roman" w:hAnsi="Times New Roman" w:cs="Times New Roman"/>
          <w:sz w:val="26"/>
          <w:szCs w:val="26"/>
        </w:rPr>
        <w:t xml:space="preserve"> </w:t>
      </w:r>
      <w:r w:rsidR="009222FE">
        <w:rPr>
          <w:rFonts w:ascii="Times New Roman" w:hAnsi="Times New Roman" w:cs="Times New Roman"/>
          <w:sz w:val="26"/>
          <w:szCs w:val="26"/>
        </w:rPr>
        <w:t xml:space="preserve">rate </w:t>
      </w:r>
      <w:r w:rsidR="000F5907">
        <w:rPr>
          <w:rFonts w:ascii="Times New Roman" w:hAnsi="Times New Roman" w:cs="Times New Roman"/>
          <w:sz w:val="26"/>
          <w:szCs w:val="26"/>
        </w:rPr>
        <w:t>proceeding and did</w:t>
      </w:r>
      <w:r w:rsidR="001F6F06">
        <w:rPr>
          <w:rFonts w:ascii="Times New Roman" w:hAnsi="Times New Roman" w:cs="Times New Roman"/>
          <w:sz w:val="26"/>
          <w:szCs w:val="26"/>
        </w:rPr>
        <w:t>, in fact,</w:t>
      </w:r>
      <w:r w:rsidR="0014211E">
        <w:rPr>
          <w:rFonts w:ascii="Times New Roman" w:hAnsi="Times New Roman" w:cs="Times New Roman"/>
          <w:sz w:val="26"/>
          <w:szCs w:val="26"/>
        </w:rPr>
        <w:t xml:space="preserve"> </w:t>
      </w:r>
      <w:r w:rsidR="00C63572">
        <w:rPr>
          <w:rFonts w:ascii="Times New Roman" w:hAnsi="Times New Roman" w:cs="Times New Roman"/>
          <w:sz w:val="26"/>
          <w:szCs w:val="26"/>
        </w:rPr>
        <w:t>testify</w:t>
      </w:r>
      <w:r w:rsidR="0014211E">
        <w:rPr>
          <w:rFonts w:ascii="Times New Roman" w:hAnsi="Times New Roman" w:cs="Times New Roman"/>
          <w:sz w:val="26"/>
          <w:szCs w:val="26"/>
        </w:rPr>
        <w:t xml:space="preserve"> in </w:t>
      </w:r>
      <w:r w:rsidR="00D23048">
        <w:rPr>
          <w:rFonts w:ascii="Times New Roman" w:hAnsi="Times New Roman" w:cs="Times New Roman"/>
          <w:sz w:val="26"/>
          <w:szCs w:val="26"/>
        </w:rPr>
        <w:t xml:space="preserve">a </w:t>
      </w:r>
      <w:r w:rsidR="0014211E">
        <w:rPr>
          <w:rFonts w:ascii="Times New Roman" w:hAnsi="Times New Roman" w:cs="Times New Roman"/>
          <w:sz w:val="26"/>
          <w:szCs w:val="26"/>
        </w:rPr>
        <w:t xml:space="preserve">public input </w:t>
      </w:r>
      <w:r w:rsidR="00D23048">
        <w:rPr>
          <w:rFonts w:ascii="Times New Roman" w:hAnsi="Times New Roman" w:cs="Times New Roman"/>
          <w:sz w:val="26"/>
          <w:szCs w:val="26"/>
        </w:rPr>
        <w:t xml:space="preserve">hearing in that case.  </w:t>
      </w:r>
    </w:p>
  </w:footnote>
  <w:footnote w:id="7">
    <w:p w14:paraId="592B5E93" w14:textId="77777777" w:rsidR="002F1143" w:rsidRDefault="00CF15F6" w:rsidP="009E22B1">
      <w:pPr>
        <w:pStyle w:val="FootnoteText"/>
        <w:ind w:firstLine="720"/>
        <w:rPr>
          <w:rFonts w:ascii="Times New Roman" w:hAnsi="Times New Roman" w:cs="Times New Roman"/>
          <w:sz w:val="26"/>
          <w:szCs w:val="26"/>
        </w:rPr>
      </w:pPr>
      <w:r w:rsidRPr="009E22B1">
        <w:rPr>
          <w:rStyle w:val="FootnoteReference"/>
          <w:rFonts w:ascii="Times New Roman" w:hAnsi="Times New Roman" w:cs="Times New Roman"/>
          <w:sz w:val="26"/>
          <w:szCs w:val="26"/>
        </w:rPr>
        <w:footnoteRef/>
      </w:r>
      <w:r w:rsidRPr="009E22B1">
        <w:rPr>
          <w:rFonts w:ascii="Times New Roman" w:hAnsi="Times New Roman" w:cs="Times New Roman"/>
          <w:sz w:val="26"/>
          <w:szCs w:val="26"/>
        </w:rPr>
        <w:t xml:space="preserve"> </w:t>
      </w:r>
      <w:r w:rsidR="009E22B1">
        <w:rPr>
          <w:rFonts w:ascii="Times New Roman" w:hAnsi="Times New Roman" w:cs="Times New Roman"/>
          <w:sz w:val="26"/>
          <w:szCs w:val="26"/>
        </w:rPr>
        <w:tab/>
      </w:r>
      <w:r w:rsidRPr="009E22B1">
        <w:rPr>
          <w:rFonts w:ascii="Times New Roman" w:hAnsi="Times New Roman" w:cs="Times New Roman"/>
          <w:sz w:val="26"/>
          <w:szCs w:val="26"/>
        </w:rPr>
        <w:t>On June 15, 2021, Mr. Culbertson filed a Motion</w:t>
      </w:r>
      <w:r w:rsidR="00AB729F">
        <w:rPr>
          <w:rFonts w:ascii="Times New Roman" w:hAnsi="Times New Roman" w:cs="Times New Roman"/>
          <w:sz w:val="26"/>
          <w:szCs w:val="26"/>
        </w:rPr>
        <w:t xml:space="preserve"> to Remove</w:t>
      </w:r>
      <w:r w:rsidRPr="009E22B1">
        <w:rPr>
          <w:rFonts w:ascii="Times New Roman" w:hAnsi="Times New Roman" w:cs="Times New Roman"/>
          <w:sz w:val="26"/>
          <w:szCs w:val="26"/>
        </w:rPr>
        <w:t xml:space="preserve">, requesting that ALJ Hoyer </w:t>
      </w:r>
      <w:r w:rsidR="009D3DCE" w:rsidRPr="009E22B1">
        <w:rPr>
          <w:rFonts w:ascii="Times New Roman" w:hAnsi="Times New Roman" w:cs="Times New Roman"/>
          <w:sz w:val="26"/>
          <w:szCs w:val="26"/>
        </w:rPr>
        <w:t xml:space="preserve">be removed and that a different ALJ preside over </w:t>
      </w:r>
      <w:r w:rsidR="002D57BE" w:rsidRPr="009E22B1">
        <w:rPr>
          <w:rFonts w:ascii="Times New Roman" w:hAnsi="Times New Roman" w:cs="Times New Roman"/>
          <w:sz w:val="26"/>
          <w:szCs w:val="26"/>
        </w:rPr>
        <w:t>this proceeding.</w:t>
      </w:r>
      <w:r w:rsidR="008A7546" w:rsidRPr="009E22B1">
        <w:rPr>
          <w:rFonts w:ascii="Times New Roman" w:hAnsi="Times New Roman" w:cs="Times New Roman"/>
          <w:sz w:val="26"/>
          <w:szCs w:val="26"/>
        </w:rPr>
        <w:t xml:space="preserve">  Columbia filed an Answer to this Motion on July 1, 2021</w:t>
      </w:r>
      <w:r w:rsidR="004C343D" w:rsidRPr="009E22B1">
        <w:rPr>
          <w:rFonts w:ascii="Times New Roman" w:hAnsi="Times New Roman" w:cs="Times New Roman"/>
          <w:sz w:val="26"/>
          <w:szCs w:val="26"/>
        </w:rPr>
        <w:t xml:space="preserve">, averring that the Motion should be denied because Mr. Culbertson failed to </w:t>
      </w:r>
      <w:r w:rsidR="00744211" w:rsidRPr="009E22B1">
        <w:rPr>
          <w:rFonts w:ascii="Times New Roman" w:hAnsi="Times New Roman" w:cs="Times New Roman"/>
          <w:sz w:val="26"/>
          <w:szCs w:val="26"/>
        </w:rPr>
        <w:t>demonstrate any reasonable basis for removing ALJ Hoyer from this case.</w:t>
      </w:r>
      <w:r w:rsidR="00822E7C">
        <w:rPr>
          <w:rFonts w:ascii="Times New Roman" w:hAnsi="Times New Roman" w:cs="Times New Roman"/>
          <w:sz w:val="26"/>
          <w:szCs w:val="26"/>
        </w:rPr>
        <w:t xml:space="preserve">  The ALJ did not rule on the</w:t>
      </w:r>
      <w:r w:rsidR="00AB729F">
        <w:rPr>
          <w:rFonts w:ascii="Times New Roman" w:hAnsi="Times New Roman" w:cs="Times New Roman"/>
          <w:sz w:val="26"/>
          <w:szCs w:val="26"/>
        </w:rPr>
        <w:t xml:space="preserve"> Motion within </w:t>
      </w:r>
      <w:r w:rsidR="002E2D60">
        <w:rPr>
          <w:rFonts w:ascii="Times New Roman" w:hAnsi="Times New Roman" w:cs="Times New Roman"/>
          <w:sz w:val="26"/>
          <w:szCs w:val="26"/>
        </w:rPr>
        <w:t xml:space="preserve">thirty days of receipt and, accordingly, </w:t>
      </w:r>
      <w:r w:rsidR="00F0618D">
        <w:rPr>
          <w:rFonts w:ascii="Times New Roman" w:hAnsi="Times New Roman" w:cs="Times New Roman"/>
          <w:sz w:val="26"/>
          <w:szCs w:val="26"/>
        </w:rPr>
        <w:t>the Motion was deemed denied</w:t>
      </w:r>
      <w:r w:rsidR="00737385">
        <w:rPr>
          <w:rFonts w:ascii="Times New Roman" w:hAnsi="Times New Roman" w:cs="Times New Roman"/>
          <w:sz w:val="26"/>
          <w:szCs w:val="26"/>
        </w:rPr>
        <w:t xml:space="preserve"> under 52 Pa. Code </w:t>
      </w:r>
    </w:p>
    <w:p w14:paraId="665FC932" w14:textId="6D938F9B" w:rsidR="00CF15F6" w:rsidRPr="009E22B1" w:rsidRDefault="00737385" w:rsidP="00297772">
      <w:pPr>
        <w:pStyle w:val="FootnoteText"/>
        <w:rPr>
          <w:rFonts w:ascii="Times New Roman" w:hAnsi="Times New Roman" w:cs="Times New Roman"/>
          <w:sz w:val="26"/>
          <w:szCs w:val="26"/>
        </w:rPr>
      </w:pPr>
      <w:r>
        <w:rPr>
          <w:rFonts w:ascii="Times New Roman" w:hAnsi="Times New Roman" w:cs="Times New Roman"/>
          <w:sz w:val="26"/>
          <w:szCs w:val="26"/>
        </w:rPr>
        <w:t>§ 5.482(d)</w:t>
      </w:r>
      <w:r w:rsidR="00F0618D">
        <w:rPr>
          <w:rFonts w:ascii="Times New Roman" w:hAnsi="Times New Roman" w:cs="Times New Roman"/>
          <w:sz w:val="26"/>
          <w:szCs w:val="26"/>
        </w:rPr>
        <w:t xml:space="preserve">.  </w:t>
      </w:r>
    </w:p>
  </w:footnote>
  <w:footnote w:id="8">
    <w:p w14:paraId="7C91149B" w14:textId="1769356F" w:rsidR="00CE1D7D" w:rsidRPr="00B777DA" w:rsidRDefault="00CE1D7D" w:rsidP="00B777DA">
      <w:pPr>
        <w:pStyle w:val="FootnoteText"/>
        <w:ind w:firstLine="720"/>
        <w:rPr>
          <w:rFonts w:ascii="Times New Roman" w:hAnsi="Times New Roman" w:cs="Times New Roman"/>
          <w:sz w:val="26"/>
          <w:szCs w:val="26"/>
        </w:rPr>
      </w:pPr>
      <w:r w:rsidRPr="00B777DA">
        <w:rPr>
          <w:rStyle w:val="FootnoteReference"/>
          <w:rFonts w:ascii="Times New Roman" w:hAnsi="Times New Roman" w:cs="Times New Roman"/>
          <w:sz w:val="26"/>
          <w:szCs w:val="26"/>
        </w:rPr>
        <w:footnoteRef/>
      </w:r>
      <w:r w:rsidRPr="00B777DA">
        <w:rPr>
          <w:rFonts w:ascii="Times New Roman" w:hAnsi="Times New Roman" w:cs="Times New Roman"/>
          <w:sz w:val="26"/>
          <w:szCs w:val="26"/>
        </w:rPr>
        <w:t xml:space="preserve"> </w:t>
      </w:r>
      <w:r w:rsidRPr="00B777DA">
        <w:rPr>
          <w:rFonts w:ascii="Times New Roman" w:hAnsi="Times New Roman" w:cs="Times New Roman"/>
          <w:sz w:val="26"/>
          <w:szCs w:val="26"/>
        </w:rPr>
        <w:tab/>
        <w:t xml:space="preserve">Commission Regulations provide that a party may file a motion for disqualification of a presiding officer “which shall be accompanied by affidavits alleging personal bias or other disqualification[,]” and which shall be served on the ALJ and parties to the proceeding.  52 Pa. Code § 5.482(a). </w:t>
      </w:r>
    </w:p>
  </w:footnote>
  <w:footnote w:id="9">
    <w:p w14:paraId="2D643B68" w14:textId="74B26B3C" w:rsidR="00CE1D7D" w:rsidRPr="009277DF" w:rsidRDefault="00CE1D7D" w:rsidP="00330F26">
      <w:pPr>
        <w:pStyle w:val="FootnoteText"/>
        <w:ind w:firstLine="720"/>
        <w:rPr>
          <w:rFonts w:ascii="Times New Roman" w:hAnsi="Times New Roman" w:cs="Times New Roman"/>
          <w:sz w:val="26"/>
          <w:szCs w:val="26"/>
        </w:rPr>
      </w:pPr>
      <w:r w:rsidRPr="0040574B">
        <w:rPr>
          <w:rStyle w:val="FootnoteReference"/>
          <w:rFonts w:ascii="Times New Roman" w:hAnsi="Times New Roman" w:cs="Times New Roman"/>
          <w:sz w:val="26"/>
          <w:szCs w:val="26"/>
        </w:rPr>
        <w:footnoteRef/>
      </w:r>
      <w:r w:rsidRPr="0040574B">
        <w:rPr>
          <w:rFonts w:ascii="Times New Roman" w:hAnsi="Times New Roman" w:cs="Times New Roman"/>
          <w:sz w:val="26"/>
          <w:szCs w:val="26"/>
        </w:rPr>
        <w:t xml:space="preserve"> </w:t>
      </w:r>
      <w:r w:rsidRPr="0040574B">
        <w:rPr>
          <w:rFonts w:ascii="Times New Roman" w:hAnsi="Times New Roman" w:cs="Times New Roman"/>
          <w:sz w:val="26"/>
          <w:szCs w:val="26"/>
        </w:rPr>
        <w:tab/>
        <w:t>Under our Regulations, the ALJ’s failure to rule on the motion within thirty days is deemed a denial, to which a party may file an interlocutory appeal with the Commission.  52 Pa. Code § 5.482(d),(e).  Mr. Culbertson did not take interlocutory appeal of the issue.</w:t>
      </w:r>
    </w:p>
  </w:footnote>
  <w:footnote w:id="10">
    <w:p w14:paraId="7947DA59" w14:textId="73D1165A" w:rsidR="00CE1D7D" w:rsidRPr="00CB18EC" w:rsidRDefault="00CE1D7D" w:rsidP="00330F26">
      <w:pPr>
        <w:pStyle w:val="FootnoteText"/>
        <w:keepLines/>
        <w:ind w:firstLine="720"/>
        <w:rPr>
          <w:rFonts w:ascii="Times New Roman" w:hAnsi="Times New Roman" w:cs="Times New Roman"/>
          <w:sz w:val="26"/>
          <w:szCs w:val="26"/>
        </w:rPr>
      </w:pPr>
      <w:r w:rsidRPr="00CB18EC">
        <w:rPr>
          <w:rStyle w:val="FootnoteReference"/>
          <w:rFonts w:ascii="Times New Roman" w:hAnsi="Times New Roman" w:cs="Times New Roman"/>
          <w:sz w:val="26"/>
          <w:szCs w:val="26"/>
        </w:rPr>
        <w:footnoteRef/>
      </w:r>
      <w:r w:rsidRPr="00CB18EC">
        <w:rPr>
          <w:rFonts w:ascii="Times New Roman" w:hAnsi="Times New Roman" w:cs="Times New Roman"/>
          <w:sz w:val="26"/>
          <w:szCs w:val="26"/>
        </w:rPr>
        <w:t xml:space="preserve"> </w:t>
      </w:r>
      <w:r w:rsidRPr="00CB18EC">
        <w:rPr>
          <w:rFonts w:ascii="Times New Roman" w:hAnsi="Times New Roman" w:cs="Times New Roman"/>
          <w:sz w:val="26"/>
          <w:szCs w:val="26"/>
        </w:rPr>
        <w:tab/>
      </w:r>
      <w:r w:rsidRPr="00CB18EC">
        <w:rPr>
          <w:rFonts w:ascii="Times New Roman" w:hAnsi="Times New Roman" w:cs="Times New Roman"/>
          <w:i/>
          <w:sz w:val="26"/>
          <w:szCs w:val="26"/>
        </w:rPr>
        <w:t xml:space="preserve">See </w:t>
      </w:r>
      <w:r w:rsidRPr="00CB18EC">
        <w:rPr>
          <w:rFonts w:ascii="Times New Roman" w:hAnsi="Times New Roman" w:cs="Times New Roman"/>
          <w:sz w:val="26"/>
          <w:szCs w:val="26"/>
        </w:rPr>
        <w:t xml:space="preserve">52 Pa. Code § 5.533(c) (“Statements of reasons supporting exceptions must, insofar as practicable, incorporate by reference and citation, relevant portions of the record and passages in previously filed briefs.”); </w:t>
      </w:r>
      <w:r w:rsidRPr="00CB18EC">
        <w:rPr>
          <w:rFonts w:ascii="Times New Roman" w:hAnsi="Times New Roman" w:cs="Times New Roman"/>
          <w:i/>
          <w:sz w:val="26"/>
          <w:szCs w:val="26"/>
        </w:rPr>
        <w:t xml:space="preserve">see </w:t>
      </w:r>
      <w:r w:rsidR="00845D5F">
        <w:rPr>
          <w:rFonts w:ascii="Times New Roman" w:hAnsi="Times New Roman" w:cs="Times New Roman"/>
          <w:i/>
          <w:sz w:val="26"/>
          <w:szCs w:val="26"/>
        </w:rPr>
        <w:t xml:space="preserve">also </w:t>
      </w:r>
      <w:r w:rsidRPr="00CB18EC">
        <w:rPr>
          <w:rFonts w:ascii="Times New Roman" w:hAnsi="Times New Roman" w:cs="Times New Roman"/>
          <w:i/>
          <w:sz w:val="26"/>
          <w:szCs w:val="26"/>
        </w:rPr>
        <w:t>Wilson v. Columbia Gas of Pennsylvania, Inc.</w:t>
      </w:r>
      <w:r w:rsidRPr="00CB18EC">
        <w:rPr>
          <w:rFonts w:ascii="Times New Roman" w:hAnsi="Times New Roman" w:cs="Times New Roman"/>
          <w:sz w:val="26"/>
          <w:szCs w:val="26"/>
        </w:rPr>
        <w:t xml:space="preserve">, 2013 WL 6835138  at *5 (“[N]ew arguments </w:t>
      </w:r>
      <w:r w:rsidRPr="00CB18EC">
        <w:rPr>
          <w:rFonts w:ascii="Times New Roman" w:hAnsi="Times New Roman" w:cs="Times New Roman"/>
          <w:bCs/>
          <w:sz w:val="26"/>
          <w:szCs w:val="26"/>
        </w:rPr>
        <w:t>may</w:t>
      </w:r>
      <w:r w:rsidRPr="00CB18EC">
        <w:rPr>
          <w:rFonts w:ascii="Times New Roman" w:hAnsi="Times New Roman" w:cs="Times New Roman"/>
          <w:sz w:val="26"/>
          <w:szCs w:val="26"/>
        </w:rPr>
        <w:t xml:space="preserve"> </w:t>
      </w:r>
      <w:r w:rsidRPr="00CB18EC">
        <w:rPr>
          <w:rFonts w:ascii="Times New Roman" w:hAnsi="Times New Roman" w:cs="Times New Roman"/>
          <w:bCs/>
          <w:sz w:val="26"/>
          <w:szCs w:val="26"/>
        </w:rPr>
        <w:t>not</w:t>
      </w:r>
      <w:r w:rsidRPr="00CB18EC">
        <w:rPr>
          <w:rFonts w:ascii="Times New Roman" w:hAnsi="Times New Roman" w:cs="Times New Roman"/>
          <w:sz w:val="26"/>
          <w:szCs w:val="26"/>
        </w:rPr>
        <w:t xml:space="preserve"> be raised at the exception stage of a proceeding, as it deprives </w:t>
      </w:r>
      <w:r w:rsidRPr="00CB18EC">
        <w:rPr>
          <w:rFonts w:ascii="Times New Roman" w:hAnsi="Times New Roman" w:cs="Times New Roman"/>
          <w:bCs/>
          <w:sz w:val="26"/>
          <w:szCs w:val="26"/>
        </w:rPr>
        <w:t>parties</w:t>
      </w:r>
      <w:r w:rsidRPr="00CB18EC">
        <w:rPr>
          <w:rFonts w:ascii="Times New Roman" w:hAnsi="Times New Roman" w:cs="Times New Roman"/>
          <w:sz w:val="26"/>
          <w:szCs w:val="26"/>
        </w:rPr>
        <w:t xml:space="preserve"> of the opportunity to respond.”) (</w:t>
      </w:r>
      <w:r w:rsidRPr="00CB18EC">
        <w:rPr>
          <w:rFonts w:ascii="Times New Roman" w:hAnsi="Times New Roman" w:cs="Times New Roman"/>
          <w:i/>
          <w:iCs/>
          <w:sz w:val="26"/>
          <w:szCs w:val="26"/>
        </w:rPr>
        <w:t>citing</w:t>
      </w:r>
      <w:r w:rsidRPr="00CB18EC">
        <w:rPr>
          <w:rFonts w:ascii="Times New Roman" w:hAnsi="Times New Roman" w:cs="Times New Roman"/>
          <w:sz w:val="26"/>
          <w:szCs w:val="26"/>
        </w:rPr>
        <w:t xml:space="preserve"> </w:t>
      </w:r>
      <w:r w:rsidRPr="00CB18EC">
        <w:rPr>
          <w:rFonts w:ascii="Times New Roman" w:hAnsi="Times New Roman" w:cs="Times New Roman"/>
          <w:i/>
          <w:iCs/>
          <w:sz w:val="26"/>
          <w:szCs w:val="26"/>
        </w:rPr>
        <w:t>Application of PPL Electric Utilities Corporation</w:t>
      </w:r>
      <w:r w:rsidRPr="00CB18EC">
        <w:rPr>
          <w:rFonts w:ascii="Times New Roman" w:hAnsi="Times New Roman" w:cs="Times New Roman"/>
          <w:sz w:val="26"/>
          <w:szCs w:val="26"/>
        </w:rPr>
        <w:t>, Docket No. A-2011-2267349 (Order entered July 16, 2013)).</w:t>
      </w:r>
    </w:p>
  </w:footnote>
  <w:footnote w:id="11">
    <w:p w14:paraId="749D6BE8" w14:textId="77777777" w:rsidR="00F21A2F" w:rsidRPr="00B678FC" w:rsidRDefault="00F21A2F" w:rsidP="00297772">
      <w:pPr>
        <w:pStyle w:val="FootnoteText"/>
        <w:ind w:firstLine="720"/>
        <w:rPr>
          <w:rFonts w:ascii="Times New Roman" w:hAnsi="Times New Roman" w:cs="Times New Roman"/>
          <w:sz w:val="26"/>
          <w:szCs w:val="26"/>
        </w:rPr>
      </w:pPr>
      <w:r w:rsidRPr="00B678FC">
        <w:rPr>
          <w:rStyle w:val="FootnoteReference"/>
          <w:rFonts w:ascii="Times New Roman" w:hAnsi="Times New Roman" w:cs="Times New Roman"/>
          <w:sz w:val="26"/>
          <w:szCs w:val="26"/>
        </w:rPr>
        <w:footnoteRef/>
      </w:r>
      <w:r w:rsidRPr="00B678FC">
        <w:rPr>
          <w:rFonts w:ascii="Times New Roman" w:hAnsi="Times New Roman" w:cs="Times New Roman"/>
          <w:sz w:val="26"/>
          <w:szCs w:val="26"/>
        </w:rPr>
        <w:t xml:space="preserve"> </w:t>
      </w:r>
      <w:r w:rsidRPr="00B678FC">
        <w:rPr>
          <w:rFonts w:ascii="Times New Roman" w:hAnsi="Times New Roman" w:cs="Times New Roman"/>
          <w:sz w:val="26"/>
          <w:szCs w:val="26"/>
        </w:rPr>
        <w:tab/>
        <w:t>Resolution of this issue, which Mr. Culbertson also raised in his Exception No. 4, is included in our discussion and disposition of his Exception No. 3.</w:t>
      </w:r>
    </w:p>
  </w:footnote>
  <w:footnote w:id="12">
    <w:p w14:paraId="2E2129B1" w14:textId="064BECDC" w:rsidR="00F21A2F" w:rsidRPr="00192B70" w:rsidRDefault="00F21A2F" w:rsidP="00297772">
      <w:pPr>
        <w:pStyle w:val="FootnoteText"/>
        <w:spacing w:after="120"/>
        <w:ind w:firstLine="720"/>
        <w:rPr>
          <w:rFonts w:ascii="Times New Roman" w:hAnsi="Times New Roman" w:cs="Times New Roman"/>
          <w:sz w:val="26"/>
          <w:szCs w:val="26"/>
        </w:rPr>
      </w:pPr>
      <w:r w:rsidRPr="00192B70">
        <w:rPr>
          <w:rStyle w:val="FootnoteReference"/>
          <w:rFonts w:ascii="Times New Roman" w:hAnsi="Times New Roman" w:cs="Times New Roman"/>
          <w:sz w:val="26"/>
          <w:szCs w:val="26"/>
        </w:rPr>
        <w:footnoteRef/>
      </w:r>
      <w:r w:rsidRPr="00192B70">
        <w:rPr>
          <w:rFonts w:ascii="Times New Roman" w:hAnsi="Times New Roman" w:cs="Times New Roman"/>
          <w:sz w:val="26"/>
          <w:szCs w:val="26"/>
        </w:rPr>
        <w:t xml:space="preserve"> </w:t>
      </w:r>
      <w:r w:rsidRPr="00192B70">
        <w:rPr>
          <w:rFonts w:ascii="Times New Roman" w:hAnsi="Times New Roman" w:cs="Times New Roman"/>
          <w:sz w:val="26"/>
          <w:szCs w:val="26"/>
        </w:rPr>
        <w:tab/>
      </w:r>
      <w:r w:rsidRPr="00192B70">
        <w:rPr>
          <w:rFonts w:ascii="Times New Roman" w:hAnsi="Times New Roman" w:cs="Times New Roman"/>
          <w:i/>
          <w:iCs/>
          <w:sz w:val="26"/>
          <w:szCs w:val="26"/>
        </w:rPr>
        <w:t xml:space="preserve">See, e.g., </w:t>
      </w:r>
      <w:r w:rsidRPr="00192B70">
        <w:rPr>
          <w:rFonts w:ascii="Times New Roman" w:hAnsi="Times New Roman" w:cs="Times New Roman"/>
          <w:sz w:val="26"/>
          <w:szCs w:val="26"/>
        </w:rPr>
        <w:t>Columbia R. Exc. at 6 n.2, acknowledging application of FERC’s Uniform System of Accounts and applicability of federal pipeline safety laws.</w:t>
      </w:r>
    </w:p>
  </w:footnote>
  <w:footnote w:id="13">
    <w:p w14:paraId="1B3BE443" w14:textId="3A33A962" w:rsidR="00F21A2F" w:rsidRPr="00192B70" w:rsidRDefault="00F21A2F" w:rsidP="00297772">
      <w:pPr>
        <w:pStyle w:val="FootnoteText"/>
        <w:spacing w:after="120"/>
        <w:ind w:firstLine="720"/>
        <w:rPr>
          <w:rFonts w:ascii="Times New Roman" w:hAnsi="Times New Roman" w:cs="Times New Roman"/>
          <w:i/>
          <w:iCs/>
          <w:sz w:val="26"/>
          <w:szCs w:val="26"/>
        </w:rPr>
      </w:pPr>
      <w:r w:rsidRPr="00192B70">
        <w:rPr>
          <w:rStyle w:val="FootnoteReference"/>
          <w:rFonts w:ascii="Times New Roman" w:hAnsi="Times New Roman" w:cs="Times New Roman"/>
          <w:sz w:val="26"/>
          <w:szCs w:val="26"/>
        </w:rPr>
        <w:footnoteRef/>
      </w:r>
      <w:r w:rsidRPr="00192B70">
        <w:rPr>
          <w:rFonts w:ascii="Times New Roman" w:hAnsi="Times New Roman" w:cs="Times New Roman"/>
          <w:sz w:val="26"/>
          <w:szCs w:val="26"/>
        </w:rPr>
        <w:t xml:space="preserve"> </w:t>
      </w:r>
      <w:r w:rsidRPr="00192B70">
        <w:rPr>
          <w:rFonts w:ascii="Times New Roman" w:hAnsi="Times New Roman" w:cs="Times New Roman"/>
          <w:sz w:val="26"/>
          <w:szCs w:val="26"/>
        </w:rPr>
        <w:tab/>
      </w:r>
      <w:r w:rsidRPr="00153543">
        <w:rPr>
          <w:rFonts w:ascii="Times New Roman" w:hAnsi="Times New Roman" w:cs="Times New Roman"/>
          <w:i/>
          <w:iCs/>
          <w:sz w:val="26"/>
          <w:szCs w:val="26"/>
        </w:rPr>
        <w:t xml:space="preserve">See </w:t>
      </w:r>
      <w:hyperlink r:id="rId1" w:history="1">
        <w:r w:rsidRPr="00153543">
          <w:rPr>
            <w:rFonts w:ascii="Times New Roman" w:hAnsi="Times New Roman" w:cs="Times New Roman"/>
            <w:sz w:val="26"/>
            <w:szCs w:val="26"/>
          </w:rPr>
          <w:t>325_3.pdf (pa.gov)</w:t>
        </w:r>
      </w:hyperlink>
      <w:r w:rsidRPr="00153543">
        <w:rPr>
          <w:rFonts w:ascii="Times New Roman" w:hAnsi="Times New Roman" w:cs="Times New Roman"/>
          <w:sz w:val="26"/>
          <w:szCs w:val="26"/>
        </w:rPr>
        <w:t xml:space="preserve">, cited by Mr. Culbertson, which applies to agencies and other entities “under the Governor’s jurisdiction.”  The other citation provided by Mr. Culbertson, to 325_12 at </w:t>
      </w:r>
      <w:hyperlink r:id="rId2" w:history="1">
        <w:r w:rsidRPr="00153543">
          <w:rPr>
            <w:rFonts w:ascii="Times New Roman" w:hAnsi="Times New Roman" w:cs="Times New Roman"/>
            <w:sz w:val="26"/>
            <w:szCs w:val="26"/>
          </w:rPr>
          <w:t>http://www.oa.pa.gov/Policies/md/Documents/325_12.pdf</w:t>
        </w:r>
      </w:hyperlink>
      <w:r w:rsidRPr="00153543">
        <w:rPr>
          <w:rStyle w:val="Hyperlink"/>
          <w:rFonts w:ascii="Times New Roman" w:hAnsi="Times New Roman" w:cs="Times New Roman"/>
          <w:sz w:val="26"/>
          <w:szCs w:val="26"/>
        </w:rPr>
        <w:t xml:space="preserve"> </w:t>
      </w:r>
      <w:r w:rsidRPr="00153543">
        <w:rPr>
          <w:rFonts w:ascii="Times New Roman" w:hAnsi="Times New Roman" w:cs="Times New Roman"/>
          <w:sz w:val="26"/>
          <w:szCs w:val="26"/>
        </w:rPr>
        <w:t>provides the Governor’s Management Directive on Standards for Enterprise Risk Management in Commonwealth Agencies and also applies only to agencies and</w:t>
      </w:r>
      <w:r w:rsidRPr="00192B70">
        <w:rPr>
          <w:rFonts w:ascii="Times New Roman" w:hAnsi="Times New Roman" w:cs="Times New Roman"/>
          <w:sz w:val="26"/>
          <w:szCs w:val="26"/>
        </w:rPr>
        <w:t xml:space="preserve"> other entities under the Governor’s jurisdiction.</w:t>
      </w:r>
    </w:p>
  </w:footnote>
  <w:footnote w:id="14">
    <w:p w14:paraId="08582AC8" w14:textId="630170AC" w:rsidR="00F21A2F" w:rsidRPr="00153543" w:rsidRDefault="00F21A2F" w:rsidP="00153543">
      <w:pPr>
        <w:pStyle w:val="FootnoteText"/>
        <w:ind w:firstLine="720"/>
        <w:rPr>
          <w:rFonts w:ascii="Times New Roman" w:hAnsi="Times New Roman" w:cs="Times New Roman"/>
          <w:sz w:val="26"/>
          <w:szCs w:val="26"/>
        </w:rPr>
      </w:pPr>
      <w:r w:rsidRPr="00192B70">
        <w:rPr>
          <w:rStyle w:val="FootnoteReference"/>
          <w:rFonts w:ascii="Times New Roman" w:hAnsi="Times New Roman" w:cs="Times New Roman"/>
          <w:sz w:val="26"/>
          <w:szCs w:val="26"/>
        </w:rPr>
        <w:footnoteRef/>
      </w:r>
      <w:r w:rsidRPr="00192B70">
        <w:rPr>
          <w:rFonts w:ascii="Times New Roman" w:hAnsi="Times New Roman" w:cs="Times New Roman"/>
          <w:sz w:val="26"/>
          <w:szCs w:val="26"/>
        </w:rPr>
        <w:t xml:space="preserve"> </w:t>
      </w:r>
      <w:r w:rsidRPr="00192B70">
        <w:rPr>
          <w:rFonts w:ascii="Times New Roman" w:hAnsi="Times New Roman" w:cs="Times New Roman"/>
          <w:sz w:val="26"/>
          <w:szCs w:val="26"/>
        </w:rPr>
        <w:tab/>
        <w:t>While the Commission determines just and reasonable rates pursuant to Chapter 13 of the Code, rates are paid by ratepayers, the consumers of the utility services, not the Commission, rendering a constitutional provision calling for audits of entities funded or aided by the Commonwealth inapplicable.</w:t>
      </w:r>
    </w:p>
  </w:footnote>
  <w:footnote w:id="15">
    <w:p w14:paraId="4A3875CE" w14:textId="42D3C710" w:rsidR="00F21A2F" w:rsidRPr="00C47563" w:rsidRDefault="00F21A2F" w:rsidP="00C47563">
      <w:pPr>
        <w:pStyle w:val="FootnoteText"/>
        <w:ind w:firstLine="720"/>
        <w:rPr>
          <w:rFonts w:ascii="Times New Roman" w:hAnsi="Times New Roman" w:cs="Times New Roman"/>
          <w:sz w:val="26"/>
          <w:szCs w:val="26"/>
        </w:rPr>
      </w:pPr>
      <w:r w:rsidRPr="00B43046">
        <w:rPr>
          <w:rStyle w:val="FootnoteReference"/>
          <w:rFonts w:ascii="Times New Roman" w:hAnsi="Times New Roman" w:cs="Times New Roman"/>
          <w:sz w:val="26"/>
          <w:szCs w:val="26"/>
        </w:rPr>
        <w:footnoteRef/>
      </w:r>
      <w:r w:rsidRPr="00B43046">
        <w:rPr>
          <w:rFonts w:ascii="Times New Roman" w:hAnsi="Times New Roman" w:cs="Times New Roman"/>
          <w:sz w:val="26"/>
          <w:szCs w:val="26"/>
        </w:rPr>
        <w:t xml:space="preserve"> </w:t>
      </w:r>
      <w:r w:rsidRPr="00B43046">
        <w:rPr>
          <w:rFonts w:ascii="Times New Roman" w:hAnsi="Times New Roman" w:cs="Times New Roman"/>
          <w:sz w:val="26"/>
          <w:szCs w:val="26"/>
        </w:rPr>
        <w:tab/>
        <w:t xml:space="preserve">Like Mr. Culbertson, the complainant in </w:t>
      </w:r>
      <w:r w:rsidRPr="00B43046">
        <w:rPr>
          <w:rFonts w:ascii="Times New Roman" w:hAnsi="Times New Roman" w:cs="Times New Roman"/>
          <w:i/>
          <w:iCs/>
          <w:sz w:val="26"/>
          <w:szCs w:val="26"/>
        </w:rPr>
        <w:t xml:space="preserve">UGI Electric </w:t>
      </w:r>
      <w:r w:rsidRPr="00B43046">
        <w:rPr>
          <w:rFonts w:ascii="Times New Roman" w:hAnsi="Times New Roman" w:cs="Times New Roman"/>
          <w:sz w:val="26"/>
          <w:szCs w:val="26"/>
        </w:rPr>
        <w:t xml:space="preserve">also objected on the basis that she was not involved in the negotiation of the settlement.  This issue is addressed </w:t>
      </w:r>
      <w:r w:rsidRPr="00B43046">
        <w:rPr>
          <w:rFonts w:ascii="Times New Roman" w:hAnsi="Times New Roman" w:cs="Times New Roman"/>
          <w:i/>
          <w:iCs/>
          <w:sz w:val="26"/>
          <w:szCs w:val="26"/>
        </w:rPr>
        <w:t xml:space="preserve">infra </w:t>
      </w:r>
      <w:r w:rsidRPr="00B43046">
        <w:rPr>
          <w:rFonts w:ascii="Times New Roman" w:hAnsi="Times New Roman" w:cs="Times New Roman"/>
          <w:sz w:val="26"/>
          <w:szCs w:val="26"/>
        </w:rPr>
        <w:t>in the disposition of Mr. Culbertson’s Exception No. 5.</w:t>
      </w:r>
    </w:p>
  </w:footnote>
  <w:footnote w:id="16">
    <w:p w14:paraId="39F03249" w14:textId="77777777" w:rsidR="00F21A2F" w:rsidRPr="00E800C8" w:rsidRDefault="00F21A2F" w:rsidP="00DA5BB2">
      <w:pPr>
        <w:pStyle w:val="FootnoteText"/>
        <w:ind w:firstLine="720"/>
        <w:rPr>
          <w:rFonts w:ascii="Times New Roman" w:hAnsi="Times New Roman" w:cs="Times New Roman"/>
          <w:sz w:val="26"/>
          <w:szCs w:val="26"/>
        </w:rPr>
      </w:pPr>
      <w:r w:rsidRPr="00E800C8">
        <w:rPr>
          <w:rStyle w:val="FootnoteReference"/>
          <w:rFonts w:ascii="Times New Roman" w:hAnsi="Times New Roman" w:cs="Times New Roman"/>
          <w:sz w:val="26"/>
          <w:szCs w:val="26"/>
        </w:rPr>
        <w:footnoteRef/>
      </w:r>
      <w:r w:rsidRPr="00E800C8">
        <w:rPr>
          <w:rFonts w:ascii="Times New Roman" w:hAnsi="Times New Roman" w:cs="Times New Roman"/>
          <w:sz w:val="26"/>
          <w:szCs w:val="26"/>
        </w:rPr>
        <w:t xml:space="preserve"> </w:t>
      </w:r>
      <w:r w:rsidRPr="00E800C8">
        <w:rPr>
          <w:rFonts w:ascii="Times New Roman" w:hAnsi="Times New Roman" w:cs="Times New Roman"/>
          <w:sz w:val="26"/>
          <w:szCs w:val="26"/>
        </w:rPr>
        <w:tab/>
      </w:r>
      <w:r w:rsidRPr="00E800C8">
        <w:rPr>
          <w:rFonts w:ascii="Times New Roman" w:hAnsi="Times New Roman" w:cs="Times New Roman"/>
          <w:i/>
          <w:iCs/>
          <w:sz w:val="26"/>
          <w:szCs w:val="26"/>
        </w:rPr>
        <w:t xml:space="preserve">See, e.g., </w:t>
      </w:r>
      <w:r w:rsidRPr="00E800C8">
        <w:rPr>
          <w:rFonts w:ascii="Times New Roman" w:hAnsi="Times New Roman" w:cs="Times New Roman"/>
          <w:sz w:val="26"/>
          <w:szCs w:val="26"/>
        </w:rPr>
        <w:t>Joint Petition at ¶¶ 21-27.</w:t>
      </w:r>
    </w:p>
  </w:footnote>
  <w:footnote w:id="17">
    <w:p w14:paraId="4EC5DCAE" w14:textId="2D396720" w:rsidR="00F21A2F" w:rsidRPr="00B552F6" w:rsidRDefault="00F21A2F" w:rsidP="00DA5BB2">
      <w:pPr>
        <w:pStyle w:val="FootnoteText"/>
        <w:ind w:firstLine="720"/>
        <w:rPr>
          <w:rFonts w:ascii="Times New Roman" w:hAnsi="Times New Roman" w:cs="Times New Roman"/>
          <w:sz w:val="26"/>
          <w:szCs w:val="26"/>
        </w:rPr>
      </w:pPr>
      <w:r w:rsidRPr="00B552F6">
        <w:rPr>
          <w:rStyle w:val="FootnoteReference"/>
          <w:rFonts w:ascii="Times New Roman" w:hAnsi="Times New Roman" w:cs="Times New Roman"/>
          <w:sz w:val="26"/>
          <w:szCs w:val="26"/>
        </w:rPr>
        <w:footnoteRef/>
      </w:r>
      <w:r w:rsidRPr="00B552F6">
        <w:rPr>
          <w:rFonts w:ascii="Times New Roman" w:hAnsi="Times New Roman" w:cs="Times New Roman"/>
          <w:sz w:val="26"/>
          <w:szCs w:val="26"/>
        </w:rPr>
        <w:t xml:space="preserve"> </w:t>
      </w:r>
      <w:r w:rsidRPr="00B552F6">
        <w:rPr>
          <w:rFonts w:ascii="Times New Roman" w:hAnsi="Times New Roman" w:cs="Times New Roman"/>
          <w:sz w:val="26"/>
          <w:szCs w:val="26"/>
        </w:rPr>
        <w:tab/>
      </w:r>
      <w:r w:rsidRPr="00B552F6">
        <w:rPr>
          <w:rFonts w:ascii="Times New Roman" w:hAnsi="Times New Roman" w:cs="Times New Roman"/>
          <w:i/>
          <w:iCs/>
          <w:sz w:val="26"/>
          <w:szCs w:val="26"/>
        </w:rPr>
        <w:t xml:space="preserve">See </w:t>
      </w:r>
      <w:r w:rsidRPr="00B552F6">
        <w:rPr>
          <w:rFonts w:ascii="Times New Roman" w:hAnsi="Times New Roman" w:cs="Times New Roman"/>
          <w:sz w:val="26"/>
          <w:szCs w:val="26"/>
        </w:rPr>
        <w:t>I&amp;E Statement in Support at 6 (citing</w:t>
      </w:r>
      <w:r w:rsidRPr="00B552F6">
        <w:rPr>
          <w:rFonts w:ascii="Times New Roman" w:hAnsi="Times New Roman" w:cs="Times New Roman"/>
          <w:i/>
          <w:iCs/>
          <w:sz w:val="26"/>
          <w:szCs w:val="26"/>
        </w:rPr>
        <w:t xml:space="preserve"> Pa. PUC v. Wellsboro Electric Company</w:t>
      </w:r>
      <w:r w:rsidRPr="00B552F6">
        <w:rPr>
          <w:rFonts w:ascii="Times New Roman" w:hAnsi="Times New Roman" w:cs="Times New Roman"/>
          <w:sz w:val="26"/>
          <w:szCs w:val="26"/>
        </w:rPr>
        <w:t xml:space="preserve">, Docket No. R-2010-2172662 (Final Order entered January 13, 2011); </w:t>
      </w:r>
      <w:r w:rsidRPr="00B552F6">
        <w:rPr>
          <w:rFonts w:ascii="Times New Roman" w:hAnsi="Times New Roman" w:cs="Times New Roman"/>
          <w:i/>
          <w:iCs/>
          <w:sz w:val="26"/>
          <w:szCs w:val="26"/>
        </w:rPr>
        <w:t>P</w:t>
      </w:r>
      <w:r w:rsidR="005A36F3">
        <w:rPr>
          <w:rFonts w:ascii="Times New Roman" w:hAnsi="Times New Roman" w:cs="Times New Roman"/>
          <w:i/>
          <w:iCs/>
          <w:sz w:val="26"/>
          <w:szCs w:val="26"/>
        </w:rPr>
        <w:t>a</w:t>
      </w:r>
      <w:r w:rsidRPr="00B552F6">
        <w:rPr>
          <w:rFonts w:ascii="Times New Roman" w:hAnsi="Times New Roman" w:cs="Times New Roman"/>
          <w:i/>
          <w:iCs/>
          <w:sz w:val="26"/>
          <w:szCs w:val="26"/>
        </w:rPr>
        <w:t>.</w:t>
      </w:r>
      <w:r w:rsidR="005A36F3">
        <w:rPr>
          <w:rFonts w:ascii="Times New Roman" w:hAnsi="Times New Roman" w:cs="Times New Roman"/>
          <w:i/>
          <w:iCs/>
          <w:sz w:val="26"/>
          <w:szCs w:val="26"/>
        </w:rPr>
        <w:t> </w:t>
      </w:r>
      <w:r w:rsidRPr="00B552F6">
        <w:rPr>
          <w:rFonts w:ascii="Times New Roman" w:hAnsi="Times New Roman" w:cs="Times New Roman"/>
          <w:i/>
          <w:iCs/>
          <w:sz w:val="26"/>
          <w:szCs w:val="26"/>
        </w:rPr>
        <w:t>PUC v. Citizens’ Electric Company of Lewisburg, PA</w:t>
      </w:r>
      <w:r w:rsidRPr="00B552F6">
        <w:rPr>
          <w:rFonts w:ascii="Times New Roman" w:hAnsi="Times New Roman" w:cs="Times New Roman"/>
          <w:sz w:val="26"/>
          <w:szCs w:val="26"/>
        </w:rPr>
        <w:t>, Docket No. R-2010- 2172665 (Final Order entered January 13, 2011)</w:t>
      </w:r>
      <w:r w:rsidR="00E127A7">
        <w:rPr>
          <w:rFonts w:ascii="Times New Roman" w:hAnsi="Times New Roman" w:cs="Times New Roman"/>
          <w:sz w:val="26"/>
          <w:szCs w:val="26"/>
        </w:rPr>
        <w:t>)</w:t>
      </w:r>
      <w:r w:rsidRPr="00B552F6">
        <w:rPr>
          <w:rFonts w:ascii="Times New Roman" w:hAnsi="Times New Roman" w:cs="Times New Roman"/>
          <w:color w:val="000000"/>
          <w:spacing w:val="4"/>
          <w:sz w:val="26"/>
          <w:szCs w:val="26"/>
        </w:rPr>
        <w:t>.</w:t>
      </w:r>
    </w:p>
  </w:footnote>
  <w:footnote w:id="18">
    <w:p w14:paraId="121AC299" w14:textId="45B5D6BE" w:rsidR="00CF6E8E" w:rsidRPr="00BA54F6" w:rsidRDefault="00CF6E8E" w:rsidP="00297772">
      <w:pPr>
        <w:pStyle w:val="FootnoteText"/>
        <w:spacing w:after="120"/>
        <w:ind w:firstLine="720"/>
        <w:rPr>
          <w:rFonts w:ascii="Times New Roman" w:hAnsi="Times New Roman" w:cs="Times New Roman"/>
          <w:sz w:val="26"/>
          <w:szCs w:val="26"/>
        </w:rPr>
      </w:pPr>
      <w:r w:rsidRPr="00BA54F6">
        <w:rPr>
          <w:rStyle w:val="FootnoteReference"/>
          <w:rFonts w:ascii="Times New Roman" w:hAnsi="Times New Roman" w:cs="Times New Roman"/>
          <w:sz w:val="26"/>
          <w:szCs w:val="26"/>
        </w:rPr>
        <w:footnoteRef/>
      </w:r>
      <w:r w:rsidRPr="00BA54F6">
        <w:rPr>
          <w:rFonts w:ascii="Times New Roman" w:hAnsi="Times New Roman" w:cs="Times New Roman"/>
          <w:sz w:val="26"/>
          <w:szCs w:val="26"/>
        </w:rPr>
        <w:t xml:space="preserve"> </w:t>
      </w:r>
      <w:r w:rsidR="00BA54F6" w:rsidRPr="00BA54F6">
        <w:rPr>
          <w:rFonts w:ascii="Times New Roman" w:hAnsi="Times New Roman" w:cs="Times New Roman"/>
          <w:sz w:val="26"/>
          <w:szCs w:val="26"/>
        </w:rPr>
        <w:tab/>
      </w:r>
      <w:r w:rsidRPr="00BA54F6">
        <w:rPr>
          <w:rFonts w:ascii="Times New Roman" w:hAnsi="Times New Roman" w:cs="Times New Roman"/>
          <w:sz w:val="26"/>
          <w:szCs w:val="26"/>
        </w:rPr>
        <w:t>Columbia</w:t>
      </w:r>
      <w:r w:rsidR="008C6FBB" w:rsidRPr="00BA54F6">
        <w:rPr>
          <w:rFonts w:ascii="Times New Roman" w:hAnsi="Times New Roman" w:cs="Times New Roman"/>
          <w:sz w:val="26"/>
          <w:szCs w:val="26"/>
        </w:rPr>
        <w:t>’s</w:t>
      </w:r>
      <w:r w:rsidRPr="00BA54F6">
        <w:rPr>
          <w:rFonts w:ascii="Times New Roman" w:hAnsi="Times New Roman" w:cs="Times New Roman"/>
          <w:sz w:val="26"/>
          <w:szCs w:val="26"/>
        </w:rPr>
        <w:t xml:space="preserve"> witness</w:t>
      </w:r>
      <w:r w:rsidR="008C6FBB" w:rsidRPr="00BA54F6">
        <w:rPr>
          <w:rFonts w:ascii="Times New Roman" w:hAnsi="Times New Roman" w:cs="Times New Roman"/>
          <w:sz w:val="26"/>
          <w:szCs w:val="26"/>
        </w:rPr>
        <w:t>es</w:t>
      </w:r>
      <w:r w:rsidRPr="00BA54F6">
        <w:rPr>
          <w:rFonts w:ascii="Times New Roman" w:hAnsi="Times New Roman" w:cs="Times New Roman"/>
          <w:sz w:val="26"/>
          <w:szCs w:val="26"/>
        </w:rPr>
        <w:t xml:space="preserve"> testified that</w:t>
      </w:r>
      <w:r w:rsidR="00D93D53" w:rsidRPr="00BA54F6">
        <w:rPr>
          <w:rFonts w:ascii="Times New Roman" w:hAnsi="Times New Roman" w:cs="Times New Roman"/>
          <w:sz w:val="26"/>
          <w:szCs w:val="26"/>
        </w:rPr>
        <w:t xml:space="preserve"> while the </w:t>
      </w:r>
      <w:r w:rsidR="008C6FBB" w:rsidRPr="00BA54F6">
        <w:rPr>
          <w:rFonts w:ascii="Times New Roman" w:hAnsi="Times New Roman" w:cs="Times New Roman"/>
          <w:sz w:val="26"/>
          <w:szCs w:val="26"/>
        </w:rPr>
        <w:t xml:space="preserve">API 1173 is </w:t>
      </w:r>
      <w:r w:rsidR="00C61091" w:rsidRPr="00BA54F6">
        <w:rPr>
          <w:rFonts w:ascii="Times New Roman" w:hAnsi="Times New Roman" w:cs="Times New Roman"/>
          <w:sz w:val="26"/>
          <w:szCs w:val="26"/>
        </w:rPr>
        <w:t xml:space="preserve">a recommended practice, Columbia is </w:t>
      </w:r>
      <w:r w:rsidR="003562FA" w:rsidRPr="00BA54F6">
        <w:rPr>
          <w:rFonts w:ascii="Times New Roman" w:hAnsi="Times New Roman" w:cs="Times New Roman"/>
          <w:sz w:val="26"/>
          <w:szCs w:val="26"/>
        </w:rPr>
        <w:t>pursuing implementation of API 1173.  Columbia St</w:t>
      </w:r>
      <w:r w:rsidR="00BE5FFE" w:rsidRPr="00BA54F6">
        <w:rPr>
          <w:rFonts w:ascii="Times New Roman" w:hAnsi="Times New Roman" w:cs="Times New Roman"/>
          <w:sz w:val="26"/>
          <w:szCs w:val="26"/>
        </w:rPr>
        <w:t>s</w:t>
      </w:r>
      <w:r w:rsidR="003562FA" w:rsidRPr="00BA54F6">
        <w:rPr>
          <w:rFonts w:ascii="Times New Roman" w:hAnsi="Times New Roman" w:cs="Times New Roman"/>
          <w:sz w:val="26"/>
          <w:szCs w:val="26"/>
        </w:rPr>
        <w:t>. 14 at 24,</w:t>
      </w:r>
      <w:r w:rsidR="00BE5FFE" w:rsidRPr="00BA54F6">
        <w:rPr>
          <w:rFonts w:ascii="Times New Roman" w:hAnsi="Times New Roman" w:cs="Times New Roman"/>
          <w:sz w:val="26"/>
          <w:szCs w:val="26"/>
        </w:rPr>
        <w:t xml:space="preserve"> </w:t>
      </w:r>
      <w:r w:rsidR="000B3762">
        <w:rPr>
          <w:rFonts w:ascii="Times New Roman" w:hAnsi="Times New Roman" w:cs="Times New Roman"/>
          <w:sz w:val="26"/>
          <w:szCs w:val="26"/>
        </w:rPr>
        <w:t>1</w:t>
      </w:r>
      <w:r w:rsidR="00BE5FFE" w:rsidRPr="00BA54F6">
        <w:rPr>
          <w:rFonts w:ascii="Times New Roman" w:hAnsi="Times New Roman" w:cs="Times New Roman"/>
          <w:sz w:val="26"/>
          <w:szCs w:val="26"/>
        </w:rPr>
        <w:t xml:space="preserve">-R at 9-10.  </w:t>
      </w:r>
    </w:p>
  </w:footnote>
  <w:footnote w:id="19">
    <w:p w14:paraId="46C5CF9F" w14:textId="26E93B51" w:rsidR="00BA54F6" w:rsidRPr="00BA54F6" w:rsidRDefault="00BA54F6" w:rsidP="00BA54F6">
      <w:pPr>
        <w:pStyle w:val="FootnoteText"/>
        <w:ind w:firstLine="720"/>
        <w:rPr>
          <w:rFonts w:ascii="Times New Roman" w:hAnsi="Times New Roman" w:cs="Times New Roman"/>
          <w:sz w:val="26"/>
          <w:szCs w:val="26"/>
        </w:rPr>
      </w:pPr>
      <w:r w:rsidRPr="00BA54F6">
        <w:rPr>
          <w:rStyle w:val="FootnoteReference"/>
          <w:rFonts w:ascii="Times New Roman" w:hAnsi="Times New Roman" w:cs="Times New Roman"/>
          <w:sz w:val="26"/>
          <w:szCs w:val="26"/>
        </w:rPr>
        <w:footnoteRef/>
      </w:r>
      <w:r w:rsidRPr="00BA54F6">
        <w:rPr>
          <w:rFonts w:ascii="Times New Roman" w:hAnsi="Times New Roman" w:cs="Times New Roman"/>
          <w:sz w:val="26"/>
          <w:szCs w:val="26"/>
        </w:rPr>
        <w:t xml:space="preserve"> </w:t>
      </w:r>
      <w:r w:rsidRPr="00BA54F6">
        <w:rPr>
          <w:rFonts w:ascii="Times New Roman" w:hAnsi="Times New Roman" w:cs="Times New Roman"/>
          <w:sz w:val="26"/>
          <w:szCs w:val="26"/>
        </w:rPr>
        <w:tab/>
      </w:r>
      <w:r w:rsidR="00C5063A">
        <w:rPr>
          <w:rFonts w:ascii="Times New Roman" w:hAnsi="Times New Roman" w:cs="Times New Roman"/>
          <w:sz w:val="26"/>
          <w:szCs w:val="26"/>
        </w:rPr>
        <w:t>A</w:t>
      </w:r>
      <w:r w:rsidRPr="00BA54F6">
        <w:rPr>
          <w:rFonts w:ascii="Times New Roman" w:hAnsi="Times New Roman" w:cs="Times New Roman"/>
          <w:sz w:val="26"/>
          <w:szCs w:val="26"/>
        </w:rPr>
        <w:t>ssertions, opinions</w:t>
      </w:r>
      <w:r w:rsidR="00C5063A">
        <w:rPr>
          <w:rFonts w:ascii="Times New Roman" w:hAnsi="Times New Roman" w:cs="Times New Roman"/>
          <w:sz w:val="26"/>
          <w:szCs w:val="26"/>
        </w:rPr>
        <w:t>,</w:t>
      </w:r>
      <w:r w:rsidRPr="00BA54F6">
        <w:rPr>
          <w:rFonts w:ascii="Times New Roman" w:hAnsi="Times New Roman" w:cs="Times New Roman"/>
          <w:sz w:val="26"/>
          <w:szCs w:val="26"/>
        </w:rPr>
        <w:t xml:space="preserve"> or perceptions do not constitute evidence. </w:t>
      </w:r>
      <w:r w:rsidR="0057358D">
        <w:rPr>
          <w:rFonts w:ascii="Times New Roman" w:hAnsi="Times New Roman" w:cs="Times New Roman"/>
          <w:sz w:val="26"/>
          <w:szCs w:val="26"/>
        </w:rPr>
        <w:t xml:space="preserve"> </w:t>
      </w:r>
      <w:r w:rsidRPr="00BA54F6">
        <w:rPr>
          <w:rFonts w:ascii="Times New Roman" w:hAnsi="Times New Roman" w:cs="Times New Roman"/>
          <w:i/>
          <w:iCs/>
          <w:sz w:val="26"/>
          <w:szCs w:val="26"/>
        </w:rPr>
        <w:t xml:space="preserve">Rivera v. Philadelphia Gas Works, </w:t>
      </w:r>
      <w:r w:rsidRPr="00BA54F6">
        <w:rPr>
          <w:rFonts w:ascii="Times New Roman" w:hAnsi="Times New Roman" w:cs="Times New Roman"/>
          <w:sz w:val="26"/>
          <w:szCs w:val="26"/>
        </w:rPr>
        <w:t>Docket No. C-2010-2164222 (Order entered January 12,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28.5pt;visibility:visible;mso-wrap-style:square" o:bullet="t">
        <v:imagedata r:id="rId1" o:title=""/>
      </v:shape>
    </w:pict>
  </w:numPicBullet>
  <w:numPicBullet w:numPicBulletId="1">
    <w:pict>
      <v:shape id="_x0000_i1027" type="#_x0000_t75" style="width:36pt;height:28.5pt;visibility:visible;mso-wrap-style:square" o:bullet="t">
        <v:imagedata r:id="rId2" o:title=""/>
      </v:shape>
    </w:pict>
  </w:numPicBullet>
  <w:numPicBullet w:numPicBulletId="2">
    <w:pict>
      <v:shape id="_x0000_i1028" type="#_x0000_t75" style="width:36.75pt;height:28.5pt;visibility:visible;mso-wrap-style:square" o:bullet="t">
        <v:imagedata r:id="rId3" o:title=""/>
      </v:shape>
    </w:pict>
  </w:numPicBullet>
  <w:numPicBullet w:numPicBulletId="3">
    <w:pict>
      <v:shape id="_x0000_i1029" type="#_x0000_t75" style="width:35.25pt;height:28.5pt;visibility:visible;mso-wrap-style:square" o:bullet="t">
        <v:imagedata r:id="rId4" o:title=""/>
      </v:shape>
    </w:pict>
  </w:numPicBullet>
  <w:numPicBullet w:numPicBulletId="4">
    <w:pict>
      <v:shape id="_x0000_i1030" type="#_x0000_t75" style="width:38.25pt;height:28.5pt;visibility:visible;mso-wrap-style:square" o:bullet="t">
        <v:imagedata r:id="rId5" o:title=""/>
      </v:shape>
    </w:pict>
  </w:numPicBullet>
  <w:abstractNum w:abstractNumId="0" w15:restartNumberingAfterBreak="0">
    <w:nsid w:val="042D6B6A"/>
    <w:multiLevelType w:val="hybridMultilevel"/>
    <w:tmpl w:val="D1E856C6"/>
    <w:lvl w:ilvl="0" w:tplc="452AEB70">
      <w:start w:val="4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46637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D50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25DA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AAD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6AA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C75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C007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9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757E8"/>
    <w:multiLevelType w:val="multilevel"/>
    <w:tmpl w:val="538C9F6C"/>
    <w:lvl w:ilvl="0">
      <w:start w:val="21"/>
      <w:numFmt w:val="decimal"/>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E5CA0"/>
    <w:multiLevelType w:val="hybridMultilevel"/>
    <w:tmpl w:val="4664F716"/>
    <w:lvl w:ilvl="0" w:tplc="A44A31A4">
      <w:start w:val="1"/>
      <w:numFmt w:val="bullet"/>
      <w:lvlText w:val=""/>
      <w:lvlPicBulletId w:val="3"/>
      <w:lvlJc w:val="left"/>
      <w:pPr>
        <w:tabs>
          <w:tab w:val="num" w:pos="720"/>
        </w:tabs>
        <w:ind w:left="720" w:hanging="360"/>
      </w:pPr>
      <w:rPr>
        <w:rFonts w:ascii="Symbol" w:hAnsi="Symbol" w:hint="default"/>
      </w:rPr>
    </w:lvl>
    <w:lvl w:ilvl="1" w:tplc="AA004502" w:tentative="1">
      <w:start w:val="1"/>
      <w:numFmt w:val="bullet"/>
      <w:lvlText w:val=""/>
      <w:lvlJc w:val="left"/>
      <w:pPr>
        <w:tabs>
          <w:tab w:val="num" w:pos="1440"/>
        </w:tabs>
        <w:ind w:left="1440" w:hanging="360"/>
      </w:pPr>
      <w:rPr>
        <w:rFonts w:ascii="Symbol" w:hAnsi="Symbol" w:hint="default"/>
      </w:rPr>
    </w:lvl>
    <w:lvl w:ilvl="2" w:tplc="E9D8BE48" w:tentative="1">
      <w:start w:val="1"/>
      <w:numFmt w:val="bullet"/>
      <w:lvlText w:val=""/>
      <w:lvlJc w:val="left"/>
      <w:pPr>
        <w:tabs>
          <w:tab w:val="num" w:pos="2160"/>
        </w:tabs>
        <w:ind w:left="2160" w:hanging="360"/>
      </w:pPr>
      <w:rPr>
        <w:rFonts w:ascii="Symbol" w:hAnsi="Symbol" w:hint="default"/>
      </w:rPr>
    </w:lvl>
    <w:lvl w:ilvl="3" w:tplc="432A3910" w:tentative="1">
      <w:start w:val="1"/>
      <w:numFmt w:val="bullet"/>
      <w:lvlText w:val=""/>
      <w:lvlJc w:val="left"/>
      <w:pPr>
        <w:tabs>
          <w:tab w:val="num" w:pos="2880"/>
        </w:tabs>
        <w:ind w:left="2880" w:hanging="360"/>
      </w:pPr>
      <w:rPr>
        <w:rFonts w:ascii="Symbol" w:hAnsi="Symbol" w:hint="default"/>
      </w:rPr>
    </w:lvl>
    <w:lvl w:ilvl="4" w:tplc="7D407920" w:tentative="1">
      <w:start w:val="1"/>
      <w:numFmt w:val="bullet"/>
      <w:lvlText w:val=""/>
      <w:lvlJc w:val="left"/>
      <w:pPr>
        <w:tabs>
          <w:tab w:val="num" w:pos="3600"/>
        </w:tabs>
        <w:ind w:left="3600" w:hanging="360"/>
      </w:pPr>
      <w:rPr>
        <w:rFonts w:ascii="Symbol" w:hAnsi="Symbol" w:hint="default"/>
      </w:rPr>
    </w:lvl>
    <w:lvl w:ilvl="5" w:tplc="36F6D4D2" w:tentative="1">
      <w:start w:val="1"/>
      <w:numFmt w:val="bullet"/>
      <w:lvlText w:val=""/>
      <w:lvlJc w:val="left"/>
      <w:pPr>
        <w:tabs>
          <w:tab w:val="num" w:pos="4320"/>
        </w:tabs>
        <w:ind w:left="4320" w:hanging="360"/>
      </w:pPr>
      <w:rPr>
        <w:rFonts w:ascii="Symbol" w:hAnsi="Symbol" w:hint="default"/>
      </w:rPr>
    </w:lvl>
    <w:lvl w:ilvl="6" w:tplc="0D3ACB8E" w:tentative="1">
      <w:start w:val="1"/>
      <w:numFmt w:val="bullet"/>
      <w:lvlText w:val=""/>
      <w:lvlJc w:val="left"/>
      <w:pPr>
        <w:tabs>
          <w:tab w:val="num" w:pos="5040"/>
        </w:tabs>
        <w:ind w:left="5040" w:hanging="360"/>
      </w:pPr>
      <w:rPr>
        <w:rFonts w:ascii="Symbol" w:hAnsi="Symbol" w:hint="default"/>
      </w:rPr>
    </w:lvl>
    <w:lvl w:ilvl="7" w:tplc="C21E7E58" w:tentative="1">
      <w:start w:val="1"/>
      <w:numFmt w:val="bullet"/>
      <w:lvlText w:val=""/>
      <w:lvlJc w:val="left"/>
      <w:pPr>
        <w:tabs>
          <w:tab w:val="num" w:pos="5760"/>
        </w:tabs>
        <w:ind w:left="5760" w:hanging="360"/>
      </w:pPr>
      <w:rPr>
        <w:rFonts w:ascii="Symbol" w:hAnsi="Symbol" w:hint="default"/>
      </w:rPr>
    </w:lvl>
    <w:lvl w:ilvl="8" w:tplc="56905AC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CD1710"/>
    <w:multiLevelType w:val="hybridMultilevel"/>
    <w:tmpl w:val="77F8D352"/>
    <w:lvl w:ilvl="0" w:tplc="3B86E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5C4"/>
    <w:multiLevelType w:val="hybridMultilevel"/>
    <w:tmpl w:val="10BC5F38"/>
    <w:lvl w:ilvl="0" w:tplc="591E4C00">
      <w:start w:val="1"/>
      <w:numFmt w:val="lowerLetter"/>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10A8F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8468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A0836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C18D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4F12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2785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0F90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C1E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434103"/>
    <w:multiLevelType w:val="hybridMultilevel"/>
    <w:tmpl w:val="848EA36A"/>
    <w:lvl w:ilvl="0" w:tplc="83CE0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94440"/>
    <w:multiLevelType w:val="hybridMultilevel"/>
    <w:tmpl w:val="2B56E24E"/>
    <w:lvl w:ilvl="0" w:tplc="B3D0E15E">
      <w:start w:val="6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843A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685D72">
      <w:start w:val="7"/>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CF1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A658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0C46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4764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8E8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AA91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59036F"/>
    <w:multiLevelType w:val="multilevel"/>
    <w:tmpl w:val="EA240F40"/>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206C8D"/>
    <w:multiLevelType w:val="hybridMultilevel"/>
    <w:tmpl w:val="58B0CF16"/>
    <w:lvl w:ilvl="0" w:tplc="F984C47E">
      <w:start w:val="49"/>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A690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09D14">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EC98">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AAB1E">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668F4">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48130">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68906">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275F0">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3D1FFE"/>
    <w:multiLevelType w:val="hybridMultilevel"/>
    <w:tmpl w:val="3398CD4E"/>
    <w:lvl w:ilvl="0" w:tplc="BEE02AE4">
      <w:start w:val="1"/>
      <w:numFmt w:val="bullet"/>
      <w:lvlText w:val=""/>
      <w:lvlPicBulletId w:val="2"/>
      <w:lvlJc w:val="left"/>
      <w:pPr>
        <w:tabs>
          <w:tab w:val="num" w:pos="720"/>
        </w:tabs>
        <w:ind w:left="720" w:hanging="360"/>
      </w:pPr>
      <w:rPr>
        <w:rFonts w:ascii="Symbol" w:hAnsi="Symbol" w:hint="default"/>
      </w:rPr>
    </w:lvl>
    <w:lvl w:ilvl="1" w:tplc="BFE65C3A" w:tentative="1">
      <w:start w:val="1"/>
      <w:numFmt w:val="bullet"/>
      <w:lvlText w:val=""/>
      <w:lvlJc w:val="left"/>
      <w:pPr>
        <w:tabs>
          <w:tab w:val="num" w:pos="1440"/>
        </w:tabs>
        <w:ind w:left="1440" w:hanging="360"/>
      </w:pPr>
      <w:rPr>
        <w:rFonts w:ascii="Symbol" w:hAnsi="Symbol" w:hint="default"/>
      </w:rPr>
    </w:lvl>
    <w:lvl w:ilvl="2" w:tplc="B6AECCB2" w:tentative="1">
      <w:start w:val="1"/>
      <w:numFmt w:val="bullet"/>
      <w:lvlText w:val=""/>
      <w:lvlJc w:val="left"/>
      <w:pPr>
        <w:tabs>
          <w:tab w:val="num" w:pos="2160"/>
        </w:tabs>
        <w:ind w:left="2160" w:hanging="360"/>
      </w:pPr>
      <w:rPr>
        <w:rFonts w:ascii="Symbol" w:hAnsi="Symbol" w:hint="default"/>
      </w:rPr>
    </w:lvl>
    <w:lvl w:ilvl="3" w:tplc="6E5E977C" w:tentative="1">
      <w:start w:val="1"/>
      <w:numFmt w:val="bullet"/>
      <w:lvlText w:val=""/>
      <w:lvlJc w:val="left"/>
      <w:pPr>
        <w:tabs>
          <w:tab w:val="num" w:pos="2880"/>
        </w:tabs>
        <w:ind w:left="2880" w:hanging="360"/>
      </w:pPr>
      <w:rPr>
        <w:rFonts w:ascii="Symbol" w:hAnsi="Symbol" w:hint="default"/>
      </w:rPr>
    </w:lvl>
    <w:lvl w:ilvl="4" w:tplc="DDF0FC72" w:tentative="1">
      <w:start w:val="1"/>
      <w:numFmt w:val="bullet"/>
      <w:lvlText w:val=""/>
      <w:lvlJc w:val="left"/>
      <w:pPr>
        <w:tabs>
          <w:tab w:val="num" w:pos="3600"/>
        </w:tabs>
        <w:ind w:left="3600" w:hanging="360"/>
      </w:pPr>
      <w:rPr>
        <w:rFonts w:ascii="Symbol" w:hAnsi="Symbol" w:hint="default"/>
      </w:rPr>
    </w:lvl>
    <w:lvl w:ilvl="5" w:tplc="684CC68E" w:tentative="1">
      <w:start w:val="1"/>
      <w:numFmt w:val="bullet"/>
      <w:lvlText w:val=""/>
      <w:lvlJc w:val="left"/>
      <w:pPr>
        <w:tabs>
          <w:tab w:val="num" w:pos="4320"/>
        </w:tabs>
        <w:ind w:left="4320" w:hanging="360"/>
      </w:pPr>
      <w:rPr>
        <w:rFonts w:ascii="Symbol" w:hAnsi="Symbol" w:hint="default"/>
      </w:rPr>
    </w:lvl>
    <w:lvl w:ilvl="6" w:tplc="DADE3042" w:tentative="1">
      <w:start w:val="1"/>
      <w:numFmt w:val="bullet"/>
      <w:lvlText w:val=""/>
      <w:lvlJc w:val="left"/>
      <w:pPr>
        <w:tabs>
          <w:tab w:val="num" w:pos="5040"/>
        </w:tabs>
        <w:ind w:left="5040" w:hanging="360"/>
      </w:pPr>
      <w:rPr>
        <w:rFonts w:ascii="Symbol" w:hAnsi="Symbol" w:hint="default"/>
      </w:rPr>
    </w:lvl>
    <w:lvl w:ilvl="7" w:tplc="A802C52E" w:tentative="1">
      <w:start w:val="1"/>
      <w:numFmt w:val="bullet"/>
      <w:lvlText w:val=""/>
      <w:lvlJc w:val="left"/>
      <w:pPr>
        <w:tabs>
          <w:tab w:val="num" w:pos="5760"/>
        </w:tabs>
        <w:ind w:left="5760" w:hanging="360"/>
      </w:pPr>
      <w:rPr>
        <w:rFonts w:ascii="Symbol" w:hAnsi="Symbol" w:hint="default"/>
      </w:rPr>
    </w:lvl>
    <w:lvl w:ilvl="8" w:tplc="F9745C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DC513D"/>
    <w:multiLevelType w:val="multilevel"/>
    <w:tmpl w:val="DEF8717A"/>
    <w:lvl w:ilvl="0">
      <w:start w:val="18"/>
      <w:numFmt w:val="decimal"/>
      <w:lvlText w:val="%1."/>
      <w:lvlJc w:val="left"/>
      <w:pPr>
        <w:tabs>
          <w:tab w:val="num" w:pos="1530"/>
        </w:tabs>
        <w:ind w:left="1602" w:firstLine="0"/>
      </w:pPr>
      <w:rPr>
        <w:rFonts w:ascii="Times New Roman" w:eastAsia="Times New Roman" w:hAnsi="Times New Roman" w:hint="default"/>
        <w:strike w:val="0"/>
        <w:color w:val="000000"/>
        <w:spacing w:val="0"/>
        <w:w w:val="100"/>
        <w:sz w:val="26"/>
        <w:szCs w:val="26"/>
        <w:vertAlign w:val="baseline"/>
        <w:lang w:val="en-US"/>
      </w:rPr>
    </w:lvl>
    <w:lvl w:ilvl="1">
      <w:numFmt w:val="decimal"/>
      <w:lvlText w:val=""/>
      <w:lvlJc w:val="left"/>
      <w:pPr>
        <w:ind w:left="882" w:firstLine="0"/>
      </w:pPr>
      <w:rPr>
        <w:rFonts w:hint="default"/>
      </w:rPr>
    </w:lvl>
    <w:lvl w:ilvl="2">
      <w:numFmt w:val="decimal"/>
      <w:lvlText w:val=""/>
      <w:lvlJc w:val="left"/>
      <w:pPr>
        <w:ind w:left="882" w:firstLine="0"/>
      </w:pPr>
      <w:rPr>
        <w:rFonts w:hint="default"/>
      </w:rPr>
    </w:lvl>
    <w:lvl w:ilvl="3">
      <w:numFmt w:val="decimal"/>
      <w:lvlText w:val=""/>
      <w:lvlJc w:val="left"/>
      <w:pPr>
        <w:ind w:left="882" w:firstLine="0"/>
      </w:pPr>
      <w:rPr>
        <w:rFonts w:hint="default"/>
      </w:rPr>
    </w:lvl>
    <w:lvl w:ilvl="4">
      <w:numFmt w:val="decimal"/>
      <w:lvlText w:val=""/>
      <w:lvlJc w:val="left"/>
      <w:pPr>
        <w:ind w:left="882" w:firstLine="0"/>
      </w:pPr>
      <w:rPr>
        <w:rFonts w:hint="default"/>
      </w:rPr>
    </w:lvl>
    <w:lvl w:ilvl="5">
      <w:numFmt w:val="decimal"/>
      <w:lvlText w:val=""/>
      <w:lvlJc w:val="left"/>
      <w:pPr>
        <w:ind w:left="882" w:firstLine="0"/>
      </w:pPr>
      <w:rPr>
        <w:rFonts w:hint="default"/>
      </w:rPr>
    </w:lvl>
    <w:lvl w:ilvl="6">
      <w:numFmt w:val="decimal"/>
      <w:lvlText w:val=""/>
      <w:lvlJc w:val="left"/>
      <w:pPr>
        <w:ind w:left="882" w:firstLine="0"/>
      </w:pPr>
      <w:rPr>
        <w:rFonts w:hint="default"/>
      </w:rPr>
    </w:lvl>
    <w:lvl w:ilvl="7">
      <w:numFmt w:val="decimal"/>
      <w:lvlText w:val=""/>
      <w:lvlJc w:val="left"/>
      <w:pPr>
        <w:ind w:left="882" w:firstLine="0"/>
      </w:pPr>
      <w:rPr>
        <w:rFonts w:hint="default"/>
      </w:rPr>
    </w:lvl>
    <w:lvl w:ilvl="8">
      <w:numFmt w:val="decimal"/>
      <w:lvlText w:val=""/>
      <w:lvlJc w:val="left"/>
      <w:pPr>
        <w:ind w:left="882" w:firstLine="0"/>
      </w:pPr>
      <w:rPr>
        <w:rFonts w:hint="default"/>
      </w:rPr>
    </w:lvl>
  </w:abstractNum>
  <w:abstractNum w:abstractNumId="12" w15:restartNumberingAfterBreak="0">
    <w:nsid w:val="403E4C1C"/>
    <w:multiLevelType w:val="hybridMultilevel"/>
    <w:tmpl w:val="1EF4FF0C"/>
    <w:lvl w:ilvl="0" w:tplc="0C324EE0">
      <w:start w:val="1"/>
      <w:numFmt w:val="bullet"/>
      <w:lvlText w:val=""/>
      <w:lvlPicBulletId w:val="1"/>
      <w:lvlJc w:val="left"/>
      <w:pPr>
        <w:tabs>
          <w:tab w:val="num" w:pos="720"/>
        </w:tabs>
        <w:ind w:left="720" w:hanging="360"/>
      </w:pPr>
      <w:rPr>
        <w:rFonts w:ascii="Symbol" w:hAnsi="Symbol" w:hint="default"/>
      </w:rPr>
    </w:lvl>
    <w:lvl w:ilvl="1" w:tplc="3994340A" w:tentative="1">
      <w:start w:val="1"/>
      <w:numFmt w:val="bullet"/>
      <w:lvlText w:val=""/>
      <w:lvlJc w:val="left"/>
      <w:pPr>
        <w:tabs>
          <w:tab w:val="num" w:pos="1440"/>
        </w:tabs>
        <w:ind w:left="1440" w:hanging="360"/>
      </w:pPr>
      <w:rPr>
        <w:rFonts w:ascii="Symbol" w:hAnsi="Symbol" w:hint="default"/>
      </w:rPr>
    </w:lvl>
    <w:lvl w:ilvl="2" w:tplc="D11250DE" w:tentative="1">
      <w:start w:val="1"/>
      <w:numFmt w:val="bullet"/>
      <w:lvlText w:val=""/>
      <w:lvlJc w:val="left"/>
      <w:pPr>
        <w:tabs>
          <w:tab w:val="num" w:pos="2160"/>
        </w:tabs>
        <w:ind w:left="2160" w:hanging="360"/>
      </w:pPr>
      <w:rPr>
        <w:rFonts w:ascii="Symbol" w:hAnsi="Symbol" w:hint="default"/>
      </w:rPr>
    </w:lvl>
    <w:lvl w:ilvl="3" w:tplc="B06839D0" w:tentative="1">
      <w:start w:val="1"/>
      <w:numFmt w:val="bullet"/>
      <w:lvlText w:val=""/>
      <w:lvlJc w:val="left"/>
      <w:pPr>
        <w:tabs>
          <w:tab w:val="num" w:pos="2880"/>
        </w:tabs>
        <w:ind w:left="2880" w:hanging="360"/>
      </w:pPr>
      <w:rPr>
        <w:rFonts w:ascii="Symbol" w:hAnsi="Symbol" w:hint="default"/>
      </w:rPr>
    </w:lvl>
    <w:lvl w:ilvl="4" w:tplc="6BA06626" w:tentative="1">
      <w:start w:val="1"/>
      <w:numFmt w:val="bullet"/>
      <w:lvlText w:val=""/>
      <w:lvlJc w:val="left"/>
      <w:pPr>
        <w:tabs>
          <w:tab w:val="num" w:pos="3600"/>
        </w:tabs>
        <w:ind w:left="3600" w:hanging="360"/>
      </w:pPr>
      <w:rPr>
        <w:rFonts w:ascii="Symbol" w:hAnsi="Symbol" w:hint="default"/>
      </w:rPr>
    </w:lvl>
    <w:lvl w:ilvl="5" w:tplc="35D8E8CA" w:tentative="1">
      <w:start w:val="1"/>
      <w:numFmt w:val="bullet"/>
      <w:lvlText w:val=""/>
      <w:lvlJc w:val="left"/>
      <w:pPr>
        <w:tabs>
          <w:tab w:val="num" w:pos="4320"/>
        </w:tabs>
        <w:ind w:left="4320" w:hanging="360"/>
      </w:pPr>
      <w:rPr>
        <w:rFonts w:ascii="Symbol" w:hAnsi="Symbol" w:hint="default"/>
      </w:rPr>
    </w:lvl>
    <w:lvl w:ilvl="6" w:tplc="4A7CF074" w:tentative="1">
      <w:start w:val="1"/>
      <w:numFmt w:val="bullet"/>
      <w:lvlText w:val=""/>
      <w:lvlJc w:val="left"/>
      <w:pPr>
        <w:tabs>
          <w:tab w:val="num" w:pos="5040"/>
        </w:tabs>
        <w:ind w:left="5040" w:hanging="360"/>
      </w:pPr>
      <w:rPr>
        <w:rFonts w:ascii="Symbol" w:hAnsi="Symbol" w:hint="default"/>
      </w:rPr>
    </w:lvl>
    <w:lvl w:ilvl="7" w:tplc="50624A22" w:tentative="1">
      <w:start w:val="1"/>
      <w:numFmt w:val="bullet"/>
      <w:lvlText w:val=""/>
      <w:lvlJc w:val="left"/>
      <w:pPr>
        <w:tabs>
          <w:tab w:val="num" w:pos="5760"/>
        </w:tabs>
        <w:ind w:left="5760" w:hanging="360"/>
      </w:pPr>
      <w:rPr>
        <w:rFonts w:ascii="Symbol" w:hAnsi="Symbol" w:hint="default"/>
      </w:rPr>
    </w:lvl>
    <w:lvl w:ilvl="8" w:tplc="8844330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D82594"/>
    <w:multiLevelType w:val="multilevel"/>
    <w:tmpl w:val="C712BB22"/>
    <w:lvl w:ilvl="0">
      <w:start w:val="25"/>
      <w:numFmt w:val="decimal"/>
      <w:lvlText w:val="%1."/>
      <w:lvlJc w:val="left"/>
      <w:pPr>
        <w:tabs>
          <w:tab w:val="left" w:pos="72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080FE7"/>
    <w:multiLevelType w:val="hybridMultilevel"/>
    <w:tmpl w:val="A5BE172A"/>
    <w:lvl w:ilvl="0" w:tplc="E5C40C2A">
      <w:start w:val="5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275D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E32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0E8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625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A56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6F19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E728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42D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23297B"/>
    <w:multiLevelType w:val="hybridMultilevel"/>
    <w:tmpl w:val="058C3CCA"/>
    <w:lvl w:ilvl="0" w:tplc="858026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8006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43964">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4C4E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6F65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2E2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25F5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A48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8217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E55946"/>
    <w:multiLevelType w:val="hybridMultilevel"/>
    <w:tmpl w:val="418AA15E"/>
    <w:lvl w:ilvl="0" w:tplc="FEACC092">
      <w:start w:val="1"/>
      <w:numFmt w:val="bullet"/>
      <w:lvlText w:val=""/>
      <w:lvlPicBulletId w:val="0"/>
      <w:lvlJc w:val="left"/>
      <w:pPr>
        <w:tabs>
          <w:tab w:val="num" w:pos="720"/>
        </w:tabs>
        <w:ind w:left="720" w:hanging="360"/>
      </w:pPr>
      <w:rPr>
        <w:rFonts w:ascii="Symbol" w:hAnsi="Symbol" w:hint="default"/>
      </w:rPr>
    </w:lvl>
    <w:lvl w:ilvl="1" w:tplc="3AB23F6A" w:tentative="1">
      <w:start w:val="1"/>
      <w:numFmt w:val="bullet"/>
      <w:lvlText w:val=""/>
      <w:lvlJc w:val="left"/>
      <w:pPr>
        <w:tabs>
          <w:tab w:val="num" w:pos="1440"/>
        </w:tabs>
        <w:ind w:left="1440" w:hanging="360"/>
      </w:pPr>
      <w:rPr>
        <w:rFonts w:ascii="Symbol" w:hAnsi="Symbol" w:hint="default"/>
      </w:rPr>
    </w:lvl>
    <w:lvl w:ilvl="2" w:tplc="4E18714E" w:tentative="1">
      <w:start w:val="1"/>
      <w:numFmt w:val="bullet"/>
      <w:lvlText w:val=""/>
      <w:lvlJc w:val="left"/>
      <w:pPr>
        <w:tabs>
          <w:tab w:val="num" w:pos="2160"/>
        </w:tabs>
        <w:ind w:left="2160" w:hanging="360"/>
      </w:pPr>
      <w:rPr>
        <w:rFonts w:ascii="Symbol" w:hAnsi="Symbol" w:hint="default"/>
      </w:rPr>
    </w:lvl>
    <w:lvl w:ilvl="3" w:tplc="4692DB54" w:tentative="1">
      <w:start w:val="1"/>
      <w:numFmt w:val="bullet"/>
      <w:lvlText w:val=""/>
      <w:lvlJc w:val="left"/>
      <w:pPr>
        <w:tabs>
          <w:tab w:val="num" w:pos="2880"/>
        </w:tabs>
        <w:ind w:left="2880" w:hanging="360"/>
      </w:pPr>
      <w:rPr>
        <w:rFonts w:ascii="Symbol" w:hAnsi="Symbol" w:hint="default"/>
      </w:rPr>
    </w:lvl>
    <w:lvl w:ilvl="4" w:tplc="C3C63C8E" w:tentative="1">
      <w:start w:val="1"/>
      <w:numFmt w:val="bullet"/>
      <w:lvlText w:val=""/>
      <w:lvlJc w:val="left"/>
      <w:pPr>
        <w:tabs>
          <w:tab w:val="num" w:pos="3600"/>
        </w:tabs>
        <w:ind w:left="3600" w:hanging="360"/>
      </w:pPr>
      <w:rPr>
        <w:rFonts w:ascii="Symbol" w:hAnsi="Symbol" w:hint="default"/>
      </w:rPr>
    </w:lvl>
    <w:lvl w:ilvl="5" w:tplc="6B0C2CBC" w:tentative="1">
      <w:start w:val="1"/>
      <w:numFmt w:val="bullet"/>
      <w:lvlText w:val=""/>
      <w:lvlJc w:val="left"/>
      <w:pPr>
        <w:tabs>
          <w:tab w:val="num" w:pos="4320"/>
        </w:tabs>
        <w:ind w:left="4320" w:hanging="360"/>
      </w:pPr>
      <w:rPr>
        <w:rFonts w:ascii="Symbol" w:hAnsi="Symbol" w:hint="default"/>
      </w:rPr>
    </w:lvl>
    <w:lvl w:ilvl="6" w:tplc="9B581708" w:tentative="1">
      <w:start w:val="1"/>
      <w:numFmt w:val="bullet"/>
      <w:lvlText w:val=""/>
      <w:lvlJc w:val="left"/>
      <w:pPr>
        <w:tabs>
          <w:tab w:val="num" w:pos="5040"/>
        </w:tabs>
        <w:ind w:left="5040" w:hanging="360"/>
      </w:pPr>
      <w:rPr>
        <w:rFonts w:ascii="Symbol" w:hAnsi="Symbol" w:hint="default"/>
      </w:rPr>
    </w:lvl>
    <w:lvl w:ilvl="7" w:tplc="EDCAEE0E" w:tentative="1">
      <w:start w:val="1"/>
      <w:numFmt w:val="bullet"/>
      <w:lvlText w:val=""/>
      <w:lvlJc w:val="left"/>
      <w:pPr>
        <w:tabs>
          <w:tab w:val="num" w:pos="5760"/>
        </w:tabs>
        <w:ind w:left="5760" w:hanging="360"/>
      </w:pPr>
      <w:rPr>
        <w:rFonts w:ascii="Symbol" w:hAnsi="Symbol" w:hint="default"/>
      </w:rPr>
    </w:lvl>
    <w:lvl w:ilvl="8" w:tplc="2CC00A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3EC4A05"/>
    <w:multiLevelType w:val="hybridMultilevel"/>
    <w:tmpl w:val="17FA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20BDE"/>
    <w:multiLevelType w:val="hybridMultilevel"/>
    <w:tmpl w:val="F378C678"/>
    <w:lvl w:ilvl="0" w:tplc="7F902AAA">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229F0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8C8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226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ADC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09DC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801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68E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A7E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22062C"/>
    <w:multiLevelType w:val="hybridMultilevel"/>
    <w:tmpl w:val="35184BCA"/>
    <w:lvl w:ilvl="0" w:tplc="E19A7990">
      <w:start w:val="1"/>
      <w:numFmt w:val="lowerLetter"/>
      <w:lvlText w:val="%1."/>
      <w:lvlJc w:val="left"/>
      <w:pPr>
        <w:ind w:left="2160" w:hanging="720"/>
      </w:pPr>
      <w:rPr>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A8F5728"/>
    <w:multiLevelType w:val="multilevel"/>
    <w:tmpl w:val="B5809244"/>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F0700C"/>
    <w:multiLevelType w:val="multilevel"/>
    <w:tmpl w:val="DE085AF2"/>
    <w:lvl w:ilvl="0">
      <w:start w:val="38"/>
      <w:numFmt w:val="decimal"/>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C559A1"/>
    <w:multiLevelType w:val="hybridMultilevel"/>
    <w:tmpl w:val="B8D20552"/>
    <w:lvl w:ilvl="0" w:tplc="03807D8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06D7470"/>
    <w:multiLevelType w:val="multilevel"/>
    <w:tmpl w:val="862A5792"/>
    <w:lvl w:ilvl="0">
      <w:start w:val="31"/>
      <w:numFmt w:val="decimal"/>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2F1E38"/>
    <w:multiLevelType w:val="hybridMultilevel"/>
    <w:tmpl w:val="1CB23AC4"/>
    <w:lvl w:ilvl="0" w:tplc="ED5A1716">
      <w:start w:val="1"/>
      <w:numFmt w:val="bullet"/>
      <w:lvlText w:val=""/>
      <w:lvlPicBulletId w:val="4"/>
      <w:lvlJc w:val="left"/>
      <w:pPr>
        <w:tabs>
          <w:tab w:val="num" w:pos="720"/>
        </w:tabs>
        <w:ind w:left="720" w:hanging="360"/>
      </w:pPr>
      <w:rPr>
        <w:rFonts w:ascii="Symbol" w:hAnsi="Symbol" w:hint="default"/>
      </w:rPr>
    </w:lvl>
    <w:lvl w:ilvl="1" w:tplc="2B5A9996" w:tentative="1">
      <w:start w:val="1"/>
      <w:numFmt w:val="bullet"/>
      <w:lvlText w:val=""/>
      <w:lvlJc w:val="left"/>
      <w:pPr>
        <w:tabs>
          <w:tab w:val="num" w:pos="1440"/>
        </w:tabs>
        <w:ind w:left="1440" w:hanging="360"/>
      </w:pPr>
      <w:rPr>
        <w:rFonts w:ascii="Symbol" w:hAnsi="Symbol" w:hint="default"/>
      </w:rPr>
    </w:lvl>
    <w:lvl w:ilvl="2" w:tplc="7B82A1D8" w:tentative="1">
      <w:start w:val="1"/>
      <w:numFmt w:val="bullet"/>
      <w:lvlText w:val=""/>
      <w:lvlJc w:val="left"/>
      <w:pPr>
        <w:tabs>
          <w:tab w:val="num" w:pos="2160"/>
        </w:tabs>
        <w:ind w:left="2160" w:hanging="360"/>
      </w:pPr>
      <w:rPr>
        <w:rFonts w:ascii="Symbol" w:hAnsi="Symbol" w:hint="default"/>
      </w:rPr>
    </w:lvl>
    <w:lvl w:ilvl="3" w:tplc="4E9626B4" w:tentative="1">
      <w:start w:val="1"/>
      <w:numFmt w:val="bullet"/>
      <w:lvlText w:val=""/>
      <w:lvlJc w:val="left"/>
      <w:pPr>
        <w:tabs>
          <w:tab w:val="num" w:pos="2880"/>
        </w:tabs>
        <w:ind w:left="2880" w:hanging="360"/>
      </w:pPr>
      <w:rPr>
        <w:rFonts w:ascii="Symbol" w:hAnsi="Symbol" w:hint="default"/>
      </w:rPr>
    </w:lvl>
    <w:lvl w:ilvl="4" w:tplc="19A88C58" w:tentative="1">
      <w:start w:val="1"/>
      <w:numFmt w:val="bullet"/>
      <w:lvlText w:val=""/>
      <w:lvlJc w:val="left"/>
      <w:pPr>
        <w:tabs>
          <w:tab w:val="num" w:pos="3600"/>
        </w:tabs>
        <w:ind w:left="3600" w:hanging="360"/>
      </w:pPr>
      <w:rPr>
        <w:rFonts w:ascii="Symbol" w:hAnsi="Symbol" w:hint="default"/>
      </w:rPr>
    </w:lvl>
    <w:lvl w:ilvl="5" w:tplc="9DBE19FE" w:tentative="1">
      <w:start w:val="1"/>
      <w:numFmt w:val="bullet"/>
      <w:lvlText w:val=""/>
      <w:lvlJc w:val="left"/>
      <w:pPr>
        <w:tabs>
          <w:tab w:val="num" w:pos="4320"/>
        </w:tabs>
        <w:ind w:left="4320" w:hanging="360"/>
      </w:pPr>
      <w:rPr>
        <w:rFonts w:ascii="Symbol" w:hAnsi="Symbol" w:hint="default"/>
      </w:rPr>
    </w:lvl>
    <w:lvl w:ilvl="6" w:tplc="880A52A6" w:tentative="1">
      <w:start w:val="1"/>
      <w:numFmt w:val="bullet"/>
      <w:lvlText w:val=""/>
      <w:lvlJc w:val="left"/>
      <w:pPr>
        <w:tabs>
          <w:tab w:val="num" w:pos="5040"/>
        </w:tabs>
        <w:ind w:left="5040" w:hanging="360"/>
      </w:pPr>
      <w:rPr>
        <w:rFonts w:ascii="Symbol" w:hAnsi="Symbol" w:hint="default"/>
      </w:rPr>
    </w:lvl>
    <w:lvl w:ilvl="7" w:tplc="12D4B9D6" w:tentative="1">
      <w:start w:val="1"/>
      <w:numFmt w:val="bullet"/>
      <w:lvlText w:val=""/>
      <w:lvlJc w:val="left"/>
      <w:pPr>
        <w:tabs>
          <w:tab w:val="num" w:pos="5760"/>
        </w:tabs>
        <w:ind w:left="5760" w:hanging="360"/>
      </w:pPr>
      <w:rPr>
        <w:rFonts w:ascii="Symbol" w:hAnsi="Symbol" w:hint="default"/>
      </w:rPr>
    </w:lvl>
    <w:lvl w:ilvl="8" w:tplc="E4A408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696501D"/>
    <w:multiLevelType w:val="multilevel"/>
    <w:tmpl w:val="D4CE962C"/>
    <w:lvl w:ilvl="0">
      <w:start w:val="3"/>
      <w:numFmt w:val="lowerRoman"/>
      <w:lvlText w:val="(%1)"/>
      <w:lvlJc w:val="left"/>
      <w:pPr>
        <w:tabs>
          <w:tab w:val="left" w:pos="720"/>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097399"/>
    <w:multiLevelType w:val="hybridMultilevel"/>
    <w:tmpl w:val="30FC9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13B344A"/>
    <w:multiLevelType w:val="hybridMultilevel"/>
    <w:tmpl w:val="D5A4B248"/>
    <w:lvl w:ilvl="0" w:tplc="3C247E96">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5BD1C9D"/>
    <w:multiLevelType w:val="multilevel"/>
    <w:tmpl w:val="FDF2EBE4"/>
    <w:lvl w:ilvl="0">
      <w:start w:val="41"/>
      <w:numFmt w:val="decimal"/>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62739"/>
    <w:multiLevelType w:val="hybridMultilevel"/>
    <w:tmpl w:val="DF38E1D0"/>
    <w:lvl w:ilvl="0" w:tplc="A2D687D6">
      <w:start w:val="5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9A5A8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E432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EC78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419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0D8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EB6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A24DE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074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65047B"/>
    <w:multiLevelType w:val="hybridMultilevel"/>
    <w:tmpl w:val="D2CA1572"/>
    <w:lvl w:ilvl="0" w:tplc="5040083A">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86C4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CC7B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6042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AC8F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ACCB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FC5FD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E257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049B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26"/>
  </w:num>
  <w:num w:numId="4">
    <w:abstractNumId w:val="22"/>
  </w:num>
  <w:num w:numId="5">
    <w:abstractNumId w:val="18"/>
  </w:num>
  <w:num w:numId="6">
    <w:abstractNumId w:val="0"/>
  </w:num>
  <w:num w:numId="7">
    <w:abstractNumId w:val="9"/>
  </w:num>
  <w:num w:numId="8">
    <w:abstractNumId w:val="29"/>
  </w:num>
  <w:num w:numId="9">
    <w:abstractNumId w:val="14"/>
  </w:num>
  <w:num w:numId="10">
    <w:abstractNumId w:val="4"/>
  </w:num>
  <w:num w:numId="11">
    <w:abstractNumId w:val="6"/>
  </w:num>
  <w:num w:numId="12">
    <w:abstractNumId w:val="15"/>
  </w:num>
  <w:num w:numId="13">
    <w:abstractNumId w:val="16"/>
  </w:num>
  <w:num w:numId="14">
    <w:abstractNumId w:val="12"/>
  </w:num>
  <w:num w:numId="15">
    <w:abstractNumId w:val="10"/>
  </w:num>
  <w:num w:numId="16">
    <w:abstractNumId w:val="2"/>
  </w:num>
  <w:num w:numId="17">
    <w:abstractNumId w:val="24"/>
  </w:num>
  <w:num w:numId="18">
    <w:abstractNumId w:val="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0"/>
  </w:num>
  <w:num w:numId="23">
    <w:abstractNumId w:val="11"/>
  </w:num>
  <w:num w:numId="24">
    <w:abstractNumId w:val="1"/>
  </w:num>
  <w:num w:numId="25">
    <w:abstractNumId w:val="8"/>
  </w:num>
  <w:num w:numId="26">
    <w:abstractNumId w:val="25"/>
  </w:num>
  <w:num w:numId="27">
    <w:abstractNumId w:val="13"/>
  </w:num>
  <w:num w:numId="28">
    <w:abstractNumId w:val="20"/>
  </w:num>
  <w:num w:numId="29">
    <w:abstractNumId w:val="23"/>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2F"/>
    <w:rsid w:val="000000FF"/>
    <w:rsid w:val="00001785"/>
    <w:rsid w:val="00002C5F"/>
    <w:rsid w:val="00002D1D"/>
    <w:rsid w:val="0000402E"/>
    <w:rsid w:val="000048AA"/>
    <w:rsid w:val="00004E6C"/>
    <w:rsid w:val="00005B8D"/>
    <w:rsid w:val="00005E33"/>
    <w:rsid w:val="000067B2"/>
    <w:rsid w:val="000073FC"/>
    <w:rsid w:val="00007A87"/>
    <w:rsid w:val="0001192D"/>
    <w:rsid w:val="00011A45"/>
    <w:rsid w:val="000127F8"/>
    <w:rsid w:val="00012C63"/>
    <w:rsid w:val="00013B5E"/>
    <w:rsid w:val="0001441B"/>
    <w:rsid w:val="00015C1D"/>
    <w:rsid w:val="000164BE"/>
    <w:rsid w:val="00016802"/>
    <w:rsid w:val="00017F82"/>
    <w:rsid w:val="00020067"/>
    <w:rsid w:val="00020CD5"/>
    <w:rsid w:val="000235AB"/>
    <w:rsid w:val="00023E27"/>
    <w:rsid w:val="00025079"/>
    <w:rsid w:val="000250BB"/>
    <w:rsid w:val="00025553"/>
    <w:rsid w:val="000264B4"/>
    <w:rsid w:val="00027C78"/>
    <w:rsid w:val="0003121C"/>
    <w:rsid w:val="00031374"/>
    <w:rsid w:val="00031BF3"/>
    <w:rsid w:val="00034C95"/>
    <w:rsid w:val="00036D08"/>
    <w:rsid w:val="000370EC"/>
    <w:rsid w:val="0003713E"/>
    <w:rsid w:val="000377E2"/>
    <w:rsid w:val="00040A43"/>
    <w:rsid w:val="0004302C"/>
    <w:rsid w:val="000448E8"/>
    <w:rsid w:val="00044E16"/>
    <w:rsid w:val="00045600"/>
    <w:rsid w:val="00046BE5"/>
    <w:rsid w:val="000473BB"/>
    <w:rsid w:val="00050FB0"/>
    <w:rsid w:val="00051C34"/>
    <w:rsid w:val="00052048"/>
    <w:rsid w:val="00052787"/>
    <w:rsid w:val="00052821"/>
    <w:rsid w:val="000528EE"/>
    <w:rsid w:val="000549E2"/>
    <w:rsid w:val="000555AF"/>
    <w:rsid w:val="00060244"/>
    <w:rsid w:val="00060E78"/>
    <w:rsid w:val="00060ED1"/>
    <w:rsid w:val="000610C6"/>
    <w:rsid w:val="000613B5"/>
    <w:rsid w:val="00062076"/>
    <w:rsid w:val="00062E92"/>
    <w:rsid w:val="00063853"/>
    <w:rsid w:val="00064114"/>
    <w:rsid w:val="0006428F"/>
    <w:rsid w:val="00065E14"/>
    <w:rsid w:val="0006653F"/>
    <w:rsid w:val="0006695A"/>
    <w:rsid w:val="00066D53"/>
    <w:rsid w:val="000671A8"/>
    <w:rsid w:val="00067692"/>
    <w:rsid w:val="00070525"/>
    <w:rsid w:val="00070CCB"/>
    <w:rsid w:val="00070D3F"/>
    <w:rsid w:val="000712A8"/>
    <w:rsid w:val="00072791"/>
    <w:rsid w:val="00072DC9"/>
    <w:rsid w:val="00073B04"/>
    <w:rsid w:val="00073CCA"/>
    <w:rsid w:val="00075A15"/>
    <w:rsid w:val="00076973"/>
    <w:rsid w:val="00076987"/>
    <w:rsid w:val="000777A1"/>
    <w:rsid w:val="00077D72"/>
    <w:rsid w:val="00077FA4"/>
    <w:rsid w:val="00082120"/>
    <w:rsid w:val="00082519"/>
    <w:rsid w:val="00083657"/>
    <w:rsid w:val="00084C94"/>
    <w:rsid w:val="00085A13"/>
    <w:rsid w:val="00086299"/>
    <w:rsid w:val="0008677E"/>
    <w:rsid w:val="000868B0"/>
    <w:rsid w:val="000871BD"/>
    <w:rsid w:val="00087A06"/>
    <w:rsid w:val="00087D69"/>
    <w:rsid w:val="0009001E"/>
    <w:rsid w:val="00090780"/>
    <w:rsid w:val="0009151A"/>
    <w:rsid w:val="000918E2"/>
    <w:rsid w:val="000929CF"/>
    <w:rsid w:val="00093FF1"/>
    <w:rsid w:val="000941DF"/>
    <w:rsid w:val="00094289"/>
    <w:rsid w:val="00094756"/>
    <w:rsid w:val="00095773"/>
    <w:rsid w:val="00096838"/>
    <w:rsid w:val="000A0ADA"/>
    <w:rsid w:val="000A14EF"/>
    <w:rsid w:val="000A220D"/>
    <w:rsid w:val="000A2B23"/>
    <w:rsid w:val="000A4356"/>
    <w:rsid w:val="000A590F"/>
    <w:rsid w:val="000A5C68"/>
    <w:rsid w:val="000A5FA3"/>
    <w:rsid w:val="000A61ED"/>
    <w:rsid w:val="000A64D1"/>
    <w:rsid w:val="000A699E"/>
    <w:rsid w:val="000A6BF1"/>
    <w:rsid w:val="000A736A"/>
    <w:rsid w:val="000A7E57"/>
    <w:rsid w:val="000B0616"/>
    <w:rsid w:val="000B0C30"/>
    <w:rsid w:val="000B134D"/>
    <w:rsid w:val="000B1A1C"/>
    <w:rsid w:val="000B3762"/>
    <w:rsid w:val="000B3A02"/>
    <w:rsid w:val="000B3F20"/>
    <w:rsid w:val="000B497C"/>
    <w:rsid w:val="000B4A4D"/>
    <w:rsid w:val="000B6158"/>
    <w:rsid w:val="000C086D"/>
    <w:rsid w:val="000C0EDF"/>
    <w:rsid w:val="000C224D"/>
    <w:rsid w:val="000C326B"/>
    <w:rsid w:val="000C33F2"/>
    <w:rsid w:val="000C45E1"/>
    <w:rsid w:val="000C5C68"/>
    <w:rsid w:val="000C5D91"/>
    <w:rsid w:val="000C664F"/>
    <w:rsid w:val="000C6A14"/>
    <w:rsid w:val="000C6A8E"/>
    <w:rsid w:val="000C78D9"/>
    <w:rsid w:val="000C7ECB"/>
    <w:rsid w:val="000D00E5"/>
    <w:rsid w:val="000D0A5D"/>
    <w:rsid w:val="000D0B93"/>
    <w:rsid w:val="000D0C76"/>
    <w:rsid w:val="000D1606"/>
    <w:rsid w:val="000D2599"/>
    <w:rsid w:val="000D278E"/>
    <w:rsid w:val="000D3B92"/>
    <w:rsid w:val="000D3F24"/>
    <w:rsid w:val="000D4B68"/>
    <w:rsid w:val="000D5BDE"/>
    <w:rsid w:val="000D5C9C"/>
    <w:rsid w:val="000D5FA7"/>
    <w:rsid w:val="000D6B0F"/>
    <w:rsid w:val="000D6C2E"/>
    <w:rsid w:val="000D7E6B"/>
    <w:rsid w:val="000D7F53"/>
    <w:rsid w:val="000E172E"/>
    <w:rsid w:val="000E3E04"/>
    <w:rsid w:val="000E41C4"/>
    <w:rsid w:val="000E4D27"/>
    <w:rsid w:val="000E5729"/>
    <w:rsid w:val="000E5919"/>
    <w:rsid w:val="000E662B"/>
    <w:rsid w:val="000E702E"/>
    <w:rsid w:val="000E7687"/>
    <w:rsid w:val="000E7E68"/>
    <w:rsid w:val="000F04D8"/>
    <w:rsid w:val="000F06E7"/>
    <w:rsid w:val="000F21D3"/>
    <w:rsid w:val="000F2463"/>
    <w:rsid w:val="000F360E"/>
    <w:rsid w:val="000F4D30"/>
    <w:rsid w:val="000F5428"/>
    <w:rsid w:val="000F5449"/>
    <w:rsid w:val="000F5867"/>
    <w:rsid w:val="000F5907"/>
    <w:rsid w:val="000F7861"/>
    <w:rsid w:val="000F7CA3"/>
    <w:rsid w:val="00100FE7"/>
    <w:rsid w:val="001013F5"/>
    <w:rsid w:val="001015EC"/>
    <w:rsid w:val="001017BC"/>
    <w:rsid w:val="00101F8A"/>
    <w:rsid w:val="00103980"/>
    <w:rsid w:val="00104B5D"/>
    <w:rsid w:val="00105483"/>
    <w:rsid w:val="0010548C"/>
    <w:rsid w:val="0011274E"/>
    <w:rsid w:val="00112837"/>
    <w:rsid w:val="001132AE"/>
    <w:rsid w:val="00114948"/>
    <w:rsid w:val="00114DFC"/>
    <w:rsid w:val="001159FD"/>
    <w:rsid w:val="00115BB7"/>
    <w:rsid w:val="00116211"/>
    <w:rsid w:val="0011639A"/>
    <w:rsid w:val="00117BA1"/>
    <w:rsid w:val="001203D3"/>
    <w:rsid w:val="00120ABA"/>
    <w:rsid w:val="00121355"/>
    <w:rsid w:val="00122EA1"/>
    <w:rsid w:val="0012452D"/>
    <w:rsid w:val="001246FB"/>
    <w:rsid w:val="00125268"/>
    <w:rsid w:val="0012528B"/>
    <w:rsid w:val="001252C2"/>
    <w:rsid w:val="001259AA"/>
    <w:rsid w:val="00126A41"/>
    <w:rsid w:val="00127F5B"/>
    <w:rsid w:val="00130737"/>
    <w:rsid w:val="0013140A"/>
    <w:rsid w:val="00131B9A"/>
    <w:rsid w:val="00132212"/>
    <w:rsid w:val="00132239"/>
    <w:rsid w:val="0013236E"/>
    <w:rsid w:val="001330FA"/>
    <w:rsid w:val="00134D4F"/>
    <w:rsid w:val="00135876"/>
    <w:rsid w:val="00135D9F"/>
    <w:rsid w:val="0013642C"/>
    <w:rsid w:val="001406D5"/>
    <w:rsid w:val="00140AA5"/>
    <w:rsid w:val="001418F8"/>
    <w:rsid w:val="0014211E"/>
    <w:rsid w:val="00142530"/>
    <w:rsid w:val="00142709"/>
    <w:rsid w:val="00143D98"/>
    <w:rsid w:val="00144CD7"/>
    <w:rsid w:val="00144F50"/>
    <w:rsid w:val="001459A0"/>
    <w:rsid w:val="00146CDF"/>
    <w:rsid w:val="00146F80"/>
    <w:rsid w:val="001500AD"/>
    <w:rsid w:val="00151B88"/>
    <w:rsid w:val="00151DD1"/>
    <w:rsid w:val="0015233D"/>
    <w:rsid w:val="001524C8"/>
    <w:rsid w:val="00153543"/>
    <w:rsid w:val="00154E42"/>
    <w:rsid w:val="00154F0E"/>
    <w:rsid w:val="00155158"/>
    <w:rsid w:val="00155A2C"/>
    <w:rsid w:val="001563AD"/>
    <w:rsid w:val="00157BF8"/>
    <w:rsid w:val="0016054F"/>
    <w:rsid w:val="0016070D"/>
    <w:rsid w:val="001608F0"/>
    <w:rsid w:val="001614D0"/>
    <w:rsid w:val="00161DEF"/>
    <w:rsid w:val="001623E9"/>
    <w:rsid w:val="00162D00"/>
    <w:rsid w:val="00162FC1"/>
    <w:rsid w:val="00163B50"/>
    <w:rsid w:val="0016593C"/>
    <w:rsid w:val="00166031"/>
    <w:rsid w:val="001666B8"/>
    <w:rsid w:val="0017073E"/>
    <w:rsid w:val="00170A73"/>
    <w:rsid w:val="00171C3E"/>
    <w:rsid w:val="00172341"/>
    <w:rsid w:val="00172722"/>
    <w:rsid w:val="0017311C"/>
    <w:rsid w:val="00173D0D"/>
    <w:rsid w:val="00174EAB"/>
    <w:rsid w:val="0017545E"/>
    <w:rsid w:val="00175FD1"/>
    <w:rsid w:val="0017672F"/>
    <w:rsid w:val="00177147"/>
    <w:rsid w:val="00177219"/>
    <w:rsid w:val="00177B0E"/>
    <w:rsid w:val="00180237"/>
    <w:rsid w:val="001802FF"/>
    <w:rsid w:val="0018195D"/>
    <w:rsid w:val="0018264B"/>
    <w:rsid w:val="00182E03"/>
    <w:rsid w:val="001832C2"/>
    <w:rsid w:val="00183A3B"/>
    <w:rsid w:val="00183BD4"/>
    <w:rsid w:val="00184F7B"/>
    <w:rsid w:val="00185284"/>
    <w:rsid w:val="00190EA7"/>
    <w:rsid w:val="00192005"/>
    <w:rsid w:val="001927FD"/>
    <w:rsid w:val="00192B70"/>
    <w:rsid w:val="00192CC7"/>
    <w:rsid w:val="00192FF2"/>
    <w:rsid w:val="001949FA"/>
    <w:rsid w:val="00196568"/>
    <w:rsid w:val="00196CBC"/>
    <w:rsid w:val="00196DBD"/>
    <w:rsid w:val="0019782A"/>
    <w:rsid w:val="001A0B20"/>
    <w:rsid w:val="001A0EDC"/>
    <w:rsid w:val="001A0EFA"/>
    <w:rsid w:val="001A1059"/>
    <w:rsid w:val="001A15C2"/>
    <w:rsid w:val="001A2831"/>
    <w:rsid w:val="001A2CAB"/>
    <w:rsid w:val="001A35E4"/>
    <w:rsid w:val="001A3782"/>
    <w:rsid w:val="001A3808"/>
    <w:rsid w:val="001A40DB"/>
    <w:rsid w:val="001A4AAC"/>
    <w:rsid w:val="001A4DEF"/>
    <w:rsid w:val="001A4F4B"/>
    <w:rsid w:val="001A6397"/>
    <w:rsid w:val="001A64F9"/>
    <w:rsid w:val="001B005B"/>
    <w:rsid w:val="001B1134"/>
    <w:rsid w:val="001B1882"/>
    <w:rsid w:val="001B1CD9"/>
    <w:rsid w:val="001B2720"/>
    <w:rsid w:val="001B32FF"/>
    <w:rsid w:val="001B597F"/>
    <w:rsid w:val="001B5F1B"/>
    <w:rsid w:val="001B5FF1"/>
    <w:rsid w:val="001B6017"/>
    <w:rsid w:val="001B733D"/>
    <w:rsid w:val="001C092F"/>
    <w:rsid w:val="001C0AC5"/>
    <w:rsid w:val="001C2286"/>
    <w:rsid w:val="001C4644"/>
    <w:rsid w:val="001C5828"/>
    <w:rsid w:val="001C64A4"/>
    <w:rsid w:val="001C70D9"/>
    <w:rsid w:val="001C72AD"/>
    <w:rsid w:val="001C75AA"/>
    <w:rsid w:val="001C7BC7"/>
    <w:rsid w:val="001C7D94"/>
    <w:rsid w:val="001D07D5"/>
    <w:rsid w:val="001D0EFF"/>
    <w:rsid w:val="001D1482"/>
    <w:rsid w:val="001D293B"/>
    <w:rsid w:val="001D3C38"/>
    <w:rsid w:val="001D3E54"/>
    <w:rsid w:val="001D50CD"/>
    <w:rsid w:val="001D5B38"/>
    <w:rsid w:val="001D652D"/>
    <w:rsid w:val="001D69B2"/>
    <w:rsid w:val="001D747F"/>
    <w:rsid w:val="001D7916"/>
    <w:rsid w:val="001E0731"/>
    <w:rsid w:val="001E0D9C"/>
    <w:rsid w:val="001E1457"/>
    <w:rsid w:val="001E2E45"/>
    <w:rsid w:val="001E2E84"/>
    <w:rsid w:val="001E3E4D"/>
    <w:rsid w:val="001E4198"/>
    <w:rsid w:val="001E6244"/>
    <w:rsid w:val="001E73FA"/>
    <w:rsid w:val="001E75D5"/>
    <w:rsid w:val="001E76DD"/>
    <w:rsid w:val="001E7CBB"/>
    <w:rsid w:val="001F0465"/>
    <w:rsid w:val="001F1513"/>
    <w:rsid w:val="001F32A3"/>
    <w:rsid w:val="001F382D"/>
    <w:rsid w:val="001F3A96"/>
    <w:rsid w:val="001F616D"/>
    <w:rsid w:val="001F6F06"/>
    <w:rsid w:val="001F7740"/>
    <w:rsid w:val="00200594"/>
    <w:rsid w:val="00202E9E"/>
    <w:rsid w:val="0020322A"/>
    <w:rsid w:val="002035C4"/>
    <w:rsid w:val="002042BE"/>
    <w:rsid w:val="002043EF"/>
    <w:rsid w:val="00204942"/>
    <w:rsid w:val="00204F9F"/>
    <w:rsid w:val="00204FDA"/>
    <w:rsid w:val="00205DC4"/>
    <w:rsid w:val="00207103"/>
    <w:rsid w:val="00207E9D"/>
    <w:rsid w:val="00210E43"/>
    <w:rsid w:val="00211387"/>
    <w:rsid w:val="00211554"/>
    <w:rsid w:val="00211857"/>
    <w:rsid w:val="00211BAE"/>
    <w:rsid w:val="00211EC0"/>
    <w:rsid w:val="002134E5"/>
    <w:rsid w:val="002137D5"/>
    <w:rsid w:val="00213CAD"/>
    <w:rsid w:val="00213F5D"/>
    <w:rsid w:val="0021408E"/>
    <w:rsid w:val="0021444A"/>
    <w:rsid w:val="0021691D"/>
    <w:rsid w:val="00217E3F"/>
    <w:rsid w:val="00220213"/>
    <w:rsid w:val="0022239E"/>
    <w:rsid w:val="0022254D"/>
    <w:rsid w:val="0022280E"/>
    <w:rsid w:val="00222EB7"/>
    <w:rsid w:val="0022459D"/>
    <w:rsid w:val="00224711"/>
    <w:rsid w:val="0022535F"/>
    <w:rsid w:val="00225380"/>
    <w:rsid w:val="00225B87"/>
    <w:rsid w:val="00226AEC"/>
    <w:rsid w:val="00226CFE"/>
    <w:rsid w:val="002302B1"/>
    <w:rsid w:val="00230C73"/>
    <w:rsid w:val="00231350"/>
    <w:rsid w:val="002320B7"/>
    <w:rsid w:val="002320F3"/>
    <w:rsid w:val="0023332B"/>
    <w:rsid w:val="00233BBD"/>
    <w:rsid w:val="0023452F"/>
    <w:rsid w:val="0023466C"/>
    <w:rsid w:val="00235115"/>
    <w:rsid w:val="00235529"/>
    <w:rsid w:val="0023577F"/>
    <w:rsid w:val="00236695"/>
    <w:rsid w:val="00236D67"/>
    <w:rsid w:val="00237F6F"/>
    <w:rsid w:val="0024011D"/>
    <w:rsid w:val="00242CDE"/>
    <w:rsid w:val="002430C5"/>
    <w:rsid w:val="00243702"/>
    <w:rsid w:val="00244261"/>
    <w:rsid w:val="002442A2"/>
    <w:rsid w:val="0024491C"/>
    <w:rsid w:val="00244AF5"/>
    <w:rsid w:val="0024539E"/>
    <w:rsid w:val="00245ED2"/>
    <w:rsid w:val="00246270"/>
    <w:rsid w:val="0024703C"/>
    <w:rsid w:val="00247E69"/>
    <w:rsid w:val="002502B6"/>
    <w:rsid w:val="00250BED"/>
    <w:rsid w:val="00250C1C"/>
    <w:rsid w:val="00251253"/>
    <w:rsid w:val="0025163C"/>
    <w:rsid w:val="0025321B"/>
    <w:rsid w:val="00253860"/>
    <w:rsid w:val="00254BA1"/>
    <w:rsid w:val="00254F6F"/>
    <w:rsid w:val="0025723A"/>
    <w:rsid w:val="002573DB"/>
    <w:rsid w:val="002609A4"/>
    <w:rsid w:val="00262B66"/>
    <w:rsid w:val="00262D96"/>
    <w:rsid w:val="0026387F"/>
    <w:rsid w:val="00263AEA"/>
    <w:rsid w:val="00263E40"/>
    <w:rsid w:val="0026443F"/>
    <w:rsid w:val="00265C6D"/>
    <w:rsid w:val="002668A9"/>
    <w:rsid w:val="002668F9"/>
    <w:rsid w:val="00266BDA"/>
    <w:rsid w:val="00267882"/>
    <w:rsid w:val="002700A5"/>
    <w:rsid w:val="00271350"/>
    <w:rsid w:val="002719E1"/>
    <w:rsid w:val="00272F2D"/>
    <w:rsid w:val="0027383A"/>
    <w:rsid w:val="00273B84"/>
    <w:rsid w:val="00273C04"/>
    <w:rsid w:val="00276901"/>
    <w:rsid w:val="00276AA1"/>
    <w:rsid w:val="00276F87"/>
    <w:rsid w:val="00277201"/>
    <w:rsid w:val="0027793A"/>
    <w:rsid w:val="00277940"/>
    <w:rsid w:val="00277C62"/>
    <w:rsid w:val="00277FBD"/>
    <w:rsid w:val="002802D6"/>
    <w:rsid w:val="002806B8"/>
    <w:rsid w:val="00280E16"/>
    <w:rsid w:val="00281387"/>
    <w:rsid w:val="00282079"/>
    <w:rsid w:val="0028215E"/>
    <w:rsid w:val="00282CCB"/>
    <w:rsid w:val="00283EDB"/>
    <w:rsid w:val="00285058"/>
    <w:rsid w:val="002853EC"/>
    <w:rsid w:val="0028677F"/>
    <w:rsid w:val="00286A6B"/>
    <w:rsid w:val="00287091"/>
    <w:rsid w:val="0028749A"/>
    <w:rsid w:val="00287971"/>
    <w:rsid w:val="002912FC"/>
    <w:rsid w:val="00293A1E"/>
    <w:rsid w:val="00293C0B"/>
    <w:rsid w:val="00294592"/>
    <w:rsid w:val="00294C05"/>
    <w:rsid w:val="00295662"/>
    <w:rsid w:val="002958A0"/>
    <w:rsid w:val="00295A3D"/>
    <w:rsid w:val="00297772"/>
    <w:rsid w:val="00297E6D"/>
    <w:rsid w:val="002A019C"/>
    <w:rsid w:val="002A15DA"/>
    <w:rsid w:val="002A1AFC"/>
    <w:rsid w:val="002A1B4F"/>
    <w:rsid w:val="002A1D42"/>
    <w:rsid w:val="002A1E34"/>
    <w:rsid w:val="002A2066"/>
    <w:rsid w:val="002A2697"/>
    <w:rsid w:val="002A2DAE"/>
    <w:rsid w:val="002A3424"/>
    <w:rsid w:val="002A35AA"/>
    <w:rsid w:val="002A3712"/>
    <w:rsid w:val="002A40F1"/>
    <w:rsid w:val="002A429E"/>
    <w:rsid w:val="002A4B7F"/>
    <w:rsid w:val="002A52AD"/>
    <w:rsid w:val="002A5339"/>
    <w:rsid w:val="002A584C"/>
    <w:rsid w:val="002A5E6A"/>
    <w:rsid w:val="002A61EA"/>
    <w:rsid w:val="002A68F3"/>
    <w:rsid w:val="002A7CF8"/>
    <w:rsid w:val="002B0280"/>
    <w:rsid w:val="002B1479"/>
    <w:rsid w:val="002B16D2"/>
    <w:rsid w:val="002B1C9F"/>
    <w:rsid w:val="002B2CCA"/>
    <w:rsid w:val="002B4C0D"/>
    <w:rsid w:val="002B59F5"/>
    <w:rsid w:val="002B5BA5"/>
    <w:rsid w:val="002B6268"/>
    <w:rsid w:val="002B7746"/>
    <w:rsid w:val="002C0A76"/>
    <w:rsid w:val="002C0F56"/>
    <w:rsid w:val="002C2B63"/>
    <w:rsid w:val="002C36FE"/>
    <w:rsid w:val="002C37E4"/>
    <w:rsid w:val="002C3D0A"/>
    <w:rsid w:val="002C3D82"/>
    <w:rsid w:val="002C4C61"/>
    <w:rsid w:val="002C52F7"/>
    <w:rsid w:val="002C5C38"/>
    <w:rsid w:val="002C6578"/>
    <w:rsid w:val="002C678D"/>
    <w:rsid w:val="002C69C7"/>
    <w:rsid w:val="002C6BB8"/>
    <w:rsid w:val="002D0362"/>
    <w:rsid w:val="002D11DD"/>
    <w:rsid w:val="002D18A9"/>
    <w:rsid w:val="002D2959"/>
    <w:rsid w:val="002D2ADD"/>
    <w:rsid w:val="002D34D7"/>
    <w:rsid w:val="002D42CB"/>
    <w:rsid w:val="002D4372"/>
    <w:rsid w:val="002D4CA4"/>
    <w:rsid w:val="002D4DCD"/>
    <w:rsid w:val="002D57BE"/>
    <w:rsid w:val="002D60F2"/>
    <w:rsid w:val="002D6121"/>
    <w:rsid w:val="002D7EEF"/>
    <w:rsid w:val="002E003D"/>
    <w:rsid w:val="002E02C1"/>
    <w:rsid w:val="002E2D60"/>
    <w:rsid w:val="002E3F0C"/>
    <w:rsid w:val="002E511B"/>
    <w:rsid w:val="002E6CD6"/>
    <w:rsid w:val="002E7909"/>
    <w:rsid w:val="002F0822"/>
    <w:rsid w:val="002F1143"/>
    <w:rsid w:val="002F1490"/>
    <w:rsid w:val="002F1FB4"/>
    <w:rsid w:val="002F2BF6"/>
    <w:rsid w:val="002F2E78"/>
    <w:rsid w:val="002F3ADB"/>
    <w:rsid w:val="002F3CB0"/>
    <w:rsid w:val="002F40CC"/>
    <w:rsid w:val="002F5332"/>
    <w:rsid w:val="002F699F"/>
    <w:rsid w:val="002F75EB"/>
    <w:rsid w:val="002F7851"/>
    <w:rsid w:val="00300495"/>
    <w:rsid w:val="00300516"/>
    <w:rsid w:val="0030086F"/>
    <w:rsid w:val="00301570"/>
    <w:rsid w:val="00303873"/>
    <w:rsid w:val="00303FA2"/>
    <w:rsid w:val="00304004"/>
    <w:rsid w:val="0030464D"/>
    <w:rsid w:val="003046CB"/>
    <w:rsid w:val="00304E39"/>
    <w:rsid w:val="003065A8"/>
    <w:rsid w:val="00306E73"/>
    <w:rsid w:val="0030709E"/>
    <w:rsid w:val="00307397"/>
    <w:rsid w:val="00310077"/>
    <w:rsid w:val="00310A5C"/>
    <w:rsid w:val="00310A68"/>
    <w:rsid w:val="00311FCA"/>
    <w:rsid w:val="003125D7"/>
    <w:rsid w:val="00313144"/>
    <w:rsid w:val="0031360A"/>
    <w:rsid w:val="003149D9"/>
    <w:rsid w:val="003159AA"/>
    <w:rsid w:val="0031602D"/>
    <w:rsid w:val="003165BE"/>
    <w:rsid w:val="00316903"/>
    <w:rsid w:val="00317999"/>
    <w:rsid w:val="00320067"/>
    <w:rsid w:val="0032343C"/>
    <w:rsid w:val="0032435A"/>
    <w:rsid w:val="00325189"/>
    <w:rsid w:val="003254B5"/>
    <w:rsid w:val="00325A2D"/>
    <w:rsid w:val="003304C3"/>
    <w:rsid w:val="00330E37"/>
    <w:rsid w:val="00330F26"/>
    <w:rsid w:val="0033132B"/>
    <w:rsid w:val="00331A48"/>
    <w:rsid w:val="00331BD0"/>
    <w:rsid w:val="003325FE"/>
    <w:rsid w:val="00332EF2"/>
    <w:rsid w:val="00333B93"/>
    <w:rsid w:val="00334263"/>
    <w:rsid w:val="0033477F"/>
    <w:rsid w:val="00335137"/>
    <w:rsid w:val="00335AF5"/>
    <w:rsid w:val="00335DEA"/>
    <w:rsid w:val="00336A42"/>
    <w:rsid w:val="00337DEE"/>
    <w:rsid w:val="00337EED"/>
    <w:rsid w:val="00340ECA"/>
    <w:rsid w:val="00341547"/>
    <w:rsid w:val="0034243E"/>
    <w:rsid w:val="00342E9E"/>
    <w:rsid w:val="00343614"/>
    <w:rsid w:val="0034366D"/>
    <w:rsid w:val="0034400A"/>
    <w:rsid w:val="00344F62"/>
    <w:rsid w:val="003454A2"/>
    <w:rsid w:val="00345A81"/>
    <w:rsid w:val="00347288"/>
    <w:rsid w:val="0034777B"/>
    <w:rsid w:val="00347C30"/>
    <w:rsid w:val="003511FE"/>
    <w:rsid w:val="003529E7"/>
    <w:rsid w:val="00352D8A"/>
    <w:rsid w:val="00352FE6"/>
    <w:rsid w:val="00353D76"/>
    <w:rsid w:val="00353E98"/>
    <w:rsid w:val="0035530D"/>
    <w:rsid w:val="0035599A"/>
    <w:rsid w:val="003562FA"/>
    <w:rsid w:val="003577AB"/>
    <w:rsid w:val="003608B5"/>
    <w:rsid w:val="00360923"/>
    <w:rsid w:val="00360BAF"/>
    <w:rsid w:val="00361170"/>
    <w:rsid w:val="003637DD"/>
    <w:rsid w:val="00365DA3"/>
    <w:rsid w:val="0036654D"/>
    <w:rsid w:val="0036660C"/>
    <w:rsid w:val="00366717"/>
    <w:rsid w:val="00366F56"/>
    <w:rsid w:val="00366F6F"/>
    <w:rsid w:val="00367A24"/>
    <w:rsid w:val="00370936"/>
    <w:rsid w:val="00370D54"/>
    <w:rsid w:val="00371418"/>
    <w:rsid w:val="00371793"/>
    <w:rsid w:val="00372260"/>
    <w:rsid w:val="00372405"/>
    <w:rsid w:val="00374769"/>
    <w:rsid w:val="00375033"/>
    <w:rsid w:val="00375D30"/>
    <w:rsid w:val="00376008"/>
    <w:rsid w:val="00376027"/>
    <w:rsid w:val="0037612F"/>
    <w:rsid w:val="003806CA"/>
    <w:rsid w:val="00381B0B"/>
    <w:rsid w:val="00381E51"/>
    <w:rsid w:val="00382A2C"/>
    <w:rsid w:val="00383A25"/>
    <w:rsid w:val="00386E49"/>
    <w:rsid w:val="003870D4"/>
    <w:rsid w:val="003911B1"/>
    <w:rsid w:val="00392351"/>
    <w:rsid w:val="00393B7C"/>
    <w:rsid w:val="00394719"/>
    <w:rsid w:val="00394E3B"/>
    <w:rsid w:val="00395479"/>
    <w:rsid w:val="003959A6"/>
    <w:rsid w:val="00395D5E"/>
    <w:rsid w:val="00397B4A"/>
    <w:rsid w:val="003A0184"/>
    <w:rsid w:val="003A0A52"/>
    <w:rsid w:val="003A183F"/>
    <w:rsid w:val="003A3A4D"/>
    <w:rsid w:val="003A40F7"/>
    <w:rsid w:val="003A4728"/>
    <w:rsid w:val="003A496A"/>
    <w:rsid w:val="003A557E"/>
    <w:rsid w:val="003A6495"/>
    <w:rsid w:val="003A7A58"/>
    <w:rsid w:val="003B0ABC"/>
    <w:rsid w:val="003B0E42"/>
    <w:rsid w:val="003B37BD"/>
    <w:rsid w:val="003B394C"/>
    <w:rsid w:val="003B4B6C"/>
    <w:rsid w:val="003B4BD4"/>
    <w:rsid w:val="003B4E8C"/>
    <w:rsid w:val="003B5EC8"/>
    <w:rsid w:val="003B5FAA"/>
    <w:rsid w:val="003B6428"/>
    <w:rsid w:val="003B6A2E"/>
    <w:rsid w:val="003B7BD8"/>
    <w:rsid w:val="003C0D85"/>
    <w:rsid w:val="003C1293"/>
    <w:rsid w:val="003C1CCA"/>
    <w:rsid w:val="003C283D"/>
    <w:rsid w:val="003C431A"/>
    <w:rsid w:val="003C5275"/>
    <w:rsid w:val="003C54ED"/>
    <w:rsid w:val="003C6C8E"/>
    <w:rsid w:val="003C6F2F"/>
    <w:rsid w:val="003C6FCB"/>
    <w:rsid w:val="003C7942"/>
    <w:rsid w:val="003D0C3F"/>
    <w:rsid w:val="003D16D3"/>
    <w:rsid w:val="003D1F26"/>
    <w:rsid w:val="003D2803"/>
    <w:rsid w:val="003D2C82"/>
    <w:rsid w:val="003D3763"/>
    <w:rsid w:val="003D38E9"/>
    <w:rsid w:val="003D4515"/>
    <w:rsid w:val="003D4718"/>
    <w:rsid w:val="003D520E"/>
    <w:rsid w:val="003D54FC"/>
    <w:rsid w:val="003D5F00"/>
    <w:rsid w:val="003D6573"/>
    <w:rsid w:val="003D7EBC"/>
    <w:rsid w:val="003E13C2"/>
    <w:rsid w:val="003E1613"/>
    <w:rsid w:val="003E1E4C"/>
    <w:rsid w:val="003E204F"/>
    <w:rsid w:val="003E2163"/>
    <w:rsid w:val="003E3AE2"/>
    <w:rsid w:val="003E6161"/>
    <w:rsid w:val="003E6733"/>
    <w:rsid w:val="003E747E"/>
    <w:rsid w:val="003F05F2"/>
    <w:rsid w:val="003F1536"/>
    <w:rsid w:val="003F1C7C"/>
    <w:rsid w:val="003F25DC"/>
    <w:rsid w:val="003F2AF2"/>
    <w:rsid w:val="003F2D69"/>
    <w:rsid w:val="003F3888"/>
    <w:rsid w:val="003F5352"/>
    <w:rsid w:val="003F5A08"/>
    <w:rsid w:val="003F7624"/>
    <w:rsid w:val="003F7F0B"/>
    <w:rsid w:val="00400103"/>
    <w:rsid w:val="00400744"/>
    <w:rsid w:val="00400ABA"/>
    <w:rsid w:val="00401910"/>
    <w:rsid w:val="00401B2A"/>
    <w:rsid w:val="0040209B"/>
    <w:rsid w:val="00402426"/>
    <w:rsid w:val="004033CE"/>
    <w:rsid w:val="004047F5"/>
    <w:rsid w:val="00404C51"/>
    <w:rsid w:val="004054E2"/>
    <w:rsid w:val="0040574B"/>
    <w:rsid w:val="00405A95"/>
    <w:rsid w:val="004069D8"/>
    <w:rsid w:val="00410286"/>
    <w:rsid w:val="004126C7"/>
    <w:rsid w:val="004136A2"/>
    <w:rsid w:val="0041383A"/>
    <w:rsid w:val="00414284"/>
    <w:rsid w:val="004144A9"/>
    <w:rsid w:val="004144B8"/>
    <w:rsid w:val="004146D3"/>
    <w:rsid w:val="004152B2"/>
    <w:rsid w:val="00415300"/>
    <w:rsid w:val="00415BC4"/>
    <w:rsid w:val="00415F1D"/>
    <w:rsid w:val="0041642B"/>
    <w:rsid w:val="00416592"/>
    <w:rsid w:val="0042069E"/>
    <w:rsid w:val="00422E79"/>
    <w:rsid w:val="00424089"/>
    <w:rsid w:val="00425EC6"/>
    <w:rsid w:val="004307B5"/>
    <w:rsid w:val="0043188D"/>
    <w:rsid w:val="00431C8D"/>
    <w:rsid w:val="00433042"/>
    <w:rsid w:val="00433CD8"/>
    <w:rsid w:val="00434368"/>
    <w:rsid w:val="00434994"/>
    <w:rsid w:val="00436812"/>
    <w:rsid w:val="00436E43"/>
    <w:rsid w:val="004370AA"/>
    <w:rsid w:val="0043724B"/>
    <w:rsid w:val="00437811"/>
    <w:rsid w:val="004379C0"/>
    <w:rsid w:val="00440147"/>
    <w:rsid w:val="00440EE4"/>
    <w:rsid w:val="0044137E"/>
    <w:rsid w:val="00442553"/>
    <w:rsid w:val="0044264B"/>
    <w:rsid w:val="004429A9"/>
    <w:rsid w:val="00442D79"/>
    <w:rsid w:val="00442E03"/>
    <w:rsid w:val="004436C1"/>
    <w:rsid w:val="004436D0"/>
    <w:rsid w:val="00443EBC"/>
    <w:rsid w:val="004442C2"/>
    <w:rsid w:val="00444D90"/>
    <w:rsid w:val="004454E7"/>
    <w:rsid w:val="004461A6"/>
    <w:rsid w:val="00447E27"/>
    <w:rsid w:val="00450921"/>
    <w:rsid w:val="00451619"/>
    <w:rsid w:val="00452427"/>
    <w:rsid w:val="0045244B"/>
    <w:rsid w:val="00452DF8"/>
    <w:rsid w:val="00453713"/>
    <w:rsid w:val="00453EEE"/>
    <w:rsid w:val="00455817"/>
    <w:rsid w:val="00456C22"/>
    <w:rsid w:val="0045790D"/>
    <w:rsid w:val="00457A92"/>
    <w:rsid w:val="00460289"/>
    <w:rsid w:val="00460406"/>
    <w:rsid w:val="00460607"/>
    <w:rsid w:val="0046083E"/>
    <w:rsid w:val="0046246B"/>
    <w:rsid w:val="00462D73"/>
    <w:rsid w:val="00462EEF"/>
    <w:rsid w:val="00463048"/>
    <w:rsid w:val="00463955"/>
    <w:rsid w:val="00463E62"/>
    <w:rsid w:val="004646C9"/>
    <w:rsid w:val="00465591"/>
    <w:rsid w:val="00467443"/>
    <w:rsid w:val="00470876"/>
    <w:rsid w:val="00470C19"/>
    <w:rsid w:val="00470F90"/>
    <w:rsid w:val="00471209"/>
    <w:rsid w:val="00471AA7"/>
    <w:rsid w:val="0047288A"/>
    <w:rsid w:val="0047300E"/>
    <w:rsid w:val="00473385"/>
    <w:rsid w:val="00473754"/>
    <w:rsid w:val="00474643"/>
    <w:rsid w:val="0047573F"/>
    <w:rsid w:val="00476BA1"/>
    <w:rsid w:val="0048113E"/>
    <w:rsid w:val="0048131F"/>
    <w:rsid w:val="00482760"/>
    <w:rsid w:val="004834F4"/>
    <w:rsid w:val="004839E9"/>
    <w:rsid w:val="00484923"/>
    <w:rsid w:val="00485BAC"/>
    <w:rsid w:val="004869EB"/>
    <w:rsid w:val="00487D15"/>
    <w:rsid w:val="0049006C"/>
    <w:rsid w:val="004905B5"/>
    <w:rsid w:val="00491A4B"/>
    <w:rsid w:val="00491EB2"/>
    <w:rsid w:val="00492687"/>
    <w:rsid w:val="00493E06"/>
    <w:rsid w:val="0049483D"/>
    <w:rsid w:val="004950AE"/>
    <w:rsid w:val="00495262"/>
    <w:rsid w:val="004959B4"/>
    <w:rsid w:val="00496081"/>
    <w:rsid w:val="00496BD9"/>
    <w:rsid w:val="00496F42"/>
    <w:rsid w:val="0049709B"/>
    <w:rsid w:val="00497541"/>
    <w:rsid w:val="004A04F1"/>
    <w:rsid w:val="004A097B"/>
    <w:rsid w:val="004A15AF"/>
    <w:rsid w:val="004A2596"/>
    <w:rsid w:val="004A2C48"/>
    <w:rsid w:val="004A333E"/>
    <w:rsid w:val="004A33D9"/>
    <w:rsid w:val="004A421F"/>
    <w:rsid w:val="004A491C"/>
    <w:rsid w:val="004A4A5A"/>
    <w:rsid w:val="004A4B97"/>
    <w:rsid w:val="004A4BD4"/>
    <w:rsid w:val="004A5ADD"/>
    <w:rsid w:val="004A5C75"/>
    <w:rsid w:val="004A65EC"/>
    <w:rsid w:val="004A6D18"/>
    <w:rsid w:val="004A75DA"/>
    <w:rsid w:val="004B2B2C"/>
    <w:rsid w:val="004B3269"/>
    <w:rsid w:val="004B360B"/>
    <w:rsid w:val="004B397A"/>
    <w:rsid w:val="004B3BBB"/>
    <w:rsid w:val="004B4A7D"/>
    <w:rsid w:val="004B74C9"/>
    <w:rsid w:val="004B753B"/>
    <w:rsid w:val="004B77BA"/>
    <w:rsid w:val="004C05CE"/>
    <w:rsid w:val="004C2163"/>
    <w:rsid w:val="004C2EBD"/>
    <w:rsid w:val="004C3073"/>
    <w:rsid w:val="004C3348"/>
    <w:rsid w:val="004C343D"/>
    <w:rsid w:val="004C346A"/>
    <w:rsid w:val="004C3647"/>
    <w:rsid w:val="004C3CE4"/>
    <w:rsid w:val="004C3D98"/>
    <w:rsid w:val="004C660E"/>
    <w:rsid w:val="004C6C37"/>
    <w:rsid w:val="004C6E94"/>
    <w:rsid w:val="004C7343"/>
    <w:rsid w:val="004C761A"/>
    <w:rsid w:val="004D03A3"/>
    <w:rsid w:val="004D058B"/>
    <w:rsid w:val="004D0714"/>
    <w:rsid w:val="004D2154"/>
    <w:rsid w:val="004D23CF"/>
    <w:rsid w:val="004D330A"/>
    <w:rsid w:val="004D339D"/>
    <w:rsid w:val="004D37B0"/>
    <w:rsid w:val="004D37C2"/>
    <w:rsid w:val="004D3EFA"/>
    <w:rsid w:val="004D5340"/>
    <w:rsid w:val="004D6DB0"/>
    <w:rsid w:val="004D7863"/>
    <w:rsid w:val="004D79A7"/>
    <w:rsid w:val="004E036B"/>
    <w:rsid w:val="004E0B21"/>
    <w:rsid w:val="004E0C72"/>
    <w:rsid w:val="004E14F1"/>
    <w:rsid w:val="004E1B67"/>
    <w:rsid w:val="004E3392"/>
    <w:rsid w:val="004E3A4A"/>
    <w:rsid w:val="004E44B2"/>
    <w:rsid w:val="004E45AB"/>
    <w:rsid w:val="004E4A84"/>
    <w:rsid w:val="004E69E9"/>
    <w:rsid w:val="004E6FDF"/>
    <w:rsid w:val="004E7C8A"/>
    <w:rsid w:val="004E7E95"/>
    <w:rsid w:val="004E7F9C"/>
    <w:rsid w:val="004F13F4"/>
    <w:rsid w:val="004F2199"/>
    <w:rsid w:val="004F21F7"/>
    <w:rsid w:val="004F30C6"/>
    <w:rsid w:val="004F3B65"/>
    <w:rsid w:val="004F3C4B"/>
    <w:rsid w:val="004F3CAA"/>
    <w:rsid w:val="004F523E"/>
    <w:rsid w:val="004F647B"/>
    <w:rsid w:val="004F6693"/>
    <w:rsid w:val="004F7FB2"/>
    <w:rsid w:val="00500982"/>
    <w:rsid w:val="0050137D"/>
    <w:rsid w:val="0050164E"/>
    <w:rsid w:val="0050287C"/>
    <w:rsid w:val="00502965"/>
    <w:rsid w:val="00503210"/>
    <w:rsid w:val="00503944"/>
    <w:rsid w:val="005039D5"/>
    <w:rsid w:val="00504A03"/>
    <w:rsid w:val="00504C01"/>
    <w:rsid w:val="00505076"/>
    <w:rsid w:val="005055BC"/>
    <w:rsid w:val="00505679"/>
    <w:rsid w:val="005064A7"/>
    <w:rsid w:val="00507DEF"/>
    <w:rsid w:val="00510989"/>
    <w:rsid w:val="00511354"/>
    <w:rsid w:val="0051183F"/>
    <w:rsid w:val="0051190D"/>
    <w:rsid w:val="00511E1E"/>
    <w:rsid w:val="00512604"/>
    <w:rsid w:val="005126E5"/>
    <w:rsid w:val="0051297B"/>
    <w:rsid w:val="005141C1"/>
    <w:rsid w:val="00514BFD"/>
    <w:rsid w:val="00515BFB"/>
    <w:rsid w:val="00516D5B"/>
    <w:rsid w:val="0051711A"/>
    <w:rsid w:val="00517885"/>
    <w:rsid w:val="00517C6D"/>
    <w:rsid w:val="0052011E"/>
    <w:rsid w:val="00520B3B"/>
    <w:rsid w:val="00521CAF"/>
    <w:rsid w:val="00523032"/>
    <w:rsid w:val="0052345A"/>
    <w:rsid w:val="00523523"/>
    <w:rsid w:val="005257A3"/>
    <w:rsid w:val="00525E69"/>
    <w:rsid w:val="00527548"/>
    <w:rsid w:val="00527A73"/>
    <w:rsid w:val="0053198B"/>
    <w:rsid w:val="00531E69"/>
    <w:rsid w:val="00532381"/>
    <w:rsid w:val="00535514"/>
    <w:rsid w:val="00535846"/>
    <w:rsid w:val="00535A1D"/>
    <w:rsid w:val="00536E5A"/>
    <w:rsid w:val="005375B0"/>
    <w:rsid w:val="00542264"/>
    <w:rsid w:val="00542289"/>
    <w:rsid w:val="005441F9"/>
    <w:rsid w:val="0054654E"/>
    <w:rsid w:val="0054741F"/>
    <w:rsid w:val="0055003F"/>
    <w:rsid w:val="00550440"/>
    <w:rsid w:val="005506BB"/>
    <w:rsid w:val="00551374"/>
    <w:rsid w:val="00551CEC"/>
    <w:rsid w:val="00553167"/>
    <w:rsid w:val="0055335E"/>
    <w:rsid w:val="0055349F"/>
    <w:rsid w:val="005540B5"/>
    <w:rsid w:val="005547F5"/>
    <w:rsid w:val="00556EC3"/>
    <w:rsid w:val="00557EDC"/>
    <w:rsid w:val="005601D6"/>
    <w:rsid w:val="005602D8"/>
    <w:rsid w:val="0056078E"/>
    <w:rsid w:val="00561947"/>
    <w:rsid w:val="005627B8"/>
    <w:rsid w:val="00563E0F"/>
    <w:rsid w:val="00564193"/>
    <w:rsid w:val="00564CC0"/>
    <w:rsid w:val="0056500F"/>
    <w:rsid w:val="00565C4B"/>
    <w:rsid w:val="00567267"/>
    <w:rsid w:val="00567A46"/>
    <w:rsid w:val="00567CFE"/>
    <w:rsid w:val="00570005"/>
    <w:rsid w:val="005701AD"/>
    <w:rsid w:val="00572096"/>
    <w:rsid w:val="00572992"/>
    <w:rsid w:val="0057358D"/>
    <w:rsid w:val="00575024"/>
    <w:rsid w:val="005752AC"/>
    <w:rsid w:val="005768A0"/>
    <w:rsid w:val="00577216"/>
    <w:rsid w:val="0057738F"/>
    <w:rsid w:val="00582354"/>
    <w:rsid w:val="00582DE8"/>
    <w:rsid w:val="00583140"/>
    <w:rsid w:val="00583594"/>
    <w:rsid w:val="00584E5F"/>
    <w:rsid w:val="00585409"/>
    <w:rsid w:val="00585F3F"/>
    <w:rsid w:val="0058630F"/>
    <w:rsid w:val="00586851"/>
    <w:rsid w:val="00587947"/>
    <w:rsid w:val="00590F37"/>
    <w:rsid w:val="005921CB"/>
    <w:rsid w:val="00592E63"/>
    <w:rsid w:val="00593EC3"/>
    <w:rsid w:val="00594445"/>
    <w:rsid w:val="00594A50"/>
    <w:rsid w:val="00594BC3"/>
    <w:rsid w:val="00594CCB"/>
    <w:rsid w:val="0059556B"/>
    <w:rsid w:val="00595936"/>
    <w:rsid w:val="00595D33"/>
    <w:rsid w:val="005963A3"/>
    <w:rsid w:val="005974C0"/>
    <w:rsid w:val="005974C6"/>
    <w:rsid w:val="005A0404"/>
    <w:rsid w:val="005A0A00"/>
    <w:rsid w:val="005A20E3"/>
    <w:rsid w:val="005A356A"/>
    <w:rsid w:val="005A36F3"/>
    <w:rsid w:val="005A3D58"/>
    <w:rsid w:val="005A4483"/>
    <w:rsid w:val="005A6644"/>
    <w:rsid w:val="005A694C"/>
    <w:rsid w:val="005A6B31"/>
    <w:rsid w:val="005B2F30"/>
    <w:rsid w:val="005B31D2"/>
    <w:rsid w:val="005B3C08"/>
    <w:rsid w:val="005B5443"/>
    <w:rsid w:val="005B58FC"/>
    <w:rsid w:val="005B632A"/>
    <w:rsid w:val="005B6850"/>
    <w:rsid w:val="005B6DCF"/>
    <w:rsid w:val="005B7135"/>
    <w:rsid w:val="005B7FC9"/>
    <w:rsid w:val="005C01CE"/>
    <w:rsid w:val="005C057E"/>
    <w:rsid w:val="005C17D1"/>
    <w:rsid w:val="005C1B84"/>
    <w:rsid w:val="005C3B47"/>
    <w:rsid w:val="005C47F6"/>
    <w:rsid w:val="005C4D7C"/>
    <w:rsid w:val="005C4EAD"/>
    <w:rsid w:val="005C4F79"/>
    <w:rsid w:val="005C66AB"/>
    <w:rsid w:val="005C7391"/>
    <w:rsid w:val="005C7F97"/>
    <w:rsid w:val="005D1AB8"/>
    <w:rsid w:val="005D1CF0"/>
    <w:rsid w:val="005D3061"/>
    <w:rsid w:val="005D3C85"/>
    <w:rsid w:val="005D47C5"/>
    <w:rsid w:val="005D51C5"/>
    <w:rsid w:val="005D566E"/>
    <w:rsid w:val="005D5890"/>
    <w:rsid w:val="005D6803"/>
    <w:rsid w:val="005D6D1E"/>
    <w:rsid w:val="005D7104"/>
    <w:rsid w:val="005D71E3"/>
    <w:rsid w:val="005D72E0"/>
    <w:rsid w:val="005E0614"/>
    <w:rsid w:val="005E1655"/>
    <w:rsid w:val="005E1722"/>
    <w:rsid w:val="005E310D"/>
    <w:rsid w:val="005E4069"/>
    <w:rsid w:val="005E407F"/>
    <w:rsid w:val="005E4422"/>
    <w:rsid w:val="005E4693"/>
    <w:rsid w:val="005E4AB3"/>
    <w:rsid w:val="005E6096"/>
    <w:rsid w:val="005E60C4"/>
    <w:rsid w:val="005E6C0E"/>
    <w:rsid w:val="005F04D1"/>
    <w:rsid w:val="005F0AB0"/>
    <w:rsid w:val="005F0C73"/>
    <w:rsid w:val="005F1C08"/>
    <w:rsid w:val="005F328F"/>
    <w:rsid w:val="005F3F27"/>
    <w:rsid w:val="005F4BFC"/>
    <w:rsid w:val="005F6E65"/>
    <w:rsid w:val="005F718C"/>
    <w:rsid w:val="00600290"/>
    <w:rsid w:val="00600317"/>
    <w:rsid w:val="00600AEF"/>
    <w:rsid w:val="00600C93"/>
    <w:rsid w:val="00601764"/>
    <w:rsid w:val="00601CB6"/>
    <w:rsid w:val="00603160"/>
    <w:rsid w:val="006032A3"/>
    <w:rsid w:val="00603905"/>
    <w:rsid w:val="00603B96"/>
    <w:rsid w:val="00604CDD"/>
    <w:rsid w:val="00605971"/>
    <w:rsid w:val="00605D06"/>
    <w:rsid w:val="0060609D"/>
    <w:rsid w:val="006067DB"/>
    <w:rsid w:val="00606825"/>
    <w:rsid w:val="0060728B"/>
    <w:rsid w:val="00607997"/>
    <w:rsid w:val="006079CD"/>
    <w:rsid w:val="006111A1"/>
    <w:rsid w:val="006116E1"/>
    <w:rsid w:val="00611764"/>
    <w:rsid w:val="00612F0D"/>
    <w:rsid w:val="006131D3"/>
    <w:rsid w:val="006147E3"/>
    <w:rsid w:val="0061480A"/>
    <w:rsid w:val="0061548A"/>
    <w:rsid w:val="0062252A"/>
    <w:rsid w:val="006226BC"/>
    <w:rsid w:val="00623DE0"/>
    <w:rsid w:val="00624375"/>
    <w:rsid w:val="00625BB7"/>
    <w:rsid w:val="0062619E"/>
    <w:rsid w:val="00626388"/>
    <w:rsid w:val="006264DA"/>
    <w:rsid w:val="006265A2"/>
    <w:rsid w:val="006266C4"/>
    <w:rsid w:val="00627486"/>
    <w:rsid w:val="00627978"/>
    <w:rsid w:val="006302A7"/>
    <w:rsid w:val="00630CE1"/>
    <w:rsid w:val="0063144A"/>
    <w:rsid w:val="006323BD"/>
    <w:rsid w:val="00633716"/>
    <w:rsid w:val="00634653"/>
    <w:rsid w:val="00634FCD"/>
    <w:rsid w:val="00635ABE"/>
    <w:rsid w:val="00635E96"/>
    <w:rsid w:val="006360BC"/>
    <w:rsid w:val="00636D67"/>
    <w:rsid w:val="00636F2D"/>
    <w:rsid w:val="006375DE"/>
    <w:rsid w:val="0063795A"/>
    <w:rsid w:val="00640D58"/>
    <w:rsid w:val="00640FCC"/>
    <w:rsid w:val="00642B23"/>
    <w:rsid w:val="00643781"/>
    <w:rsid w:val="00644738"/>
    <w:rsid w:val="0064487F"/>
    <w:rsid w:val="006448DC"/>
    <w:rsid w:val="00645033"/>
    <w:rsid w:val="00647782"/>
    <w:rsid w:val="006506EB"/>
    <w:rsid w:val="0065079B"/>
    <w:rsid w:val="006507B8"/>
    <w:rsid w:val="00650AF3"/>
    <w:rsid w:val="006513CF"/>
    <w:rsid w:val="00651FC1"/>
    <w:rsid w:val="0065262E"/>
    <w:rsid w:val="006526E1"/>
    <w:rsid w:val="006526E5"/>
    <w:rsid w:val="00653153"/>
    <w:rsid w:val="00653566"/>
    <w:rsid w:val="0065490D"/>
    <w:rsid w:val="00655467"/>
    <w:rsid w:val="00655B85"/>
    <w:rsid w:val="0065607D"/>
    <w:rsid w:val="006566D8"/>
    <w:rsid w:val="0065688E"/>
    <w:rsid w:val="006568E4"/>
    <w:rsid w:val="006573A8"/>
    <w:rsid w:val="00657791"/>
    <w:rsid w:val="00657BF7"/>
    <w:rsid w:val="00660B4A"/>
    <w:rsid w:val="00660B84"/>
    <w:rsid w:val="00660EA0"/>
    <w:rsid w:val="00660F17"/>
    <w:rsid w:val="0066119C"/>
    <w:rsid w:val="00661C37"/>
    <w:rsid w:val="006630BD"/>
    <w:rsid w:val="006635A0"/>
    <w:rsid w:val="00663FBD"/>
    <w:rsid w:val="00663FC3"/>
    <w:rsid w:val="006651B6"/>
    <w:rsid w:val="00665286"/>
    <w:rsid w:val="006653F0"/>
    <w:rsid w:val="00665A1D"/>
    <w:rsid w:val="00666BFF"/>
    <w:rsid w:val="0066750C"/>
    <w:rsid w:val="00667A21"/>
    <w:rsid w:val="006735B9"/>
    <w:rsid w:val="00673719"/>
    <w:rsid w:val="0067418F"/>
    <w:rsid w:val="006744C2"/>
    <w:rsid w:val="00675947"/>
    <w:rsid w:val="00675BDD"/>
    <w:rsid w:val="00675DD4"/>
    <w:rsid w:val="00676366"/>
    <w:rsid w:val="0068020F"/>
    <w:rsid w:val="006803B4"/>
    <w:rsid w:val="00680D46"/>
    <w:rsid w:val="00681116"/>
    <w:rsid w:val="006811E7"/>
    <w:rsid w:val="0068394F"/>
    <w:rsid w:val="00683B50"/>
    <w:rsid w:val="00686EAA"/>
    <w:rsid w:val="006872B3"/>
    <w:rsid w:val="00687C9C"/>
    <w:rsid w:val="00687E69"/>
    <w:rsid w:val="00691A96"/>
    <w:rsid w:val="0069214B"/>
    <w:rsid w:val="00692B66"/>
    <w:rsid w:val="00692DE0"/>
    <w:rsid w:val="00693186"/>
    <w:rsid w:val="006934A7"/>
    <w:rsid w:val="00694502"/>
    <w:rsid w:val="006945A9"/>
    <w:rsid w:val="006948AA"/>
    <w:rsid w:val="00694E43"/>
    <w:rsid w:val="00695DE4"/>
    <w:rsid w:val="00695DE9"/>
    <w:rsid w:val="006960A2"/>
    <w:rsid w:val="00696E18"/>
    <w:rsid w:val="006A01AA"/>
    <w:rsid w:val="006A0BF3"/>
    <w:rsid w:val="006A462E"/>
    <w:rsid w:val="006A473D"/>
    <w:rsid w:val="006A47BB"/>
    <w:rsid w:val="006A4CA2"/>
    <w:rsid w:val="006A5A1D"/>
    <w:rsid w:val="006A6320"/>
    <w:rsid w:val="006A6F2E"/>
    <w:rsid w:val="006A724E"/>
    <w:rsid w:val="006A72DD"/>
    <w:rsid w:val="006B1562"/>
    <w:rsid w:val="006B1B9F"/>
    <w:rsid w:val="006B20E2"/>
    <w:rsid w:val="006B3F6F"/>
    <w:rsid w:val="006B5051"/>
    <w:rsid w:val="006B53D6"/>
    <w:rsid w:val="006B599C"/>
    <w:rsid w:val="006B5B90"/>
    <w:rsid w:val="006B6335"/>
    <w:rsid w:val="006B7A53"/>
    <w:rsid w:val="006C00B2"/>
    <w:rsid w:val="006C0122"/>
    <w:rsid w:val="006C0A48"/>
    <w:rsid w:val="006C14BA"/>
    <w:rsid w:val="006C1C6C"/>
    <w:rsid w:val="006C2E3B"/>
    <w:rsid w:val="006C3053"/>
    <w:rsid w:val="006C327C"/>
    <w:rsid w:val="006C3973"/>
    <w:rsid w:val="006C488B"/>
    <w:rsid w:val="006C5401"/>
    <w:rsid w:val="006C59B1"/>
    <w:rsid w:val="006C5E4D"/>
    <w:rsid w:val="006C6633"/>
    <w:rsid w:val="006C73A7"/>
    <w:rsid w:val="006C754B"/>
    <w:rsid w:val="006D0096"/>
    <w:rsid w:val="006D00B7"/>
    <w:rsid w:val="006D06A6"/>
    <w:rsid w:val="006D098A"/>
    <w:rsid w:val="006D159F"/>
    <w:rsid w:val="006D1B7D"/>
    <w:rsid w:val="006D3684"/>
    <w:rsid w:val="006D3DB3"/>
    <w:rsid w:val="006D5922"/>
    <w:rsid w:val="006D7973"/>
    <w:rsid w:val="006D79C0"/>
    <w:rsid w:val="006E002E"/>
    <w:rsid w:val="006E069C"/>
    <w:rsid w:val="006E09C8"/>
    <w:rsid w:val="006E0AEF"/>
    <w:rsid w:val="006E0CE2"/>
    <w:rsid w:val="006E1CA5"/>
    <w:rsid w:val="006E24CA"/>
    <w:rsid w:val="006E2CF2"/>
    <w:rsid w:val="006E355C"/>
    <w:rsid w:val="006E3AAB"/>
    <w:rsid w:val="006E3CBA"/>
    <w:rsid w:val="006E587D"/>
    <w:rsid w:val="006E59D7"/>
    <w:rsid w:val="006E5B59"/>
    <w:rsid w:val="006E5CF7"/>
    <w:rsid w:val="006E5E2D"/>
    <w:rsid w:val="006E63CF"/>
    <w:rsid w:val="006E6775"/>
    <w:rsid w:val="006E6F99"/>
    <w:rsid w:val="006E6FDD"/>
    <w:rsid w:val="006E7781"/>
    <w:rsid w:val="006F0981"/>
    <w:rsid w:val="006F0B2F"/>
    <w:rsid w:val="006F11BC"/>
    <w:rsid w:val="006F11D4"/>
    <w:rsid w:val="006F1EA8"/>
    <w:rsid w:val="006F2078"/>
    <w:rsid w:val="006F3C2B"/>
    <w:rsid w:val="006F5E9E"/>
    <w:rsid w:val="006F6047"/>
    <w:rsid w:val="006F71E4"/>
    <w:rsid w:val="006F76E2"/>
    <w:rsid w:val="006F7DA7"/>
    <w:rsid w:val="007002EC"/>
    <w:rsid w:val="0070090C"/>
    <w:rsid w:val="00700F59"/>
    <w:rsid w:val="00700FD0"/>
    <w:rsid w:val="00701641"/>
    <w:rsid w:val="00701BEB"/>
    <w:rsid w:val="00701C65"/>
    <w:rsid w:val="00702196"/>
    <w:rsid w:val="00703F7F"/>
    <w:rsid w:val="007041F3"/>
    <w:rsid w:val="00706015"/>
    <w:rsid w:val="007068CA"/>
    <w:rsid w:val="007074E4"/>
    <w:rsid w:val="007075F4"/>
    <w:rsid w:val="0071079E"/>
    <w:rsid w:val="00710B6F"/>
    <w:rsid w:val="0071274E"/>
    <w:rsid w:val="00713529"/>
    <w:rsid w:val="007136AD"/>
    <w:rsid w:val="00713868"/>
    <w:rsid w:val="00714596"/>
    <w:rsid w:val="00714895"/>
    <w:rsid w:val="00715448"/>
    <w:rsid w:val="0071582E"/>
    <w:rsid w:val="00715969"/>
    <w:rsid w:val="00715B2D"/>
    <w:rsid w:val="00716923"/>
    <w:rsid w:val="00717B79"/>
    <w:rsid w:val="00720E8F"/>
    <w:rsid w:val="00721E0A"/>
    <w:rsid w:val="00722468"/>
    <w:rsid w:val="00722B00"/>
    <w:rsid w:val="0072606C"/>
    <w:rsid w:val="00726A2D"/>
    <w:rsid w:val="00726EAD"/>
    <w:rsid w:val="00727040"/>
    <w:rsid w:val="00727D9D"/>
    <w:rsid w:val="00730D62"/>
    <w:rsid w:val="00730EDB"/>
    <w:rsid w:val="00731213"/>
    <w:rsid w:val="00732572"/>
    <w:rsid w:val="00732BCB"/>
    <w:rsid w:val="007339B5"/>
    <w:rsid w:val="00734455"/>
    <w:rsid w:val="007347E4"/>
    <w:rsid w:val="00734968"/>
    <w:rsid w:val="00736A42"/>
    <w:rsid w:val="0073704C"/>
    <w:rsid w:val="007370BC"/>
    <w:rsid w:val="00737385"/>
    <w:rsid w:val="0073752C"/>
    <w:rsid w:val="00737E7F"/>
    <w:rsid w:val="00741783"/>
    <w:rsid w:val="0074242F"/>
    <w:rsid w:val="00743035"/>
    <w:rsid w:val="00744211"/>
    <w:rsid w:val="0074451A"/>
    <w:rsid w:val="0074461A"/>
    <w:rsid w:val="007446AC"/>
    <w:rsid w:val="00744DFC"/>
    <w:rsid w:val="00744E06"/>
    <w:rsid w:val="00745980"/>
    <w:rsid w:val="00745C71"/>
    <w:rsid w:val="00745F40"/>
    <w:rsid w:val="0074609D"/>
    <w:rsid w:val="007463B5"/>
    <w:rsid w:val="00746687"/>
    <w:rsid w:val="00750644"/>
    <w:rsid w:val="00751263"/>
    <w:rsid w:val="00751CCC"/>
    <w:rsid w:val="00752001"/>
    <w:rsid w:val="00752625"/>
    <w:rsid w:val="00752B30"/>
    <w:rsid w:val="00752D43"/>
    <w:rsid w:val="00753B47"/>
    <w:rsid w:val="0075556D"/>
    <w:rsid w:val="00757792"/>
    <w:rsid w:val="00760839"/>
    <w:rsid w:val="00760A39"/>
    <w:rsid w:val="007626CE"/>
    <w:rsid w:val="00762A11"/>
    <w:rsid w:val="007639C3"/>
    <w:rsid w:val="00763C0C"/>
    <w:rsid w:val="0076430B"/>
    <w:rsid w:val="00764C98"/>
    <w:rsid w:val="00764DF3"/>
    <w:rsid w:val="00764FBA"/>
    <w:rsid w:val="00766675"/>
    <w:rsid w:val="00770A56"/>
    <w:rsid w:val="00770F25"/>
    <w:rsid w:val="00770FB0"/>
    <w:rsid w:val="007716E1"/>
    <w:rsid w:val="0077366F"/>
    <w:rsid w:val="0077369D"/>
    <w:rsid w:val="00774D1A"/>
    <w:rsid w:val="007757E0"/>
    <w:rsid w:val="00775A0E"/>
    <w:rsid w:val="00775FDA"/>
    <w:rsid w:val="007762FB"/>
    <w:rsid w:val="007763DC"/>
    <w:rsid w:val="00776F5D"/>
    <w:rsid w:val="00776FAD"/>
    <w:rsid w:val="00776FB3"/>
    <w:rsid w:val="007778FF"/>
    <w:rsid w:val="00777F1E"/>
    <w:rsid w:val="007800F9"/>
    <w:rsid w:val="00780F4B"/>
    <w:rsid w:val="007843A8"/>
    <w:rsid w:val="00784A6E"/>
    <w:rsid w:val="00786EA9"/>
    <w:rsid w:val="0078709E"/>
    <w:rsid w:val="00787FE9"/>
    <w:rsid w:val="00791210"/>
    <w:rsid w:val="007921A7"/>
    <w:rsid w:val="007927C6"/>
    <w:rsid w:val="00794398"/>
    <w:rsid w:val="0079489F"/>
    <w:rsid w:val="007949FF"/>
    <w:rsid w:val="007955ED"/>
    <w:rsid w:val="00795C5C"/>
    <w:rsid w:val="007A0531"/>
    <w:rsid w:val="007A0E02"/>
    <w:rsid w:val="007A0F26"/>
    <w:rsid w:val="007A1812"/>
    <w:rsid w:val="007A1E18"/>
    <w:rsid w:val="007A25B5"/>
    <w:rsid w:val="007A2898"/>
    <w:rsid w:val="007A2D52"/>
    <w:rsid w:val="007A3F54"/>
    <w:rsid w:val="007A47AE"/>
    <w:rsid w:val="007A55D4"/>
    <w:rsid w:val="007A6AD0"/>
    <w:rsid w:val="007A79AA"/>
    <w:rsid w:val="007B042C"/>
    <w:rsid w:val="007B0F57"/>
    <w:rsid w:val="007B1884"/>
    <w:rsid w:val="007B223A"/>
    <w:rsid w:val="007B2334"/>
    <w:rsid w:val="007B307B"/>
    <w:rsid w:val="007B341B"/>
    <w:rsid w:val="007B3569"/>
    <w:rsid w:val="007B4507"/>
    <w:rsid w:val="007B4A04"/>
    <w:rsid w:val="007B65DE"/>
    <w:rsid w:val="007B7267"/>
    <w:rsid w:val="007B76A6"/>
    <w:rsid w:val="007C0FC5"/>
    <w:rsid w:val="007C105D"/>
    <w:rsid w:val="007C1131"/>
    <w:rsid w:val="007C1A85"/>
    <w:rsid w:val="007C27C6"/>
    <w:rsid w:val="007C29B6"/>
    <w:rsid w:val="007C3D1E"/>
    <w:rsid w:val="007C3F0F"/>
    <w:rsid w:val="007C4166"/>
    <w:rsid w:val="007C51CF"/>
    <w:rsid w:val="007C535E"/>
    <w:rsid w:val="007C5FFC"/>
    <w:rsid w:val="007C61C1"/>
    <w:rsid w:val="007C6584"/>
    <w:rsid w:val="007C6C52"/>
    <w:rsid w:val="007C7038"/>
    <w:rsid w:val="007C79B1"/>
    <w:rsid w:val="007C7CB6"/>
    <w:rsid w:val="007D1092"/>
    <w:rsid w:val="007D12B1"/>
    <w:rsid w:val="007D140A"/>
    <w:rsid w:val="007D1750"/>
    <w:rsid w:val="007D1C4F"/>
    <w:rsid w:val="007D2D21"/>
    <w:rsid w:val="007D2F7B"/>
    <w:rsid w:val="007D4799"/>
    <w:rsid w:val="007D546E"/>
    <w:rsid w:val="007D6BF0"/>
    <w:rsid w:val="007E000C"/>
    <w:rsid w:val="007E06C1"/>
    <w:rsid w:val="007E0C8B"/>
    <w:rsid w:val="007E127D"/>
    <w:rsid w:val="007E2B76"/>
    <w:rsid w:val="007E32DB"/>
    <w:rsid w:val="007E36CD"/>
    <w:rsid w:val="007E455A"/>
    <w:rsid w:val="007E4A15"/>
    <w:rsid w:val="007E68E4"/>
    <w:rsid w:val="007F02BB"/>
    <w:rsid w:val="007F0B8C"/>
    <w:rsid w:val="007F1352"/>
    <w:rsid w:val="007F23BC"/>
    <w:rsid w:val="007F48A5"/>
    <w:rsid w:val="007F50F8"/>
    <w:rsid w:val="007F54FF"/>
    <w:rsid w:val="007F59DB"/>
    <w:rsid w:val="007F6B88"/>
    <w:rsid w:val="007F74EA"/>
    <w:rsid w:val="00800313"/>
    <w:rsid w:val="0080045B"/>
    <w:rsid w:val="008026DB"/>
    <w:rsid w:val="008038D8"/>
    <w:rsid w:val="008054AC"/>
    <w:rsid w:val="00805621"/>
    <w:rsid w:val="008068C0"/>
    <w:rsid w:val="00807288"/>
    <w:rsid w:val="00807428"/>
    <w:rsid w:val="00807ADD"/>
    <w:rsid w:val="00810A1F"/>
    <w:rsid w:val="00811D66"/>
    <w:rsid w:val="00811EF8"/>
    <w:rsid w:val="008127FD"/>
    <w:rsid w:val="00813940"/>
    <w:rsid w:val="008142ED"/>
    <w:rsid w:val="00814633"/>
    <w:rsid w:val="00814FF0"/>
    <w:rsid w:val="00815122"/>
    <w:rsid w:val="0081604F"/>
    <w:rsid w:val="00816820"/>
    <w:rsid w:val="00816EC5"/>
    <w:rsid w:val="00817583"/>
    <w:rsid w:val="008209B1"/>
    <w:rsid w:val="00820C34"/>
    <w:rsid w:val="00820D1E"/>
    <w:rsid w:val="008213BC"/>
    <w:rsid w:val="008219CC"/>
    <w:rsid w:val="00821A33"/>
    <w:rsid w:val="00821C33"/>
    <w:rsid w:val="00822608"/>
    <w:rsid w:val="0082296A"/>
    <w:rsid w:val="00822E7C"/>
    <w:rsid w:val="00823CF8"/>
    <w:rsid w:val="00825A6E"/>
    <w:rsid w:val="008276A8"/>
    <w:rsid w:val="00830426"/>
    <w:rsid w:val="00830826"/>
    <w:rsid w:val="00830E4B"/>
    <w:rsid w:val="008310E0"/>
    <w:rsid w:val="00831269"/>
    <w:rsid w:val="00831CCE"/>
    <w:rsid w:val="00831D6A"/>
    <w:rsid w:val="008322FB"/>
    <w:rsid w:val="008327CF"/>
    <w:rsid w:val="00832D74"/>
    <w:rsid w:val="00833382"/>
    <w:rsid w:val="00833C41"/>
    <w:rsid w:val="00834654"/>
    <w:rsid w:val="0083542A"/>
    <w:rsid w:val="00835A49"/>
    <w:rsid w:val="00836B3F"/>
    <w:rsid w:val="00837CCB"/>
    <w:rsid w:val="00840263"/>
    <w:rsid w:val="00840676"/>
    <w:rsid w:val="00840DD6"/>
    <w:rsid w:val="00841033"/>
    <w:rsid w:val="00841D64"/>
    <w:rsid w:val="008436C4"/>
    <w:rsid w:val="00844033"/>
    <w:rsid w:val="008448BA"/>
    <w:rsid w:val="00844A04"/>
    <w:rsid w:val="008451F8"/>
    <w:rsid w:val="00845454"/>
    <w:rsid w:val="00845499"/>
    <w:rsid w:val="0084589D"/>
    <w:rsid w:val="00845A10"/>
    <w:rsid w:val="00845D5F"/>
    <w:rsid w:val="00846E00"/>
    <w:rsid w:val="0084739A"/>
    <w:rsid w:val="0085032D"/>
    <w:rsid w:val="00850775"/>
    <w:rsid w:val="0085109D"/>
    <w:rsid w:val="0085192E"/>
    <w:rsid w:val="00851BDF"/>
    <w:rsid w:val="00852210"/>
    <w:rsid w:val="00852573"/>
    <w:rsid w:val="00852B08"/>
    <w:rsid w:val="008537FA"/>
    <w:rsid w:val="0085457B"/>
    <w:rsid w:val="008545A5"/>
    <w:rsid w:val="00855790"/>
    <w:rsid w:val="00855862"/>
    <w:rsid w:val="00857DFD"/>
    <w:rsid w:val="00860E82"/>
    <w:rsid w:val="0086199D"/>
    <w:rsid w:val="00862E1E"/>
    <w:rsid w:val="00863D9B"/>
    <w:rsid w:val="00863DEC"/>
    <w:rsid w:val="008667E7"/>
    <w:rsid w:val="008670A4"/>
    <w:rsid w:val="008672BC"/>
    <w:rsid w:val="0086795B"/>
    <w:rsid w:val="008713E0"/>
    <w:rsid w:val="00871DBC"/>
    <w:rsid w:val="00872DEE"/>
    <w:rsid w:val="00872EC0"/>
    <w:rsid w:val="00873360"/>
    <w:rsid w:val="00873BD7"/>
    <w:rsid w:val="0087520B"/>
    <w:rsid w:val="00875990"/>
    <w:rsid w:val="00876516"/>
    <w:rsid w:val="00877932"/>
    <w:rsid w:val="00877FC4"/>
    <w:rsid w:val="008804F7"/>
    <w:rsid w:val="00880A19"/>
    <w:rsid w:val="00880B79"/>
    <w:rsid w:val="0088208C"/>
    <w:rsid w:val="00882177"/>
    <w:rsid w:val="00882746"/>
    <w:rsid w:val="00882947"/>
    <w:rsid w:val="008837DF"/>
    <w:rsid w:val="0088382E"/>
    <w:rsid w:val="00884C9E"/>
    <w:rsid w:val="00885BA2"/>
    <w:rsid w:val="008861F7"/>
    <w:rsid w:val="00886BC7"/>
    <w:rsid w:val="0088713F"/>
    <w:rsid w:val="0089057E"/>
    <w:rsid w:val="00891046"/>
    <w:rsid w:val="008918E0"/>
    <w:rsid w:val="00891DD1"/>
    <w:rsid w:val="00893BCA"/>
    <w:rsid w:val="00894374"/>
    <w:rsid w:val="00895992"/>
    <w:rsid w:val="00895C86"/>
    <w:rsid w:val="00897291"/>
    <w:rsid w:val="00897861"/>
    <w:rsid w:val="00897938"/>
    <w:rsid w:val="008A0B5C"/>
    <w:rsid w:val="008A1146"/>
    <w:rsid w:val="008A1AA0"/>
    <w:rsid w:val="008A46C2"/>
    <w:rsid w:val="008A4726"/>
    <w:rsid w:val="008A4AA3"/>
    <w:rsid w:val="008A4D77"/>
    <w:rsid w:val="008A4F0C"/>
    <w:rsid w:val="008A7546"/>
    <w:rsid w:val="008A77C3"/>
    <w:rsid w:val="008A7831"/>
    <w:rsid w:val="008B040D"/>
    <w:rsid w:val="008B13B8"/>
    <w:rsid w:val="008B14C2"/>
    <w:rsid w:val="008B19D8"/>
    <w:rsid w:val="008B248D"/>
    <w:rsid w:val="008B3054"/>
    <w:rsid w:val="008B413D"/>
    <w:rsid w:val="008B41FD"/>
    <w:rsid w:val="008B420F"/>
    <w:rsid w:val="008B439A"/>
    <w:rsid w:val="008B4B01"/>
    <w:rsid w:val="008B528D"/>
    <w:rsid w:val="008B55D8"/>
    <w:rsid w:val="008B58C0"/>
    <w:rsid w:val="008B6BDC"/>
    <w:rsid w:val="008C0BB3"/>
    <w:rsid w:val="008C184B"/>
    <w:rsid w:val="008C3E3F"/>
    <w:rsid w:val="008C5767"/>
    <w:rsid w:val="008C60F3"/>
    <w:rsid w:val="008C688D"/>
    <w:rsid w:val="008C6FBB"/>
    <w:rsid w:val="008C7D93"/>
    <w:rsid w:val="008D04B9"/>
    <w:rsid w:val="008D08A3"/>
    <w:rsid w:val="008D15C0"/>
    <w:rsid w:val="008D25B1"/>
    <w:rsid w:val="008D2C4F"/>
    <w:rsid w:val="008D2DEC"/>
    <w:rsid w:val="008D3F6F"/>
    <w:rsid w:val="008D3F77"/>
    <w:rsid w:val="008D4AD5"/>
    <w:rsid w:val="008D4E81"/>
    <w:rsid w:val="008D544A"/>
    <w:rsid w:val="008D6E2D"/>
    <w:rsid w:val="008D7B19"/>
    <w:rsid w:val="008E01F3"/>
    <w:rsid w:val="008E035D"/>
    <w:rsid w:val="008E06E7"/>
    <w:rsid w:val="008E0F84"/>
    <w:rsid w:val="008E1812"/>
    <w:rsid w:val="008E23B3"/>
    <w:rsid w:val="008E23D1"/>
    <w:rsid w:val="008E2F8C"/>
    <w:rsid w:val="008E38D8"/>
    <w:rsid w:val="008E48E4"/>
    <w:rsid w:val="008E4ACF"/>
    <w:rsid w:val="008E4B7A"/>
    <w:rsid w:val="008E50A7"/>
    <w:rsid w:val="008E51DD"/>
    <w:rsid w:val="008E5644"/>
    <w:rsid w:val="008E6DC1"/>
    <w:rsid w:val="008E7069"/>
    <w:rsid w:val="008F071F"/>
    <w:rsid w:val="008F1A8B"/>
    <w:rsid w:val="008F1AA9"/>
    <w:rsid w:val="008F3298"/>
    <w:rsid w:val="008F3579"/>
    <w:rsid w:val="008F40BB"/>
    <w:rsid w:val="008F4FCC"/>
    <w:rsid w:val="008F5DFC"/>
    <w:rsid w:val="008F7C4F"/>
    <w:rsid w:val="009004E8"/>
    <w:rsid w:val="00900A91"/>
    <w:rsid w:val="00900E6B"/>
    <w:rsid w:val="009018B5"/>
    <w:rsid w:val="0090192F"/>
    <w:rsid w:val="00902843"/>
    <w:rsid w:val="00903A8C"/>
    <w:rsid w:val="00904401"/>
    <w:rsid w:val="00904FAB"/>
    <w:rsid w:val="00905829"/>
    <w:rsid w:val="009067F9"/>
    <w:rsid w:val="0090722D"/>
    <w:rsid w:val="00907299"/>
    <w:rsid w:val="00907504"/>
    <w:rsid w:val="00907C09"/>
    <w:rsid w:val="00913C49"/>
    <w:rsid w:val="009142F7"/>
    <w:rsid w:val="00914AFD"/>
    <w:rsid w:val="00914C82"/>
    <w:rsid w:val="00916CC9"/>
    <w:rsid w:val="0091751F"/>
    <w:rsid w:val="009200CE"/>
    <w:rsid w:val="0092050A"/>
    <w:rsid w:val="00920AD2"/>
    <w:rsid w:val="00920DD7"/>
    <w:rsid w:val="00921C12"/>
    <w:rsid w:val="009222FE"/>
    <w:rsid w:val="009227E8"/>
    <w:rsid w:val="00922B01"/>
    <w:rsid w:val="00922B13"/>
    <w:rsid w:val="00922C70"/>
    <w:rsid w:val="00922F6B"/>
    <w:rsid w:val="00924778"/>
    <w:rsid w:val="00925080"/>
    <w:rsid w:val="00925156"/>
    <w:rsid w:val="0092660A"/>
    <w:rsid w:val="009268A7"/>
    <w:rsid w:val="00927471"/>
    <w:rsid w:val="009277DF"/>
    <w:rsid w:val="009278E0"/>
    <w:rsid w:val="0093158A"/>
    <w:rsid w:val="00931DB4"/>
    <w:rsid w:val="0093367A"/>
    <w:rsid w:val="00933680"/>
    <w:rsid w:val="00934781"/>
    <w:rsid w:val="009349BC"/>
    <w:rsid w:val="00934DA2"/>
    <w:rsid w:val="00936BE3"/>
    <w:rsid w:val="00936D1D"/>
    <w:rsid w:val="00936D5F"/>
    <w:rsid w:val="00937477"/>
    <w:rsid w:val="0093750B"/>
    <w:rsid w:val="00937779"/>
    <w:rsid w:val="0093780B"/>
    <w:rsid w:val="009402FA"/>
    <w:rsid w:val="00940621"/>
    <w:rsid w:val="00940990"/>
    <w:rsid w:val="00941DFC"/>
    <w:rsid w:val="00941F86"/>
    <w:rsid w:val="009424CB"/>
    <w:rsid w:val="0094251F"/>
    <w:rsid w:val="00942CC0"/>
    <w:rsid w:val="0094312D"/>
    <w:rsid w:val="0094374F"/>
    <w:rsid w:val="00944E89"/>
    <w:rsid w:val="009453A7"/>
    <w:rsid w:val="00946383"/>
    <w:rsid w:val="009468D0"/>
    <w:rsid w:val="00947CBD"/>
    <w:rsid w:val="00947CD2"/>
    <w:rsid w:val="00950941"/>
    <w:rsid w:val="009517B3"/>
    <w:rsid w:val="00951EC3"/>
    <w:rsid w:val="009522FF"/>
    <w:rsid w:val="00952413"/>
    <w:rsid w:val="0095471B"/>
    <w:rsid w:val="009549EA"/>
    <w:rsid w:val="00955321"/>
    <w:rsid w:val="00955913"/>
    <w:rsid w:val="0095642B"/>
    <w:rsid w:val="00956454"/>
    <w:rsid w:val="009564EF"/>
    <w:rsid w:val="009568AC"/>
    <w:rsid w:val="0095754C"/>
    <w:rsid w:val="00957B10"/>
    <w:rsid w:val="00960632"/>
    <w:rsid w:val="0096173C"/>
    <w:rsid w:val="009630B8"/>
    <w:rsid w:val="00963B38"/>
    <w:rsid w:val="00964BAE"/>
    <w:rsid w:val="00965786"/>
    <w:rsid w:val="00965CD4"/>
    <w:rsid w:val="00965F84"/>
    <w:rsid w:val="0096688B"/>
    <w:rsid w:val="00967DBB"/>
    <w:rsid w:val="00967F48"/>
    <w:rsid w:val="009701E1"/>
    <w:rsid w:val="009705E9"/>
    <w:rsid w:val="0097077A"/>
    <w:rsid w:val="00970B1A"/>
    <w:rsid w:val="00971BAA"/>
    <w:rsid w:val="00972FA1"/>
    <w:rsid w:val="00973240"/>
    <w:rsid w:val="00973258"/>
    <w:rsid w:val="009745F4"/>
    <w:rsid w:val="00974A5B"/>
    <w:rsid w:val="00975503"/>
    <w:rsid w:val="009763EE"/>
    <w:rsid w:val="00976513"/>
    <w:rsid w:val="00976907"/>
    <w:rsid w:val="00976C33"/>
    <w:rsid w:val="00977913"/>
    <w:rsid w:val="0097794E"/>
    <w:rsid w:val="00977B01"/>
    <w:rsid w:val="00980E20"/>
    <w:rsid w:val="00982322"/>
    <w:rsid w:val="00982A6A"/>
    <w:rsid w:val="00982CDD"/>
    <w:rsid w:val="00982D50"/>
    <w:rsid w:val="00983A5B"/>
    <w:rsid w:val="009841BA"/>
    <w:rsid w:val="009863E7"/>
    <w:rsid w:val="009877CA"/>
    <w:rsid w:val="00987FEF"/>
    <w:rsid w:val="00990007"/>
    <w:rsid w:val="00991320"/>
    <w:rsid w:val="009913E4"/>
    <w:rsid w:val="00991EE8"/>
    <w:rsid w:val="00992095"/>
    <w:rsid w:val="009929C3"/>
    <w:rsid w:val="0099363F"/>
    <w:rsid w:val="00993D97"/>
    <w:rsid w:val="009943D2"/>
    <w:rsid w:val="00997D04"/>
    <w:rsid w:val="009A0428"/>
    <w:rsid w:val="009A1E75"/>
    <w:rsid w:val="009A2397"/>
    <w:rsid w:val="009A2AE9"/>
    <w:rsid w:val="009A2CF3"/>
    <w:rsid w:val="009A2DFE"/>
    <w:rsid w:val="009A35ED"/>
    <w:rsid w:val="009A381C"/>
    <w:rsid w:val="009A40AE"/>
    <w:rsid w:val="009A4FD1"/>
    <w:rsid w:val="009A5399"/>
    <w:rsid w:val="009A58EB"/>
    <w:rsid w:val="009A5D74"/>
    <w:rsid w:val="009A6B83"/>
    <w:rsid w:val="009A6EA6"/>
    <w:rsid w:val="009B04E9"/>
    <w:rsid w:val="009B074E"/>
    <w:rsid w:val="009B0BC0"/>
    <w:rsid w:val="009B0D83"/>
    <w:rsid w:val="009B19B9"/>
    <w:rsid w:val="009B2E1C"/>
    <w:rsid w:val="009B41F0"/>
    <w:rsid w:val="009B456F"/>
    <w:rsid w:val="009B56CF"/>
    <w:rsid w:val="009B5B93"/>
    <w:rsid w:val="009B5DDB"/>
    <w:rsid w:val="009C14AE"/>
    <w:rsid w:val="009C2970"/>
    <w:rsid w:val="009C3284"/>
    <w:rsid w:val="009C3754"/>
    <w:rsid w:val="009C3DA8"/>
    <w:rsid w:val="009C41F2"/>
    <w:rsid w:val="009C4802"/>
    <w:rsid w:val="009C4F6A"/>
    <w:rsid w:val="009C61CA"/>
    <w:rsid w:val="009D0593"/>
    <w:rsid w:val="009D16C2"/>
    <w:rsid w:val="009D1CEB"/>
    <w:rsid w:val="009D1D89"/>
    <w:rsid w:val="009D2896"/>
    <w:rsid w:val="009D3472"/>
    <w:rsid w:val="009D3DCE"/>
    <w:rsid w:val="009D42D4"/>
    <w:rsid w:val="009D4E44"/>
    <w:rsid w:val="009D6D62"/>
    <w:rsid w:val="009E14EC"/>
    <w:rsid w:val="009E1F23"/>
    <w:rsid w:val="009E22B1"/>
    <w:rsid w:val="009E2762"/>
    <w:rsid w:val="009E4C7C"/>
    <w:rsid w:val="009E4F2A"/>
    <w:rsid w:val="009E5207"/>
    <w:rsid w:val="009E646C"/>
    <w:rsid w:val="009E6F02"/>
    <w:rsid w:val="009F0696"/>
    <w:rsid w:val="009F1926"/>
    <w:rsid w:val="009F3D15"/>
    <w:rsid w:val="009F4651"/>
    <w:rsid w:val="009F69F4"/>
    <w:rsid w:val="009F7903"/>
    <w:rsid w:val="00A00181"/>
    <w:rsid w:val="00A001C8"/>
    <w:rsid w:val="00A00534"/>
    <w:rsid w:val="00A00D33"/>
    <w:rsid w:val="00A01754"/>
    <w:rsid w:val="00A03791"/>
    <w:rsid w:val="00A04432"/>
    <w:rsid w:val="00A0458B"/>
    <w:rsid w:val="00A063B3"/>
    <w:rsid w:val="00A074DE"/>
    <w:rsid w:val="00A07930"/>
    <w:rsid w:val="00A11808"/>
    <w:rsid w:val="00A11DDB"/>
    <w:rsid w:val="00A14145"/>
    <w:rsid w:val="00A158FF"/>
    <w:rsid w:val="00A15AE0"/>
    <w:rsid w:val="00A167A6"/>
    <w:rsid w:val="00A17727"/>
    <w:rsid w:val="00A17EB9"/>
    <w:rsid w:val="00A2003D"/>
    <w:rsid w:val="00A205B8"/>
    <w:rsid w:val="00A20BB2"/>
    <w:rsid w:val="00A21CDE"/>
    <w:rsid w:val="00A225A8"/>
    <w:rsid w:val="00A2263C"/>
    <w:rsid w:val="00A22945"/>
    <w:rsid w:val="00A22CA5"/>
    <w:rsid w:val="00A2382C"/>
    <w:rsid w:val="00A23BBD"/>
    <w:rsid w:val="00A23C2A"/>
    <w:rsid w:val="00A23D78"/>
    <w:rsid w:val="00A23F7D"/>
    <w:rsid w:val="00A23FFB"/>
    <w:rsid w:val="00A258F4"/>
    <w:rsid w:val="00A25E80"/>
    <w:rsid w:val="00A26F1E"/>
    <w:rsid w:val="00A304DA"/>
    <w:rsid w:val="00A31342"/>
    <w:rsid w:val="00A31563"/>
    <w:rsid w:val="00A31700"/>
    <w:rsid w:val="00A317A4"/>
    <w:rsid w:val="00A3199F"/>
    <w:rsid w:val="00A321D7"/>
    <w:rsid w:val="00A324EA"/>
    <w:rsid w:val="00A325B4"/>
    <w:rsid w:val="00A327EE"/>
    <w:rsid w:val="00A32F3E"/>
    <w:rsid w:val="00A33E1D"/>
    <w:rsid w:val="00A3468A"/>
    <w:rsid w:val="00A34A34"/>
    <w:rsid w:val="00A34B46"/>
    <w:rsid w:val="00A36490"/>
    <w:rsid w:val="00A3670C"/>
    <w:rsid w:val="00A374EE"/>
    <w:rsid w:val="00A3763B"/>
    <w:rsid w:val="00A40545"/>
    <w:rsid w:val="00A407FC"/>
    <w:rsid w:val="00A41524"/>
    <w:rsid w:val="00A41ABD"/>
    <w:rsid w:val="00A42B44"/>
    <w:rsid w:val="00A42B68"/>
    <w:rsid w:val="00A432CF"/>
    <w:rsid w:val="00A43DF2"/>
    <w:rsid w:val="00A4415C"/>
    <w:rsid w:val="00A4443E"/>
    <w:rsid w:val="00A45003"/>
    <w:rsid w:val="00A450B3"/>
    <w:rsid w:val="00A456E5"/>
    <w:rsid w:val="00A4624A"/>
    <w:rsid w:val="00A47B58"/>
    <w:rsid w:val="00A50816"/>
    <w:rsid w:val="00A50E1A"/>
    <w:rsid w:val="00A52455"/>
    <w:rsid w:val="00A528F7"/>
    <w:rsid w:val="00A54668"/>
    <w:rsid w:val="00A54EA1"/>
    <w:rsid w:val="00A55475"/>
    <w:rsid w:val="00A55E85"/>
    <w:rsid w:val="00A55EDF"/>
    <w:rsid w:val="00A56A62"/>
    <w:rsid w:val="00A56FA6"/>
    <w:rsid w:val="00A57F33"/>
    <w:rsid w:val="00A6026C"/>
    <w:rsid w:val="00A6087C"/>
    <w:rsid w:val="00A6269D"/>
    <w:rsid w:val="00A6357B"/>
    <w:rsid w:val="00A63B51"/>
    <w:rsid w:val="00A64674"/>
    <w:rsid w:val="00A64C8B"/>
    <w:rsid w:val="00A64FF3"/>
    <w:rsid w:val="00A65CBA"/>
    <w:rsid w:val="00A65FD0"/>
    <w:rsid w:val="00A66637"/>
    <w:rsid w:val="00A67468"/>
    <w:rsid w:val="00A70576"/>
    <w:rsid w:val="00A706C5"/>
    <w:rsid w:val="00A71143"/>
    <w:rsid w:val="00A722F8"/>
    <w:rsid w:val="00A73341"/>
    <w:rsid w:val="00A7540E"/>
    <w:rsid w:val="00A75CD5"/>
    <w:rsid w:val="00A763B5"/>
    <w:rsid w:val="00A77943"/>
    <w:rsid w:val="00A77DA3"/>
    <w:rsid w:val="00A80161"/>
    <w:rsid w:val="00A81039"/>
    <w:rsid w:val="00A8371C"/>
    <w:rsid w:val="00A841EA"/>
    <w:rsid w:val="00A84E51"/>
    <w:rsid w:val="00A85935"/>
    <w:rsid w:val="00A85AEA"/>
    <w:rsid w:val="00A86155"/>
    <w:rsid w:val="00A870AA"/>
    <w:rsid w:val="00A872B3"/>
    <w:rsid w:val="00A904C6"/>
    <w:rsid w:val="00A90A74"/>
    <w:rsid w:val="00A9110E"/>
    <w:rsid w:val="00A93B48"/>
    <w:rsid w:val="00A93BD7"/>
    <w:rsid w:val="00A94793"/>
    <w:rsid w:val="00A94AB3"/>
    <w:rsid w:val="00A964A6"/>
    <w:rsid w:val="00A9679D"/>
    <w:rsid w:val="00AA0CCE"/>
    <w:rsid w:val="00AA1E4D"/>
    <w:rsid w:val="00AA2F3C"/>
    <w:rsid w:val="00AA3399"/>
    <w:rsid w:val="00AA415A"/>
    <w:rsid w:val="00AA42A4"/>
    <w:rsid w:val="00AA46B4"/>
    <w:rsid w:val="00AA5301"/>
    <w:rsid w:val="00AA56B7"/>
    <w:rsid w:val="00AA58D2"/>
    <w:rsid w:val="00AA62B2"/>
    <w:rsid w:val="00AA7C04"/>
    <w:rsid w:val="00AB2323"/>
    <w:rsid w:val="00AB353E"/>
    <w:rsid w:val="00AB4006"/>
    <w:rsid w:val="00AB4180"/>
    <w:rsid w:val="00AB464C"/>
    <w:rsid w:val="00AB4FC1"/>
    <w:rsid w:val="00AB5027"/>
    <w:rsid w:val="00AB53DD"/>
    <w:rsid w:val="00AB6EDA"/>
    <w:rsid w:val="00AB6F5C"/>
    <w:rsid w:val="00AB729F"/>
    <w:rsid w:val="00AC0E61"/>
    <w:rsid w:val="00AC149B"/>
    <w:rsid w:val="00AC1625"/>
    <w:rsid w:val="00AC3331"/>
    <w:rsid w:val="00AC3734"/>
    <w:rsid w:val="00AC37B6"/>
    <w:rsid w:val="00AC431B"/>
    <w:rsid w:val="00AC5000"/>
    <w:rsid w:val="00AC51C1"/>
    <w:rsid w:val="00AC5B8C"/>
    <w:rsid w:val="00AC5FBF"/>
    <w:rsid w:val="00AC63E1"/>
    <w:rsid w:val="00AC6790"/>
    <w:rsid w:val="00AC7157"/>
    <w:rsid w:val="00AC73B6"/>
    <w:rsid w:val="00AC73BA"/>
    <w:rsid w:val="00AC74F5"/>
    <w:rsid w:val="00AD06E8"/>
    <w:rsid w:val="00AD06E9"/>
    <w:rsid w:val="00AD115E"/>
    <w:rsid w:val="00AD16A4"/>
    <w:rsid w:val="00AD2342"/>
    <w:rsid w:val="00AD37F3"/>
    <w:rsid w:val="00AD3C1D"/>
    <w:rsid w:val="00AD43B6"/>
    <w:rsid w:val="00AD4806"/>
    <w:rsid w:val="00AD5128"/>
    <w:rsid w:val="00AD550D"/>
    <w:rsid w:val="00AD560A"/>
    <w:rsid w:val="00AD5747"/>
    <w:rsid w:val="00AD5F09"/>
    <w:rsid w:val="00AD61FC"/>
    <w:rsid w:val="00AD7996"/>
    <w:rsid w:val="00AD7B03"/>
    <w:rsid w:val="00AE0029"/>
    <w:rsid w:val="00AE1E88"/>
    <w:rsid w:val="00AE3473"/>
    <w:rsid w:val="00AE3A2E"/>
    <w:rsid w:val="00AE3F56"/>
    <w:rsid w:val="00AE509C"/>
    <w:rsid w:val="00AE5863"/>
    <w:rsid w:val="00AE66D5"/>
    <w:rsid w:val="00AE6795"/>
    <w:rsid w:val="00AE756C"/>
    <w:rsid w:val="00AE78B7"/>
    <w:rsid w:val="00AF2727"/>
    <w:rsid w:val="00AF35BB"/>
    <w:rsid w:val="00AF3910"/>
    <w:rsid w:val="00AF3CC3"/>
    <w:rsid w:val="00AF3FAB"/>
    <w:rsid w:val="00AF469E"/>
    <w:rsid w:val="00AF60E5"/>
    <w:rsid w:val="00AF7143"/>
    <w:rsid w:val="00AF71F1"/>
    <w:rsid w:val="00AF7209"/>
    <w:rsid w:val="00AF7359"/>
    <w:rsid w:val="00AF7AD0"/>
    <w:rsid w:val="00B00F76"/>
    <w:rsid w:val="00B025B7"/>
    <w:rsid w:val="00B028A5"/>
    <w:rsid w:val="00B02DD8"/>
    <w:rsid w:val="00B03166"/>
    <w:rsid w:val="00B03439"/>
    <w:rsid w:val="00B042EE"/>
    <w:rsid w:val="00B04300"/>
    <w:rsid w:val="00B04411"/>
    <w:rsid w:val="00B053D1"/>
    <w:rsid w:val="00B0545F"/>
    <w:rsid w:val="00B056FD"/>
    <w:rsid w:val="00B06B7B"/>
    <w:rsid w:val="00B0745D"/>
    <w:rsid w:val="00B07B96"/>
    <w:rsid w:val="00B07F12"/>
    <w:rsid w:val="00B10326"/>
    <w:rsid w:val="00B10566"/>
    <w:rsid w:val="00B11279"/>
    <w:rsid w:val="00B11A79"/>
    <w:rsid w:val="00B11CD2"/>
    <w:rsid w:val="00B156EF"/>
    <w:rsid w:val="00B15880"/>
    <w:rsid w:val="00B15F9B"/>
    <w:rsid w:val="00B166D3"/>
    <w:rsid w:val="00B16C17"/>
    <w:rsid w:val="00B16C47"/>
    <w:rsid w:val="00B214CC"/>
    <w:rsid w:val="00B21D40"/>
    <w:rsid w:val="00B21E3D"/>
    <w:rsid w:val="00B224DF"/>
    <w:rsid w:val="00B22CA8"/>
    <w:rsid w:val="00B22D3B"/>
    <w:rsid w:val="00B233FF"/>
    <w:rsid w:val="00B2451C"/>
    <w:rsid w:val="00B25689"/>
    <w:rsid w:val="00B25718"/>
    <w:rsid w:val="00B25967"/>
    <w:rsid w:val="00B2605E"/>
    <w:rsid w:val="00B270F7"/>
    <w:rsid w:val="00B276B8"/>
    <w:rsid w:val="00B27B2A"/>
    <w:rsid w:val="00B302C6"/>
    <w:rsid w:val="00B314FE"/>
    <w:rsid w:val="00B31AC2"/>
    <w:rsid w:val="00B31F45"/>
    <w:rsid w:val="00B32632"/>
    <w:rsid w:val="00B3274B"/>
    <w:rsid w:val="00B32CB5"/>
    <w:rsid w:val="00B331E1"/>
    <w:rsid w:val="00B335E9"/>
    <w:rsid w:val="00B34AF4"/>
    <w:rsid w:val="00B35A6A"/>
    <w:rsid w:val="00B36AF0"/>
    <w:rsid w:val="00B3723D"/>
    <w:rsid w:val="00B3745E"/>
    <w:rsid w:val="00B37CCB"/>
    <w:rsid w:val="00B40449"/>
    <w:rsid w:val="00B41281"/>
    <w:rsid w:val="00B41467"/>
    <w:rsid w:val="00B421C1"/>
    <w:rsid w:val="00B43046"/>
    <w:rsid w:val="00B43A4E"/>
    <w:rsid w:val="00B43B40"/>
    <w:rsid w:val="00B4532B"/>
    <w:rsid w:val="00B4669D"/>
    <w:rsid w:val="00B46739"/>
    <w:rsid w:val="00B47368"/>
    <w:rsid w:val="00B473BA"/>
    <w:rsid w:val="00B478E8"/>
    <w:rsid w:val="00B50944"/>
    <w:rsid w:val="00B50C41"/>
    <w:rsid w:val="00B5150C"/>
    <w:rsid w:val="00B51511"/>
    <w:rsid w:val="00B519F6"/>
    <w:rsid w:val="00B52492"/>
    <w:rsid w:val="00B5249B"/>
    <w:rsid w:val="00B533A3"/>
    <w:rsid w:val="00B53EAE"/>
    <w:rsid w:val="00B54845"/>
    <w:rsid w:val="00B54BE5"/>
    <w:rsid w:val="00B552F6"/>
    <w:rsid w:val="00B55F39"/>
    <w:rsid w:val="00B601C8"/>
    <w:rsid w:val="00B60389"/>
    <w:rsid w:val="00B60D81"/>
    <w:rsid w:val="00B60F25"/>
    <w:rsid w:val="00B6179C"/>
    <w:rsid w:val="00B62D52"/>
    <w:rsid w:val="00B63453"/>
    <w:rsid w:val="00B63E44"/>
    <w:rsid w:val="00B6463E"/>
    <w:rsid w:val="00B658C3"/>
    <w:rsid w:val="00B65BCB"/>
    <w:rsid w:val="00B65CFE"/>
    <w:rsid w:val="00B665C3"/>
    <w:rsid w:val="00B67476"/>
    <w:rsid w:val="00B67607"/>
    <w:rsid w:val="00B678FC"/>
    <w:rsid w:val="00B7041E"/>
    <w:rsid w:val="00B70BFC"/>
    <w:rsid w:val="00B71390"/>
    <w:rsid w:val="00B713BB"/>
    <w:rsid w:val="00B71631"/>
    <w:rsid w:val="00B71BD0"/>
    <w:rsid w:val="00B71DD5"/>
    <w:rsid w:val="00B7254F"/>
    <w:rsid w:val="00B727D5"/>
    <w:rsid w:val="00B72EA9"/>
    <w:rsid w:val="00B72F64"/>
    <w:rsid w:val="00B733E1"/>
    <w:rsid w:val="00B73653"/>
    <w:rsid w:val="00B73A3F"/>
    <w:rsid w:val="00B7453A"/>
    <w:rsid w:val="00B7553C"/>
    <w:rsid w:val="00B7643D"/>
    <w:rsid w:val="00B76E15"/>
    <w:rsid w:val="00B777DA"/>
    <w:rsid w:val="00B7787E"/>
    <w:rsid w:val="00B80876"/>
    <w:rsid w:val="00B82169"/>
    <w:rsid w:val="00B83E67"/>
    <w:rsid w:val="00B84259"/>
    <w:rsid w:val="00B8496B"/>
    <w:rsid w:val="00B85958"/>
    <w:rsid w:val="00B85B00"/>
    <w:rsid w:val="00B87445"/>
    <w:rsid w:val="00B8767B"/>
    <w:rsid w:val="00B87840"/>
    <w:rsid w:val="00B879FD"/>
    <w:rsid w:val="00B9107D"/>
    <w:rsid w:val="00B912B7"/>
    <w:rsid w:val="00B919F5"/>
    <w:rsid w:val="00B91FC4"/>
    <w:rsid w:val="00B926B0"/>
    <w:rsid w:val="00B94571"/>
    <w:rsid w:val="00B945EB"/>
    <w:rsid w:val="00B9488F"/>
    <w:rsid w:val="00B957AC"/>
    <w:rsid w:val="00B957BA"/>
    <w:rsid w:val="00B95AFC"/>
    <w:rsid w:val="00BA22D3"/>
    <w:rsid w:val="00BA2712"/>
    <w:rsid w:val="00BA2AD9"/>
    <w:rsid w:val="00BA338E"/>
    <w:rsid w:val="00BA54F6"/>
    <w:rsid w:val="00BA596F"/>
    <w:rsid w:val="00BA605C"/>
    <w:rsid w:val="00BA7718"/>
    <w:rsid w:val="00BA78C8"/>
    <w:rsid w:val="00BB0B7B"/>
    <w:rsid w:val="00BB1145"/>
    <w:rsid w:val="00BB2569"/>
    <w:rsid w:val="00BB44C2"/>
    <w:rsid w:val="00BB4563"/>
    <w:rsid w:val="00BB4734"/>
    <w:rsid w:val="00BB4876"/>
    <w:rsid w:val="00BB52C1"/>
    <w:rsid w:val="00BB5D75"/>
    <w:rsid w:val="00BB5FB0"/>
    <w:rsid w:val="00BB6CA0"/>
    <w:rsid w:val="00BB6DDF"/>
    <w:rsid w:val="00BC015B"/>
    <w:rsid w:val="00BC0480"/>
    <w:rsid w:val="00BC0723"/>
    <w:rsid w:val="00BC0805"/>
    <w:rsid w:val="00BC1CB2"/>
    <w:rsid w:val="00BC1E2B"/>
    <w:rsid w:val="00BC1F59"/>
    <w:rsid w:val="00BC2903"/>
    <w:rsid w:val="00BC2F93"/>
    <w:rsid w:val="00BC3A44"/>
    <w:rsid w:val="00BC3C78"/>
    <w:rsid w:val="00BC43A3"/>
    <w:rsid w:val="00BC455B"/>
    <w:rsid w:val="00BC5859"/>
    <w:rsid w:val="00BC6489"/>
    <w:rsid w:val="00BC6E7D"/>
    <w:rsid w:val="00BD1B2C"/>
    <w:rsid w:val="00BD1F03"/>
    <w:rsid w:val="00BD230A"/>
    <w:rsid w:val="00BD2451"/>
    <w:rsid w:val="00BD2A2B"/>
    <w:rsid w:val="00BD330F"/>
    <w:rsid w:val="00BD38E2"/>
    <w:rsid w:val="00BD3E7A"/>
    <w:rsid w:val="00BD4168"/>
    <w:rsid w:val="00BD47D5"/>
    <w:rsid w:val="00BD493E"/>
    <w:rsid w:val="00BD5287"/>
    <w:rsid w:val="00BD52BF"/>
    <w:rsid w:val="00BD71A3"/>
    <w:rsid w:val="00BD771C"/>
    <w:rsid w:val="00BD7EC7"/>
    <w:rsid w:val="00BD7FA6"/>
    <w:rsid w:val="00BE01C8"/>
    <w:rsid w:val="00BE16C5"/>
    <w:rsid w:val="00BE16F5"/>
    <w:rsid w:val="00BE2A8D"/>
    <w:rsid w:val="00BE34E9"/>
    <w:rsid w:val="00BE5FFE"/>
    <w:rsid w:val="00BE6367"/>
    <w:rsid w:val="00BE6375"/>
    <w:rsid w:val="00BE7BF8"/>
    <w:rsid w:val="00BF0CF5"/>
    <w:rsid w:val="00BF34D6"/>
    <w:rsid w:val="00BF38E1"/>
    <w:rsid w:val="00BF596E"/>
    <w:rsid w:val="00BF6C77"/>
    <w:rsid w:val="00BF72BB"/>
    <w:rsid w:val="00BF764D"/>
    <w:rsid w:val="00BF79C4"/>
    <w:rsid w:val="00C016BC"/>
    <w:rsid w:val="00C01A45"/>
    <w:rsid w:val="00C0364F"/>
    <w:rsid w:val="00C03A6F"/>
    <w:rsid w:val="00C04897"/>
    <w:rsid w:val="00C055F7"/>
    <w:rsid w:val="00C0665C"/>
    <w:rsid w:val="00C07C0E"/>
    <w:rsid w:val="00C113E2"/>
    <w:rsid w:val="00C11D52"/>
    <w:rsid w:val="00C129E5"/>
    <w:rsid w:val="00C12A23"/>
    <w:rsid w:val="00C13697"/>
    <w:rsid w:val="00C1416C"/>
    <w:rsid w:val="00C14C64"/>
    <w:rsid w:val="00C1534D"/>
    <w:rsid w:val="00C156D2"/>
    <w:rsid w:val="00C17276"/>
    <w:rsid w:val="00C17923"/>
    <w:rsid w:val="00C17FDA"/>
    <w:rsid w:val="00C20705"/>
    <w:rsid w:val="00C20778"/>
    <w:rsid w:val="00C20EAA"/>
    <w:rsid w:val="00C214D2"/>
    <w:rsid w:val="00C22F7C"/>
    <w:rsid w:val="00C23A87"/>
    <w:rsid w:val="00C240BD"/>
    <w:rsid w:val="00C24E54"/>
    <w:rsid w:val="00C25777"/>
    <w:rsid w:val="00C25E43"/>
    <w:rsid w:val="00C26B6A"/>
    <w:rsid w:val="00C2711C"/>
    <w:rsid w:val="00C2730C"/>
    <w:rsid w:val="00C3059A"/>
    <w:rsid w:val="00C3060F"/>
    <w:rsid w:val="00C30F21"/>
    <w:rsid w:val="00C324A8"/>
    <w:rsid w:val="00C32898"/>
    <w:rsid w:val="00C3289E"/>
    <w:rsid w:val="00C33126"/>
    <w:rsid w:val="00C33F53"/>
    <w:rsid w:val="00C34F51"/>
    <w:rsid w:val="00C35066"/>
    <w:rsid w:val="00C35824"/>
    <w:rsid w:val="00C36C99"/>
    <w:rsid w:val="00C37096"/>
    <w:rsid w:val="00C377D4"/>
    <w:rsid w:val="00C37F9C"/>
    <w:rsid w:val="00C40AF6"/>
    <w:rsid w:val="00C41B21"/>
    <w:rsid w:val="00C41E49"/>
    <w:rsid w:val="00C42102"/>
    <w:rsid w:val="00C4292E"/>
    <w:rsid w:val="00C42D36"/>
    <w:rsid w:val="00C43327"/>
    <w:rsid w:val="00C43ECC"/>
    <w:rsid w:val="00C44D85"/>
    <w:rsid w:val="00C45032"/>
    <w:rsid w:val="00C462FC"/>
    <w:rsid w:val="00C46871"/>
    <w:rsid w:val="00C47563"/>
    <w:rsid w:val="00C47BAE"/>
    <w:rsid w:val="00C504BC"/>
    <w:rsid w:val="00C5063A"/>
    <w:rsid w:val="00C50F32"/>
    <w:rsid w:val="00C51229"/>
    <w:rsid w:val="00C5179F"/>
    <w:rsid w:val="00C51EC4"/>
    <w:rsid w:val="00C53B97"/>
    <w:rsid w:val="00C550F8"/>
    <w:rsid w:val="00C55884"/>
    <w:rsid w:val="00C55909"/>
    <w:rsid w:val="00C56CA9"/>
    <w:rsid w:val="00C5724D"/>
    <w:rsid w:val="00C57D48"/>
    <w:rsid w:val="00C6045A"/>
    <w:rsid w:val="00C61091"/>
    <w:rsid w:val="00C6239D"/>
    <w:rsid w:val="00C62575"/>
    <w:rsid w:val="00C632AE"/>
    <w:rsid w:val="00C63572"/>
    <w:rsid w:val="00C63C56"/>
    <w:rsid w:val="00C6474B"/>
    <w:rsid w:val="00C64B4A"/>
    <w:rsid w:val="00C64FB0"/>
    <w:rsid w:val="00C65652"/>
    <w:rsid w:val="00C65A18"/>
    <w:rsid w:val="00C660FD"/>
    <w:rsid w:val="00C6642C"/>
    <w:rsid w:val="00C665F3"/>
    <w:rsid w:val="00C6687D"/>
    <w:rsid w:val="00C6794C"/>
    <w:rsid w:val="00C67FCD"/>
    <w:rsid w:val="00C709B8"/>
    <w:rsid w:val="00C71050"/>
    <w:rsid w:val="00C711D6"/>
    <w:rsid w:val="00C71310"/>
    <w:rsid w:val="00C71947"/>
    <w:rsid w:val="00C724C6"/>
    <w:rsid w:val="00C7265E"/>
    <w:rsid w:val="00C73483"/>
    <w:rsid w:val="00C74333"/>
    <w:rsid w:val="00C74C84"/>
    <w:rsid w:val="00C7600C"/>
    <w:rsid w:val="00C760A6"/>
    <w:rsid w:val="00C76127"/>
    <w:rsid w:val="00C762FC"/>
    <w:rsid w:val="00C80386"/>
    <w:rsid w:val="00C80A92"/>
    <w:rsid w:val="00C8123E"/>
    <w:rsid w:val="00C8280F"/>
    <w:rsid w:val="00C82A8E"/>
    <w:rsid w:val="00C82BCF"/>
    <w:rsid w:val="00C82C8A"/>
    <w:rsid w:val="00C82D1F"/>
    <w:rsid w:val="00C82F4F"/>
    <w:rsid w:val="00C83318"/>
    <w:rsid w:val="00C834E5"/>
    <w:rsid w:val="00C839D2"/>
    <w:rsid w:val="00C83B03"/>
    <w:rsid w:val="00C84753"/>
    <w:rsid w:val="00C862EE"/>
    <w:rsid w:val="00C86B66"/>
    <w:rsid w:val="00C87743"/>
    <w:rsid w:val="00C90E96"/>
    <w:rsid w:val="00C91AA8"/>
    <w:rsid w:val="00C91E00"/>
    <w:rsid w:val="00C920A4"/>
    <w:rsid w:val="00C9392E"/>
    <w:rsid w:val="00C94F9D"/>
    <w:rsid w:val="00C959FE"/>
    <w:rsid w:val="00C95A5D"/>
    <w:rsid w:val="00C96664"/>
    <w:rsid w:val="00CA0158"/>
    <w:rsid w:val="00CA01AC"/>
    <w:rsid w:val="00CA1076"/>
    <w:rsid w:val="00CA11BC"/>
    <w:rsid w:val="00CA15E9"/>
    <w:rsid w:val="00CA1A92"/>
    <w:rsid w:val="00CA1AAC"/>
    <w:rsid w:val="00CA25B4"/>
    <w:rsid w:val="00CA3B16"/>
    <w:rsid w:val="00CA5410"/>
    <w:rsid w:val="00CA5461"/>
    <w:rsid w:val="00CA571D"/>
    <w:rsid w:val="00CA5B21"/>
    <w:rsid w:val="00CA6460"/>
    <w:rsid w:val="00CA6877"/>
    <w:rsid w:val="00CA6B90"/>
    <w:rsid w:val="00CA70F4"/>
    <w:rsid w:val="00CA7417"/>
    <w:rsid w:val="00CA7830"/>
    <w:rsid w:val="00CB0137"/>
    <w:rsid w:val="00CB030E"/>
    <w:rsid w:val="00CB0999"/>
    <w:rsid w:val="00CB12D7"/>
    <w:rsid w:val="00CB140F"/>
    <w:rsid w:val="00CB18EC"/>
    <w:rsid w:val="00CB1B2E"/>
    <w:rsid w:val="00CB1F32"/>
    <w:rsid w:val="00CB2078"/>
    <w:rsid w:val="00CB25AA"/>
    <w:rsid w:val="00CB31F0"/>
    <w:rsid w:val="00CB4754"/>
    <w:rsid w:val="00CB4C39"/>
    <w:rsid w:val="00CB7598"/>
    <w:rsid w:val="00CC0A1A"/>
    <w:rsid w:val="00CC0D3D"/>
    <w:rsid w:val="00CC32C9"/>
    <w:rsid w:val="00CC49CD"/>
    <w:rsid w:val="00CC50C1"/>
    <w:rsid w:val="00CC5429"/>
    <w:rsid w:val="00CC587B"/>
    <w:rsid w:val="00CC7353"/>
    <w:rsid w:val="00CC7E7B"/>
    <w:rsid w:val="00CD0E80"/>
    <w:rsid w:val="00CD19EE"/>
    <w:rsid w:val="00CD1D50"/>
    <w:rsid w:val="00CD4B23"/>
    <w:rsid w:val="00CD5EDA"/>
    <w:rsid w:val="00CD6A9E"/>
    <w:rsid w:val="00CD6B51"/>
    <w:rsid w:val="00CE0308"/>
    <w:rsid w:val="00CE04F3"/>
    <w:rsid w:val="00CE0EB1"/>
    <w:rsid w:val="00CE1532"/>
    <w:rsid w:val="00CE19A1"/>
    <w:rsid w:val="00CE1B0F"/>
    <w:rsid w:val="00CE1D7D"/>
    <w:rsid w:val="00CE272A"/>
    <w:rsid w:val="00CE2958"/>
    <w:rsid w:val="00CE34F4"/>
    <w:rsid w:val="00CE36A6"/>
    <w:rsid w:val="00CE3AE7"/>
    <w:rsid w:val="00CE408A"/>
    <w:rsid w:val="00CE4439"/>
    <w:rsid w:val="00CE4551"/>
    <w:rsid w:val="00CE46D1"/>
    <w:rsid w:val="00CE52AB"/>
    <w:rsid w:val="00CE63F0"/>
    <w:rsid w:val="00CE698E"/>
    <w:rsid w:val="00CE6E99"/>
    <w:rsid w:val="00CE7415"/>
    <w:rsid w:val="00CE7851"/>
    <w:rsid w:val="00CF0E43"/>
    <w:rsid w:val="00CF0F36"/>
    <w:rsid w:val="00CF15F6"/>
    <w:rsid w:val="00CF64F0"/>
    <w:rsid w:val="00CF6A90"/>
    <w:rsid w:val="00CF6E8E"/>
    <w:rsid w:val="00CF7276"/>
    <w:rsid w:val="00CF741D"/>
    <w:rsid w:val="00D02278"/>
    <w:rsid w:val="00D0230A"/>
    <w:rsid w:val="00D02CA8"/>
    <w:rsid w:val="00D04270"/>
    <w:rsid w:val="00D0438D"/>
    <w:rsid w:val="00D049C9"/>
    <w:rsid w:val="00D05786"/>
    <w:rsid w:val="00D05B56"/>
    <w:rsid w:val="00D06360"/>
    <w:rsid w:val="00D0653E"/>
    <w:rsid w:val="00D067E1"/>
    <w:rsid w:val="00D07397"/>
    <w:rsid w:val="00D07B3C"/>
    <w:rsid w:val="00D10024"/>
    <w:rsid w:val="00D1159C"/>
    <w:rsid w:val="00D119C2"/>
    <w:rsid w:val="00D11B44"/>
    <w:rsid w:val="00D12A60"/>
    <w:rsid w:val="00D1334F"/>
    <w:rsid w:val="00D1370B"/>
    <w:rsid w:val="00D13DEF"/>
    <w:rsid w:val="00D14CEC"/>
    <w:rsid w:val="00D15662"/>
    <w:rsid w:val="00D1700A"/>
    <w:rsid w:val="00D17C70"/>
    <w:rsid w:val="00D20CD0"/>
    <w:rsid w:val="00D21F48"/>
    <w:rsid w:val="00D22E92"/>
    <w:rsid w:val="00D23048"/>
    <w:rsid w:val="00D23D86"/>
    <w:rsid w:val="00D24806"/>
    <w:rsid w:val="00D24ADB"/>
    <w:rsid w:val="00D24B77"/>
    <w:rsid w:val="00D24BE2"/>
    <w:rsid w:val="00D24D21"/>
    <w:rsid w:val="00D24FAD"/>
    <w:rsid w:val="00D262C1"/>
    <w:rsid w:val="00D2676D"/>
    <w:rsid w:val="00D27566"/>
    <w:rsid w:val="00D27FA7"/>
    <w:rsid w:val="00D3000A"/>
    <w:rsid w:val="00D309BA"/>
    <w:rsid w:val="00D30B7F"/>
    <w:rsid w:val="00D30CD7"/>
    <w:rsid w:val="00D30FD6"/>
    <w:rsid w:val="00D3108B"/>
    <w:rsid w:val="00D31A5F"/>
    <w:rsid w:val="00D31E10"/>
    <w:rsid w:val="00D32791"/>
    <w:rsid w:val="00D330BD"/>
    <w:rsid w:val="00D3327A"/>
    <w:rsid w:val="00D3405C"/>
    <w:rsid w:val="00D340C1"/>
    <w:rsid w:val="00D34101"/>
    <w:rsid w:val="00D34884"/>
    <w:rsid w:val="00D35BFB"/>
    <w:rsid w:val="00D35D8C"/>
    <w:rsid w:val="00D36831"/>
    <w:rsid w:val="00D37CDA"/>
    <w:rsid w:val="00D403E7"/>
    <w:rsid w:val="00D40495"/>
    <w:rsid w:val="00D41345"/>
    <w:rsid w:val="00D417E9"/>
    <w:rsid w:val="00D421FA"/>
    <w:rsid w:val="00D42B7F"/>
    <w:rsid w:val="00D45641"/>
    <w:rsid w:val="00D47325"/>
    <w:rsid w:val="00D50649"/>
    <w:rsid w:val="00D51A12"/>
    <w:rsid w:val="00D51D88"/>
    <w:rsid w:val="00D51F1F"/>
    <w:rsid w:val="00D52AA2"/>
    <w:rsid w:val="00D5352A"/>
    <w:rsid w:val="00D54351"/>
    <w:rsid w:val="00D553A2"/>
    <w:rsid w:val="00D5731D"/>
    <w:rsid w:val="00D61CD7"/>
    <w:rsid w:val="00D62C4A"/>
    <w:rsid w:val="00D6308D"/>
    <w:rsid w:val="00D63EA4"/>
    <w:rsid w:val="00D641C4"/>
    <w:rsid w:val="00D649C8"/>
    <w:rsid w:val="00D65024"/>
    <w:rsid w:val="00D65E55"/>
    <w:rsid w:val="00D70FA3"/>
    <w:rsid w:val="00D71720"/>
    <w:rsid w:val="00D72054"/>
    <w:rsid w:val="00D72B7B"/>
    <w:rsid w:val="00D7347D"/>
    <w:rsid w:val="00D7639E"/>
    <w:rsid w:val="00D7658B"/>
    <w:rsid w:val="00D767B9"/>
    <w:rsid w:val="00D77691"/>
    <w:rsid w:val="00D77B61"/>
    <w:rsid w:val="00D80C12"/>
    <w:rsid w:val="00D818EB"/>
    <w:rsid w:val="00D827D9"/>
    <w:rsid w:val="00D8363C"/>
    <w:rsid w:val="00D849E9"/>
    <w:rsid w:val="00D84F67"/>
    <w:rsid w:val="00D85A09"/>
    <w:rsid w:val="00D85A68"/>
    <w:rsid w:val="00D85C2F"/>
    <w:rsid w:val="00D86764"/>
    <w:rsid w:val="00D86A12"/>
    <w:rsid w:val="00D86F4B"/>
    <w:rsid w:val="00D90C68"/>
    <w:rsid w:val="00D918DD"/>
    <w:rsid w:val="00D919DB"/>
    <w:rsid w:val="00D921E9"/>
    <w:rsid w:val="00D9294F"/>
    <w:rsid w:val="00D92B71"/>
    <w:rsid w:val="00D92C8C"/>
    <w:rsid w:val="00D93D53"/>
    <w:rsid w:val="00D93E79"/>
    <w:rsid w:val="00D942D4"/>
    <w:rsid w:val="00D948CB"/>
    <w:rsid w:val="00D94A3E"/>
    <w:rsid w:val="00D94B1D"/>
    <w:rsid w:val="00D954FE"/>
    <w:rsid w:val="00D957CB"/>
    <w:rsid w:val="00D95FF4"/>
    <w:rsid w:val="00D96465"/>
    <w:rsid w:val="00DA085F"/>
    <w:rsid w:val="00DA086D"/>
    <w:rsid w:val="00DA0E79"/>
    <w:rsid w:val="00DA2228"/>
    <w:rsid w:val="00DA2780"/>
    <w:rsid w:val="00DA2B71"/>
    <w:rsid w:val="00DA2E8D"/>
    <w:rsid w:val="00DA5206"/>
    <w:rsid w:val="00DA5A9D"/>
    <w:rsid w:val="00DA5BB2"/>
    <w:rsid w:val="00DA765E"/>
    <w:rsid w:val="00DB1544"/>
    <w:rsid w:val="00DB1F26"/>
    <w:rsid w:val="00DB2662"/>
    <w:rsid w:val="00DB28EB"/>
    <w:rsid w:val="00DB4D82"/>
    <w:rsid w:val="00DB4DB3"/>
    <w:rsid w:val="00DB649F"/>
    <w:rsid w:val="00DB6753"/>
    <w:rsid w:val="00DB7145"/>
    <w:rsid w:val="00DB738A"/>
    <w:rsid w:val="00DB7566"/>
    <w:rsid w:val="00DB7FEA"/>
    <w:rsid w:val="00DC1385"/>
    <w:rsid w:val="00DC1598"/>
    <w:rsid w:val="00DC2BDA"/>
    <w:rsid w:val="00DC39FD"/>
    <w:rsid w:val="00DC3BB4"/>
    <w:rsid w:val="00DC3FE9"/>
    <w:rsid w:val="00DC4093"/>
    <w:rsid w:val="00DC5094"/>
    <w:rsid w:val="00DC5243"/>
    <w:rsid w:val="00DC6E4B"/>
    <w:rsid w:val="00DC7931"/>
    <w:rsid w:val="00DD0C0C"/>
    <w:rsid w:val="00DD0F89"/>
    <w:rsid w:val="00DD1B1E"/>
    <w:rsid w:val="00DD305B"/>
    <w:rsid w:val="00DD3155"/>
    <w:rsid w:val="00DD4A68"/>
    <w:rsid w:val="00DD531A"/>
    <w:rsid w:val="00DD5C15"/>
    <w:rsid w:val="00DD68FB"/>
    <w:rsid w:val="00DD70B0"/>
    <w:rsid w:val="00DD79E9"/>
    <w:rsid w:val="00DE01CB"/>
    <w:rsid w:val="00DE2AE4"/>
    <w:rsid w:val="00DE3866"/>
    <w:rsid w:val="00DE46E7"/>
    <w:rsid w:val="00DE49D0"/>
    <w:rsid w:val="00DE56EF"/>
    <w:rsid w:val="00DE64E5"/>
    <w:rsid w:val="00DE6E9F"/>
    <w:rsid w:val="00DE759C"/>
    <w:rsid w:val="00DE764F"/>
    <w:rsid w:val="00DF06D3"/>
    <w:rsid w:val="00DF0CF4"/>
    <w:rsid w:val="00DF142D"/>
    <w:rsid w:val="00DF2258"/>
    <w:rsid w:val="00DF2770"/>
    <w:rsid w:val="00DF3EC1"/>
    <w:rsid w:val="00DF3EE1"/>
    <w:rsid w:val="00DF420A"/>
    <w:rsid w:val="00DF4F78"/>
    <w:rsid w:val="00DF5869"/>
    <w:rsid w:val="00DF5C49"/>
    <w:rsid w:val="00DF5D4A"/>
    <w:rsid w:val="00DF656C"/>
    <w:rsid w:val="00DF71B5"/>
    <w:rsid w:val="00DF7DB9"/>
    <w:rsid w:val="00E00885"/>
    <w:rsid w:val="00E012D7"/>
    <w:rsid w:val="00E0141A"/>
    <w:rsid w:val="00E01C6E"/>
    <w:rsid w:val="00E025CD"/>
    <w:rsid w:val="00E02DBF"/>
    <w:rsid w:val="00E03CC4"/>
    <w:rsid w:val="00E03D2F"/>
    <w:rsid w:val="00E0474B"/>
    <w:rsid w:val="00E05220"/>
    <w:rsid w:val="00E0551D"/>
    <w:rsid w:val="00E062C6"/>
    <w:rsid w:val="00E06A9A"/>
    <w:rsid w:val="00E06EC7"/>
    <w:rsid w:val="00E10280"/>
    <w:rsid w:val="00E10980"/>
    <w:rsid w:val="00E10BE0"/>
    <w:rsid w:val="00E10F01"/>
    <w:rsid w:val="00E1102A"/>
    <w:rsid w:val="00E111BA"/>
    <w:rsid w:val="00E1267A"/>
    <w:rsid w:val="00E127A7"/>
    <w:rsid w:val="00E130A0"/>
    <w:rsid w:val="00E141E4"/>
    <w:rsid w:val="00E148D8"/>
    <w:rsid w:val="00E15089"/>
    <w:rsid w:val="00E16D38"/>
    <w:rsid w:val="00E17378"/>
    <w:rsid w:val="00E176E6"/>
    <w:rsid w:val="00E1783D"/>
    <w:rsid w:val="00E179C4"/>
    <w:rsid w:val="00E17AB2"/>
    <w:rsid w:val="00E17B9E"/>
    <w:rsid w:val="00E202C4"/>
    <w:rsid w:val="00E230EF"/>
    <w:rsid w:val="00E23211"/>
    <w:rsid w:val="00E2479E"/>
    <w:rsid w:val="00E24E4B"/>
    <w:rsid w:val="00E2528A"/>
    <w:rsid w:val="00E25AC4"/>
    <w:rsid w:val="00E26524"/>
    <w:rsid w:val="00E2790D"/>
    <w:rsid w:val="00E30277"/>
    <w:rsid w:val="00E30810"/>
    <w:rsid w:val="00E31915"/>
    <w:rsid w:val="00E32FD5"/>
    <w:rsid w:val="00E34A85"/>
    <w:rsid w:val="00E36C3B"/>
    <w:rsid w:val="00E36E4B"/>
    <w:rsid w:val="00E373E1"/>
    <w:rsid w:val="00E400AC"/>
    <w:rsid w:val="00E41C22"/>
    <w:rsid w:val="00E41F5B"/>
    <w:rsid w:val="00E43250"/>
    <w:rsid w:val="00E43B1D"/>
    <w:rsid w:val="00E43C7D"/>
    <w:rsid w:val="00E45BE3"/>
    <w:rsid w:val="00E45F3D"/>
    <w:rsid w:val="00E46160"/>
    <w:rsid w:val="00E4630E"/>
    <w:rsid w:val="00E4728D"/>
    <w:rsid w:val="00E50052"/>
    <w:rsid w:val="00E512F6"/>
    <w:rsid w:val="00E51489"/>
    <w:rsid w:val="00E51563"/>
    <w:rsid w:val="00E52B5E"/>
    <w:rsid w:val="00E5308D"/>
    <w:rsid w:val="00E54AAF"/>
    <w:rsid w:val="00E54DB3"/>
    <w:rsid w:val="00E5522C"/>
    <w:rsid w:val="00E55DE3"/>
    <w:rsid w:val="00E56BB0"/>
    <w:rsid w:val="00E572FA"/>
    <w:rsid w:val="00E57B2D"/>
    <w:rsid w:val="00E57B6C"/>
    <w:rsid w:val="00E6046F"/>
    <w:rsid w:val="00E6048F"/>
    <w:rsid w:val="00E604B1"/>
    <w:rsid w:val="00E6063C"/>
    <w:rsid w:val="00E61091"/>
    <w:rsid w:val="00E62637"/>
    <w:rsid w:val="00E62F85"/>
    <w:rsid w:val="00E63048"/>
    <w:rsid w:val="00E64EE9"/>
    <w:rsid w:val="00E664B5"/>
    <w:rsid w:val="00E66D94"/>
    <w:rsid w:val="00E673E0"/>
    <w:rsid w:val="00E67EEF"/>
    <w:rsid w:val="00E70748"/>
    <w:rsid w:val="00E71A7F"/>
    <w:rsid w:val="00E71F3E"/>
    <w:rsid w:val="00E72A9E"/>
    <w:rsid w:val="00E72CFA"/>
    <w:rsid w:val="00E733B1"/>
    <w:rsid w:val="00E7350C"/>
    <w:rsid w:val="00E73A52"/>
    <w:rsid w:val="00E73DCD"/>
    <w:rsid w:val="00E73DCF"/>
    <w:rsid w:val="00E7445C"/>
    <w:rsid w:val="00E75FF3"/>
    <w:rsid w:val="00E76908"/>
    <w:rsid w:val="00E800C8"/>
    <w:rsid w:val="00E802E6"/>
    <w:rsid w:val="00E80A94"/>
    <w:rsid w:val="00E80DD7"/>
    <w:rsid w:val="00E81629"/>
    <w:rsid w:val="00E82129"/>
    <w:rsid w:val="00E82471"/>
    <w:rsid w:val="00E8258F"/>
    <w:rsid w:val="00E82A25"/>
    <w:rsid w:val="00E85DE9"/>
    <w:rsid w:val="00E8645F"/>
    <w:rsid w:val="00E86944"/>
    <w:rsid w:val="00E87024"/>
    <w:rsid w:val="00E87274"/>
    <w:rsid w:val="00E87C94"/>
    <w:rsid w:val="00E90016"/>
    <w:rsid w:val="00E90321"/>
    <w:rsid w:val="00E9229B"/>
    <w:rsid w:val="00E9350D"/>
    <w:rsid w:val="00E938EB"/>
    <w:rsid w:val="00E93D1B"/>
    <w:rsid w:val="00E946F7"/>
    <w:rsid w:val="00E95753"/>
    <w:rsid w:val="00EA0670"/>
    <w:rsid w:val="00EA11C0"/>
    <w:rsid w:val="00EA1581"/>
    <w:rsid w:val="00EA2A3B"/>
    <w:rsid w:val="00EA444B"/>
    <w:rsid w:val="00EA490E"/>
    <w:rsid w:val="00EA5104"/>
    <w:rsid w:val="00EA53E5"/>
    <w:rsid w:val="00EA55B3"/>
    <w:rsid w:val="00EA6392"/>
    <w:rsid w:val="00EA7AA8"/>
    <w:rsid w:val="00EA7D27"/>
    <w:rsid w:val="00EB28F6"/>
    <w:rsid w:val="00EB2B35"/>
    <w:rsid w:val="00EB38B6"/>
    <w:rsid w:val="00EB3C31"/>
    <w:rsid w:val="00EB4033"/>
    <w:rsid w:val="00EB4343"/>
    <w:rsid w:val="00EB5E65"/>
    <w:rsid w:val="00EB5FC3"/>
    <w:rsid w:val="00EB78F2"/>
    <w:rsid w:val="00EB792F"/>
    <w:rsid w:val="00EC003F"/>
    <w:rsid w:val="00EC004A"/>
    <w:rsid w:val="00EC0A6D"/>
    <w:rsid w:val="00EC16A1"/>
    <w:rsid w:val="00EC17C9"/>
    <w:rsid w:val="00EC2AD7"/>
    <w:rsid w:val="00EC2E5F"/>
    <w:rsid w:val="00EC5D50"/>
    <w:rsid w:val="00EC6F5F"/>
    <w:rsid w:val="00EC7519"/>
    <w:rsid w:val="00EC76BB"/>
    <w:rsid w:val="00EC7893"/>
    <w:rsid w:val="00EC7CF2"/>
    <w:rsid w:val="00EC7ECF"/>
    <w:rsid w:val="00ED00F6"/>
    <w:rsid w:val="00ED0329"/>
    <w:rsid w:val="00ED06D3"/>
    <w:rsid w:val="00ED17D7"/>
    <w:rsid w:val="00ED25D9"/>
    <w:rsid w:val="00ED263A"/>
    <w:rsid w:val="00ED2F86"/>
    <w:rsid w:val="00ED35BA"/>
    <w:rsid w:val="00ED5732"/>
    <w:rsid w:val="00ED57A7"/>
    <w:rsid w:val="00ED6118"/>
    <w:rsid w:val="00ED6605"/>
    <w:rsid w:val="00ED6E32"/>
    <w:rsid w:val="00ED7F5B"/>
    <w:rsid w:val="00EE001D"/>
    <w:rsid w:val="00EE05D7"/>
    <w:rsid w:val="00EE0B6C"/>
    <w:rsid w:val="00EE0E54"/>
    <w:rsid w:val="00EE10D9"/>
    <w:rsid w:val="00EE1124"/>
    <w:rsid w:val="00EE1C8C"/>
    <w:rsid w:val="00EE2865"/>
    <w:rsid w:val="00EE4051"/>
    <w:rsid w:val="00EE4171"/>
    <w:rsid w:val="00EE4A48"/>
    <w:rsid w:val="00EE4ADF"/>
    <w:rsid w:val="00EE4D28"/>
    <w:rsid w:val="00EE5768"/>
    <w:rsid w:val="00EE644C"/>
    <w:rsid w:val="00EE7CF4"/>
    <w:rsid w:val="00EF08B8"/>
    <w:rsid w:val="00EF096B"/>
    <w:rsid w:val="00EF0F75"/>
    <w:rsid w:val="00EF15EB"/>
    <w:rsid w:val="00EF1D78"/>
    <w:rsid w:val="00EF26A8"/>
    <w:rsid w:val="00EF5142"/>
    <w:rsid w:val="00EF542E"/>
    <w:rsid w:val="00EF699A"/>
    <w:rsid w:val="00EF7C46"/>
    <w:rsid w:val="00F0012B"/>
    <w:rsid w:val="00F0172A"/>
    <w:rsid w:val="00F01965"/>
    <w:rsid w:val="00F02D2A"/>
    <w:rsid w:val="00F0471C"/>
    <w:rsid w:val="00F056F2"/>
    <w:rsid w:val="00F0618D"/>
    <w:rsid w:val="00F06533"/>
    <w:rsid w:val="00F10F53"/>
    <w:rsid w:val="00F11AC1"/>
    <w:rsid w:val="00F1217A"/>
    <w:rsid w:val="00F122CC"/>
    <w:rsid w:val="00F124BF"/>
    <w:rsid w:val="00F12DB0"/>
    <w:rsid w:val="00F12DC3"/>
    <w:rsid w:val="00F12EAF"/>
    <w:rsid w:val="00F12EFC"/>
    <w:rsid w:val="00F13CA9"/>
    <w:rsid w:val="00F14FB5"/>
    <w:rsid w:val="00F153AA"/>
    <w:rsid w:val="00F161CD"/>
    <w:rsid w:val="00F16A06"/>
    <w:rsid w:val="00F17652"/>
    <w:rsid w:val="00F17C15"/>
    <w:rsid w:val="00F20214"/>
    <w:rsid w:val="00F21844"/>
    <w:rsid w:val="00F21A2F"/>
    <w:rsid w:val="00F21E91"/>
    <w:rsid w:val="00F23865"/>
    <w:rsid w:val="00F243E0"/>
    <w:rsid w:val="00F25EFC"/>
    <w:rsid w:val="00F2624A"/>
    <w:rsid w:val="00F26962"/>
    <w:rsid w:val="00F27DC1"/>
    <w:rsid w:val="00F3012C"/>
    <w:rsid w:val="00F3168C"/>
    <w:rsid w:val="00F31F22"/>
    <w:rsid w:val="00F31FE4"/>
    <w:rsid w:val="00F32979"/>
    <w:rsid w:val="00F32A87"/>
    <w:rsid w:val="00F32BDD"/>
    <w:rsid w:val="00F332EF"/>
    <w:rsid w:val="00F334FD"/>
    <w:rsid w:val="00F34505"/>
    <w:rsid w:val="00F34D1F"/>
    <w:rsid w:val="00F35037"/>
    <w:rsid w:val="00F360EA"/>
    <w:rsid w:val="00F36BFA"/>
    <w:rsid w:val="00F408B5"/>
    <w:rsid w:val="00F40E73"/>
    <w:rsid w:val="00F41531"/>
    <w:rsid w:val="00F41F1D"/>
    <w:rsid w:val="00F43797"/>
    <w:rsid w:val="00F43F7C"/>
    <w:rsid w:val="00F44E64"/>
    <w:rsid w:val="00F45677"/>
    <w:rsid w:val="00F46B8B"/>
    <w:rsid w:val="00F47581"/>
    <w:rsid w:val="00F47A9A"/>
    <w:rsid w:val="00F47F00"/>
    <w:rsid w:val="00F50592"/>
    <w:rsid w:val="00F50813"/>
    <w:rsid w:val="00F52615"/>
    <w:rsid w:val="00F52AB3"/>
    <w:rsid w:val="00F52DBE"/>
    <w:rsid w:val="00F53840"/>
    <w:rsid w:val="00F53B50"/>
    <w:rsid w:val="00F53B55"/>
    <w:rsid w:val="00F548C1"/>
    <w:rsid w:val="00F54995"/>
    <w:rsid w:val="00F5673C"/>
    <w:rsid w:val="00F568B5"/>
    <w:rsid w:val="00F57E30"/>
    <w:rsid w:val="00F60021"/>
    <w:rsid w:val="00F60D30"/>
    <w:rsid w:val="00F62EE1"/>
    <w:rsid w:val="00F6388B"/>
    <w:rsid w:val="00F63BBD"/>
    <w:rsid w:val="00F63D35"/>
    <w:rsid w:val="00F63DF6"/>
    <w:rsid w:val="00F6434E"/>
    <w:rsid w:val="00F64D9A"/>
    <w:rsid w:val="00F656FB"/>
    <w:rsid w:val="00F65E60"/>
    <w:rsid w:val="00F66359"/>
    <w:rsid w:val="00F665FB"/>
    <w:rsid w:val="00F66B5F"/>
    <w:rsid w:val="00F66BD8"/>
    <w:rsid w:val="00F67602"/>
    <w:rsid w:val="00F67AB4"/>
    <w:rsid w:val="00F71106"/>
    <w:rsid w:val="00F71E76"/>
    <w:rsid w:val="00F71EB4"/>
    <w:rsid w:val="00F733FF"/>
    <w:rsid w:val="00F737C4"/>
    <w:rsid w:val="00F73AE6"/>
    <w:rsid w:val="00F74798"/>
    <w:rsid w:val="00F7483A"/>
    <w:rsid w:val="00F752A1"/>
    <w:rsid w:val="00F75765"/>
    <w:rsid w:val="00F76401"/>
    <w:rsid w:val="00F764FE"/>
    <w:rsid w:val="00F76A45"/>
    <w:rsid w:val="00F7719F"/>
    <w:rsid w:val="00F77D15"/>
    <w:rsid w:val="00F77F25"/>
    <w:rsid w:val="00F80697"/>
    <w:rsid w:val="00F80ACF"/>
    <w:rsid w:val="00F81303"/>
    <w:rsid w:val="00F813FB"/>
    <w:rsid w:val="00F81B7C"/>
    <w:rsid w:val="00F81BCD"/>
    <w:rsid w:val="00F820C2"/>
    <w:rsid w:val="00F821A0"/>
    <w:rsid w:val="00F82CB2"/>
    <w:rsid w:val="00F8312C"/>
    <w:rsid w:val="00F83584"/>
    <w:rsid w:val="00F838A4"/>
    <w:rsid w:val="00F83967"/>
    <w:rsid w:val="00F83D8D"/>
    <w:rsid w:val="00F83DAF"/>
    <w:rsid w:val="00F8431E"/>
    <w:rsid w:val="00F904F1"/>
    <w:rsid w:val="00F9136B"/>
    <w:rsid w:val="00F91EEA"/>
    <w:rsid w:val="00F9226A"/>
    <w:rsid w:val="00F924BE"/>
    <w:rsid w:val="00F925C2"/>
    <w:rsid w:val="00F9261F"/>
    <w:rsid w:val="00F9415C"/>
    <w:rsid w:val="00F955AA"/>
    <w:rsid w:val="00F95A41"/>
    <w:rsid w:val="00F95CE4"/>
    <w:rsid w:val="00F95F63"/>
    <w:rsid w:val="00F96EC9"/>
    <w:rsid w:val="00F97244"/>
    <w:rsid w:val="00F975D8"/>
    <w:rsid w:val="00F977E8"/>
    <w:rsid w:val="00FA0752"/>
    <w:rsid w:val="00FA21F5"/>
    <w:rsid w:val="00FA3315"/>
    <w:rsid w:val="00FA3523"/>
    <w:rsid w:val="00FA40E4"/>
    <w:rsid w:val="00FA419B"/>
    <w:rsid w:val="00FA4204"/>
    <w:rsid w:val="00FA49BD"/>
    <w:rsid w:val="00FA4AC8"/>
    <w:rsid w:val="00FA5C22"/>
    <w:rsid w:val="00FA5EC2"/>
    <w:rsid w:val="00FA66D7"/>
    <w:rsid w:val="00FA7677"/>
    <w:rsid w:val="00FA79CB"/>
    <w:rsid w:val="00FA7CC9"/>
    <w:rsid w:val="00FB02B6"/>
    <w:rsid w:val="00FB1559"/>
    <w:rsid w:val="00FB1B03"/>
    <w:rsid w:val="00FB2454"/>
    <w:rsid w:val="00FB2E27"/>
    <w:rsid w:val="00FB329A"/>
    <w:rsid w:val="00FB3AD2"/>
    <w:rsid w:val="00FB4694"/>
    <w:rsid w:val="00FB5300"/>
    <w:rsid w:val="00FB5488"/>
    <w:rsid w:val="00FB556E"/>
    <w:rsid w:val="00FB59FF"/>
    <w:rsid w:val="00FB79D8"/>
    <w:rsid w:val="00FC06A2"/>
    <w:rsid w:val="00FC0D4C"/>
    <w:rsid w:val="00FC1A22"/>
    <w:rsid w:val="00FC1BEB"/>
    <w:rsid w:val="00FC1F30"/>
    <w:rsid w:val="00FC208B"/>
    <w:rsid w:val="00FC3C1B"/>
    <w:rsid w:val="00FC41D5"/>
    <w:rsid w:val="00FC4F35"/>
    <w:rsid w:val="00FC6BBA"/>
    <w:rsid w:val="00FC6E94"/>
    <w:rsid w:val="00FC7663"/>
    <w:rsid w:val="00FD0050"/>
    <w:rsid w:val="00FD0EEC"/>
    <w:rsid w:val="00FD1F5B"/>
    <w:rsid w:val="00FD2525"/>
    <w:rsid w:val="00FD33BE"/>
    <w:rsid w:val="00FD3467"/>
    <w:rsid w:val="00FD3D92"/>
    <w:rsid w:val="00FD4A58"/>
    <w:rsid w:val="00FD4ED5"/>
    <w:rsid w:val="00FD5188"/>
    <w:rsid w:val="00FD6FBB"/>
    <w:rsid w:val="00FD722F"/>
    <w:rsid w:val="00FD7F72"/>
    <w:rsid w:val="00FE1630"/>
    <w:rsid w:val="00FE1AF4"/>
    <w:rsid w:val="00FE1B98"/>
    <w:rsid w:val="00FE1BEF"/>
    <w:rsid w:val="00FE2AD6"/>
    <w:rsid w:val="00FE2D04"/>
    <w:rsid w:val="00FE3391"/>
    <w:rsid w:val="00FE445D"/>
    <w:rsid w:val="00FE4BB6"/>
    <w:rsid w:val="00FE596D"/>
    <w:rsid w:val="00FE5BF0"/>
    <w:rsid w:val="00FE601B"/>
    <w:rsid w:val="00FF009E"/>
    <w:rsid w:val="00FF0970"/>
    <w:rsid w:val="00FF2198"/>
    <w:rsid w:val="00FF3D29"/>
    <w:rsid w:val="00FF4725"/>
    <w:rsid w:val="00FF6085"/>
    <w:rsid w:val="00FF6937"/>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1"/>
    <o:shapelayout v:ext="edit">
      <o:idmap v:ext="edit" data="2"/>
    </o:shapelayout>
  </w:shapeDefaults>
  <w:decimalSymbol w:val="."/>
  <w:listSeparator w:val=","/>
  <w14:docId w14:val="0BE47E7F"/>
  <w15:docId w15:val="{80CC2D9A-21A8-4385-A35F-86A74D64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FA"/>
  </w:style>
  <w:style w:type="paragraph" w:styleId="Heading1">
    <w:name w:val="heading 1"/>
    <w:basedOn w:val="ListParagraph"/>
    <w:next w:val="Normal"/>
    <w:link w:val="Heading1Char"/>
    <w:uiPriority w:val="9"/>
    <w:qFormat/>
    <w:rsid w:val="00C47563"/>
    <w:pPr>
      <w:keepNext/>
      <w:keepLines/>
      <w:spacing w:line="360" w:lineRule="auto"/>
      <w:ind w:left="0"/>
      <w:contextualSpacing/>
      <w:jc w:val="center"/>
      <w:outlineLvl w:val="0"/>
    </w:pPr>
    <w:rPr>
      <w:b/>
      <w:sz w:val="26"/>
      <w:szCs w:val="26"/>
    </w:rPr>
  </w:style>
  <w:style w:type="paragraph" w:styleId="Heading2">
    <w:name w:val="heading 2"/>
    <w:basedOn w:val="Normal"/>
    <w:next w:val="Normal"/>
    <w:link w:val="Heading2Char"/>
    <w:uiPriority w:val="9"/>
    <w:unhideWhenUsed/>
    <w:qFormat/>
    <w:rsid w:val="00C47563"/>
    <w:pPr>
      <w:keepNext/>
      <w:keepLines/>
      <w:spacing w:after="0" w:line="240" w:lineRule="auto"/>
      <w:contextualSpacing/>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C47563"/>
    <w:pPr>
      <w:keepNext/>
      <w:keepLines/>
      <w:spacing w:after="0" w:line="240" w:lineRule="auto"/>
      <w:ind w:firstLine="720"/>
      <w:contextualSpacing/>
      <w:outlineLvl w:val="2"/>
    </w:pPr>
    <w:rPr>
      <w:rFonts w:ascii="Times New Roman" w:hAnsi="Times New Roman" w:cs="Times New Roman"/>
      <w:b/>
      <w:bCs/>
      <w:sz w:val="26"/>
      <w:szCs w:val="26"/>
    </w:rPr>
  </w:style>
  <w:style w:type="paragraph" w:styleId="Heading4">
    <w:name w:val="heading 4"/>
    <w:basedOn w:val="Normal"/>
    <w:next w:val="Normal"/>
    <w:link w:val="Heading4Char"/>
    <w:uiPriority w:val="9"/>
    <w:unhideWhenUsed/>
    <w:qFormat/>
    <w:rsid w:val="00C47563"/>
    <w:pPr>
      <w:keepNext/>
      <w:spacing w:after="0" w:line="360" w:lineRule="auto"/>
      <w:ind w:firstLine="1440"/>
      <w:contextualSpacing/>
      <w:outlineLvl w:val="3"/>
    </w:pPr>
    <w:rPr>
      <w:rFonts w:ascii="Times New Roman" w:eastAsia="Times New Roman" w:hAnsi="Times New Roman" w:cs="Times New Roman"/>
      <w:b/>
      <w:bCs/>
      <w:sz w:val="26"/>
      <w:szCs w:val="26"/>
    </w:rPr>
  </w:style>
  <w:style w:type="paragraph" w:styleId="Heading6">
    <w:name w:val="heading 6"/>
    <w:next w:val="Normal"/>
    <w:link w:val="Heading6Char"/>
    <w:uiPriority w:val="9"/>
    <w:unhideWhenUsed/>
    <w:qFormat/>
    <w:rsid w:val="001015EC"/>
    <w:pPr>
      <w:keepNext/>
      <w:keepLines/>
      <w:spacing w:after="11" w:line="247" w:lineRule="auto"/>
      <w:ind w:left="10" w:hanging="10"/>
      <w:jc w:val="center"/>
      <w:outlineLvl w:val="5"/>
    </w:pPr>
    <w:rPr>
      <w:rFonts w:ascii="Arial" w:eastAsia="Arial" w:hAnsi="Arial" w:cs="Arial"/>
      <w:b/>
      <w:color w:val="000000"/>
      <w:sz w:val="20"/>
    </w:rPr>
  </w:style>
  <w:style w:type="paragraph" w:styleId="Heading8">
    <w:name w:val="heading 8"/>
    <w:basedOn w:val="Normal"/>
    <w:next w:val="Normal"/>
    <w:link w:val="Heading8Char"/>
    <w:uiPriority w:val="9"/>
    <w:semiHidden/>
    <w:unhideWhenUsed/>
    <w:qFormat/>
    <w:rsid w:val="001826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76"/>
  </w:style>
  <w:style w:type="paragraph" w:styleId="Footer">
    <w:name w:val="footer"/>
    <w:basedOn w:val="Normal"/>
    <w:link w:val="FooterChar"/>
    <w:uiPriority w:val="99"/>
    <w:unhideWhenUsed/>
    <w:rsid w:val="0084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76"/>
  </w:style>
  <w:style w:type="paragraph" w:styleId="ListParagraph">
    <w:name w:val="List Paragraph"/>
    <w:basedOn w:val="Normal"/>
    <w:uiPriority w:val="34"/>
    <w:qFormat/>
    <w:rsid w:val="009E1F23"/>
    <w:pPr>
      <w:spacing w:after="0" w:line="240" w:lineRule="auto"/>
      <w:ind w:left="720"/>
    </w:pPr>
    <w:rPr>
      <w:rFonts w:ascii="Times New Roman" w:eastAsia="Times New Roman" w:hAnsi="Times New Roman" w:cs="Times New Roman"/>
      <w:sz w:val="24"/>
      <w:szCs w:val="24"/>
    </w:rPr>
  </w:style>
  <w:style w:type="paragraph" w:styleId="FootnoteText">
    <w:name w:val="footnote text"/>
    <w:aliases w:val="ALTS FOOTNOTE,ALTS FOOTNOTE Char,FOOTNOTE,Footnote Text 2,Footnote Text Char Char,Footnote Text Char Char Char Char,Footnote Text Char Char1 Char,Footnote Text Char1 Char Char,Footnote Text Char1 Char1,Footnote Text Char2,Footnote text,fn"/>
    <w:basedOn w:val="Normal"/>
    <w:link w:val="FootnoteTextChar"/>
    <w:uiPriority w:val="99"/>
    <w:unhideWhenUsed/>
    <w:qFormat/>
    <w:rsid w:val="005B6850"/>
    <w:pPr>
      <w:spacing w:after="0" w:line="240" w:lineRule="auto"/>
    </w:pPr>
    <w:rPr>
      <w:sz w:val="20"/>
      <w:szCs w:val="20"/>
    </w:rPr>
  </w:style>
  <w:style w:type="character" w:customStyle="1" w:styleId="FootnoteTextChar">
    <w:name w:val="Footnote Text Char"/>
    <w:aliases w:val="ALTS FOOTNOTE Char1,ALTS FOOTNOTE Char Char,FOOTNOTE Char,Footnote Text 2 Char,Footnote Text Char Char Char,Footnote Text Char Char Char Char Char,Footnote Text Char Char1 Char Char,Footnote Text Char1 Char Char Char,fn Char"/>
    <w:basedOn w:val="DefaultParagraphFont"/>
    <w:link w:val="FootnoteText"/>
    <w:uiPriority w:val="99"/>
    <w:qFormat/>
    <w:rsid w:val="005B6850"/>
    <w:rPr>
      <w:sz w:val="20"/>
      <w:szCs w:val="20"/>
    </w:rPr>
  </w:style>
  <w:style w:type="character" w:styleId="FootnoteReference">
    <w:name w:val="footnote reference"/>
    <w:aliases w:val="o,fr,Style 42,(NECG) Footnote Reference,Footnote Reference (EIS),Styl,Style 11,Style 13,Style 15,Style 17,Style 18,Style 19,Style 20,Style 21,Style 24,Style 28,Style 4,Style 5,Style 7,Style 8,fr1,fr2,fr3,o1,o2,o3,footnote text"/>
    <w:basedOn w:val="DefaultParagraphFont"/>
    <w:uiPriority w:val="99"/>
    <w:unhideWhenUsed/>
    <w:qFormat/>
    <w:rsid w:val="005B6850"/>
    <w:rPr>
      <w:vertAlign w:val="superscript"/>
    </w:rPr>
  </w:style>
  <w:style w:type="paragraph" w:styleId="BalloonText">
    <w:name w:val="Balloon Text"/>
    <w:basedOn w:val="Normal"/>
    <w:link w:val="BalloonTextChar"/>
    <w:uiPriority w:val="99"/>
    <w:semiHidden/>
    <w:unhideWhenUsed/>
    <w:rsid w:val="008B2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48D"/>
    <w:rPr>
      <w:rFonts w:ascii="Segoe UI" w:hAnsi="Segoe UI" w:cs="Segoe UI"/>
      <w:sz w:val="18"/>
      <w:szCs w:val="18"/>
    </w:rPr>
  </w:style>
  <w:style w:type="paragraph" w:customStyle="1" w:styleId="footnotedescription">
    <w:name w:val="footnote description"/>
    <w:next w:val="Normal"/>
    <w:link w:val="footnotedescriptionChar"/>
    <w:hidden/>
    <w:rsid w:val="004461A6"/>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61A6"/>
    <w:rPr>
      <w:rFonts w:ascii="Times New Roman" w:eastAsia="Times New Roman" w:hAnsi="Times New Roman" w:cs="Times New Roman"/>
      <w:color w:val="000000"/>
      <w:sz w:val="20"/>
    </w:rPr>
  </w:style>
  <w:style w:type="character" w:customStyle="1" w:styleId="footnotemark">
    <w:name w:val="footnote mark"/>
    <w:hidden/>
    <w:rsid w:val="004461A6"/>
    <w:rPr>
      <w:rFonts w:ascii="Times New Roman" w:eastAsia="Times New Roman" w:hAnsi="Times New Roman" w:cs="Times New Roman"/>
      <w:color w:val="000000"/>
      <w:sz w:val="20"/>
      <w:vertAlign w:val="superscript"/>
    </w:rPr>
  </w:style>
  <w:style w:type="character" w:customStyle="1" w:styleId="Heading6Char">
    <w:name w:val="Heading 6 Char"/>
    <w:basedOn w:val="DefaultParagraphFont"/>
    <w:link w:val="Heading6"/>
    <w:uiPriority w:val="9"/>
    <w:rsid w:val="001015EC"/>
    <w:rPr>
      <w:rFonts w:ascii="Arial" w:eastAsia="Arial" w:hAnsi="Arial" w:cs="Arial"/>
      <w:b/>
      <w:color w:val="000000"/>
      <w:sz w:val="20"/>
    </w:rPr>
  </w:style>
  <w:style w:type="table" w:customStyle="1" w:styleId="TableGrid">
    <w:name w:val="TableGrid"/>
    <w:rsid w:val="001015EC"/>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9006C"/>
    <w:rPr>
      <w:sz w:val="16"/>
      <w:szCs w:val="16"/>
    </w:rPr>
  </w:style>
  <w:style w:type="paragraph" w:styleId="CommentText">
    <w:name w:val="annotation text"/>
    <w:basedOn w:val="Normal"/>
    <w:link w:val="CommentTextChar"/>
    <w:uiPriority w:val="99"/>
    <w:unhideWhenUsed/>
    <w:rsid w:val="0049006C"/>
    <w:pPr>
      <w:spacing w:after="160" w:line="240" w:lineRule="auto"/>
    </w:pPr>
    <w:rPr>
      <w:sz w:val="20"/>
      <w:szCs w:val="20"/>
    </w:rPr>
  </w:style>
  <w:style w:type="character" w:customStyle="1" w:styleId="CommentTextChar">
    <w:name w:val="Comment Text Char"/>
    <w:basedOn w:val="DefaultParagraphFont"/>
    <w:link w:val="CommentText"/>
    <w:uiPriority w:val="99"/>
    <w:rsid w:val="0049006C"/>
    <w:rPr>
      <w:sz w:val="20"/>
      <w:szCs w:val="20"/>
    </w:rPr>
  </w:style>
  <w:style w:type="paragraph" w:styleId="CommentSubject">
    <w:name w:val="annotation subject"/>
    <w:basedOn w:val="CommentText"/>
    <w:next w:val="CommentText"/>
    <w:link w:val="CommentSubjectChar"/>
    <w:uiPriority w:val="99"/>
    <w:semiHidden/>
    <w:unhideWhenUsed/>
    <w:rsid w:val="00653566"/>
    <w:pPr>
      <w:spacing w:after="200"/>
    </w:pPr>
    <w:rPr>
      <w:b/>
      <w:bCs/>
    </w:rPr>
  </w:style>
  <w:style w:type="character" w:customStyle="1" w:styleId="CommentSubjectChar">
    <w:name w:val="Comment Subject Char"/>
    <w:basedOn w:val="CommentTextChar"/>
    <w:link w:val="CommentSubject"/>
    <w:uiPriority w:val="99"/>
    <w:semiHidden/>
    <w:rsid w:val="00653566"/>
    <w:rPr>
      <w:b/>
      <w:bCs/>
      <w:sz w:val="20"/>
      <w:szCs w:val="20"/>
    </w:rPr>
  </w:style>
  <w:style w:type="paragraph" w:styleId="TOC1">
    <w:name w:val="toc 1"/>
    <w:hidden/>
    <w:uiPriority w:val="39"/>
    <w:rsid w:val="007E4A15"/>
    <w:pPr>
      <w:spacing w:after="1" w:line="331" w:lineRule="auto"/>
      <w:ind w:left="25" w:right="15" w:hanging="10"/>
      <w:jc w:val="both"/>
    </w:pPr>
    <w:rPr>
      <w:rFonts w:ascii="Times New Roman" w:eastAsia="Times New Roman" w:hAnsi="Times New Roman" w:cs="Times New Roman"/>
      <w:color w:val="000000"/>
      <w:sz w:val="24"/>
    </w:rPr>
  </w:style>
  <w:style w:type="paragraph" w:customStyle="1" w:styleId="Default">
    <w:name w:val="Default"/>
    <w:rsid w:val="0056194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qFormat/>
    <w:rsid w:val="00C33126"/>
    <w:pPr>
      <w:spacing w:after="0" w:line="480" w:lineRule="auto"/>
      <w:ind w:firstLine="720"/>
      <w:jc w:val="both"/>
    </w:pPr>
    <w:rPr>
      <w:rFonts w:ascii="Times New Roman" w:hAnsi="Times New Roman"/>
      <w:sz w:val="24"/>
      <w:szCs w:val="24"/>
    </w:rPr>
  </w:style>
  <w:style w:type="character" w:customStyle="1" w:styleId="BodyText2Char">
    <w:name w:val="Body Text 2 Char"/>
    <w:basedOn w:val="DefaultParagraphFont"/>
    <w:link w:val="BodyText2"/>
    <w:rsid w:val="00C33126"/>
    <w:rPr>
      <w:rFonts w:ascii="Times New Roman" w:hAnsi="Times New Roman"/>
      <w:sz w:val="24"/>
      <w:szCs w:val="24"/>
    </w:rPr>
  </w:style>
  <w:style w:type="character" w:customStyle="1" w:styleId="Heading8Char">
    <w:name w:val="Heading 8 Char"/>
    <w:basedOn w:val="DefaultParagraphFont"/>
    <w:link w:val="Heading8"/>
    <w:uiPriority w:val="9"/>
    <w:rsid w:val="0018264B"/>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rsid w:val="00C47563"/>
    <w:rPr>
      <w:rFonts w:ascii="Times New Roman" w:hAnsi="Times New Roman" w:cs="Times New Roman"/>
      <w:b/>
      <w:sz w:val="26"/>
      <w:szCs w:val="26"/>
    </w:rPr>
  </w:style>
  <w:style w:type="character" w:styleId="Hyperlink">
    <w:name w:val="Hyperlink"/>
    <w:basedOn w:val="DefaultParagraphFont"/>
    <w:uiPriority w:val="99"/>
    <w:unhideWhenUsed/>
    <w:rsid w:val="00F21A2F"/>
    <w:rPr>
      <w:color w:val="0000FF"/>
      <w:u w:val="single"/>
    </w:rPr>
  </w:style>
  <w:style w:type="paragraph" w:styleId="Revision">
    <w:name w:val="Revision"/>
    <w:hidden/>
    <w:uiPriority w:val="99"/>
    <w:semiHidden/>
    <w:rsid w:val="00202E9E"/>
    <w:pPr>
      <w:spacing w:after="0" w:line="240" w:lineRule="auto"/>
    </w:pPr>
  </w:style>
  <w:style w:type="character" w:customStyle="1" w:styleId="Heading1Char">
    <w:name w:val="Heading 1 Char"/>
    <w:basedOn w:val="DefaultParagraphFont"/>
    <w:link w:val="Heading1"/>
    <w:uiPriority w:val="9"/>
    <w:rsid w:val="00C47563"/>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C47563"/>
    <w:rPr>
      <w:rFonts w:ascii="Times New Roman" w:hAnsi="Times New Roman" w:cs="Times New Roman"/>
      <w:b/>
      <w:bCs/>
      <w:sz w:val="26"/>
      <w:szCs w:val="26"/>
    </w:rPr>
  </w:style>
  <w:style w:type="character" w:customStyle="1" w:styleId="Heading4Char">
    <w:name w:val="Heading 4 Char"/>
    <w:basedOn w:val="DefaultParagraphFont"/>
    <w:link w:val="Heading4"/>
    <w:uiPriority w:val="9"/>
    <w:rsid w:val="00C47563"/>
    <w:rPr>
      <w:rFonts w:ascii="Times New Roman" w:eastAsia="Times New Roman" w:hAnsi="Times New Roman" w:cs="Times New Roman"/>
      <w:b/>
      <w:bCs/>
      <w:sz w:val="26"/>
      <w:szCs w:val="26"/>
    </w:rPr>
  </w:style>
  <w:style w:type="paragraph" w:styleId="TOC2">
    <w:name w:val="toc 2"/>
    <w:basedOn w:val="Normal"/>
    <w:next w:val="Normal"/>
    <w:autoRedefine/>
    <w:uiPriority w:val="39"/>
    <w:unhideWhenUsed/>
    <w:rsid w:val="0094251F"/>
    <w:pPr>
      <w:tabs>
        <w:tab w:val="left" w:pos="1440"/>
        <w:tab w:val="right" w:leader="dot" w:pos="9350"/>
      </w:tabs>
      <w:spacing w:after="100"/>
      <w:ind w:left="720"/>
    </w:pPr>
  </w:style>
  <w:style w:type="paragraph" w:styleId="TOC3">
    <w:name w:val="toc 3"/>
    <w:basedOn w:val="Normal"/>
    <w:next w:val="Normal"/>
    <w:autoRedefine/>
    <w:uiPriority w:val="39"/>
    <w:unhideWhenUsed/>
    <w:rsid w:val="0094251F"/>
    <w:pPr>
      <w:tabs>
        <w:tab w:val="left" w:pos="2160"/>
        <w:tab w:val="right" w:leader="dot" w:pos="9350"/>
      </w:tabs>
      <w:spacing w:after="100"/>
      <w:ind w:left="1440"/>
    </w:pPr>
  </w:style>
  <w:style w:type="paragraph" w:styleId="TOC4">
    <w:name w:val="toc 4"/>
    <w:basedOn w:val="Normal"/>
    <w:next w:val="Normal"/>
    <w:autoRedefine/>
    <w:uiPriority w:val="39"/>
    <w:unhideWhenUsed/>
    <w:rsid w:val="0094251F"/>
    <w:pPr>
      <w:tabs>
        <w:tab w:val="left" w:pos="2880"/>
        <w:tab w:val="right" w:leader="dot" w:pos="9350"/>
      </w:tabs>
      <w:spacing w:after="100"/>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6770">
      <w:bodyDiv w:val="1"/>
      <w:marLeft w:val="0"/>
      <w:marRight w:val="0"/>
      <w:marTop w:val="0"/>
      <w:marBottom w:val="0"/>
      <w:divBdr>
        <w:top w:val="none" w:sz="0" w:space="0" w:color="auto"/>
        <w:left w:val="none" w:sz="0" w:space="0" w:color="auto"/>
        <w:bottom w:val="none" w:sz="0" w:space="0" w:color="auto"/>
        <w:right w:val="none" w:sz="0" w:space="0" w:color="auto"/>
      </w:divBdr>
    </w:div>
    <w:div w:id="820847144">
      <w:bodyDiv w:val="1"/>
      <w:marLeft w:val="0"/>
      <w:marRight w:val="0"/>
      <w:marTop w:val="0"/>
      <w:marBottom w:val="0"/>
      <w:divBdr>
        <w:top w:val="none" w:sz="0" w:space="0" w:color="auto"/>
        <w:left w:val="none" w:sz="0" w:space="0" w:color="auto"/>
        <w:bottom w:val="none" w:sz="0" w:space="0" w:color="auto"/>
        <w:right w:val="none" w:sz="0" w:space="0" w:color="auto"/>
      </w:divBdr>
    </w:div>
    <w:div w:id="913666483">
      <w:bodyDiv w:val="1"/>
      <w:marLeft w:val="0"/>
      <w:marRight w:val="0"/>
      <w:marTop w:val="0"/>
      <w:marBottom w:val="0"/>
      <w:divBdr>
        <w:top w:val="none" w:sz="0" w:space="0" w:color="auto"/>
        <w:left w:val="none" w:sz="0" w:space="0" w:color="auto"/>
        <w:bottom w:val="none" w:sz="0" w:space="0" w:color="auto"/>
        <w:right w:val="none" w:sz="0" w:space="0" w:color="auto"/>
      </w:divBdr>
    </w:div>
    <w:div w:id="1184782752">
      <w:bodyDiv w:val="1"/>
      <w:marLeft w:val="0"/>
      <w:marRight w:val="0"/>
      <w:marTop w:val="0"/>
      <w:marBottom w:val="0"/>
      <w:divBdr>
        <w:top w:val="none" w:sz="0" w:space="0" w:color="auto"/>
        <w:left w:val="none" w:sz="0" w:space="0" w:color="auto"/>
        <w:bottom w:val="none" w:sz="0" w:space="0" w:color="auto"/>
        <w:right w:val="none" w:sz="0" w:space="0" w:color="auto"/>
      </w:divBdr>
    </w:div>
    <w:div w:id="1345978466">
      <w:bodyDiv w:val="1"/>
      <w:marLeft w:val="0"/>
      <w:marRight w:val="0"/>
      <w:marTop w:val="0"/>
      <w:marBottom w:val="0"/>
      <w:divBdr>
        <w:top w:val="none" w:sz="0" w:space="0" w:color="auto"/>
        <w:left w:val="none" w:sz="0" w:space="0" w:color="auto"/>
        <w:bottom w:val="none" w:sz="0" w:space="0" w:color="auto"/>
        <w:right w:val="none" w:sz="0" w:space="0" w:color="auto"/>
      </w:divBdr>
    </w:div>
    <w:div w:id="1634166528">
      <w:bodyDiv w:val="1"/>
      <w:marLeft w:val="0"/>
      <w:marRight w:val="0"/>
      <w:marTop w:val="0"/>
      <w:marBottom w:val="0"/>
      <w:divBdr>
        <w:top w:val="none" w:sz="0" w:space="0" w:color="auto"/>
        <w:left w:val="none" w:sz="0" w:space="0" w:color="auto"/>
        <w:bottom w:val="none" w:sz="0" w:space="0" w:color="auto"/>
        <w:right w:val="none" w:sz="0" w:space="0" w:color="auto"/>
      </w:divBdr>
    </w:div>
    <w:div w:id="1917519526">
      <w:bodyDiv w:val="1"/>
      <w:marLeft w:val="0"/>
      <w:marRight w:val="0"/>
      <w:marTop w:val="0"/>
      <w:marBottom w:val="0"/>
      <w:divBdr>
        <w:top w:val="none" w:sz="0" w:space="0" w:color="auto"/>
        <w:left w:val="none" w:sz="0" w:space="0" w:color="auto"/>
        <w:bottom w:val="none" w:sz="0" w:space="0" w:color="auto"/>
        <w:right w:val="none" w:sz="0" w:space="0" w:color="auto"/>
      </w:divBdr>
      <w:divsChild>
        <w:div w:id="10688510">
          <w:marLeft w:val="0"/>
          <w:marRight w:val="0"/>
          <w:marTop w:val="0"/>
          <w:marBottom w:val="0"/>
          <w:divBdr>
            <w:top w:val="none" w:sz="0" w:space="0" w:color="auto"/>
            <w:left w:val="none" w:sz="0" w:space="0" w:color="auto"/>
            <w:bottom w:val="none" w:sz="0" w:space="0" w:color="auto"/>
            <w:right w:val="none" w:sz="0" w:space="0" w:color="auto"/>
          </w:divBdr>
          <w:divsChild>
            <w:div w:id="92167538">
              <w:marLeft w:val="0"/>
              <w:marRight w:val="0"/>
              <w:marTop w:val="0"/>
              <w:marBottom w:val="0"/>
              <w:divBdr>
                <w:top w:val="none" w:sz="0" w:space="0" w:color="auto"/>
                <w:left w:val="none" w:sz="0" w:space="0" w:color="auto"/>
                <w:bottom w:val="none" w:sz="0" w:space="0" w:color="auto"/>
                <w:right w:val="none" w:sz="0" w:space="0" w:color="auto"/>
              </w:divBdr>
              <w:divsChild>
                <w:div w:id="1854680988">
                  <w:marLeft w:val="0"/>
                  <w:marRight w:val="0"/>
                  <w:marTop w:val="0"/>
                  <w:marBottom w:val="0"/>
                  <w:divBdr>
                    <w:top w:val="none" w:sz="0" w:space="0" w:color="auto"/>
                    <w:left w:val="none" w:sz="0" w:space="0" w:color="auto"/>
                    <w:bottom w:val="none" w:sz="0" w:space="0" w:color="auto"/>
                    <w:right w:val="none" w:sz="0" w:space="0" w:color="auto"/>
                  </w:divBdr>
                  <w:divsChild>
                    <w:div w:id="1375496552">
                      <w:marLeft w:val="0"/>
                      <w:marRight w:val="300"/>
                      <w:marTop w:val="0"/>
                      <w:marBottom w:val="0"/>
                      <w:divBdr>
                        <w:top w:val="none" w:sz="0" w:space="0" w:color="auto"/>
                        <w:left w:val="none" w:sz="0" w:space="0" w:color="auto"/>
                        <w:bottom w:val="none" w:sz="0" w:space="0" w:color="auto"/>
                        <w:right w:val="none" w:sz="0" w:space="0" w:color="auto"/>
                      </w:divBdr>
                      <w:divsChild>
                        <w:div w:id="924605725">
                          <w:marLeft w:val="0"/>
                          <w:marRight w:val="300"/>
                          <w:marTop w:val="0"/>
                          <w:marBottom w:val="0"/>
                          <w:divBdr>
                            <w:top w:val="none" w:sz="0" w:space="0" w:color="auto"/>
                            <w:left w:val="none" w:sz="0" w:space="0" w:color="auto"/>
                            <w:bottom w:val="none" w:sz="0" w:space="0" w:color="auto"/>
                            <w:right w:val="none" w:sz="0" w:space="0" w:color="auto"/>
                          </w:divBdr>
                          <w:divsChild>
                            <w:div w:id="1596858338">
                              <w:marLeft w:val="0"/>
                              <w:marRight w:val="0"/>
                              <w:marTop w:val="0"/>
                              <w:marBottom w:val="0"/>
                              <w:divBdr>
                                <w:top w:val="none" w:sz="0" w:space="0" w:color="auto"/>
                                <w:left w:val="none" w:sz="0" w:space="0" w:color="auto"/>
                                <w:bottom w:val="none" w:sz="0" w:space="0" w:color="auto"/>
                                <w:right w:val="none" w:sz="0" w:space="0" w:color="auto"/>
                              </w:divBdr>
                              <w:divsChild>
                                <w:div w:id="885020073">
                                  <w:marLeft w:val="0"/>
                                  <w:marRight w:val="0"/>
                                  <w:marTop w:val="0"/>
                                  <w:marBottom w:val="0"/>
                                  <w:divBdr>
                                    <w:top w:val="none" w:sz="0" w:space="0" w:color="auto"/>
                                    <w:left w:val="none" w:sz="0" w:space="0" w:color="auto"/>
                                    <w:bottom w:val="none" w:sz="0" w:space="0" w:color="auto"/>
                                    <w:right w:val="none" w:sz="0" w:space="0" w:color="auto"/>
                                  </w:divBdr>
                                  <w:divsChild>
                                    <w:div w:id="98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a.pa.gov/Policies/md/Documents/325_12.pdf" TargetMode="External"/><Relationship Id="rId1" Type="http://schemas.openxmlformats.org/officeDocument/2006/relationships/hyperlink" Target="https://www.oa.pa.gov/Policies/md/Documents/325_3.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A264-F1F9-4D1A-9C64-0B9E4CDC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15846</Words>
  <Characters>90327</Characters>
  <Application>Microsoft Office Word</Application>
  <DocSecurity>4</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Wagner, Nathan R</cp:lastModifiedBy>
  <cp:revision>2</cp:revision>
  <cp:lastPrinted>2018-03-01T12:41:00Z</cp:lastPrinted>
  <dcterms:created xsi:type="dcterms:W3CDTF">2021-12-16T15:29:00Z</dcterms:created>
  <dcterms:modified xsi:type="dcterms:W3CDTF">2021-12-16T15:29:00Z</dcterms:modified>
</cp:coreProperties>
</file>