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DD6C" w14:textId="77777777" w:rsidR="00343865" w:rsidRPr="00AF2A5C" w:rsidRDefault="00343865" w:rsidP="00343865">
      <w:pPr>
        <w:widowControl/>
        <w:tabs>
          <w:tab w:val="center" w:pos="4680"/>
        </w:tabs>
        <w:suppressAutoHyphens/>
        <w:jc w:val="center"/>
        <w:rPr>
          <w:b/>
          <w:sz w:val="26"/>
          <w:szCs w:val="26"/>
        </w:rPr>
      </w:pPr>
      <w:r w:rsidRPr="00AF2A5C">
        <w:rPr>
          <w:b/>
          <w:sz w:val="26"/>
          <w:szCs w:val="26"/>
        </w:rPr>
        <w:t>PENNSYLVANIA</w:t>
      </w:r>
    </w:p>
    <w:p w14:paraId="30C547A9" w14:textId="77777777" w:rsidR="00343865" w:rsidRPr="00AF2A5C" w:rsidRDefault="00343865" w:rsidP="00343865">
      <w:pPr>
        <w:widowControl/>
        <w:tabs>
          <w:tab w:val="center" w:pos="4680"/>
        </w:tabs>
        <w:suppressAutoHyphens/>
        <w:jc w:val="center"/>
        <w:rPr>
          <w:sz w:val="26"/>
          <w:szCs w:val="26"/>
        </w:rPr>
      </w:pPr>
      <w:r w:rsidRPr="00AF2A5C">
        <w:rPr>
          <w:b/>
          <w:sz w:val="26"/>
          <w:szCs w:val="26"/>
        </w:rPr>
        <w:t>PUBLIC UTILITY COMMISSION</w:t>
      </w:r>
    </w:p>
    <w:p w14:paraId="1B5AE68E" w14:textId="77777777" w:rsidR="00343865" w:rsidRPr="00AF2A5C" w:rsidRDefault="00343865" w:rsidP="00343865">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094B85FE" w14:textId="77777777" w:rsidR="00343865" w:rsidRDefault="00343865" w:rsidP="00343865">
      <w:pPr>
        <w:widowControl/>
        <w:tabs>
          <w:tab w:val="left" w:pos="-720"/>
        </w:tabs>
        <w:suppressAutoHyphens/>
        <w:rPr>
          <w:sz w:val="26"/>
          <w:szCs w:val="26"/>
        </w:rPr>
      </w:pPr>
    </w:p>
    <w:p w14:paraId="316021CA" w14:textId="77777777" w:rsidR="00343865" w:rsidRPr="00AF2A5C" w:rsidRDefault="00343865" w:rsidP="00343865">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343865" w:rsidRPr="00AF2A5C" w14:paraId="356226A2" w14:textId="77777777" w:rsidTr="00B85782">
        <w:tc>
          <w:tcPr>
            <w:tcW w:w="4819" w:type="dxa"/>
          </w:tcPr>
          <w:p w14:paraId="4FFD04EB" w14:textId="77777777" w:rsidR="00343865" w:rsidRPr="00933E11" w:rsidRDefault="00343865" w:rsidP="00B85782">
            <w:pPr>
              <w:widowControl/>
              <w:rPr>
                <w:rFonts w:ascii="Times New Roman" w:hAnsi="Times New Roman" w:cs="Times New Roman"/>
                <w:sz w:val="26"/>
                <w:szCs w:val="26"/>
              </w:rPr>
            </w:pPr>
          </w:p>
        </w:tc>
        <w:tc>
          <w:tcPr>
            <w:tcW w:w="4541" w:type="dxa"/>
            <w:hideMark/>
          </w:tcPr>
          <w:p w14:paraId="38B2909A" w14:textId="3D0AFF4A" w:rsidR="00343865" w:rsidRPr="00BA522F" w:rsidRDefault="00343865" w:rsidP="00B85782">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 xml:space="preserve">December </w:t>
            </w:r>
            <w:r w:rsidR="004262B9">
              <w:rPr>
                <w:rFonts w:ascii="Times New Roman" w:hAnsi="Times New Roman" w:cs="Times New Roman"/>
                <w:sz w:val="26"/>
                <w:szCs w:val="26"/>
              </w:rPr>
              <w:t>16</w:t>
            </w:r>
            <w:r w:rsidRPr="00BA522F">
              <w:rPr>
                <w:rFonts w:ascii="Times New Roman" w:hAnsi="Times New Roman" w:cs="Times New Roman"/>
                <w:sz w:val="26"/>
                <w:szCs w:val="26"/>
              </w:rPr>
              <w:t>, 2021</w:t>
            </w:r>
          </w:p>
        </w:tc>
      </w:tr>
      <w:tr w:rsidR="00343865" w:rsidRPr="00AF2A5C" w14:paraId="4C31FA93" w14:textId="77777777" w:rsidTr="00B85782">
        <w:tc>
          <w:tcPr>
            <w:tcW w:w="4819" w:type="dxa"/>
          </w:tcPr>
          <w:p w14:paraId="1170E1A8" w14:textId="77777777" w:rsidR="00343865" w:rsidRPr="00BA522F" w:rsidRDefault="00343865" w:rsidP="00B85782">
            <w:pPr>
              <w:widowControl/>
              <w:rPr>
                <w:rFonts w:ascii="Times New Roman" w:hAnsi="Times New Roman" w:cs="Times New Roman"/>
                <w:sz w:val="26"/>
                <w:szCs w:val="26"/>
              </w:rPr>
            </w:pPr>
          </w:p>
          <w:p w14:paraId="328DA47A" w14:textId="77777777" w:rsidR="00343865" w:rsidRDefault="00343865" w:rsidP="00B85782">
            <w:pPr>
              <w:widowControl/>
              <w:rPr>
                <w:rFonts w:ascii="Times New Roman" w:hAnsi="Times New Roman" w:cs="Times New Roman"/>
                <w:sz w:val="26"/>
                <w:szCs w:val="26"/>
              </w:rPr>
            </w:pPr>
          </w:p>
          <w:p w14:paraId="7EEBA9DE" w14:textId="77777777" w:rsidR="00343865" w:rsidRPr="00BA522F" w:rsidRDefault="00343865" w:rsidP="00B85782">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31E0A9C7" w14:textId="77777777" w:rsidR="00343865" w:rsidRPr="00BA522F" w:rsidRDefault="00343865" w:rsidP="00B85782">
            <w:pPr>
              <w:widowControl/>
              <w:rPr>
                <w:rFonts w:ascii="Times New Roman" w:hAnsi="Times New Roman" w:cs="Times New Roman"/>
                <w:sz w:val="26"/>
                <w:szCs w:val="26"/>
              </w:rPr>
            </w:pPr>
          </w:p>
          <w:p w14:paraId="12DE0226" w14:textId="77777777" w:rsidR="00343865" w:rsidRPr="00BA522F" w:rsidRDefault="00343865" w:rsidP="00B85782">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6431606F" w14:textId="0C9E22D1" w:rsidR="00343865" w:rsidRPr="00BA522F" w:rsidRDefault="00343865" w:rsidP="00B85782">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John F. Coleman, Jr.</w:t>
            </w:r>
            <w:r>
              <w:rPr>
                <w:rFonts w:ascii="Times New Roman" w:hAnsi="Times New Roman" w:cs="Times New Roman"/>
                <w:sz w:val="26"/>
                <w:szCs w:val="26"/>
              </w:rPr>
              <w:t>, Vice Chairman</w:t>
            </w:r>
            <w:r w:rsidRPr="00BA522F">
              <w:rPr>
                <w:rFonts w:ascii="Times New Roman" w:hAnsi="Times New Roman" w:cs="Times New Roman"/>
                <w:sz w:val="26"/>
                <w:szCs w:val="26"/>
              </w:rPr>
              <w:t xml:space="preserve"> </w:t>
            </w:r>
          </w:p>
          <w:p w14:paraId="554D78B6" w14:textId="77777777" w:rsidR="00343865" w:rsidRPr="00BA522F" w:rsidRDefault="00343865" w:rsidP="00B85782">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181CB7A9" w14:textId="77777777" w:rsidR="00343865" w:rsidRPr="00BA522F" w:rsidRDefault="00343865" w:rsidP="00B85782">
            <w:pPr>
              <w:widowControl/>
              <w:rPr>
                <w:rFonts w:ascii="Times New Roman" w:hAnsi="Times New Roman" w:cs="Times New Roman"/>
                <w:sz w:val="26"/>
                <w:szCs w:val="26"/>
              </w:rPr>
            </w:pPr>
          </w:p>
        </w:tc>
        <w:tc>
          <w:tcPr>
            <w:tcW w:w="4541" w:type="dxa"/>
          </w:tcPr>
          <w:p w14:paraId="20BE8432" w14:textId="77777777" w:rsidR="00343865" w:rsidRPr="00BA522F" w:rsidRDefault="00343865" w:rsidP="00B85782">
            <w:pPr>
              <w:widowControl/>
              <w:jc w:val="right"/>
              <w:rPr>
                <w:rFonts w:ascii="Times New Roman" w:hAnsi="Times New Roman" w:cs="Times New Roman"/>
                <w:sz w:val="26"/>
                <w:szCs w:val="26"/>
              </w:rPr>
            </w:pPr>
          </w:p>
          <w:p w14:paraId="47E235AD" w14:textId="77777777" w:rsidR="00343865" w:rsidRPr="00BA522F" w:rsidRDefault="00343865" w:rsidP="00B85782">
            <w:pPr>
              <w:widowControl/>
              <w:jc w:val="right"/>
              <w:rPr>
                <w:rFonts w:ascii="Times New Roman" w:hAnsi="Times New Roman" w:cs="Times New Roman"/>
                <w:sz w:val="26"/>
                <w:szCs w:val="26"/>
              </w:rPr>
            </w:pPr>
          </w:p>
        </w:tc>
      </w:tr>
      <w:tr w:rsidR="00343865" w:rsidRPr="00AF2A5C" w14:paraId="5D094F35" w14:textId="77777777" w:rsidTr="00B85782">
        <w:tc>
          <w:tcPr>
            <w:tcW w:w="4819" w:type="dxa"/>
          </w:tcPr>
          <w:p w14:paraId="3466B33E" w14:textId="77777777" w:rsidR="00343865" w:rsidRPr="00BA522F" w:rsidRDefault="00343865" w:rsidP="00B85782">
            <w:pPr>
              <w:widowControl/>
              <w:rPr>
                <w:rFonts w:ascii="Times New Roman" w:hAnsi="Times New Roman" w:cs="Times New Roman"/>
                <w:sz w:val="26"/>
                <w:szCs w:val="26"/>
              </w:rPr>
            </w:pPr>
          </w:p>
          <w:p w14:paraId="62F72332" w14:textId="2C58F9DF" w:rsidR="00343865" w:rsidRPr="00BA522F" w:rsidRDefault="00343865" w:rsidP="00B85782">
            <w:pPr>
              <w:widowControl/>
              <w:rPr>
                <w:rFonts w:ascii="Times New Roman" w:hAnsi="Times New Roman" w:cs="Times New Roman"/>
                <w:kern w:val="1"/>
                <w:sz w:val="26"/>
                <w:szCs w:val="26"/>
              </w:rPr>
            </w:pPr>
            <w:r>
              <w:rPr>
                <w:rFonts w:ascii="Times New Roman" w:hAnsi="Times New Roman" w:cs="Times New Roman"/>
                <w:kern w:val="1"/>
                <w:sz w:val="26"/>
                <w:szCs w:val="26"/>
              </w:rPr>
              <w:t>Rashid El Malik</w:t>
            </w:r>
          </w:p>
          <w:p w14:paraId="3E0E0E8E" w14:textId="77777777" w:rsidR="00343865" w:rsidRPr="00BA522F" w:rsidRDefault="00343865" w:rsidP="00B85782">
            <w:pPr>
              <w:widowControl/>
              <w:rPr>
                <w:rFonts w:ascii="Times New Roman" w:hAnsi="Times New Roman" w:cs="Times New Roman"/>
                <w:kern w:val="1"/>
                <w:sz w:val="26"/>
                <w:szCs w:val="26"/>
              </w:rPr>
            </w:pPr>
          </w:p>
          <w:p w14:paraId="3C512BD0" w14:textId="77777777" w:rsidR="00343865" w:rsidRPr="00BA522F" w:rsidRDefault="00343865" w:rsidP="00B85782">
            <w:pPr>
              <w:widowControl/>
              <w:rPr>
                <w:rFonts w:ascii="Times New Roman" w:hAnsi="Times New Roman" w:cs="Times New Roman"/>
                <w:kern w:val="1"/>
                <w:sz w:val="26"/>
                <w:szCs w:val="26"/>
              </w:rPr>
            </w:pPr>
            <w:r>
              <w:rPr>
                <w:rFonts w:ascii="Times New Roman" w:hAnsi="Times New Roman" w:cs="Times New Roman"/>
                <w:kern w:val="1"/>
                <w:sz w:val="26"/>
                <w:szCs w:val="26"/>
              </w:rPr>
              <w:tab/>
              <w:t>v.</w:t>
            </w:r>
          </w:p>
          <w:p w14:paraId="110A9651" w14:textId="77777777" w:rsidR="00343865" w:rsidRPr="00BA522F" w:rsidRDefault="00343865" w:rsidP="00B85782">
            <w:pPr>
              <w:widowControl/>
              <w:rPr>
                <w:rFonts w:ascii="Times New Roman" w:hAnsi="Times New Roman" w:cs="Times New Roman"/>
                <w:kern w:val="1"/>
                <w:sz w:val="26"/>
                <w:szCs w:val="26"/>
              </w:rPr>
            </w:pPr>
          </w:p>
          <w:p w14:paraId="0A388B01" w14:textId="77777777" w:rsidR="00343865" w:rsidRDefault="00343865" w:rsidP="00B85782">
            <w:pPr>
              <w:widowControl/>
              <w:rPr>
                <w:rFonts w:ascii="Times New Roman" w:hAnsi="Times New Roman" w:cs="Times New Roman"/>
                <w:kern w:val="1"/>
                <w:sz w:val="26"/>
                <w:szCs w:val="26"/>
              </w:rPr>
            </w:pPr>
            <w:r>
              <w:rPr>
                <w:rFonts w:ascii="Times New Roman" w:hAnsi="Times New Roman" w:cs="Times New Roman"/>
                <w:kern w:val="1"/>
                <w:sz w:val="26"/>
                <w:szCs w:val="26"/>
              </w:rPr>
              <w:t xml:space="preserve">PECO Energy Company and </w:t>
            </w:r>
          </w:p>
          <w:p w14:paraId="6C78DBB4" w14:textId="47D3D72C" w:rsidR="00343865" w:rsidRDefault="00343865" w:rsidP="00B85782">
            <w:pPr>
              <w:widowControl/>
              <w:rPr>
                <w:rFonts w:ascii="Times New Roman" w:hAnsi="Times New Roman" w:cs="Times New Roman"/>
                <w:kern w:val="1"/>
                <w:sz w:val="26"/>
                <w:szCs w:val="26"/>
              </w:rPr>
            </w:pPr>
            <w:r>
              <w:rPr>
                <w:rFonts w:ascii="Times New Roman" w:hAnsi="Times New Roman" w:cs="Times New Roman"/>
                <w:kern w:val="1"/>
                <w:sz w:val="26"/>
                <w:szCs w:val="26"/>
              </w:rPr>
              <w:t xml:space="preserve">Reliant Energy Northeast LLC </w:t>
            </w:r>
            <w:r w:rsidR="00696217">
              <w:rPr>
                <w:rFonts w:ascii="Times New Roman" w:hAnsi="Times New Roman" w:cs="Times New Roman"/>
                <w:kern w:val="1"/>
                <w:sz w:val="26"/>
                <w:szCs w:val="26"/>
              </w:rPr>
              <w:t>t</w:t>
            </w:r>
            <w:r>
              <w:rPr>
                <w:rFonts w:ascii="Times New Roman" w:hAnsi="Times New Roman" w:cs="Times New Roman"/>
                <w:kern w:val="1"/>
                <w:sz w:val="26"/>
                <w:szCs w:val="26"/>
              </w:rPr>
              <w:t xml:space="preserve">/a </w:t>
            </w:r>
          </w:p>
          <w:p w14:paraId="7D6E30FB" w14:textId="241A3FBC" w:rsidR="00343865" w:rsidRPr="00BA522F" w:rsidRDefault="00343865" w:rsidP="00B85782">
            <w:pPr>
              <w:widowControl/>
              <w:rPr>
                <w:rFonts w:ascii="Times New Roman" w:hAnsi="Times New Roman" w:cs="Times New Roman"/>
                <w:kern w:val="1"/>
                <w:sz w:val="26"/>
                <w:szCs w:val="26"/>
              </w:rPr>
            </w:pPr>
            <w:r>
              <w:rPr>
                <w:rFonts w:ascii="Times New Roman" w:hAnsi="Times New Roman" w:cs="Times New Roman"/>
                <w:kern w:val="1"/>
                <w:sz w:val="26"/>
                <w:szCs w:val="26"/>
              </w:rPr>
              <w:t>NRG Residential Solutions</w:t>
            </w:r>
          </w:p>
          <w:p w14:paraId="42B2E94D" w14:textId="77777777" w:rsidR="00343865" w:rsidRPr="00BA522F" w:rsidRDefault="00343865" w:rsidP="00B85782">
            <w:pPr>
              <w:widowControl/>
              <w:rPr>
                <w:rFonts w:ascii="Times New Roman" w:hAnsi="Times New Roman" w:cs="Times New Roman"/>
                <w:sz w:val="26"/>
                <w:szCs w:val="26"/>
              </w:rPr>
            </w:pPr>
          </w:p>
        </w:tc>
        <w:tc>
          <w:tcPr>
            <w:tcW w:w="4541" w:type="dxa"/>
            <w:hideMark/>
          </w:tcPr>
          <w:p w14:paraId="64AD037D" w14:textId="77777777" w:rsidR="00343865" w:rsidRPr="00BA522F" w:rsidRDefault="00343865" w:rsidP="00B85782">
            <w:pPr>
              <w:widowControl/>
              <w:jc w:val="right"/>
              <w:rPr>
                <w:rFonts w:ascii="Times New Roman" w:hAnsi="Times New Roman" w:cs="Times New Roman"/>
                <w:sz w:val="26"/>
                <w:szCs w:val="26"/>
              </w:rPr>
            </w:pPr>
          </w:p>
          <w:p w14:paraId="5C6BCE6A" w14:textId="09CBF387" w:rsidR="00343865" w:rsidRPr="00BA522F" w:rsidRDefault="00343865" w:rsidP="00B85782">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F</w:t>
            </w:r>
            <w:r w:rsidRPr="00BA522F">
              <w:rPr>
                <w:rFonts w:ascii="Times New Roman" w:hAnsi="Times New Roman" w:cs="Times New Roman"/>
                <w:sz w:val="26"/>
                <w:szCs w:val="26"/>
              </w:rPr>
              <w:t>-2020-30</w:t>
            </w:r>
            <w:bookmarkEnd w:id="0"/>
            <w:r>
              <w:rPr>
                <w:rFonts w:ascii="Times New Roman" w:hAnsi="Times New Roman" w:cs="Times New Roman"/>
                <w:sz w:val="26"/>
                <w:szCs w:val="26"/>
              </w:rPr>
              <w:t>18838</w:t>
            </w:r>
          </w:p>
          <w:p w14:paraId="2EDAA9F3" w14:textId="77777777" w:rsidR="00343865" w:rsidRPr="00BA522F" w:rsidRDefault="00343865" w:rsidP="00B85782">
            <w:pPr>
              <w:widowControl/>
              <w:jc w:val="right"/>
              <w:rPr>
                <w:rFonts w:ascii="Times New Roman" w:hAnsi="Times New Roman" w:cs="Times New Roman"/>
                <w:sz w:val="26"/>
                <w:szCs w:val="26"/>
              </w:rPr>
            </w:pPr>
          </w:p>
          <w:p w14:paraId="15B6A945" w14:textId="77777777" w:rsidR="00343865" w:rsidRPr="00BA522F" w:rsidRDefault="00343865" w:rsidP="00B85782">
            <w:pPr>
              <w:widowControl/>
              <w:jc w:val="right"/>
              <w:rPr>
                <w:rFonts w:ascii="Times New Roman" w:hAnsi="Times New Roman" w:cs="Times New Roman"/>
                <w:sz w:val="26"/>
                <w:szCs w:val="26"/>
              </w:rPr>
            </w:pPr>
          </w:p>
          <w:p w14:paraId="1B887550" w14:textId="77777777" w:rsidR="00343865" w:rsidRPr="00BA522F" w:rsidRDefault="00343865" w:rsidP="00B85782">
            <w:pPr>
              <w:widowControl/>
              <w:jc w:val="right"/>
              <w:rPr>
                <w:rFonts w:ascii="Times New Roman" w:hAnsi="Times New Roman" w:cs="Times New Roman"/>
                <w:sz w:val="26"/>
                <w:szCs w:val="26"/>
              </w:rPr>
            </w:pPr>
          </w:p>
        </w:tc>
      </w:tr>
    </w:tbl>
    <w:p w14:paraId="49309997" w14:textId="77777777" w:rsidR="00343865" w:rsidRDefault="00343865" w:rsidP="00343865">
      <w:pPr>
        <w:widowControl/>
        <w:jc w:val="center"/>
        <w:rPr>
          <w:b/>
          <w:sz w:val="26"/>
          <w:szCs w:val="26"/>
        </w:rPr>
      </w:pPr>
    </w:p>
    <w:p w14:paraId="688120ED" w14:textId="77777777" w:rsidR="00343865" w:rsidRDefault="00343865" w:rsidP="00343865">
      <w:pPr>
        <w:widowControl/>
        <w:jc w:val="center"/>
        <w:rPr>
          <w:b/>
          <w:sz w:val="26"/>
          <w:szCs w:val="26"/>
        </w:rPr>
      </w:pPr>
    </w:p>
    <w:p w14:paraId="3CD91397" w14:textId="77777777" w:rsidR="00343865" w:rsidRPr="00A9787D" w:rsidRDefault="00343865" w:rsidP="00343865">
      <w:pPr>
        <w:widowControl/>
        <w:jc w:val="center"/>
        <w:rPr>
          <w:b/>
          <w:sz w:val="26"/>
          <w:szCs w:val="26"/>
        </w:rPr>
      </w:pPr>
      <w:r w:rsidRPr="00A9787D">
        <w:rPr>
          <w:b/>
          <w:sz w:val="26"/>
          <w:szCs w:val="26"/>
        </w:rPr>
        <w:t>OPINION AND ORDER</w:t>
      </w:r>
    </w:p>
    <w:p w14:paraId="6ED16C7B" w14:textId="77777777" w:rsidR="00343865" w:rsidRDefault="00343865" w:rsidP="00343865">
      <w:pPr>
        <w:widowControl/>
        <w:rPr>
          <w:b/>
          <w:sz w:val="26"/>
          <w:szCs w:val="26"/>
        </w:rPr>
      </w:pPr>
    </w:p>
    <w:p w14:paraId="733BA8B6" w14:textId="77777777" w:rsidR="00343865" w:rsidRPr="00A9787D" w:rsidRDefault="00343865" w:rsidP="00343865">
      <w:pPr>
        <w:widowControl/>
        <w:rPr>
          <w:b/>
          <w:sz w:val="26"/>
          <w:szCs w:val="26"/>
        </w:rPr>
      </w:pPr>
    </w:p>
    <w:p w14:paraId="52C43C09" w14:textId="77777777" w:rsidR="00343865" w:rsidRDefault="00343865" w:rsidP="00343865">
      <w:pPr>
        <w:widowControl/>
        <w:spacing w:line="480" w:lineRule="auto"/>
        <w:rPr>
          <w:b/>
          <w:sz w:val="26"/>
          <w:szCs w:val="26"/>
        </w:rPr>
      </w:pPr>
      <w:r w:rsidRPr="00A9787D">
        <w:rPr>
          <w:b/>
          <w:sz w:val="26"/>
          <w:szCs w:val="26"/>
        </w:rPr>
        <w:t>BY THE COMMISSION:</w:t>
      </w:r>
    </w:p>
    <w:p w14:paraId="516438CE" w14:textId="3E4D9DD6" w:rsidR="004A6148" w:rsidRDefault="00B560FB" w:rsidP="00CE1F7B">
      <w:pPr>
        <w:widowControl/>
        <w:spacing w:line="360" w:lineRule="auto"/>
        <w:ind w:firstLine="1440"/>
        <w:rPr>
          <w:sz w:val="26"/>
          <w:szCs w:val="26"/>
        </w:rPr>
      </w:pPr>
      <w:r>
        <w:rPr>
          <w:bCs/>
          <w:sz w:val="26"/>
          <w:szCs w:val="26"/>
        </w:rPr>
        <w:t xml:space="preserve">Before the Pennsylvania Public Utility Commission (Commission) for consideration and disposition are the Exceptions of Rashid El Malik </w:t>
      </w:r>
      <w:r>
        <w:rPr>
          <w:color w:val="000000"/>
          <w:sz w:val="26"/>
        </w:rPr>
        <w:t>(Complainant or Mr.</w:t>
      </w:r>
      <w:r w:rsidR="00CE1F7B">
        <w:rPr>
          <w:color w:val="000000"/>
          <w:sz w:val="26"/>
        </w:rPr>
        <w:t> </w:t>
      </w:r>
      <w:r>
        <w:rPr>
          <w:color w:val="000000"/>
          <w:sz w:val="26"/>
        </w:rPr>
        <w:t>Malik) and PECO Energy Company (PECO) filed on December 1</w:t>
      </w:r>
      <w:r w:rsidR="002656ED">
        <w:rPr>
          <w:color w:val="000000"/>
          <w:sz w:val="26"/>
        </w:rPr>
        <w:t>1</w:t>
      </w:r>
      <w:r>
        <w:rPr>
          <w:color w:val="000000"/>
          <w:sz w:val="26"/>
        </w:rPr>
        <w:t xml:space="preserve">, 2020, and December 18, 2020, respectively, to the Initial Decision of Administrative Law Judge (ALJ) Conrad </w:t>
      </w:r>
      <w:r w:rsidR="002656ED">
        <w:rPr>
          <w:color w:val="000000"/>
          <w:sz w:val="26"/>
        </w:rPr>
        <w:t xml:space="preserve">A. </w:t>
      </w:r>
      <w:r>
        <w:rPr>
          <w:color w:val="000000"/>
          <w:sz w:val="26"/>
        </w:rPr>
        <w:t xml:space="preserve">Johnson, issued on December 1, 2020, in the above-captioned proceeding.  Replies to Exceptions were filed by </w:t>
      </w:r>
      <w:r w:rsidR="00022ECD">
        <w:rPr>
          <w:color w:val="000000"/>
          <w:sz w:val="26"/>
        </w:rPr>
        <w:t xml:space="preserve">both </w:t>
      </w:r>
      <w:r w:rsidR="00696217">
        <w:rPr>
          <w:color w:val="000000"/>
          <w:sz w:val="26"/>
        </w:rPr>
        <w:t xml:space="preserve">Mr. Malik and </w:t>
      </w:r>
      <w:r>
        <w:rPr>
          <w:color w:val="000000"/>
          <w:sz w:val="26"/>
        </w:rPr>
        <w:t>PECO</w:t>
      </w:r>
      <w:r w:rsidR="00696217">
        <w:rPr>
          <w:color w:val="000000"/>
          <w:sz w:val="26"/>
        </w:rPr>
        <w:t xml:space="preserve"> on December</w:t>
      </w:r>
      <w:r w:rsidR="00CE1F7B">
        <w:rPr>
          <w:color w:val="000000"/>
          <w:sz w:val="26"/>
        </w:rPr>
        <w:t> </w:t>
      </w:r>
      <w:r w:rsidR="00696217">
        <w:rPr>
          <w:color w:val="000000"/>
          <w:sz w:val="26"/>
        </w:rPr>
        <w:t>21, 2020, and by Reliant Energy Northeast LLC t/a NRG Residential Solutions (</w:t>
      </w:r>
      <w:r w:rsidR="004230CF">
        <w:rPr>
          <w:color w:val="000000"/>
          <w:sz w:val="26"/>
        </w:rPr>
        <w:t>NRG</w:t>
      </w:r>
      <w:r w:rsidR="00CD354A">
        <w:rPr>
          <w:color w:val="000000"/>
          <w:sz w:val="26"/>
        </w:rPr>
        <w:t xml:space="preserve"> Residential</w:t>
      </w:r>
      <w:r w:rsidR="00696217">
        <w:rPr>
          <w:color w:val="000000"/>
          <w:sz w:val="26"/>
        </w:rPr>
        <w:t>)</w:t>
      </w:r>
      <w:r>
        <w:rPr>
          <w:color w:val="000000"/>
          <w:sz w:val="26"/>
        </w:rPr>
        <w:t xml:space="preserve"> on </w:t>
      </w:r>
      <w:r w:rsidR="00696217">
        <w:rPr>
          <w:color w:val="000000"/>
          <w:sz w:val="26"/>
        </w:rPr>
        <w:t>December 31, 202</w:t>
      </w:r>
      <w:r w:rsidR="001D74A1">
        <w:rPr>
          <w:color w:val="000000"/>
          <w:sz w:val="26"/>
        </w:rPr>
        <w:t>0</w:t>
      </w:r>
      <w:r>
        <w:rPr>
          <w:color w:val="000000"/>
          <w:sz w:val="26"/>
        </w:rPr>
        <w:t>.  For the reasons stated below, we will</w:t>
      </w:r>
      <w:r w:rsidR="002656ED">
        <w:rPr>
          <w:color w:val="000000"/>
          <w:sz w:val="26"/>
        </w:rPr>
        <w:t>:</w:t>
      </w:r>
      <w:r w:rsidR="00C41765">
        <w:rPr>
          <w:color w:val="000000"/>
          <w:sz w:val="26"/>
        </w:rPr>
        <w:t xml:space="preserve"> </w:t>
      </w:r>
      <w:r>
        <w:rPr>
          <w:color w:val="000000"/>
          <w:sz w:val="26"/>
        </w:rPr>
        <w:t xml:space="preserve"> </w:t>
      </w:r>
      <w:r w:rsidR="002656ED">
        <w:rPr>
          <w:color w:val="000000"/>
          <w:sz w:val="26"/>
        </w:rPr>
        <w:lastRenderedPageBreak/>
        <w:t>(1)</w:t>
      </w:r>
      <w:r w:rsidR="00CE1F7B">
        <w:rPr>
          <w:color w:val="000000"/>
          <w:sz w:val="26"/>
        </w:rPr>
        <w:t> </w:t>
      </w:r>
      <w:r>
        <w:rPr>
          <w:color w:val="000000"/>
          <w:sz w:val="26"/>
        </w:rPr>
        <w:t xml:space="preserve">deny the Exceptions </w:t>
      </w:r>
      <w:r w:rsidR="00696217">
        <w:rPr>
          <w:color w:val="000000"/>
          <w:sz w:val="26"/>
        </w:rPr>
        <w:t>of Mr. Malik</w:t>
      </w:r>
      <w:r w:rsidR="008A607B">
        <w:rPr>
          <w:color w:val="000000"/>
          <w:sz w:val="26"/>
        </w:rPr>
        <w:t>;</w:t>
      </w:r>
      <w:r w:rsidR="00696217">
        <w:rPr>
          <w:color w:val="000000"/>
          <w:sz w:val="26"/>
        </w:rPr>
        <w:t xml:space="preserve"> </w:t>
      </w:r>
      <w:r w:rsidR="002656ED">
        <w:rPr>
          <w:color w:val="000000"/>
          <w:sz w:val="26"/>
        </w:rPr>
        <w:t xml:space="preserve">(2) </w:t>
      </w:r>
      <w:r w:rsidR="001679B3">
        <w:rPr>
          <w:color w:val="000000"/>
          <w:sz w:val="26"/>
        </w:rPr>
        <w:t>grant</w:t>
      </w:r>
      <w:r w:rsidR="00696217">
        <w:rPr>
          <w:color w:val="000000"/>
          <w:sz w:val="26"/>
        </w:rPr>
        <w:t xml:space="preserve"> the Exceptions of PECO</w:t>
      </w:r>
      <w:r w:rsidR="008A607B">
        <w:rPr>
          <w:color w:val="000000"/>
          <w:sz w:val="26"/>
        </w:rPr>
        <w:t>;</w:t>
      </w:r>
      <w:r w:rsidR="00022ECD" w:rsidRPr="00022ECD">
        <w:rPr>
          <w:sz w:val="26"/>
          <w:szCs w:val="26"/>
        </w:rPr>
        <w:t xml:space="preserve"> </w:t>
      </w:r>
      <w:r w:rsidR="00022ECD">
        <w:rPr>
          <w:sz w:val="26"/>
          <w:szCs w:val="26"/>
        </w:rPr>
        <w:t xml:space="preserve">and </w:t>
      </w:r>
      <w:r w:rsidR="002656ED">
        <w:rPr>
          <w:sz w:val="26"/>
          <w:szCs w:val="26"/>
        </w:rPr>
        <w:t xml:space="preserve">(3) </w:t>
      </w:r>
      <w:r w:rsidR="00022ECD">
        <w:rPr>
          <w:sz w:val="26"/>
          <w:szCs w:val="26"/>
        </w:rPr>
        <w:t>adopt the ALJ’s Initial Decision</w:t>
      </w:r>
      <w:r w:rsidR="00997F99">
        <w:rPr>
          <w:sz w:val="26"/>
          <w:szCs w:val="26"/>
        </w:rPr>
        <w:t>,</w:t>
      </w:r>
      <w:r w:rsidR="00F50AB6">
        <w:rPr>
          <w:sz w:val="26"/>
          <w:szCs w:val="26"/>
        </w:rPr>
        <w:t xml:space="preserve"> as modified</w:t>
      </w:r>
      <w:r w:rsidR="00696217">
        <w:rPr>
          <w:color w:val="000000"/>
          <w:sz w:val="26"/>
        </w:rPr>
        <w:t>,</w:t>
      </w:r>
      <w:r>
        <w:rPr>
          <w:color w:val="000000"/>
          <w:sz w:val="26"/>
        </w:rPr>
        <w:t xml:space="preserve"> </w:t>
      </w:r>
      <w:r w:rsidRPr="00181362">
        <w:rPr>
          <w:sz w:val="26"/>
          <w:szCs w:val="26"/>
        </w:rPr>
        <w:t>consistent with this Opinion and Order.</w:t>
      </w:r>
    </w:p>
    <w:p w14:paraId="2B05BD0C" w14:textId="77777777" w:rsidR="00022ECD" w:rsidRDefault="00022ECD" w:rsidP="00B560FB">
      <w:pPr>
        <w:spacing w:line="360" w:lineRule="auto"/>
        <w:ind w:firstLine="1440"/>
        <w:rPr>
          <w:sz w:val="26"/>
          <w:szCs w:val="26"/>
        </w:rPr>
      </w:pPr>
    </w:p>
    <w:p w14:paraId="39BBCF16" w14:textId="77777777" w:rsidR="001679B3" w:rsidRDefault="001679B3" w:rsidP="001679B3">
      <w:pPr>
        <w:pStyle w:val="ListParagraph"/>
        <w:widowControl/>
        <w:spacing w:line="360" w:lineRule="auto"/>
        <w:ind w:left="0"/>
        <w:jc w:val="center"/>
        <w:rPr>
          <w:b/>
          <w:sz w:val="26"/>
          <w:szCs w:val="26"/>
        </w:rPr>
      </w:pPr>
      <w:r>
        <w:rPr>
          <w:b/>
          <w:sz w:val="26"/>
          <w:szCs w:val="26"/>
        </w:rPr>
        <w:t>History of the Proceeding</w:t>
      </w:r>
    </w:p>
    <w:p w14:paraId="75045B87" w14:textId="77777777" w:rsidR="001679B3" w:rsidRDefault="001679B3" w:rsidP="001679B3">
      <w:pPr>
        <w:pStyle w:val="ListParagraph"/>
        <w:widowControl/>
        <w:spacing w:line="360" w:lineRule="auto"/>
        <w:ind w:left="0"/>
        <w:jc w:val="center"/>
        <w:rPr>
          <w:b/>
          <w:sz w:val="26"/>
          <w:szCs w:val="26"/>
        </w:rPr>
      </w:pPr>
    </w:p>
    <w:p w14:paraId="61D1E20A" w14:textId="219D9DCD" w:rsidR="001679B3" w:rsidRPr="001679B3" w:rsidRDefault="001679B3" w:rsidP="001679B3">
      <w:pPr>
        <w:spacing w:line="360" w:lineRule="auto"/>
        <w:ind w:firstLine="1440"/>
        <w:rPr>
          <w:sz w:val="26"/>
          <w:szCs w:val="26"/>
        </w:rPr>
      </w:pPr>
      <w:r w:rsidRPr="001679B3">
        <w:rPr>
          <w:sz w:val="26"/>
          <w:szCs w:val="26"/>
        </w:rPr>
        <w:t xml:space="preserve">On </w:t>
      </w:r>
      <w:r w:rsidR="00C23466">
        <w:rPr>
          <w:sz w:val="26"/>
          <w:szCs w:val="26"/>
        </w:rPr>
        <w:t>January 30,</w:t>
      </w:r>
      <w:r w:rsidRPr="001679B3">
        <w:rPr>
          <w:sz w:val="26"/>
          <w:szCs w:val="26"/>
        </w:rPr>
        <w:t xml:space="preserve"> 2020, </w:t>
      </w:r>
      <w:r w:rsidR="004230CF">
        <w:rPr>
          <w:sz w:val="26"/>
          <w:szCs w:val="26"/>
        </w:rPr>
        <w:t xml:space="preserve">Mr. </w:t>
      </w:r>
      <w:r w:rsidRPr="001679B3">
        <w:rPr>
          <w:sz w:val="26"/>
          <w:szCs w:val="26"/>
        </w:rPr>
        <w:t xml:space="preserve">Malik filed a </w:t>
      </w:r>
      <w:r w:rsidR="002656ED">
        <w:rPr>
          <w:sz w:val="26"/>
          <w:szCs w:val="26"/>
        </w:rPr>
        <w:t xml:space="preserve">Formal </w:t>
      </w:r>
      <w:r w:rsidRPr="001679B3">
        <w:rPr>
          <w:sz w:val="26"/>
          <w:szCs w:val="26"/>
        </w:rPr>
        <w:t xml:space="preserve">Complaint </w:t>
      </w:r>
      <w:r w:rsidR="002656ED">
        <w:rPr>
          <w:sz w:val="26"/>
          <w:szCs w:val="26"/>
        </w:rPr>
        <w:t xml:space="preserve">(Complaint) </w:t>
      </w:r>
      <w:r w:rsidRPr="001679B3">
        <w:rPr>
          <w:sz w:val="26"/>
          <w:szCs w:val="26"/>
        </w:rPr>
        <w:t xml:space="preserve">with the Commission against </w:t>
      </w:r>
      <w:r w:rsidR="000D7CB2">
        <w:rPr>
          <w:sz w:val="26"/>
          <w:szCs w:val="26"/>
        </w:rPr>
        <w:t xml:space="preserve">Respondents </w:t>
      </w:r>
      <w:r w:rsidRPr="001679B3">
        <w:rPr>
          <w:sz w:val="26"/>
          <w:szCs w:val="26"/>
        </w:rPr>
        <w:t xml:space="preserve">PECO and </w:t>
      </w:r>
      <w:r w:rsidR="004230CF">
        <w:rPr>
          <w:sz w:val="26"/>
          <w:szCs w:val="26"/>
        </w:rPr>
        <w:t>NRG</w:t>
      </w:r>
      <w:r w:rsidR="00784781" w:rsidRPr="00784781">
        <w:rPr>
          <w:color w:val="000000"/>
          <w:spacing w:val="-1"/>
          <w:sz w:val="26"/>
          <w:szCs w:val="26"/>
        </w:rPr>
        <w:t xml:space="preserve"> </w:t>
      </w:r>
      <w:r w:rsidR="00CD354A">
        <w:rPr>
          <w:color w:val="000000"/>
          <w:spacing w:val="-1"/>
          <w:sz w:val="26"/>
          <w:szCs w:val="26"/>
        </w:rPr>
        <w:t xml:space="preserve">Residential </w:t>
      </w:r>
      <w:r w:rsidR="00784781" w:rsidRPr="00263655">
        <w:rPr>
          <w:color w:val="000000"/>
          <w:spacing w:val="-1"/>
          <w:sz w:val="26"/>
          <w:szCs w:val="26"/>
        </w:rPr>
        <w:t>aver</w:t>
      </w:r>
      <w:r w:rsidR="00784781">
        <w:rPr>
          <w:color w:val="000000"/>
          <w:spacing w:val="-1"/>
          <w:sz w:val="26"/>
          <w:szCs w:val="26"/>
        </w:rPr>
        <w:t>ring</w:t>
      </w:r>
      <w:r w:rsidR="00784781" w:rsidRPr="00263655">
        <w:rPr>
          <w:color w:val="000000"/>
          <w:spacing w:val="-1"/>
          <w:sz w:val="26"/>
          <w:szCs w:val="26"/>
        </w:rPr>
        <w:t xml:space="preserve"> that </w:t>
      </w:r>
      <w:r w:rsidR="00784781">
        <w:rPr>
          <w:color w:val="000000"/>
          <w:spacing w:val="-1"/>
          <w:sz w:val="26"/>
          <w:szCs w:val="26"/>
        </w:rPr>
        <w:t xml:space="preserve">the </w:t>
      </w:r>
      <w:r w:rsidR="00784781" w:rsidRPr="00263655">
        <w:rPr>
          <w:color w:val="000000"/>
          <w:spacing w:val="-1"/>
          <w:sz w:val="26"/>
          <w:szCs w:val="26"/>
        </w:rPr>
        <w:t>Respondent</w:t>
      </w:r>
      <w:r w:rsidR="00784781">
        <w:rPr>
          <w:color w:val="000000"/>
          <w:spacing w:val="-1"/>
          <w:sz w:val="26"/>
          <w:szCs w:val="26"/>
        </w:rPr>
        <w:t>s</w:t>
      </w:r>
      <w:r w:rsidR="00784781" w:rsidRPr="00263655">
        <w:rPr>
          <w:color w:val="000000"/>
          <w:spacing w:val="-1"/>
          <w:sz w:val="26"/>
          <w:szCs w:val="26"/>
        </w:rPr>
        <w:t xml:space="preserve"> </w:t>
      </w:r>
      <w:r w:rsidR="00784781">
        <w:rPr>
          <w:color w:val="000000"/>
          <w:spacing w:val="-1"/>
          <w:sz w:val="26"/>
          <w:szCs w:val="26"/>
        </w:rPr>
        <w:t>engaged in</w:t>
      </w:r>
      <w:r w:rsidR="00784781" w:rsidRPr="00263655">
        <w:rPr>
          <w:color w:val="000000"/>
          <w:spacing w:val="-1"/>
          <w:sz w:val="26"/>
          <w:szCs w:val="26"/>
        </w:rPr>
        <w:t xml:space="preserve"> </w:t>
      </w:r>
      <w:r w:rsidR="00784781">
        <w:rPr>
          <w:color w:val="000000"/>
          <w:spacing w:val="-1"/>
          <w:sz w:val="26"/>
          <w:szCs w:val="26"/>
        </w:rPr>
        <w:t>“</w:t>
      </w:r>
      <w:r w:rsidR="00784781" w:rsidRPr="00263655">
        <w:rPr>
          <w:color w:val="000000"/>
          <w:spacing w:val="-1"/>
          <w:sz w:val="26"/>
          <w:szCs w:val="26"/>
        </w:rPr>
        <w:t>slamming</w:t>
      </w:r>
      <w:r w:rsidR="00784781">
        <w:rPr>
          <w:color w:val="000000"/>
          <w:spacing w:val="-1"/>
          <w:sz w:val="26"/>
          <w:szCs w:val="26"/>
        </w:rPr>
        <w:t>”</w:t>
      </w:r>
      <w:r w:rsidR="00784781" w:rsidRPr="00263655">
        <w:rPr>
          <w:color w:val="000000"/>
          <w:spacing w:val="-1"/>
          <w:sz w:val="26"/>
          <w:szCs w:val="26"/>
        </w:rPr>
        <w:t xml:space="preserve"> </w:t>
      </w:r>
      <w:r w:rsidR="00784781">
        <w:rPr>
          <w:color w:val="000000"/>
          <w:spacing w:val="-1"/>
          <w:sz w:val="26"/>
          <w:szCs w:val="26"/>
        </w:rPr>
        <w:t>of his residential electric and natural gas accounts.</w:t>
      </w:r>
      <w:r w:rsidR="00784781" w:rsidRPr="0055742B">
        <w:rPr>
          <w:sz w:val="26"/>
          <w:szCs w:val="26"/>
          <w:vertAlign w:val="superscript"/>
        </w:rPr>
        <w:footnoteReference w:id="1"/>
      </w:r>
      <w:r w:rsidRPr="001679B3">
        <w:rPr>
          <w:sz w:val="26"/>
          <w:szCs w:val="26"/>
        </w:rPr>
        <w:t xml:space="preserve">  The Complaint is a timely appeal of the Bureau of Consumer Services (BCS) decision dated December 2</w:t>
      </w:r>
      <w:r w:rsidR="00710113">
        <w:rPr>
          <w:sz w:val="26"/>
          <w:szCs w:val="26"/>
        </w:rPr>
        <w:t>7</w:t>
      </w:r>
      <w:r w:rsidRPr="001679B3">
        <w:rPr>
          <w:sz w:val="26"/>
          <w:szCs w:val="26"/>
        </w:rPr>
        <w:t xml:space="preserve">, 2019, at BCS </w:t>
      </w:r>
      <w:r w:rsidR="00D90384">
        <w:rPr>
          <w:sz w:val="26"/>
          <w:szCs w:val="26"/>
        </w:rPr>
        <w:t xml:space="preserve">Case </w:t>
      </w:r>
      <w:r w:rsidRPr="001679B3">
        <w:rPr>
          <w:sz w:val="26"/>
          <w:szCs w:val="26"/>
        </w:rPr>
        <w:t>No. 3689289</w:t>
      </w:r>
      <w:r w:rsidR="008D4D18">
        <w:rPr>
          <w:sz w:val="26"/>
          <w:szCs w:val="26"/>
        </w:rPr>
        <w:t xml:space="preserve"> (</w:t>
      </w:r>
      <w:r w:rsidR="008D4D18">
        <w:rPr>
          <w:i/>
          <w:iCs/>
          <w:sz w:val="26"/>
          <w:szCs w:val="26"/>
        </w:rPr>
        <w:t>BCS Decision</w:t>
      </w:r>
      <w:r w:rsidR="008D4D18">
        <w:rPr>
          <w:sz w:val="26"/>
          <w:szCs w:val="26"/>
        </w:rPr>
        <w:t>)</w:t>
      </w:r>
      <w:r w:rsidRPr="001679B3">
        <w:rPr>
          <w:sz w:val="26"/>
          <w:szCs w:val="26"/>
        </w:rPr>
        <w:t>.</w:t>
      </w:r>
      <w:r w:rsidR="00997F99">
        <w:rPr>
          <w:rStyle w:val="FootnoteReference"/>
          <w:sz w:val="26"/>
          <w:szCs w:val="26"/>
        </w:rPr>
        <w:footnoteReference w:id="2"/>
      </w:r>
      <w:r w:rsidRPr="001679B3">
        <w:rPr>
          <w:sz w:val="26"/>
          <w:szCs w:val="26"/>
        </w:rPr>
        <w:t xml:space="preserve">  </w:t>
      </w:r>
      <w:r w:rsidR="00784781">
        <w:rPr>
          <w:sz w:val="26"/>
          <w:szCs w:val="26"/>
        </w:rPr>
        <w:t>Specifically, t</w:t>
      </w:r>
      <w:r w:rsidRPr="001679B3">
        <w:rPr>
          <w:sz w:val="26"/>
          <w:szCs w:val="26"/>
        </w:rPr>
        <w:t xml:space="preserve">he Complaint alleges that </w:t>
      </w:r>
      <w:r w:rsidR="00CD354A">
        <w:rPr>
          <w:sz w:val="26"/>
          <w:szCs w:val="26"/>
        </w:rPr>
        <w:t xml:space="preserve">the </w:t>
      </w:r>
      <w:r w:rsidRPr="001679B3">
        <w:rPr>
          <w:sz w:val="26"/>
          <w:szCs w:val="26"/>
        </w:rPr>
        <w:t xml:space="preserve">Complainant never authorized PECO or NRG </w:t>
      </w:r>
      <w:r w:rsidR="00CD354A">
        <w:rPr>
          <w:sz w:val="26"/>
          <w:szCs w:val="26"/>
        </w:rPr>
        <w:t xml:space="preserve">Residential </w:t>
      </w:r>
      <w:r w:rsidRPr="001679B3">
        <w:rPr>
          <w:sz w:val="26"/>
          <w:szCs w:val="26"/>
        </w:rPr>
        <w:t xml:space="preserve">to switch his electric supplier and natural gas supplier from PECO to NRG </w:t>
      </w:r>
      <w:r w:rsidR="00D90384">
        <w:rPr>
          <w:sz w:val="26"/>
          <w:szCs w:val="26"/>
        </w:rPr>
        <w:t xml:space="preserve">Residential </w:t>
      </w:r>
      <w:r w:rsidRPr="001679B3">
        <w:rPr>
          <w:sz w:val="26"/>
          <w:szCs w:val="26"/>
        </w:rPr>
        <w:t>and NRG Home, respectively.</w:t>
      </w:r>
      <w:r w:rsidR="00CD354A">
        <w:rPr>
          <w:rStyle w:val="FootnoteReference"/>
          <w:sz w:val="26"/>
          <w:szCs w:val="26"/>
        </w:rPr>
        <w:footnoteReference w:id="3"/>
      </w:r>
      <w:r w:rsidRPr="001679B3">
        <w:rPr>
          <w:sz w:val="26"/>
          <w:szCs w:val="26"/>
        </w:rPr>
        <w:t xml:space="preserve">  </w:t>
      </w:r>
      <w:r w:rsidR="00CD354A">
        <w:rPr>
          <w:sz w:val="26"/>
          <w:szCs w:val="26"/>
        </w:rPr>
        <w:t xml:space="preserve">The </w:t>
      </w:r>
      <w:r w:rsidRPr="001679B3">
        <w:rPr>
          <w:sz w:val="26"/>
          <w:szCs w:val="26"/>
        </w:rPr>
        <w:t xml:space="preserve">Complainant seeks damages and a civil penalty.   </w:t>
      </w:r>
    </w:p>
    <w:p w14:paraId="4BD97EEF"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71E786D7" w14:textId="77777777" w:rsidR="001679B3" w:rsidRPr="001679B3" w:rsidRDefault="001679B3" w:rsidP="001679B3">
      <w:pPr>
        <w:spacing w:line="360" w:lineRule="auto"/>
        <w:ind w:firstLine="1440"/>
        <w:rPr>
          <w:sz w:val="26"/>
          <w:szCs w:val="26"/>
        </w:rPr>
      </w:pPr>
      <w:r w:rsidRPr="001679B3">
        <w:rPr>
          <w:sz w:val="26"/>
          <w:szCs w:val="26"/>
        </w:rPr>
        <w:t xml:space="preserve">PECO filed an Answer to the Complaint on March 10, 2020.  The Answer </w:t>
      </w:r>
    </w:p>
    <w:p w14:paraId="5A2CD526" w14:textId="6D44F9CD" w:rsidR="001679B3" w:rsidRPr="001679B3" w:rsidRDefault="00D90384" w:rsidP="001679B3">
      <w:pPr>
        <w:spacing w:line="360" w:lineRule="auto"/>
        <w:ind w:left="-5"/>
        <w:rPr>
          <w:sz w:val="26"/>
          <w:szCs w:val="26"/>
        </w:rPr>
      </w:pPr>
      <w:r>
        <w:rPr>
          <w:sz w:val="26"/>
          <w:szCs w:val="26"/>
        </w:rPr>
        <w:t xml:space="preserve">averred </w:t>
      </w:r>
      <w:r w:rsidR="001679B3" w:rsidRPr="001679B3">
        <w:rPr>
          <w:sz w:val="26"/>
          <w:szCs w:val="26"/>
        </w:rPr>
        <w:t xml:space="preserve">that PECO processed a switch request submitted to it by NRG Residential.  PECO </w:t>
      </w:r>
      <w:r>
        <w:rPr>
          <w:sz w:val="26"/>
          <w:szCs w:val="26"/>
        </w:rPr>
        <w:t xml:space="preserve">further </w:t>
      </w:r>
      <w:r w:rsidR="001679B3" w:rsidRPr="001679B3">
        <w:rPr>
          <w:sz w:val="26"/>
          <w:szCs w:val="26"/>
        </w:rPr>
        <w:t>aver</w:t>
      </w:r>
      <w:r>
        <w:rPr>
          <w:sz w:val="26"/>
          <w:szCs w:val="26"/>
        </w:rPr>
        <w:t>red that</w:t>
      </w:r>
      <w:r w:rsidR="001679B3" w:rsidRPr="001679B3">
        <w:rPr>
          <w:sz w:val="26"/>
          <w:szCs w:val="26"/>
        </w:rPr>
        <w:t xml:space="preserve"> it is not a party to the contracts between </w:t>
      </w:r>
      <w:r w:rsidR="00CD354A">
        <w:rPr>
          <w:sz w:val="26"/>
          <w:szCs w:val="26"/>
        </w:rPr>
        <w:t xml:space="preserve">the </w:t>
      </w:r>
      <w:r w:rsidR="001679B3" w:rsidRPr="001679B3">
        <w:rPr>
          <w:sz w:val="26"/>
          <w:szCs w:val="26"/>
        </w:rPr>
        <w:t>Complainant and NRG Residential</w:t>
      </w:r>
      <w:r w:rsidR="00997F99">
        <w:rPr>
          <w:sz w:val="26"/>
          <w:szCs w:val="26"/>
        </w:rPr>
        <w:t>;</w:t>
      </w:r>
      <w:r w:rsidR="001679B3" w:rsidRPr="001679B3">
        <w:rPr>
          <w:sz w:val="26"/>
          <w:szCs w:val="26"/>
        </w:rPr>
        <w:t xml:space="preserve"> and that NRG Residential is the proper Respondent for </w:t>
      </w:r>
      <w:r w:rsidR="00CD354A">
        <w:rPr>
          <w:sz w:val="26"/>
          <w:szCs w:val="26"/>
        </w:rPr>
        <w:t xml:space="preserve">the </w:t>
      </w:r>
      <w:r w:rsidR="001679B3" w:rsidRPr="001679B3">
        <w:rPr>
          <w:sz w:val="26"/>
          <w:szCs w:val="26"/>
        </w:rPr>
        <w:t xml:space="preserve">Complainant’s Complaint, not PECO.  </w:t>
      </w:r>
    </w:p>
    <w:p w14:paraId="04F9F424"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1D61887E" w14:textId="3FA879EA" w:rsidR="001679B3" w:rsidRPr="001679B3" w:rsidRDefault="00D90384" w:rsidP="001679B3">
      <w:pPr>
        <w:spacing w:line="360" w:lineRule="auto"/>
        <w:ind w:firstLine="1440"/>
        <w:rPr>
          <w:sz w:val="26"/>
          <w:szCs w:val="26"/>
        </w:rPr>
      </w:pPr>
      <w:r>
        <w:rPr>
          <w:sz w:val="26"/>
          <w:szCs w:val="26"/>
        </w:rPr>
        <w:t xml:space="preserve">On March 12, 2020, </w:t>
      </w:r>
      <w:r w:rsidR="001679B3" w:rsidRPr="001679B3">
        <w:rPr>
          <w:sz w:val="26"/>
          <w:szCs w:val="26"/>
        </w:rPr>
        <w:t>PECO filed Preliminary Objections</w:t>
      </w:r>
      <w:r>
        <w:rPr>
          <w:sz w:val="26"/>
          <w:szCs w:val="26"/>
        </w:rPr>
        <w:t xml:space="preserve"> </w:t>
      </w:r>
      <w:r w:rsidR="001679B3" w:rsidRPr="001679B3">
        <w:rPr>
          <w:sz w:val="26"/>
          <w:szCs w:val="26"/>
        </w:rPr>
        <w:t>request</w:t>
      </w:r>
      <w:r>
        <w:rPr>
          <w:sz w:val="26"/>
          <w:szCs w:val="26"/>
        </w:rPr>
        <w:t>ing</w:t>
      </w:r>
      <w:r w:rsidR="001679B3" w:rsidRPr="001679B3">
        <w:rPr>
          <w:sz w:val="26"/>
          <w:szCs w:val="26"/>
        </w:rPr>
        <w:t xml:space="preserve"> that the Complaint against PECO be dismissed because it is legally insufficient.  Specifically, </w:t>
      </w:r>
      <w:r>
        <w:rPr>
          <w:sz w:val="26"/>
          <w:szCs w:val="26"/>
        </w:rPr>
        <w:t xml:space="preserve">PECO stated that </w:t>
      </w:r>
      <w:r w:rsidR="001679B3" w:rsidRPr="001679B3">
        <w:rPr>
          <w:sz w:val="26"/>
          <w:szCs w:val="26"/>
        </w:rPr>
        <w:t xml:space="preserve">the Complaint does not allege any facts that could be construed as a </w:t>
      </w:r>
      <w:r w:rsidR="001679B3" w:rsidRPr="001679B3">
        <w:rPr>
          <w:sz w:val="26"/>
          <w:szCs w:val="26"/>
        </w:rPr>
        <w:lastRenderedPageBreak/>
        <w:t>violation by PECO of any statute, regulation, or order.  PECO reiterate</w:t>
      </w:r>
      <w:r>
        <w:rPr>
          <w:sz w:val="26"/>
          <w:szCs w:val="26"/>
        </w:rPr>
        <w:t>d</w:t>
      </w:r>
      <w:r w:rsidR="001679B3" w:rsidRPr="001679B3">
        <w:rPr>
          <w:sz w:val="26"/>
          <w:szCs w:val="26"/>
        </w:rPr>
        <w:t xml:space="preserve"> its position that the supplier switch contracts are between </w:t>
      </w:r>
      <w:r w:rsidR="00CD354A">
        <w:rPr>
          <w:sz w:val="26"/>
          <w:szCs w:val="26"/>
        </w:rPr>
        <w:t xml:space="preserve">the </w:t>
      </w:r>
      <w:r w:rsidR="001679B3" w:rsidRPr="001679B3">
        <w:rPr>
          <w:sz w:val="26"/>
          <w:szCs w:val="26"/>
        </w:rPr>
        <w:t>Complainant and NRG Residential</w:t>
      </w:r>
      <w:r>
        <w:rPr>
          <w:sz w:val="26"/>
          <w:szCs w:val="26"/>
        </w:rPr>
        <w:t xml:space="preserve"> and that PECO </w:t>
      </w:r>
      <w:r w:rsidR="001679B3" w:rsidRPr="001679B3">
        <w:rPr>
          <w:sz w:val="26"/>
          <w:szCs w:val="26"/>
        </w:rPr>
        <w:t>followed its Commission</w:t>
      </w:r>
      <w:r>
        <w:rPr>
          <w:sz w:val="26"/>
          <w:szCs w:val="26"/>
        </w:rPr>
        <w:t>-</w:t>
      </w:r>
      <w:r w:rsidR="001679B3" w:rsidRPr="001679B3">
        <w:rPr>
          <w:sz w:val="26"/>
          <w:szCs w:val="26"/>
        </w:rPr>
        <w:t xml:space="preserve">approved </w:t>
      </w:r>
      <w:r w:rsidR="00451C53">
        <w:rPr>
          <w:sz w:val="26"/>
          <w:szCs w:val="26"/>
        </w:rPr>
        <w:t>T</w:t>
      </w:r>
      <w:r w:rsidR="001679B3" w:rsidRPr="001679B3">
        <w:rPr>
          <w:sz w:val="26"/>
          <w:szCs w:val="26"/>
        </w:rPr>
        <w:t xml:space="preserve">ariff in processing the switches.     </w:t>
      </w:r>
    </w:p>
    <w:p w14:paraId="41BE171A"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3489054E" w14:textId="5CFA7B94" w:rsidR="001679B3" w:rsidRPr="001679B3" w:rsidRDefault="001679B3" w:rsidP="001679B3">
      <w:pPr>
        <w:spacing w:line="360" w:lineRule="auto"/>
        <w:ind w:firstLine="1440"/>
        <w:rPr>
          <w:sz w:val="26"/>
          <w:szCs w:val="26"/>
        </w:rPr>
      </w:pPr>
      <w:r w:rsidRPr="001679B3">
        <w:rPr>
          <w:sz w:val="26"/>
          <w:szCs w:val="26"/>
        </w:rPr>
        <w:t xml:space="preserve">On May 26, 2020, </w:t>
      </w:r>
      <w:r w:rsidR="00CD354A">
        <w:rPr>
          <w:sz w:val="26"/>
          <w:szCs w:val="26"/>
        </w:rPr>
        <w:t xml:space="preserve">the </w:t>
      </w:r>
      <w:r w:rsidRPr="001679B3">
        <w:rPr>
          <w:sz w:val="26"/>
          <w:szCs w:val="26"/>
        </w:rPr>
        <w:t>Complainant filed his Answer to PECO’s Preliminary Objections and</w:t>
      </w:r>
      <w:r w:rsidR="00D90384">
        <w:rPr>
          <w:sz w:val="26"/>
          <w:szCs w:val="26"/>
        </w:rPr>
        <w:t xml:space="preserve"> agreed to withdraw</w:t>
      </w:r>
      <w:r w:rsidRPr="001679B3">
        <w:rPr>
          <w:sz w:val="26"/>
          <w:szCs w:val="26"/>
        </w:rPr>
        <w:t xml:space="preserve"> PECO from this proceeding. </w:t>
      </w:r>
    </w:p>
    <w:p w14:paraId="079D5868"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74170E40" w14:textId="5471EDA1" w:rsidR="001679B3" w:rsidRPr="001679B3" w:rsidRDefault="001679B3" w:rsidP="001679B3">
      <w:pPr>
        <w:spacing w:line="360" w:lineRule="auto"/>
        <w:ind w:firstLine="1440"/>
        <w:rPr>
          <w:sz w:val="26"/>
          <w:szCs w:val="26"/>
        </w:rPr>
      </w:pPr>
      <w:r w:rsidRPr="001679B3">
        <w:rPr>
          <w:sz w:val="26"/>
          <w:szCs w:val="26"/>
        </w:rPr>
        <w:t xml:space="preserve">On May 27, 2020, NRG Residential filed its Answer to the Complaint denying the material allegations contained therein.   </w:t>
      </w:r>
    </w:p>
    <w:p w14:paraId="338A93FA"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09AE8E94" w14:textId="5557860D" w:rsidR="001679B3" w:rsidRPr="001679B3" w:rsidRDefault="001679B3" w:rsidP="001679B3">
      <w:pPr>
        <w:spacing w:line="360" w:lineRule="auto"/>
        <w:ind w:left="-15" w:firstLine="1440"/>
        <w:rPr>
          <w:sz w:val="26"/>
          <w:szCs w:val="26"/>
        </w:rPr>
      </w:pPr>
      <w:r w:rsidRPr="001679B3">
        <w:rPr>
          <w:sz w:val="26"/>
          <w:szCs w:val="26"/>
        </w:rPr>
        <w:t xml:space="preserve">On June </w:t>
      </w:r>
      <w:r w:rsidR="00936DE2">
        <w:rPr>
          <w:sz w:val="26"/>
          <w:szCs w:val="26"/>
        </w:rPr>
        <w:t>5</w:t>
      </w:r>
      <w:r w:rsidRPr="001679B3">
        <w:rPr>
          <w:sz w:val="26"/>
          <w:szCs w:val="26"/>
        </w:rPr>
        <w:t xml:space="preserve">, 2020, </w:t>
      </w:r>
      <w:r w:rsidR="00CD354A">
        <w:rPr>
          <w:sz w:val="26"/>
          <w:szCs w:val="26"/>
        </w:rPr>
        <w:t xml:space="preserve">the </w:t>
      </w:r>
      <w:r w:rsidRPr="001679B3">
        <w:rPr>
          <w:sz w:val="26"/>
          <w:szCs w:val="26"/>
        </w:rPr>
        <w:t xml:space="preserve">Complainant filed a revised Answer to PECO’s Preliminary Objections and rescinded his removal of PECO as a respondent party in this proceeding.   </w:t>
      </w:r>
    </w:p>
    <w:p w14:paraId="08A0748C" w14:textId="77777777" w:rsidR="001679B3" w:rsidRPr="001679B3" w:rsidRDefault="001679B3" w:rsidP="001679B3">
      <w:pPr>
        <w:spacing w:line="360" w:lineRule="auto"/>
        <w:ind w:left="1354" w:firstLine="1440"/>
        <w:rPr>
          <w:sz w:val="26"/>
          <w:szCs w:val="26"/>
        </w:rPr>
      </w:pPr>
      <w:r w:rsidRPr="001679B3">
        <w:rPr>
          <w:sz w:val="26"/>
          <w:szCs w:val="26"/>
        </w:rPr>
        <w:t xml:space="preserve"> </w:t>
      </w:r>
    </w:p>
    <w:p w14:paraId="0E5EA73D" w14:textId="3A8DA234" w:rsidR="001679B3" w:rsidRPr="004230CF" w:rsidRDefault="001679B3" w:rsidP="004230CF">
      <w:pPr>
        <w:spacing w:line="360" w:lineRule="auto"/>
        <w:ind w:firstLine="1440"/>
        <w:rPr>
          <w:sz w:val="26"/>
          <w:szCs w:val="26"/>
        </w:rPr>
      </w:pPr>
      <w:r w:rsidRPr="001679B3">
        <w:rPr>
          <w:sz w:val="26"/>
          <w:szCs w:val="26"/>
        </w:rPr>
        <w:t xml:space="preserve">The </w:t>
      </w:r>
      <w:r w:rsidR="009D6A82">
        <w:rPr>
          <w:sz w:val="26"/>
          <w:szCs w:val="26"/>
        </w:rPr>
        <w:t>ALJ</w:t>
      </w:r>
      <w:r w:rsidRPr="001679B3">
        <w:rPr>
          <w:sz w:val="26"/>
          <w:szCs w:val="26"/>
        </w:rPr>
        <w:t xml:space="preserve"> conducted a telephonic hearing on July 1, 2020, as scheduled.  </w:t>
      </w:r>
      <w:r w:rsidR="00CD354A">
        <w:rPr>
          <w:sz w:val="26"/>
          <w:szCs w:val="26"/>
        </w:rPr>
        <w:t xml:space="preserve">The </w:t>
      </w:r>
      <w:r w:rsidRPr="001679B3">
        <w:rPr>
          <w:sz w:val="26"/>
          <w:szCs w:val="26"/>
        </w:rPr>
        <w:t xml:space="preserve">Complainant appeared </w:t>
      </w:r>
      <w:r w:rsidRPr="001679B3">
        <w:rPr>
          <w:i/>
          <w:sz w:val="26"/>
          <w:szCs w:val="26"/>
        </w:rPr>
        <w:t>pro se</w:t>
      </w:r>
      <w:r w:rsidRPr="001679B3">
        <w:rPr>
          <w:sz w:val="26"/>
          <w:szCs w:val="26"/>
        </w:rPr>
        <w:t xml:space="preserve">.  </w:t>
      </w:r>
      <w:r w:rsidR="00CD354A">
        <w:rPr>
          <w:sz w:val="26"/>
          <w:szCs w:val="26"/>
        </w:rPr>
        <w:t xml:space="preserve">The </w:t>
      </w:r>
      <w:r w:rsidRPr="001679B3">
        <w:rPr>
          <w:sz w:val="26"/>
          <w:szCs w:val="26"/>
        </w:rPr>
        <w:t xml:space="preserve">Complainant testified and presented the testimony of his wife, Rosalind El Malik.  </w:t>
      </w:r>
      <w:r w:rsidR="00CD354A">
        <w:rPr>
          <w:sz w:val="26"/>
          <w:szCs w:val="26"/>
        </w:rPr>
        <w:t xml:space="preserve">The </w:t>
      </w:r>
      <w:r w:rsidRPr="001679B3">
        <w:rPr>
          <w:sz w:val="26"/>
          <w:szCs w:val="26"/>
        </w:rPr>
        <w:t xml:space="preserve">Complainant offered Complainant Exhibits 1-8.  Complainant Exhibits 1-6, and 8 were admitted into evidence.  PECO presented the testimony of two witnesses, Carol Reilly, and Anna Mae </w:t>
      </w:r>
      <w:proofErr w:type="spellStart"/>
      <w:r w:rsidRPr="001679B3">
        <w:rPr>
          <w:sz w:val="26"/>
          <w:szCs w:val="26"/>
        </w:rPr>
        <w:t>Migliaccio</w:t>
      </w:r>
      <w:proofErr w:type="spellEnd"/>
      <w:r w:rsidRPr="001679B3">
        <w:rPr>
          <w:sz w:val="26"/>
          <w:szCs w:val="26"/>
        </w:rPr>
        <w:t xml:space="preserve">, and offered PECO Exhibits 1-3, which were admitted into evidence.  NRG Residential presented the testimony of one witness, Spencer Halstead, and offered two exhibits, which were admitted as NRG Exhibits 1 and 2.  </w:t>
      </w:r>
      <w:r w:rsidR="009D6A82">
        <w:rPr>
          <w:sz w:val="26"/>
          <w:szCs w:val="26"/>
        </w:rPr>
        <w:t xml:space="preserve">At the hearing, the ALJ denied PECO’s Preliminary Objections.  Transcript </w:t>
      </w:r>
      <w:r w:rsidR="00607CC7">
        <w:rPr>
          <w:sz w:val="26"/>
          <w:szCs w:val="26"/>
        </w:rPr>
        <w:t xml:space="preserve">(Tr.) </w:t>
      </w:r>
      <w:r w:rsidR="001D74A1">
        <w:rPr>
          <w:sz w:val="26"/>
          <w:szCs w:val="26"/>
        </w:rPr>
        <w:t xml:space="preserve">at </w:t>
      </w:r>
      <w:r w:rsidR="009D6A82">
        <w:rPr>
          <w:sz w:val="26"/>
          <w:szCs w:val="26"/>
        </w:rPr>
        <w:t xml:space="preserve">62.  </w:t>
      </w:r>
      <w:r w:rsidRPr="001679B3">
        <w:rPr>
          <w:sz w:val="26"/>
          <w:szCs w:val="26"/>
        </w:rPr>
        <w:t>The record closed by Interim Order on July 30, 2020.</w:t>
      </w:r>
      <w:r w:rsidRPr="001679B3">
        <w:rPr>
          <w:bCs/>
          <w:sz w:val="26"/>
          <w:szCs w:val="26"/>
        </w:rPr>
        <w:t xml:space="preserve"> </w:t>
      </w:r>
    </w:p>
    <w:p w14:paraId="60427958" w14:textId="77777777" w:rsidR="001679B3" w:rsidRDefault="001679B3" w:rsidP="001679B3">
      <w:pPr>
        <w:widowControl/>
        <w:spacing w:line="360" w:lineRule="auto"/>
        <w:ind w:firstLine="1440"/>
        <w:rPr>
          <w:bCs/>
          <w:sz w:val="26"/>
          <w:szCs w:val="26"/>
        </w:rPr>
      </w:pPr>
    </w:p>
    <w:p w14:paraId="713608EC" w14:textId="7B9D1B0E" w:rsidR="001679B3" w:rsidRDefault="001679B3" w:rsidP="001679B3">
      <w:pPr>
        <w:widowControl/>
        <w:spacing w:line="360" w:lineRule="auto"/>
        <w:ind w:firstLine="1440"/>
        <w:rPr>
          <w:bCs/>
          <w:sz w:val="26"/>
          <w:szCs w:val="26"/>
        </w:rPr>
      </w:pPr>
      <w:r>
        <w:rPr>
          <w:bCs/>
          <w:sz w:val="26"/>
          <w:szCs w:val="26"/>
        </w:rPr>
        <w:t xml:space="preserve">On </w:t>
      </w:r>
      <w:r w:rsidR="009D6A82">
        <w:rPr>
          <w:bCs/>
          <w:sz w:val="26"/>
          <w:szCs w:val="26"/>
        </w:rPr>
        <w:t>December 1</w:t>
      </w:r>
      <w:r>
        <w:rPr>
          <w:bCs/>
          <w:sz w:val="26"/>
          <w:szCs w:val="26"/>
        </w:rPr>
        <w:t>, 202</w:t>
      </w:r>
      <w:r w:rsidR="009D6A82">
        <w:rPr>
          <w:bCs/>
          <w:sz w:val="26"/>
          <w:szCs w:val="26"/>
        </w:rPr>
        <w:t>0</w:t>
      </w:r>
      <w:r>
        <w:rPr>
          <w:bCs/>
          <w:sz w:val="26"/>
          <w:szCs w:val="26"/>
        </w:rPr>
        <w:t>, the ALJ issued h</w:t>
      </w:r>
      <w:r w:rsidR="009D6A82">
        <w:rPr>
          <w:bCs/>
          <w:sz w:val="26"/>
          <w:szCs w:val="26"/>
        </w:rPr>
        <w:t>is</w:t>
      </w:r>
      <w:r>
        <w:rPr>
          <w:bCs/>
          <w:sz w:val="26"/>
          <w:szCs w:val="26"/>
        </w:rPr>
        <w:t xml:space="preserve"> Initial Decision, which </w:t>
      </w:r>
      <w:r w:rsidR="002F3EC7">
        <w:rPr>
          <w:bCs/>
          <w:sz w:val="26"/>
          <w:szCs w:val="26"/>
        </w:rPr>
        <w:t>granted</w:t>
      </w:r>
      <w:r w:rsidR="00AE3EBB">
        <w:rPr>
          <w:bCs/>
          <w:sz w:val="26"/>
          <w:szCs w:val="26"/>
        </w:rPr>
        <w:t>,</w:t>
      </w:r>
      <w:r w:rsidR="002F3EC7">
        <w:rPr>
          <w:bCs/>
          <w:sz w:val="26"/>
          <w:szCs w:val="26"/>
        </w:rPr>
        <w:t xml:space="preserve"> in </w:t>
      </w:r>
      <w:r w:rsidR="00022ECD">
        <w:rPr>
          <w:bCs/>
          <w:sz w:val="26"/>
          <w:szCs w:val="26"/>
        </w:rPr>
        <w:t>part</w:t>
      </w:r>
      <w:r w:rsidR="00AE3EBB">
        <w:rPr>
          <w:bCs/>
          <w:sz w:val="26"/>
          <w:szCs w:val="26"/>
        </w:rPr>
        <w:t>,</w:t>
      </w:r>
      <w:r w:rsidR="00022ECD">
        <w:rPr>
          <w:bCs/>
          <w:sz w:val="26"/>
          <w:szCs w:val="26"/>
        </w:rPr>
        <w:t xml:space="preserve"> </w:t>
      </w:r>
      <w:r w:rsidR="002F3EC7">
        <w:rPr>
          <w:bCs/>
          <w:sz w:val="26"/>
          <w:szCs w:val="26"/>
        </w:rPr>
        <w:t xml:space="preserve">and </w:t>
      </w:r>
      <w:r>
        <w:rPr>
          <w:bCs/>
          <w:sz w:val="26"/>
          <w:szCs w:val="26"/>
        </w:rPr>
        <w:t>dismissed</w:t>
      </w:r>
      <w:r w:rsidR="00AE3EBB">
        <w:rPr>
          <w:bCs/>
          <w:sz w:val="26"/>
          <w:szCs w:val="26"/>
        </w:rPr>
        <w:t>,</w:t>
      </w:r>
      <w:r w:rsidR="002F3EC7">
        <w:rPr>
          <w:bCs/>
          <w:sz w:val="26"/>
          <w:szCs w:val="26"/>
        </w:rPr>
        <w:t xml:space="preserve"> in part</w:t>
      </w:r>
      <w:r w:rsidR="00AE3EBB">
        <w:rPr>
          <w:bCs/>
          <w:sz w:val="26"/>
          <w:szCs w:val="26"/>
        </w:rPr>
        <w:t>,</w:t>
      </w:r>
      <w:r>
        <w:rPr>
          <w:bCs/>
          <w:sz w:val="26"/>
          <w:szCs w:val="26"/>
        </w:rPr>
        <w:t xml:space="preserve"> the Complaint</w:t>
      </w:r>
      <w:r w:rsidR="008D1B8C">
        <w:rPr>
          <w:bCs/>
          <w:sz w:val="26"/>
          <w:szCs w:val="26"/>
        </w:rPr>
        <w:t>.  The ALJ found</w:t>
      </w:r>
      <w:r>
        <w:rPr>
          <w:bCs/>
          <w:sz w:val="26"/>
          <w:szCs w:val="26"/>
        </w:rPr>
        <w:t xml:space="preserve"> that the Complainant </w:t>
      </w:r>
      <w:r w:rsidR="002F3EC7">
        <w:rPr>
          <w:bCs/>
          <w:sz w:val="26"/>
          <w:szCs w:val="26"/>
        </w:rPr>
        <w:t xml:space="preserve">was entitled to a full refund of charges for electric generation supply service and </w:t>
      </w:r>
      <w:r w:rsidR="00022ECD">
        <w:rPr>
          <w:bCs/>
          <w:sz w:val="26"/>
          <w:szCs w:val="26"/>
        </w:rPr>
        <w:t>f</w:t>
      </w:r>
      <w:r w:rsidR="002F3EC7">
        <w:rPr>
          <w:bCs/>
          <w:sz w:val="26"/>
          <w:szCs w:val="26"/>
        </w:rPr>
        <w:t>or natural gas supply service supplied by NRG Residential and NRG Home, respectively</w:t>
      </w:r>
      <w:r w:rsidR="00B221D1">
        <w:rPr>
          <w:bCs/>
          <w:sz w:val="26"/>
          <w:szCs w:val="26"/>
        </w:rPr>
        <w:t xml:space="preserve">, due to </w:t>
      </w:r>
      <w:r w:rsidR="00E20FA7">
        <w:rPr>
          <w:bCs/>
          <w:sz w:val="26"/>
          <w:szCs w:val="26"/>
        </w:rPr>
        <w:t xml:space="preserve">the </w:t>
      </w:r>
      <w:r w:rsidR="00B221D1">
        <w:rPr>
          <w:bCs/>
          <w:sz w:val="26"/>
          <w:szCs w:val="26"/>
        </w:rPr>
        <w:lastRenderedPageBreak/>
        <w:t>two unauthorized switches</w:t>
      </w:r>
      <w:r w:rsidR="001D74A1">
        <w:rPr>
          <w:bCs/>
          <w:sz w:val="26"/>
          <w:szCs w:val="26"/>
        </w:rPr>
        <w:t>.</w:t>
      </w:r>
      <w:r w:rsidR="006820C2">
        <w:rPr>
          <w:rStyle w:val="FootnoteReference"/>
          <w:bCs/>
          <w:sz w:val="26"/>
          <w:szCs w:val="26"/>
        </w:rPr>
        <w:footnoteReference w:id="4"/>
      </w:r>
      <w:r w:rsidR="001D74A1">
        <w:rPr>
          <w:bCs/>
          <w:sz w:val="26"/>
          <w:szCs w:val="26"/>
        </w:rPr>
        <w:t xml:space="preserve">  However, the ALJ also found that the Complainant</w:t>
      </w:r>
      <w:r w:rsidR="002F3EC7">
        <w:rPr>
          <w:bCs/>
          <w:sz w:val="26"/>
          <w:szCs w:val="26"/>
        </w:rPr>
        <w:t xml:space="preserve"> did not meet </w:t>
      </w:r>
      <w:r w:rsidR="001D74A1">
        <w:rPr>
          <w:bCs/>
          <w:sz w:val="26"/>
          <w:szCs w:val="26"/>
        </w:rPr>
        <w:t>his</w:t>
      </w:r>
      <w:r w:rsidR="002F3EC7">
        <w:rPr>
          <w:bCs/>
          <w:sz w:val="26"/>
          <w:szCs w:val="26"/>
        </w:rPr>
        <w:t xml:space="preserve"> burden to show that a civil penalty should be assessed against NRG.  </w:t>
      </w:r>
      <w:r w:rsidR="00022ECD">
        <w:rPr>
          <w:bCs/>
          <w:sz w:val="26"/>
          <w:szCs w:val="26"/>
        </w:rPr>
        <w:t>Additionally, t</w:t>
      </w:r>
      <w:r w:rsidR="002F3EC7">
        <w:rPr>
          <w:bCs/>
          <w:sz w:val="26"/>
          <w:szCs w:val="26"/>
        </w:rPr>
        <w:t>he ALJ directed that PECO shall, in the future, include notice of a 10-day waiting period in which the order switching natural gas suppliers may be canceled in the confirmation letter it sends to ratepayers pursuant to</w:t>
      </w:r>
      <w:r w:rsidR="001D74A1">
        <w:rPr>
          <w:bCs/>
          <w:sz w:val="26"/>
          <w:szCs w:val="26"/>
        </w:rPr>
        <w:t xml:space="preserve"> </w:t>
      </w:r>
      <w:r w:rsidR="002F3EC7">
        <w:rPr>
          <w:bCs/>
          <w:sz w:val="26"/>
          <w:szCs w:val="26"/>
        </w:rPr>
        <w:t xml:space="preserve">52 Pa. Code </w:t>
      </w:r>
      <w:r w:rsidR="00D025E6" w:rsidRPr="00F85C72">
        <w:rPr>
          <w:sz w:val="26"/>
          <w:szCs w:val="26"/>
        </w:rPr>
        <w:t>§</w:t>
      </w:r>
      <w:r w:rsidR="002F3EC7">
        <w:rPr>
          <w:bCs/>
          <w:sz w:val="26"/>
          <w:szCs w:val="26"/>
        </w:rPr>
        <w:t xml:space="preserve"> 59.93. </w:t>
      </w:r>
      <w:r>
        <w:rPr>
          <w:bCs/>
          <w:sz w:val="26"/>
          <w:szCs w:val="26"/>
        </w:rPr>
        <w:t xml:space="preserve">  </w:t>
      </w:r>
    </w:p>
    <w:p w14:paraId="41012B6A" w14:textId="77777777" w:rsidR="001679B3" w:rsidRDefault="001679B3" w:rsidP="001679B3">
      <w:pPr>
        <w:widowControl/>
        <w:spacing w:line="360" w:lineRule="auto"/>
        <w:ind w:firstLine="1440"/>
        <w:rPr>
          <w:bCs/>
          <w:sz w:val="26"/>
          <w:szCs w:val="26"/>
        </w:rPr>
      </w:pPr>
    </w:p>
    <w:p w14:paraId="64EB47B7" w14:textId="5683D81C" w:rsidR="001679B3" w:rsidRPr="00586D5B" w:rsidRDefault="001679B3" w:rsidP="00586D5B">
      <w:pPr>
        <w:widowControl/>
        <w:spacing w:line="360" w:lineRule="auto"/>
        <w:ind w:firstLine="1440"/>
        <w:rPr>
          <w:bCs/>
          <w:sz w:val="26"/>
          <w:szCs w:val="26"/>
        </w:rPr>
      </w:pPr>
      <w:r>
        <w:rPr>
          <w:bCs/>
          <w:sz w:val="26"/>
          <w:szCs w:val="26"/>
        </w:rPr>
        <w:t xml:space="preserve">As previously noted, the Complainant </w:t>
      </w:r>
      <w:r w:rsidR="001D74A1">
        <w:rPr>
          <w:bCs/>
          <w:sz w:val="26"/>
          <w:szCs w:val="26"/>
        </w:rPr>
        <w:t xml:space="preserve">and PECO </w:t>
      </w:r>
      <w:r>
        <w:rPr>
          <w:bCs/>
          <w:sz w:val="26"/>
          <w:szCs w:val="26"/>
        </w:rPr>
        <w:t xml:space="preserve">filed Exceptions to the Initial Decision on </w:t>
      </w:r>
      <w:r w:rsidR="001D74A1">
        <w:rPr>
          <w:bCs/>
          <w:sz w:val="26"/>
          <w:szCs w:val="26"/>
        </w:rPr>
        <w:t>December 1</w:t>
      </w:r>
      <w:r w:rsidR="00E450A0">
        <w:rPr>
          <w:bCs/>
          <w:sz w:val="26"/>
          <w:szCs w:val="26"/>
        </w:rPr>
        <w:t>1</w:t>
      </w:r>
      <w:r w:rsidR="001D74A1">
        <w:rPr>
          <w:bCs/>
          <w:sz w:val="26"/>
          <w:szCs w:val="26"/>
        </w:rPr>
        <w:t xml:space="preserve">, 2020, and December 18, 2020, respectively, </w:t>
      </w:r>
      <w:r>
        <w:rPr>
          <w:bCs/>
          <w:sz w:val="26"/>
          <w:szCs w:val="26"/>
        </w:rPr>
        <w:t xml:space="preserve">and </w:t>
      </w:r>
      <w:r w:rsidR="00A0473D">
        <w:rPr>
          <w:bCs/>
          <w:sz w:val="26"/>
          <w:szCs w:val="26"/>
        </w:rPr>
        <w:t xml:space="preserve">both </w:t>
      </w:r>
      <w:r w:rsidR="001D74A1">
        <w:rPr>
          <w:bCs/>
          <w:sz w:val="26"/>
          <w:szCs w:val="26"/>
        </w:rPr>
        <w:t xml:space="preserve">the Complainant and PECO </w:t>
      </w:r>
      <w:r>
        <w:rPr>
          <w:bCs/>
          <w:sz w:val="26"/>
          <w:szCs w:val="26"/>
        </w:rPr>
        <w:t xml:space="preserve">filed Replies to Exceptions on </w:t>
      </w:r>
      <w:r w:rsidR="001D74A1">
        <w:rPr>
          <w:bCs/>
          <w:sz w:val="26"/>
          <w:szCs w:val="26"/>
        </w:rPr>
        <w:t xml:space="preserve">December 21, 2020, and NRG </w:t>
      </w:r>
      <w:r w:rsidR="00971761">
        <w:rPr>
          <w:bCs/>
          <w:sz w:val="26"/>
          <w:szCs w:val="26"/>
        </w:rPr>
        <w:t xml:space="preserve">Residential </w:t>
      </w:r>
      <w:r w:rsidR="001D74A1">
        <w:rPr>
          <w:bCs/>
          <w:sz w:val="26"/>
          <w:szCs w:val="26"/>
        </w:rPr>
        <w:t>filed its Repl</w:t>
      </w:r>
      <w:r w:rsidR="00044D31">
        <w:rPr>
          <w:bCs/>
          <w:sz w:val="26"/>
          <w:szCs w:val="26"/>
        </w:rPr>
        <w:t>ies</w:t>
      </w:r>
      <w:r w:rsidR="001D74A1">
        <w:rPr>
          <w:bCs/>
          <w:sz w:val="26"/>
          <w:szCs w:val="26"/>
        </w:rPr>
        <w:t xml:space="preserve"> to </w:t>
      </w:r>
      <w:r w:rsidR="001D74A1" w:rsidRPr="00586D5B">
        <w:rPr>
          <w:bCs/>
          <w:sz w:val="26"/>
          <w:szCs w:val="26"/>
        </w:rPr>
        <w:t xml:space="preserve">Exceptions on December 31, 2020. </w:t>
      </w:r>
      <w:r w:rsidRPr="00586D5B">
        <w:rPr>
          <w:bCs/>
          <w:sz w:val="26"/>
          <w:szCs w:val="26"/>
        </w:rPr>
        <w:t xml:space="preserve"> </w:t>
      </w:r>
    </w:p>
    <w:p w14:paraId="312B18E3" w14:textId="77777777" w:rsidR="001679B3" w:rsidRPr="00586D5B" w:rsidRDefault="001679B3" w:rsidP="00586D5B">
      <w:pPr>
        <w:widowControl/>
        <w:spacing w:line="360" w:lineRule="auto"/>
        <w:ind w:firstLine="1440"/>
        <w:rPr>
          <w:bCs/>
          <w:sz w:val="26"/>
          <w:szCs w:val="26"/>
        </w:rPr>
      </w:pPr>
    </w:p>
    <w:p w14:paraId="5D669B66" w14:textId="77777777" w:rsidR="001679B3" w:rsidRPr="00586D5B" w:rsidRDefault="001679B3" w:rsidP="00586D5B">
      <w:pPr>
        <w:keepNext/>
        <w:spacing w:line="360" w:lineRule="auto"/>
        <w:jc w:val="center"/>
        <w:rPr>
          <w:b/>
          <w:sz w:val="26"/>
          <w:szCs w:val="26"/>
        </w:rPr>
      </w:pPr>
      <w:r w:rsidRPr="00586D5B">
        <w:rPr>
          <w:b/>
          <w:sz w:val="26"/>
          <w:szCs w:val="26"/>
        </w:rPr>
        <w:t>Discussion</w:t>
      </w:r>
    </w:p>
    <w:p w14:paraId="44647737" w14:textId="77777777" w:rsidR="001679B3" w:rsidRPr="00586D5B" w:rsidRDefault="001679B3" w:rsidP="00586D5B">
      <w:pPr>
        <w:keepNext/>
        <w:spacing w:line="360" w:lineRule="auto"/>
        <w:jc w:val="center"/>
        <w:rPr>
          <w:sz w:val="26"/>
          <w:szCs w:val="26"/>
        </w:rPr>
      </w:pPr>
    </w:p>
    <w:p w14:paraId="5D3E46AE" w14:textId="77777777" w:rsidR="001679B3" w:rsidRPr="00586D5B" w:rsidRDefault="001679B3" w:rsidP="00586D5B">
      <w:pPr>
        <w:pStyle w:val="ListParagraph"/>
        <w:keepNext/>
        <w:keepLines/>
        <w:numPr>
          <w:ilvl w:val="0"/>
          <w:numId w:val="1"/>
        </w:numPr>
        <w:tabs>
          <w:tab w:val="left" w:pos="-720"/>
        </w:tabs>
        <w:suppressAutoHyphens/>
        <w:spacing w:line="360" w:lineRule="auto"/>
        <w:ind w:hanging="720"/>
        <w:rPr>
          <w:b/>
          <w:sz w:val="26"/>
        </w:rPr>
      </w:pPr>
      <w:r w:rsidRPr="00586D5B">
        <w:rPr>
          <w:b/>
          <w:sz w:val="26"/>
        </w:rPr>
        <w:t>Legal Standards</w:t>
      </w:r>
    </w:p>
    <w:p w14:paraId="392A68EA" w14:textId="77777777" w:rsidR="001679B3" w:rsidRPr="00586D5B" w:rsidRDefault="001679B3" w:rsidP="00586D5B">
      <w:pPr>
        <w:keepNext/>
        <w:keepLines/>
        <w:tabs>
          <w:tab w:val="left" w:pos="1440"/>
        </w:tabs>
        <w:spacing w:line="360" w:lineRule="auto"/>
        <w:rPr>
          <w:sz w:val="26"/>
          <w:szCs w:val="26"/>
        </w:rPr>
      </w:pPr>
      <w:r w:rsidRPr="00586D5B">
        <w:rPr>
          <w:sz w:val="26"/>
          <w:szCs w:val="26"/>
        </w:rPr>
        <w:tab/>
      </w:r>
    </w:p>
    <w:p w14:paraId="2B079B79" w14:textId="49ADB4EF" w:rsidR="001679B3" w:rsidRDefault="001679B3" w:rsidP="00586D5B">
      <w:pPr>
        <w:spacing w:line="360" w:lineRule="auto"/>
        <w:ind w:firstLine="1440"/>
        <w:rPr>
          <w:color w:val="000000"/>
          <w:sz w:val="26"/>
          <w:szCs w:val="26"/>
        </w:rPr>
      </w:pPr>
      <w:r w:rsidRPr="00586D5B">
        <w:rPr>
          <w:sz w:val="26"/>
        </w:rPr>
        <w:t>Before addressing the Exceptions, we note that any issue not specifically discussed shall be deemed to have</w:t>
      </w:r>
      <w:r w:rsidRPr="00247E83">
        <w:rPr>
          <w:rFonts w:ascii="Times New (W1)" w:hAnsi="Times New (W1)"/>
          <w:sz w:val="26"/>
        </w:rPr>
        <w:t xml:space="preserve"> been duly considered and denied without further discussion.  The Commission is not required to consider expressly or at length each contention or argument raised by the parties.  </w:t>
      </w:r>
      <w:r w:rsidRPr="00247E83">
        <w:rPr>
          <w:rFonts w:ascii="Times New (W1)" w:hAnsi="Times New (W1)"/>
          <w:i/>
          <w:sz w:val="26"/>
        </w:rPr>
        <w:t>Consolidated Rail Corp. v. P</w:t>
      </w:r>
      <w:r>
        <w:rPr>
          <w:rFonts w:ascii="Times New (W1)" w:hAnsi="Times New (W1)"/>
          <w:i/>
          <w:sz w:val="26"/>
        </w:rPr>
        <w:t>a. PUC</w:t>
      </w:r>
      <w:r w:rsidRPr="00586D5B">
        <w:rPr>
          <w:rFonts w:ascii="Times New (W1)" w:hAnsi="Times New (W1)"/>
          <w:iCs/>
          <w:sz w:val="26"/>
        </w:rPr>
        <w:t>,</w:t>
      </w:r>
      <w:r w:rsidRPr="00247E83">
        <w:rPr>
          <w:rFonts w:ascii="Times New (W1)" w:hAnsi="Times New (W1)"/>
          <w:i/>
          <w:sz w:val="26"/>
        </w:rPr>
        <w:t xml:space="preserve"> </w:t>
      </w:r>
      <w:r w:rsidRPr="00247E83">
        <w:rPr>
          <w:rFonts w:ascii="Times New (W1)" w:hAnsi="Times New (W1)"/>
          <w:sz w:val="26"/>
        </w:rPr>
        <w:t>625</w:t>
      </w:r>
      <w:r w:rsidR="00586D5B">
        <w:rPr>
          <w:rFonts w:ascii="Times New (W1)" w:hAnsi="Times New (W1)"/>
          <w:sz w:val="26"/>
        </w:rPr>
        <w:t> </w:t>
      </w:r>
      <w:r w:rsidRPr="00247E83">
        <w:rPr>
          <w:rFonts w:ascii="Times New (W1)" w:hAnsi="Times New (W1)"/>
          <w:sz w:val="26"/>
        </w:rPr>
        <w:t>A.2d 741 (Pa. Cmwlth. 1993)</w:t>
      </w:r>
      <w:r>
        <w:rPr>
          <w:rFonts w:ascii="Times New (W1)" w:hAnsi="Times New (W1)"/>
          <w:sz w:val="26"/>
        </w:rPr>
        <w:t xml:space="preserve">; </w:t>
      </w:r>
      <w:r w:rsidRPr="002E6E55">
        <w:rPr>
          <w:i/>
          <w:iCs/>
          <w:color w:val="000000"/>
          <w:sz w:val="26"/>
          <w:szCs w:val="26"/>
        </w:rPr>
        <w:t>see</w:t>
      </w:r>
      <w:r>
        <w:rPr>
          <w:i/>
          <w:iCs/>
          <w:color w:val="000000"/>
          <w:sz w:val="26"/>
          <w:szCs w:val="26"/>
        </w:rPr>
        <w:t xml:space="preserve"> also</w:t>
      </w:r>
      <w:r w:rsidRPr="002E6E55">
        <w:rPr>
          <w:i/>
          <w:iCs/>
          <w:color w:val="000000"/>
          <w:sz w:val="26"/>
          <w:szCs w:val="26"/>
        </w:rPr>
        <w:t xml:space="preserve"> </w:t>
      </w:r>
      <w:r w:rsidR="00AC2801" w:rsidRPr="002E6E55">
        <w:rPr>
          <w:i/>
          <w:iCs/>
          <w:color w:val="000000"/>
          <w:sz w:val="26"/>
          <w:szCs w:val="26"/>
        </w:rPr>
        <w:t>University of Pennsyl</w:t>
      </w:r>
      <w:r w:rsidR="00AC2801" w:rsidRPr="002E6E55">
        <w:rPr>
          <w:i/>
          <w:iCs/>
          <w:color w:val="000000"/>
          <w:sz w:val="26"/>
          <w:szCs w:val="26"/>
        </w:rPr>
        <w:softHyphen/>
        <w:t>vania v. Pa. PUC</w:t>
      </w:r>
      <w:r w:rsidR="00AC2801" w:rsidRPr="002E6E55">
        <w:rPr>
          <w:color w:val="000000"/>
          <w:sz w:val="26"/>
          <w:szCs w:val="26"/>
        </w:rPr>
        <w:t>, 485</w:t>
      </w:r>
      <w:r w:rsidR="00586D5B">
        <w:rPr>
          <w:color w:val="000000"/>
          <w:sz w:val="26"/>
          <w:szCs w:val="26"/>
        </w:rPr>
        <w:t> </w:t>
      </w:r>
      <w:r w:rsidR="00AC2801" w:rsidRPr="002E6E55">
        <w:rPr>
          <w:color w:val="000000"/>
          <w:sz w:val="26"/>
          <w:szCs w:val="26"/>
        </w:rPr>
        <w:t>A.2d 1217 (Pa. Cmwlth. 1984).</w:t>
      </w:r>
      <w:r>
        <w:rPr>
          <w:color w:val="000000"/>
          <w:sz w:val="26"/>
          <w:szCs w:val="26"/>
        </w:rPr>
        <w:t xml:space="preserve">  </w:t>
      </w:r>
      <w:r w:rsidRPr="001D74A1">
        <w:rPr>
          <w:rStyle w:val="Hyperlink"/>
          <w:color w:val="000000"/>
          <w:sz w:val="26"/>
          <w:szCs w:val="26"/>
          <w:u w:val="none"/>
        </w:rPr>
        <w:t>Therefore,</w:t>
      </w:r>
      <w:r w:rsidRPr="00913419">
        <w:rPr>
          <w:sz w:val="26"/>
          <w:szCs w:val="26"/>
        </w:rPr>
        <w:t xml:space="preserve"> any issue that we do not specifically address or delineate in this decision shall be deemed to have been duly considered and denied without further discussion.</w:t>
      </w:r>
    </w:p>
    <w:p w14:paraId="5DE428DA" w14:textId="77777777" w:rsidR="001679B3" w:rsidRDefault="001679B3" w:rsidP="001679B3">
      <w:pPr>
        <w:spacing w:line="360" w:lineRule="auto"/>
        <w:ind w:firstLine="1440"/>
        <w:rPr>
          <w:color w:val="000000"/>
          <w:sz w:val="26"/>
          <w:szCs w:val="26"/>
        </w:rPr>
      </w:pPr>
    </w:p>
    <w:p w14:paraId="1500205E" w14:textId="190E5928" w:rsidR="001679B3" w:rsidRPr="00F85C72" w:rsidRDefault="001679B3" w:rsidP="001679B3">
      <w:pPr>
        <w:spacing w:line="360" w:lineRule="auto"/>
        <w:ind w:firstLine="1440"/>
        <w:rPr>
          <w:sz w:val="26"/>
          <w:szCs w:val="26"/>
        </w:rPr>
      </w:pPr>
      <w:r w:rsidRPr="00F85C72">
        <w:rPr>
          <w:sz w:val="26"/>
          <w:szCs w:val="26"/>
        </w:rPr>
        <w:t xml:space="preserve">As the proponent of a rule or order, the Complainant in this proceeding bears the burden of proof pursuant to Section 332(a) of the </w:t>
      </w:r>
      <w:r w:rsidR="00F953DA">
        <w:rPr>
          <w:sz w:val="26"/>
          <w:szCs w:val="26"/>
        </w:rPr>
        <w:t xml:space="preserve">Public Utility </w:t>
      </w:r>
      <w:r w:rsidRPr="00F85C72">
        <w:rPr>
          <w:sz w:val="26"/>
          <w:szCs w:val="26"/>
        </w:rPr>
        <w:t>Code</w:t>
      </w:r>
      <w:r w:rsidR="00F953DA">
        <w:rPr>
          <w:sz w:val="26"/>
          <w:szCs w:val="26"/>
        </w:rPr>
        <w:t xml:space="preserve"> (Code)</w:t>
      </w:r>
      <w:r w:rsidRPr="00F85C72">
        <w:rPr>
          <w:sz w:val="26"/>
          <w:szCs w:val="26"/>
        </w:rPr>
        <w:t xml:space="preserve">.  </w:t>
      </w:r>
      <w:r w:rsidRPr="00F85C72">
        <w:rPr>
          <w:sz w:val="26"/>
          <w:szCs w:val="26"/>
        </w:rPr>
        <w:lastRenderedPageBreak/>
        <w:t xml:space="preserve">66 Pa. C.S. § 332(a).  To establish a sufficient case and satisfy the burden of proof, the Complainant must show that </w:t>
      </w:r>
      <w:r w:rsidR="00F953DA">
        <w:rPr>
          <w:sz w:val="26"/>
          <w:szCs w:val="26"/>
        </w:rPr>
        <w:t xml:space="preserve">either PECO or NRG </w:t>
      </w:r>
      <w:r w:rsidR="00022ECD">
        <w:rPr>
          <w:sz w:val="26"/>
          <w:szCs w:val="26"/>
        </w:rPr>
        <w:t>separately or together</w:t>
      </w:r>
      <w:r w:rsidR="000D7CB2">
        <w:rPr>
          <w:sz w:val="26"/>
          <w:szCs w:val="26"/>
        </w:rPr>
        <w:t xml:space="preserve"> </w:t>
      </w:r>
      <w:r w:rsidR="00F953DA">
        <w:rPr>
          <w:sz w:val="26"/>
          <w:szCs w:val="26"/>
        </w:rPr>
        <w:t>are</w:t>
      </w:r>
      <w:r w:rsidRPr="00F85C72">
        <w:rPr>
          <w:sz w:val="26"/>
          <w:szCs w:val="26"/>
        </w:rPr>
        <w:t xml:space="preserve"> responsible or accountable for the problem described in the Complaint.  </w:t>
      </w:r>
      <w:r w:rsidRPr="00F85C72">
        <w:rPr>
          <w:i/>
          <w:sz w:val="26"/>
          <w:szCs w:val="26"/>
        </w:rPr>
        <w:t>Patterson v. The Bell Telephone Company of Pennsylvania</w:t>
      </w:r>
      <w:r w:rsidRPr="00F85C72">
        <w:rPr>
          <w:sz w:val="26"/>
          <w:szCs w:val="26"/>
        </w:rPr>
        <w:t xml:space="preserve">, 72 Pa. P.U.C. 196 (1990).  Such a showing must be by a preponderance of the evidence.  </w:t>
      </w:r>
      <w:r w:rsidRPr="00F85C72">
        <w:rPr>
          <w:i/>
          <w:iCs/>
          <w:sz w:val="26"/>
          <w:szCs w:val="26"/>
        </w:rPr>
        <w:t xml:space="preserve">Samuel J. </w:t>
      </w:r>
      <w:proofErr w:type="spellStart"/>
      <w:r w:rsidRPr="00F85C72">
        <w:rPr>
          <w:i/>
          <w:iCs/>
          <w:sz w:val="26"/>
          <w:szCs w:val="26"/>
        </w:rPr>
        <w:t>Lansberry</w:t>
      </w:r>
      <w:proofErr w:type="spellEnd"/>
      <w:r w:rsidRPr="00F85C72">
        <w:rPr>
          <w:i/>
          <w:iCs/>
          <w:sz w:val="26"/>
          <w:szCs w:val="26"/>
        </w:rPr>
        <w:t>, Inc. v. Pa. PUC</w:t>
      </w:r>
      <w:r w:rsidRPr="00F85C72">
        <w:rPr>
          <w:sz w:val="26"/>
          <w:szCs w:val="26"/>
        </w:rPr>
        <w:t xml:space="preserve">, 578 A.2d 600 (Pa. Cmwlth. 1990), </w:t>
      </w:r>
      <w:proofErr w:type="spellStart"/>
      <w:r w:rsidRPr="00F85C72">
        <w:rPr>
          <w:i/>
          <w:sz w:val="26"/>
          <w:szCs w:val="26"/>
        </w:rPr>
        <w:t>alloc</w:t>
      </w:r>
      <w:proofErr w:type="spellEnd"/>
      <w:r w:rsidRPr="00F85C72">
        <w:rPr>
          <w:i/>
          <w:sz w:val="26"/>
          <w:szCs w:val="26"/>
        </w:rPr>
        <w:t>. denied</w:t>
      </w:r>
      <w:r w:rsidRPr="00586D5B">
        <w:rPr>
          <w:iCs/>
          <w:sz w:val="26"/>
          <w:szCs w:val="26"/>
        </w:rPr>
        <w:t>,</w:t>
      </w:r>
      <w:r w:rsidRPr="00F85C72">
        <w:rPr>
          <w:sz w:val="26"/>
          <w:szCs w:val="26"/>
        </w:rPr>
        <w:t xml:space="preserve"> 529 Pa. 654, 602 A.2d 863 (1992).  That is, the Complainant’s evidence must be more convincing, by even the smallest amount, than that presented by </w:t>
      </w:r>
      <w:r w:rsidR="000D7CB2">
        <w:rPr>
          <w:sz w:val="26"/>
          <w:szCs w:val="26"/>
        </w:rPr>
        <w:t>the Respondents</w:t>
      </w:r>
      <w:r w:rsidR="000D33CB">
        <w:rPr>
          <w:sz w:val="26"/>
          <w:szCs w:val="26"/>
        </w:rPr>
        <w:t>’ PECO or NRG</w:t>
      </w:r>
      <w:r w:rsidRPr="00F85C72">
        <w:rPr>
          <w:sz w:val="26"/>
          <w:szCs w:val="26"/>
        </w:rPr>
        <w:t xml:space="preserve">.  </w:t>
      </w:r>
      <w:r w:rsidRPr="00F85C72">
        <w:rPr>
          <w:i/>
          <w:sz w:val="26"/>
          <w:szCs w:val="26"/>
        </w:rPr>
        <w:t>Se-Ling Hosiery, Inc. v. Margulies</w:t>
      </w:r>
      <w:r w:rsidRPr="00F85C72">
        <w:rPr>
          <w:sz w:val="26"/>
          <w:szCs w:val="26"/>
        </w:rPr>
        <w:t>, 364</w:t>
      </w:r>
      <w:r w:rsidR="00586D5B">
        <w:rPr>
          <w:sz w:val="26"/>
          <w:szCs w:val="26"/>
        </w:rPr>
        <w:t> </w:t>
      </w:r>
      <w:r w:rsidRPr="00F85C72">
        <w:rPr>
          <w:sz w:val="26"/>
          <w:szCs w:val="26"/>
        </w:rPr>
        <w:t xml:space="preserve">Pa. 45, 70 A.2d 854 (1950).  Additionally, this Commission’s decision must be supported by substantial evidence in the record.  More is required than a mere trace of evidence or a suspicion of the existence of a fact sought to be established.  </w:t>
      </w:r>
      <w:r w:rsidRPr="00F85C72">
        <w:rPr>
          <w:i/>
          <w:sz w:val="26"/>
          <w:szCs w:val="26"/>
        </w:rPr>
        <w:t>Norfolk &amp; Western Ry. Co. v. Pa. PUC</w:t>
      </w:r>
      <w:r w:rsidRPr="00586D5B">
        <w:rPr>
          <w:iCs/>
          <w:sz w:val="26"/>
          <w:szCs w:val="26"/>
        </w:rPr>
        <w:t>,</w:t>
      </w:r>
      <w:r w:rsidRPr="00F85C72">
        <w:rPr>
          <w:i/>
          <w:sz w:val="26"/>
          <w:szCs w:val="26"/>
        </w:rPr>
        <w:t xml:space="preserve"> </w:t>
      </w:r>
      <w:r w:rsidRPr="00F85C72">
        <w:rPr>
          <w:sz w:val="26"/>
          <w:szCs w:val="26"/>
        </w:rPr>
        <w:t>489 Pa. 109, 413 A.2d 1037 (1980).</w:t>
      </w:r>
    </w:p>
    <w:p w14:paraId="40E68293" w14:textId="77777777" w:rsidR="001679B3" w:rsidRPr="00F85C72" w:rsidRDefault="001679B3" w:rsidP="001679B3">
      <w:pPr>
        <w:spacing w:line="360" w:lineRule="auto"/>
        <w:ind w:firstLine="1440"/>
        <w:rPr>
          <w:sz w:val="26"/>
          <w:szCs w:val="26"/>
        </w:rPr>
      </w:pPr>
    </w:p>
    <w:p w14:paraId="662C25BB" w14:textId="62E361E5" w:rsidR="001679B3" w:rsidRPr="00F85C72" w:rsidRDefault="001679B3" w:rsidP="001679B3">
      <w:pPr>
        <w:spacing w:line="360" w:lineRule="auto"/>
        <w:ind w:firstLine="1440"/>
        <w:rPr>
          <w:sz w:val="26"/>
          <w:szCs w:val="26"/>
        </w:rPr>
      </w:pPr>
      <w:r w:rsidRPr="00F85C72">
        <w:rPr>
          <w:sz w:val="26"/>
          <w:szCs w:val="26"/>
        </w:rPr>
        <w:t>Upon the presentation by the Complainant of evidence sufficient initially</w:t>
      </w:r>
      <w:r>
        <w:rPr>
          <w:sz w:val="26"/>
          <w:szCs w:val="26"/>
        </w:rPr>
        <w:t xml:space="preserve"> to</w:t>
      </w:r>
      <w:r w:rsidRPr="00F85C72">
        <w:rPr>
          <w:sz w:val="26"/>
          <w:szCs w:val="26"/>
        </w:rPr>
        <w:t xml:space="preserve"> satisfy the burden of proof, the burden of going forward with the evidence (burden of persuasion) to rebut the evidence of the Complainant shifts to </w:t>
      </w:r>
      <w:r w:rsidR="000D7CB2">
        <w:rPr>
          <w:sz w:val="26"/>
          <w:szCs w:val="26"/>
        </w:rPr>
        <w:t>the Respondents</w:t>
      </w:r>
      <w:r w:rsidRPr="00F85C72">
        <w:rPr>
          <w:sz w:val="26"/>
          <w:szCs w:val="26"/>
        </w:rPr>
        <w:t xml:space="preserve">.  If the evidence presented by </w:t>
      </w:r>
      <w:r w:rsidR="000D7CB2">
        <w:rPr>
          <w:sz w:val="26"/>
          <w:szCs w:val="26"/>
        </w:rPr>
        <w:t>the Respondents</w:t>
      </w:r>
      <w:r w:rsidRPr="00F85C72">
        <w:rPr>
          <w:sz w:val="26"/>
          <w:szCs w:val="26"/>
        </w:rPr>
        <w:t xml:space="preserve"> is of co-equal weight, the Complainant</w:t>
      </w:r>
      <w:r>
        <w:rPr>
          <w:sz w:val="26"/>
          <w:szCs w:val="26"/>
        </w:rPr>
        <w:t>’s burden of proof</w:t>
      </w:r>
      <w:r w:rsidRPr="00F85C72">
        <w:rPr>
          <w:sz w:val="26"/>
          <w:szCs w:val="26"/>
        </w:rPr>
        <w:t xml:space="preserve"> has not </w:t>
      </w:r>
      <w:r>
        <w:rPr>
          <w:sz w:val="26"/>
          <w:szCs w:val="26"/>
        </w:rPr>
        <w:t xml:space="preserve">been </w:t>
      </w:r>
      <w:r w:rsidRPr="00F85C72">
        <w:rPr>
          <w:sz w:val="26"/>
          <w:szCs w:val="26"/>
        </w:rPr>
        <w:t xml:space="preserve">satisfied.  The Complainant would be required to provide additional evidence to rebut </w:t>
      </w:r>
      <w:r w:rsidR="000D7CB2">
        <w:rPr>
          <w:sz w:val="26"/>
          <w:szCs w:val="26"/>
        </w:rPr>
        <w:t>the Respondents’</w:t>
      </w:r>
      <w:r>
        <w:rPr>
          <w:sz w:val="26"/>
          <w:szCs w:val="26"/>
        </w:rPr>
        <w:t xml:space="preserve"> </w:t>
      </w:r>
      <w:r w:rsidRPr="00F85C72">
        <w:rPr>
          <w:sz w:val="26"/>
          <w:szCs w:val="26"/>
        </w:rPr>
        <w:t>evidence</w:t>
      </w:r>
      <w:r>
        <w:rPr>
          <w:sz w:val="26"/>
          <w:szCs w:val="26"/>
        </w:rPr>
        <w:t>.</w:t>
      </w:r>
      <w:r w:rsidRPr="00F85C72">
        <w:rPr>
          <w:sz w:val="26"/>
          <w:szCs w:val="26"/>
        </w:rPr>
        <w:t xml:space="preserve">  </w:t>
      </w:r>
      <w:r w:rsidRPr="00F85C72">
        <w:rPr>
          <w:i/>
          <w:iCs/>
          <w:sz w:val="26"/>
          <w:szCs w:val="26"/>
        </w:rPr>
        <w:t>Burleson v. Pa. P</w:t>
      </w:r>
      <w:r>
        <w:rPr>
          <w:i/>
          <w:iCs/>
          <w:sz w:val="26"/>
          <w:szCs w:val="26"/>
        </w:rPr>
        <w:t>UC</w:t>
      </w:r>
      <w:r w:rsidRPr="00F85C72">
        <w:rPr>
          <w:sz w:val="26"/>
          <w:szCs w:val="26"/>
        </w:rPr>
        <w:t>, 443 A.2d 1373 (Pa.</w:t>
      </w:r>
      <w:r w:rsidR="00586D5B">
        <w:rPr>
          <w:sz w:val="26"/>
          <w:szCs w:val="26"/>
        </w:rPr>
        <w:t> </w:t>
      </w:r>
      <w:r w:rsidRPr="00F85C72">
        <w:rPr>
          <w:sz w:val="26"/>
          <w:szCs w:val="26"/>
        </w:rPr>
        <w:t xml:space="preserve">Cmwlth. 1982), </w:t>
      </w:r>
      <w:r w:rsidRPr="00F85C72">
        <w:rPr>
          <w:i/>
          <w:iCs/>
          <w:sz w:val="26"/>
          <w:szCs w:val="26"/>
        </w:rPr>
        <w:t>aff’d</w:t>
      </w:r>
      <w:r w:rsidRPr="00F85C72">
        <w:rPr>
          <w:sz w:val="26"/>
          <w:szCs w:val="26"/>
        </w:rPr>
        <w:t>, 501 Pa. 433, 461 A.2d 1234 (1983).</w:t>
      </w:r>
    </w:p>
    <w:p w14:paraId="46B05917" w14:textId="77777777" w:rsidR="001679B3" w:rsidRPr="00F85C72" w:rsidRDefault="001679B3" w:rsidP="001679B3">
      <w:pPr>
        <w:spacing w:line="360" w:lineRule="auto"/>
        <w:ind w:firstLine="1440"/>
        <w:rPr>
          <w:sz w:val="26"/>
          <w:szCs w:val="26"/>
        </w:rPr>
      </w:pPr>
    </w:p>
    <w:p w14:paraId="400245FA" w14:textId="038A1D3F" w:rsidR="001679B3" w:rsidRPr="00F33EA2" w:rsidRDefault="001679B3" w:rsidP="00F33EA2">
      <w:pPr>
        <w:spacing w:line="360" w:lineRule="auto"/>
        <w:ind w:firstLine="1440"/>
        <w:rPr>
          <w:sz w:val="26"/>
          <w:szCs w:val="26"/>
        </w:rPr>
      </w:pPr>
      <w:r w:rsidRPr="00F85C72">
        <w:rPr>
          <w:sz w:val="26"/>
          <w:szCs w:val="26"/>
        </w:rPr>
        <w:t xml:space="preserve">While the </w:t>
      </w:r>
      <w:r w:rsidRPr="00F85C72">
        <w:rPr>
          <w:bCs/>
          <w:sz w:val="26"/>
          <w:szCs w:val="26"/>
        </w:rPr>
        <w:t>burden of persuasion</w:t>
      </w:r>
      <w:r w:rsidRPr="00F85C72">
        <w:rPr>
          <w:sz w:val="26"/>
          <w:szCs w:val="26"/>
        </w:rPr>
        <w:t xml:space="preserve"> may shift back and forth during a proceeding, the burden of proof never shifts.  The burden of proof always remains on the party seeking affirmative relief from the Commission.  </w:t>
      </w:r>
      <w:proofErr w:type="spellStart"/>
      <w:r w:rsidRPr="00F85C72">
        <w:rPr>
          <w:i/>
          <w:iCs/>
          <w:sz w:val="26"/>
          <w:szCs w:val="26"/>
        </w:rPr>
        <w:t>Milkie</w:t>
      </w:r>
      <w:proofErr w:type="spellEnd"/>
      <w:r w:rsidRPr="00F85C72">
        <w:rPr>
          <w:i/>
          <w:iCs/>
          <w:sz w:val="26"/>
          <w:szCs w:val="26"/>
        </w:rPr>
        <w:t xml:space="preserve"> v. Pa. P</w:t>
      </w:r>
      <w:r>
        <w:rPr>
          <w:i/>
          <w:iCs/>
          <w:sz w:val="26"/>
          <w:szCs w:val="26"/>
        </w:rPr>
        <w:t>UC</w:t>
      </w:r>
      <w:r w:rsidRPr="00F85C72">
        <w:rPr>
          <w:sz w:val="26"/>
          <w:szCs w:val="26"/>
        </w:rPr>
        <w:t>, 768 A.2d 1217 (Pa. Cmwlth. 2001).</w:t>
      </w:r>
    </w:p>
    <w:p w14:paraId="32434C62" w14:textId="77777777" w:rsidR="001679B3" w:rsidRPr="00F85C72" w:rsidRDefault="001679B3" w:rsidP="001679B3">
      <w:pPr>
        <w:spacing w:line="360" w:lineRule="auto"/>
        <w:ind w:firstLine="1440"/>
        <w:rPr>
          <w:color w:val="000000"/>
          <w:sz w:val="26"/>
          <w:szCs w:val="26"/>
        </w:rPr>
      </w:pPr>
    </w:p>
    <w:p w14:paraId="273C8E5B" w14:textId="77777777" w:rsidR="001679B3" w:rsidRPr="00F85C72" w:rsidRDefault="001679B3" w:rsidP="00633205">
      <w:pPr>
        <w:keepNext/>
        <w:spacing w:line="360" w:lineRule="auto"/>
        <w:rPr>
          <w:b/>
          <w:sz w:val="26"/>
          <w:szCs w:val="26"/>
        </w:rPr>
      </w:pPr>
      <w:r w:rsidRPr="00F85C72">
        <w:rPr>
          <w:b/>
          <w:sz w:val="26"/>
          <w:szCs w:val="26"/>
        </w:rPr>
        <w:lastRenderedPageBreak/>
        <w:t>B.</w:t>
      </w:r>
      <w:r w:rsidRPr="00F85C72">
        <w:rPr>
          <w:b/>
          <w:sz w:val="26"/>
          <w:szCs w:val="26"/>
        </w:rPr>
        <w:tab/>
        <w:t xml:space="preserve">ALJ’s Initial Decision </w:t>
      </w:r>
    </w:p>
    <w:p w14:paraId="592E00C4" w14:textId="77777777" w:rsidR="001679B3" w:rsidRPr="00F85C72" w:rsidRDefault="001679B3" w:rsidP="00633205">
      <w:pPr>
        <w:keepNext/>
        <w:spacing w:line="360" w:lineRule="auto"/>
        <w:rPr>
          <w:sz w:val="26"/>
          <w:szCs w:val="26"/>
        </w:rPr>
      </w:pPr>
    </w:p>
    <w:p w14:paraId="54E03286" w14:textId="3B936F77" w:rsidR="001679B3" w:rsidRPr="00F85C72" w:rsidRDefault="001679B3" w:rsidP="00633205">
      <w:pPr>
        <w:widowControl/>
        <w:spacing w:line="360" w:lineRule="auto"/>
        <w:ind w:firstLine="1440"/>
        <w:rPr>
          <w:sz w:val="26"/>
          <w:szCs w:val="26"/>
        </w:rPr>
      </w:pPr>
      <w:r w:rsidRPr="00F85C72">
        <w:rPr>
          <w:sz w:val="26"/>
          <w:szCs w:val="26"/>
        </w:rPr>
        <w:t xml:space="preserve">In this proceeding, the ALJ made </w:t>
      </w:r>
      <w:r w:rsidR="00F33EA2">
        <w:rPr>
          <w:sz w:val="26"/>
          <w:szCs w:val="26"/>
        </w:rPr>
        <w:t>twenty-one</w:t>
      </w:r>
      <w:r w:rsidRPr="00F85C72">
        <w:rPr>
          <w:sz w:val="26"/>
          <w:szCs w:val="26"/>
        </w:rPr>
        <w:t xml:space="preserve"> Findings of Fact and reached </w:t>
      </w:r>
      <w:r w:rsidR="00F33EA2">
        <w:rPr>
          <w:sz w:val="26"/>
          <w:szCs w:val="26"/>
        </w:rPr>
        <w:t>five</w:t>
      </w:r>
      <w:r w:rsidRPr="00F85C72">
        <w:rPr>
          <w:sz w:val="26"/>
          <w:szCs w:val="26"/>
        </w:rPr>
        <w:t xml:space="preserve"> Conclusions of Law.  I.D. at </w:t>
      </w:r>
      <w:r w:rsidR="00F33EA2">
        <w:rPr>
          <w:sz w:val="26"/>
          <w:szCs w:val="26"/>
        </w:rPr>
        <w:t>4</w:t>
      </w:r>
      <w:r>
        <w:rPr>
          <w:sz w:val="26"/>
          <w:szCs w:val="26"/>
        </w:rPr>
        <w:t>-</w:t>
      </w:r>
      <w:r w:rsidR="00F33EA2">
        <w:rPr>
          <w:sz w:val="26"/>
          <w:szCs w:val="26"/>
        </w:rPr>
        <w:t>7</w:t>
      </w:r>
      <w:r w:rsidRPr="00F85C72">
        <w:rPr>
          <w:sz w:val="26"/>
          <w:szCs w:val="26"/>
        </w:rPr>
        <w:t xml:space="preserve">, </w:t>
      </w:r>
      <w:r w:rsidR="00F33EA2">
        <w:rPr>
          <w:sz w:val="26"/>
          <w:szCs w:val="26"/>
        </w:rPr>
        <w:t>12</w:t>
      </w:r>
      <w:r>
        <w:rPr>
          <w:sz w:val="26"/>
          <w:szCs w:val="26"/>
        </w:rPr>
        <w:t>-1</w:t>
      </w:r>
      <w:r w:rsidR="00F33EA2">
        <w:rPr>
          <w:sz w:val="26"/>
          <w:szCs w:val="26"/>
        </w:rPr>
        <w:t>3</w:t>
      </w:r>
      <w:r w:rsidRPr="00F85C7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37FF17EC" w14:textId="77777777" w:rsidR="001679B3" w:rsidRPr="002E6E55" w:rsidRDefault="001679B3" w:rsidP="001679B3">
      <w:pPr>
        <w:spacing w:line="360" w:lineRule="auto"/>
        <w:ind w:firstLine="1440"/>
        <w:rPr>
          <w:color w:val="000000"/>
          <w:sz w:val="26"/>
          <w:szCs w:val="26"/>
        </w:rPr>
      </w:pPr>
    </w:p>
    <w:p w14:paraId="7111F022" w14:textId="01780708" w:rsidR="004A1AF2" w:rsidRDefault="004A1AF2" w:rsidP="005E49A4">
      <w:pPr>
        <w:spacing w:line="360" w:lineRule="auto"/>
        <w:ind w:firstLine="1440"/>
        <w:rPr>
          <w:sz w:val="26"/>
          <w:szCs w:val="26"/>
        </w:rPr>
      </w:pPr>
      <w:r>
        <w:rPr>
          <w:sz w:val="26"/>
          <w:szCs w:val="26"/>
        </w:rPr>
        <w:t xml:space="preserve">The ALJ determined that the Complainant never authorized PECO or NRG Residential to switch his EGS and NGS from PECO to NRG Residential for electric and NRG Home for natural gas.  I.D. at 4-5 (Findings of Fact Nos. 5-8).  The ALJ also found that no party to this proceeding disputes the fact that the Complainant did not attend the retail event at the SEPTA Suburban Station in Philadelphia on January 21, 2019.  </w:t>
      </w:r>
      <w:r>
        <w:rPr>
          <w:i/>
          <w:iCs/>
          <w:sz w:val="26"/>
          <w:szCs w:val="26"/>
        </w:rPr>
        <w:t>Id.</w:t>
      </w:r>
      <w:r>
        <w:rPr>
          <w:sz w:val="26"/>
          <w:szCs w:val="26"/>
        </w:rPr>
        <w:t xml:space="preserve"> at 5 (Findings of Fact No. 6 &amp; 13</w:t>
      </w:r>
      <w:r w:rsidR="0050574A">
        <w:rPr>
          <w:sz w:val="26"/>
          <w:szCs w:val="26"/>
        </w:rPr>
        <w:t>)</w:t>
      </w:r>
      <w:r>
        <w:rPr>
          <w:sz w:val="26"/>
          <w:szCs w:val="26"/>
        </w:rPr>
        <w:t xml:space="preserve">.  Other findings included the fact that the Complainant resides in California and the service address is in Pennsylvania.  </w:t>
      </w:r>
      <w:r>
        <w:rPr>
          <w:i/>
          <w:iCs/>
          <w:sz w:val="26"/>
          <w:szCs w:val="26"/>
        </w:rPr>
        <w:t>Id.</w:t>
      </w:r>
      <w:r>
        <w:rPr>
          <w:sz w:val="26"/>
          <w:szCs w:val="26"/>
        </w:rPr>
        <w:t xml:space="preserve"> at 4 (Findings of Fact Nos. 3 &amp; 4).  The ALJ further found that no party disputes the fact that the Complainant’s EGS and NGS were switched by an unauthorized person on January</w:t>
      </w:r>
      <w:r w:rsidR="00327508">
        <w:rPr>
          <w:sz w:val="26"/>
          <w:szCs w:val="26"/>
        </w:rPr>
        <w:t> </w:t>
      </w:r>
      <w:r>
        <w:rPr>
          <w:sz w:val="26"/>
          <w:szCs w:val="26"/>
        </w:rPr>
        <w:t>21,</w:t>
      </w:r>
      <w:r w:rsidR="00327508">
        <w:rPr>
          <w:sz w:val="26"/>
          <w:szCs w:val="26"/>
        </w:rPr>
        <w:t> </w:t>
      </w:r>
      <w:r>
        <w:rPr>
          <w:sz w:val="26"/>
          <w:szCs w:val="26"/>
        </w:rPr>
        <w:t xml:space="preserve">2019.  </w:t>
      </w:r>
      <w:r>
        <w:rPr>
          <w:i/>
          <w:iCs/>
          <w:sz w:val="26"/>
          <w:szCs w:val="26"/>
        </w:rPr>
        <w:t xml:space="preserve">Id. </w:t>
      </w:r>
      <w:r>
        <w:rPr>
          <w:sz w:val="26"/>
          <w:szCs w:val="26"/>
        </w:rPr>
        <w:t>at 4 (Findings of Fact No. 5).  As a result of these unauthorized switches, which NRG Residential admitted occurred, the ALJ found that NRG Residential is agreeable to refunding the supplier charges incurred by the Complainant in the amount of $69.28 in accordance with 52 Pa. Code §§ 57.177(b) and 59.97(b).  I.D.</w:t>
      </w:r>
      <w:r w:rsidR="00327508">
        <w:rPr>
          <w:sz w:val="26"/>
          <w:szCs w:val="26"/>
        </w:rPr>
        <w:t> </w:t>
      </w:r>
      <w:r>
        <w:rPr>
          <w:sz w:val="26"/>
          <w:szCs w:val="26"/>
        </w:rPr>
        <w:t>at</w:t>
      </w:r>
      <w:r w:rsidR="00327508">
        <w:rPr>
          <w:sz w:val="26"/>
          <w:szCs w:val="26"/>
        </w:rPr>
        <w:t> </w:t>
      </w:r>
      <w:r>
        <w:rPr>
          <w:sz w:val="26"/>
          <w:szCs w:val="26"/>
        </w:rPr>
        <w:t>6 (Findings of Fact No.</w:t>
      </w:r>
      <w:r w:rsidR="00C52788">
        <w:rPr>
          <w:sz w:val="26"/>
          <w:szCs w:val="26"/>
        </w:rPr>
        <w:t> </w:t>
      </w:r>
      <w:r>
        <w:rPr>
          <w:sz w:val="26"/>
          <w:szCs w:val="26"/>
        </w:rPr>
        <w:t>20) &amp; 7.</w:t>
      </w:r>
    </w:p>
    <w:p w14:paraId="4F2ABD30" w14:textId="77777777" w:rsidR="00087083" w:rsidRDefault="00087083" w:rsidP="005E49A4">
      <w:pPr>
        <w:spacing w:line="360" w:lineRule="auto"/>
        <w:ind w:firstLine="1440"/>
        <w:rPr>
          <w:sz w:val="26"/>
          <w:szCs w:val="26"/>
        </w:rPr>
      </w:pPr>
    </w:p>
    <w:p w14:paraId="5F0943BC" w14:textId="4DACFAC4" w:rsidR="007D26C8" w:rsidRDefault="00464848" w:rsidP="005E49A4">
      <w:pPr>
        <w:spacing w:line="360" w:lineRule="auto"/>
        <w:ind w:firstLine="1440"/>
        <w:rPr>
          <w:rFonts w:eastAsia="Batang"/>
          <w:sz w:val="26"/>
          <w:szCs w:val="26"/>
        </w:rPr>
      </w:pPr>
      <w:r>
        <w:rPr>
          <w:rFonts w:eastAsia="Batang"/>
          <w:sz w:val="26"/>
          <w:szCs w:val="26"/>
        </w:rPr>
        <w:t>In determining whether a civil penalty should be assessed against NRG</w:t>
      </w:r>
      <w:r w:rsidR="00971761">
        <w:rPr>
          <w:rFonts w:eastAsia="Batang"/>
          <w:sz w:val="26"/>
          <w:szCs w:val="26"/>
        </w:rPr>
        <w:t xml:space="preserve"> Residential</w:t>
      </w:r>
      <w:r>
        <w:rPr>
          <w:rFonts w:eastAsia="Batang"/>
          <w:sz w:val="26"/>
          <w:szCs w:val="26"/>
        </w:rPr>
        <w:t xml:space="preserve">, the ALJ concluded that the evidence presented at the hearing “did not shed much light on the unauthorized supplier switches, both electric and natural gas,” that occurred on January 21, 2019.  </w:t>
      </w:r>
      <w:r>
        <w:rPr>
          <w:rFonts w:eastAsia="Batang"/>
          <w:i/>
          <w:iCs/>
          <w:sz w:val="26"/>
          <w:szCs w:val="26"/>
        </w:rPr>
        <w:t xml:space="preserve">Id. </w:t>
      </w:r>
      <w:r>
        <w:rPr>
          <w:rFonts w:eastAsia="Batang"/>
          <w:sz w:val="26"/>
          <w:szCs w:val="26"/>
        </w:rPr>
        <w:t xml:space="preserve">at 12.  </w:t>
      </w:r>
      <w:r w:rsidRPr="007D26C8">
        <w:rPr>
          <w:rFonts w:eastAsia="Batang"/>
          <w:sz w:val="26"/>
          <w:szCs w:val="26"/>
        </w:rPr>
        <w:t xml:space="preserve">While NRG </w:t>
      </w:r>
      <w:r w:rsidR="00971761" w:rsidRPr="007D26C8">
        <w:rPr>
          <w:rFonts w:eastAsia="Batang"/>
          <w:sz w:val="26"/>
          <w:szCs w:val="26"/>
        </w:rPr>
        <w:t xml:space="preserve">Residential </w:t>
      </w:r>
      <w:r w:rsidRPr="007D26C8">
        <w:rPr>
          <w:rFonts w:eastAsia="Batang"/>
          <w:sz w:val="26"/>
          <w:szCs w:val="26"/>
        </w:rPr>
        <w:t xml:space="preserve">stipulated that the switches were unauthorized, the ALJ found the evidence </w:t>
      </w:r>
      <w:r w:rsidR="00242F1B" w:rsidRPr="007D26C8">
        <w:rPr>
          <w:rFonts w:eastAsia="Batang"/>
          <w:sz w:val="26"/>
          <w:szCs w:val="26"/>
        </w:rPr>
        <w:t xml:space="preserve">wholly </w:t>
      </w:r>
      <w:r w:rsidRPr="007D26C8">
        <w:rPr>
          <w:rFonts w:eastAsia="Batang"/>
          <w:sz w:val="26"/>
          <w:szCs w:val="26"/>
        </w:rPr>
        <w:t>lacking as to who signed the enrollment forms or as to NRG</w:t>
      </w:r>
      <w:r w:rsidR="00971761" w:rsidRPr="007D26C8">
        <w:rPr>
          <w:rFonts w:eastAsia="Batang"/>
          <w:sz w:val="26"/>
          <w:szCs w:val="26"/>
        </w:rPr>
        <w:t xml:space="preserve"> Residential</w:t>
      </w:r>
      <w:r w:rsidRPr="007D26C8">
        <w:rPr>
          <w:rFonts w:eastAsia="Batang"/>
          <w:sz w:val="26"/>
          <w:szCs w:val="26"/>
        </w:rPr>
        <w:t xml:space="preserve">’s </w:t>
      </w:r>
      <w:r w:rsidR="00242F1B" w:rsidRPr="007D26C8">
        <w:rPr>
          <w:rFonts w:eastAsia="Batang"/>
          <w:sz w:val="26"/>
          <w:szCs w:val="26"/>
        </w:rPr>
        <w:t xml:space="preserve">further </w:t>
      </w:r>
      <w:r w:rsidRPr="007D26C8">
        <w:rPr>
          <w:rFonts w:eastAsia="Batang"/>
          <w:sz w:val="26"/>
          <w:szCs w:val="26"/>
        </w:rPr>
        <w:t>culpability</w:t>
      </w:r>
      <w:r w:rsidR="00242F1B" w:rsidRPr="007D26C8">
        <w:rPr>
          <w:rFonts w:eastAsia="Batang"/>
          <w:sz w:val="26"/>
          <w:szCs w:val="26"/>
        </w:rPr>
        <w:t xml:space="preserve"> regarding the </w:t>
      </w:r>
      <w:r w:rsidR="00242F1B" w:rsidRPr="007D26C8">
        <w:rPr>
          <w:rFonts w:eastAsia="Batang"/>
          <w:sz w:val="26"/>
          <w:szCs w:val="26"/>
        </w:rPr>
        <w:lastRenderedPageBreak/>
        <w:t xml:space="preserve">unauthorized switches.  </w:t>
      </w:r>
      <w:r w:rsidR="00242F1B" w:rsidRPr="007D26C8">
        <w:rPr>
          <w:rFonts w:eastAsia="Batang"/>
          <w:i/>
          <w:iCs/>
          <w:sz w:val="26"/>
          <w:szCs w:val="26"/>
        </w:rPr>
        <w:t>Id</w:t>
      </w:r>
      <w:r w:rsidR="00242F1B" w:rsidRPr="007D26C8">
        <w:rPr>
          <w:rFonts w:eastAsia="Batang"/>
          <w:sz w:val="26"/>
          <w:szCs w:val="26"/>
        </w:rPr>
        <w:t xml:space="preserve">.  As such, the </w:t>
      </w:r>
      <w:bookmarkStart w:id="1" w:name="_Hlk88131582"/>
      <w:r w:rsidR="00242F1B" w:rsidRPr="007D26C8">
        <w:rPr>
          <w:rFonts w:eastAsia="Batang"/>
          <w:sz w:val="26"/>
          <w:szCs w:val="26"/>
        </w:rPr>
        <w:t xml:space="preserve">ALJ concluded that no pattern of unauthorized </w:t>
      </w:r>
    </w:p>
    <w:p w14:paraId="01DED649" w14:textId="6DD552DD" w:rsidR="007D26C8" w:rsidRDefault="00242F1B" w:rsidP="007D26C8">
      <w:pPr>
        <w:spacing w:line="360" w:lineRule="auto"/>
        <w:rPr>
          <w:rFonts w:eastAsia="Batang"/>
          <w:sz w:val="26"/>
          <w:szCs w:val="26"/>
        </w:rPr>
      </w:pPr>
      <w:r w:rsidRPr="007D26C8">
        <w:rPr>
          <w:rFonts w:eastAsia="Batang"/>
          <w:sz w:val="26"/>
          <w:szCs w:val="26"/>
        </w:rPr>
        <w:t xml:space="preserve">enrollments by NRG </w:t>
      </w:r>
      <w:r w:rsidR="00971761" w:rsidRPr="007D26C8">
        <w:rPr>
          <w:rFonts w:eastAsia="Batang"/>
          <w:sz w:val="26"/>
          <w:szCs w:val="26"/>
        </w:rPr>
        <w:t xml:space="preserve">Residential </w:t>
      </w:r>
      <w:r w:rsidRPr="007D26C8">
        <w:rPr>
          <w:rFonts w:eastAsia="Batang"/>
          <w:sz w:val="26"/>
          <w:szCs w:val="26"/>
        </w:rPr>
        <w:t>was established at the hearing</w:t>
      </w:r>
      <w:bookmarkEnd w:id="1"/>
      <w:r w:rsidRPr="007D26C8">
        <w:rPr>
          <w:rFonts w:eastAsia="Batang"/>
          <w:sz w:val="26"/>
          <w:szCs w:val="26"/>
        </w:rPr>
        <w:t>; and, therefore, no civil penalty was warranted.</w:t>
      </w:r>
      <w:r w:rsidR="0093133A" w:rsidRPr="007D26C8">
        <w:rPr>
          <w:rStyle w:val="FootnoteReference"/>
          <w:rFonts w:eastAsia="Batang"/>
          <w:sz w:val="26"/>
          <w:szCs w:val="26"/>
        </w:rPr>
        <w:footnoteReference w:id="5"/>
      </w:r>
      <w:r w:rsidRPr="007D26C8">
        <w:rPr>
          <w:rFonts w:eastAsia="Batang"/>
          <w:sz w:val="26"/>
          <w:szCs w:val="26"/>
        </w:rPr>
        <w:t xml:space="preserve">  </w:t>
      </w:r>
      <w:r w:rsidRPr="007D26C8">
        <w:rPr>
          <w:rFonts w:eastAsia="Batang"/>
          <w:i/>
          <w:iCs/>
          <w:sz w:val="26"/>
          <w:szCs w:val="26"/>
        </w:rPr>
        <w:t>Id</w:t>
      </w:r>
      <w:r w:rsidRPr="007D26C8">
        <w:rPr>
          <w:rFonts w:eastAsia="Batang"/>
          <w:sz w:val="26"/>
          <w:szCs w:val="26"/>
        </w:rPr>
        <w:t>.</w:t>
      </w:r>
      <w:r w:rsidR="006D3D23">
        <w:rPr>
          <w:rFonts w:eastAsia="Batang"/>
          <w:sz w:val="26"/>
          <w:szCs w:val="26"/>
        </w:rPr>
        <w:t xml:space="preserve">  </w:t>
      </w:r>
    </w:p>
    <w:p w14:paraId="79EA2BBE" w14:textId="01785EF0" w:rsidR="00451C53" w:rsidRDefault="00242F1B" w:rsidP="007D26C8">
      <w:pPr>
        <w:spacing w:line="360" w:lineRule="auto"/>
        <w:rPr>
          <w:rFonts w:eastAsia="Batang"/>
          <w:sz w:val="26"/>
          <w:szCs w:val="26"/>
        </w:rPr>
      </w:pPr>
      <w:r>
        <w:rPr>
          <w:rFonts w:eastAsia="Batang"/>
          <w:sz w:val="26"/>
          <w:szCs w:val="26"/>
        </w:rPr>
        <w:t xml:space="preserve">   </w:t>
      </w:r>
    </w:p>
    <w:p w14:paraId="515C6827" w14:textId="01C98206" w:rsidR="000D33CB" w:rsidRPr="000865E5" w:rsidRDefault="00451C53" w:rsidP="000865E5">
      <w:pPr>
        <w:spacing w:line="360" w:lineRule="auto"/>
        <w:ind w:firstLine="1440"/>
        <w:rPr>
          <w:sz w:val="26"/>
          <w:szCs w:val="26"/>
        </w:rPr>
      </w:pPr>
      <w:r>
        <w:rPr>
          <w:rFonts w:eastAsia="Batang"/>
          <w:sz w:val="26"/>
          <w:szCs w:val="26"/>
        </w:rPr>
        <w:t xml:space="preserve">Regarding PECO, the ALJ found no evidence that PECO violated the Code, the Commission’s Regulations, or any Commission order relating to how the company processed the electric supply switch from PECO to NRG Residential and then back to PECO.  </w:t>
      </w:r>
      <w:r>
        <w:rPr>
          <w:rFonts w:eastAsia="Batang"/>
          <w:i/>
          <w:iCs/>
          <w:sz w:val="26"/>
          <w:szCs w:val="26"/>
        </w:rPr>
        <w:t>Id.</w:t>
      </w:r>
      <w:r>
        <w:rPr>
          <w:rFonts w:eastAsia="Batang"/>
          <w:sz w:val="26"/>
          <w:szCs w:val="26"/>
        </w:rPr>
        <w:t xml:space="preserve"> at 8.  However, regarding how </w:t>
      </w:r>
      <w:r w:rsidR="001D24F8">
        <w:rPr>
          <w:rFonts w:eastAsia="Batang"/>
          <w:sz w:val="26"/>
          <w:szCs w:val="26"/>
        </w:rPr>
        <w:t>PECO</w:t>
      </w:r>
      <w:r>
        <w:rPr>
          <w:rFonts w:eastAsia="Batang"/>
          <w:sz w:val="26"/>
          <w:szCs w:val="26"/>
        </w:rPr>
        <w:t xml:space="preserve"> processed the natural gas supply switch, the ALJ found an inconsistency between PECO’s Commission-approved Tariff that provides for a </w:t>
      </w:r>
      <w:r w:rsidR="005E46C5">
        <w:rPr>
          <w:rFonts w:eastAsia="Batang"/>
          <w:sz w:val="26"/>
          <w:szCs w:val="26"/>
        </w:rPr>
        <w:t>5</w:t>
      </w:r>
      <w:r>
        <w:rPr>
          <w:rFonts w:eastAsia="Batang"/>
          <w:sz w:val="26"/>
          <w:szCs w:val="26"/>
        </w:rPr>
        <w:t xml:space="preserve">-day waiting period in which the supplier switch order may be canceled before the change of the NGS takes place </w:t>
      </w:r>
      <w:r w:rsidR="001D24F8">
        <w:rPr>
          <w:rFonts w:eastAsia="Batang"/>
          <w:sz w:val="26"/>
          <w:szCs w:val="26"/>
        </w:rPr>
        <w:t xml:space="preserve">and the 10-day waiting period </w:t>
      </w:r>
      <w:r w:rsidR="00774F71">
        <w:rPr>
          <w:rFonts w:eastAsia="Batang"/>
          <w:sz w:val="26"/>
          <w:szCs w:val="26"/>
        </w:rPr>
        <w:t>that is</w:t>
      </w:r>
      <w:r w:rsidR="001D24F8">
        <w:rPr>
          <w:rFonts w:eastAsia="Batang"/>
          <w:sz w:val="26"/>
          <w:szCs w:val="26"/>
        </w:rPr>
        <w:t xml:space="preserve"> prescribed </w:t>
      </w:r>
      <w:r w:rsidR="001D24F8">
        <w:rPr>
          <w:rFonts w:eastAsia="Batang"/>
          <w:sz w:val="26"/>
          <w:szCs w:val="26"/>
        </w:rPr>
        <w:lastRenderedPageBreak/>
        <w:t xml:space="preserve">in the Commission’s Regulations at 52 Pa. Code </w:t>
      </w:r>
      <w:r w:rsidR="001D24F8" w:rsidRPr="00F85C72">
        <w:rPr>
          <w:sz w:val="26"/>
          <w:szCs w:val="26"/>
        </w:rPr>
        <w:t>§</w:t>
      </w:r>
      <w:r w:rsidR="001D24F8">
        <w:rPr>
          <w:sz w:val="26"/>
          <w:szCs w:val="26"/>
        </w:rPr>
        <w:t xml:space="preserve"> 59.93(2).  </w:t>
      </w:r>
      <w:r w:rsidR="001D24F8">
        <w:rPr>
          <w:i/>
          <w:iCs/>
          <w:sz w:val="26"/>
          <w:szCs w:val="26"/>
        </w:rPr>
        <w:t xml:space="preserve">Id. </w:t>
      </w:r>
      <w:r w:rsidR="001D24F8">
        <w:rPr>
          <w:sz w:val="26"/>
          <w:szCs w:val="26"/>
        </w:rPr>
        <w:t>at 8-9.</w:t>
      </w:r>
      <w:r w:rsidR="00774F71">
        <w:rPr>
          <w:sz w:val="26"/>
          <w:szCs w:val="26"/>
        </w:rPr>
        <w:t xml:space="preserve">  Because the confirmation letter sent by PECO switching the Complainant’s NGS from PECO to NRG</w:t>
      </w:r>
      <w:r w:rsidR="00706555">
        <w:rPr>
          <w:sz w:val="26"/>
          <w:szCs w:val="26"/>
        </w:rPr>
        <w:t> </w:t>
      </w:r>
      <w:r w:rsidR="00774F71">
        <w:rPr>
          <w:sz w:val="26"/>
          <w:szCs w:val="26"/>
        </w:rPr>
        <w:t xml:space="preserve">Home provided for a 6-day waiting period consistent with PECO’s existing Tariff, the ALJ found that issuing a civil penalty is not warranted.  </w:t>
      </w:r>
      <w:r w:rsidR="00774F71">
        <w:rPr>
          <w:i/>
          <w:iCs/>
          <w:sz w:val="26"/>
          <w:szCs w:val="26"/>
        </w:rPr>
        <w:t>Id.</w:t>
      </w:r>
      <w:r w:rsidR="00774F71">
        <w:rPr>
          <w:sz w:val="26"/>
          <w:szCs w:val="26"/>
        </w:rPr>
        <w:t xml:space="preserve"> at 9.  However, the ALJ concluded that an appropriate remedy in this case is to order PECO to change its Tariff to provide </w:t>
      </w:r>
      <w:r w:rsidR="00774F71" w:rsidRPr="000865E5">
        <w:rPr>
          <w:sz w:val="26"/>
          <w:szCs w:val="26"/>
        </w:rPr>
        <w:t xml:space="preserve">the requisite 10-day waiting period in future confirmation letters.  </w:t>
      </w:r>
      <w:r w:rsidR="00774F71" w:rsidRPr="000865E5">
        <w:rPr>
          <w:i/>
          <w:iCs/>
          <w:sz w:val="26"/>
          <w:szCs w:val="26"/>
        </w:rPr>
        <w:t xml:space="preserve">Id. </w:t>
      </w:r>
      <w:r w:rsidR="00774F71" w:rsidRPr="000865E5">
        <w:rPr>
          <w:sz w:val="26"/>
          <w:szCs w:val="26"/>
        </w:rPr>
        <w:t xml:space="preserve">at 9 &amp; 12 (Conclusions of Law No. 4).  </w:t>
      </w:r>
    </w:p>
    <w:p w14:paraId="481B7BFF" w14:textId="50BBD80E" w:rsidR="001679B3" w:rsidRPr="000865E5" w:rsidRDefault="001D24F8" w:rsidP="000865E5">
      <w:pPr>
        <w:spacing w:line="360" w:lineRule="auto"/>
        <w:ind w:firstLine="1440"/>
        <w:rPr>
          <w:rFonts w:eastAsia="Batang"/>
          <w:sz w:val="26"/>
          <w:szCs w:val="26"/>
        </w:rPr>
      </w:pPr>
      <w:r w:rsidRPr="000865E5">
        <w:rPr>
          <w:sz w:val="26"/>
          <w:szCs w:val="26"/>
        </w:rPr>
        <w:t xml:space="preserve">     </w:t>
      </w:r>
      <w:r w:rsidR="00451C53" w:rsidRPr="000865E5">
        <w:rPr>
          <w:rFonts w:eastAsia="Batang"/>
          <w:sz w:val="26"/>
          <w:szCs w:val="26"/>
        </w:rPr>
        <w:t xml:space="preserve"> </w:t>
      </w:r>
      <w:r w:rsidR="00464848" w:rsidRPr="000865E5">
        <w:rPr>
          <w:rFonts w:eastAsia="Batang"/>
          <w:sz w:val="26"/>
          <w:szCs w:val="26"/>
        </w:rPr>
        <w:t xml:space="preserve"> </w:t>
      </w:r>
      <w:r w:rsidR="001679B3" w:rsidRPr="000865E5">
        <w:rPr>
          <w:rFonts w:eastAsia="Batang"/>
          <w:sz w:val="26"/>
          <w:szCs w:val="26"/>
        </w:rPr>
        <w:t xml:space="preserve">  </w:t>
      </w:r>
    </w:p>
    <w:p w14:paraId="6170D3EE" w14:textId="77777777" w:rsidR="001679B3" w:rsidRPr="000865E5" w:rsidRDefault="001679B3" w:rsidP="000865E5">
      <w:pPr>
        <w:keepNext/>
        <w:spacing w:line="360" w:lineRule="auto"/>
        <w:rPr>
          <w:b/>
          <w:sz w:val="26"/>
          <w:szCs w:val="26"/>
        </w:rPr>
      </w:pPr>
      <w:r w:rsidRPr="000865E5">
        <w:rPr>
          <w:b/>
          <w:sz w:val="26"/>
          <w:szCs w:val="26"/>
        </w:rPr>
        <w:t>C.</w:t>
      </w:r>
      <w:r w:rsidRPr="000865E5">
        <w:rPr>
          <w:b/>
          <w:sz w:val="26"/>
          <w:szCs w:val="26"/>
        </w:rPr>
        <w:tab/>
        <w:t>Exceptions and Replies</w:t>
      </w:r>
    </w:p>
    <w:p w14:paraId="407F39B0" w14:textId="77777777" w:rsidR="001679B3" w:rsidRPr="000865E5" w:rsidRDefault="001679B3" w:rsidP="000865E5">
      <w:pPr>
        <w:keepNext/>
        <w:spacing w:line="360" w:lineRule="auto"/>
        <w:rPr>
          <w:rFonts w:ascii="Times New (W1)" w:hAnsi="Times New (W1)"/>
          <w:sz w:val="26"/>
          <w:szCs w:val="26"/>
        </w:rPr>
      </w:pPr>
    </w:p>
    <w:p w14:paraId="45DE70DE" w14:textId="22F85342" w:rsidR="00AD33E2" w:rsidRDefault="001679B3" w:rsidP="000865E5">
      <w:pPr>
        <w:pStyle w:val="BodyText"/>
        <w:rPr>
          <w:szCs w:val="26"/>
        </w:rPr>
      </w:pPr>
      <w:r w:rsidRPr="000865E5">
        <w:rPr>
          <w:szCs w:val="26"/>
        </w:rPr>
        <w:t>In h</w:t>
      </w:r>
      <w:r w:rsidR="00F33EA2" w:rsidRPr="000865E5">
        <w:rPr>
          <w:szCs w:val="26"/>
        </w:rPr>
        <w:t>is</w:t>
      </w:r>
      <w:r w:rsidRPr="000865E5">
        <w:rPr>
          <w:szCs w:val="26"/>
        </w:rPr>
        <w:t xml:space="preserve"> Exceptions, the Complainant argues that the ALJ erred in finding that </w:t>
      </w:r>
      <w:r w:rsidR="007732A6" w:rsidRPr="000865E5">
        <w:rPr>
          <w:szCs w:val="26"/>
        </w:rPr>
        <w:t>no evidence was presented to support a finding that PECO violated the Code or the Commission’s</w:t>
      </w:r>
      <w:r w:rsidR="007732A6">
        <w:rPr>
          <w:szCs w:val="26"/>
        </w:rPr>
        <w:t xml:space="preserve"> Regulations in how it processed the electric supply </w:t>
      </w:r>
      <w:r w:rsidR="001C2B7C">
        <w:rPr>
          <w:szCs w:val="26"/>
        </w:rPr>
        <w:t xml:space="preserve">and natural gas </w:t>
      </w:r>
      <w:r w:rsidR="007732A6">
        <w:rPr>
          <w:szCs w:val="26"/>
        </w:rPr>
        <w:t>switch</w:t>
      </w:r>
      <w:r w:rsidR="001C2B7C">
        <w:rPr>
          <w:szCs w:val="26"/>
        </w:rPr>
        <w:t>es</w:t>
      </w:r>
      <w:r w:rsidR="007732A6">
        <w:rPr>
          <w:szCs w:val="26"/>
        </w:rPr>
        <w:t xml:space="preserve">.  </w:t>
      </w:r>
      <w:r w:rsidR="001C2B7C">
        <w:rPr>
          <w:szCs w:val="26"/>
        </w:rPr>
        <w:t xml:space="preserve">Complainant Exc. at 6-8.  </w:t>
      </w:r>
      <w:r w:rsidR="007732A6">
        <w:rPr>
          <w:szCs w:val="26"/>
        </w:rPr>
        <w:t>Instead, the Complainant argues that the record establishes that</w:t>
      </w:r>
      <w:r w:rsidR="001C2B7C">
        <w:rPr>
          <w:szCs w:val="26"/>
        </w:rPr>
        <w:t xml:space="preserve"> PECO should be found liable for violations of the Code and the Commission’s Regulations in how its processed both switches.  On the electric side, the Complainant asserts that PECO’s witness testified that PECO sent the confirmation letter to the Complainant on January 22, 2019; however, the</w:t>
      </w:r>
      <w:r w:rsidR="00AD33E2">
        <w:rPr>
          <w:szCs w:val="26"/>
        </w:rPr>
        <w:t xml:space="preserve"> Complainant argues that PECO did not receive the switch request until January 23, 2019, thereby contradicting the established record.  </w:t>
      </w:r>
      <w:r w:rsidR="00AD33E2">
        <w:rPr>
          <w:i/>
          <w:iCs/>
          <w:szCs w:val="26"/>
        </w:rPr>
        <w:t>Id.</w:t>
      </w:r>
      <w:r w:rsidR="00AD33E2">
        <w:rPr>
          <w:szCs w:val="26"/>
        </w:rPr>
        <w:t xml:space="preserve"> at 7-8.  Regarding the natural gas switch, the Complainant asserts that the confirmation letter sent by PECO clearly violates the 10-day waiting period requirement, and that PECO also failed to verify the accuracy of the information provided by NRG Home by matching at least two data elements such as name, address, or account number with PECO’s own records.  </w:t>
      </w:r>
      <w:r w:rsidR="00AD33E2">
        <w:rPr>
          <w:i/>
          <w:iCs/>
          <w:szCs w:val="26"/>
        </w:rPr>
        <w:t xml:space="preserve">Id. </w:t>
      </w:r>
      <w:r w:rsidR="00AD33E2">
        <w:rPr>
          <w:szCs w:val="26"/>
        </w:rPr>
        <w:t>at 7</w:t>
      </w:r>
      <w:r w:rsidR="00971761">
        <w:rPr>
          <w:szCs w:val="26"/>
        </w:rPr>
        <w:t>.</w:t>
      </w:r>
      <w:r w:rsidR="007732A6">
        <w:rPr>
          <w:szCs w:val="26"/>
        </w:rPr>
        <w:t xml:space="preserve"> </w:t>
      </w:r>
      <w:r w:rsidR="001C2B7C">
        <w:rPr>
          <w:szCs w:val="26"/>
        </w:rPr>
        <w:t xml:space="preserve">      </w:t>
      </w:r>
    </w:p>
    <w:p w14:paraId="7593BB22" w14:textId="77777777" w:rsidR="00AD33E2" w:rsidRDefault="00AD33E2" w:rsidP="001679B3">
      <w:pPr>
        <w:pStyle w:val="BodyText"/>
        <w:rPr>
          <w:szCs w:val="26"/>
        </w:rPr>
      </w:pPr>
    </w:p>
    <w:p w14:paraId="6BD4E1D0" w14:textId="371B6193" w:rsidR="001679B3" w:rsidRDefault="00B115F6" w:rsidP="001679B3">
      <w:pPr>
        <w:pStyle w:val="BodyText"/>
        <w:rPr>
          <w:szCs w:val="26"/>
        </w:rPr>
      </w:pPr>
      <w:r>
        <w:rPr>
          <w:szCs w:val="26"/>
        </w:rPr>
        <w:t>T</w:t>
      </w:r>
      <w:r w:rsidR="00EA2789">
        <w:rPr>
          <w:szCs w:val="26"/>
        </w:rPr>
        <w:t xml:space="preserve">he Complainant </w:t>
      </w:r>
      <w:r>
        <w:rPr>
          <w:szCs w:val="26"/>
        </w:rPr>
        <w:t xml:space="preserve">also </w:t>
      </w:r>
      <w:r w:rsidR="00EA2789">
        <w:rPr>
          <w:szCs w:val="26"/>
        </w:rPr>
        <w:t xml:space="preserve">argues that the ALJ erred in finding that no evidence was presented to support a finding that </w:t>
      </w:r>
      <w:r w:rsidR="007732A6">
        <w:rPr>
          <w:szCs w:val="26"/>
        </w:rPr>
        <w:t>NRG Residential was responsible for the unlawful switching</w:t>
      </w:r>
      <w:r w:rsidR="00EA2789">
        <w:rPr>
          <w:szCs w:val="26"/>
        </w:rPr>
        <w:t xml:space="preserve">, thereby </w:t>
      </w:r>
      <w:r w:rsidR="007732A6">
        <w:rPr>
          <w:szCs w:val="26"/>
        </w:rPr>
        <w:t>warrant</w:t>
      </w:r>
      <w:r w:rsidR="00EA2789">
        <w:rPr>
          <w:szCs w:val="26"/>
        </w:rPr>
        <w:t>ing</w:t>
      </w:r>
      <w:r w:rsidR="007732A6">
        <w:rPr>
          <w:szCs w:val="26"/>
        </w:rPr>
        <w:t xml:space="preserve"> the imposition of a civil penalty.</w:t>
      </w:r>
      <w:r w:rsidR="00EA2789">
        <w:rPr>
          <w:szCs w:val="26"/>
        </w:rPr>
        <w:t xml:space="preserve">  </w:t>
      </w:r>
      <w:r w:rsidR="00EA2789">
        <w:rPr>
          <w:i/>
          <w:iCs/>
          <w:szCs w:val="26"/>
        </w:rPr>
        <w:t>Id.</w:t>
      </w:r>
      <w:r w:rsidR="00EA2789">
        <w:rPr>
          <w:szCs w:val="26"/>
        </w:rPr>
        <w:t xml:space="preserve"> at 8-11.</w:t>
      </w:r>
      <w:r w:rsidR="007732A6">
        <w:rPr>
          <w:szCs w:val="26"/>
        </w:rPr>
        <w:t xml:space="preserve">  </w:t>
      </w:r>
      <w:r w:rsidR="001679B3">
        <w:rPr>
          <w:szCs w:val="26"/>
        </w:rPr>
        <w:t>Instead, the Complainant argues that</w:t>
      </w:r>
      <w:r w:rsidR="00784781">
        <w:rPr>
          <w:szCs w:val="26"/>
        </w:rPr>
        <w:t xml:space="preserve"> the evidence at the hearing supported a finding that other </w:t>
      </w:r>
      <w:r w:rsidR="00784781">
        <w:rPr>
          <w:szCs w:val="26"/>
        </w:rPr>
        <w:lastRenderedPageBreak/>
        <w:t xml:space="preserve">customers were complaining to NRG </w:t>
      </w:r>
      <w:r w:rsidR="00971761">
        <w:rPr>
          <w:szCs w:val="26"/>
        </w:rPr>
        <w:t xml:space="preserve">Residential </w:t>
      </w:r>
      <w:r w:rsidR="00784781">
        <w:rPr>
          <w:szCs w:val="26"/>
        </w:rPr>
        <w:t xml:space="preserve">about the same employee switching their accounts improperly.  </w:t>
      </w:r>
      <w:r w:rsidR="00784781">
        <w:rPr>
          <w:i/>
          <w:iCs/>
          <w:szCs w:val="26"/>
        </w:rPr>
        <w:t xml:space="preserve">Id. </w:t>
      </w:r>
      <w:r w:rsidR="00784781">
        <w:rPr>
          <w:szCs w:val="26"/>
        </w:rPr>
        <w:t>at 10.</w:t>
      </w:r>
      <w:r w:rsidR="006B117D">
        <w:rPr>
          <w:szCs w:val="26"/>
        </w:rPr>
        <w:t xml:space="preserve">  The Complainant also asserts that the signature page authorizing the switches “revealed an unrecognized signature that did not comply with PUC regulations.”  </w:t>
      </w:r>
      <w:r w:rsidR="006B117D">
        <w:rPr>
          <w:i/>
          <w:iCs/>
          <w:szCs w:val="26"/>
        </w:rPr>
        <w:t xml:space="preserve">Id. </w:t>
      </w:r>
      <w:r w:rsidR="006B117D">
        <w:rPr>
          <w:szCs w:val="26"/>
        </w:rPr>
        <w:t xml:space="preserve">at 11.  The Complainant concludes that NRG Residential </w:t>
      </w:r>
      <w:r>
        <w:rPr>
          <w:szCs w:val="26"/>
        </w:rPr>
        <w:t>should</w:t>
      </w:r>
      <w:r w:rsidR="006B117D">
        <w:rPr>
          <w:szCs w:val="26"/>
        </w:rPr>
        <w:t xml:space="preserve"> be found to have engaged in improper conduct establish</w:t>
      </w:r>
      <w:r>
        <w:rPr>
          <w:szCs w:val="26"/>
        </w:rPr>
        <w:t>ing</w:t>
      </w:r>
      <w:r w:rsidR="006B117D">
        <w:rPr>
          <w:szCs w:val="26"/>
        </w:rPr>
        <w:t xml:space="preserve"> a pattern of unauthorized enrollments </w:t>
      </w:r>
      <w:r>
        <w:rPr>
          <w:szCs w:val="26"/>
        </w:rPr>
        <w:t xml:space="preserve">of electric and natural gas customers that warrants the imposition of a civil penalty.  </w:t>
      </w:r>
      <w:r>
        <w:rPr>
          <w:i/>
          <w:iCs/>
          <w:szCs w:val="26"/>
        </w:rPr>
        <w:t>Id</w:t>
      </w:r>
      <w:r>
        <w:rPr>
          <w:szCs w:val="26"/>
        </w:rPr>
        <w:t>.</w:t>
      </w:r>
      <w:r w:rsidR="001679B3">
        <w:rPr>
          <w:szCs w:val="26"/>
        </w:rPr>
        <w:t xml:space="preserve"> </w:t>
      </w:r>
    </w:p>
    <w:p w14:paraId="52BC74AB" w14:textId="22D4980B" w:rsidR="00B115F6" w:rsidRDefault="00B115F6" w:rsidP="001679B3">
      <w:pPr>
        <w:pStyle w:val="BodyText"/>
        <w:rPr>
          <w:szCs w:val="26"/>
        </w:rPr>
      </w:pPr>
    </w:p>
    <w:p w14:paraId="50D9A241" w14:textId="7B318DD7" w:rsidR="00B115F6" w:rsidRPr="00683949" w:rsidRDefault="00B115F6" w:rsidP="001679B3">
      <w:pPr>
        <w:pStyle w:val="BodyText"/>
        <w:rPr>
          <w:szCs w:val="26"/>
        </w:rPr>
      </w:pPr>
      <w:r>
        <w:rPr>
          <w:szCs w:val="26"/>
        </w:rPr>
        <w:t xml:space="preserve">In its Exceptions, PECO argues that it is exempt from the 10-day waiting period requirement of </w:t>
      </w:r>
      <w:r>
        <w:rPr>
          <w:bCs/>
          <w:szCs w:val="26"/>
        </w:rPr>
        <w:t xml:space="preserve">52 Pa. Code </w:t>
      </w:r>
      <w:r w:rsidRPr="00F85C72">
        <w:rPr>
          <w:szCs w:val="26"/>
        </w:rPr>
        <w:t>§</w:t>
      </w:r>
      <w:r>
        <w:rPr>
          <w:bCs/>
          <w:szCs w:val="26"/>
        </w:rPr>
        <w:t xml:space="preserve"> 59.93(2)</w:t>
      </w:r>
      <w:r w:rsidR="007262E4">
        <w:rPr>
          <w:bCs/>
          <w:szCs w:val="26"/>
        </w:rPr>
        <w:t xml:space="preserve"> pursuant to the Commission’s </w:t>
      </w:r>
      <w:r w:rsidR="007262E4" w:rsidRPr="007262E4">
        <w:rPr>
          <w:bCs/>
          <w:i/>
          <w:iCs/>
          <w:szCs w:val="26"/>
        </w:rPr>
        <w:t>Final Order, Interim Guidelines Regarding Standards for Changing a Customer’s Electricity Generation Supplier</w:t>
      </w:r>
      <w:r w:rsidR="007262E4">
        <w:rPr>
          <w:bCs/>
          <w:szCs w:val="26"/>
        </w:rPr>
        <w:t>, Docket No. M-2011-2270442 (Order entered October 25, 2012) (</w:t>
      </w:r>
      <w:r w:rsidR="007262E4">
        <w:rPr>
          <w:bCs/>
          <w:i/>
          <w:iCs/>
          <w:szCs w:val="26"/>
        </w:rPr>
        <w:t>PUC Final Order</w:t>
      </w:r>
      <w:r w:rsidR="007262E4">
        <w:rPr>
          <w:bCs/>
          <w:szCs w:val="26"/>
        </w:rPr>
        <w:t xml:space="preserve">), which waived the applicability of 52 Pa. Code </w:t>
      </w:r>
      <w:r w:rsidR="007262E4" w:rsidRPr="00F85C72">
        <w:rPr>
          <w:szCs w:val="26"/>
        </w:rPr>
        <w:t>§</w:t>
      </w:r>
      <w:r w:rsidR="007262E4">
        <w:rPr>
          <w:bCs/>
          <w:szCs w:val="26"/>
        </w:rPr>
        <w:t xml:space="preserve"> 59.93(2)’s requirement for a 10-day waiting period and held that five days is “sufficient notice for customers </w:t>
      </w:r>
      <w:r w:rsidR="004E121D">
        <w:rPr>
          <w:bCs/>
          <w:szCs w:val="26"/>
        </w:rPr>
        <w:t xml:space="preserve">and time </w:t>
      </w:r>
      <w:r w:rsidR="007262E4">
        <w:rPr>
          <w:bCs/>
          <w:szCs w:val="26"/>
        </w:rPr>
        <w:t xml:space="preserve">to act to prevent an unauthorized switch.” </w:t>
      </w:r>
      <w:r w:rsidR="00683949">
        <w:rPr>
          <w:bCs/>
          <w:szCs w:val="26"/>
        </w:rPr>
        <w:t xml:space="preserve"> PECO Exc. at 2</w:t>
      </w:r>
      <w:r w:rsidR="007262E4">
        <w:rPr>
          <w:bCs/>
          <w:szCs w:val="26"/>
        </w:rPr>
        <w:t xml:space="preserve"> </w:t>
      </w:r>
      <w:r w:rsidR="00683949">
        <w:rPr>
          <w:bCs/>
          <w:szCs w:val="26"/>
        </w:rPr>
        <w:t xml:space="preserve">(citing </w:t>
      </w:r>
      <w:r w:rsidR="007262E4">
        <w:rPr>
          <w:bCs/>
          <w:i/>
          <w:iCs/>
          <w:szCs w:val="26"/>
        </w:rPr>
        <w:t>PUC Final Order</w:t>
      </w:r>
      <w:r w:rsidR="007262E4">
        <w:rPr>
          <w:bCs/>
          <w:szCs w:val="26"/>
        </w:rPr>
        <w:t xml:space="preserve"> at 45</w:t>
      </w:r>
      <w:r w:rsidR="00683949">
        <w:rPr>
          <w:bCs/>
          <w:szCs w:val="26"/>
        </w:rPr>
        <w:t xml:space="preserve">, 48-49).  As a result, PECO requests that the ALJ’s holding that PECO is in violation of 52 Pa. Code </w:t>
      </w:r>
      <w:r w:rsidR="00683949" w:rsidRPr="00F85C72">
        <w:rPr>
          <w:szCs w:val="26"/>
        </w:rPr>
        <w:t>§</w:t>
      </w:r>
      <w:r w:rsidR="00683949">
        <w:rPr>
          <w:bCs/>
          <w:szCs w:val="26"/>
        </w:rPr>
        <w:t xml:space="preserve"> 59.93(2) be reversed.  </w:t>
      </w:r>
      <w:r w:rsidR="00683949">
        <w:rPr>
          <w:bCs/>
          <w:i/>
          <w:iCs/>
          <w:szCs w:val="26"/>
        </w:rPr>
        <w:t>Id</w:t>
      </w:r>
      <w:r w:rsidR="00683949">
        <w:rPr>
          <w:bCs/>
          <w:szCs w:val="26"/>
        </w:rPr>
        <w:t xml:space="preserve">. </w:t>
      </w:r>
    </w:p>
    <w:p w14:paraId="60E7D056" w14:textId="77777777" w:rsidR="001679B3" w:rsidRDefault="001679B3" w:rsidP="001679B3">
      <w:pPr>
        <w:pStyle w:val="BodyText"/>
        <w:rPr>
          <w:szCs w:val="26"/>
        </w:rPr>
      </w:pPr>
    </w:p>
    <w:p w14:paraId="7402964D" w14:textId="4AEE3E60" w:rsidR="00D97C0B" w:rsidRDefault="001679B3" w:rsidP="001679B3">
      <w:pPr>
        <w:spacing w:line="360" w:lineRule="auto"/>
        <w:ind w:firstLine="1440"/>
        <w:rPr>
          <w:sz w:val="26"/>
          <w:szCs w:val="26"/>
        </w:rPr>
      </w:pPr>
      <w:r w:rsidRPr="00ED6F2D">
        <w:rPr>
          <w:sz w:val="26"/>
          <w:szCs w:val="26"/>
        </w:rPr>
        <w:t xml:space="preserve">In </w:t>
      </w:r>
      <w:r w:rsidR="00C655DE">
        <w:rPr>
          <w:sz w:val="26"/>
          <w:szCs w:val="26"/>
        </w:rPr>
        <w:t>his</w:t>
      </w:r>
      <w:r w:rsidRPr="00ED6F2D">
        <w:rPr>
          <w:sz w:val="26"/>
          <w:szCs w:val="26"/>
        </w:rPr>
        <w:t xml:space="preserve"> Repl</w:t>
      </w:r>
      <w:r w:rsidR="00044D31">
        <w:rPr>
          <w:sz w:val="26"/>
          <w:szCs w:val="26"/>
        </w:rPr>
        <w:t>ies</w:t>
      </w:r>
      <w:r>
        <w:rPr>
          <w:sz w:val="26"/>
          <w:szCs w:val="26"/>
        </w:rPr>
        <w:t xml:space="preserve"> to</w:t>
      </w:r>
      <w:r w:rsidRPr="00ED6F2D">
        <w:rPr>
          <w:sz w:val="26"/>
          <w:szCs w:val="26"/>
        </w:rPr>
        <w:t xml:space="preserve"> Exceptions, </w:t>
      </w:r>
      <w:r w:rsidR="00D97C0B">
        <w:rPr>
          <w:sz w:val="26"/>
          <w:szCs w:val="26"/>
        </w:rPr>
        <w:t xml:space="preserve">the Complainant states that PECO did not respond to his earlier assertion that </w:t>
      </w:r>
      <w:r w:rsidR="00D97C0B" w:rsidRPr="00D97C0B">
        <w:rPr>
          <w:sz w:val="26"/>
          <w:szCs w:val="26"/>
        </w:rPr>
        <w:t>PECO’s witness testified that PECO sent the confirmation letter to the Complainant on January 22, 2019</w:t>
      </w:r>
      <w:r w:rsidR="00C655DE">
        <w:rPr>
          <w:sz w:val="26"/>
          <w:szCs w:val="26"/>
        </w:rPr>
        <w:t>,</w:t>
      </w:r>
      <w:r w:rsidR="00D97C0B">
        <w:rPr>
          <w:sz w:val="26"/>
          <w:szCs w:val="26"/>
        </w:rPr>
        <w:t xml:space="preserve"> but </w:t>
      </w:r>
      <w:r w:rsidR="00D97C0B" w:rsidRPr="00D97C0B">
        <w:rPr>
          <w:sz w:val="26"/>
          <w:szCs w:val="26"/>
        </w:rPr>
        <w:t>PECO did not receive the switch request until January 23, 2019</w:t>
      </w:r>
      <w:r w:rsidR="00C655DE">
        <w:rPr>
          <w:sz w:val="26"/>
          <w:szCs w:val="26"/>
        </w:rPr>
        <w:t>, contradicting the record</w:t>
      </w:r>
      <w:r w:rsidR="00D97C0B">
        <w:rPr>
          <w:sz w:val="26"/>
          <w:szCs w:val="26"/>
        </w:rPr>
        <w:t>.</w:t>
      </w:r>
      <w:r w:rsidR="00D97C0B" w:rsidRPr="00D97C0B">
        <w:rPr>
          <w:sz w:val="26"/>
          <w:szCs w:val="26"/>
        </w:rPr>
        <w:t xml:space="preserve">  </w:t>
      </w:r>
      <w:r w:rsidR="00D97C0B">
        <w:rPr>
          <w:sz w:val="26"/>
          <w:szCs w:val="26"/>
        </w:rPr>
        <w:t>Complainant’s R.</w:t>
      </w:r>
      <w:r w:rsidR="00A03BBC">
        <w:rPr>
          <w:sz w:val="26"/>
          <w:szCs w:val="26"/>
        </w:rPr>
        <w:t> </w:t>
      </w:r>
      <w:r w:rsidR="00D97C0B">
        <w:rPr>
          <w:sz w:val="26"/>
          <w:szCs w:val="26"/>
        </w:rPr>
        <w:t>Exc.</w:t>
      </w:r>
      <w:r w:rsidR="00A03BBC">
        <w:rPr>
          <w:sz w:val="26"/>
          <w:szCs w:val="26"/>
        </w:rPr>
        <w:t> </w:t>
      </w:r>
      <w:r w:rsidR="00D97C0B" w:rsidRPr="00D97C0B">
        <w:rPr>
          <w:sz w:val="26"/>
          <w:szCs w:val="26"/>
        </w:rPr>
        <w:t>at</w:t>
      </w:r>
      <w:r w:rsidR="00EE3E1C">
        <w:rPr>
          <w:sz w:val="26"/>
          <w:szCs w:val="26"/>
        </w:rPr>
        <w:t> </w:t>
      </w:r>
      <w:r w:rsidR="00C655DE">
        <w:rPr>
          <w:sz w:val="26"/>
          <w:szCs w:val="26"/>
        </w:rPr>
        <w:t>1</w:t>
      </w:r>
      <w:r w:rsidR="00D97C0B" w:rsidRPr="00D97C0B">
        <w:rPr>
          <w:sz w:val="26"/>
          <w:szCs w:val="26"/>
        </w:rPr>
        <w:t xml:space="preserve">.  Regarding the natural gas switch, the Complainant </w:t>
      </w:r>
      <w:r w:rsidR="00C655DE">
        <w:rPr>
          <w:sz w:val="26"/>
          <w:szCs w:val="26"/>
        </w:rPr>
        <w:t>re-</w:t>
      </w:r>
      <w:r w:rsidR="00D97C0B" w:rsidRPr="00D97C0B">
        <w:rPr>
          <w:sz w:val="26"/>
          <w:szCs w:val="26"/>
        </w:rPr>
        <w:t xml:space="preserve">asserts that </w:t>
      </w:r>
      <w:r w:rsidR="00C655DE">
        <w:rPr>
          <w:sz w:val="26"/>
          <w:szCs w:val="26"/>
        </w:rPr>
        <w:t xml:space="preserve">PECO’s confirmation letter is not in compliance with </w:t>
      </w:r>
      <w:r w:rsidR="00C655DE" w:rsidRPr="00C655DE">
        <w:rPr>
          <w:bCs/>
          <w:sz w:val="26"/>
          <w:szCs w:val="26"/>
        </w:rPr>
        <w:t xml:space="preserve">52 Pa. Code </w:t>
      </w:r>
      <w:r w:rsidR="00C655DE" w:rsidRPr="00C655DE">
        <w:rPr>
          <w:sz w:val="26"/>
          <w:szCs w:val="26"/>
        </w:rPr>
        <w:t>§</w:t>
      </w:r>
      <w:r w:rsidR="00C655DE" w:rsidRPr="00C655DE">
        <w:rPr>
          <w:bCs/>
          <w:sz w:val="26"/>
          <w:szCs w:val="26"/>
        </w:rPr>
        <w:t xml:space="preserve"> 59.93</w:t>
      </w:r>
      <w:r w:rsidR="00C655DE">
        <w:rPr>
          <w:sz w:val="26"/>
          <w:szCs w:val="26"/>
        </w:rPr>
        <w:t xml:space="preserve"> and that </w:t>
      </w:r>
      <w:r w:rsidR="00D97C0B" w:rsidRPr="00D97C0B">
        <w:rPr>
          <w:sz w:val="26"/>
          <w:szCs w:val="26"/>
        </w:rPr>
        <w:t xml:space="preserve">PECO failed to verify the accuracy of the information provided by NRG Home by matching at least two data elements such as name, address, or account number with PECO’s own records.  </w:t>
      </w:r>
      <w:r w:rsidR="00D97C0B" w:rsidRPr="00D97C0B">
        <w:rPr>
          <w:i/>
          <w:iCs/>
          <w:sz w:val="26"/>
          <w:szCs w:val="26"/>
        </w:rPr>
        <w:t>Id.</w:t>
      </w:r>
    </w:p>
    <w:p w14:paraId="7D5139EC" w14:textId="77777777" w:rsidR="00D97C0B" w:rsidRDefault="00D97C0B" w:rsidP="001679B3">
      <w:pPr>
        <w:spacing w:line="360" w:lineRule="auto"/>
        <w:ind w:firstLine="1440"/>
        <w:rPr>
          <w:sz w:val="26"/>
          <w:szCs w:val="26"/>
        </w:rPr>
      </w:pPr>
    </w:p>
    <w:p w14:paraId="3830631C" w14:textId="19B27937" w:rsidR="001679B3" w:rsidRDefault="00D97C0B" w:rsidP="006E0681">
      <w:pPr>
        <w:spacing w:line="360" w:lineRule="auto"/>
        <w:rPr>
          <w:sz w:val="26"/>
          <w:szCs w:val="26"/>
        </w:rPr>
      </w:pPr>
      <w:r>
        <w:rPr>
          <w:sz w:val="26"/>
          <w:szCs w:val="26"/>
        </w:rPr>
        <w:t xml:space="preserve"> </w:t>
      </w:r>
      <w:r w:rsidR="006E0681">
        <w:rPr>
          <w:sz w:val="26"/>
          <w:szCs w:val="26"/>
        </w:rPr>
        <w:tab/>
      </w:r>
      <w:r w:rsidR="006E0681">
        <w:rPr>
          <w:sz w:val="26"/>
          <w:szCs w:val="26"/>
        </w:rPr>
        <w:tab/>
        <w:t>In its Repl</w:t>
      </w:r>
      <w:r w:rsidR="00044D31">
        <w:rPr>
          <w:sz w:val="26"/>
          <w:szCs w:val="26"/>
        </w:rPr>
        <w:t>ies</w:t>
      </w:r>
      <w:r w:rsidR="006E0681">
        <w:rPr>
          <w:sz w:val="26"/>
          <w:szCs w:val="26"/>
        </w:rPr>
        <w:t xml:space="preserve"> to Exceptions, PECO argues that </w:t>
      </w:r>
      <w:r w:rsidR="00971761">
        <w:rPr>
          <w:sz w:val="26"/>
          <w:szCs w:val="26"/>
        </w:rPr>
        <w:t xml:space="preserve">the </w:t>
      </w:r>
      <w:r w:rsidR="006E0681">
        <w:rPr>
          <w:sz w:val="26"/>
          <w:szCs w:val="26"/>
        </w:rPr>
        <w:t xml:space="preserve">Complainant’s allegations regarding PECO mailing him a switch letter notification on January 22, 2019, </w:t>
      </w:r>
      <w:r w:rsidR="006E0681">
        <w:rPr>
          <w:sz w:val="26"/>
          <w:szCs w:val="26"/>
        </w:rPr>
        <w:lastRenderedPageBreak/>
        <w:t xml:space="preserve">even though the switch did not occur until January 23, 2019, are unfounded and without merit.  PECO R. Exc. at 3.  </w:t>
      </w:r>
      <w:r w:rsidR="00607CC7">
        <w:rPr>
          <w:sz w:val="26"/>
          <w:szCs w:val="26"/>
        </w:rPr>
        <w:t>PECO states that at the hearing its witness testified that PECO received a supplier switch request from NRG</w:t>
      </w:r>
      <w:r w:rsidR="00971761">
        <w:rPr>
          <w:sz w:val="26"/>
          <w:szCs w:val="26"/>
        </w:rPr>
        <w:t xml:space="preserve"> Residential</w:t>
      </w:r>
      <w:r w:rsidR="00607CC7">
        <w:rPr>
          <w:sz w:val="26"/>
          <w:szCs w:val="26"/>
        </w:rPr>
        <w:t xml:space="preserve"> on January 21, 2019, not January 23, 2019, as the Complainant alleges.  </w:t>
      </w:r>
      <w:r w:rsidR="00607CC7">
        <w:rPr>
          <w:i/>
          <w:iCs/>
          <w:sz w:val="26"/>
          <w:szCs w:val="26"/>
        </w:rPr>
        <w:t>Id.</w:t>
      </w:r>
      <w:r w:rsidR="00607CC7">
        <w:rPr>
          <w:sz w:val="26"/>
          <w:szCs w:val="26"/>
        </w:rPr>
        <w:t xml:space="preserve"> at 3-</w:t>
      </w:r>
      <w:r w:rsidR="00B0712D">
        <w:rPr>
          <w:sz w:val="26"/>
          <w:szCs w:val="26"/>
        </w:rPr>
        <w:t>5</w:t>
      </w:r>
      <w:r w:rsidR="00607CC7">
        <w:rPr>
          <w:sz w:val="26"/>
          <w:szCs w:val="26"/>
        </w:rPr>
        <w:t xml:space="preserve"> (citing Tr.</w:t>
      </w:r>
      <w:r w:rsidR="00971761">
        <w:rPr>
          <w:sz w:val="26"/>
          <w:szCs w:val="26"/>
        </w:rPr>
        <w:t xml:space="preserve"> at</w:t>
      </w:r>
      <w:r w:rsidR="00607CC7">
        <w:rPr>
          <w:sz w:val="26"/>
          <w:szCs w:val="26"/>
        </w:rPr>
        <w:t xml:space="preserve"> 68 &amp; 70-73; I.D.</w:t>
      </w:r>
      <w:r w:rsidR="00A03BBC">
        <w:rPr>
          <w:sz w:val="26"/>
          <w:szCs w:val="26"/>
        </w:rPr>
        <w:t> </w:t>
      </w:r>
      <w:r w:rsidR="00607CC7">
        <w:rPr>
          <w:sz w:val="26"/>
          <w:szCs w:val="26"/>
        </w:rPr>
        <w:t>at</w:t>
      </w:r>
      <w:r w:rsidR="00EE3E1C">
        <w:rPr>
          <w:sz w:val="26"/>
          <w:szCs w:val="26"/>
        </w:rPr>
        <w:t> </w:t>
      </w:r>
      <w:r w:rsidR="00607CC7">
        <w:rPr>
          <w:sz w:val="26"/>
          <w:szCs w:val="26"/>
        </w:rPr>
        <w:t xml:space="preserve">4-5).  </w:t>
      </w:r>
      <w:r w:rsidR="001679B3">
        <w:rPr>
          <w:sz w:val="26"/>
          <w:szCs w:val="26"/>
        </w:rPr>
        <w:t>Additionally, P</w:t>
      </w:r>
      <w:r w:rsidR="00607CC7">
        <w:rPr>
          <w:sz w:val="26"/>
          <w:szCs w:val="26"/>
        </w:rPr>
        <w:t>ECO</w:t>
      </w:r>
      <w:r w:rsidR="001679B3">
        <w:rPr>
          <w:sz w:val="26"/>
          <w:szCs w:val="26"/>
        </w:rPr>
        <w:t xml:space="preserve"> asserts that the Complainant’s </w:t>
      </w:r>
      <w:r w:rsidR="00607CC7">
        <w:rPr>
          <w:sz w:val="26"/>
          <w:szCs w:val="26"/>
        </w:rPr>
        <w:t>name, address, account number and a telephone number were provided by NRG</w:t>
      </w:r>
      <w:r w:rsidR="00B0712D">
        <w:rPr>
          <w:sz w:val="26"/>
          <w:szCs w:val="26"/>
        </w:rPr>
        <w:t xml:space="preserve"> </w:t>
      </w:r>
      <w:r w:rsidR="00EE059C">
        <w:rPr>
          <w:sz w:val="26"/>
          <w:szCs w:val="26"/>
        </w:rPr>
        <w:t>Home</w:t>
      </w:r>
      <w:r w:rsidR="00971761">
        <w:rPr>
          <w:sz w:val="26"/>
          <w:szCs w:val="26"/>
        </w:rPr>
        <w:t xml:space="preserve"> </w:t>
      </w:r>
      <w:r w:rsidR="00B0712D">
        <w:rPr>
          <w:sz w:val="26"/>
          <w:szCs w:val="26"/>
        </w:rPr>
        <w:t xml:space="preserve">and that this information was available to NRG </w:t>
      </w:r>
      <w:r w:rsidR="00EE059C">
        <w:rPr>
          <w:sz w:val="26"/>
          <w:szCs w:val="26"/>
        </w:rPr>
        <w:t>Home</w:t>
      </w:r>
      <w:r w:rsidR="00971761">
        <w:rPr>
          <w:sz w:val="26"/>
          <w:szCs w:val="26"/>
        </w:rPr>
        <w:t xml:space="preserve"> </w:t>
      </w:r>
      <w:r w:rsidR="00B0712D">
        <w:rPr>
          <w:sz w:val="26"/>
          <w:szCs w:val="26"/>
        </w:rPr>
        <w:t>per the Commission’s Regulations</w:t>
      </w:r>
      <w:r w:rsidR="00607CC7">
        <w:rPr>
          <w:sz w:val="26"/>
          <w:szCs w:val="26"/>
        </w:rPr>
        <w:t xml:space="preserve">.  </w:t>
      </w:r>
      <w:r w:rsidR="00607CC7">
        <w:rPr>
          <w:i/>
          <w:iCs/>
          <w:sz w:val="26"/>
          <w:szCs w:val="26"/>
        </w:rPr>
        <w:t>Id.</w:t>
      </w:r>
      <w:r w:rsidR="00607CC7">
        <w:rPr>
          <w:sz w:val="26"/>
          <w:szCs w:val="26"/>
        </w:rPr>
        <w:t xml:space="preserve"> at 4 (citing Tr.</w:t>
      </w:r>
      <w:r w:rsidR="00A03BBC">
        <w:rPr>
          <w:sz w:val="26"/>
          <w:szCs w:val="26"/>
        </w:rPr>
        <w:t> </w:t>
      </w:r>
      <w:r w:rsidR="00971761">
        <w:rPr>
          <w:sz w:val="26"/>
          <w:szCs w:val="26"/>
        </w:rPr>
        <w:t>at</w:t>
      </w:r>
      <w:r w:rsidR="00EE3E1C">
        <w:rPr>
          <w:sz w:val="26"/>
          <w:szCs w:val="26"/>
        </w:rPr>
        <w:t> </w:t>
      </w:r>
      <w:r w:rsidR="00B0712D">
        <w:rPr>
          <w:sz w:val="26"/>
          <w:szCs w:val="26"/>
        </w:rPr>
        <w:t>70</w:t>
      </w:r>
      <w:r w:rsidR="00EE3E1C">
        <w:rPr>
          <w:sz w:val="26"/>
          <w:szCs w:val="26"/>
        </w:rPr>
        <w:noBreakHyphen/>
      </w:r>
      <w:r w:rsidR="00B0712D">
        <w:rPr>
          <w:sz w:val="26"/>
          <w:szCs w:val="26"/>
        </w:rPr>
        <w:t xml:space="preserve">71, </w:t>
      </w:r>
      <w:r w:rsidR="00607CC7">
        <w:rPr>
          <w:sz w:val="26"/>
          <w:szCs w:val="26"/>
        </w:rPr>
        <w:t xml:space="preserve">99, 100, &amp; 102-03).  </w:t>
      </w:r>
      <w:r w:rsidR="00B0712D">
        <w:rPr>
          <w:sz w:val="26"/>
          <w:szCs w:val="26"/>
        </w:rPr>
        <w:t xml:space="preserve">As a result, PECO argues that the Complainant’s arguments on these issues are without merit and PECO is not subject to civil penalties per 66 Pa. C.S. </w:t>
      </w:r>
      <w:r w:rsidR="00B0712D" w:rsidRPr="00B0712D">
        <w:rPr>
          <w:sz w:val="26"/>
          <w:szCs w:val="26"/>
        </w:rPr>
        <w:t>§</w:t>
      </w:r>
      <w:r w:rsidR="00EE3E1C">
        <w:rPr>
          <w:sz w:val="26"/>
          <w:szCs w:val="26"/>
        </w:rPr>
        <w:t> </w:t>
      </w:r>
      <w:r w:rsidR="00B0712D" w:rsidRPr="00B0712D">
        <w:rPr>
          <w:sz w:val="26"/>
          <w:szCs w:val="26"/>
        </w:rPr>
        <w:t xml:space="preserve">3301.  </w:t>
      </w:r>
    </w:p>
    <w:p w14:paraId="0AB82E40" w14:textId="56D2F124" w:rsidR="002662BF" w:rsidRDefault="002662BF" w:rsidP="006E0681">
      <w:pPr>
        <w:spacing w:line="360" w:lineRule="auto"/>
        <w:rPr>
          <w:sz w:val="26"/>
          <w:szCs w:val="26"/>
        </w:rPr>
      </w:pPr>
    </w:p>
    <w:p w14:paraId="77A8908F" w14:textId="25A33E91" w:rsidR="00A0473D" w:rsidRDefault="002662BF" w:rsidP="002662BF">
      <w:pPr>
        <w:spacing w:line="360" w:lineRule="auto"/>
        <w:ind w:firstLine="1440"/>
        <w:rPr>
          <w:sz w:val="26"/>
          <w:szCs w:val="26"/>
        </w:rPr>
      </w:pPr>
      <w:r>
        <w:rPr>
          <w:sz w:val="26"/>
          <w:szCs w:val="26"/>
        </w:rPr>
        <w:t xml:space="preserve">Additionally, PECO avers that </w:t>
      </w:r>
      <w:r w:rsidR="00596DED">
        <w:rPr>
          <w:sz w:val="26"/>
          <w:szCs w:val="26"/>
        </w:rPr>
        <w:t>regarding</w:t>
      </w:r>
      <w:r>
        <w:rPr>
          <w:sz w:val="26"/>
          <w:szCs w:val="26"/>
        </w:rPr>
        <w:t xml:space="preserve"> the notification requirements of 52</w:t>
      </w:r>
      <w:r w:rsidR="00EE3E1C">
        <w:rPr>
          <w:sz w:val="26"/>
          <w:szCs w:val="26"/>
        </w:rPr>
        <w:t> </w:t>
      </w:r>
      <w:r>
        <w:rPr>
          <w:sz w:val="26"/>
          <w:szCs w:val="26"/>
        </w:rPr>
        <w:t xml:space="preserve">Pa. Code </w:t>
      </w:r>
      <w:r w:rsidRPr="002662BF">
        <w:rPr>
          <w:sz w:val="26"/>
          <w:szCs w:val="26"/>
        </w:rPr>
        <w:t>§</w:t>
      </w:r>
      <w:r>
        <w:rPr>
          <w:sz w:val="26"/>
          <w:szCs w:val="26"/>
        </w:rPr>
        <w:t xml:space="preserve"> 59.93, the Complainant failed to state any legally sufficient grounds upon which to base his claim that a violation occurred in this case. </w:t>
      </w:r>
      <w:r w:rsidR="009F69A5">
        <w:rPr>
          <w:sz w:val="26"/>
          <w:szCs w:val="26"/>
        </w:rPr>
        <w:t xml:space="preserve"> PECO R. Exc. at 5.</w:t>
      </w:r>
      <w:r>
        <w:rPr>
          <w:sz w:val="26"/>
          <w:szCs w:val="26"/>
        </w:rPr>
        <w:t xml:space="preserve"> </w:t>
      </w:r>
      <w:r w:rsidR="00635D6B">
        <w:rPr>
          <w:sz w:val="26"/>
          <w:szCs w:val="26"/>
        </w:rPr>
        <w:t xml:space="preserve"> </w:t>
      </w:r>
      <w:r>
        <w:rPr>
          <w:sz w:val="26"/>
          <w:szCs w:val="26"/>
        </w:rPr>
        <w:t xml:space="preserve">As PECO argues above, on January 21, 2019, NRG </w:t>
      </w:r>
      <w:r w:rsidR="00EE059C">
        <w:rPr>
          <w:sz w:val="26"/>
          <w:szCs w:val="26"/>
        </w:rPr>
        <w:t xml:space="preserve">Home </w:t>
      </w:r>
      <w:r>
        <w:rPr>
          <w:sz w:val="26"/>
          <w:szCs w:val="26"/>
        </w:rPr>
        <w:t xml:space="preserve">provided </w:t>
      </w:r>
      <w:r w:rsidR="009F69A5">
        <w:rPr>
          <w:sz w:val="26"/>
          <w:szCs w:val="26"/>
        </w:rPr>
        <w:t xml:space="preserve">PECO </w:t>
      </w:r>
      <w:r>
        <w:rPr>
          <w:sz w:val="26"/>
          <w:szCs w:val="26"/>
        </w:rPr>
        <w:t>the necessary information to enroll the Complainant and PECO</w:t>
      </w:r>
      <w:r w:rsidR="009F69A5">
        <w:rPr>
          <w:sz w:val="26"/>
          <w:szCs w:val="26"/>
        </w:rPr>
        <w:t>’s</w:t>
      </w:r>
      <w:r>
        <w:rPr>
          <w:sz w:val="26"/>
          <w:szCs w:val="26"/>
        </w:rPr>
        <w:t xml:space="preserve"> follow-up actions were in full compliance with </w:t>
      </w:r>
      <w:r w:rsidR="009F69A5">
        <w:rPr>
          <w:sz w:val="26"/>
          <w:szCs w:val="26"/>
        </w:rPr>
        <w:t xml:space="preserve">the requirements of 52 Pa. Code </w:t>
      </w:r>
      <w:r w:rsidR="009F69A5" w:rsidRPr="002662BF">
        <w:rPr>
          <w:sz w:val="26"/>
          <w:szCs w:val="26"/>
        </w:rPr>
        <w:t>§</w:t>
      </w:r>
      <w:r w:rsidR="009F69A5">
        <w:rPr>
          <w:sz w:val="26"/>
          <w:szCs w:val="26"/>
        </w:rPr>
        <w:t xml:space="preserve"> 59.93(1) and the 5-day waiting period for cancellations in the </w:t>
      </w:r>
      <w:r w:rsidR="009F69A5">
        <w:rPr>
          <w:i/>
          <w:iCs/>
          <w:sz w:val="26"/>
          <w:szCs w:val="26"/>
        </w:rPr>
        <w:t>PUC Final Order</w:t>
      </w:r>
      <w:r w:rsidR="009F69A5">
        <w:rPr>
          <w:sz w:val="26"/>
          <w:szCs w:val="26"/>
        </w:rPr>
        <w:t xml:space="preserve">.  </w:t>
      </w:r>
      <w:r w:rsidR="009F69A5">
        <w:rPr>
          <w:i/>
          <w:iCs/>
          <w:sz w:val="26"/>
          <w:szCs w:val="26"/>
        </w:rPr>
        <w:t xml:space="preserve">Id. </w:t>
      </w:r>
      <w:r w:rsidR="009F69A5">
        <w:rPr>
          <w:sz w:val="26"/>
          <w:szCs w:val="26"/>
        </w:rPr>
        <w:t>at 6-</w:t>
      </w:r>
      <w:r w:rsidR="00A0473D">
        <w:rPr>
          <w:sz w:val="26"/>
          <w:szCs w:val="26"/>
        </w:rPr>
        <w:t xml:space="preserve">8.  </w:t>
      </w:r>
      <w:r w:rsidR="009F69A5">
        <w:rPr>
          <w:sz w:val="26"/>
          <w:szCs w:val="26"/>
        </w:rPr>
        <w:t xml:space="preserve">PECO, therefore, submits that the alleged notification violation is without merit and asks the Commission to overturn the ALJ’s holding that PECO violated 52 Pa. Code </w:t>
      </w:r>
      <w:r w:rsidR="009F69A5" w:rsidRPr="002662BF">
        <w:rPr>
          <w:sz w:val="26"/>
          <w:szCs w:val="26"/>
        </w:rPr>
        <w:t>§</w:t>
      </w:r>
      <w:r w:rsidR="009F69A5">
        <w:rPr>
          <w:sz w:val="26"/>
          <w:szCs w:val="26"/>
        </w:rPr>
        <w:t xml:space="preserve"> 59.93(2).</w:t>
      </w:r>
      <w:r w:rsidR="00A0473D">
        <w:rPr>
          <w:sz w:val="26"/>
          <w:szCs w:val="26"/>
        </w:rPr>
        <w:t xml:space="preserve">  </w:t>
      </w:r>
      <w:r w:rsidR="00A0473D">
        <w:rPr>
          <w:i/>
          <w:iCs/>
          <w:sz w:val="26"/>
          <w:szCs w:val="26"/>
        </w:rPr>
        <w:t>Id.</w:t>
      </w:r>
      <w:r w:rsidR="00A0473D">
        <w:rPr>
          <w:sz w:val="26"/>
          <w:szCs w:val="26"/>
        </w:rPr>
        <w:t xml:space="preserve"> at 8.</w:t>
      </w:r>
      <w:r w:rsidR="009F69A5">
        <w:rPr>
          <w:sz w:val="26"/>
          <w:szCs w:val="26"/>
        </w:rPr>
        <w:t xml:space="preserve"> </w:t>
      </w:r>
    </w:p>
    <w:p w14:paraId="64C33BAE" w14:textId="77777777" w:rsidR="00A0473D" w:rsidRDefault="00A0473D" w:rsidP="002662BF">
      <w:pPr>
        <w:spacing w:line="360" w:lineRule="auto"/>
        <w:ind w:firstLine="1440"/>
        <w:rPr>
          <w:sz w:val="26"/>
          <w:szCs w:val="26"/>
        </w:rPr>
      </w:pPr>
    </w:p>
    <w:p w14:paraId="7579CC24" w14:textId="49CE5816" w:rsidR="002662BF" w:rsidRPr="009F69A5" w:rsidRDefault="00A0473D" w:rsidP="00EE3E1C">
      <w:pPr>
        <w:spacing w:line="360" w:lineRule="auto"/>
        <w:ind w:firstLine="1440"/>
        <w:rPr>
          <w:sz w:val="26"/>
          <w:szCs w:val="26"/>
        </w:rPr>
      </w:pPr>
      <w:r>
        <w:rPr>
          <w:sz w:val="26"/>
          <w:szCs w:val="26"/>
        </w:rPr>
        <w:t>In its Repl</w:t>
      </w:r>
      <w:r w:rsidR="00044D31">
        <w:rPr>
          <w:sz w:val="26"/>
          <w:szCs w:val="26"/>
        </w:rPr>
        <w:t>ies</w:t>
      </w:r>
      <w:r>
        <w:rPr>
          <w:sz w:val="26"/>
          <w:szCs w:val="26"/>
        </w:rPr>
        <w:t xml:space="preserve"> to Exceptions,</w:t>
      </w:r>
      <w:r w:rsidR="00571AF3">
        <w:rPr>
          <w:sz w:val="26"/>
          <w:szCs w:val="26"/>
        </w:rPr>
        <w:t xml:space="preserve"> </w:t>
      </w:r>
      <w:r w:rsidR="00A03933">
        <w:rPr>
          <w:sz w:val="26"/>
          <w:szCs w:val="26"/>
        </w:rPr>
        <w:t xml:space="preserve">NRG </w:t>
      </w:r>
      <w:r w:rsidR="00EE059C">
        <w:rPr>
          <w:sz w:val="26"/>
          <w:szCs w:val="26"/>
        </w:rPr>
        <w:t xml:space="preserve">Residential </w:t>
      </w:r>
      <w:r w:rsidR="00A03933">
        <w:rPr>
          <w:sz w:val="26"/>
          <w:szCs w:val="26"/>
        </w:rPr>
        <w:t xml:space="preserve">asserts that the arguments in </w:t>
      </w:r>
      <w:r w:rsidR="00EE059C">
        <w:rPr>
          <w:sz w:val="26"/>
          <w:szCs w:val="26"/>
        </w:rPr>
        <w:t xml:space="preserve">the </w:t>
      </w:r>
      <w:r w:rsidR="00A03933">
        <w:rPr>
          <w:sz w:val="26"/>
          <w:szCs w:val="26"/>
        </w:rPr>
        <w:t xml:space="preserve">Complainant’s Exceptions are not supported by the evidentiary record or otherwise mischaracterizes the evidence offered by NRG </w:t>
      </w:r>
      <w:r w:rsidR="00EE059C">
        <w:rPr>
          <w:sz w:val="26"/>
          <w:szCs w:val="26"/>
        </w:rPr>
        <w:t xml:space="preserve">Residential </w:t>
      </w:r>
      <w:r w:rsidR="00A03933">
        <w:rPr>
          <w:sz w:val="26"/>
          <w:szCs w:val="26"/>
        </w:rPr>
        <w:t xml:space="preserve">at the hearing.  For example, NRG </w:t>
      </w:r>
      <w:r w:rsidR="00EE059C">
        <w:rPr>
          <w:sz w:val="26"/>
          <w:szCs w:val="26"/>
        </w:rPr>
        <w:t xml:space="preserve">Residential </w:t>
      </w:r>
      <w:r w:rsidR="00A03933">
        <w:rPr>
          <w:sz w:val="26"/>
          <w:szCs w:val="26"/>
        </w:rPr>
        <w:t xml:space="preserve">states that the ALJ found the record lacks evidence showing who actually initiated the switches.  </w:t>
      </w:r>
      <w:r w:rsidR="007D62BB">
        <w:rPr>
          <w:sz w:val="26"/>
          <w:szCs w:val="26"/>
        </w:rPr>
        <w:t xml:space="preserve">NRG R. Exc. at 2 (citing I.D. at 1, 10-12).  NRG </w:t>
      </w:r>
      <w:r w:rsidR="00EE059C">
        <w:rPr>
          <w:sz w:val="26"/>
          <w:szCs w:val="26"/>
        </w:rPr>
        <w:t xml:space="preserve">Residential </w:t>
      </w:r>
      <w:r w:rsidR="007D62BB">
        <w:rPr>
          <w:sz w:val="26"/>
          <w:szCs w:val="26"/>
        </w:rPr>
        <w:t>a</w:t>
      </w:r>
      <w:r w:rsidR="00FE176D">
        <w:rPr>
          <w:sz w:val="26"/>
          <w:szCs w:val="26"/>
        </w:rPr>
        <w:t>vers</w:t>
      </w:r>
      <w:r w:rsidR="007D62BB">
        <w:rPr>
          <w:sz w:val="26"/>
          <w:szCs w:val="26"/>
        </w:rPr>
        <w:t xml:space="preserve"> further that it never stipulated that the supplier switches were unauthorized; rather, it stipulated only to the fact that the Complainant, being in California, personally did not authorize the switch.  </w:t>
      </w:r>
      <w:r w:rsidR="007D62BB">
        <w:rPr>
          <w:i/>
          <w:iCs/>
          <w:sz w:val="26"/>
          <w:szCs w:val="26"/>
        </w:rPr>
        <w:t>Id.</w:t>
      </w:r>
      <w:r w:rsidR="007D62BB">
        <w:rPr>
          <w:sz w:val="26"/>
          <w:szCs w:val="26"/>
        </w:rPr>
        <w:t xml:space="preserve">  NRG </w:t>
      </w:r>
      <w:r w:rsidR="00EE059C">
        <w:rPr>
          <w:sz w:val="26"/>
          <w:szCs w:val="26"/>
        </w:rPr>
        <w:t xml:space="preserve">Residential </w:t>
      </w:r>
      <w:r w:rsidR="007D62BB">
        <w:rPr>
          <w:sz w:val="26"/>
          <w:szCs w:val="26"/>
        </w:rPr>
        <w:t xml:space="preserve">offers another </w:t>
      </w:r>
      <w:r w:rsidR="007D62BB">
        <w:rPr>
          <w:sz w:val="26"/>
          <w:szCs w:val="26"/>
        </w:rPr>
        <w:lastRenderedPageBreak/>
        <w:t xml:space="preserve">example of mischaracterization when the Complainant claims that “customers were complaining that NRG was transferring their accounts without consent.”  </w:t>
      </w:r>
      <w:r w:rsidR="007D62BB">
        <w:rPr>
          <w:i/>
          <w:iCs/>
          <w:sz w:val="26"/>
          <w:szCs w:val="26"/>
        </w:rPr>
        <w:t xml:space="preserve">Id. </w:t>
      </w:r>
      <w:r w:rsidR="007D62BB">
        <w:rPr>
          <w:sz w:val="26"/>
          <w:szCs w:val="26"/>
        </w:rPr>
        <w:t xml:space="preserve">at 3 (citing </w:t>
      </w:r>
      <w:r w:rsidR="00EE059C">
        <w:rPr>
          <w:sz w:val="26"/>
          <w:szCs w:val="26"/>
        </w:rPr>
        <w:t xml:space="preserve">the </w:t>
      </w:r>
      <w:r w:rsidR="007D62BB">
        <w:rPr>
          <w:sz w:val="26"/>
          <w:szCs w:val="26"/>
        </w:rPr>
        <w:t>Complainant’s Exc. at 7).  NRG</w:t>
      </w:r>
      <w:r w:rsidR="00EE059C">
        <w:rPr>
          <w:sz w:val="26"/>
          <w:szCs w:val="26"/>
        </w:rPr>
        <w:t xml:space="preserve"> Residential</w:t>
      </w:r>
      <w:r w:rsidR="007D62BB">
        <w:rPr>
          <w:sz w:val="26"/>
          <w:szCs w:val="26"/>
        </w:rPr>
        <w:t xml:space="preserve"> states that the only question regarding this topic was whether NRG </w:t>
      </w:r>
      <w:r w:rsidR="00EE059C">
        <w:rPr>
          <w:sz w:val="26"/>
          <w:szCs w:val="26"/>
        </w:rPr>
        <w:t xml:space="preserve">Residential </w:t>
      </w:r>
      <w:r w:rsidR="007D62BB">
        <w:rPr>
          <w:sz w:val="26"/>
          <w:szCs w:val="26"/>
        </w:rPr>
        <w:t>received other switch requests that was not requested by the customer, and NRG</w:t>
      </w:r>
      <w:r w:rsidR="00EE059C">
        <w:rPr>
          <w:sz w:val="26"/>
          <w:szCs w:val="26"/>
        </w:rPr>
        <w:t xml:space="preserve"> Residential</w:t>
      </w:r>
      <w:r w:rsidR="007D62BB">
        <w:rPr>
          <w:sz w:val="26"/>
          <w:szCs w:val="26"/>
        </w:rPr>
        <w:t>’s witness simply answered yes</w:t>
      </w:r>
      <w:r w:rsidR="00FE176D">
        <w:rPr>
          <w:sz w:val="26"/>
          <w:szCs w:val="26"/>
        </w:rPr>
        <w:t>;</w:t>
      </w:r>
      <w:r w:rsidR="005824D0">
        <w:rPr>
          <w:sz w:val="26"/>
          <w:szCs w:val="26"/>
        </w:rPr>
        <w:t xml:space="preserve"> there was nothing in the record that other customers were complaining that their accounts were being switched without their consent.  </w:t>
      </w:r>
      <w:r w:rsidR="005824D0">
        <w:rPr>
          <w:i/>
          <w:iCs/>
          <w:sz w:val="26"/>
          <w:szCs w:val="26"/>
        </w:rPr>
        <w:t>Id</w:t>
      </w:r>
      <w:r w:rsidR="005824D0">
        <w:rPr>
          <w:sz w:val="26"/>
          <w:szCs w:val="26"/>
        </w:rPr>
        <w:t xml:space="preserve">.  NRG </w:t>
      </w:r>
      <w:r w:rsidR="00EE059C">
        <w:rPr>
          <w:sz w:val="26"/>
          <w:szCs w:val="26"/>
        </w:rPr>
        <w:t xml:space="preserve">Residential </w:t>
      </w:r>
      <w:r w:rsidR="005824D0">
        <w:rPr>
          <w:sz w:val="26"/>
          <w:szCs w:val="26"/>
        </w:rPr>
        <w:t>concludes that the Complainant’s Exceptions should be denied and the ALJ’s Initial Decision should be adopted as it relates to NRG</w:t>
      </w:r>
      <w:r w:rsidR="00EE059C">
        <w:rPr>
          <w:sz w:val="26"/>
          <w:szCs w:val="26"/>
        </w:rPr>
        <w:t xml:space="preserve"> Residential</w:t>
      </w:r>
      <w:r w:rsidR="005824D0">
        <w:rPr>
          <w:sz w:val="26"/>
          <w:szCs w:val="26"/>
        </w:rPr>
        <w:t xml:space="preserve">. </w:t>
      </w:r>
      <w:r w:rsidR="00FE176D">
        <w:rPr>
          <w:sz w:val="26"/>
          <w:szCs w:val="26"/>
        </w:rPr>
        <w:t xml:space="preserve"> </w:t>
      </w:r>
      <w:r w:rsidR="00FE176D">
        <w:rPr>
          <w:i/>
          <w:iCs/>
          <w:sz w:val="26"/>
          <w:szCs w:val="26"/>
        </w:rPr>
        <w:t>Id.</w:t>
      </w:r>
      <w:r w:rsidR="00FE176D">
        <w:rPr>
          <w:sz w:val="26"/>
          <w:szCs w:val="26"/>
        </w:rPr>
        <w:t xml:space="preserve"> at 4.</w:t>
      </w:r>
      <w:r w:rsidR="005824D0">
        <w:rPr>
          <w:sz w:val="26"/>
          <w:szCs w:val="26"/>
        </w:rPr>
        <w:t xml:space="preserve"> </w:t>
      </w:r>
      <w:r w:rsidR="009F69A5">
        <w:rPr>
          <w:sz w:val="26"/>
          <w:szCs w:val="26"/>
        </w:rPr>
        <w:t xml:space="preserve"> </w:t>
      </w:r>
    </w:p>
    <w:p w14:paraId="33570A48" w14:textId="77777777" w:rsidR="001679B3" w:rsidRPr="00113750" w:rsidRDefault="001679B3" w:rsidP="00EE3E1C">
      <w:pPr>
        <w:pStyle w:val="BodyText"/>
        <w:rPr>
          <w:bCs/>
          <w:szCs w:val="26"/>
        </w:rPr>
      </w:pPr>
    </w:p>
    <w:p w14:paraId="2D322F38" w14:textId="77777777" w:rsidR="001679B3" w:rsidRPr="00C4572D" w:rsidRDefault="001679B3" w:rsidP="00EE3E1C">
      <w:pPr>
        <w:keepNext/>
        <w:spacing w:line="360" w:lineRule="auto"/>
        <w:rPr>
          <w:b/>
          <w:sz w:val="26"/>
          <w:szCs w:val="26"/>
        </w:rPr>
      </w:pPr>
      <w:r w:rsidRPr="00C4572D">
        <w:rPr>
          <w:b/>
          <w:sz w:val="26"/>
          <w:szCs w:val="26"/>
        </w:rPr>
        <w:t>D.</w:t>
      </w:r>
      <w:r w:rsidRPr="00C4572D">
        <w:rPr>
          <w:b/>
          <w:sz w:val="26"/>
          <w:szCs w:val="26"/>
        </w:rPr>
        <w:tab/>
        <w:t>Disposition</w:t>
      </w:r>
    </w:p>
    <w:p w14:paraId="794A409F" w14:textId="77777777" w:rsidR="001679B3" w:rsidRPr="00C4572D" w:rsidRDefault="001679B3" w:rsidP="00EE3E1C">
      <w:pPr>
        <w:keepNext/>
        <w:spacing w:line="360" w:lineRule="auto"/>
        <w:rPr>
          <w:b/>
          <w:sz w:val="26"/>
          <w:szCs w:val="26"/>
        </w:rPr>
      </w:pPr>
    </w:p>
    <w:p w14:paraId="62745CF3" w14:textId="7AB0C89F" w:rsidR="00DA798F" w:rsidRDefault="00C9622B" w:rsidP="00EE3E1C">
      <w:pPr>
        <w:keepNext/>
        <w:spacing w:line="360" w:lineRule="auto"/>
        <w:ind w:firstLine="1440"/>
        <w:rPr>
          <w:sz w:val="26"/>
          <w:szCs w:val="26"/>
        </w:rPr>
      </w:pPr>
      <w:r w:rsidRPr="00C4572D">
        <w:rPr>
          <w:sz w:val="26"/>
          <w:szCs w:val="26"/>
        </w:rPr>
        <w:t>Based upon our review</w:t>
      </w:r>
      <w:r>
        <w:rPr>
          <w:sz w:val="26"/>
          <w:szCs w:val="26"/>
        </w:rPr>
        <w:t xml:space="preserve"> of the Exceptions, Replies to Exceptions, the Initial Decision, and the record in this proceeding</w:t>
      </w:r>
      <w:r w:rsidRPr="00C4572D">
        <w:rPr>
          <w:sz w:val="26"/>
          <w:szCs w:val="26"/>
        </w:rPr>
        <w:t xml:space="preserve">, we find that the Complainant failed to satisfy </w:t>
      </w:r>
      <w:r w:rsidR="001679B3" w:rsidRPr="00C4572D">
        <w:rPr>
          <w:sz w:val="26"/>
          <w:szCs w:val="26"/>
        </w:rPr>
        <w:t>h</w:t>
      </w:r>
      <w:r w:rsidR="007A411E">
        <w:rPr>
          <w:sz w:val="26"/>
          <w:szCs w:val="26"/>
        </w:rPr>
        <w:t>is</w:t>
      </w:r>
      <w:r w:rsidR="001679B3" w:rsidRPr="00C4572D">
        <w:rPr>
          <w:sz w:val="26"/>
          <w:szCs w:val="26"/>
        </w:rPr>
        <w:t xml:space="preserve"> burden of proof to demonstrate that </w:t>
      </w:r>
      <w:r w:rsidR="007A411E">
        <w:rPr>
          <w:sz w:val="26"/>
          <w:szCs w:val="26"/>
        </w:rPr>
        <w:t xml:space="preserve">NRG </w:t>
      </w:r>
      <w:r w:rsidR="00863936">
        <w:rPr>
          <w:sz w:val="26"/>
          <w:szCs w:val="26"/>
        </w:rPr>
        <w:t xml:space="preserve">Residential </w:t>
      </w:r>
      <w:r>
        <w:rPr>
          <w:sz w:val="26"/>
          <w:szCs w:val="26"/>
        </w:rPr>
        <w:t xml:space="preserve">had engaged in slamming or otherwise </w:t>
      </w:r>
      <w:r w:rsidR="007A411E">
        <w:rPr>
          <w:sz w:val="26"/>
          <w:szCs w:val="26"/>
        </w:rPr>
        <w:t xml:space="preserve">acted </w:t>
      </w:r>
      <w:r w:rsidR="001679B3" w:rsidRPr="00C4572D">
        <w:rPr>
          <w:sz w:val="26"/>
          <w:szCs w:val="26"/>
        </w:rPr>
        <w:t xml:space="preserve">improperly </w:t>
      </w:r>
      <w:r w:rsidR="007A411E">
        <w:rPr>
          <w:sz w:val="26"/>
          <w:szCs w:val="26"/>
        </w:rPr>
        <w:t xml:space="preserve">in the switching of </w:t>
      </w:r>
      <w:r w:rsidR="00863936">
        <w:rPr>
          <w:sz w:val="26"/>
          <w:szCs w:val="26"/>
        </w:rPr>
        <w:t xml:space="preserve">the </w:t>
      </w:r>
      <w:r w:rsidR="007A411E">
        <w:rPr>
          <w:sz w:val="26"/>
          <w:szCs w:val="26"/>
        </w:rPr>
        <w:t>Complainant’s electric or natural gas service</w:t>
      </w:r>
      <w:r w:rsidR="006D70DA">
        <w:rPr>
          <w:sz w:val="26"/>
          <w:szCs w:val="26"/>
        </w:rPr>
        <w:t xml:space="preserve">.  </w:t>
      </w:r>
      <w:r w:rsidR="001A1668">
        <w:rPr>
          <w:sz w:val="26"/>
          <w:szCs w:val="26"/>
        </w:rPr>
        <w:t>As found by the ALJ, n</w:t>
      </w:r>
      <w:r w:rsidR="006D70DA">
        <w:rPr>
          <w:sz w:val="26"/>
          <w:szCs w:val="26"/>
        </w:rPr>
        <w:t xml:space="preserve">o evidence was presented as to who actually signed the enrollment forms on behalf of the Complainant </w:t>
      </w:r>
      <w:r w:rsidR="00DA798F">
        <w:rPr>
          <w:sz w:val="26"/>
          <w:szCs w:val="26"/>
        </w:rPr>
        <w:t xml:space="preserve">or that NRG </w:t>
      </w:r>
      <w:r w:rsidR="00863936">
        <w:rPr>
          <w:sz w:val="26"/>
          <w:szCs w:val="26"/>
        </w:rPr>
        <w:t xml:space="preserve">Residential </w:t>
      </w:r>
      <w:r>
        <w:rPr>
          <w:sz w:val="26"/>
          <w:szCs w:val="26"/>
        </w:rPr>
        <w:t>engaged in other improper acts</w:t>
      </w:r>
      <w:r w:rsidR="00DA798F">
        <w:rPr>
          <w:sz w:val="26"/>
          <w:szCs w:val="26"/>
        </w:rPr>
        <w:t xml:space="preserve"> regarding the unauthorized switches to support a finding that </w:t>
      </w:r>
      <w:r>
        <w:rPr>
          <w:sz w:val="26"/>
          <w:szCs w:val="26"/>
        </w:rPr>
        <w:t xml:space="preserve">NRG </w:t>
      </w:r>
      <w:r w:rsidR="00863936">
        <w:rPr>
          <w:sz w:val="26"/>
          <w:szCs w:val="26"/>
        </w:rPr>
        <w:t xml:space="preserve">Residential </w:t>
      </w:r>
      <w:r>
        <w:rPr>
          <w:sz w:val="26"/>
          <w:szCs w:val="26"/>
        </w:rPr>
        <w:t xml:space="preserve">engaged in </w:t>
      </w:r>
      <w:r w:rsidR="00DA798F">
        <w:rPr>
          <w:sz w:val="26"/>
          <w:szCs w:val="26"/>
        </w:rPr>
        <w:t xml:space="preserve">a pattern of unauthorized enrollments warranting the imposition of a civil penalty in this case. </w:t>
      </w:r>
      <w:r w:rsidR="001A1668">
        <w:rPr>
          <w:sz w:val="26"/>
          <w:szCs w:val="26"/>
        </w:rPr>
        <w:t xml:space="preserve"> I.D. at 12.</w:t>
      </w:r>
      <w:r w:rsidR="00DA798F">
        <w:rPr>
          <w:sz w:val="26"/>
          <w:szCs w:val="26"/>
        </w:rPr>
        <w:t xml:space="preserve"> </w:t>
      </w:r>
    </w:p>
    <w:p w14:paraId="6700564F" w14:textId="12FBF4E9" w:rsidR="00DA798F" w:rsidRDefault="00DA798F" w:rsidP="001679B3">
      <w:pPr>
        <w:keepNext/>
        <w:spacing w:line="360" w:lineRule="auto"/>
        <w:ind w:firstLine="1440"/>
        <w:rPr>
          <w:sz w:val="26"/>
          <w:szCs w:val="26"/>
        </w:rPr>
      </w:pPr>
    </w:p>
    <w:p w14:paraId="260F384C" w14:textId="44BD757C" w:rsidR="00DA798F" w:rsidRDefault="00C9622B" w:rsidP="00B955D3">
      <w:pPr>
        <w:keepNext/>
        <w:spacing w:line="360" w:lineRule="auto"/>
        <w:ind w:firstLine="1440"/>
        <w:rPr>
          <w:sz w:val="26"/>
          <w:szCs w:val="26"/>
        </w:rPr>
      </w:pPr>
      <w:r>
        <w:rPr>
          <w:sz w:val="26"/>
          <w:szCs w:val="26"/>
        </w:rPr>
        <w:t xml:space="preserve">The Commission </w:t>
      </w:r>
      <w:r w:rsidR="00C47919">
        <w:rPr>
          <w:sz w:val="26"/>
          <w:szCs w:val="26"/>
        </w:rPr>
        <w:t>takes</w:t>
      </w:r>
      <w:r>
        <w:rPr>
          <w:sz w:val="26"/>
          <w:szCs w:val="26"/>
        </w:rPr>
        <w:t xml:space="preserve"> seriously allegations of slamming, and we have an extensive history of appropriately </w:t>
      </w:r>
      <w:r w:rsidR="00FC17AB">
        <w:rPr>
          <w:sz w:val="26"/>
          <w:szCs w:val="26"/>
        </w:rPr>
        <w:t>addressing</w:t>
      </w:r>
      <w:r>
        <w:rPr>
          <w:sz w:val="26"/>
          <w:szCs w:val="26"/>
        </w:rPr>
        <w:t xml:space="preserve"> EGSs and NGSs when they have unlawfully engaged in such practices to switch residential accounts with</w:t>
      </w:r>
      <w:r w:rsidR="00AC641E">
        <w:rPr>
          <w:sz w:val="26"/>
          <w:szCs w:val="26"/>
        </w:rPr>
        <w:t>out</w:t>
      </w:r>
      <w:r>
        <w:rPr>
          <w:sz w:val="26"/>
          <w:szCs w:val="26"/>
        </w:rPr>
        <w:t xml:space="preserve"> the knowledge or approval of the customer.  </w:t>
      </w:r>
      <w:r w:rsidR="000F6219">
        <w:rPr>
          <w:sz w:val="26"/>
          <w:szCs w:val="26"/>
        </w:rPr>
        <w:t xml:space="preserve">In the instant case, </w:t>
      </w:r>
      <w:r w:rsidR="00704FF7">
        <w:rPr>
          <w:sz w:val="26"/>
          <w:szCs w:val="26"/>
        </w:rPr>
        <w:t>the Complaint</w:t>
      </w:r>
      <w:r w:rsidR="000F6219">
        <w:rPr>
          <w:sz w:val="26"/>
          <w:szCs w:val="26"/>
        </w:rPr>
        <w:t xml:space="preserve"> </w:t>
      </w:r>
      <w:r w:rsidR="00BB4357">
        <w:rPr>
          <w:sz w:val="26"/>
          <w:szCs w:val="26"/>
        </w:rPr>
        <w:t xml:space="preserve">did contain allegations </w:t>
      </w:r>
      <w:r w:rsidR="000F6219">
        <w:rPr>
          <w:sz w:val="26"/>
          <w:szCs w:val="26"/>
        </w:rPr>
        <w:t xml:space="preserve">that other customer accounts may have been switched without the customer’s authorization, and </w:t>
      </w:r>
      <w:r w:rsidR="00BB4357">
        <w:rPr>
          <w:sz w:val="26"/>
          <w:szCs w:val="26"/>
        </w:rPr>
        <w:t xml:space="preserve">that </w:t>
      </w:r>
      <w:r w:rsidR="000F6219">
        <w:rPr>
          <w:sz w:val="26"/>
          <w:szCs w:val="26"/>
        </w:rPr>
        <w:t>NRG</w:t>
      </w:r>
      <w:r w:rsidR="00863936">
        <w:rPr>
          <w:sz w:val="26"/>
          <w:szCs w:val="26"/>
        </w:rPr>
        <w:t xml:space="preserve"> Residentia</w:t>
      </w:r>
      <w:r w:rsidR="00BB4357">
        <w:rPr>
          <w:sz w:val="26"/>
          <w:szCs w:val="26"/>
        </w:rPr>
        <w:t>l</w:t>
      </w:r>
      <w:r w:rsidR="000F6219">
        <w:rPr>
          <w:sz w:val="26"/>
          <w:szCs w:val="26"/>
        </w:rPr>
        <w:t xml:space="preserve"> acknowledg</w:t>
      </w:r>
      <w:r w:rsidR="00BB4357">
        <w:rPr>
          <w:sz w:val="26"/>
          <w:szCs w:val="26"/>
        </w:rPr>
        <w:t xml:space="preserve">ed </w:t>
      </w:r>
      <w:r w:rsidR="000F6219">
        <w:rPr>
          <w:sz w:val="26"/>
          <w:szCs w:val="26"/>
        </w:rPr>
        <w:t xml:space="preserve">that the </w:t>
      </w:r>
      <w:r w:rsidR="008D4D18">
        <w:rPr>
          <w:sz w:val="26"/>
          <w:szCs w:val="26"/>
        </w:rPr>
        <w:t>sales</w:t>
      </w:r>
      <w:r w:rsidR="000F6219">
        <w:rPr>
          <w:sz w:val="26"/>
          <w:szCs w:val="26"/>
        </w:rPr>
        <w:t xml:space="preserve"> representative </w:t>
      </w:r>
      <w:r w:rsidR="008D4D18">
        <w:rPr>
          <w:sz w:val="26"/>
          <w:szCs w:val="26"/>
        </w:rPr>
        <w:t xml:space="preserve">who completed the Complainant’s enrollment had a similar complaint against him before this incident.  </w:t>
      </w:r>
      <w:r w:rsidR="00704FF7">
        <w:rPr>
          <w:sz w:val="26"/>
          <w:szCs w:val="26"/>
        </w:rPr>
        <w:lastRenderedPageBreak/>
        <w:t>Complain</w:t>
      </w:r>
      <w:r w:rsidR="00B955D3">
        <w:rPr>
          <w:sz w:val="26"/>
          <w:szCs w:val="26"/>
        </w:rPr>
        <w:t xml:space="preserve">t at Exhibits A &amp; B attached thereto; </w:t>
      </w:r>
      <w:r w:rsidR="00BB4357">
        <w:rPr>
          <w:sz w:val="26"/>
          <w:szCs w:val="26"/>
        </w:rPr>
        <w:t xml:space="preserve">PECO </w:t>
      </w:r>
      <w:proofErr w:type="spellStart"/>
      <w:r w:rsidR="00BB4357">
        <w:rPr>
          <w:sz w:val="26"/>
          <w:szCs w:val="26"/>
        </w:rPr>
        <w:t>Exh</w:t>
      </w:r>
      <w:proofErr w:type="spellEnd"/>
      <w:r w:rsidR="00BB4357">
        <w:rPr>
          <w:sz w:val="26"/>
          <w:szCs w:val="26"/>
        </w:rPr>
        <w:t xml:space="preserve">. 3 (copy of </w:t>
      </w:r>
      <w:r w:rsidR="008D4D18">
        <w:rPr>
          <w:i/>
          <w:iCs/>
          <w:sz w:val="26"/>
          <w:szCs w:val="26"/>
        </w:rPr>
        <w:t>BCS Decision</w:t>
      </w:r>
      <w:r w:rsidR="00704FF7">
        <w:rPr>
          <w:sz w:val="26"/>
          <w:szCs w:val="26"/>
        </w:rPr>
        <w:t xml:space="preserve"> </w:t>
      </w:r>
      <w:r w:rsidR="00BB4357">
        <w:rPr>
          <w:sz w:val="26"/>
          <w:szCs w:val="26"/>
        </w:rPr>
        <w:t>which was admitted into the record)</w:t>
      </w:r>
      <w:r w:rsidR="008D4D18">
        <w:rPr>
          <w:sz w:val="26"/>
          <w:szCs w:val="26"/>
        </w:rPr>
        <w:t xml:space="preserve">.  </w:t>
      </w:r>
      <w:r w:rsidR="00B955D3">
        <w:rPr>
          <w:sz w:val="26"/>
          <w:szCs w:val="26"/>
        </w:rPr>
        <w:t>While we agree that there is insufficient evidence from the instant record to impose a civil penalty against NRG</w:t>
      </w:r>
      <w:r w:rsidR="00863936">
        <w:rPr>
          <w:sz w:val="26"/>
          <w:szCs w:val="26"/>
        </w:rPr>
        <w:t xml:space="preserve"> Residential</w:t>
      </w:r>
      <w:r w:rsidR="00B955D3">
        <w:rPr>
          <w:sz w:val="26"/>
          <w:szCs w:val="26"/>
        </w:rPr>
        <w:t xml:space="preserve">, we shall refer the matter to </w:t>
      </w:r>
      <w:r w:rsidR="00705ADD">
        <w:rPr>
          <w:sz w:val="26"/>
          <w:szCs w:val="26"/>
        </w:rPr>
        <w:t>I&amp;E</w:t>
      </w:r>
      <w:r w:rsidR="00B955D3">
        <w:rPr>
          <w:sz w:val="26"/>
          <w:szCs w:val="26"/>
        </w:rPr>
        <w:t xml:space="preserve"> for such further action as it may deem appropriate.</w:t>
      </w:r>
      <w:r w:rsidR="00710113">
        <w:rPr>
          <w:sz w:val="26"/>
          <w:szCs w:val="26"/>
        </w:rPr>
        <w:t xml:space="preserve"> </w:t>
      </w:r>
      <w:r w:rsidR="000F6219">
        <w:rPr>
          <w:sz w:val="26"/>
          <w:szCs w:val="26"/>
        </w:rPr>
        <w:t xml:space="preserve"> </w:t>
      </w:r>
    </w:p>
    <w:p w14:paraId="7774D67E" w14:textId="58559243" w:rsidR="007B299E" w:rsidRDefault="007B299E" w:rsidP="00B955D3">
      <w:pPr>
        <w:keepNext/>
        <w:spacing w:line="360" w:lineRule="auto"/>
        <w:ind w:firstLine="1440"/>
        <w:rPr>
          <w:sz w:val="26"/>
          <w:szCs w:val="26"/>
        </w:rPr>
      </w:pPr>
    </w:p>
    <w:p w14:paraId="65D90328" w14:textId="22EEA524" w:rsidR="007B299E" w:rsidRDefault="007B299E" w:rsidP="00B955D3">
      <w:pPr>
        <w:keepNext/>
        <w:spacing w:line="360" w:lineRule="auto"/>
        <w:ind w:firstLine="1440"/>
        <w:rPr>
          <w:sz w:val="26"/>
          <w:szCs w:val="26"/>
        </w:rPr>
      </w:pPr>
      <w:r>
        <w:rPr>
          <w:sz w:val="26"/>
          <w:szCs w:val="26"/>
        </w:rPr>
        <w:t xml:space="preserve">Similarly, we </w:t>
      </w:r>
      <w:r w:rsidR="00D930CB">
        <w:rPr>
          <w:sz w:val="26"/>
          <w:szCs w:val="26"/>
        </w:rPr>
        <w:t xml:space="preserve">find that the Complainant failed to meet his burden of proof to show that </w:t>
      </w:r>
      <w:r w:rsidR="00D930CB" w:rsidRPr="008062FA">
        <w:rPr>
          <w:sz w:val="26"/>
          <w:szCs w:val="26"/>
        </w:rPr>
        <w:t>PECO violated the Code or the Commission’s Regulations in how it processed the electric supply and natural gas switches.</w:t>
      </w:r>
      <w:r w:rsidR="00D930CB">
        <w:rPr>
          <w:sz w:val="26"/>
          <w:szCs w:val="26"/>
        </w:rPr>
        <w:t xml:space="preserve">  The record fully supports </w:t>
      </w:r>
      <w:r w:rsidR="00AC641E">
        <w:rPr>
          <w:sz w:val="26"/>
          <w:szCs w:val="26"/>
        </w:rPr>
        <w:t xml:space="preserve">the following </w:t>
      </w:r>
      <w:r w:rsidR="00D930CB">
        <w:rPr>
          <w:sz w:val="26"/>
          <w:szCs w:val="26"/>
        </w:rPr>
        <w:t>finding</w:t>
      </w:r>
      <w:r w:rsidR="00AC641E">
        <w:rPr>
          <w:sz w:val="26"/>
          <w:szCs w:val="26"/>
        </w:rPr>
        <w:t xml:space="preserve">s: </w:t>
      </w:r>
      <w:r w:rsidR="00635D6B">
        <w:rPr>
          <w:sz w:val="26"/>
          <w:szCs w:val="26"/>
        </w:rPr>
        <w:t xml:space="preserve"> </w:t>
      </w:r>
      <w:r w:rsidR="00AC641E">
        <w:rPr>
          <w:sz w:val="26"/>
          <w:szCs w:val="26"/>
        </w:rPr>
        <w:t>(1)</w:t>
      </w:r>
      <w:r w:rsidR="00D930CB">
        <w:rPr>
          <w:sz w:val="26"/>
          <w:szCs w:val="26"/>
        </w:rPr>
        <w:t xml:space="preserve"> that PECO followed its </w:t>
      </w:r>
      <w:r w:rsidR="00705ADD">
        <w:rPr>
          <w:sz w:val="26"/>
          <w:szCs w:val="26"/>
        </w:rPr>
        <w:t>Commission</w:t>
      </w:r>
      <w:r w:rsidR="00D930CB">
        <w:rPr>
          <w:sz w:val="26"/>
          <w:szCs w:val="26"/>
        </w:rPr>
        <w:t xml:space="preserve">-approved </w:t>
      </w:r>
      <w:r w:rsidR="00705ADD">
        <w:rPr>
          <w:sz w:val="26"/>
          <w:szCs w:val="26"/>
        </w:rPr>
        <w:t xml:space="preserve">Tariff </w:t>
      </w:r>
      <w:r w:rsidR="00D930CB">
        <w:rPr>
          <w:sz w:val="26"/>
          <w:szCs w:val="26"/>
        </w:rPr>
        <w:t>procedures and our Regulations in how it processed both switches</w:t>
      </w:r>
      <w:r w:rsidR="001A1668">
        <w:rPr>
          <w:sz w:val="26"/>
          <w:szCs w:val="26"/>
        </w:rPr>
        <w:t xml:space="preserve"> (Tr. </w:t>
      </w:r>
      <w:r w:rsidR="00863936">
        <w:rPr>
          <w:sz w:val="26"/>
          <w:szCs w:val="26"/>
        </w:rPr>
        <w:t xml:space="preserve">at </w:t>
      </w:r>
      <w:r w:rsidR="001A1668">
        <w:rPr>
          <w:sz w:val="26"/>
          <w:szCs w:val="26"/>
        </w:rPr>
        <w:t>42-43, 66-68, 70-73, 81-82; I.D. 4-5)</w:t>
      </w:r>
      <w:r w:rsidR="00D930CB">
        <w:rPr>
          <w:sz w:val="26"/>
          <w:szCs w:val="26"/>
        </w:rPr>
        <w:t xml:space="preserve">; </w:t>
      </w:r>
      <w:r w:rsidR="00AC641E">
        <w:rPr>
          <w:sz w:val="26"/>
          <w:szCs w:val="26"/>
        </w:rPr>
        <w:t xml:space="preserve">(2) </w:t>
      </w:r>
      <w:r w:rsidR="00836ADD">
        <w:rPr>
          <w:sz w:val="26"/>
          <w:szCs w:val="26"/>
        </w:rPr>
        <w:t>that PECO received notification of the switches on January 21, 2019</w:t>
      </w:r>
      <w:r w:rsidR="00C31508">
        <w:rPr>
          <w:sz w:val="26"/>
          <w:szCs w:val="26"/>
        </w:rPr>
        <w:t>,</w:t>
      </w:r>
      <w:r w:rsidR="00836ADD">
        <w:rPr>
          <w:sz w:val="26"/>
          <w:szCs w:val="26"/>
        </w:rPr>
        <w:t xml:space="preserve"> and not January 23, 2019</w:t>
      </w:r>
      <w:r w:rsidR="00C63021">
        <w:rPr>
          <w:sz w:val="26"/>
          <w:szCs w:val="26"/>
        </w:rPr>
        <w:t xml:space="preserve"> (Tr.</w:t>
      </w:r>
      <w:r w:rsidR="00863936">
        <w:rPr>
          <w:sz w:val="26"/>
          <w:szCs w:val="26"/>
        </w:rPr>
        <w:t xml:space="preserve"> at</w:t>
      </w:r>
      <w:r w:rsidR="00C63021">
        <w:rPr>
          <w:sz w:val="26"/>
          <w:szCs w:val="26"/>
        </w:rPr>
        <w:t xml:space="preserve"> 68, 70-73; I.D. at 4-5)</w:t>
      </w:r>
      <w:r w:rsidR="00836ADD">
        <w:rPr>
          <w:sz w:val="26"/>
          <w:szCs w:val="26"/>
        </w:rPr>
        <w:t xml:space="preserve">; </w:t>
      </w:r>
      <w:r w:rsidR="00AC641E">
        <w:rPr>
          <w:sz w:val="26"/>
          <w:szCs w:val="26"/>
        </w:rPr>
        <w:t xml:space="preserve">(3) </w:t>
      </w:r>
      <w:r w:rsidR="00D930CB">
        <w:rPr>
          <w:sz w:val="26"/>
          <w:szCs w:val="26"/>
        </w:rPr>
        <w:t xml:space="preserve">that the information provided by NRG Home to complete the </w:t>
      </w:r>
      <w:r w:rsidR="00836ADD">
        <w:rPr>
          <w:sz w:val="26"/>
          <w:szCs w:val="26"/>
        </w:rPr>
        <w:t xml:space="preserve">natural gas </w:t>
      </w:r>
      <w:r w:rsidR="00D930CB">
        <w:rPr>
          <w:sz w:val="26"/>
          <w:szCs w:val="26"/>
        </w:rPr>
        <w:t>switch was accurate and matched PECO’s records</w:t>
      </w:r>
      <w:r w:rsidR="00C63021">
        <w:rPr>
          <w:sz w:val="26"/>
          <w:szCs w:val="26"/>
        </w:rPr>
        <w:t xml:space="preserve"> (Tr.</w:t>
      </w:r>
      <w:r w:rsidR="00863936">
        <w:rPr>
          <w:sz w:val="26"/>
          <w:szCs w:val="26"/>
        </w:rPr>
        <w:t xml:space="preserve"> at</w:t>
      </w:r>
      <w:r w:rsidR="00C63021">
        <w:rPr>
          <w:sz w:val="26"/>
          <w:szCs w:val="26"/>
        </w:rPr>
        <w:t xml:space="preserve"> 70-71, 99-100, 102-03)</w:t>
      </w:r>
      <w:r w:rsidR="00D930CB">
        <w:rPr>
          <w:sz w:val="26"/>
          <w:szCs w:val="26"/>
        </w:rPr>
        <w:t xml:space="preserve">; and </w:t>
      </w:r>
      <w:r w:rsidR="00AC641E">
        <w:rPr>
          <w:sz w:val="26"/>
          <w:szCs w:val="26"/>
        </w:rPr>
        <w:t xml:space="preserve">(4) </w:t>
      </w:r>
      <w:r w:rsidR="00D930CB">
        <w:rPr>
          <w:sz w:val="26"/>
          <w:szCs w:val="26"/>
        </w:rPr>
        <w:t xml:space="preserve">as discussed further below, that PECO’s 6-day waiting period provides sufficient customer notice under current </w:t>
      </w:r>
      <w:r w:rsidR="00836ADD">
        <w:rPr>
          <w:sz w:val="26"/>
          <w:szCs w:val="26"/>
        </w:rPr>
        <w:t xml:space="preserve">Commission rulings.  </w:t>
      </w:r>
      <w:r w:rsidR="00D930CB">
        <w:rPr>
          <w:sz w:val="26"/>
          <w:szCs w:val="26"/>
        </w:rPr>
        <w:t xml:space="preserve"> </w:t>
      </w:r>
    </w:p>
    <w:p w14:paraId="0B7B9C09" w14:textId="201DC58F" w:rsidR="008062FA" w:rsidRDefault="008062FA" w:rsidP="00B955D3">
      <w:pPr>
        <w:keepNext/>
        <w:spacing w:line="360" w:lineRule="auto"/>
        <w:ind w:firstLine="1440"/>
        <w:rPr>
          <w:sz w:val="26"/>
          <w:szCs w:val="26"/>
        </w:rPr>
      </w:pPr>
    </w:p>
    <w:p w14:paraId="5D5050E3" w14:textId="77777777" w:rsidR="007D26C8" w:rsidRDefault="00B955D3" w:rsidP="001E0C48">
      <w:pPr>
        <w:keepNext/>
        <w:spacing w:line="360" w:lineRule="auto"/>
        <w:ind w:firstLine="1440"/>
        <w:rPr>
          <w:bCs/>
          <w:sz w:val="26"/>
          <w:szCs w:val="26"/>
        </w:rPr>
      </w:pPr>
      <w:r>
        <w:rPr>
          <w:rFonts w:eastAsia="Batang"/>
          <w:sz w:val="26"/>
          <w:szCs w:val="26"/>
        </w:rPr>
        <w:t>Turning to PECO</w:t>
      </w:r>
      <w:r w:rsidR="001E0C48">
        <w:rPr>
          <w:rFonts w:eastAsia="Batang"/>
          <w:sz w:val="26"/>
          <w:szCs w:val="26"/>
        </w:rPr>
        <w:t>’s Exception</w:t>
      </w:r>
      <w:r w:rsidR="007C36E3">
        <w:rPr>
          <w:rFonts w:eastAsia="Batang"/>
          <w:sz w:val="26"/>
          <w:szCs w:val="26"/>
        </w:rPr>
        <w:t>s</w:t>
      </w:r>
      <w:r w:rsidR="001E0C48">
        <w:rPr>
          <w:rFonts w:eastAsia="Batang"/>
          <w:sz w:val="26"/>
          <w:szCs w:val="26"/>
        </w:rPr>
        <w:t>, based upon our review,</w:t>
      </w:r>
      <w:r w:rsidR="007B299E">
        <w:rPr>
          <w:rFonts w:eastAsia="Batang"/>
          <w:sz w:val="26"/>
          <w:szCs w:val="26"/>
        </w:rPr>
        <w:t xml:space="preserve"> </w:t>
      </w:r>
      <w:r w:rsidR="001A1668">
        <w:rPr>
          <w:rFonts w:eastAsia="Batang"/>
          <w:sz w:val="26"/>
          <w:szCs w:val="26"/>
        </w:rPr>
        <w:t xml:space="preserve">we find that PECO is </w:t>
      </w:r>
      <w:r w:rsidR="007B299E" w:rsidRPr="007B299E">
        <w:rPr>
          <w:sz w:val="26"/>
          <w:szCs w:val="26"/>
        </w:rPr>
        <w:t xml:space="preserve">exempt from the 10-day waiting period requirement of </w:t>
      </w:r>
      <w:r w:rsidR="007B299E" w:rsidRPr="007B299E">
        <w:rPr>
          <w:bCs/>
          <w:sz w:val="26"/>
          <w:szCs w:val="26"/>
        </w:rPr>
        <w:t xml:space="preserve">52 Pa. Code </w:t>
      </w:r>
      <w:r w:rsidR="007B299E" w:rsidRPr="007B299E">
        <w:rPr>
          <w:sz w:val="26"/>
          <w:szCs w:val="26"/>
        </w:rPr>
        <w:t>§</w:t>
      </w:r>
      <w:r w:rsidR="007B299E" w:rsidRPr="007B299E">
        <w:rPr>
          <w:bCs/>
          <w:sz w:val="26"/>
          <w:szCs w:val="26"/>
        </w:rPr>
        <w:t xml:space="preserve"> 59.93(2) pursuant to the Commission’s </w:t>
      </w:r>
      <w:r w:rsidR="007B299E" w:rsidRPr="007B299E">
        <w:rPr>
          <w:bCs/>
          <w:i/>
          <w:iCs/>
          <w:sz w:val="26"/>
          <w:szCs w:val="26"/>
        </w:rPr>
        <w:t>PUC Final Order</w:t>
      </w:r>
      <w:r w:rsidR="007B299E" w:rsidRPr="007B299E">
        <w:rPr>
          <w:bCs/>
          <w:sz w:val="26"/>
          <w:szCs w:val="26"/>
        </w:rPr>
        <w:t>, which</w:t>
      </w:r>
      <w:r w:rsidR="007C36E3">
        <w:rPr>
          <w:bCs/>
          <w:sz w:val="26"/>
          <w:szCs w:val="26"/>
        </w:rPr>
        <w:t>, as PECO asserts,</w:t>
      </w:r>
      <w:r w:rsidR="007B299E" w:rsidRPr="007B299E">
        <w:rPr>
          <w:bCs/>
          <w:sz w:val="26"/>
          <w:szCs w:val="26"/>
        </w:rPr>
        <w:t xml:space="preserve"> waived the applicability of 52 Pa. Code </w:t>
      </w:r>
      <w:r w:rsidR="007B299E" w:rsidRPr="007B299E">
        <w:rPr>
          <w:sz w:val="26"/>
          <w:szCs w:val="26"/>
        </w:rPr>
        <w:t>§</w:t>
      </w:r>
      <w:r w:rsidR="007B299E" w:rsidRPr="007B299E">
        <w:rPr>
          <w:bCs/>
          <w:sz w:val="26"/>
          <w:szCs w:val="26"/>
        </w:rPr>
        <w:t xml:space="preserve"> 59.93(2)’s requirement for a 10-day waiting period and held that five days is “sufficient notice for customers and time to act to prevent an unauthorized </w:t>
      </w:r>
    </w:p>
    <w:p w14:paraId="34145FC1" w14:textId="77777777" w:rsidR="007D26C8" w:rsidRDefault="007D26C8">
      <w:pPr>
        <w:widowControl/>
        <w:rPr>
          <w:bCs/>
          <w:sz w:val="26"/>
          <w:szCs w:val="26"/>
        </w:rPr>
      </w:pPr>
      <w:r>
        <w:rPr>
          <w:bCs/>
          <w:sz w:val="26"/>
          <w:szCs w:val="26"/>
        </w:rPr>
        <w:br w:type="page"/>
      </w:r>
    </w:p>
    <w:p w14:paraId="0EBA01CE" w14:textId="6D4DA376" w:rsidR="007B299E" w:rsidRPr="007B299E" w:rsidRDefault="007B299E" w:rsidP="007D26C8">
      <w:pPr>
        <w:keepNext/>
        <w:spacing w:line="360" w:lineRule="auto"/>
        <w:rPr>
          <w:sz w:val="26"/>
          <w:szCs w:val="26"/>
        </w:rPr>
      </w:pPr>
      <w:r w:rsidRPr="007B299E">
        <w:rPr>
          <w:bCs/>
          <w:sz w:val="26"/>
          <w:szCs w:val="26"/>
        </w:rPr>
        <w:lastRenderedPageBreak/>
        <w:t xml:space="preserve">switch.”  </w:t>
      </w:r>
      <w:r w:rsidRPr="007B299E">
        <w:rPr>
          <w:bCs/>
          <w:i/>
          <w:iCs/>
          <w:sz w:val="26"/>
          <w:szCs w:val="26"/>
        </w:rPr>
        <w:t>PUC Final Order</w:t>
      </w:r>
      <w:r w:rsidRPr="007B299E">
        <w:rPr>
          <w:bCs/>
          <w:sz w:val="26"/>
          <w:szCs w:val="26"/>
        </w:rPr>
        <w:t xml:space="preserve"> at 45, 48-49).</w:t>
      </w:r>
      <w:r w:rsidR="007C36E3">
        <w:rPr>
          <w:rStyle w:val="FootnoteReference"/>
          <w:bCs/>
          <w:sz w:val="26"/>
          <w:szCs w:val="26"/>
        </w:rPr>
        <w:footnoteReference w:id="6"/>
      </w:r>
      <w:r w:rsidRPr="007B299E">
        <w:rPr>
          <w:bCs/>
          <w:sz w:val="26"/>
          <w:szCs w:val="26"/>
        </w:rPr>
        <w:t xml:space="preserve">  </w:t>
      </w:r>
      <w:r w:rsidR="007C36E3">
        <w:rPr>
          <w:bCs/>
          <w:sz w:val="26"/>
          <w:szCs w:val="26"/>
        </w:rPr>
        <w:t xml:space="preserve">Accordingly, we will grant </w:t>
      </w:r>
      <w:r w:rsidRPr="007B299E">
        <w:rPr>
          <w:bCs/>
          <w:sz w:val="26"/>
          <w:szCs w:val="26"/>
        </w:rPr>
        <w:t>PECO</w:t>
      </w:r>
      <w:r w:rsidR="007C36E3">
        <w:rPr>
          <w:bCs/>
          <w:sz w:val="26"/>
          <w:szCs w:val="26"/>
        </w:rPr>
        <w:t xml:space="preserve">’s Exceptions and reverse </w:t>
      </w:r>
      <w:r w:rsidRPr="007B299E">
        <w:rPr>
          <w:bCs/>
          <w:sz w:val="26"/>
          <w:szCs w:val="26"/>
        </w:rPr>
        <w:t xml:space="preserve">the ALJ’s holding that PECO is in violation of 52 Pa. Code </w:t>
      </w:r>
      <w:r w:rsidRPr="007B299E">
        <w:rPr>
          <w:sz w:val="26"/>
          <w:szCs w:val="26"/>
        </w:rPr>
        <w:t>§</w:t>
      </w:r>
      <w:r w:rsidR="00A36E49">
        <w:rPr>
          <w:bCs/>
          <w:sz w:val="26"/>
          <w:szCs w:val="26"/>
        </w:rPr>
        <w:t> </w:t>
      </w:r>
      <w:r w:rsidRPr="007B299E">
        <w:rPr>
          <w:bCs/>
          <w:sz w:val="26"/>
          <w:szCs w:val="26"/>
        </w:rPr>
        <w:t>59.93(2)</w:t>
      </w:r>
      <w:r w:rsidR="007C36E3">
        <w:rPr>
          <w:bCs/>
          <w:sz w:val="26"/>
          <w:szCs w:val="26"/>
        </w:rPr>
        <w:t xml:space="preserve"> by using a 6-day waiting period for its natural gas switches.</w:t>
      </w:r>
      <w:r w:rsidR="00AB52B0">
        <w:rPr>
          <w:bCs/>
          <w:sz w:val="26"/>
          <w:szCs w:val="26"/>
        </w:rPr>
        <w:t xml:space="preserve">  Therefore, we will modify the Initial Decision</w:t>
      </w:r>
      <w:r w:rsidR="00194978">
        <w:rPr>
          <w:bCs/>
          <w:sz w:val="26"/>
          <w:szCs w:val="26"/>
        </w:rPr>
        <w:t xml:space="preserve"> consistent with this discussion.  </w:t>
      </w:r>
    </w:p>
    <w:p w14:paraId="39659404" w14:textId="77777777" w:rsidR="001679B3" w:rsidRPr="00C4572D" w:rsidRDefault="001679B3" w:rsidP="001679B3">
      <w:pPr>
        <w:keepNext/>
        <w:spacing w:line="360" w:lineRule="auto"/>
        <w:ind w:firstLine="1440"/>
        <w:rPr>
          <w:sz w:val="26"/>
          <w:szCs w:val="26"/>
        </w:rPr>
      </w:pPr>
    </w:p>
    <w:p w14:paraId="49DB71B8" w14:textId="77777777" w:rsidR="001679B3" w:rsidRPr="00C4572D" w:rsidRDefault="001679B3" w:rsidP="001679B3">
      <w:pPr>
        <w:keepNext/>
        <w:keepLines/>
        <w:spacing w:line="360" w:lineRule="auto"/>
        <w:ind w:hanging="90"/>
        <w:jc w:val="center"/>
        <w:rPr>
          <w:b/>
          <w:sz w:val="26"/>
          <w:szCs w:val="26"/>
        </w:rPr>
      </w:pPr>
      <w:r w:rsidRPr="00C4572D">
        <w:rPr>
          <w:b/>
          <w:sz w:val="26"/>
          <w:szCs w:val="26"/>
        </w:rPr>
        <w:t>Conclusion</w:t>
      </w:r>
    </w:p>
    <w:p w14:paraId="02A685D3" w14:textId="77777777" w:rsidR="001679B3" w:rsidRPr="00C4572D" w:rsidRDefault="001679B3" w:rsidP="001679B3">
      <w:pPr>
        <w:keepNext/>
        <w:keepLines/>
        <w:spacing w:line="360" w:lineRule="auto"/>
        <w:ind w:firstLine="1440"/>
        <w:jc w:val="center"/>
        <w:rPr>
          <w:sz w:val="26"/>
          <w:szCs w:val="26"/>
        </w:rPr>
      </w:pPr>
    </w:p>
    <w:p w14:paraId="4968AB4C" w14:textId="0FE8D3FF" w:rsidR="001679B3" w:rsidRPr="00C4572D" w:rsidRDefault="001679B3" w:rsidP="00601202">
      <w:pPr>
        <w:spacing w:line="360" w:lineRule="auto"/>
        <w:ind w:firstLine="1440"/>
        <w:rPr>
          <w:b/>
          <w:sz w:val="26"/>
          <w:szCs w:val="26"/>
        </w:rPr>
      </w:pPr>
      <w:r w:rsidRPr="00C4572D">
        <w:rPr>
          <w:sz w:val="26"/>
          <w:szCs w:val="26"/>
        </w:rPr>
        <w:t>Based upon our review of the Exceptions, Repl</w:t>
      </w:r>
      <w:r>
        <w:rPr>
          <w:sz w:val="26"/>
          <w:szCs w:val="26"/>
        </w:rPr>
        <w:t>ies to</w:t>
      </w:r>
      <w:r w:rsidRPr="00C4572D">
        <w:rPr>
          <w:sz w:val="26"/>
          <w:szCs w:val="26"/>
        </w:rPr>
        <w:t xml:space="preserve"> Exception</w:t>
      </w:r>
      <w:r>
        <w:rPr>
          <w:sz w:val="26"/>
          <w:szCs w:val="26"/>
        </w:rPr>
        <w:t>s</w:t>
      </w:r>
      <w:r w:rsidRPr="00C4572D">
        <w:rPr>
          <w:sz w:val="26"/>
          <w:szCs w:val="26"/>
        </w:rPr>
        <w:t xml:space="preserve">, the Initial Decision, and the record in this proceeding, we </w:t>
      </w:r>
      <w:r w:rsidR="007341B5">
        <w:rPr>
          <w:sz w:val="26"/>
          <w:szCs w:val="26"/>
        </w:rPr>
        <w:t>shall</w:t>
      </w:r>
      <w:r w:rsidR="007341B5">
        <w:rPr>
          <w:color w:val="000000"/>
          <w:sz w:val="26"/>
        </w:rPr>
        <w:t xml:space="preserve"> deny the Exceptions of Mr. Malik, grant the Exceptions of PECO,</w:t>
      </w:r>
      <w:r w:rsidR="007341B5" w:rsidRPr="00022ECD">
        <w:rPr>
          <w:sz w:val="26"/>
          <w:szCs w:val="26"/>
        </w:rPr>
        <w:t xml:space="preserve"> </w:t>
      </w:r>
      <w:r w:rsidR="007341B5">
        <w:rPr>
          <w:sz w:val="26"/>
          <w:szCs w:val="26"/>
        </w:rPr>
        <w:t>and adopt the ALJ’s Initial Decision</w:t>
      </w:r>
      <w:r w:rsidR="00863936">
        <w:rPr>
          <w:sz w:val="26"/>
          <w:szCs w:val="26"/>
        </w:rPr>
        <w:t>, as modified by</w:t>
      </w:r>
      <w:r w:rsidR="007341B5" w:rsidRPr="00181362">
        <w:rPr>
          <w:sz w:val="26"/>
          <w:szCs w:val="26"/>
        </w:rPr>
        <w:t xml:space="preserve"> this Opinion and Order</w:t>
      </w:r>
      <w:r w:rsidRPr="00C4572D">
        <w:rPr>
          <w:sz w:val="26"/>
          <w:szCs w:val="26"/>
        </w:rPr>
        <w:t xml:space="preserve">; </w:t>
      </w:r>
      <w:r w:rsidRPr="00C4572D">
        <w:rPr>
          <w:b/>
          <w:sz w:val="26"/>
          <w:szCs w:val="26"/>
        </w:rPr>
        <w:t>THEREFORE,</w:t>
      </w:r>
    </w:p>
    <w:p w14:paraId="4F804C91" w14:textId="77777777" w:rsidR="001679B3" w:rsidRPr="00C4572D" w:rsidRDefault="001679B3" w:rsidP="00601202">
      <w:pPr>
        <w:spacing w:line="360" w:lineRule="auto"/>
        <w:ind w:firstLine="720"/>
        <w:rPr>
          <w:b/>
          <w:sz w:val="26"/>
          <w:szCs w:val="26"/>
        </w:rPr>
      </w:pPr>
    </w:p>
    <w:p w14:paraId="08062BDF" w14:textId="0C51EDD5" w:rsidR="001679B3" w:rsidRDefault="001679B3" w:rsidP="00601202">
      <w:pPr>
        <w:keepNext/>
        <w:keepLines/>
        <w:spacing w:line="360" w:lineRule="auto"/>
        <w:ind w:firstLine="1440"/>
        <w:rPr>
          <w:b/>
          <w:sz w:val="26"/>
          <w:szCs w:val="26"/>
        </w:rPr>
      </w:pPr>
      <w:r w:rsidRPr="00C4572D">
        <w:rPr>
          <w:b/>
          <w:sz w:val="26"/>
          <w:szCs w:val="26"/>
        </w:rPr>
        <w:t>IT IS ORDERED:</w:t>
      </w:r>
    </w:p>
    <w:p w14:paraId="3E1DACFE" w14:textId="138250FC" w:rsidR="00F13CB7" w:rsidRDefault="00F13CB7" w:rsidP="00601202">
      <w:pPr>
        <w:keepNext/>
        <w:keepLines/>
        <w:spacing w:line="360" w:lineRule="auto"/>
        <w:ind w:firstLine="1440"/>
        <w:rPr>
          <w:b/>
          <w:sz w:val="26"/>
          <w:szCs w:val="26"/>
        </w:rPr>
      </w:pPr>
    </w:p>
    <w:p w14:paraId="33AC7D7A" w14:textId="448B1811" w:rsidR="00F13CB7" w:rsidRPr="00C4572D" w:rsidRDefault="00F13CB7" w:rsidP="00601202">
      <w:pPr>
        <w:widowControl/>
        <w:numPr>
          <w:ilvl w:val="0"/>
          <w:numId w:val="2"/>
        </w:numPr>
        <w:tabs>
          <w:tab w:val="left" w:pos="-720"/>
        </w:tabs>
        <w:suppressAutoHyphens/>
        <w:spacing w:line="360" w:lineRule="auto"/>
        <w:ind w:left="0" w:firstLine="1440"/>
        <w:contextualSpacing/>
        <w:rPr>
          <w:sz w:val="26"/>
          <w:szCs w:val="26"/>
        </w:rPr>
      </w:pPr>
      <w:r w:rsidRPr="00C4572D">
        <w:rPr>
          <w:sz w:val="26"/>
          <w:szCs w:val="26"/>
        </w:rPr>
        <w:t xml:space="preserve">That the Exceptions of </w:t>
      </w:r>
      <w:r>
        <w:rPr>
          <w:bCs/>
          <w:sz w:val="26"/>
          <w:szCs w:val="26"/>
        </w:rPr>
        <w:t>Rashid El Malik</w:t>
      </w:r>
      <w:r>
        <w:rPr>
          <w:sz w:val="26"/>
          <w:szCs w:val="26"/>
        </w:rPr>
        <w:t xml:space="preserve"> </w:t>
      </w:r>
      <w:r w:rsidRPr="00C4572D">
        <w:rPr>
          <w:sz w:val="26"/>
          <w:szCs w:val="26"/>
        </w:rPr>
        <w:t xml:space="preserve">filed on </w:t>
      </w:r>
      <w:r>
        <w:rPr>
          <w:sz w:val="26"/>
          <w:szCs w:val="26"/>
        </w:rPr>
        <w:t>December 1</w:t>
      </w:r>
      <w:r w:rsidR="00705ADD">
        <w:rPr>
          <w:sz w:val="26"/>
          <w:szCs w:val="26"/>
        </w:rPr>
        <w:t>1</w:t>
      </w:r>
      <w:r w:rsidRPr="00C4572D">
        <w:rPr>
          <w:sz w:val="26"/>
          <w:szCs w:val="26"/>
        </w:rPr>
        <w:t>, 20</w:t>
      </w:r>
      <w:r>
        <w:rPr>
          <w:sz w:val="26"/>
          <w:szCs w:val="26"/>
        </w:rPr>
        <w:t>20</w:t>
      </w:r>
      <w:r w:rsidRPr="00C4572D">
        <w:rPr>
          <w:sz w:val="26"/>
          <w:szCs w:val="26"/>
        </w:rPr>
        <w:t xml:space="preserve">, to the Initial Decision of Administrative Law Judge </w:t>
      </w:r>
      <w:r>
        <w:rPr>
          <w:sz w:val="26"/>
          <w:szCs w:val="26"/>
        </w:rPr>
        <w:t xml:space="preserve">Conrad </w:t>
      </w:r>
      <w:r w:rsidR="00705ADD">
        <w:rPr>
          <w:sz w:val="26"/>
          <w:szCs w:val="26"/>
        </w:rPr>
        <w:t xml:space="preserve">A. </w:t>
      </w:r>
      <w:r>
        <w:rPr>
          <w:sz w:val="26"/>
          <w:szCs w:val="26"/>
        </w:rPr>
        <w:t>Johnson</w:t>
      </w:r>
      <w:r w:rsidRPr="00C4572D">
        <w:rPr>
          <w:sz w:val="26"/>
          <w:szCs w:val="26"/>
        </w:rPr>
        <w:t xml:space="preserve"> issued on </w:t>
      </w:r>
      <w:r>
        <w:rPr>
          <w:sz w:val="26"/>
          <w:szCs w:val="26"/>
        </w:rPr>
        <w:t>December 1</w:t>
      </w:r>
      <w:r w:rsidRPr="00C4572D">
        <w:rPr>
          <w:sz w:val="26"/>
          <w:szCs w:val="26"/>
        </w:rPr>
        <w:t>, 20</w:t>
      </w:r>
      <w:r>
        <w:rPr>
          <w:sz w:val="26"/>
          <w:szCs w:val="26"/>
        </w:rPr>
        <w:t>20</w:t>
      </w:r>
      <w:r w:rsidRPr="00C4572D">
        <w:rPr>
          <w:sz w:val="26"/>
          <w:szCs w:val="26"/>
        </w:rPr>
        <w:t xml:space="preserve">, are </w:t>
      </w:r>
      <w:r>
        <w:rPr>
          <w:sz w:val="26"/>
          <w:szCs w:val="26"/>
        </w:rPr>
        <w:t>denied</w:t>
      </w:r>
      <w:r w:rsidRPr="00C4572D">
        <w:rPr>
          <w:sz w:val="26"/>
          <w:szCs w:val="26"/>
        </w:rPr>
        <w:t>, consistent with this Opinion and Order.</w:t>
      </w:r>
    </w:p>
    <w:p w14:paraId="7B5688FC" w14:textId="77777777" w:rsidR="00F13CB7" w:rsidRPr="00C4572D" w:rsidRDefault="00F13CB7" w:rsidP="00601202">
      <w:pPr>
        <w:tabs>
          <w:tab w:val="left" w:pos="-720"/>
        </w:tabs>
        <w:suppressAutoHyphens/>
        <w:spacing w:line="360" w:lineRule="auto"/>
        <w:ind w:left="1440"/>
        <w:rPr>
          <w:sz w:val="26"/>
          <w:szCs w:val="26"/>
        </w:rPr>
      </w:pPr>
    </w:p>
    <w:p w14:paraId="41D21951" w14:textId="41B7C6AA" w:rsidR="00F13CB7" w:rsidRPr="00C4572D" w:rsidRDefault="00F13CB7" w:rsidP="001F4625">
      <w:pPr>
        <w:widowControl/>
        <w:numPr>
          <w:ilvl w:val="0"/>
          <w:numId w:val="2"/>
        </w:numPr>
        <w:tabs>
          <w:tab w:val="left" w:pos="-720"/>
        </w:tabs>
        <w:suppressAutoHyphens/>
        <w:spacing w:line="360" w:lineRule="auto"/>
        <w:ind w:left="0" w:firstLine="1440"/>
        <w:contextualSpacing/>
        <w:rPr>
          <w:sz w:val="26"/>
          <w:szCs w:val="26"/>
        </w:rPr>
      </w:pPr>
      <w:r w:rsidRPr="00F13CB7">
        <w:rPr>
          <w:sz w:val="26"/>
          <w:szCs w:val="26"/>
        </w:rPr>
        <w:t xml:space="preserve">That the Exceptions of </w:t>
      </w:r>
      <w:r>
        <w:rPr>
          <w:sz w:val="26"/>
          <w:szCs w:val="26"/>
        </w:rPr>
        <w:t xml:space="preserve">PECO Energy Company </w:t>
      </w:r>
      <w:r w:rsidRPr="00F13CB7">
        <w:rPr>
          <w:sz w:val="26"/>
          <w:szCs w:val="26"/>
        </w:rPr>
        <w:t>filed on December</w:t>
      </w:r>
      <w:r w:rsidR="00A36E49">
        <w:rPr>
          <w:sz w:val="26"/>
          <w:szCs w:val="26"/>
        </w:rPr>
        <w:t> </w:t>
      </w:r>
      <w:r w:rsidRPr="00F13CB7">
        <w:rPr>
          <w:sz w:val="26"/>
          <w:szCs w:val="26"/>
        </w:rPr>
        <w:t>1</w:t>
      </w:r>
      <w:r>
        <w:rPr>
          <w:sz w:val="26"/>
          <w:szCs w:val="26"/>
        </w:rPr>
        <w:t>8</w:t>
      </w:r>
      <w:r w:rsidRPr="00F13CB7">
        <w:rPr>
          <w:sz w:val="26"/>
          <w:szCs w:val="26"/>
        </w:rPr>
        <w:t xml:space="preserve">, 2020, to the Initial Decision of Administrative Law Judge Conrad </w:t>
      </w:r>
      <w:r w:rsidR="00705ADD">
        <w:rPr>
          <w:sz w:val="26"/>
          <w:szCs w:val="26"/>
        </w:rPr>
        <w:t xml:space="preserve">A. </w:t>
      </w:r>
      <w:r w:rsidRPr="00F13CB7">
        <w:rPr>
          <w:sz w:val="26"/>
          <w:szCs w:val="26"/>
        </w:rPr>
        <w:lastRenderedPageBreak/>
        <w:t xml:space="preserve">Johnson issued on December 1, 2020, are </w:t>
      </w:r>
      <w:r>
        <w:rPr>
          <w:sz w:val="26"/>
          <w:szCs w:val="26"/>
        </w:rPr>
        <w:t>granted</w:t>
      </w:r>
      <w:r w:rsidRPr="00F13CB7">
        <w:rPr>
          <w:sz w:val="26"/>
          <w:szCs w:val="26"/>
        </w:rPr>
        <w:t>, consistent with this Opinion and Order.</w:t>
      </w:r>
    </w:p>
    <w:p w14:paraId="34221650" w14:textId="77777777" w:rsidR="00F13CB7" w:rsidRPr="00C4572D" w:rsidRDefault="00F13CB7" w:rsidP="001F4625">
      <w:pPr>
        <w:tabs>
          <w:tab w:val="left" w:pos="-720"/>
        </w:tabs>
        <w:suppressAutoHyphens/>
        <w:spacing w:line="360" w:lineRule="auto"/>
        <w:ind w:left="1440"/>
        <w:rPr>
          <w:sz w:val="26"/>
          <w:szCs w:val="26"/>
        </w:rPr>
      </w:pPr>
    </w:p>
    <w:p w14:paraId="1ABEC565" w14:textId="3A141A43" w:rsidR="00F13CB7" w:rsidRDefault="00F13CB7" w:rsidP="001F4625">
      <w:pPr>
        <w:widowControl/>
        <w:numPr>
          <w:ilvl w:val="0"/>
          <w:numId w:val="2"/>
        </w:numPr>
        <w:tabs>
          <w:tab w:val="left" w:pos="-720"/>
        </w:tabs>
        <w:suppressAutoHyphens/>
        <w:spacing w:line="360" w:lineRule="auto"/>
        <w:ind w:left="0" w:firstLine="1440"/>
        <w:contextualSpacing/>
        <w:rPr>
          <w:sz w:val="26"/>
          <w:szCs w:val="26"/>
        </w:rPr>
      </w:pPr>
      <w:r w:rsidRPr="00C4572D">
        <w:rPr>
          <w:sz w:val="26"/>
          <w:szCs w:val="26"/>
        </w:rPr>
        <w:t xml:space="preserve">That the </w:t>
      </w:r>
      <w:r w:rsidR="00D767D8">
        <w:rPr>
          <w:sz w:val="26"/>
          <w:szCs w:val="26"/>
        </w:rPr>
        <w:t xml:space="preserve">Initial Decision of </w:t>
      </w:r>
      <w:r w:rsidR="00D767D8" w:rsidRPr="00F13CB7">
        <w:rPr>
          <w:sz w:val="26"/>
          <w:szCs w:val="26"/>
        </w:rPr>
        <w:t xml:space="preserve">Administrative Law Judge Conrad </w:t>
      </w:r>
      <w:r w:rsidR="003A51C5">
        <w:rPr>
          <w:sz w:val="26"/>
          <w:szCs w:val="26"/>
        </w:rPr>
        <w:t xml:space="preserve">A. </w:t>
      </w:r>
      <w:r w:rsidR="00D767D8" w:rsidRPr="00F13CB7">
        <w:rPr>
          <w:sz w:val="26"/>
          <w:szCs w:val="26"/>
        </w:rPr>
        <w:t>Johnson</w:t>
      </w:r>
      <w:r w:rsidR="00D767D8" w:rsidRPr="00C4572D">
        <w:rPr>
          <w:sz w:val="26"/>
          <w:szCs w:val="26"/>
        </w:rPr>
        <w:t xml:space="preserve"> </w:t>
      </w:r>
      <w:r w:rsidR="00D767D8">
        <w:rPr>
          <w:sz w:val="26"/>
          <w:szCs w:val="26"/>
        </w:rPr>
        <w:t>is adopted</w:t>
      </w:r>
      <w:r w:rsidR="007D4742">
        <w:rPr>
          <w:sz w:val="26"/>
          <w:szCs w:val="26"/>
        </w:rPr>
        <w:t>,</w:t>
      </w:r>
      <w:r w:rsidR="00D767D8">
        <w:rPr>
          <w:sz w:val="26"/>
          <w:szCs w:val="26"/>
        </w:rPr>
        <w:t xml:space="preserve"> </w:t>
      </w:r>
      <w:r w:rsidR="00FF3577">
        <w:rPr>
          <w:sz w:val="26"/>
          <w:szCs w:val="26"/>
        </w:rPr>
        <w:t>as modified</w:t>
      </w:r>
      <w:r w:rsidR="0078088E">
        <w:rPr>
          <w:sz w:val="26"/>
          <w:szCs w:val="26"/>
        </w:rPr>
        <w:t>,</w:t>
      </w:r>
      <w:r w:rsidR="00FF3577">
        <w:rPr>
          <w:sz w:val="26"/>
          <w:szCs w:val="26"/>
        </w:rPr>
        <w:t xml:space="preserve"> by </w:t>
      </w:r>
      <w:r w:rsidRPr="00C4572D">
        <w:rPr>
          <w:sz w:val="26"/>
          <w:szCs w:val="26"/>
        </w:rPr>
        <w:t>this Opinion and Order.</w:t>
      </w:r>
    </w:p>
    <w:p w14:paraId="6D806972" w14:textId="77777777" w:rsidR="00E90AD8" w:rsidRDefault="00E90AD8" w:rsidP="001F4625">
      <w:pPr>
        <w:pStyle w:val="ListParagraph"/>
        <w:spacing w:line="360" w:lineRule="auto"/>
        <w:rPr>
          <w:sz w:val="26"/>
          <w:szCs w:val="26"/>
        </w:rPr>
      </w:pPr>
    </w:p>
    <w:p w14:paraId="5CEC3A2B" w14:textId="62A86247" w:rsidR="00AC641E" w:rsidRDefault="00E90AD8" w:rsidP="001F4625">
      <w:pPr>
        <w:widowControl/>
        <w:numPr>
          <w:ilvl w:val="0"/>
          <w:numId w:val="2"/>
        </w:numPr>
        <w:tabs>
          <w:tab w:val="left" w:pos="-720"/>
        </w:tabs>
        <w:suppressAutoHyphens/>
        <w:spacing w:line="360" w:lineRule="auto"/>
        <w:ind w:left="0" w:firstLine="1440"/>
        <w:contextualSpacing/>
        <w:rPr>
          <w:sz w:val="26"/>
          <w:szCs w:val="26"/>
        </w:rPr>
      </w:pPr>
      <w:r>
        <w:rPr>
          <w:sz w:val="26"/>
          <w:szCs w:val="26"/>
        </w:rPr>
        <w:t>That a copy of this Opinion and Order shall be served on the Commission’s Bureau of Investigation and Enforcement for such further action as it may deem necessary.</w:t>
      </w:r>
    </w:p>
    <w:p w14:paraId="70CF31EE" w14:textId="07E4B8E4" w:rsidR="00AC641E" w:rsidRPr="00C564BA" w:rsidRDefault="00AC641E" w:rsidP="001F4625">
      <w:pPr>
        <w:widowControl/>
        <w:spacing w:line="360" w:lineRule="auto"/>
        <w:rPr>
          <w:sz w:val="26"/>
          <w:szCs w:val="26"/>
        </w:rPr>
      </w:pPr>
    </w:p>
    <w:p w14:paraId="6941A1E0" w14:textId="18583FB2" w:rsidR="00F13CB7" w:rsidRPr="00C564BA" w:rsidRDefault="00F13CB7" w:rsidP="001F4625">
      <w:pPr>
        <w:keepNext/>
        <w:keepLines/>
        <w:widowControl/>
        <w:numPr>
          <w:ilvl w:val="0"/>
          <w:numId w:val="2"/>
        </w:numPr>
        <w:tabs>
          <w:tab w:val="left" w:pos="-720"/>
        </w:tabs>
        <w:suppressAutoHyphens/>
        <w:spacing w:line="360" w:lineRule="auto"/>
        <w:ind w:left="0" w:firstLine="1440"/>
        <w:contextualSpacing/>
        <w:rPr>
          <w:sz w:val="26"/>
          <w:szCs w:val="26"/>
        </w:rPr>
      </w:pPr>
      <w:r w:rsidRPr="00C564BA">
        <w:rPr>
          <w:sz w:val="26"/>
          <w:szCs w:val="26"/>
        </w:rPr>
        <w:t xml:space="preserve">That the proceeding docketed at </w:t>
      </w:r>
      <w:r w:rsidR="00D767D8" w:rsidRPr="00C564BA">
        <w:rPr>
          <w:sz w:val="26"/>
          <w:szCs w:val="26"/>
        </w:rPr>
        <w:t>F-2020-3018838</w:t>
      </w:r>
      <w:r w:rsidRPr="00C564BA">
        <w:rPr>
          <w:sz w:val="26"/>
          <w:szCs w:val="26"/>
        </w:rPr>
        <w:t xml:space="preserve"> is marked closed.</w:t>
      </w:r>
    </w:p>
    <w:p w14:paraId="6E779FCE" w14:textId="6CE08039" w:rsidR="001679B3" w:rsidRPr="00C564BA" w:rsidRDefault="001679B3" w:rsidP="00D767D8">
      <w:pPr>
        <w:widowControl/>
        <w:tabs>
          <w:tab w:val="left" w:pos="-720"/>
        </w:tabs>
        <w:suppressAutoHyphens/>
        <w:spacing w:line="360" w:lineRule="auto"/>
        <w:rPr>
          <w:sz w:val="26"/>
          <w:szCs w:val="26"/>
        </w:rPr>
      </w:pPr>
    </w:p>
    <w:p w14:paraId="296FF681" w14:textId="4563DBE2" w:rsidR="001679B3" w:rsidRPr="00C564BA" w:rsidRDefault="004E6CC1" w:rsidP="00C564BA">
      <w:pPr>
        <w:ind w:firstLine="5040"/>
        <w:rPr>
          <w:b/>
          <w:sz w:val="26"/>
          <w:szCs w:val="26"/>
        </w:rPr>
      </w:pPr>
      <w:r w:rsidRPr="009F01BA">
        <w:rPr>
          <w:b/>
          <w:noProof/>
        </w:rPr>
        <w:drawing>
          <wp:anchor distT="0" distB="0" distL="114300" distR="114300" simplePos="0" relativeHeight="251659264" behindDoc="1" locked="0" layoutInCell="1" allowOverlap="1" wp14:anchorId="525C5271" wp14:editId="6CA9001A">
            <wp:simplePos x="0" y="0"/>
            <wp:positionH relativeFrom="column">
              <wp:posOffset>2990850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679B3" w:rsidRPr="00C564BA">
        <w:rPr>
          <w:b/>
          <w:sz w:val="26"/>
          <w:szCs w:val="26"/>
        </w:rPr>
        <w:t>BY THE COMMISSION,</w:t>
      </w:r>
    </w:p>
    <w:p w14:paraId="47507613" w14:textId="125AF90D" w:rsidR="001679B3" w:rsidRPr="00C564BA" w:rsidRDefault="001679B3" w:rsidP="001679B3">
      <w:pPr>
        <w:keepNext/>
        <w:keepLines/>
        <w:rPr>
          <w:sz w:val="26"/>
          <w:szCs w:val="26"/>
        </w:rPr>
      </w:pPr>
    </w:p>
    <w:p w14:paraId="74CE8E1E" w14:textId="1F27653F" w:rsidR="001679B3" w:rsidRDefault="001679B3" w:rsidP="001679B3">
      <w:pPr>
        <w:keepNext/>
        <w:keepLines/>
        <w:rPr>
          <w:sz w:val="26"/>
          <w:szCs w:val="26"/>
        </w:rPr>
      </w:pPr>
    </w:p>
    <w:p w14:paraId="3CA110BC" w14:textId="77777777" w:rsidR="00C564BA" w:rsidRPr="00C564BA" w:rsidRDefault="00C564BA" w:rsidP="001679B3">
      <w:pPr>
        <w:keepNext/>
        <w:keepLines/>
        <w:rPr>
          <w:sz w:val="26"/>
          <w:szCs w:val="26"/>
        </w:rPr>
      </w:pPr>
    </w:p>
    <w:p w14:paraId="332EFF39" w14:textId="77777777" w:rsidR="001679B3" w:rsidRPr="00C564BA" w:rsidRDefault="001679B3" w:rsidP="001679B3">
      <w:pPr>
        <w:keepNext/>
        <w:keepLines/>
        <w:rPr>
          <w:sz w:val="26"/>
          <w:szCs w:val="26"/>
        </w:rPr>
      </w:pPr>
    </w:p>
    <w:p w14:paraId="2D01FDF5" w14:textId="77777777" w:rsidR="001679B3" w:rsidRPr="00C564BA" w:rsidRDefault="001679B3" w:rsidP="00C564BA">
      <w:pPr>
        <w:keepNext/>
        <w:keepLines/>
        <w:ind w:left="4320" w:firstLine="720"/>
        <w:rPr>
          <w:sz w:val="26"/>
          <w:szCs w:val="26"/>
        </w:rPr>
      </w:pPr>
      <w:r w:rsidRPr="00C564BA">
        <w:rPr>
          <w:sz w:val="26"/>
          <w:szCs w:val="26"/>
        </w:rPr>
        <w:t>Rosemary Chiavetta</w:t>
      </w:r>
    </w:p>
    <w:p w14:paraId="40786816" w14:textId="009111A5" w:rsidR="001679B3" w:rsidRPr="00C564BA" w:rsidRDefault="001679B3" w:rsidP="00C564BA">
      <w:pPr>
        <w:keepNext/>
        <w:keepLines/>
        <w:ind w:left="4320" w:firstLine="720"/>
        <w:rPr>
          <w:sz w:val="26"/>
          <w:szCs w:val="26"/>
        </w:rPr>
      </w:pPr>
      <w:r w:rsidRPr="00C564BA">
        <w:rPr>
          <w:sz w:val="26"/>
          <w:szCs w:val="26"/>
        </w:rPr>
        <w:t>Secretary</w:t>
      </w:r>
    </w:p>
    <w:p w14:paraId="663DE3CA" w14:textId="292354D4" w:rsidR="001679B3" w:rsidRPr="00C564BA" w:rsidRDefault="001679B3" w:rsidP="001679B3">
      <w:pPr>
        <w:keepNext/>
        <w:keepLines/>
        <w:rPr>
          <w:sz w:val="26"/>
          <w:szCs w:val="26"/>
        </w:rPr>
      </w:pPr>
    </w:p>
    <w:p w14:paraId="78B775EE" w14:textId="77777777" w:rsidR="00E90AD8" w:rsidRPr="00C564BA" w:rsidRDefault="00E90AD8" w:rsidP="001679B3">
      <w:pPr>
        <w:keepNext/>
        <w:keepLines/>
        <w:rPr>
          <w:sz w:val="26"/>
          <w:szCs w:val="26"/>
        </w:rPr>
      </w:pPr>
    </w:p>
    <w:p w14:paraId="371A1CC4" w14:textId="020E469C" w:rsidR="001679B3" w:rsidRPr="00C564BA" w:rsidRDefault="001679B3" w:rsidP="001679B3">
      <w:pPr>
        <w:keepNext/>
        <w:keepLines/>
        <w:rPr>
          <w:sz w:val="26"/>
          <w:szCs w:val="26"/>
        </w:rPr>
      </w:pPr>
      <w:r w:rsidRPr="00C564BA">
        <w:rPr>
          <w:sz w:val="26"/>
          <w:szCs w:val="26"/>
        </w:rPr>
        <w:t>(SEAL)</w:t>
      </w:r>
    </w:p>
    <w:p w14:paraId="7FCE4DA9" w14:textId="77777777" w:rsidR="001679B3" w:rsidRPr="00C564BA" w:rsidRDefault="001679B3" w:rsidP="001679B3">
      <w:pPr>
        <w:keepNext/>
        <w:keepLines/>
        <w:rPr>
          <w:sz w:val="26"/>
          <w:szCs w:val="26"/>
        </w:rPr>
      </w:pPr>
    </w:p>
    <w:p w14:paraId="28865105" w14:textId="69F09824" w:rsidR="001679B3" w:rsidRPr="00C564BA" w:rsidRDefault="001679B3" w:rsidP="001679B3">
      <w:pPr>
        <w:keepNext/>
        <w:keepLines/>
        <w:tabs>
          <w:tab w:val="left" w:pos="-720"/>
        </w:tabs>
        <w:suppressAutoHyphens/>
        <w:rPr>
          <w:sz w:val="26"/>
          <w:szCs w:val="26"/>
        </w:rPr>
      </w:pPr>
      <w:r w:rsidRPr="00C564BA">
        <w:rPr>
          <w:sz w:val="26"/>
          <w:szCs w:val="26"/>
        </w:rPr>
        <w:t xml:space="preserve">ORDER ADOPTED:  December </w:t>
      </w:r>
      <w:r w:rsidR="004262B9" w:rsidRPr="00C564BA">
        <w:rPr>
          <w:sz w:val="26"/>
          <w:szCs w:val="26"/>
        </w:rPr>
        <w:t>16</w:t>
      </w:r>
      <w:r w:rsidRPr="00C564BA">
        <w:rPr>
          <w:sz w:val="26"/>
          <w:szCs w:val="26"/>
        </w:rPr>
        <w:t>, 2021</w:t>
      </w:r>
    </w:p>
    <w:p w14:paraId="43DEF3C6" w14:textId="77777777" w:rsidR="001679B3" w:rsidRPr="00C564BA" w:rsidRDefault="001679B3" w:rsidP="001679B3">
      <w:pPr>
        <w:keepNext/>
        <w:keepLines/>
        <w:tabs>
          <w:tab w:val="left" w:pos="-720"/>
        </w:tabs>
        <w:suppressAutoHyphens/>
        <w:rPr>
          <w:sz w:val="26"/>
          <w:szCs w:val="26"/>
        </w:rPr>
      </w:pPr>
    </w:p>
    <w:p w14:paraId="4B488FA7" w14:textId="5310929C" w:rsidR="001679B3" w:rsidRDefault="001679B3" w:rsidP="00C564BA">
      <w:pPr>
        <w:keepNext/>
        <w:keepLines/>
        <w:tabs>
          <w:tab w:val="left" w:pos="-720"/>
        </w:tabs>
        <w:suppressAutoHyphens/>
      </w:pPr>
      <w:r w:rsidRPr="00C564BA">
        <w:rPr>
          <w:sz w:val="26"/>
          <w:szCs w:val="26"/>
        </w:rPr>
        <w:t xml:space="preserve">ORDER ENTERED:  </w:t>
      </w:r>
      <w:r w:rsidR="004E6CC1">
        <w:rPr>
          <w:sz w:val="26"/>
          <w:szCs w:val="26"/>
        </w:rPr>
        <w:t>December 16, 2021</w:t>
      </w:r>
    </w:p>
    <w:sectPr w:rsidR="001679B3" w:rsidSect="002D2DE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E3DF" w14:textId="77777777" w:rsidR="006F5B05" w:rsidRDefault="006F5B05" w:rsidP="00B560FB">
      <w:r>
        <w:separator/>
      </w:r>
    </w:p>
  </w:endnote>
  <w:endnote w:type="continuationSeparator" w:id="0">
    <w:p w14:paraId="37070DAE" w14:textId="77777777" w:rsidR="006F5B05" w:rsidRDefault="006F5B05" w:rsidP="00B5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36658"/>
      <w:docPartObj>
        <w:docPartGallery w:val="Page Numbers (Bottom of Page)"/>
        <w:docPartUnique/>
      </w:docPartObj>
    </w:sdtPr>
    <w:sdtEndPr>
      <w:rPr>
        <w:noProof/>
        <w:sz w:val="26"/>
        <w:szCs w:val="26"/>
      </w:rPr>
    </w:sdtEndPr>
    <w:sdtContent>
      <w:p w14:paraId="7C52BE0A" w14:textId="5F922846" w:rsidR="002D2DE5" w:rsidRPr="00586D5B" w:rsidRDefault="002D2DE5" w:rsidP="00586D5B">
        <w:pPr>
          <w:pStyle w:val="Footer"/>
          <w:jc w:val="center"/>
          <w:rPr>
            <w:sz w:val="26"/>
            <w:szCs w:val="26"/>
          </w:rPr>
        </w:pPr>
        <w:r w:rsidRPr="00586D5B">
          <w:rPr>
            <w:sz w:val="26"/>
            <w:szCs w:val="26"/>
          </w:rPr>
          <w:fldChar w:fldCharType="begin"/>
        </w:r>
        <w:r w:rsidRPr="00586D5B">
          <w:rPr>
            <w:sz w:val="26"/>
            <w:szCs w:val="26"/>
          </w:rPr>
          <w:instrText xml:space="preserve"> PAGE   \* MERGEFORMAT </w:instrText>
        </w:r>
        <w:r w:rsidRPr="00586D5B">
          <w:rPr>
            <w:sz w:val="26"/>
            <w:szCs w:val="26"/>
          </w:rPr>
          <w:fldChar w:fldCharType="separate"/>
        </w:r>
        <w:r w:rsidRPr="00586D5B">
          <w:rPr>
            <w:noProof/>
            <w:sz w:val="26"/>
            <w:szCs w:val="26"/>
          </w:rPr>
          <w:t>2</w:t>
        </w:r>
        <w:r w:rsidRPr="00586D5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22E8" w14:textId="77777777" w:rsidR="006F5B05" w:rsidRDefault="006F5B05" w:rsidP="00B560FB">
      <w:r>
        <w:separator/>
      </w:r>
    </w:p>
  </w:footnote>
  <w:footnote w:type="continuationSeparator" w:id="0">
    <w:p w14:paraId="3E0D2731" w14:textId="77777777" w:rsidR="006F5B05" w:rsidRDefault="006F5B05" w:rsidP="00B560FB">
      <w:r>
        <w:continuationSeparator/>
      </w:r>
    </w:p>
  </w:footnote>
  <w:footnote w:id="1">
    <w:p w14:paraId="152B24A8" w14:textId="670504A3" w:rsidR="00CD354A" w:rsidRPr="00586D5B" w:rsidRDefault="00784781" w:rsidP="00586D5B">
      <w:pPr>
        <w:pStyle w:val="FootnoteText"/>
        <w:keepNext/>
        <w:keepLines/>
        <w:spacing w:after="120" w:line="240" w:lineRule="auto"/>
        <w:ind w:firstLine="720"/>
        <w:rPr>
          <w:color w:val="252525"/>
          <w:sz w:val="26"/>
          <w:szCs w:val="26"/>
        </w:rPr>
      </w:pPr>
      <w:r w:rsidRPr="00384C8C">
        <w:rPr>
          <w:rStyle w:val="FootnoteReference"/>
          <w:sz w:val="26"/>
          <w:szCs w:val="26"/>
        </w:rPr>
        <w:footnoteRef/>
      </w:r>
      <w:r w:rsidR="00D1552C">
        <w:rPr>
          <w:sz w:val="26"/>
          <w:szCs w:val="26"/>
        </w:rPr>
        <w:t xml:space="preserve"> </w:t>
      </w:r>
      <w:r w:rsidR="00D1552C">
        <w:rPr>
          <w:sz w:val="26"/>
          <w:szCs w:val="26"/>
        </w:rPr>
        <w:tab/>
      </w:r>
      <w:r>
        <w:rPr>
          <w:sz w:val="26"/>
          <w:szCs w:val="26"/>
        </w:rPr>
        <w:t>“</w:t>
      </w:r>
      <w:r w:rsidRPr="00384C8C">
        <w:rPr>
          <w:bCs/>
          <w:color w:val="252525"/>
          <w:sz w:val="26"/>
          <w:szCs w:val="26"/>
        </w:rPr>
        <w:t>Slamming</w:t>
      </w:r>
      <w:r>
        <w:rPr>
          <w:color w:val="252525"/>
          <w:sz w:val="26"/>
          <w:szCs w:val="26"/>
        </w:rPr>
        <w:t>”</w:t>
      </w:r>
      <w:r w:rsidRPr="00384C8C">
        <w:rPr>
          <w:color w:val="252525"/>
          <w:sz w:val="26"/>
          <w:szCs w:val="26"/>
        </w:rPr>
        <w:t xml:space="preserve"> is an unauthorized change made to a customer</w:t>
      </w:r>
      <w:r>
        <w:rPr>
          <w:color w:val="252525"/>
          <w:sz w:val="26"/>
          <w:szCs w:val="26"/>
        </w:rPr>
        <w:t>’</w:t>
      </w:r>
      <w:r w:rsidRPr="00384C8C">
        <w:rPr>
          <w:color w:val="252525"/>
          <w:sz w:val="26"/>
          <w:szCs w:val="26"/>
        </w:rPr>
        <w:t>s supply service</w:t>
      </w:r>
      <w:r>
        <w:rPr>
          <w:color w:val="252525"/>
          <w:sz w:val="26"/>
          <w:szCs w:val="26"/>
        </w:rPr>
        <w:t xml:space="preserve">.  </w:t>
      </w:r>
      <w:r w:rsidRPr="00136D30">
        <w:rPr>
          <w:i/>
          <w:color w:val="252525"/>
          <w:sz w:val="26"/>
          <w:szCs w:val="26"/>
        </w:rPr>
        <w:t>HIKO Energy LLC v. Pa. PUC</w:t>
      </w:r>
      <w:r>
        <w:rPr>
          <w:color w:val="252525"/>
          <w:sz w:val="26"/>
          <w:szCs w:val="26"/>
        </w:rPr>
        <w:t>, 163 A.3d 1079, 1090 (Pa. Cmwlth. 2017).</w:t>
      </w:r>
    </w:p>
  </w:footnote>
  <w:footnote w:id="2">
    <w:p w14:paraId="33D1FF79" w14:textId="5A0A4320" w:rsidR="00997F99" w:rsidRPr="007D26C8" w:rsidRDefault="00997F99" w:rsidP="00586D5B">
      <w:pPr>
        <w:pStyle w:val="FootnoteText"/>
        <w:spacing w:after="120" w:line="240" w:lineRule="auto"/>
        <w:ind w:firstLine="720"/>
        <w:rPr>
          <w:sz w:val="26"/>
          <w:szCs w:val="26"/>
        </w:rPr>
      </w:pPr>
      <w:r w:rsidRPr="007D26C8">
        <w:rPr>
          <w:rStyle w:val="FootnoteReference"/>
          <w:sz w:val="26"/>
          <w:szCs w:val="26"/>
        </w:rPr>
        <w:footnoteRef/>
      </w:r>
      <w:r w:rsidRPr="007D26C8">
        <w:rPr>
          <w:sz w:val="26"/>
          <w:szCs w:val="26"/>
        </w:rPr>
        <w:t xml:space="preserve"> </w:t>
      </w:r>
      <w:r>
        <w:rPr>
          <w:sz w:val="26"/>
          <w:szCs w:val="26"/>
        </w:rPr>
        <w:tab/>
        <w:t>An appeal of a BCS informal complaint decision is a de novo review conducted by either an ALJ or a special agent. 52 Pa. Code § 56.173(a).</w:t>
      </w:r>
    </w:p>
  </w:footnote>
  <w:footnote w:id="3">
    <w:p w14:paraId="11DC662F" w14:textId="08FC48F8" w:rsidR="00CD354A" w:rsidRPr="00CD354A" w:rsidRDefault="00CD354A" w:rsidP="00CD354A">
      <w:pPr>
        <w:pStyle w:val="FootnoteText"/>
        <w:spacing w:line="240" w:lineRule="auto"/>
        <w:ind w:firstLine="720"/>
        <w:rPr>
          <w:sz w:val="26"/>
          <w:szCs w:val="26"/>
        </w:rPr>
      </w:pPr>
      <w:r w:rsidRPr="00CD354A">
        <w:rPr>
          <w:rStyle w:val="FootnoteReference"/>
          <w:sz w:val="26"/>
          <w:szCs w:val="26"/>
        </w:rPr>
        <w:footnoteRef/>
      </w:r>
      <w:r w:rsidRPr="00CD354A">
        <w:rPr>
          <w:sz w:val="26"/>
          <w:szCs w:val="26"/>
        </w:rPr>
        <w:t xml:space="preserve"> </w:t>
      </w:r>
      <w:r>
        <w:rPr>
          <w:sz w:val="26"/>
          <w:szCs w:val="26"/>
        </w:rPr>
        <w:tab/>
        <w:t xml:space="preserve">NRG Residential is an electric generation supplier </w:t>
      </w:r>
      <w:r w:rsidR="00971761">
        <w:rPr>
          <w:sz w:val="26"/>
          <w:szCs w:val="26"/>
        </w:rPr>
        <w:t xml:space="preserve">(EGS) </w:t>
      </w:r>
      <w:r>
        <w:rPr>
          <w:sz w:val="26"/>
          <w:szCs w:val="26"/>
        </w:rPr>
        <w:t xml:space="preserve">and its sister company, NRG Home, is a natural gas supplier </w:t>
      </w:r>
      <w:r w:rsidR="00971761">
        <w:rPr>
          <w:sz w:val="26"/>
          <w:szCs w:val="26"/>
        </w:rPr>
        <w:t xml:space="preserve">(NGS) </w:t>
      </w:r>
      <w:r>
        <w:rPr>
          <w:sz w:val="26"/>
          <w:szCs w:val="26"/>
        </w:rPr>
        <w:t xml:space="preserve">to residential customers in PECO’s territory.  </w:t>
      </w:r>
    </w:p>
  </w:footnote>
  <w:footnote w:id="4">
    <w:p w14:paraId="30DAD411" w14:textId="35C4628D" w:rsidR="006820C2" w:rsidRPr="0063169B" w:rsidRDefault="006820C2" w:rsidP="006820C2">
      <w:pPr>
        <w:pStyle w:val="FootnoteText"/>
        <w:spacing w:line="240" w:lineRule="auto"/>
        <w:ind w:firstLine="720"/>
        <w:rPr>
          <w:sz w:val="26"/>
          <w:szCs w:val="26"/>
        </w:rPr>
      </w:pPr>
      <w:r w:rsidRPr="0063169B">
        <w:rPr>
          <w:rStyle w:val="FootnoteReference"/>
          <w:sz w:val="26"/>
          <w:szCs w:val="26"/>
        </w:rPr>
        <w:footnoteRef/>
      </w:r>
      <w:r w:rsidRPr="0063169B">
        <w:rPr>
          <w:sz w:val="26"/>
          <w:szCs w:val="26"/>
        </w:rPr>
        <w:t xml:space="preserve"> </w:t>
      </w:r>
      <w:r w:rsidR="00A650DA">
        <w:rPr>
          <w:sz w:val="26"/>
          <w:szCs w:val="26"/>
        </w:rPr>
        <w:tab/>
      </w:r>
      <w:r w:rsidR="0063169B" w:rsidRPr="0063169B">
        <w:rPr>
          <w:sz w:val="26"/>
          <w:szCs w:val="26"/>
        </w:rPr>
        <w:t xml:space="preserve">The Commission has the authority to direct EGSs to refund charges for electric generation supply service and to direct NGSs to refund charges for natural gas supply service when switches </w:t>
      </w:r>
      <w:r w:rsidR="000B78A0">
        <w:rPr>
          <w:sz w:val="26"/>
          <w:szCs w:val="26"/>
        </w:rPr>
        <w:t>are</w:t>
      </w:r>
      <w:r w:rsidR="0063169B" w:rsidRPr="0063169B">
        <w:rPr>
          <w:sz w:val="26"/>
          <w:szCs w:val="26"/>
        </w:rPr>
        <w:t xml:space="preserve"> not authorized. 52 Pa.</w:t>
      </w:r>
      <w:r w:rsidR="000B78A0">
        <w:rPr>
          <w:sz w:val="26"/>
          <w:szCs w:val="26"/>
        </w:rPr>
        <w:t xml:space="preserve"> </w:t>
      </w:r>
      <w:r w:rsidR="0063169B" w:rsidRPr="0063169B">
        <w:rPr>
          <w:sz w:val="26"/>
          <w:szCs w:val="26"/>
        </w:rPr>
        <w:t>Code §§ 57.177(b) and 59.97(b).</w:t>
      </w:r>
    </w:p>
  </w:footnote>
  <w:footnote w:id="5">
    <w:p w14:paraId="676CD94D" w14:textId="4A26583B" w:rsidR="0093133A" w:rsidRPr="00586D5B" w:rsidRDefault="0093133A" w:rsidP="00586D5B">
      <w:pPr>
        <w:ind w:firstLine="720"/>
        <w:rPr>
          <w:sz w:val="26"/>
          <w:szCs w:val="26"/>
        </w:rPr>
      </w:pPr>
      <w:r w:rsidRPr="007D26C8">
        <w:rPr>
          <w:rStyle w:val="FootnoteReference"/>
          <w:sz w:val="26"/>
          <w:szCs w:val="26"/>
        </w:rPr>
        <w:footnoteRef/>
      </w:r>
      <w:r w:rsidRPr="007D26C8">
        <w:rPr>
          <w:sz w:val="26"/>
          <w:szCs w:val="26"/>
        </w:rPr>
        <w:t xml:space="preserve"> </w:t>
      </w:r>
      <w:r w:rsidRPr="007D26C8">
        <w:rPr>
          <w:sz w:val="26"/>
          <w:szCs w:val="26"/>
        </w:rPr>
        <w:tab/>
      </w:r>
      <w:r w:rsidR="003140EE">
        <w:rPr>
          <w:rFonts w:eastAsia="Batang"/>
          <w:sz w:val="26"/>
          <w:szCs w:val="26"/>
        </w:rPr>
        <w:t xml:space="preserve">Although, the </w:t>
      </w:r>
      <w:r w:rsidR="003140EE" w:rsidRPr="00E16D75">
        <w:rPr>
          <w:rFonts w:eastAsia="Batang"/>
          <w:sz w:val="26"/>
          <w:szCs w:val="26"/>
        </w:rPr>
        <w:t>ALJ concluded that no pattern of unauthorized enrollments by NRG Residential was established at the hearing</w:t>
      </w:r>
      <w:r w:rsidR="003140EE">
        <w:rPr>
          <w:rFonts w:eastAsia="Batang"/>
          <w:sz w:val="26"/>
          <w:szCs w:val="26"/>
        </w:rPr>
        <w:t xml:space="preserve">, </w:t>
      </w:r>
      <w:r w:rsidR="003140EE">
        <w:rPr>
          <w:sz w:val="26"/>
          <w:szCs w:val="26"/>
        </w:rPr>
        <w:t>w</w:t>
      </w:r>
      <w:r w:rsidRPr="007D26C8">
        <w:rPr>
          <w:sz w:val="26"/>
          <w:szCs w:val="26"/>
        </w:rPr>
        <w:t>e note that in a separate Commission proceeding</w:t>
      </w:r>
      <w:r w:rsidR="009C3EC1">
        <w:rPr>
          <w:sz w:val="26"/>
          <w:szCs w:val="26"/>
        </w:rPr>
        <w:t xml:space="preserve">, </w:t>
      </w:r>
      <w:r>
        <w:rPr>
          <w:sz w:val="26"/>
          <w:szCs w:val="26"/>
        </w:rPr>
        <w:t xml:space="preserve">BCS received approximately </w:t>
      </w:r>
      <w:r w:rsidR="007D26C8">
        <w:rPr>
          <w:sz w:val="26"/>
          <w:szCs w:val="26"/>
        </w:rPr>
        <w:t>six</w:t>
      </w:r>
      <w:r>
        <w:rPr>
          <w:sz w:val="26"/>
          <w:szCs w:val="26"/>
        </w:rPr>
        <w:t xml:space="preserve"> informal complaints </w:t>
      </w:r>
      <w:r w:rsidR="00C558C2">
        <w:rPr>
          <w:sz w:val="26"/>
          <w:szCs w:val="26"/>
        </w:rPr>
        <w:t xml:space="preserve">between April and September 2018, </w:t>
      </w:r>
      <w:r>
        <w:rPr>
          <w:sz w:val="26"/>
          <w:szCs w:val="26"/>
        </w:rPr>
        <w:t>submitted by residential customers alleging that their electricity accounts</w:t>
      </w:r>
      <w:r w:rsidR="00ED53D1">
        <w:rPr>
          <w:sz w:val="26"/>
          <w:szCs w:val="26"/>
        </w:rPr>
        <w:t xml:space="preserve"> were </w:t>
      </w:r>
      <w:r>
        <w:rPr>
          <w:sz w:val="26"/>
          <w:szCs w:val="26"/>
        </w:rPr>
        <w:t>switched to receive electric generation service supplied by NRG Home without their authorization.</w:t>
      </w:r>
      <w:r w:rsidR="003140EE">
        <w:rPr>
          <w:sz w:val="26"/>
          <w:szCs w:val="26"/>
        </w:rPr>
        <w:t xml:space="preserve">  A review by BCS of the informal complaints determined that the alleged unauthorized enrollments were set up by agents who used </w:t>
      </w:r>
      <w:r w:rsidR="007D26C8">
        <w:rPr>
          <w:sz w:val="26"/>
          <w:szCs w:val="26"/>
        </w:rPr>
        <w:t xml:space="preserve">an </w:t>
      </w:r>
      <w:r w:rsidR="003140EE">
        <w:rPr>
          <w:sz w:val="26"/>
          <w:szCs w:val="26"/>
        </w:rPr>
        <w:t xml:space="preserve">eligible customer list at public retail locations, such as big box stores.  BCS became concerned that NRG Home agents were improperly using the eligible customer list, which contains customer information, to switch customers to NRG Home without the customers’ consent.  Therefore, BCS referred the matter to the Commission’s Bureau of Investigation and Enforcement (I&amp;E).  </w:t>
      </w:r>
      <w:r w:rsidR="00C558C2">
        <w:rPr>
          <w:sz w:val="26"/>
          <w:szCs w:val="26"/>
        </w:rPr>
        <w:t xml:space="preserve">This investigation ultimately resulted in a Settlement Agreement </w:t>
      </w:r>
      <w:r w:rsidR="00C558C2" w:rsidRPr="003F7EE6">
        <w:rPr>
          <w:sz w:val="26"/>
          <w:szCs w:val="26"/>
        </w:rPr>
        <w:t xml:space="preserve">filed </w:t>
      </w:r>
      <w:r w:rsidR="00C558C2">
        <w:rPr>
          <w:sz w:val="26"/>
          <w:szCs w:val="26"/>
        </w:rPr>
        <w:t xml:space="preserve">with the Commission </w:t>
      </w:r>
      <w:r w:rsidR="00C558C2" w:rsidRPr="003F7EE6">
        <w:rPr>
          <w:sz w:val="26"/>
          <w:szCs w:val="26"/>
        </w:rPr>
        <w:t xml:space="preserve">on </w:t>
      </w:r>
      <w:r w:rsidR="00C558C2">
        <w:rPr>
          <w:sz w:val="26"/>
          <w:szCs w:val="26"/>
        </w:rPr>
        <w:t>September 29, 2020</w:t>
      </w:r>
      <w:r w:rsidR="00C558C2" w:rsidRPr="003F7EE6">
        <w:rPr>
          <w:sz w:val="26"/>
          <w:szCs w:val="26"/>
        </w:rPr>
        <w:t>, by I&amp;</w:t>
      </w:r>
      <w:r w:rsidR="00C558C2">
        <w:rPr>
          <w:sz w:val="26"/>
          <w:szCs w:val="26"/>
        </w:rPr>
        <w:t>E</w:t>
      </w:r>
      <w:r w:rsidR="00C558C2" w:rsidRPr="003F7EE6">
        <w:rPr>
          <w:sz w:val="26"/>
          <w:szCs w:val="26"/>
        </w:rPr>
        <w:t xml:space="preserve"> and </w:t>
      </w:r>
      <w:r w:rsidR="00C558C2">
        <w:rPr>
          <w:sz w:val="26"/>
          <w:szCs w:val="26"/>
        </w:rPr>
        <w:t>Reliant Energy Northeast LLC d/b/a Reliant Energy, NRG Business Solutions, Reliant-NRG, NRG Residential Solutions, NRG Retail Solutions, NRG Home and NRG Business</w:t>
      </w:r>
      <w:r w:rsidR="00A77A0F">
        <w:rPr>
          <w:sz w:val="26"/>
          <w:szCs w:val="26"/>
        </w:rPr>
        <w:t xml:space="preserve"> (collectively, Company)</w:t>
      </w:r>
      <w:r w:rsidR="00C558C2">
        <w:rPr>
          <w:sz w:val="26"/>
          <w:szCs w:val="26"/>
        </w:rPr>
        <w:t>.  The</w:t>
      </w:r>
      <w:r w:rsidR="00A77A0F">
        <w:rPr>
          <w:sz w:val="26"/>
          <w:szCs w:val="26"/>
        </w:rPr>
        <w:t xml:space="preserve"> </w:t>
      </w:r>
      <w:r w:rsidR="00C558C2">
        <w:rPr>
          <w:sz w:val="26"/>
          <w:szCs w:val="26"/>
        </w:rPr>
        <w:t>Settlement Agreemen</w:t>
      </w:r>
      <w:r w:rsidR="00A77A0F">
        <w:rPr>
          <w:sz w:val="26"/>
          <w:szCs w:val="26"/>
        </w:rPr>
        <w:t xml:space="preserve">t, which, </w:t>
      </w:r>
      <w:r w:rsidR="00A77A0F" w:rsidRPr="007D26C8">
        <w:rPr>
          <w:i/>
          <w:iCs/>
          <w:sz w:val="26"/>
          <w:szCs w:val="26"/>
        </w:rPr>
        <w:t>inter alia,</w:t>
      </w:r>
      <w:r w:rsidR="00A77A0F">
        <w:rPr>
          <w:sz w:val="26"/>
          <w:szCs w:val="26"/>
        </w:rPr>
        <w:t xml:space="preserve"> assessed the Company a civil penalty of $175,000, was approved by the Commission on March</w:t>
      </w:r>
      <w:r w:rsidR="000865E5">
        <w:rPr>
          <w:sz w:val="26"/>
          <w:szCs w:val="26"/>
        </w:rPr>
        <w:t> </w:t>
      </w:r>
      <w:r w:rsidR="00A77A0F">
        <w:rPr>
          <w:sz w:val="26"/>
          <w:szCs w:val="26"/>
        </w:rPr>
        <w:t>25,</w:t>
      </w:r>
      <w:r w:rsidR="000865E5">
        <w:rPr>
          <w:sz w:val="26"/>
          <w:szCs w:val="26"/>
        </w:rPr>
        <w:t> </w:t>
      </w:r>
      <w:r w:rsidR="00A77A0F">
        <w:rPr>
          <w:sz w:val="26"/>
          <w:szCs w:val="26"/>
        </w:rPr>
        <w:t xml:space="preserve">2021.  </w:t>
      </w:r>
      <w:r w:rsidR="00A77A0F" w:rsidRPr="007D26C8">
        <w:rPr>
          <w:i/>
          <w:iCs/>
          <w:sz w:val="26"/>
          <w:szCs w:val="26"/>
        </w:rPr>
        <w:t>See</w:t>
      </w:r>
      <w:r w:rsidR="00A77A0F">
        <w:rPr>
          <w:sz w:val="26"/>
          <w:szCs w:val="26"/>
        </w:rPr>
        <w:t xml:space="preserve"> </w:t>
      </w:r>
      <w:r w:rsidR="009C3EC1" w:rsidRPr="005C7A8B">
        <w:rPr>
          <w:i/>
          <w:iCs/>
          <w:sz w:val="26"/>
          <w:szCs w:val="26"/>
        </w:rPr>
        <w:t>P</w:t>
      </w:r>
      <w:r w:rsidR="007D26C8">
        <w:rPr>
          <w:i/>
          <w:iCs/>
          <w:sz w:val="26"/>
          <w:szCs w:val="26"/>
        </w:rPr>
        <w:t>a. PUC</w:t>
      </w:r>
      <w:r w:rsidR="009C3EC1" w:rsidRPr="005C7A8B">
        <w:rPr>
          <w:i/>
          <w:iCs/>
          <w:sz w:val="26"/>
          <w:szCs w:val="26"/>
        </w:rPr>
        <w:t>, Bureau of Investigation and Enforcement v. Reliant Energy Northeast LLC d/b/a Reliant Energy, NRG Business Solutions, Reliant-NRG, NRG Residential Solutions, NRG Retail Solutions, NRG Home and NRG Business,</w:t>
      </w:r>
      <w:r w:rsidR="009C3EC1">
        <w:rPr>
          <w:sz w:val="26"/>
          <w:szCs w:val="26"/>
        </w:rPr>
        <w:t xml:space="preserve"> Docket No. </w:t>
      </w:r>
      <w:r w:rsidR="009C3EC1" w:rsidRPr="003F7EE6">
        <w:rPr>
          <w:sz w:val="26"/>
          <w:szCs w:val="26"/>
        </w:rPr>
        <w:t>M-20</w:t>
      </w:r>
      <w:r w:rsidR="009C3EC1">
        <w:rPr>
          <w:sz w:val="26"/>
          <w:szCs w:val="26"/>
        </w:rPr>
        <w:t>20-3006647 (Order entered March 25, 2021).</w:t>
      </w:r>
      <w:r w:rsidR="006D3D23">
        <w:rPr>
          <w:sz w:val="26"/>
          <w:szCs w:val="26"/>
        </w:rPr>
        <w:t xml:space="preserve">  </w:t>
      </w:r>
      <w:bookmarkStart w:id="2" w:name="_Hlk89155372"/>
      <w:bookmarkStart w:id="3" w:name="_Hlk88474302"/>
      <w:r w:rsidR="00AB0DE5" w:rsidRPr="00B53B36">
        <w:rPr>
          <w:sz w:val="26"/>
          <w:szCs w:val="26"/>
        </w:rPr>
        <w:t xml:space="preserve">We note that although this </w:t>
      </w:r>
      <w:r w:rsidR="006B662E" w:rsidRPr="00B53B36">
        <w:rPr>
          <w:sz w:val="26"/>
          <w:szCs w:val="26"/>
        </w:rPr>
        <w:t xml:space="preserve">order that we issued in March </w:t>
      </w:r>
      <w:r w:rsidR="00AB0DE5" w:rsidRPr="00B53B36">
        <w:rPr>
          <w:sz w:val="26"/>
          <w:szCs w:val="26"/>
        </w:rPr>
        <w:t>involves NRG</w:t>
      </w:r>
      <w:r w:rsidR="00010964" w:rsidRPr="00B53B36">
        <w:rPr>
          <w:sz w:val="26"/>
          <w:szCs w:val="26"/>
        </w:rPr>
        <w:t xml:space="preserve"> Residential as an </w:t>
      </w:r>
      <w:r w:rsidR="001E6ECF">
        <w:rPr>
          <w:sz w:val="26"/>
          <w:szCs w:val="26"/>
        </w:rPr>
        <w:t>EGS</w:t>
      </w:r>
      <w:r w:rsidR="00010964" w:rsidRPr="00B53B36">
        <w:rPr>
          <w:sz w:val="26"/>
          <w:szCs w:val="26"/>
        </w:rPr>
        <w:t xml:space="preserve"> rather than a</w:t>
      </w:r>
      <w:r w:rsidR="00AE6D65">
        <w:rPr>
          <w:sz w:val="26"/>
          <w:szCs w:val="26"/>
        </w:rPr>
        <w:t>n</w:t>
      </w:r>
      <w:r w:rsidR="00010964" w:rsidRPr="00B53B36">
        <w:rPr>
          <w:sz w:val="26"/>
          <w:szCs w:val="26"/>
        </w:rPr>
        <w:t xml:space="preserve"> </w:t>
      </w:r>
      <w:r w:rsidR="001E6ECF">
        <w:rPr>
          <w:sz w:val="26"/>
          <w:szCs w:val="26"/>
        </w:rPr>
        <w:t>NGS</w:t>
      </w:r>
      <w:r w:rsidR="00EF4508" w:rsidRPr="00B53B36">
        <w:rPr>
          <w:sz w:val="26"/>
          <w:szCs w:val="26"/>
        </w:rPr>
        <w:t xml:space="preserve">, </w:t>
      </w:r>
      <w:r w:rsidR="00515041" w:rsidRPr="00B53B36">
        <w:rPr>
          <w:sz w:val="26"/>
          <w:szCs w:val="26"/>
        </w:rPr>
        <w:t xml:space="preserve">we are concerned about the allegations raised in this proceeding and about the </w:t>
      </w:r>
      <w:r w:rsidR="00637515" w:rsidRPr="00B53B36">
        <w:rPr>
          <w:sz w:val="26"/>
          <w:szCs w:val="26"/>
        </w:rPr>
        <w:t>similarities between the cases</w:t>
      </w:r>
      <w:r w:rsidR="00FF45E4" w:rsidRPr="00B53B36">
        <w:rPr>
          <w:sz w:val="26"/>
          <w:szCs w:val="26"/>
        </w:rPr>
        <w:t xml:space="preserve">.  </w:t>
      </w:r>
      <w:r w:rsidR="00166C26" w:rsidRPr="004262B9">
        <w:rPr>
          <w:sz w:val="26"/>
          <w:szCs w:val="26"/>
        </w:rPr>
        <w:t>Therefore</w:t>
      </w:r>
      <w:r w:rsidR="00166C26">
        <w:rPr>
          <w:sz w:val="26"/>
          <w:szCs w:val="26"/>
        </w:rPr>
        <w:t xml:space="preserve">, we will take this opportunity to remind </w:t>
      </w:r>
      <w:r w:rsidR="00FD2ACD">
        <w:rPr>
          <w:sz w:val="26"/>
          <w:szCs w:val="26"/>
        </w:rPr>
        <w:t xml:space="preserve">EGSs </w:t>
      </w:r>
      <w:r w:rsidR="00166C26">
        <w:rPr>
          <w:sz w:val="26"/>
          <w:szCs w:val="26"/>
        </w:rPr>
        <w:t xml:space="preserve">and </w:t>
      </w:r>
      <w:r w:rsidR="00FD2ACD">
        <w:rPr>
          <w:sz w:val="26"/>
          <w:szCs w:val="26"/>
        </w:rPr>
        <w:t>NGSs</w:t>
      </w:r>
      <w:r w:rsidR="00166C26">
        <w:rPr>
          <w:sz w:val="26"/>
          <w:szCs w:val="26"/>
        </w:rPr>
        <w:t xml:space="preserve"> in the </w:t>
      </w:r>
      <w:r w:rsidR="00B53B36">
        <w:rPr>
          <w:sz w:val="26"/>
          <w:szCs w:val="26"/>
        </w:rPr>
        <w:t>Commonwealth to</w:t>
      </w:r>
      <w:r w:rsidR="00166C26">
        <w:rPr>
          <w:sz w:val="26"/>
          <w:szCs w:val="26"/>
        </w:rPr>
        <w:t xml:space="preserve"> conduct their </w:t>
      </w:r>
      <w:r w:rsidR="003F5A54">
        <w:rPr>
          <w:sz w:val="26"/>
          <w:szCs w:val="26"/>
        </w:rPr>
        <w:t>businesses in</w:t>
      </w:r>
      <w:r w:rsidR="00166C26">
        <w:rPr>
          <w:sz w:val="26"/>
          <w:szCs w:val="26"/>
        </w:rPr>
        <w:t xml:space="preserve"> a proper and lawful manner.</w:t>
      </w:r>
      <w:bookmarkEnd w:id="2"/>
      <w:bookmarkEnd w:id="3"/>
    </w:p>
  </w:footnote>
  <w:footnote w:id="6">
    <w:p w14:paraId="3E30DC8E" w14:textId="6ED2075F" w:rsidR="007C36E3" w:rsidRPr="007C36E3" w:rsidRDefault="007C36E3" w:rsidP="006E4E4A">
      <w:pPr>
        <w:pStyle w:val="FootnoteText"/>
        <w:spacing w:line="240" w:lineRule="auto"/>
        <w:ind w:firstLine="720"/>
        <w:rPr>
          <w:sz w:val="26"/>
          <w:szCs w:val="26"/>
        </w:rPr>
      </w:pPr>
      <w:r w:rsidRPr="007C36E3">
        <w:rPr>
          <w:rStyle w:val="FootnoteReference"/>
          <w:sz w:val="26"/>
          <w:szCs w:val="26"/>
        </w:rPr>
        <w:footnoteRef/>
      </w:r>
      <w:r w:rsidR="006E4E4A">
        <w:rPr>
          <w:sz w:val="26"/>
          <w:szCs w:val="26"/>
        </w:rPr>
        <w:t xml:space="preserve"> </w:t>
      </w:r>
      <w:r w:rsidR="006E4E4A">
        <w:rPr>
          <w:sz w:val="26"/>
          <w:szCs w:val="26"/>
        </w:rPr>
        <w:tab/>
        <w:t xml:space="preserve">We </w:t>
      </w:r>
      <w:r w:rsidR="00AC641E">
        <w:rPr>
          <w:sz w:val="26"/>
          <w:szCs w:val="26"/>
        </w:rPr>
        <w:t xml:space="preserve">also </w:t>
      </w:r>
      <w:r w:rsidR="006E4E4A">
        <w:rPr>
          <w:sz w:val="26"/>
          <w:szCs w:val="26"/>
        </w:rPr>
        <w:t xml:space="preserve">duly note that the Commission has since extended this waiver on two separate occasions by Tentative Order followed by the issuance of a Secretarial Letter.  </w:t>
      </w:r>
      <w:r w:rsidR="00177B5D">
        <w:rPr>
          <w:i/>
          <w:iCs/>
          <w:sz w:val="26"/>
          <w:szCs w:val="26"/>
        </w:rPr>
        <w:t>Investigation of Pennsylvania’s Retail Natural Gas Supply Market – Interim Guidelines Regarding Standards for Changing a Customer’s Natural Gas Supplier</w:t>
      </w:r>
      <w:r w:rsidR="00177B5D">
        <w:rPr>
          <w:sz w:val="26"/>
          <w:szCs w:val="26"/>
        </w:rPr>
        <w:t xml:space="preserve">, Docket No. I-2013-2381742 (Tentative Order entered October 25, 2018) and </w:t>
      </w:r>
      <w:r w:rsidR="005B37D7">
        <w:rPr>
          <w:sz w:val="26"/>
          <w:szCs w:val="26"/>
        </w:rPr>
        <w:t>(</w:t>
      </w:r>
      <w:r w:rsidR="00177B5D">
        <w:rPr>
          <w:sz w:val="26"/>
          <w:szCs w:val="26"/>
        </w:rPr>
        <w:t xml:space="preserve">Secretarial Letter </w:t>
      </w:r>
      <w:r w:rsidR="00863936">
        <w:rPr>
          <w:sz w:val="26"/>
          <w:szCs w:val="26"/>
        </w:rPr>
        <w:t>issued</w:t>
      </w:r>
      <w:r w:rsidR="00177B5D">
        <w:rPr>
          <w:sz w:val="26"/>
          <w:szCs w:val="26"/>
        </w:rPr>
        <w:t xml:space="preserve"> November 16, 2018</w:t>
      </w:r>
      <w:r w:rsidR="005B37D7">
        <w:rPr>
          <w:sz w:val="26"/>
          <w:szCs w:val="26"/>
        </w:rPr>
        <w:t>, affirming that the Tentative Order is deemed final as of November 5, 2018, extend</w:t>
      </w:r>
      <w:r w:rsidR="00C31508">
        <w:rPr>
          <w:sz w:val="26"/>
          <w:szCs w:val="26"/>
        </w:rPr>
        <w:t>ing</w:t>
      </w:r>
      <w:r w:rsidR="005B37D7">
        <w:rPr>
          <w:sz w:val="26"/>
          <w:szCs w:val="26"/>
        </w:rPr>
        <w:t xml:space="preserve"> the waiver approving the 5-day waiting period until the end of October 2021); </w:t>
      </w:r>
      <w:r w:rsidR="007341B5">
        <w:rPr>
          <w:sz w:val="26"/>
          <w:szCs w:val="26"/>
        </w:rPr>
        <w:t xml:space="preserve">(Tentative Order entered August 26, 2021) and (Secretarial Letter </w:t>
      </w:r>
      <w:r w:rsidR="00FF3577">
        <w:rPr>
          <w:sz w:val="26"/>
          <w:szCs w:val="26"/>
        </w:rPr>
        <w:t>issue</w:t>
      </w:r>
      <w:r w:rsidR="007341B5">
        <w:rPr>
          <w:sz w:val="26"/>
          <w:szCs w:val="26"/>
        </w:rPr>
        <w:t>d October 19, 2021, affirming that the Tentative Order is deemed final as of September 7, 2021, extend</w:t>
      </w:r>
      <w:r w:rsidR="00C31508">
        <w:rPr>
          <w:sz w:val="26"/>
          <w:szCs w:val="26"/>
        </w:rPr>
        <w:t>ing</w:t>
      </w:r>
      <w:r w:rsidR="007341B5">
        <w:rPr>
          <w:sz w:val="26"/>
          <w:szCs w:val="26"/>
        </w:rPr>
        <w:t xml:space="preserve"> the waiver approving the 5-day waiting period for three additional years until October 25, 2024).</w:t>
      </w:r>
      <w:r w:rsidR="005B37D7">
        <w:rPr>
          <w:sz w:val="26"/>
          <w:szCs w:val="26"/>
        </w:rPr>
        <w:t xml:space="preserve"> </w:t>
      </w:r>
      <w:r w:rsidR="006E4E4A">
        <w:rPr>
          <w:sz w:val="26"/>
          <w:szCs w:val="26"/>
        </w:rPr>
        <w:t xml:space="preserve"> </w:t>
      </w:r>
      <w:r w:rsidRPr="007C36E3">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5D13"/>
    <w:multiLevelType w:val="hybridMultilevel"/>
    <w:tmpl w:val="B3881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65"/>
    <w:rsid w:val="00010964"/>
    <w:rsid w:val="00022ECD"/>
    <w:rsid w:val="0004081D"/>
    <w:rsid w:val="00044D31"/>
    <w:rsid w:val="000865E5"/>
    <w:rsid w:val="00087083"/>
    <w:rsid w:val="000A47C2"/>
    <w:rsid w:val="000B78A0"/>
    <w:rsid w:val="000D1A80"/>
    <w:rsid w:val="000D33CB"/>
    <w:rsid w:val="000D7CB2"/>
    <w:rsid w:val="000F6219"/>
    <w:rsid w:val="00123AAA"/>
    <w:rsid w:val="00166C26"/>
    <w:rsid w:val="001679B3"/>
    <w:rsid w:val="00177B5D"/>
    <w:rsid w:val="00194978"/>
    <w:rsid w:val="001A1668"/>
    <w:rsid w:val="001C2B7C"/>
    <w:rsid w:val="001D24F8"/>
    <w:rsid w:val="001D74A1"/>
    <w:rsid w:val="001E0736"/>
    <w:rsid w:val="001E0C48"/>
    <w:rsid w:val="001E6ECF"/>
    <w:rsid w:val="001F4625"/>
    <w:rsid w:val="002136A9"/>
    <w:rsid w:val="00242F1B"/>
    <w:rsid w:val="002656ED"/>
    <w:rsid w:val="002662BF"/>
    <w:rsid w:val="00282CC4"/>
    <w:rsid w:val="002D2DE5"/>
    <w:rsid w:val="002E1408"/>
    <w:rsid w:val="002F3EC7"/>
    <w:rsid w:val="003140EE"/>
    <w:rsid w:val="0031677D"/>
    <w:rsid w:val="00327508"/>
    <w:rsid w:val="00335906"/>
    <w:rsid w:val="00343865"/>
    <w:rsid w:val="00356D19"/>
    <w:rsid w:val="0038675E"/>
    <w:rsid w:val="00392530"/>
    <w:rsid w:val="003A51C5"/>
    <w:rsid w:val="003B3E56"/>
    <w:rsid w:val="003D6255"/>
    <w:rsid w:val="003F5A54"/>
    <w:rsid w:val="004230CF"/>
    <w:rsid w:val="00424358"/>
    <w:rsid w:val="004262B9"/>
    <w:rsid w:val="00451C53"/>
    <w:rsid w:val="004573B3"/>
    <w:rsid w:val="00464848"/>
    <w:rsid w:val="004A1AF2"/>
    <w:rsid w:val="004A6148"/>
    <w:rsid w:val="004C16D8"/>
    <w:rsid w:val="004E121D"/>
    <w:rsid w:val="004E6CC1"/>
    <w:rsid w:val="0050574A"/>
    <w:rsid w:val="00513A6A"/>
    <w:rsid w:val="00515041"/>
    <w:rsid w:val="005369D7"/>
    <w:rsid w:val="005410AD"/>
    <w:rsid w:val="005714A4"/>
    <w:rsid w:val="00571AF3"/>
    <w:rsid w:val="0058119A"/>
    <w:rsid w:val="005824D0"/>
    <w:rsid w:val="005824E4"/>
    <w:rsid w:val="00586D5B"/>
    <w:rsid w:val="00596DED"/>
    <w:rsid w:val="005A186F"/>
    <w:rsid w:val="005A3944"/>
    <w:rsid w:val="005B37D7"/>
    <w:rsid w:val="005B5610"/>
    <w:rsid w:val="005D2237"/>
    <w:rsid w:val="005E46C5"/>
    <w:rsid w:val="005E49A4"/>
    <w:rsid w:val="005F0340"/>
    <w:rsid w:val="00601202"/>
    <w:rsid w:val="00607CC7"/>
    <w:rsid w:val="0063169B"/>
    <w:rsid w:val="00633205"/>
    <w:rsid w:val="00635D6B"/>
    <w:rsid w:val="00637515"/>
    <w:rsid w:val="00656494"/>
    <w:rsid w:val="00656C41"/>
    <w:rsid w:val="006820C2"/>
    <w:rsid w:val="00683949"/>
    <w:rsid w:val="00696217"/>
    <w:rsid w:val="00697A45"/>
    <w:rsid w:val="006B117D"/>
    <w:rsid w:val="006B662E"/>
    <w:rsid w:val="006D3D23"/>
    <w:rsid w:val="006D70DA"/>
    <w:rsid w:val="006E0681"/>
    <w:rsid w:val="006E4E4A"/>
    <w:rsid w:val="006F5B05"/>
    <w:rsid w:val="00704FF7"/>
    <w:rsid w:val="00705ADD"/>
    <w:rsid w:val="00706555"/>
    <w:rsid w:val="00710113"/>
    <w:rsid w:val="007262E4"/>
    <w:rsid w:val="007341B5"/>
    <w:rsid w:val="007732A6"/>
    <w:rsid w:val="00774F71"/>
    <w:rsid w:val="0078088E"/>
    <w:rsid w:val="00784781"/>
    <w:rsid w:val="007A411E"/>
    <w:rsid w:val="007B299E"/>
    <w:rsid w:val="007C36E3"/>
    <w:rsid w:val="007D26C8"/>
    <w:rsid w:val="007D4742"/>
    <w:rsid w:val="007D62BB"/>
    <w:rsid w:val="007E79B5"/>
    <w:rsid w:val="007F1C5F"/>
    <w:rsid w:val="008062FA"/>
    <w:rsid w:val="00807353"/>
    <w:rsid w:val="008159DE"/>
    <w:rsid w:val="00827996"/>
    <w:rsid w:val="00836ADD"/>
    <w:rsid w:val="00863936"/>
    <w:rsid w:val="008A2FFE"/>
    <w:rsid w:val="008A607B"/>
    <w:rsid w:val="008A7D0F"/>
    <w:rsid w:val="008C6B02"/>
    <w:rsid w:val="008D1B8C"/>
    <w:rsid w:val="008D4D18"/>
    <w:rsid w:val="0093133A"/>
    <w:rsid w:val="00936DE2"/>
    <w:rsid w:val="00940E0B"/>
    <w:rsid w:val="009463C5"/>
    <w:rsid w:val="00971761"/>
    <w:rsid w:val="00980FC5"/>
    <w:rsid w:val="00997F99"/>
    <w:rsid w:val="009B2325"/>
    <w:rsid w:val="009C27EC"/>
    <w:rsid w:val="009C3EC1"/>
    <w:rsid w:val="009D6544"/>
    <w:rsid w:val="009D6A82"/>
    <w:rsid w:val="009F69A5"/>
    <w:rsid w:val="00A03933"/>
    <w:rsid w:val="00A03BBC"/>
    <w:rsid w:val="00A0473D"/>
    <w:rsid w:val="00A21B79"/>
    <w:rsid w:val="00A21D53"/>
    <w:rsid w:val="00A36E49"/>
    <w:rsid w:val="00A650DA"/>
    <w:rsid w:val="00A77A0F"/>
    <w:rsid w:val="00AB0DE5"/>
    <w:rsid w:val="00AB52B0"/>
    <w:rsid w:val="00AC2801"/>
    <w:rsid w:val="00AC641E"/>
    <w:rsid w:val="00AD33E2"/>
    <w:rsid w:val="00AD67AB"/>
    <w:rsid w:val="00AE3EBB"/>
    <w:rsid w:val="00AE6D65"/>
    <w:rsid w:val="00B0712D"/>
    <w:rsid w:val="00B115F6"/>
    <w:rsid w:val="00B221D1"/>
    <w:rsid w:val="00B33619"/>
    <w:rsid w:val="00B47F9F"/>
    <w:rsid w:val="00B53B36"/>
    <w:rsid w:val="00B560FB"/>
    <w:rsid w:val="00B71F99"/>
    <w:rsid w:val="00B73C2C"/>
    <w:rsid w:val="00B955D3"/>
    <w:rsid w:val="00B96792"/>
    <w:rsid w:val="00BB4357"/>
    <w:rsid w:val="00BC2973"/>
    <w:rsid w:val="00BF1ABE"/>
    <w:rsid w:val="00C23466"/>
    <w:rsid w:val="00C23FE3"/>
    <w:rsid w:val="00C31508"/>
    <w:rsid w:val="00C31798"/>
    <w:rsid w:val="00C41765"/>
    <w:rsid w:val="00C47919"/>
    <w:rsid w:val="00C52788"/>
    <w:rsid w:val="00C528A9"/>
    <w:rsid w:val="00C558C2"/>
    <w:rsid w:val="00C564BA"/>
    <w:rsid w:val="00C63021"/>
    <w:rsid w:val="00C655DE"/>
    <w:rsid w:val="00C9622B"/>
    <w:rsid w:val="00CB5779"/>
    <w:rsid w:val="00CD12A3"/>
    <w:rsid w:val="00CD354A"/>
    <w:rsid w:val="00CE1F7B"/>
    <w:rsid w:val="00D025E6"/>
    <w:rsid w:val="00D1319B"/>
    <w:rsid w:val="00D1552C"/>
    <w:rsid w:val="00D767D8"/>
    <w:rsid w:val="00D77294"/>
    <w:rsid w:val="00D90384"/>
    <w:rsid w:val="00D930CB"/>
    <w:rsid w:val="00D97C0B"/>
    <w:rsid w:val="00DA798F"/>
    <w:rsid w:val="00E20FA7"/>
    <w:rsid w:val="00E450A0"/>
    <w:rsid w:val="00E52DBE"/>
    <w:rsid w:val="00E90AD8"/>
    <w:rsid w:val="00EA0636"/>
    <w:rsid w:val="00EA2789"/>
    <w:rsid w:val="00EA2C66"/>
    <w:rsid w:val="00EC1810"/>
    <w:rsid w:val="00ED3FC5"/>
    <w:rsid w:val="00ED4177"/>
    <w:rsid w:val="00ED53D1"/>
    <w:rsid w:val="00EE059C"/>
    <w:rsid w:val="00EE3E1C"/>
    <w:rsid w:val="00EF4508"/>
    <w:rsid w:val="00F13CB7"/>
    <w:rsid w:val="00F33EA2"/>
    <w:rsid w:val="00F50AB6"/>
    <w:rsid w:val="00F82B41"/>
    <w:rsid w:val="00F92855"/>
    <w:rsid w:val="00F953DA"/>
    <w:rsid w:val="00FA7500"/>
    <w:rsid w:val="00FC17AB"/>
    <w:rsid w:val="00FD2388"/>
    <w:rsid w:val="00FD2ACD"/>
    <w:rsid w:val="00FE176D"/>
    <w:rsid w:val="00FE7290"/>
    <w:rsid w:val="00FF3577"/>
    <w:rsid w:val="00FF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A880"/>
  <w15:chartTrackingRefBased/>
  <w15:docId w15:val="{72100ADD-A99F-43FA-9FEE-DAE0CDF6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65"/>
    <w:pPr>
      <w:widowControl w:val="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865"/>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Car"/>
    <w:basedOn w:val="Normal"/>
    <w:link w:val="FootnoteTextChar2"/>
    <w:uiPriority w:val="99"/>
    <w:qFormat/>
    <w:rsid w:val="00B560FB"/>
    <w:pPr>
      <w:autoSpaceDE w:val="0"/>
      <w:autoSpaceDN w:val="0"/>
      <w:adjustRightInd w:val="0"/>
      <w:spacing w:line="360" w:lineRule="auto"/>
      <w:ind w:firstLine="1440"/>
    </w:pPr>
  </w:style>
  <w:style w:type="character" w:customStyle="1" w:styleId="FootnoteTextChar">
    <w:name w:val="Footnote Text Char"/>
    <w:aliases w:val="Car Char"/>
    <w:basedOn w:val="DefaultParagraphFont"/>
    <w:uiPriority w:val="99"/>
    <w:rsid w:val="00B560FB"/>
    <w:rPr>
      <w:rFonts w:eastAsia="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uiPriority w:val="99"/>
    <w:rsid w:val="00B560FB"/>
    <w:rPr>
      <w:rFonts w:eastAsia="Times New Roman"/>
      <w:sz w:val="20"/>
      <w:szCs w:val="20"/>
    </w:rPr>
  </w:style>
  <w:style w:type="character" w:styleId="FootnoteReference">
    <w:name w:val="footnote reference"/>
    <w:aliases w:val="fr,o,Style 6,Style 20,Style 9,footnote text"/>
    <w:basedOn w:val="DefaultParagraphFont"/>
    <w:rsid w:val="00B560FB"/>
    <w:rPr>
      <w:vertAlign w:val="superscript"/>
    </w:rPr>
  </w:style>
  <w:style w:type="paragraph" w:styleId="ListParagraph">
    <w:name w:val="List Paragraph"/>
    <w:basedOn w:val="Normal"/>
    <w:uiPriority w:val="34"/>
    <w:qFormat/>
    <w:rsid w:val="001679B3"/>
    <w:pPr>
      <w:ind w:left="720"/>
      <w:contextualSpacing/>
    </w:pPr>
  </w:style>
  <w:style w:type="paragraph" w:styleId="BodyText">
    <w:name w:val="Body Text"/>
    <w:basedOn w:val="Normal"/>
    <w:link w:val="BodyTextChar"/>
    <w:rsid w:val="001679B3"/>
    <w:pPr>
      <w:widowControl/>
      <w:spacing w:line="360" w:lineRule="auto"/>
      <w:ind w:firstLine="1440"/>
    </w:pPr>
    <w:rPr>
      <w:sz w:val="26"/>
    </w:rPr>
  </w:style>
  <w:style w:type="character" w:customStyle="1" w:styleId="BodyTextChar">
    <w:name w:val="Body Text Char"/>
    <w:basedOn w:val="DefaultParagraphFont"/>
    <w:link w:val="BodyText"/>
    <w:rsid w:val="001679B3"/>
    <w:rPr>
      <w:rFonts w:eastAsia="Times New Roman"/>
      <w:sz w:val="26"/>
      <w:szCs w:val="20"/>
    </w:rPr>
  </w:style>
  <w:style w:type="character" w:styleId="Hyperlink">
    <w:name w:val="Hyperlink"/>
    <w:basedOn w:val="DefaultParagraphFont"/>
    <w:rsid w:val="001679B3"/>
    <w:rPr>
      <w:color w:val="0000FF"/>
      <w:u w:val="single"/>
    </w:rPr>
  </w:style>
  <w:style w:type="paragraph" w:customStyle="1" w:styleId="footnotedescription">
    <w:name w:val="footnote description"/>
    <w:next w:val="Normal"/>
    <w:link w:val="footnotedescriptionChar"/>
    <w:hidden/>
    <w:rsid w:val="001679B3"/>
    <w:pPr>
      <w:spacing w:line="259" w:lineRule="auto"/>
    </w:pPr>
    <w:rPr>
      <w:rFonts w:eastAsia="Times New Roman"/>
      <w:color w:val="000000"/>
      <w:sz w:val="20"/>
      <w:szCs w:val="22"/>
    </w:rPr>
  </w:style>
  <w:style w:type="character" w:customStyle="1" w:styleId="footnotedescriptionChar">
    <w:name w:val="footnote description Char"/>
    <w:link w:val="footnotedescription"/>
    <w:rsid w:val="001679B3"/>
    <w:rPr>
      <w:rFonts w:eastAsia="Times New Roman"/>
      <w:color w:val="000000"/>
      <w:sz w:val="20"/>
      <w:szCs w:val="22"/>
    </w:rPr>
  </w:style>
  <w:style w:type="character" w:customStyle="1" w:styleId="footnotemark">
    <w:name w:val="footnote mark"/>
    <w:hidden/>
    <w:rsid w:val="001679B3"/>
    <w:rPr>
      <w:rFonts w:ascii="Times New Roman" w:eastAsia="Times New Roman" w:hAnsi="Times New Roman" w:cs="Times New Roman"/>
      <w:color w:val="000000"/>
      <w:sz w:val="25"/>
      <w:vertAlign w:val="superscript"/>
    </w:rPr>
  </w:style>
  <w:style w:type="paragraph" w:styleId="Header">
    <w:name w:val="header"/>
    <w:basedOn w:val="Normal"/>
    <w:link w:val="HeaderChar"/>
    <w:uiPriority w:val="99"/>
    <w:unhideWhenUsed/>
    <w:rsid w:val="002D2DE5"/>
    <w:pPr>
      <w:tabs>
        <w:tab w:val="center" w:pos="4680"/>
        <w:tab w:val="right" w:pos="9360"/>
      </w:tabs>
    </w:pPr>
  </w:style>
  <w:style w:type="character" w:customStyle="1" w:styleId="HeaderChar">
    <w:name w:val="Header Char"/>
    <w:basedOn w:val="DefaultParagraphFont"/>
    <w:link w:val="Header"/>
    <w:uiPriority w:val="99"/>
    <w:rsid w:val="002D2DE5"/>
    <w:rPr>
      <w:rFonts w:eastAsia="Times New Roman"/>
      <w:sz w:val="20"/>
      <w:szCs w:val="20"/>
    </w:rPr>
  </w:style>
  <w:style w:type="paragraph" w:styleId="Footer">
    <w:name w:val="footer"/>
    <w:basedOn w:val="Normal"/>
    <w:link w:val="FooterChar"/>
    <w:uiPriority w:val="99"/>
    <w:unhideWhenUsed/>
    <w:rsid w:val="002D2DE5"/>
    <w:pPr>
      <w:tabs>
        <w:tab w:val="center" w:pos="4680"/>
        <w:tab w:val="right" w:pos="9360"/>
      </w:tabs>
    </w:pPr>
  </w:style>
  <w:style w:type="character" w:customStyle="1" w:styleId="FooterChar">
    <w:name w:val="Footer Char"/>
    <w:basedOn w:val="DefaultParagraphFont"/>
    <w:link w:val="Footer"/>
    <w:uiPriority w:val="99"/>
    <w:rsid w:val="002D2DE5"/>
    <w:rPr>
      <w:rFonts w:eastAsia="Times New Roman"/>
      <w:sz w:val="20"/>
      <w:szCs w:val="20"/>
    </w:rPr>
  </w:style>
  <w:style w:type="paragraph" w:styleId="Revision">
    <w:name w:val="Revision"/>
    <w:hidden/>
    <w:uiPriority w:val="99"/>
    <w:semiHidden/>
    <w:rsid w:val="006820C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02590">
      <w:bodyDiv w:val="1"/>
      <w:marLeft w:val="0"/>
      <w:marRight w:val="0"/>
      <w:marTop w:val="0"/>
      <w:marBottom w:val="0"/>
      <w:divBdr>
        <w:top w:val="none" w:sz="0" w:space="0" w:color="auto"/>
        <w:left w:val="none" w:sz="0" w:space="0" w:color="auto"/>
        <w:bottom w:val="none" w:sz="0" w:space="0" w:color="auto"/>
        <w:right w:val="none" w:sz="0" w:space="0" w:color="auto"/>
      </w:divBdr>
    </w:div>
    <w:div w:id="15979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E34D-61B9-4F87-8988-A03B8D7A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23</cp:revision>
  <dcterms:created xsi:type="dcterms:W3CDTF">2021-12-06T14:13:00Z</dcterms:created>
  <dcterms:modified xsi:type="dcterms:W3CDTF">2021-12-16T11:54:00Z</dcterms:modified>
</cp:coreProperties>
</file>