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732BE46E" w:rsidR="00587173" w:rsidRPr="00457E90" w:rsidRDefault="00587173" w:rsidP="00DB360C">
      <w:pPr>
        <w:widowControl/>
        <w:tabs>
          <w:tab w:val="center" w:pos="4680"/>
        </w:tabs>
        <w:suppressAutoHyphens/>
        <w:jc w:val="center"/>
        <w:rPr>
          <w:b/>
          <w:color w:val="000000" w:themeColor="text1"/>
          <w:sz w:val="26"/>
          <w:szCs w:val="26"/>
        </w:rPr>
      </w:pPr>
      <w:r w:rsidRPr="00457E90">
        <w:rPr>
          <w:b/>
          <w:color w:val="000000" w:themeColor="text1"/>
          <w:sz w:val="26"/>
          <w:szCs w:val="26"/>
        </w:rPr>
        <w:t>PENNSYLVANIA</w:t>
      </w:r>
    </w:p>
    <w:p w14:paraId="1CFFD0B7" w14:textId="77777777" w:rsidR="00587173" w:rsidRPr="00457E90" w:rsidRDefault="00587173" w:rsidP="00762F72">
      <w:pPr>
        <w:widowControl/>
        <w:tabs>
          <w:tab w:val="center" w:pos="4680"/>
        </w:tabs>
        <w:suppressAutoHyphens/>
        <w:jc w:val="center"/>
        <w:rPr>
          <w:color w:val="000000" w:themeColor="text1"/>
          <w:sz w:val="26"/>
          <w:szCs w:val="26"/>
        </w:rPr>
      </w:pPr>
      <w:r w:rsidRPr="00457E90">
        <w:rPr>
          <w:b/>
          <w:color w:val="000000" w:themeColor="text1"/>
          <w:sz w:val="26"/>
          <w:szCs w:val="26"/>
        </w:rPr>
        <w:t>PUBLIC UTILITY COMMISSION</w:t>
      </w:r>
    </w:p>
    <w:p w14:paraId="1CF6B07C" w14:textId="0B4B56E4" w:rsidR="00587173" w:rsidRPr="00457E90" w:rsidRDefault="00587173" w:rsidP="00762F72">
      <w:pPr>
        <w:widowControl/>
        <w:tabs>
          <w:tab w:val="center" w:pos="4680"/>
        </w:tabs>
        <w:suppressAutoHyphens/>
        <w:jc w:val="center"/>
        <w:rPr>
          <w:b/>
          <w:color w:val="000000" w:themeColor="text1"/>
          <w:sz w:val="26"/>
          <w:szCs w:val="26"/>
        </w:rPr>
      </w:pPr>
      <w:r w:rsidRPr="00457E90">
        <w:rPr>
          <w:b/>
          <w:color w:val="000000" w:themeColor="text1"/>
          <w:sz w:val="26"/>
          <w:szCs w:val="26"/>
        </w:rPr>
        <w:t xml:space="preserve">Harrisburg, PA </w:t>
      </w:r>
      <w:r w:rsidR="004177C8">
        <w:rPr>
          <w:b/>
          <w:color w:val="000000" w:themeColor="text1"/>
          <w:sz w:val="26"/>
          <w:szCs w:val="26"/>
        </w:rPr>
        <w:t xml:space="preserve"> </w:t>
      </w:r>
      <w:r w:rsidRPr="00457E90">
        <w:rPr>
          <w:b/>
          <w:color w:val="000000" w:themeColor="text1"/>
          <w:sz w:val="26"/>
          <w:szCs w:val="26"/>
        </w:rPr>
        <w:t>171</w:t>
      </w:r>
      <w:r w:rsidR="00ED50E2" w:rsidRPr="00457E90">
        <w:rPr>
          <w:b/>
          <w:color w:val="000000" w:themeColor="text1"/>
          <w:sz w:val="26"/>
          <w:szCs w:val="26"/>
        </w:rPr>
        <w:t>20</w:t>
      </w:r>
    </w:p>
    <w:p w14:paraId="3EDD3AC5" w14:textId="77777777" w:rsidR="00886D40" w:rsidRPr="00FC2E5B" w:rsidRDefault="00886D40" w:rsidP="00762F72">
      <w:pPr>
        <w:widowControl/>
        <w:tabs>
          <w:tab w:val="center" w:pos="4680"/>
        </w:tabs>
        <w:suppressAutoHyphens/>
        <w:jc w:val="center"/>
        <w:rPr>
          <w:bCs/>
          <w:color w:val="000000" w:themeColor="text1"/>
          <w:sz w:val="26"/>
          <w:szCs w:val="26"/>
        </w:rPr>
      </w:pPr>
    </w:p>
    <w:p w14:paraId="48247A79" w14:textId="77777777" w:rsidR="00886D40" w:rsidRPr="00FC2E5B" w:rsidRDefault="00886D40" w:rsidP="00762F72">
      <w:pPr>
        <w:widowControl/>
        <w:tabs>
          <w:tab w:val="center" w:pos="4680"/>
        </w:tabs>
        <w:suppressAutoHyphens/>
        <w:jc w:val="center"/>
        <w:rPr>
          <w:bCs/>
          <w:color w:val="000000" w:themeColor="text1"/>
          <w:sz w:val="26"/>
          <w:szCs w:val="26"/>
        </w:rPr>
      </w:pPr>
    </w:p>
    <w:tbl>
      <w:tblPr>
        <w:tblW w:w="9861" w:type="dxa"/>
        <w:tblLook w:val="04A0" w:firstRow="1" w:lastRow="0" w:firstColumn="1" w:lastColumn="0" w:noHBand="0" w:noVBand="1"/>
      </w:tblPr>
      <w:tblGrid>
        <w:gridCol w:w="5310"/>
        <w:gridCol w:w="4551"/>
      </w:tblGrid>
      <w:tr w:rsidR="00457E90" w:rsidRPr="00457E90" w14:paraId="1F66F1F8" w14:textId="77777777" w:rsidTr="00ED50E2">
        <w:tc>
          <w:tcPr>
            <w:tcW w:w="5310" w:type="dxa"/>
            <w:shd w:val="clear" w:color="auto" w:fill="auto"/>
          </w:tcPr>
          <w:p w14:paraId="3A7B44CE" w14:textId="77777777" w:rsidR="00886D40" w:rsidRPr="00457E90" w:rsidRDefault="00886D40" w:rsidP="00762F72">
            <w:pPr>
              <w:widowControl/>
              <w:rPr>
                <w:color w:val="000000" w:themeColor="text1"/>
                <w:sz w:val="26"/>
                <w:szCs w:val="26"/>
              </w:rPr>
            </w:pPr>
          </w:p>
        </w:tc>
        <w:tc>
          <w:tcPr>
            <w:tcW w:w="4551" w:type="dxa"/>
            <w:shd w:val="clear" w:color="auto" w:fill="auto"/>
          </w:tcPr>
          <w:p w14:paraId="260B6C4D" w14:textId="0E40A29A" w:rsidR="00587173" w:rsidRPr="00457E90" w:rsidRDefault="00587173" w:rsidP="004177C8">
            <w:pPr>
              <w:widowControl/>
              <w:rPr>
                <w:color w:val="000000" w:themeColor="text1"/>
                <w:sz w:val="26"/>
                <w:szCs w:val="26"/>
              </w:rPr>
            </w:pPr>
            <w:r w:rsidRPr="00457E90">
              <w:rPr>
                <w:color w:val="000000" w:themeColor="text1"/>
                <w:sz w:val="26"/>
                <w:szCs w:val="26"/>
              </w:rPr>
              <w:t>Public</w:t>
            </w:r>
            <w:r w:rsidR="00494B74" w:rsidRPr="00457E90">
              <w:rPr>
                <w:color w:val="000000" w:themeColor="text1"/>
                <w:sz w:val="26"/>
                <w:szCs w:val="26"/>
              </w:rPr>
              <w:t xml:space="preserve"> </w:t>
            </w:r>
            <w:r w:rsidRPr="00457E90">
              <w:rPr>
                <w:color w:val="000000" w:themeColor="text1"/>
                <w:sz w:val="26"/>
                <w:szCs w:val="26"/>
              </w:rPr>
              <w:t>Meeting held</w:t>
            </w:r>
            <w:r w:rsidR="003E45AF" w:rsidRPr="00457E90">
              <w:rPr>
                <w:color w:val="000000" w:themeColor="text1"/>
                <w:sz w:val="26"/>
                <w:szCs w:val="26"/>
              </w:rPr>
              <w:t xml:space="preserve"> </w:t>
            </w:r>
            <w:r w:rsidR="00B75CFC">
              <w:rPr>
                <w:color w:val="000000" w:themeColor="text1"/>
                <w:sz w:val="26"/>
                <w:szCs w:val="26"/>
              </w:rPr>
              <w:t xml:space="preserve">December </w:t>
            </w:r>
            <w:r w:rsidR="003A4827">
              <w:rPr>
                <w:color w:val="000000" w:themeColor="text1"/>
                <w:sz w:val="26"/>
                <w:szCs w:val="26"/>
              </w:rPr>
              <w:t>16</w:t>
            </w:r>
            <w:r w:rsidR="009210A5" w:rsidRPr="00457E90">
              <w:rPr>
                <w:color w:val="000000" w:themeColor="text1"/>
                <w:sz w:val="26"/>
                <w:szCs w:val="26"/>
              </w:rPr>
              <w:t xml:space="preserve">, </w:t>
            </w:r>
            <w:r w:rsidR="00E90A93" w:rsidRPr="00457E90">
              <w:rPr>
                <w:color w:val="000000" w:themeColor="text1"/>
                <w:sz w:val="26"/>
                <w:szCs w:val="26"/>
              </w:rPr>
              <w:t>20</w:t>
            </w:r>
            <w:r w:rsidR="00ED50E2" w:rsidRPr="00457E90">
              <w:rPr>
                <w:color w:val="000000" w:themeColor="text1"/>
                <w:sz w:val="26"/>
                <w:szCs w:val="26"/>
              </w:rPr>
              <w:t>2</w:t>
            </w:r>
            <w:r w:rsidR="00862C13" w:rsidRPr="00457E90">
              <w:rPr>
                <w:color w:val="000000" w:themeColor="text1"/>
                <w:sz w:val="26"/>
                <w:szCs w:val="26"/>
              </w:rPr>
              <w:t>1</w:t>
            </w:r>
          </w:p>
          <w:p w14:paraId="1F469B2B" w14:textId="77777777" w:rsidR="00587173" w:rsidRPr="00457E90" w:rsidRDefault="00587173" w:rsidP="00762F72">
            <w:pPr>
              <w:widowControl/>
              <w:jc w:val="right"/>
              <w:rPr>
                <w:color w:val="000000" w:themeColor="text1"/>
                <w:sz w:val="26"/>
                <w:szCs w:val="26"/>
              </w:rPr>
            </w:pPr>
          </w:p>
          <w:p w14:paraId="72BB8840" w14:textId="77777777" w:rsidR="00587173" w:rsidRPr="00457E90" w:rsidRDefault="00587173" w:rsidP="00762F72">
            <w:pPr>
              <w:widowControl/>
              <w:jc w:val="right"/>
              <w:rPr>
                <w:color w:val="000000" w:themeColor="text1"/>
                <w:sz w:val="26"/>
                <w:szCs w:val="26"/>
              </w:rPr>
            </w:pPr>
          </w:p>
        </w:tc>
      </w:tr>
      <w:tr w:rsidR="008836BC" w:rsidRPr="008836BC" w14:paraId="2B4FEF6D" w14:textId="77777777" w:rsidTr="00ED50E2">
        <w:tc>
          <w:tcPr>
            <w:tcW w:w="5310" w:type="dxa"/>
            <w:shd w:val="clear" w:color="auto" w:fill="auto"/>
          </w:tcPr>
          <w:p w14:paraId="4B5D6E2A" w14:textId="77777777" w:rsidR="00587173" w:rsidRPr="008836BC" w:rsidRDefault="00886D40" w:rsidP="00762F72">
            <w:pPr>
              <w:widowControl/>
              <w:rPr>
                <w:color w:val="000000" w:themeColor="text1"/>
                <w:sz w:val="26"/>
                <w:szCs w:val="26"/>
              </w:rPr>
            </w:pPr>
            <w:r w:rsidRPr="008836BC">
              <w:rPr>
                <w:color w:val="000000" w:themeColor="text1"/>
                <w:sz w:val="26"/>
                <w:szCs w:val="26"/>
              </w:rPr>
              <w:t>Co</w:t>
            </w:r>
            <w:r w:rsidR="00587173" w:rsidRPr="008836BC">
              <w:rPr>
                <w:color w:val="000000" w:themeColor="text1"/>
                <w:sz w:val="26"/>
                <w:szCs w:val="26"/>
              </w:rPr>
              <w:t>mmissioners Present:</w:t>
            </w:r>
          </w:p>
          <w:p w14:paraId="5A582E81" w14:textId="77777777" w:rsidR="00587173" w:rsidRPr="008836BC" w:rsidRDefault="00587173" w:rsidP="00762F72">
            <w:pPr>
              <w:widowControl/>
              <w:rPr>
                <w:color w:val="000000" w:themeColor="text1"/>
                <w:sz w:val="26"/>
                <w:szCs w:val="26"/>
              </w:rPr>
            </w:pPr>
          </w:p>
          <w:p w14:paraId="03FCDE43" w14:textId="7F1E7DDD" w:rsidR="003677F4" w:rsidRPr="008836BC" w:rsidRDefault="003677F4" w:rsidP="00144427">
            <w:pPr>
              <w:widowControl/>
              <w:ind w:left="705"/>
              <w:rPr>
                <w:color w:val="000000" w:themeColor="text1"/>
                <w:sz w:val="26"/>
                <w:szCs w:val="26"/>
              </w:rPr>
            </w:pPr>
            <w:r w:rsidRPr="008836BC">
              <w:rPr>
                <w:color w:val="000000" w:themeColor="text1"/>
                <w:sz w:val="26"/>
                <w:szCs w:val="26"/>
              </w:rPr>
              <w:t>Gladys Brown</w:t>
            </w:r>
            <w:r w:rsidR="00ED50E2" w:rsidRPr="008836BC">
              <w:rPr>
                <w:color w:val="000000" w:themeColor="text1"/>
                <w:sz w:val="26"/>
                <w:szCs w:val="26"/>
              </w:rPr>
              <w:t xml:space="preserve"> Dutrieuille</w:t>
            </w:r>
            <w:r w:rsidRPr="008836BC">
              <w:rPr>
                <w:color w:val="000000" w:themeColor="text1"/>
                <w:sz w:val="26"/>
                <w:szCs w:val="26"/>
              </w:rPr>
              <w:t xml:space="preserve">, </w:t>
            </w:r>
            <w:r w:rsidR="00ED50E2" w:rsidRPr="008836BC">
              <w:rPr>
                <w:color w:val="000000" w:themeColor="text1"/>
                <w:sz w:val="26"/>
                <w:szCs w:val="26"/>
              </w:rPr>
              <w:t>Chairman</w:t>
            </w:r>
          </w:p>
          <w:p w14:paraId="16E76A30" w14:textId="367C2501" w:rsidR="003677F4" w:rsidRPr="008836BC" w:rsidRDefault="008D2B98" w:rsidP="003677F4">
            <w:pPr>
              <w:widowControl/>
              <w:tabs>
                <w:tab w:val="left" w:pos="705"/>
              </w:tabs>
              <w:ind w:firstLine="720"/>
              <w:rPr>
                <w:color w:val="000000" w:themeColor="text1"/>
                <w:sz w:val="26"/>
                <w:szCs w:val="26"/>
              </w:rPr>
            </w:pPr>
            <w:r w:rsidRPr="008836BC">
              <w:rPr>
                <w:color w:val="000000" w:themeColor="text1"/>
                <w:sz w:val="26"/>
                <w:szCs w:val="26"/>
              </w:rPr>
              <w:t>John F. Coleman, Jr.</w:t>
            </w:r>
            <w:r>
              <w:rPr>
                <w:color w:val="000000" w:themeColor="text1"/>
                <w:sz w:val="26"/>
                <w:szCs w:val="26"/>
              </w:rPr>
              <w:t>,</w:t>
            </w:r>
            <w:r w:rsidR="001E2717">
              <w:rPr>
                <w:color w:val="000000" w:themeColor="text1"/>
                <w:sz w:val="26"/>
                <w:szCs w:val="26"/>
              </w:rPr>
              <w:t xml:space="preserve"> </w:t>
            </w:r>
            <w:r w:rsidR="003677F4" w:rsidRPr="008836BC">
              <w:rPr>
                <w:color w:val="000000" w:themeColor="text1"/>
                <w:sz w:val="26"/>
                <w:szCs w:val="26"/>
              </w:rPr>
              <w:t>Vice Chairman</w:t>
            </w:r>
          </w:p>
          <w:p w14:paraId="384717EB" w14:textId="3BAE00E1" w:rsidR="00587173" w:rsidRPr="008836BC" w:rsidRDefault="00ED50E2" w:rsidP="004D57DE">
            <w:pPr>
              <w:widowControl/>
              <w:tabs>
                <w:tab w:val="left" w:pos="705"/>
              </w:tabs>
              <w:ind w:firstLine="720"/>
              <w:rPr>
                <w:color w:val="000000" w:themeColor="text1"/>
                <w:sz w:val="26"/>
                <w:szCs w:val="26"/>
              </w:rPr>
            </w:pPr>
            <w:r w:rsidRPr="008836BC">
              <w:rPr>
                <w:color w:val="000000" w:themeColor="text1"/>
                <w:sz w:val="26"/>
                <w:szCs w:val="26"/>
              </w:rPr>
              <w:t>Ralph V. Yanora</w:t>
            </w:r>
          </w:p>
          <w:p w14:paraId="1A6D65B2" w14:textId="77777777" w:rsidR="005556B4" w:rsidRPr="008836BC" w:rsidRDefault="005556B4" w:rsidP="003677F4">
            <w:pPr>
              <w:widowControl/>
              <w:ind w:left="720"/>
              <w:rPr>
                <w:color w:val="000000" w:themeColor="text1"/>
                <w:sz w:val="26"/>
                <w:szCs w:val="26"/>
              </w:rPr>
            </w:pPr>
          </w:p>
          <w:p w14:paraId="71E3108A" w14:textId="77777777" w:rsidR="003677F4" w:rsidRPr="008836BC"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8836BC" w:rsidRDefault="00587173" w:rsidP="00762F72">
            <w:pPr>
              <w:widowControl/>
              <w:jc w:val="right"/>
              <w:rPr>
                <w:color w:val="000000" w:themeColor="text1"/>
                <w:sz w:val="26"/>
                <w:szCs w:val="26"/>
              </w:rPr>
            </w:pPr>
          </w:p>
          <w:p w14:paraId="706D4729" w14:textId="77777777" w:rsidR="00587173" w:rsidRPr="008836BC" w:rsidRDefault="00587173" w:rsidP="00762F72">
            <w:pPr>
              <w:widowControl/>
              <w:jc w:val="right"/>
              <w:rPr>
                <w:color w:val="000000" w:themeColor="text1"/>
                <w:sz w:val="26"/>
                <w:szCs w:val="26"/>
              </w:rPr>
            </w:pPr>
          </w:p>
        </w:tc>
      </w:tr>
      <w:tr w:rsidR="008836BC" w:rsidRPr="008836BC" w14:paraId="2D880434" w14:textId="77777777" w:rsidTr="00ED50E2">
        <w:tc>
          <w:tcPr>
            <w:tcW w:w="5310" w:type="dxa"/>
            <w:shd w:val="clear" w:color="auto" w:fill="auto"/>
          </w:tcPr>
          <w:p w14:paraId="1B0D8C3B" w14:textId="4EF39315" w:rsidR="00B84D00" w:rsidRDefault="0072248F" w:rsidP="00762F72">
            <w:pPr>
              <w:widowControl/>
              <w:rPr>
                <w:color w:val="000000" w:themeColor="text1"/>
                <w:sz w:val="26"/>
                <w:szCs w:val="26"/>
              </w:rPr>
            </w:pPr>
            <w:r>
              <w:rPr>
                <w:color w:val="000000" w:themeColor="text1"/>
                <w:sz w:val="26"/>
                <w:szCs w:val="26"/>
              </w:rPr>
              <w:t>Brend</w:t>
            </w:r>
            <w:r w:rsidR="00975E8B">
              <w:rPr>
                <w:color w:val="000000" w:themeColor="text1"/>
                <w:sz w:val="26"/>
                <w:szCs w:val="26"/>
              </w:rPr>
              <w:t>a</w:t>
            </w:r>
            <w:r>
              <w:rPr>
                <w:color w:val="000000" w:themeColor="text1"/>
                <w:sz w:val="26"/>
                <w:szCs w:val="26"/>
              </w:rPr>
              <w:t>n Lavin</w:t>
            </w:r>
          </w:p>
          <w:p w14:paraId="2CE80925" w14:textId="77777777" w:rsidR="003D2FA7" w:rsidRPr="008836BC" w:rsidRDefault="003D2FA7" w:rsidP="00762F72">
            <w:pPr>
              <w:widowControl/>
              <w:rPr>
                <w:color w:val="000000" w:themeColor="text1"/>
                <w:sz w:val="26"/>
                <w:szCs w:val="26"/>
              </w:rPr>
            </w:pPr>
          </w:p>
          <w:p w14:paraId="71C9760B" w14:textId="1452E769" w:rsidR="00B76A44" w:rsidRPr="008836BC" w:rsidRDefault="00B76A44" w:rsidP="00144427">
            <w:pPr>
              <w:widowControl/>
              <w:ind w:left="705"/>
              <w:rPr>
                <w:color w:val="000000" w:themeColor="text1"/>
                <w:sz w:val="26"/>
                <w:szCs w:val="26"/>
              </w:rPr>
            </w:pPr>
            <w:r w:rsidRPr="008836BC">
              <w:rPr>
                <w:color w:val="000000" w:themeColor="text1"/>
                <w:sz w:val="26"/>
                <w:szCs w:val="26"/>
              </w:rPr>
              <w:t>v.</w:t>
            </w:r>
          </w:p>
          <w:p w14:paraId="58C27031" w14:textId="77777777" w:rsidR="00B76A44" w:rsidRPr="008836BC" w:rsidRDefault="00B76A44" w:rsidP="00762F72">
            <w:pPr>
              <w:widowControl/>
              <w:tabs>
                <w:tab w:val="left" w:pos="1640"/>
              </w:tabs>
              <w:ind w:left="1440" w:hanging="1440"/>
              <w:rPr>
                <w:color w:val="000000" w:themeColor="text1"/>
                <w:sz w:val="26"/>
                <w:szCs w:val="26"/>
              </w:rPr>
            </w:pPr>
          </w:p>
          <w:p w14:paraId="3FC48F1C" w14:textId="00BB1AED" w:rsidR="00A860F0" w:rsidRPr="008836BC" w:rsidRDefault="0072248F" w:rsidP="00762F72">
            <w:pPr>
              <w:widowControl/>
              <w:tabs>
                <w:tab w:val="left" w:pos="1640"/>
              </w:tabs>
              <w:rPr>
                <w:color w:val="000000" w:themeColor="text1"/>
                <w:sz w:val="26"/>
                <w:szCs w:val="26"/>
              </w:rPr>
            </w:pPr>
            <w:bookmarkStart w:id="0" w:name="_Hlk88821907"/>
            <w:r>
              <w:rPr>
                <w:color w:val="000000" w:themeColor="text1"/>
                <w:sz w:val="26"/>
                <w:szCs w:val="26"/>
              </w:rPr>
              <w:t>PPL Electric Utilities Corporation</w:t>
            </w:r>
            <w:bookmarkEnd w:id="0"/>
          </w:p>
        </w:tc>
        <w:tc>
          <w:tcPr>
            <w:tcW w:w="4551" w:type="dxa"/>
            <w:shd w:val="clear" w:color="auto" w:fill="auto"/>
          </w:tcPr>
          <w:p w14:paraId="72B30274" w14:textId="6A420340" w:rsidR="00587173" w:rsidRPr="008836BC" w:rsidRDefault="00D64E8B" w:rsidP="00762F72">
            <w:pPr>
              <w:widowControl/>
              <w:ind w:left="-198" w:firstLine="198"/>
              <w:jc w:val="right"/>
              <w:rPr>
                <w:color w:val="000000" w:themeColor="text1"/>
                <w:sz w:val="26"/>
                <w:szCs w:val="26"/>
              </w:rPr>
            </w:pPr>
            <w:r>
              <w:rPr>
                <w:color w:val="000000" w:themeColor="text1"/>
                <w:sz w:val="26"/>
                <w:szCs w:val="26"/>
              </w:rPr>
              <w:t>C</w:t>
            </w:r>
            <w:r w:rsidR="00B64ED4" w:rsidRPr="00B64ED4">
              <w:rPr>
                <w:color w:val="000000" w:themeColor="text1"/>
                <w:sz w:val="26"/>
                <w:szCs w:val="26"/>
              </w:rPr>
              <w:t>-20</w:t>
            </w:r>
            <w:r w:rsidR="00FC2F4F">
              <w:rPr>
                <w:color w:val="000000" w:themeColor="text1"/>
                <w:sz w:val="26"/>
                <w:szCs w:val="26"/>
              </w:rPr>
              <w:t>20</w:t>
            </w:r>
            <w:r w:rsidR="00B64ED4" w:rsidRPr="00B64ED4">
              <w:rPr>
                <w:color w:val="000000" w:themeColor="text1"/>
                <w:sz w:val="26"/>
                <w:szCs w:val="26"/>
              </w:rPr>
              <w:t>-</w:t>
            </w:r>
            <w:r w:rsidR="00FC2F4F" w:rsidRPr="00FC2F4F">
              <w:rPr>
                <w:color w:val="000000" w:themeColor="text1"/>
                <w:sz w:val="26"/>
                <w:szCs w:val="26"/>
              </w:rPr>
              <w:t>3019103</w:t>
            </w:r>
          </w:p>
          <w:p w14:paraId="587221D0" w14:textId="77777777" w:rsidR="00E90A93" w:rsidRPr="008836BC" w:rsidRDefault="00E90A93" w:rsidP="00762F72">
            <w:pPr>
              <w:widowControl/>
              <w:jc w:val="right"/>
              <w:rPr>
                <w:color w:val="000000" w:themeColor="text1"/>
                <w:sz w:val="26"/>
                <w:szCs w:val="26"/>
              </w:rPr>
            </w:pPr>
            <w:r w:rsidRPr="008836BC">
              <w:rPr>
                <w:color w:val="000000" w:themeColor="text1"/>
                <w:sz w:val="26"/>
                <w:szCs w:val="26"/>
              </w:rPr>
              <w:t xml:space="preserve">  </w:t>
            </w:r>
          </w:p>
        </w:tc>
      </w:tr>
      <w:tr w:rsidR="008836BC" w:rsidRPr="008836BC" w14:paraId="19C2447B" w14:textId="77777777" w:rsidTr="00ED50E2">
        <w:tc>
          <w:tcPr>
            <w:tcW w:w="5310" w:type="dxa"/>
            <w:shd w:val="clear" w:color="auto" w:fill="auto"/>
          </w:tcPr>
          <w:p w14:paraId="5615F7FC" w14:textId="77777777" w:rsidR="00587173" w:rsidRPr="008836BC" w:rsidRDefault="00587173" w:rsidP="00762F72">
            <w:pPr>
              <w:widowControl/>
              <w:ind w:firstLine="1440"/>
              <w:rPr>
                <w:color w:val="000000" w:themeColor="text1"/>
                <w:sz w:val="26"/>
                <w:szCs w:val="26"/>
              </w:rPr>
            </w:pPr>
          </w:p>
        </w:tc>
        <w:tc>
          <w:tcPr>
            <w:tcW w:w="4551" w:type="dxa"/>
            <w:shd w:val="clear" w:color="auto" w:fill="auto"/>
          </w:tcPr>
          <w:p w14:paraId="23D7681F" w14:textId="77777777" w:rsidR="00587173" w:rsidRPr="008836BC" w:rsidRDefault="00587173" w:rsidP="00762F72">
            <w:pPr>
              <w:widowControl/>
              <w:rPr>
                <w:color w:val="000000" w:themeColor="text1"/>
                <w:sz w:val="26"/>
                <w:szCs w:val="26"/>
              </w:rPr>
            </w:pPr>
          </w:p>
        </w:tc>
      </w:tr>
      <w:tr w:rsidR="008836BC" w:rsidRPr="008836BC" w14:paraId="7D83F802" w14:textId="77777777" w:rsidTr="00ED50E2">
        <w:tc>
          <w:tcPr>
            <w:tcW w:w="5310" w:type="dxa"/>
            <w:shd w:val="clear" w:color="auto" w:fill="auto"/>
          </w:tcPr>
          <w:p w14:paraId="66C51754" w14:textId="77777777" w:rsidR="00587173" w:rsidRDefault="00587173" w:rsidP="00762F72">
            <w:pPr>
              <w:widowControl/>
              <w:rPr>
                <w:color w:val="000000" w:themeColor="text1"/>
                <w:sz w:val="26"/>
                <w:szCs w:val="26"/>
              </w:rPr>
            </w:pPr>
          </w:p>
          <w:p w14:paraId="4CC9E6A5" w14:textId="144644AB" w:rsidR="00FC2E5B" w:rsidRPr="008836BC" w:rsidRDefault="00FC2E5B" w:rsidP="00762F72">
            <w:pPr>
              <w:widowControl/>
              <w:rPr>
                <w:color w:val="000000" w:themeColor="text1"/>
                <w:sz w:val="26"/>
                <w:szCs w:val="26"/>
              </w:rPr>
            </w:pPr>
          </w:p>
        </w:tc>
        <w:tc>
          <w:tcPr>
            <w:tcW w:w="4551" w:type="dxa"/>
            <w:shd w:val="clear" w:color="auto" w:fill="auto"/>
          </w:tcPr>
          <w:p w14:paraId="78A2181D" w14:textId="77777777" w:rsidR="00587173" w:rsidRPr="008836BC" w:rsidRDefault="00587173" w:rsidP="00762F72">
            <w:pPr>
              <w:widowControl/>
              <w:rPr>
                <w:color w:val="000000" w:themeColor="text1"/>
                <w:sz w:val="26"/>
                <w:szCs w:val="26"/>
              </w:rPr>
            </w:pPr>
          </w:p>
        </w:tc>
      </w:tr>
    </w:tbl>
    <w:p w14:paraId="4ACE5F16" w14:textId="77777777" w:rsidR="00587173" w:rsidRPr="008836BC" w:rsidRDefault="00587173" w:rsidP="00762F72">
      <w:pPr>
        <w:widowControl/>
        <w:jc w:val="center"/>
        <w:rPr>
          <w:b/>
          <w:color w:val="000000" w:themeColor="text1"/>
          <w:sz w:val="26"/>
          <w:szCs w:val="26"/>
        </w:rPr>
      </w:pPr>
      <w:r w:rsidRPr="008836BC">
        <w:rPr>
          <w:b/>
          <w:color w:val="000000" w:themeColor="text1"/>
          <w:sz w:val="26"/>
          <w:szCs w:val="26"/>
        </w:rPr>
        <w:t>OPINION AND ORDER</w:t>
      </w:r>
    </w:p>
    <w:p w14:paraId="6A229A4B" w14:textId="77777777" w:rsidR="00587173" w:rsidRPr="008836BC" w:rsidRDefault="00587173" w:rsidP="00762F72">
      <w:pPr>
        <w:widowControl/>
        <w:jc w:val="center"/>
        <w:rPr>
          <w:bCs/>
          <w:color w:val="000000" w:themeColor="text1"/>
          <w:sz w:val="26"/>
          <w:szCs w:val="26"/>
        </w:rPr>
      </w:pPr>
    </w:p>
    <w:p w14:paraId="4C861E24" w14:textId="77777777" w:rsidR="00587173" w:rsidRPr="008836BC" w:rsidRDefault="00587173" w:rsidP="00762F72">
      <w:pPr>
        <w:widowControl/>
        <w:jc w:val="center"/>
        <w:rPr>
          <w:bCs/>
          <w:color w:val="000000" w:themeColor="text1"/>
          <w:sz w:val="26"/>
          <w:szCs w:val="26"/>
        </w:rPr>
      </w:pPr>
    </w:p>
    <w:p w14:paraId="503F1E53" w14:textId="77777777" w:rsidR="00587173" w:rsidRPr="003E7B6A" w:rsidRDefault="00587173" w:rsidP="004F5B8E">
      <w:pPr>
        <w:widowControl/>
        <w:spacing w:line="360" w:lineRule="auto"/>
        <w:rPr>
          <w:bCs/>
          <w:color w:val="000000" w:themeColor="text1"/>
          <w:sz w:val="26"/>
          <w:szCs w:val="26"/>
        </w:rPr>
      </w:pPr>
      <w:r w:rsidRPr="008836BC">
        <w:rPr>
          <w:b/>
          <w:color w:val="000000" w:themeColor="text1"/>
          <w:sz w:val="26"/>
          <w:szCs w:val="26"/>
        </w:rPr>
        <w:t>BY THE COMMISSION:</w:t>
      </w:r>
    </w:p>
    <w:p w14:paraId="2233FE47" w14:textId="77777777" w:rsidR="00F94F34" w:rsidRDefault="00F94F34" w:rsidP="00FC2E5B">
      <w:pPr>
        <w:widowControl/>
        <w:rPr>
          <w:b/>
          <w:color w:val="000000" w:themeColor="text1"/>
          <w:sz w:val="26"/>
          <w:szCs w:val="26"/>
        </w:rPr>
      </w:pPr>
    </w:p>
    <w:p w14:paraId="2D15A0BA" w14:textId="27178775" w:rsidR="00F94F34" w:rsidRPr="00E40C17" w:rsidRDefault="00F94F34" w:rsidP="004F5B8E">
      <w:pPr>
        <w:widowControl/>
        <w:spacing w:line="360" w:lineRule="auto"/>
        <w:rPr>
          <w:bCs/>
          <w:color w:val="000000" w:themeColor="text1"/>
          <w:sz w:val="26"/>
          <w:szCs w:val="26"/>
        </w:rPr>
      </w:pPr>
      <w:r>
        <w:rPr>
          <w:b/>
          <w:color w:val="000000" w:themeColor="text1"/>
          <w:sz w:val="26"/>
          <w:szCs w:val="26"/>
        </w:rPr>
        <w:tab/>
      </w:r>
      <w:r>
        <w:rPr>
          <w:b/>
          <w:color w:val="000000" w:themeColor="text1"/>
          <w:sz w:val="26"/>
          <w:szCs w:val="26"/>
        </w:rPr>
        <w:tab/>
      </w:r>
      <w:r w:rsidR="003E7B6A">
        <w:rPr>
          <w:bCs/>
          <w:color w:val="000000" w:themeColor="text1"/>
          <w:sz w:val="26"/>
          <w:szCs w:val="26"/>
        </w:rPr>
        <w:t>Before the Pennsylvania Public Utility Commission (Commission) for</w:t>
      </w:r>
      <w:r w:rsidR="001C3A7C">
        <w:rPr>
          <w:bCs/>
          <w:color w:val="000000" w:themeColor="text1"/>
          <w:sz w:val="26"/>
          <w:szCs w:val="26"/>
        </w:rPr>
        <w:t xml:space="preserve"> consideration and disposition are </w:t>
      </w:r>
      <w:r w:rsidR="009F2A29">
        <w:rPr>
          <w:bCs/>
          <w:color w:val="000000" w:themeColor="text1"/>
          <w:sz w:val="26"/>
          <w:szCs w:val="26"/>
        </w:rPr>
        <w:t>the Exceptions</w:t>
      </w:r>
      <w:r w:rsidR="001C3A7C">
        <w:rPr>
          <w:bCs/>
          <w:color w:val="000000" w:themeColor="text1"/>
          <w:sz w:val="26"/>
          <w:szCs w:val="26"/>
        </w:rPr>
        <w:t xml:space="preserve"> of </w:t>
      </w:r>
      <w:r w:rsidR="009F2A29">
        <w:rPr>
          <w:bCs/>
          <w:color w:val="000000" w:themeColor="text1"/>
          <w:sz w:val="26"/>
          <w:szCs w:val="26"/>
        </w:rPr>
        <w:t>Brendan Lavin (</w:t>
      </w:r>
      <w:r w:rsidR="001D6521">
        <w:rPr>
          <w:bCs/>
          <w:color w:val="000000" w:themeColor="text1"/>
          <w:sz w:val="26"/>
          <w:szCs w:val="26"/>
        </w:rPr>
        <w:t>C</w:t>
      </w:r>
      <w:r w:rsidR="009F2A29">
        <w:rPr>
          <w:bCs/>
          <w:color w:val="000000" w:themeColor="text1"/>
          <w:sz w:val="26"/>
          <w:szCs w:val="26"/>
        </w:rPr>
        <w:t>omplainant or Mr. Lavin) filed o</w:t>
      </w:r>
      <w:r w:rsidR="00E40C17">
        <w:rPr>
          <w:bCs/>
          <w:color w:val="000000" w:themeColor="text1"/>
          <w:sz w:val="26"/>
          <w:szCs w:val="26"/>
        </w:rPr>
        <w:t xml:space="preserve">n </w:t>
      </w:r>
      <w:r w:rsidR="005A7B34">
        <w:rPr>
          <w:bCs/>
          <w:color w:val="000000" w:themeColor="text1"/>
          <w:sz w:val="26"/>
          <w:szCs w:val="26"/>
        </w:rPr>
        <w:t>November 5, 2020</w:t>
      </w:r>
      <w:r w:rsidR="00FA6A5D">
        <w:rPr>
          <w:bCs/>
          <w:color w:val="000000" w:themeColor="text1"/>
          <w:sz w:val="26"/>
          <w:szCs w:val="26"/>
        </w:rPr>
        <w:t>,</w:t>
      </w:r>
      <w:r w:rsidR="00C25478">
        <w:rPr>
          <w:rStyle w:val="FootnoteReference"/>
          <w:bCs/>
          <w:color w:val="000000" w:themeColor="text1"/>
          <w:sz w:val="26"/>
          <w:szCs w:val="26"/>
        </w:rPr>
        <w:footnoteReference w:id="1"/>
      </w:r>
      <w:r w:rsidR="00EA3FC5">
        <w:rPr>
          <w:bCs/>
          <w:color w:val="000000" w:themeColor="text1"/>
          <w:sz w:val="26"/>
          <w:szCs w:val="26"/>
        </w:rPr>
        <w:t xml:space="preserve"> to the Initial Decision </w:t>
      </w:r>
      <w:r w:rsidR="00F66FB2">
        <w:rPr>
          <w:bCs/>
          <w:color w:val="000000" w:themeColor="text1"/>
          <w:sz w:val="26"/>
          <w:szCs w:val="26"/>
        </w:rPr>
        <w:t xml:space="preserve">(I.D.) </w:t>
      </w:r>
      <w:r w:rsidR="00EA3FC5">
        <w:rPr>
          <w:bCs/>
          <w:color w:val="000000" w:themeColor="text1"/>
          <w:sz w:val="26"/>
          <w:szCs w:val="26"/>
        </w:rPr>
        <w:t>of Administrative Law Judge (ALJ) Benja</w:t>
      </w:r>
      <w:r w:rsidR="00A6138F">
        <w:rPr>
          <w:bCs/>
          <w:color w:val="000000" w:themeColor="text1"/>
          <w:sz w:val="26"/>
          <w:szCs w:val="26"/>
        </w:rPr>
        <w:t xml:space="preserve">min J. Myers issued on </w:t>
      </w:r>
      <w:r w:rsidR="007B2702">
        <w:rPr>
          <w:bCs/>
          <w:color w:val="000000" w:themeColor="text1"/>
          <w:sz w:val="26"/>
          <w:szCs w:val="26"/>
        </w:rPr>
        <w:t xml:space="preserve">October 21, 2020.  Replies to the Exceptions were </w:t>
      </w:r>
      <w:r w:rsidR="003932FF">
        <w:rPr>
          <w:bCs/>
          <w:color w:val="000000" w:themeColor="text1"/>
          <w:sz w:val="26"/>
          <w:szCs w:val="26"/>
        </w:rPr>
        <w:t xml:space="preserve">timely </w:t>
      </w:r>
      <w:r w:rsidR="007B2702">
        <w:rPr>
          <w:bCs/>
          <w:color w:val="000000" w:themeColor="text1"/>
          <w:sz w:val="26"/>
          <w:szCs w:val="26"/>
        </w:rPr>
        <w:t xml:space="preserve">filed by </w:t>
      </w:r>
      <w:r w:rsidR="009565CC">
        <w:rPr>
          <w:bCs/>
          <w:color w:val="000000" w:themeColor="text1"/>
          <w:sz w:val="26"/>
          <w:szCs w:val="26"/>
        </w:rPr>
        <w:t>R</w:t>
      </w:r>
      <w:r w:rsidR="007B2702">
        <w:rPr>
          <w:bCs/>
          <w:color w:val="000000" w:themeColor="text1"/>
          <w:sz w:val="26"/>
          <w:szCs w:val="26"/>
        </w:rPr>
        <w:t xml:space="preserve">espondent </w:t>
      </w:r>
      <w:r w:rsidR="007B2702" w:rsidRPr="007B2702">
        <w:rPr>
          <w:bCs/>
          <w:color w:val="000000" w:themeColor="text1"/>
          <w:sz w:val="26"/>
          <w:szCs w:val="26"/>
        </w:rPr>
        <w:t xml:space="preserve">PPL Electric Utilities </w:t>
      </w:r>
      <w:r w:rsidR="00B80221" w:rsidRPr="007B2702">
        <w:rPr>
          <w:bCs/>
          <w:color w:val="000000" w:themeColor="text1"/>
          <w:sz w:val="26"/>
          <w:szCs w:val="26"/>
        </w:rPr>
        <w:t>Corporation</w:t>
      </w:r>
      <w:r w:rsidR="00B80221">
        <w:rPr>
          <w:bCs/>
          <w:color w:val="000000" w:themeColor="text1"/>
          <w:sz w:val="26"/>
          <w:szCs w:val="26"/>
        </w:rPr>
        <w:t xml:space="preserve"> (</w:t>
      </w:r>
      <w:r w:rsidR="003932FF">
        <w:rPr>
          <w:bCs/>
          <w:color w:val="000000" w:themeColor="text1"/>
          <w:sz w:val="26"/>
          <w:szCs w:val="26"/>
        </w:rPr>
        <w:t xml:space="preserve">PPL or </w:t>
      </w:r>
      <w:r w:rsidR="001D6521">
        <w:rPr>
          <w:bCs/>
          <w:color w:val="000000" w:themeColor="text1"/>
          <w:sz w:val="26"/>
          <w:szCs w:val="26"/>
        </w:rPr>
        <w:t>R</w:t>
      </w:r>
      <w:r w:rsidR="003932FF">
        <w:rPr>
          <w:bCs/>
          <w:color w:val="000000" w:themeColor="text1"/>
          <w:sz w:val="26"/>
          <w:szCs w:val="26"/>
        </w:rPr>
        <w:t xml:space="preserve">espondent) on December </w:t>
      </w:r>
      <w:r w:rsidR="00814E5E">
        <w:rPr>
          <w:bCs/>
          <w:color w:val="000000" w:themeColor="text1"/>
          <w:sz w:val="26"/>
          <w:szCs w:val="26"/>
        </w:rPr>
        <w:t>1</w:t>
      </w:r>
      <w:r w:rsidR="00791C3A">
        <w:rPr>
          <w:bCs/>
          <w:color w:val="000000" w:themeColor="text1"/>
          <w:sz w:val="26"/>
          <w:szCs w:val="26"/>
        </w:rPr>
        <w:t>5</w:t>
      </w:r>
      <w:r w:rsidR="00814E5E">
        <w:rPr>
          <w:bCs/>
          <w:color w:val="000000" w:themeColor="text1"/>
          <w:sz w:val="26"/>
          <w:szCs w:val="26"/>
        </w:rPr>
        <w:t>, 2020</w:t>
      </w:r>
      <w:r w:rsidR="00B80221">
        <w:rPr>
          <w:bCs/>
          <w:color w:val="000000" w:themeColor="text1"/>
          <w:sz w:val="26"/>
          <w:szCs w:val="26"/>
        </w:rPr>
        <w:t xml:space="preserve">.  For the reasons stated below, we will deny the Exceptions and adopt the Initial Decision, consistent with this Opinion and Order. </w:t>
      </w:r>
    </w:p>
    <w:p w14:paraId="5F51F715" w14:textId="52D3E1D0" w:rsidR="00882750" w:rsidRDefault="00882750" w:rsidP="00D042BE">
      <w:pPr>
        <w:keepNext/>
        <w:widowControl/>
        <w:suppressAutoHyphens/>
        <w:spacing w:line="360" w:lineRule="auto"/>
        <w:jc w:val="center"/>
        <w:rPr>
          <w:b/>
          <w:color w:val="000000" w:themeColor="text1"/>
          <w:sz w:val="26"/>
          <w:szCs w:val="26"/>
        </w:rPr>
      </w:pPr>
      <w:r w:rsidRPr="008836BC">
        <w:rPr>
          <w:b/>
          <w:color w:val="000000" w:themeColor="text1"/>
          <w:sz w:val="26"/>
          <w:szCs w:val="26"/>
        </w:rPr>
        <w:lastRenderedPageBreak/>
        <w:t>Procedural History</w:t>
      </w:r>
    </w:p>
    <w:p w14:paraId="258AC8D9" w14:textId="77777777" w:rsidR="00143927" w:rsidRDefault="00143927" w:rsidP="00D042BE">
      <w:pPr>
        <w:keepNext/>
        <w:widowControl/>
        <w:suppressAutoHyphens/>
        <w:spacing w:line="360" w:lineRule="auto"/>
        <w:jc w:val="center"/>
        <w:rPr>
          <w:bCs/>
          <w:color w:val="000000" w:themeColor="text1"/>
          <w:sz w:val="26"/>
          <w:szCs w:val="26"/>
        </w:rPr>
      </w:pPr>
    </w:p>
    <w:p w14:paraId="05F99F4A" w14:textId="076045C9" w:rsidR="005F5A69" w:rsidRDefault="005F5A69" w:rsidP="005F5A69">
      <w:pPr>
        <w:keepNext/>
        <w:widowControl/>
        <w:suppressAutoHyphens/>
        <w:spacing w:line="360" w:lineRule="auto"/>
        <w:rPr>
          <w:bCs/>
          <w:color w:val="000000" w:themeColor="text1"/>
          <w:sz w:val="26"/>
          <w:szCs w:val="26"/>
        </w:rPr>
      </w:pPr>
      <w:r>
        <w:rPr>
          <w:bCs/>
          <w:color w:val="000000" w:themeColor="text1"/>
          <w:sz w:val="26"/>
          <w:szCs w:val="26"/>
        </w:rPr>
        <w:tab/>
      </w:r>
      <w:r>
        <w:rPr>
          <w:bCs/>
          <w:color w:val="000000" w:themeColor="text1"/>
          <w:sz w:val="26"/>
          <w:szCs w:val="26"/>
        </w:rPr>
        <w:tab/>
      </w:r>
      <w:r w:rsidR="003E6384">
        <w:rPr>
          <w:bCs/>
          <w:color w:val="000000" w:themeColor="text1"/>
          <w:sz w:val="26"/>
          <w:szCs w:val="26"/>
        </w:rPr>
        <w:t xml:space="preserve">On April 16, 2020, </w:t>
      </w:r>
      <w:r w:rsidR="000F6C98">
        <w:rPr>
          <w:bCs/>
          <w:color w:val="000000" w:themeColor="text1"/>
          <w:sz w:val="26"/>
          <w:szCs w:val="26"/>
        </w:rPr>
        <w:t>Brendan</w:t>
      </w:r>
      <w:r w:rsidR="003E6384">
        <w:rPr>
          <w:bCs/>
          <w:color w:val="000000" w:themeColor="text1"/>
          <w:sz w:val="26"/>
          <w:szCs w:val="26"/>
        </w:rPr>
        <w:t xml:space="preserve"> Lavin filed a </w:t>
      </w:r>
      <w:r w:rsidR="00143927">
        <w:rPr>
          <w:bCs/>
          <w:color w:val="000000" w:themeColor="text1"/>
          <w:sz w:val="26"/>
          <w:szCs w:val="26"/>
        </w:rPr>
        <w:t>F</w:t>
      </w:r>
      <w:r w:rsidR="003E6384">
        <w:rPr>
          <w:bCs/>
          <w:color w:val="000000" w:themeColor="text1"/>
          <w:sz w:val="26"/>
          <w:szCs w:val="26"/>
        </w:rPr>
        <w:t xml:space="preserve">ormal </w:t>
      </w:r>
      <w:r w:rsidR="001B03F0">
        <w:rPr>
          <w:bCs/>
          <w:color w:val="000000" w:themeColor="text1"/>
          <w:sz w:val="26"/>
          <w:szCs w:val="26"/>
        </w:rPr>
        <w:t>C</w:t>
      </w:r>
      <w:r w:rsidR="003E6384">
        <w:rPr>
          <w:bCs/>
          <w:color w:val="000000" w:themeColor="text1"/>
          <w:sz w:val="26"/>
          <w:szCs w:val="26"/>
        </w:rPr>
        <w:t xml:space="preserve">omplaint </w:t>
      </w:r>
      <w:r w:rsidR="00143927">
        <w:rPr>
          <w:bCs/>
          <w:color w:val="000000" w:themeColor="text1"/>
          <w:sz w:val="26"/>
          <w:szCs w:val="26"/>
        </w:rPr>
        <w:t xml:space="preserve">(Complaint) </w:t>
      </w:r>
      <w:r w:rsidR="003E6384">
        <w:rPr>
          <w:bCs/>
          <w:color w:val="000000" w:themeColor="text1"/>
          <w:sz w:val="26"/>
          <w:szCs w:val="26"/>
        </w:rPr>
        <w:t xml:space="preserve">with the </w:t>
      </w:r>
      <w:r w:rsidR="000F6C98">
        <w:rPr>
          <w:bCs/>
          <w:color w:val="000000" w:themeColor="text1"/>
          <w:sz w:val="26"/>
          <w:szCs w:val="26"/>
        </w:rPr>
        <w:t xml:space="preserve">Commission alleging that PPL </w:t>
      </w:r>
      <w:r w:rsidR="00E819A6">
        <w:rPr>
          <w:bCs/>
          <w:color w:val="000000" w:themeColor="text1"/>
          <w:sz w:val="26"/>
          <w:szCs w:val="26"/>
        </w:rPr>
        <w:t xml:space="preserve">was overbilling him for his electrical service.  On May 6, 2020, </w:t>
      </w:r>
      <w:r w:rsidR="009B4F2A">
        <w:rPr>
          <w:bCs/>
          <w:color w:val="000000" w:themeColor="text1"/>
          <w:sz w:val="26"/>
          <w:szCs w:val="26"/>
        </w:rPr>
        <w:t>PPL filed an Answer to the Complaint, in which it admitted or denied the various averments of the Complaint</w:t>
      </w:r>
      <w:r w:rsidR="00544615">
        <w:rPr>
          <w:bCs/>
          <w:color w:val="000000" w:themeColor="text1"/>
          <w:sz w:val="26"/>
          <w:szCs w:val="26"/>
        </w:rPr>
        <w:t>.</w:t>
      </w:r>
      <w:r w:rsidR="009B4F2A">
        <w:rPr>
          <w:bCs/>
          <w:color w:val="000000" w:themeColor="text1"/>
          <w:sz w:val="26"/>
          <w:szCs w:val="26"/>
        </w:rPr>
        <w:t xml:space="preserve"> </w:t>
      </w:r>
      <w:r w:rsidR="00544615">
        <w:rPr>
          <w:bCs/>
          <w:color w:val="000000" w:themeColor="text1"/>
          <w:sz w:val="26"/>
          <w:szCs w:val="26"/>
        </w:rPr>
        <w:t xml:space="preserve"> S</w:t>
      </w:r>
      <w:r w:rsidR="009B4F2A">
        <w:rPr>
          <w:bCs/>
          <w:color w:val="000000" w:themeColor="text1"/>
          <w:sz w:val="26"/>
          <w:szCs w:val="26"/>
        </w:rPr>
        <w:t>pecifically</w:t>
      </w:r>
      <w:r w:rsidR="00A23A1D">
        <w:rPr>
          <w:bCs/>
          <w:color w:val="000000" w:themeColor="text1"/>
          <w:sz w:val="26"/>
          <w:szCs w:val="26"/>
        </w:rPr>
        <w:t>,</w:t>
      </w:r>
      <w:r w:rsidR="009B4F2A">
        <w:rPr>
          <w:bCs/>
          <w:color w:val="000000" w:themeColor="text1"/>
          <w:sz w:val="26"/>
          <w:szCs w:val="26"/>
        </w:rPr>
        <w:t xml:space="preserve"> </w:t>
      </w:r>
      <w:r w:rsidR="00544615">
        <w:rPr>
          <w:bCs/>
          <w:color w:val="000000" w:themeColor="text1"/>
          <w:sz w:val="26"/>
          <w:szCs w:val="26"/>
        </w:rPr>
        <w:t>PPL</w:t>
      </w:r>
      <w:r w:rsidR="00143927">
        <w:rPr>
          <w:bCs/>
          <w:color w:val="000000" w:themeColor="text1"/>
          <w:sz w:val="26"/>
          <w:szCs w:val="26"/>
        </w:rPr>
        <w:t xml:space="preserve"> </w:t>
      </w:r>
      <w:r w:rsidR="009B4F2A">
        <w:rPr>
          <w:bCs/>
          <w:color w:val="000000" w:themeColor="text1"/>
          <w:sz w:val="26"/>
          <w:szCs w:val="26"/>
        </w:rPr>
        <w:t>denied that Mr. Lavin had been incorrectly billed</w:t>
      </w:r>
      <w:r w:rsidR="00A975B1">
        <w:rPr>
          <w:bCs/>
          <w:color w:val="000000" w:themeColor="text1"/>
          <w:sz w:val="26"/>
          <w:szCs w:val="26"/>
        </w:rPr>
        <w:t xml:space="preserve"> and requested that the Complaint be dismissed.</w:t>
      </w:r>
    </w:p>
    <w:p w14:paraId="12147B09" w14:textId="77777777" w:rsidR="00A975B1" w:rsidRDefault="00A975B1" w:rsidP="005F5A69">
      <w:pPr>
        <w:keepNext/>
        <w:widowControl/>
        <w:suppressAutoHyphens/>
        <w:spacing w:line="360" w:lineRule="auto"/>
        <w:rPr>
          <w:bCs/>
          <w:color w:val="000000" w:themeColor="text1"/>
          <w:sz w:val="26"/>
          <w:szCs w:val="26"/>
        </w:rPr>
      </w:pPr>
    </w:p>
    <w:p w14:paraId="1B2E9D37" w14:textId="3E7939B0" w:rsidR="00A975B1" w:rsidRDefault="00A975B1" w:rsidP="005F5A69">
      <w:pPr>
        <w:keepNext/>
        <w:widowControl/>
        <w:suppressAutoHyphens/>
        <w:spacing w:line="360" w:lineRule="auto"/>
        <w:rPr>
          <w:bCs/>
          <w:color w:val="000000" w:themeColor="text1"/>
          <w:sz w:val="26"/>
          <w:szCs w:val="26"/>
        </w:rPr>
      </w:pPr>
      <w:r>
        <w:rPr>
          <w:bCs/>
          <w:color w:val="000000" w:themeColor="text1"/>
          <w:sz w:val="26"/>
          <w:szCs w:val="26"/>
        </w:rPr>
        <w:tab/>
      </w:r>
      <w:r>
        <w:rPr>
          <w:bCs/>
          <w:color w:val="000000" w:themeColor="text1"/>
          <w:sz w:val="26"/>
          <w:szCs w:val="26"/>
        </w:rPr>
        <w:tab/>
        <w:t xml:space="preserve">By Hearing Notice dated </w:t>
      </w:r>
      <w:r w:rsidR="009C492A">
        <w:rPr>
          <w:bCs/>
          <w:color w:val="000000" w:themeColor="text1"/>
          <w:sz w:val="26"/>
          <w:szCs w:val="26"/>
        </w:rPr>
        <w:t xml:space="preserve">May 20, 2020, an initial </w:t>
      </w:r>
      <w:r w:rsidR="00B27AD5">
        <w:rPr>
          <w:bCs/>
          <w:color w:val="000000" w:themeColor="text1"/>
          <w:sz w:val="26"/>
          <w:szCs w:val="26"/>
        </w:rPr>
        <w:t xml:space="preserve">telephonic hearing was scheduled </w:t>
      </w:r>
      <w:r w:rsidR="00AF3AA6">
        <w:rPr>
          <w:bCs/>
          <w:color w:val="000000" w:themeColor="text1"/>
          <w:sz w:val="26"/>
          <w:szCs w:val="26"/>
        </w:rPr>
        <w:t>for July</w:t>
      </w:r>
      <w:r w:rsidR="00B27AD5">
        <w:rPr>
          <w:bCs/>
          <w:color w:val="000000" w:themeColor="text1"/>
          <w:sz w:val="26"/>
          <w:szCs w:val="26"/>
        </w:rPr>
        <w:t xml:space="preserve"> 28, 2020, and the matter was assigned to ALJ Myers.  </w:t>
      </w:r>
      <w:r w:rsidR="002D48DB">
        <w:rPr>
          <w:bCs/>
          <w:color w:val="000000" w:themeColor="text1"/>
          <w:sz w:val="26"/>
          <w:szCs w:val="26"/>
        </w:rPr>
        <w:t>The telephonic</w:t>
      </w:r>
      <w:r w:rsidR="00B27AD5">
        <w:rPr>
          <w:bCs/>
          <w:color w:val="000000" w:themeColor="text1"/>
          <w:sz w:val="26"/>
          <w:szCs w:val="26"/>
        </w:rPr>
        <w:t xml:space="preserve"> hearing was held as scheduled</w:t>
      </w:r>
      <w:r w:rsidR="00814E5E">
        <w:rPr>
          <w:bCs/>
          <w:color w:val="000000" w:themeColor="text1"/>
          <w:sz w:val="26"/>
          <w:szCs w:val="26"/>
        </w:rPr>
        <w:t xml:space="preserve">.  The </w:t>
      </w:r>
      <w:r w:rsidR="00D20992">
        <w:rPr>
          <w:bCs/>
          <w:color w:val="000000" w:themeColor="text1"/>
          <w:sz w:val="26"/>
          <w:szCs w:val="26"/>
        </w:rPr>
        <w:t>C</w:t>
      </w:r>
      <w:r w:rsidR="00814E5E">
        <w:rPr>
          <w:bCs/>
          <w:color w:val="000000" w:themeColor="text1"/>
          <w:sz w:val="26"/>
          <w:szCs w:val="26"/>
        </w:rPr>
        <w:t xml:space="preserve">omplainant appeared </w:t>
      </w:r>
      <w:r w:rsidR="002D48DB">
        <w:rPr>
          <w:bCs/>
          <w:color w:val="000000" w:themeColor="text1"/>
          <w:sz w:val="26"/>
          <w:szCs w:val="26"/>
        </w:rPr>
        <w:t xml:space="preserve">pro se </w:t>
      </w:r>
      <w:r w:rsidR="00814E5E">
        <w:rPr>
          <w:bCs/>
          <w:color w:val="000000" w:themeColor="text1"/>
          <w:sz w:val="26"/>
          <w:szCs w:val="26"/>
        </w:rPr>
        <w:t>and testified</w:t>
      </w:r>
      <w:r w:rsidR="002D48DB">
        <w:rPr>
          <w:bCs/>
          <w:color w:val="000000" w:themeColor="text1"/>
          <w:sz w:val="26"/>
          <w:szCs w:val="26"/>
        </w:rPr>
        <w:t>.  PP</w:t>
      </w:r>
      <w:r w:rsidR="00D20992">
        <w:rPr>
          <w:bCs/>
          <w:color w:val="000000" w:themeColor="text1"/>
          <w:sz w:val="26"/>
          <w:szCs w:val="26"/>
        </w:rPr>
        <w:t>L</w:t>
      </w:r>
      <w:r w:rsidR="002D48DB">
        <w:rPr>
          <w:bCs/>
          <w:color w:val="000000" w:themeColor="text1"/>
          <w:sz w:val="26"/>
          <w:szCs w:val="26"/>
        </w:rPr>
        <w:t xml:space="preserve">, represented by counsel, </w:t>
      </w:r>
      <w:r w:rsidR="001F44D5">
        <w:rPr>
          <w:bCs/>
          <w:color w:val="000000" w:themeColor="text1"/>
          <w:sz w:val="26"/>
          <w:szCs w:val="26"/>
        </w:rPr>
        <w:t xml:space="preserve">presented the testimony of one witness, who sponsored four exhibits which were admitted into </w:t>
      </w:r>
      <w:r w:rsidR="00AF3AA6">
        <w:rPr>
          <w:bCs/>
          <w:color w:val="000000" w:themeColor="text1"/>
          <w:sz w:val="26"/>
          <w:szCs w:val="26"/>
        </w:rPr>
        <w:t>t</w:t>
      </w:r>
      <w:r w:rsidR="001F44D5">
        <w:rPr>
          <w:bCs/>
          <w:color w:val="000000" w:themeColor="text1"/>
          <w:sz w:val="26"/>
          <w:szCs w:val="26"/>
        </w:rPr>
        <w:t xml:space="preserve">he record.  </w:t>
      </w:r>
      <w:r w:rsidR="00AF3AA6">
        <w:rPr>
          <w:bCs/>
          <w:color w:val="000000" w:themeColor="text1"/>
          <w:sz w:val="26"/>
          <w:szCs w:val="26"/>
        </w:rPr>
        <w:t xml:space="preserve">The hearing generated a transcript of </w:t>
      </w:r>
      <w:r w:rsidR="002645F0">
        <w:rPr>
          <w:bCs/>
          <w:color w:val="000000" w:themeColor="text1"/>
          <w:sz w:val="26"/>
          <w:szCs w:val="26"/>
        </w:rPr>
        <w:t>twen</w:t>
      </w:r>
      <w:r w:rsidR="00A23A1D">
        <w:rPr>
          <w:bCs/>
          <w:color w:val="000000" w:themeColor="text1"/>
          <w:sz w:val="26"/>
          <w:szCs w:val="26"/>
        </w:rPr>
        <w:t>t</w:t>
      </w:r>
      <w:r w:rsidR="002645F0">
        <w:rPr>
          <w:bCs/>
          <w:color w:val="000000" w:themeColor="text1"/>
          <w:sz w:val="26"/>
          <w:szCs w:val="26"/>
        </w:rPr>
        <w:t>y-five</w:t>
      </w:r>
      <w:r w:rsidR="00AF3AA6">
        <w:rPr>
          <w:bCs/>
          <w:color w:val="000000" w:themeColor="text1"/>
          <w:sz w:val="26"/>
          <w:szCs w:val="26"/>
        </w:rPr>
        <w:t xml:space="preserve"> pages.  </w:t>
      </w:r>
      <w:r w:rsidR="00157042">
        <w:rPr>
          <w:bCs/>
          <w:color w:val="000000" w:themeColor="text1"/>
          <w:sz w:val="26"/>
          <w:szCs w:val="26"/>
        </w:rPr>
        <w:t>The record was closed on July 28, 2020, at the conclusion o</w:t>
      </w:r>
      <w:r w:rsidR="00021F0B">
        <w:rPr>
          <w:bCs/>
          <w:color w:val="000000" w:themeColor="text1"/>
          <w:sz w:val="26"/>
          <w:szCs w:val="26"/>
        </w:rPr>
        <w:t>f</w:t>
      </w:r>
      <w:r w:rsidR="00157042">
        <w:rPr>
          <w:bCs/>
          <w:color w:val="000000" w:themeColor="text1"/>
          <w:sz w:val="26"/>
          <w:szCs w:val="26"/>
        </w:rPr>
        <w:t xml:space="preserve"> the hearing.  </w:t>
      </w:r>
    </w:p>
    <w:p w14:paraId="6B20C46B" w14:textId="77777777" w:rsidR="00157042" w:rsidRDefault="00157042" w:rsidP="005F5A69">
      <w:pPr>
        <w:keepNext/>
        <w:widowControl/>
        <w:suppressAutoHyphens/>
        <w:spacing w:line="360" w:lineRule="auto"/>
        <w:rPr>
          <w:bCs/>
          <w:color w:val="000000" w:themeColor="text1"/>
          <w:sz w:val="26"/>
          <w:szCs w:val="26"/>
        </w:rPr>
      </w:pPr>
    </w:p>
    <w:p w14:paraId="4BF5A3F2" w14:textId="3508D06C" w:rsidR="00157042" w:rsidRDefault="00157042" w:rsidP="005F5A69">
      <w:pPr>
        <w:keepNext/>
        <w:widowControl/>
        <w:suppressAutoHyphens/>
        <w:spacing w:line="360" w:lineRule="auto"/>
        <w:rPr>
          <w:bCs/>
          <w:color w:val="000000" w:themeColor="text1"/>
          <w:sz w:val="26"/>
          <w:szCs w:val="26"/>
        </w:rPr>
      </w:pPr>
      <w:r>
        <w:rPr>
          <w:bCs/>
          <w:color w:val="000000" w:themeColor="text1"/>
          <w:sz w:val="26"/>
          <w:szCs w:val="26"/>
        </w:rPr>
        <w:tab/>
      </w:r>
      <w:r>
        <w:rPr>
          <w:bCs/>
          <w:color w:val="000000" w:themeColor="text1"/>
          <w:sz w:val="26"/>
          <w:szCs w:val="26"/>
        </w:rPr>
        <w:tab/>
        <w:t xml:space="preserve">On October 21, 2020, ALJ Myers issued an Initial Decision </w:t>
      </w:r>
      <w:r w:rsidR="005D4394">
        <w:rPr>
          <w:bCs/>
          <w:color w:val="000000" w:themeColor="text1"/>
          <w:sz w:val="26"/>
          <w:szCs w:val="26"/>
        </w:rPr>
        <w:t xml:space="preserve">which </w:t>
      </w:r>
      <w:r w:rsidR="00E9416D">
        <w:rPr>
          <w:bCs/>
          <w:color w:val="000000" w:themeColor="text1"/>
          <w:sz w:val="26"/>
          <w:szCs w:val="26"/>
        </w:rPr>
        <w:t xml:space="preserve">denied and </w:t>
      </w:r>
      <w:r w:rsidR="005D4394">
        <w:rPr>
          <w:bCs/>
          <w:color w:val="000000" w:themeColor="text1"/>
          <w:sz w:val="26"/>
          <w:szCs w:val="26"/>
        </w:rPr>
        <w:t xml:space="preserve">dismissed the Complaint, finding that </w:t>
      </w:r>
      <w:r w:rsidR="00D20992">
        <w:rPr>
          <w:bCs/>
          <w:color w:val="000000" w:themeColor="text1"/>
          <w:sz w:val="26"/>
          <w:szCs w:val="26"/>
        </w:rPr>
        <w:t>the C</w:t>
      </w:r>
      <w:r w:rsidR="005D4394">
        <w:rPr>
          <w:bCs/>
          <w:color w:val="000000" w:themeColor="text1"/>
          <w:sz w:val="26"/>
          <w:szCs w:val="26"/>
        </w:rPr>
        <w:t>omplainant had failed to sustain his burden of proving that</w:t>
      </w:r>
      <w:r w:rsidR="00595599">
        <w:rPr>
          <w:bCs/>
          <w:color w:val="000000" w:themeColor="text1"/>
          <w:sz w:val="26"/>
          <w:szCs w:val="26"/>
        </w:rPr>
        <w:t xml:space="preserve"> </w:t>
      </w:r>
      <w:r w:rsidR="00CD7835">
        <w:rPr>
          <w:bCs/>
          <w:color w:val="000000" w:themeColor="text1"/>
          <w:sz w:val="26"/>
          <w:szCs w:val="26"/>
        </w:rPr>
        <w:t>he had been overbilled by PP</w:t>
      </w:r>
      <w:r w:rsidR="00D20992">
        <w:rPr>
          <w:bCs/>
          <w:color w:val="000000" w:themeColor="text1"/>
          <w:sz w:val="26"/>
          <w:szCs w:val="26"/>
        </w:rPr>
        <w:t>L</w:t>
      </w:r>
      <w:r w:rsidR="00CD7835">
        <w:rPr>
          <w:bCs/>
          <w:color w:val="000000" w:themeColor="text1"/>
          <w:sz w:val="26"/>
          <w:szCs w:val="26"/>
        </w:rPr>
        <w:t xml:space="preserve">, or </w:t>
      </w:r>
      <w:r w:rsidR="00157C14">
        <w:rPr>
          <w:bCs/>
          <w:color w:val="000000" w:themeColor="text1"/>
          <w:sz w:val="26"/>
          <w:szCs w:val="26"/>
        </w:rPr>
        <w:t xml:space="preserve">that </w:t>
      </w:r>
      <w:r w:rsidR="00CD7835">
        <w:rPr>
          <w:bCs/>
          <w:color w:val="000000" w:themeColor="text1"/>
          <w:sz w:val="26"/>
          <w:szCs w:val="26"/>
        </w:rPr>
        <w:t>P</w:t>
      </w:r>
      <w:r w:rsidR="00595599">
        <w:rPr>
          <w:bCs/>
          <w:color w:val="000000" w:themeColor="text1"/>
          <w:sz w:val="26"/>
          <w:szCs w:val="26"/>
        </w:rPr>
        <w:t>PL violated the Public Utility Code</w:t>
      </w:r>
      <w:r w:rsidR="0055672D">
        <w:rPr>
          <w:bCs/>
          <w:color w:val="000000" w:themeColor="text1"/>
          <w:sz w:val="26"/>
          <w:szCs w:val="26"/>
        </w:rPr>
        <w:t xml:space="preserve"> (Code)</w:t>
      </w:r>
      <w:r w:rsidR="00595599">
        <w:rPr>
          <w:bCs/>
          <w:color w:val="000000" w:themeColor="text1"/>
          <w:sz w:val="26"/>
          <w:szCs w:val="26"/>
        </w:rPr>
        <w:t xml:space="preserve">, </w:t>
      </w:r>
      <w:r w:rsidR="0041054F">
        <w:rPr>
          <w:bCs/>
          <w:color w:val="000000" w:themeColor="text1"/>
          <w:sz w:val="26"/>
          <w:szCs w:val="26"/>
        </w:rPr>
        <w:t xml:space="preserve">any Commission </w:t>
      </w:r>
      <w:r w:rsidR="0055672D">
        <w:rPr>
          <w:bCs/>
          <w:color w:val="000000" w:themeColor="text1"/>
          <w:sz w:val="26"/>
          <w:szCs w:val="26"/>
        </w:rPr>
        <w:t>O</w:t>
      </w:r>
      <w:r w:rsidR="0041054F">
        <w:rPr>
          <w:bCs/>
          <w:color w:val="000000" w:themeColor="text1"/>
          <w:sz w:val="26"/>
          <w:szCs w:val="26"/>
        </w:rPr>
        <w:t xml:space="preserve">rder or </w:t>
      </w:r>
      <w:r w:rsidR="0055672D">
        <w:rPr>
          <w:bCs/>
          <w:color w:val="000000" w:themeColor="text1"/>
          <w:sz w:val="26"/>
          <w:szCs w:val="26"/>
        </w:rPr>
        <w:t>R</w:t>
      </w:r>
      <w:r w:rsidR="0041054F">
        <w:rPr>
          <w:bCs/>
          <w:color w:val="000000" w:themeColor="text1"/>
          <w:sz w:val="26"/>
          <w:szCs w:val="26"/>
        </w:rPr>
        <w:t xml:space="preserve">egulation, or any </w:t>
      </w:r>
      <w:r w:rsidR="00980263">
        <w:rPr>
          <w:bCs/>
          <w:color w:val="000000" w:themeColor="text1"/>
          <w:sz w:val="26"/>
          <w:szCs w:val="26"/>
        </w:rPr>
        <w:t>Commission</w:t>
      </w:r>
      <w:r w:rsidR="0041054F">
        <w:rPr>
          <w:bCs/>
          <w:color w:val="000000" w:themeColor="text1"/>
          <w:sz w:val="26"/>
          <w:szCs w:val="26"/>
        </w:rPr>
        <w:t>-</w:t>
      </w:r>
      <w:r w:rsidR="00980263">
        <w:rPr>
          <w:bCs/>
          <w:color w:val="000000" w:themeColor="text1"/>
          <w:sz w:val="26"/>
          <w:szCs w:val="26"/>
        </w:rPr>
        <w:t>approved tariff</w:t>
      </w:r>
      <w:r w:rsidR="00E9416D">
        <w:rPr>
          <w:bCs/>
          <w:color w:val="000000" w:themeColor="text1"/>
          <w:sz w:val="26"/>
          <w:szCs w:val="26"/>
        </w:rPr>
        <w:t xml:space="preserve">.  </w:t>
      </w:r>
    </w:p>
    <w:p w14:paraId="710C55AF" w14:textId="77777777" w:rsidR="00DD1C01" w:rsidRDefault="00DD1C01" w:rsidP="005F5A69">
      <w:pPr>
        <w:keepNext/>
        <w:widowControl/>
        <w:suppressAutoHyphens/>
        <w:spacing w:line="360" w:lineRule="auto"/>
        <w:rPr>
          <w:bCs/>
          <w:color w:val="000000" w:themeColor="text1"/>
          <w:sz w:val="26"/>
          <w:szCs w:val="26"/>
        </w:rPr>
      </w:pPr>
    </w:p>
    <w:p w14:paraId="72F1859A" w14:textId="5A547129" w:rsidR="003C7678" w:rsidRPr="009C26FE" w:rsidRDefault="00DD1C01" w:rsidP="009C26FE">
      <w:pPr>
        <w:keepNext/>
        <w:widowControl/>
        <w:suppressAutoHyphens/>
        <w:spacing w:line="360" w:lineRule="auto"/>
        <w:rPr>
          <w:bCs/>
          <w:color w:val="000000" w:themeColor="text1"/>
          <w:sz w:val="26"/>
          <w:szCs w:val="26"/>
        </w:rPr>
      </w:pPr>
      <w:r>
        <w:rPr>
          <w:bCs/>
          <w:color w:val="000000" w:themeColor="text1"/>
          <w:sz w:val="26"/>
          <w:szCs w:val="26"/>
        </w:rPr>
        <w:tab/>
      </w:r>
      <w:r>
        <w:rPr>
          <w:bCs/>
          <w:color w:val="000000" w:themeColor="text1"/>
          <w:sz w:val="26"/>
          <w:szCs w:val="26"/>
        </w:rPr>
        <w:tab/>
        <w:t xml:space="preserve">As previously noted, </w:t>
      </w:r>
      <w:r w:rsidR="00D20992">
        <w:rPr>
          <w:bCs/>
          <w:color w:val="000000" w:themeColor="text1"/>
          <w:sz w:val="26"/>
          <w:szCs w:val="26"/>
        </w:rPr>
        <w:t>the C</w:t>
      </w:r>
      <w:r>
        <w:rPr>
          <w:bCs/>
          <w:color w:val="000000" w:themeColor="text1"/>
          <w:sz w:val="26"/>
          <w:szCs w:val="26"/>
        </w:rPr>
        <w:t>omplain</w:t>
      </w:r>
      <w:r w:rsidR="00D20992">
        <w:rPr>
          <w:bCs/>
          <w:color w:val="000000" w:themeColor="text1"/>
          <w:sz w:val="26"/>
          <w:szCs w:val="26"/>
        </w:rPr>
        <w:t>an</w:t>
      </w:r>
      <w:r>
        <w:rPr>
          <w:bCs/>
          <w:color w:val="000000" w:themeColor="text1"/>
          <w:sz w:val="26"/>
          <w:szCs w:val="26"/>
        </w:rPr>
        <w:t>t filed Exceptions to the Initial Decision</w:t>
      </w:r>
      <w:r w:rsidR="00DE3736">
        <w:rPr>
          <w:bCs/>
          <w:color w:val="000000" w:themeColor="text1"/>
          <w:sz w:val="26"/>
          <w:szCs w:val="26"/>
        </w:rPr>
        <w:t xml:space="preserve"> on </w:t>
      </w:r>
      <w:r w:rsidR="00087887">
        <w:rPr>
          <w:bCs/>
          <w:color w:val="000000" w:themeColor="text1"/>
          <w:sz w:val="26"/>
          <w:szCs w:val="26"/>
        </w:rPr>
        <w:t>November 5</w:t>
      </w:r>
      <w:r w:rsidR="00DE3736">
        <w:rPr>
          <w:bCs/>
          <w:color w:val="000000" w:themeColor="text1"/>
          <w:sz w:val="26"/>
          <w:szCs w:val="26"/>
        </w:rPr>
        <w:t xml:space="preserve">, 2020, and PPL filed </w:t>
      </w:r>
      <w:r w:rsidR="002051DE">
        <w:rPr>
          <w:bCs/>
          <w:color w:val="000000" w:themeColor="text1"/>
          <w:sz w:val="26"/>
          <w:szCs w:val="26"/>
        </w:rPr>
        <w:t>Replies to</w:t>
      </w:r>
      <w:r w:rsidR="009626D0">
        <w:rPr>
          <w:bCs/>
          <w:color w:val="000000" w:themeColor="text1"/>
          <w:sz w:val="26"/>
          <w:szCs w:val="26"/>
        </w:rPr>
        <w:t xml:space="preserve"> Exceptions on December</w:t>
      </w:r>
      <w:r w:rsidR="00685ABF">
        <w:rPr>
          <w:bCs/>
          <w:color w:val="000000" w:themeColor="text1"/>
          <w:sz w:val="26"/>
          <w:szCs w:val="26"/>
        </w:rPr>
        <w:t> </w:t>
      </w:r>
      <w:r w:rsidR="009626D0">
        <w:rPr>
          <w:bCs/>
          <w:color w:val="000000" w:themeColor="text1"/>
          <w:sz w:val="26"/>
          <w:szCs w:val="26"/>
        </w:rPr>
        <w:t>1</w:t>
      </w:r>
      <w:r w:rsidR="00087887">
        <w:rPr>
          <w:bCs/>
          <w:color w:val="000000" w:themeColor="text1"/>
          <w:sz w:val="26"/>
          <w:szCs w:val="26"/>
        </w:rPr>
        <w:t>5</w:t>
      </w:r>
      <w:r w:rsidR="009626D0">
        <w:rPr>
          <w:bCs/>
          <w:color w:val="000000" w:themeColor="text1"/>
          <w:sz w:val="26"/>
          <w:szCs w:val="26"/>
        </w:rPr>
        <w:t>,</w:t>
      </w:r>
      <w:r w:rsidR="00685ABF">
        <w:rPr>
          <w:bCs/>
          <w:color w:val="000000" w:themeColor="text1"/>
          <w:sz w:val="26"/>
          <w:szCs w:val="26"/>
        </w:rPr>
        <w:t> </w:t>
      </w:r>
      <w:r w:rsidR="009626D0">
        <w:rPr>
          <w:bCs/>
          <w:color w:val="000000" w:themeColor="text1"/>
          <w:sz w:val="26"/>
          <w:szCs w:val="26"/>
        </w:rPr>
        <w:t xml:space="preserve">2020. </w:t>
      </w:r>
    </w:p>
    <w:p w14:paraId="59BF3FB9" w14:textId="77777777" w:rsidR="00CA3A19" w:rsidRPr="008836BC" w:rsidRDefault="00CA3A19" w:rsidP="00762F72">
      <w:pPr>
        <w:widowControl/>
        <w:spacing w:line="360" w:lineRule="auto"/>
        <w:rPr>
          <w:color w:val="000000" w:themeColor="text1"/>
          <w:sz w:val="26"/>
          <w:szCs w:val="26"/>
        </w:rPr>
      </w:pPr>
    </w:p>
    <w:p w14:paraId="18FC7FDD" w14:textId="77777777" w:rsidR="00882750" w:rsidRDefault="00882750" w:rsidP="00FC2E5B">
      <w:pPr>
        <w:keepNext/>
        <w:widowControl/>
        <w:spacing w:line="360" w:lineRule="auto"/>
        <w:jc w:val="center"/>
        <w:rPr>
          <w:bCs/>
          <w:color w:val="000000" w:themeColor="text1"/>
          <w:sz w:val="26"/>
          <w:szCs w:val="26"/>
        </w:rPr>
      </w:pPr>
      <w:r w:rsidRPr="008836BC">
        <w:rPr>
          <w:b/>
          <w:color w:val="000000" w:themeColor="text1"/>
          <w:sz w:val="26"/>
          <w:szCs w:val="26"/>
        </w:rPr>
        <w:lastRenderedPageBreak/>
        <w:t>Discussion</w:t>
      </w:r>
    </w:p>
    <w:p w14:paraId="67F7D8DC" w14:textId="77777777" w:rsidR="00D4410A" w:rsidRDefault="00D4410A" w:rsidP="00FC2E5B">
      <w:pPr>
        <w:keepNext/>
        <w:widowControl/>
        <w:spacing w:line="360" w:lineRule="auto"/>
        <w:rPr>
          <w:bCs/>
          <w:color w:val="000000" w:themeColor="text1"/>
          <w:sz w:val="26"/>
          <w:szCs w:val="26"/>
        </w:rPr>
      </w:pPr>
    </w:p>
    <w:p w14:paraId="7373A4D8" w14:textId="57D45D28" w:rsidR="00D4410A" w:rsidRDefault="00D4410A" w:rsidP="00FC2E5B">
      <w:pPr>
        <w:pStyle w:val="ListParagraph"/>
        <w:keepNext/>
        <w:spacing w:line="360" w:lineRule="auto"/>
        <w:ind w:left="0"/>
        <w:rPr>
          <w:b/>
          <w:color w:val="000000" w:themeColor="text1"/>
          <w:sz w:val="26"/>
          <w:szCs w:val="26"/>
        </w:rPr>
      </w:pPr>
      <w:r w:rsidRPr="00685ABF">
        <w:rPr>
          <w:b/>
          <w:color w:val="000000" w:themeColor="text1"/>
          <w:sz w:val="26"/>
          <w:szCs w:val="26"/>
        </w:rPr>
        <w:t>Legal Standards</w:t>
      </w:r>
    </w:p>
    <w:p w14:paraId="0906BEF8" w14:textId="77777777" w:rsidR="00BA50D4" w:rsidRPr="00685ABF" w:rsidRDefault="00BA50D4" w:rsidP="00FC2E5B">
      <w:pPr>
        <w:pStyle w:val="ListParagraph"/>
        <w:keepNext/>
        <w:spacing w:line="360" w:lineRule="auto"/>
        <w:rPr>
          <w:b/>
          <w:color w:val="000000" w:themeColor="text1"/>
          <w:sz w:val="26"/>
          <w:szCs w:val="26"/>
        </w:rPr>
      </w:pPr>
    </w:p>
    <w:p w14:paraId="0587923E" w14:textId="770ADD9B" w:rsidR="00A40C71" w:rsidRDefault="00E23784" w:rsidP="00FC2E5B">
      <w:pPr>
        <w:pStyle w:val="ListParagraph"/>
        <w:keepNext/>
        <w:spacing w:line="360" w:lineRule="auto"/>
        <w:ind w:left="0" w:firstLine="720"/>
        <w:rPr>
          <w:bCs/>
          <w:color w:val="000000" w:themeColor="text1"/>
          <w:sz w:val="26"/>
          <w:szCs w:val="26"/>
        </w:rPr>
      </w:pPr>
      <w:r>
        <w:rPr>
          <w:bCs/>
          <w:color w:val="000000" w:themeColor="text1"/>
          <w:sz w:val="26"/>
          <w:szCs w:val="26"/>
        </w:rPr>
        <w:tab/>
      </w:r>
      <w:r w:rsidR="00A40C71">
        <w:rPr>
          <w:bCs/>
          <w:color w:val="000000" w:themeColor="text1"/>
          <w:sz w:val="26"/>
          <w:szCs w:val="26"/>
        </w:rPr>
        <w:t>Before addressing the Exceptions, we note that any issue not specifically discussed shall be deemed to</w:t>
      </w:r>
      <w:r w:rsidR="00BD159B">
        <w:rPr>
          <w:bCs/>
          <w:color w:val="000000" w:themeColor="text1"/>
          <w:sz w:val="26"/>
          <w:szCs w:val="26"/>
        </w:rPr>
        <w:t xml:space="preserve"> have been duly considered and denied without further </w:t>
      </w:r>
      <w:r w:rsidR="002051DE">
        <w:rPr>
          <w:bCs/>
          <w:color w:val="000000" w:themeColor="text1"/>
          <w:sz w:val="26"/>
          <w:szCs w:val="26"/>
        </w:rPr>
        <w:t>discussion</w:t>
      </w:r>
      <w:r w:rsidR="00660C86">
        <w:rPr>
          <w:bCs/>
          <w:color w:val="000000" w:themeColor="text1"/>
          <w:sz w:val="26"/>
          <w:szCs w:val="26"/>
        </w:rPr>
        <w:t>.  T</w:t>
      </w:r>
      <w:r w:rsidR="002051DE">
        <w:rPr>
          <w:bCs/>
          <w:color w:val="000000" w:themeColor="text1"/>
          <w:sz w:val="26"/>
          <w:szCs w:val="26"/>
        </w:rPr>
        <w:t>he</w:t>
      </w:r>
      <w:r w:rsidR="00BD159B">
        <w:rPr>
          <w:bCs/>
          <w:color w:val="000000" w:themeColor="text1"/>
          <w:sz w:val="26"/>
          <w:szCs w:val="26"/>
        </w:rPr>
        <w:t xml:space="preserve"> Commission is not required to consider</w:t>
      </w:r>
      <w:r w:rsidR="00494C2A">
        <w:rPr>
          <w:bCs/>
          <w:color w:val="000000" w:themeColor="text1"/>
          <w:sz w:val="26"/>
          <w:szCs w:val="26"/>
        </w:rPr>
        <w:t xml:space="preserve"> </w:t>
      </w:r>
      <w:r w:rsidR="00BD159B">
        <w:rPr>
          <w:bCs/>
          <w:color w:val="000000" w:themeColor="text1"/>
          <w:sz w:val="26"/>
          <w:szCs w:val="26"/>
        </w:rPr>
        <w:t xml:space="preserve">expressly or at length each </w:t>
      </w:r>
      <w:r w:rsidR="002051DE">
        <w:rPr>
          <w:bCs/>
          <w:color w:val="000000" w:themeColor="text1"/>
          <w:sz w:val="26"/>
          <w:szCs w:val="26"/>
        </w:rPr>
        <w:t xml:space="preserve">contention or argument raised by the parties.  </w:t>
      </w:r>
      <w:r w:rsidR="00494C2A" w:rsidRPr="009410FF">
        <w:rPr>
          <w:bCs/>
          <w:i/>
          <w:iCs/>
          <w:color w:val="000000" w:themeColor="text1"/>
          <w:sz w:val="26"/>
          <w:szCs w:val="26"/>
        </w:rPr>
        <w:t>Consolidated Rail Corp. v. Pa. PUC</w:t>
      </w:r>
      <w:r w:rsidR="00DF294F">
        <w:rPr>
          <w:bCs/>
          <w:color w:val="000000" w:themeColor="text1"/>
          <w:sz w:val="26"/>
          <w:szCs w:val="26"/>
        </w:rPr>
        <w:t>, 625</w:t>
      </w:r>
      <w:r w:rsidR="003C4A3C">
        <w:rPr>
          <w:bCs/>
          <w:color w:val="000000" w:themeColor="text1"/>
          <w:sz w:val="26"/>
          <w:szCs w:val="26"/>
        </w:rPr>
        <w:t> </w:t>
      </w:r>
      <w:r w:rsidR="00DF294F">
        <w:rPr>
          <w:bCs/>
          <w:color w:val="000000" w:themeColor="text1"/>
          <w:sz w:val="26"/>
          <w:szCs w:val="26"/>
        </w:rPr>
        <w:t>A.2d</w:t>
      </w:r>
      <w:r w:rsidR="00643E11">
        <w:rPr>
          <w:bCs/>
          <w:color w:val="000000" w:themeColor="text1"/>
          <w:sz w:val="26"/>
          <w:szCs w:val="26"/>
        </w:rPr>
        <w:t xml:space="preserve"> 741 (Pa. Cmwlth. 1993); see also </w:t>
      </w:r>
      <w:r w:rsidR="00643E11" w:rsidRPr="009410FF">
        <w:rPr>
          <w:bCs/>
          <w:i/>
          <w:iCs/>
          <w:color w:val="000000" w:themeColor="text1"/>
          <w:sz w:val="26"/>
          <w:szCs w:val="26"/>
        </w:rPr>
        <w:t>University of P</w:t>
      </w:r>
      <w:r w:rsidR="00557FD7" w:rsidRPr="009410FF">
        <w:rPr>
          <w:bCs/>
          <w:i/>
          <w:iCs/>
          <w:color w:val="000000" w:themeColor="text1"/>
          <w:sz w:val="26"/>
          <w:szCs w:val="26"/>
        </w:rPr>
        <w:t>ennsylvania v. Pa. PUC</w:t>
      </w:r>
      <w:r w:rsidR="00557FD7">
        <w:rPr>
          <w:bCs/>
          <w:color w:val="000000" w:themeColor="text1"/>
          <w:sz w:val="26"/>
          <w:szCs w:val="26"/>
        </w:rPr>
        <w:t>, 485</w:t>
      </w:r>
      <w:r w:rsidR="003C4A3C">
        <w:rPr>
          <w:bCs/>
          <w:color w:val="000000" w:themeColor="text1"/>
          <w:sz w:val="26"/>
          <w:szCs w:val="26"/>
        </w:rPr>
        <w:t> </w:t>
      </w:r>
      <w:r w:rsidR="00557FD7">
        <w:rPr>
          <w:bCs/>
          <w:color w:val="000000" w:themeColor="text1"/>
          <w:sz w:val="26"/>
          <w:szCs w:val="26"/>
        </w:rPr>
        <w:t>A.2d 1217 (Pa. Cmwlth 1984).  Therefore, any issue that we do not specifically address or delineate in this decision shall be deemed to have been duly considered and denied without further discussion.</w:t>
      </w:r>
    </w:p>
    <w:p w14:paraId="031250DC" w14:textId="77777777" w:rsidR="00DB411F" w:rsidRDefault="00DB411F" w:rsidP="00685ABF">
      <w:pPr>
        <w:pStyle w:val="ListParagraph"/>
        <w:keepNext/>
        <w:spacing w:line="360" w:lineRule="auto"/>
        <w:ind w:left="0" w:firstLine="720"/>
        <w:rPr>
          <w:bCs/>
          <w:color w:val="000000" w:themeColor="text1"/>
          <w:sz w:val="26"/>
          <w:szCs w:val="26"/>
        </w:rPr>
      </w:pPr>
    </w:p>
    <w:p w14:paraId="0BB04566" w14:textId="3714B03B" w:rsidR="0023043A" w:rsidRDefault="0023043A" w:rsidP="00685ABF">
      <w:pPr>
        <w:pStyle w:val="ListParagraph"/>
        <w:keepNext/>
        <w:spacing w:line="360" w:lineRule="auto"/>
        <w:ind w:left="0" w:firstLine="720"/>
        <w:rPr>
          <w:bCs/>
          <w:color w:val="000000" w:themeColor="text1"/>
          <w:sz w:val="26"/>
          <w:szCs w:val="26"/>
        </w:rPr>
      </w:pPr>
      <w:r>
        <w:rPr>
          <w:bCs/>
          <w:color w:val="000000" w:themeColor="text1"/>
          <w:sz w:val="26"/>
          <w:szCs w:val="26"/>
        </w:rPr>
        <w:tab/>
        <w:t xml:space="preserve">As the proponent of a rule or order, the </w:t>
      </w:r>
      <w:r w:rsidR="00BA50D4">
        <w:rPr>
          <w:bCs/>
          <w:color w:val="000000" w:themeColor="text1"/>
          <w:sz w:val="26"/>
          <w:szCs w:val="26"/>
        </w:rPr>
        <w:t>C</w:t>
      </w:r>
      <w:r>
        <w:rPr>
          <w:bCs/>
          <w:color w:val="000000" w:themeColor="text1"/>
          <w:sz w:val="26"/>
          <w:szCs w:val="26"/>
        </w:rPr>
        <w:t xml:space="preserve">omplainant in this proceeding bears the burden of proof pursuant to Section 332(a) of the  Code, </w:t>
      </w:r>
      <w:r w:rsidR="004119CD">
        <w:rPr>
          <w:bCs/>
          <w:color w:val="000000" w:themeColor="text1"/>
          <w:sz w:val="26"/>
          <w:szCs w:val="26"/>
        </w:rPr>
        <w:t>66 Pa. C.S. §</w:t>
      </w:r>
      <w:r w:rsidR="006E59CC">
        <w:rPr>
          <w:bCs/>
          <w:color w:val="000000" w:themeColor="text1"/>
          <w:sz w:val="26"/>
          <w:szCs w:val="26"/>
        </w:rPr>
        <w:t xml:space="preserve"> 332(a).  To establish a sufficient case and satisfy the burden of proof, the </w:t>
      </w:r>
      <w:r w:rsidR="00BA50D4">
        <w:rPr>
          <w:bCs/>
          <w:color w:val="000000" w:themeColor="text1"/>
          <w:sz w:val="26"/>
          <w:szCs w:val="26"/>
        </w:rPr>
        <w:t>C</w:t>
      </w:r>
      <w:r w:rsidR="006E59CC">
        <w:rPr>
          <w:bCs/>
          <w:color w:val="000000" w:themeColor="text1"/>
          <w:sz w:val="26"/>
          <w:szCs w:val="26"/>
        </w:rPr>
        <w:t xml:space="preserve">omplainant must show </w:t>
      </w:r>
      <w:r w:rsidR="009410FF">
        <w:rPr>
          <w:bCs/>
          <w:color w:val="000000" w:themeColor="text1"/>
          <w:sz w:val="26"/>
          <w:szCs w:val="26"/>
        </w:rPr>
        <w:t xml:space="preserve">that PPL is responsible or accountable for the problem described in the Complaint.  </w:t>
      </w:r>
      <w:r w:rsidR="009410FF" w:rsidRPr="00A6665F">
        <w:rPr>
          <w:bCs/>
          <w:i/>
          <w:iCs/>
          <w:color w:val="000000" w:themeColor="text1"/>
          <w:sz w:val="26"/>
          <w:szCs w:val="26"/>
        </w:rPr>
        <w:t>Patterson v. The Bell Tel</w:t>
      </w:r>
      <w:r w:rsidR="00F77A0C" w:rsidRPr="00A6665F">
        <w:rPr>
          <w:bCs/>
          <w:i/>
          <w:iCs/>
          <w:color w:val="000000" w:themeColor="text1"/>
          <w:sz w:val="26"/>
          <w:szCs w:val="26"/>
        </w:rPr>
        <w:t>ephone Co. of Pa.</w:t>
      </w:r>
      <w:r w:rsidR="00F77A0C">
        <w:rPr>
          <w:bCs/>
          <w:color w:val="000000" w:themeColor="text1"/>
          <w:sz w:val="26"/>
          <w:szCs w:val="26"/>
        </w:rPr>
        <w:t>, 72 Pa. P.U.C. 196 (1990)</w:t>
      </w:r>
      <w:r w:rsidR="00662B39">
        <w:rPr>
          <w:bCs/>
          <w:color w:val="000000" w:themeColor="text1"/>
          <w:sz w:val="26"/>
          <w:szCs w:val="26"/>
        </w:rPr>
        <w:t xml:space="preserve">.  Such a showing must be more convincing by even the smallest amount than that </w:t>
      </w:r>
      <w:r w:rsidR="00A6665F">
        <w:rPr>
          <w:bCs/>
          <w:color w:val="000000" w:themeColor="text1"/>
          <w:sz w:val="26"/>
          <w:szCs w:val="26"/>
        </w:rPr>
        <w:t>p</w:t>
      </w:r>
      <w:r w:rsidR="00662B39">
        <w:rPr>
          <w:bCs/>
          <w:color w:val="000000" w:themeColor="text1"/>
          <w:sz w:val="26"/>
          <w:szCs w:val="26"/>
        </w:rPr>
        <w:t xml:space="preserve">resented by PPL.  </w:t>
      </w:r>
      <w:r w:rsidR="00A6665F" w:rsidRPr="00B37393">
        <w:rPr>
          <w:bCs/>
          <w:i/>
          <w:iCs/>
          <w:color w:val="000000" w:themeColor="text1"/>
          <w:sz w:val="26"/>
          <w:szCs w:val="26"/>
        </w:rPr>
        <w:t>Se</w:t>
      </w:r>
      <w:r w:rsidR="003C4A3C">
        <w:rPr>
          <w:bCs/>
          <w:i/>
          <w:iCs/>
          <w:color w:val="000000" w:themeColor="text1"/>
          <w:sz w:val="26"/>
          <w:szCs w:val="26"/>
        </w:rPr>
        <w:noBreakHyphen/>
      </w:r>
      <w:r w:rsidR="000D3FF0" w:rsidRPr="00B37393">
        <w:rPr>
          <w:bCs/>
          <w:i/>
          <w:iCs/>
          <w:color w:val="000000" w:themeColor="text1"/>
          <w:sz w:val="26"/>
          <w:szCs w:val="26"/>
        </w:rPr>
        <w:t>Ling Hosiery, Inc. v. Margulies</w:t>
      </w:r>
      <w:r w:rsidR="000D3FF0">
        <w:rPr>
          <w:bCs/>
          <w:color w:val="000000" w:themeColor="text1"/>
          <w:sz w:val="26"/>
          <w:szCs w:val="26"/>
        </w:rPr>
        <w:t xml:space="preserve">, 364 Pa. 45, 70 A.2d </w:t>
      </w:r>
      <w:r w:rsidR="00CF2968">
        <w:rPr>
          <w:bCs/>
          <w:color w:val="000000" w:themeColor="text1"/>
          <w:sz w:val="26"/>
          <w:szCs w:val="26"/>
        </w:rPr>
        <w:t xml:space="preserve">54 (1950).  Additionally, </w:t>
      </w:r>
      <w:r w:rsidR="00853E89">
        <w:rPr>
          <w:bCs/>
          <w:color w:val="000000" w:themeColor="text1"/>
          <w:sz w:val="26"/>
          <w:szCs w:val="26"/>
        </w:rPr>
        <w:t xml:space="preserve">the </w:t>
      </w:r>
      <w:r w:rsidR="00CF2968">
        <w:rPr>
          <w:bCs/>
          <w:color w:val="000000" w:themeColor="text1"/>
          <w:sz w:val="26"/>
          <w:szCs w:val="26"/>
        </w:rPr>
        <w:t xml:space="preserve">Commission’s decision must be supported by </w:t>
      </w:r>
      <w:r w:rsidR="00856302">
        <w:rPr>
          <w:bCs/>
          <w:color w:val="000000" w:themeColor="text1"/>
          <w:sz w:val="26"/>
          <w:szCs w:val="26"/>
        </w:rPr>
        <w:t xml:space="preserve">substantial evidence in the record.  More is required than a mere trace of evidence or a suspicion of the existence of a fact to be established.  </w:t>
      </w:r>
      <w:r w:rsidR="00856302" w:rsidRPr="00B37393">
        <w:rPr>
          <w:bCs/>
          <w:i/>
          <w:iCs/>
          <w:color w:val="000000" w:themeColor="text1"/>
          <w:sz w:val="26"/>
          <w:szCs w:val="26"/>
        </w:rPr>
        <w:t xml:space="preserve">Norfolk &amp; Western Ry. Co. v. </w:t>
      </w:r>
      <w:r w:rsidR="00077167" w:rsidRPr="00B37393">
        <w:rPr>
          <w:bCs/>
          <w:i/>
          <w:iCs/>
          <w:color w:val="000000" w:themeColor="text1"/>
          <w:sz w:val="26"/>
          <w:szCs w:val="26"/>
        </w:rPr>
        <w:t>Pa. PUC</w:t>
      </w:r>
      <w:r w:rsidR="00077167">
        <w:rPr>
          <w:bCs/>
          <w:color w:val="000000" w:themeColor="text1"/>
          <w:sz w:val="26"/>
          <w:szCs w:val="26"/>
        </w:rPr>
        <w:t xml:space="preserve">, 489 Pa. 109, 413 A.2d 1037 (1980).  </w:t>
      </w:r>
    </w:p>
    <w:p w14:paraId="5A618B4F" w14:textId="77777777" w:rsidR="00B37393" w:rsidRDefault="00B37393" w:rsidP="00685ABF">
      <w:pPr>
        <w:pStyle w:val="ListParagraph"/>
        <w:keepNext/>
        <w:spacing w:line="360" w:lineRule="auto"/>
        <w:ind w:left="0" w:firstLine="720"/>
        <w:rPr>
          <w:bCs/>
          <w:color w:val="000000" w:themeColor="text1"/>
          <w:sz w:val="26"/>
          <w:szCs w:val="26"/>
        </w:rPr>
      </w:pPr>
    </w:p>
    <w:p w14:paraId="5EDBA2FF" w14:textId="3C1C256F" w:rsidR="004220C4" w:rsidRDefault="00B37393" w:rsidP="00685ABF">
      <w:pPr>
        <w:pStyle w:val="ListParagraph"/>
        <w:keepNext/>
        <w:spacing w:line="360" w:lineRule="auto"/>
        <w:ind w:left="0" w:firstLine="720"/>
        <w:rPr>
          <w:bCs/>
          <w:color w:val="000000" w:themeColor="text1"/>
          <w:sz w:val="26"/>
          <w:szCs w:val="26"/>
        </w:rPr>
      </w:pPr>
      <w:r>
        <w:rPr>
          <w:bCs/>
          <w:color w:val="000000" w:themeColor="text1"/>
          <w:sz w:val="26"/>
          <w:szCs w:val="26"/>
        </w:rPr>
        <w:tab/>
      </w:r>
      <w:r w:rsidR="000F3C8D">
        <w:rPr>
          <w:bCs/>
          <w:color w:val="000000" w:themeColor="text1"/>
          <w:sz w:val="26"/>
          <w:szCs w:val="26"/>
        </w:rPr>
        <w:t xml:space="preserve">Upon presentation by the </w:t>
      </w:r>
      <w:r w:rsidR="00003627">
        <w:rPr>
          <w:bCs/>
          <w:color w:val="000000" w:themeColor="text1"/>
          <w:sz w:val="26"/>
          <w:szCs w:val="26"/>
        </w:rPr>
        <w:t>C</w:t>
      </w:r>
      <w:r w:rsidR="000F3C8D">
        <w:rPr>
          <w:bCs/>
          <w:color w:val="000000" w:themeColor="text1"/>
          <w:sz w:val="26"/>
          <w:szCs w:val="26"/>
        </w:rPr>
        <w:t xml:space="preserve">omplainant of evidence initially to satisfy the burden of proof, the burden of going forward with the </w:t>
      </w:r>
      <w:r w:rsidR="00AF3873">
        <w:rPr>
          <w:bCs/>
          <w:color w:val="000000" w:themeColor="text1"/>
          <w:sz w:val="26"/>
          <w:szCs w:val="26"/>
        </w:rPr>
        <w:t>e</w:t>
      </w:r>
      <w:r w:rsidR="000F3C8D">
        <w:rPr>
          <w:bCs/>
          <w:color w:val="000000" w:themeColor="text1"/>
          <w:sz w:val="26"/>
          <w:szCs w:val="26"/>
        </w:rPr>
        <w:t xml:space="preserve">vidence (burden of persuasion) </w:t>
      </w:r>
      <w:r w:rsidR="00AF3873">
        <w:rPr>
          <w:bCs/>
          <w:color w:val="000000" w:themeColor="text1"/>
          <w:sz w:val="26"/>
          <w:szCs w:val="26"/>
        </w:rPr>
        <w:t>to re</w:t>
      </w:r>
      <w:r w:rsidR="00174516">
        <w:rPr>
          <w:bCs/>
          <w:color w:val="000000" w:themeColor="text1"/>
          <w:sz w:val="26"/>
          <w:szCs w:val="26"/>
        </w:rPr>
        <w:t>b</w:t>
      </w:r>
      <w:r w:rsidR="00AF3873">
        <w:rPr>
          <w:bCs/>
          <w:color w:val="000000" w:themeColor="text1"/>
          <w:sz w:val="26"/>
          <w:szCs w:val="26"/>
        </w:rPr>
        <w:t xml:space="preserve">ut the evidence of the </w:t>
      </w:r>
      <w:r w:rsidR="00003627">
        <w:rPr>
          <w:bCs/>
          <w:color w:val="000000" w:themeColor="text1"/>
          <w:sz w:val="26"/>
          <w:szCs w:val="26"/>
        </w:rPr>
        <w:t>C</w:t>
      </w:r>
      <w:r w:rsidR="00AF3873">
        <w:rPr>
          <w:bCs/>
          <w:color w:val="000000" w:themeColor="text1"/>
          <w:sz w:val="26"/>
          <w:szCs w:val="26"/>
        </w:rPr>
        <w:t>omplainant shifts to PPL.  If the evidence</w:t>
      </w:r>
      <w:r w:rsidR="00174516">
        <w:rPr>
          <w:bCs/>
          <w:color w:val="000000" w:themeColor="text1"/>
          <w:sz w:val="26"/>
          <w:szCs w:val="26"/>
        </w:rPr>
        <w:t xml:space="preserve"> presented by PPL is of co-equal weight</w:t>
      </w:r>
      <w:r w:rsidR="00C519F7">
        <w:rPr>
          <w:bCs/>
          <w:color w:val="000000" w:themeColor="text1"/>
          <w:sz w:val="26"/>
          <w:szCs w:val="26"/>
        </w:rPr>
        <w:t xml:space="preserve">, the </w:t>
      </w:r>
      <w:r w:rsidR="00003627">
        <w:rPr>
          <w:bCs/>
          <w:color w:val="000000" w:themeColor="text1"/>
          <w:sz w:val="26"/>
          <w:szCs w:val="26"/>
        </w:rPr>
        <w:t>C</w:t>
      </w:r>
      <w:r w:rsidR="001B75C1">
        <w:rPr>
          <w:bCs/>
          <w:color w:val="000000" w:themeColor="text1"/>
          <w:sz w:val="26"/>
          <w:szCs w:val="26"/>
        </w:rPr>
        <w:t>omplainant’s</w:t>
      </w:r>
      <w:r w:rsidR="00C519F7">
        <w:rPr>
          <w:bCs/>
          <w:color w:val="000000" w:themeColor="text1"/>
          <w:sz w:val="26"/>
          <w:szCs w:val="26"/>
        </w:rPr>
        <w:t xml:space="preserve"> burden of proof has not been satisfied.</w:t>
      </w:r>
      <w:r w:rsidR="00003627">
        <w:rPr>
          <w:bCs/>
          <w:color w:val="000000" w:themeColor="text1"/>
          <w:sz w:val="26"/>
          <w:szCs w:val="26"/>
        </w:rPr>
        <w:t xml:space="preserve"> </w:t>
      </w:r>
      <w:r w:rsidR="00C519F7">
        <w:rPr>
          <w:bCs/>
          <w:color w:val="000000" w:themeColor="text1"/>
          <w:sz w:val="26"/>
          <w:szCs w:val="26"/>
        </w:rPr>
        <w:t xml:space="preserve"> The </w:t>
      </w:r>
      <w:r w:rsidR="00003627">
        <w:rPr>
          <w:bCs/>
          <w:color w:val="000000" w:themeColor="text1"/>
          <w:sz w:val="26"/>
          <w:szCs w:val="26"/>
        </w:rPr>
        <w:t>C</w:t>
      </w:r>
      <w:r w:rsidR="00C519F7">
        <w:rPr>
          <w:bCs/>
          <w:color w:val="000000" w:themeColor="text1"/>
          <w:sz w:val="26"/>
          <w:szCs w:val="26"/>
        </w:rPr>
        <w:t xml:space="preserve">omplainant would be required to </w:t>
      </w:r>
      <w:r w:rsidR="001B75C1">
        <w:rPr>
          <w:bCs/>
          <w:color w:val="000000" w:themeColor="text1"/>
          <w:sz w:val="26"/>
          <w:szCs w:val="26"/>
        </w:rPr>
        <w:t xml:space="preserve">provide additional evidence to rebut PPL’s evidence.  </w:t>
      </w:r>
      <w:r w:rsidR="00CD310C" w:rsidRPr="001C3A1B">
        <w:rPr>
          <w:bCs/>
          <w:i/>
          <w:iCs/>
          <w:color w:val="000000" w:themeColor="text1"/>
          <w:sz w:val="26"/>
          <w:szCs w:val="26"/>
        </w:rPr>
        <w:lastRenderedPageBreak/>
        <w:t>Burleson v. Pa. PUC</w:t>
      </w:r>
      <w:r w:rsidR="00CD310C">
        <w:rPr>
          <w:bCs/>
          <w:color w:val="000000" w:themeColor="text1"/>
          <w:sz w:val="26"/>
          <w:szCs w:val="26"/>
        </w:rPr>
        <w:t>, 443 A.2d 1373 (Pa. Cmwlth.</w:t>
      </w:r>
      <w:r w:rsidR="004220C4">
        <w:rPr>
          <w:bCs/>
          <w:color w:val="000000" w:themeColor="text1"/>
          <w:sz w:val="26"/>
          <w:szCs w:val="26"/>
        </w:rPr>
        <w:t xml:space="preserve"> 1982), </w:t>
      </w:r>
      <w:r w:rsidR="004220C4" w:rsidRPr="001C3A1B">
        <w:rPr>
          <w:bCs/>
          <w:i/>
          <w:iCs/>
          <w:color w:val="000000" w:themeColor="text1"/>
          <w:sz w:val="26"/>
          <w:szCs w:val="26"/>
        </w:rPr>
        <w:t>aff’d</w:t>
      </w:r>
      <w:r w:rsidR="004220C4">
        <w:rPr>
          <w:bCs/>
          <w:color w:val="000000" w:themeColor="text1"/>
          <w:sz w:val="26"/>
          <w:szCs w:val="26"/>
        </w:rPr>
        <w:t xml:space="preserve"> 501 Pa. 433, 461</w:t>
      </w:r>
      <w:r w:rsidR="003C4A3C">
        <w:rPr>
          <w:bCs/>
          <w:color w:val="000000" w:themeColor="text1"/>
          <w:sz w:val="26"/>
          <w:szCs w:val="26"/>
        </w:rPr>
        <w:t> </w:t>
      </w:r>
      <w:r w:rsidR="004220C4">
        <w:rPr>
          <w:bCs/>
          <w:color w:val="000000" w:themeColor="text1"/>
          <w:sz w:val="26"/>
          <w:szCs w:val="26"/>
        </w:rPr>
        <w:t>A.2d</w:t>
      </w:r>
      <w:r w:rsidR="003C4A3C">
        <w:rPr>
          <w:bCs/>
          <w:color w:val="000000" w:themeColor="text1"/>
          <w:sz w:val="26"/>
          <w:szCs w:val="26"/>
        </w:rPr>
        <w:t> </w:t>
      </w:r>
      <w:r w:rsidR="004220C4">
        <w:rPr>
          <w:bCs/>
          <w:color w:val="000000" w:themeColor="text1"/>
          <w:sz w:val="26"/>
          <w:szCs w:val="26"/>
        </w:rPr>
        <w:t>1234 (1983).</w:t>
      </w:r>
      <w:r w:rsidR="001617F9">
        <w:rPr>
          <w:bCs/>
          <w:color w:val="000000" w:themeColor="text1"/>
          <w:sz w:val="26"/>
          <w:szCs w:val="26"/>
        </w:rPr>
        <w:t xml:space="preserve">  </w:t>
      </w:r>
      <w:r w:rsidR="004220C4">
        <w:rPr>
          <w:bCs/>
          <w:color w:val="000000" w:themeColor="text1"/>
          <w:sz w:val="26"/>
          <w:szCs w:val="26"/>
        </w:rPr>
        <w:t xml:space="preserve">While the burden of proof may shift </w:t>
      </w:r>
      <w:r w:rsidR="001C3A1B">
        <w:rPr>
          <w:bCs/>
          <w:color w:val="000000" w:themeColor="text1"/>
          <w:sz w:val="26"/>
          <w:szCs w:val="26"/>
        </w:rPr>
        <w:t>back and forth during a proceeding, the burden of proof never shifts</w:t>
      </w:r>
      <w:r w:rsidR="00AB6761">
        <w:rPr>
          <w:bCs/>
          <w:color w:val="000000" w:themeColor="text1"/>
          <w:sz w:val="26"/>
          <w:szCs w:val="26"/>
        </w:rPr>
        <w:t xml:space="preserve">.  The burden of proof always remains on the party seeking affirmative relief from the Commission.  </w:t>
      </w:r>
      <w:proofErr w:type="spellStart"/>
      <w:r w:rsidR="001E6861" w:rsidRPr="00277653">
        <w:rPr>
          <w:bCs/>
          <w:i/>
          <w:iCs/>
          <w:color w:val="000000" w:themeColor="text1"/>
          <w:sz w:val="26"/>
          <w:szCs w:val="26"/>
        </w:rPr>
        <w:t>Milkie</w:t>
      </w:r>
      <w:proofErr w:type="spellEnd"/>
      <w:r w:rsidR="001E6861" w:rsidRPr="00277653">
        <w:rPr>
          <w:bCs/>
          <w:i/>
          <w:iCs/>
          <w:color w:val="000000" w:themeColor="text1"/>
          <w:sz w:val="26"/>
          <w:szCs w:val="26"/>
        </w:rPr>
        <w:t xml:space="preserve"> v. Pa. PUC</w:t>
      </w:r>
      <w:r w:rsidR="001E6861">
        <w:rPr>
          <w:bCs/>
          <w:color w:val="000000" w:themeColor="text1"/>
          <w:sz w:val="26"/>
          <w:szCs w:val="26"/>
        </w:rPr>
        <w:t xml:space="preserve">, 768 </w:t>
      </w:r>
      <w:r w:rsidR="003C718F">
        <w:rPr>
          <w:bCs/>
          <w:color w:val="000000" w:themeColor="text1"/>
          <w:sz w:val="26"/>
          <w:szCs w:val="26"/>
        </w:rPr>
        <w:t>A.2d 1217 (Pa. Cmwlth. 2001)</w:t>
      </w:r>
      <w:r w:rsidR="005D6692">
        <w:rPr>
          <w:bCs/>
          <w:color w:val="000000" w:themeColor="text1"/>
          <w:sz w:val="26"/>
          <w:szCs w:val="26"/>
        </w:rPr>
        <w:t xml:space="preserve"> (</w:t>
      </w:r>
      <w:proofErr w:type="spellStart"/>
      <w:r w:rsidR="005D6692" w:rsidRPr="005D6692">
        <w:rPr>
          <w:bCs/>
          <w:i/>
          <w:iCs/>
          <w:color w:val="000000" w:themeColor="text1"/>
          <w:sz w:val="26"/>
          <w:szCs w:val="26"/>
        </w:rPr>
        <w:t>Milkie</w:t>
      </w:r>
      <w:proofErr w:type="spellEnd"/>
      <w:r w:rsidR="005D6692">
        <w:rPr>
          <w:bCs/>
          <w:color w:val="000000" w:themeColor="text1"/>
          <w:sz w:val="26"/>
          <w:szCs w:val="26"/>
        </w:rPr>
        <w:t>)</w:t>
      </w:r>
      <w:r w:rsidR="00C1299F">
        <w:rPr>
          <w:bCs/>
          <w:color w:val="000000" w:themeColor="text1"/>
          <w:sz w:val="26"/>
          <w:szCs w:val="26"/>
        </w:rPr>
        <w:t>.</w:t>
      </w:r>
    </w:p>
    <w:p w14:paraId="015DB2BA" w14:textId="77777777" w:rsidR="003C718F" w:rsidRDefault="003C718F" w:rsidP="00A40C71">
      <w:pPr>
        <w:pStyle w:val="ListParagraph"/>
        <w:keepNext/>
        <w:spacing w:line="360" w:lineRule="auto"/>
        <w:rPr>
          <w:bCs/>
          <w:color w:val="000000" w:themeColor="text1"/>
          <w:sz w:val="26"/>
          <w:szCs w:val="26"/>
        </w:rPr>
      </w:pPr>
    </w:p>
    <w:p w14:paraId="109BFA19" w14:textId="6BC6CE63" w:rsidR="00863704" w:rsidRDefault="003C718F" w:rsidP="00BA47FB">
      <w:pPr>
        <w:pStyle w:val="ListParagraph"/>
        <w:keepNext/>
        <w:spacing w:line="360" w:lineRule="auto"/>
        <w:ind w:left="0" w:firstLine="720"/>
        <w:rPr>
          <w:bCs/>
          <w:color w:val="000000" w:themeColor="text1"/>
          <w:sz w:val="26"/>
          <w:szCs w:val="26"/>
        </w:rPr>
      </w:pPr>
      <w:r>
        <w:rPr>
          <w:bCs/>
          <w:color w:val="000000" w:themeColor="text1"/>
          <w:sz w:val="26"/>
          <w:szCs w:val="26"/>
        </w:rPr>
        <w:tab/>
        <w:t>A utility is entitled to full payment for service provided to customers</w:t>
      </w:r>
      <w:r w:rsidR="002333E3">
        <w:rPr>
          <w:bCs/>
          <w:color w:val="000000" w:themeColor="text1"/>
          <w:sz w:val="26"/>
          <w:szCs w:val="26"/>
        </w:rPr>
        <w:t xml:space="preserve"> and all customers are obligated to pay for the utility service provided to them.  Otherwise, a customer’s unpaid bills are included in the utility’s uncollectible expenses and ultimately paid for by other utility customers.  </w:t>
      </w:r>
      <w:r w:rsidR="00DC4188" w:rsidRPr="00DC4188">
        <w:rPr>
          <w:bCs/>
          <w:i/>
          <w:iCs/>
          <w:color w:val="000000" w:themeColor="text1"/>
          <w:sz w:val="26"/>
          <w:szCs w:val="26"/>
        </w:rPr>
        <w:t>Mill v. Pa. PUC</w:t>
      </w:r>
      <w:r w:rsidR="00DC4188" w:rsidRPr="00DC4188">
        <w:rPr>
          <w:bCs/>
          <w:color w:val="000000" w:themeColor="text1"/>
          <w:sz w:val="26"/>
          <w:szCs w:val="26"/>
        </w:rPr>
        <w:t>, 447</w:t>
      </w:r>
      <w:r w:rsidR="002A5FA3">
        <w:rPr>
          <w:bCs/>
          <w:color w:val="000000" w:themeColor="text1"/>
          <w:sz w:val="26"/>
          <w:szCs w:val="26"/>
        </w:rPr>
        <w:t xml:space="preserve"> </w:t>
      </w:r>
      <w:r w:rsidR="00FE1A2A">
        <w:rPr>
          <w:bCs/>
          <w:color w:val="000000" w:themeColor="text1"/>
          <w:sz w:val="26"/>
          <w:szCs w:val="26"/>
        </w:rPr>
        <w:t>A.2</w:t>
      </w:r>
      <w:r w:rsidR="00DC4188" w:rsidRPr="00DC4188">
        <w:rPr>
          <w:bCs/>
          <w:color w:val="000000" w:themeColor="text1"/>
          <w:sz w:val="26"/>
          <w:szCs w:val="26"/>
        </w:rPr>
        <w:t>d 1100 (Pa. Cmwlth. 1982)</w:t>
      </w:r>
      <w:r w:rsidR="00DC4188">
        <w:rPr>
          <w:bCs/>
          <w:color w:val="000000" w:themeColor="text1"/>
          <w:sz w:val="26"/>
          <w:szCs w:val="26"/>
        </w:rPr>
        <w:t xml:space="preserve">; </w:t>
      </w:r>
      <w:proofErr w:type="spellStart"/>
      <w:r w:rsidR="00DC4188" w:rsidRPr="00DC4188">
        <w:rPr>
          <w:bCs/>
          <w:i/>
          <w:iCs/>
          <w:color w:val="000000" w:themeColor="text1"/>
          <w:sz w:val="26"/>
          <w:szCs w:val="26"/>
        </w:rPr>
        <w:t>Sa</w:t>
      </w:r>
      <w:r w:rsidR="002333E3" w:rsidRPr="00DC4188">
        <w:rPr>
          <w:bCs/>
          <w:i/>
          <w:iCs/>
          <w:color w:val="000000" w:themeColor="text1"/>
          <w:sz w:val="26"/>
          <w:szCs w:val="26"/>
        </w:rPr>
        <w:t>ccia</w:t>
      </w:r>
      <w:proofErr w:type="spellEnd"/>
      <w:r w:rsidR="002333E3" w:rsidRPr="00DC4188">
        <w:rPr>
          <w:bCs/>
          <w:i/>
          <w:iCs/>
          <w:color w:val="000000" w:themeColor="text1"/>
          <w:sz w:val="26"/>
          <w:szCs w:val="26"/>
        </w:rPr>
        <w:t xml:space="preserve"> v. West Pe</w:t>
      </w:r>
      <w:r w:rsidR="009D2B50" w:rsidRPr="00DC4188">
        <w:rPr>
          <w:bCs/>
          <w:i/>
          <w:iCs/>
          <w:color w:val="000000" w:themeColor="text1"/>
          <w:sz w:val="26"/>
          <w:szCs w:val="26"/>
        </w:rPr>
        <w:t>nn Power Co.</w:t>
      </w:r>
      <w:r w:rsidR="009D2B50">
        <w:rPr>
          <w:bCs/>
          <w:color w:val="000000" w:themeColor="text1"/>
          <w:sz w:val="26"/>
          <w:szCs w:val="26"/>
        </w:rPr>
        <w:t>, 55 Pa. P.U.C. 637 (1982)</w:t>
      </w:r>
      <w:r w:rsidR="00DC4188">
        <w:rPr>
          <w:bCs/>
          <w:color w:val="000000" w:themeColor="text1"/>
          <w:sz w:val="26"/>
          <w:szCs w:val="26"/>
        </w:rPr>
        <w:t>.</w:t>
      </w:r>
    </w:p>
    <w:p w14:paraId="47A14AFD" w14:textId="77777777" w:rsidR="001617F9" w:rsidRDefault="001617F9" w:rsidP="00A40C71">
      <w:pPr>
        <w:pStyle w:val="ListParagraph"/>
        <w:keepNext/>
        <w:spacing w:line="360" w:lineRule="auto"/>
        <w:rPr>
          <w:bCs/>
          <w:color w:val="000000" w:themeColor="text1"/>
          <w:sz w:val="26"/>
          <w:szCs w:val="26"/>
        </w:rPr>
      </w:pPr>
    </w:p>
    <w:p w14:paraId="7B6AF9F5" w14:textId="3629257F" w:rsidR="00EF043A" w:rsidRDefault="001617F9" w:rsidP="006E0BFB">
      <w:pPr>
        <w:pStyle w:val="ListParagraph"/>
        <w:keepNext/>
        <w:spacing w:line="360" w:lineRule="auto"/>
        <w:ind w:left="0" w:firstLine="720"/>
        <w:rPr>
          <w:bCs/>
          <w:color w:val="000000" w:themeColor="text1"/>
          <w:sz w:val="26"/>
          <w:szCs w:val="26"/>
        </w:rPr>
      </w:pPr>
      <w:r>
        <w:rPr>
          <w:bCs/>
          <w:color w:val="000000" w:themeColor="text1"/>
          <w:sz w:val="26"/>
          <w:szCs w:val="26"/>
        </w:rPr>
        <w:tab/>
      </w:r>
      <w:r w:rsidR="00EF043A">
        <w:rPr>
          <w:bCs/>
          <w:color w:val="000000" w:themeColor="text1"/>
          <w:sz w:val="26"/>
          <w:szCs w:val="26"/>
        </w:rPr>
        <w:t xml:space="preserve">In cases of alleged overbilling, the Commission applies the </w:t>
      </w:r>
      <w:r w:rsidR="00EF043A" w:rsidRPr="00BF50B0">
        <w:rPr>
          <w:bCs/>
          <w:i/>
          <w:iCs/>
          <w:color w:val="000000" w:themeColor="text1"/>
          <w:sz w:val="26"/>
          <w:szCs w:val="26"/>
        </w:rPr>
        <w:t xml:space="preserve">Waldron </w:t>
      </w:r>
      <w:r w:rsidR="00EF043A">
        <w:rPr>
          <w:bCs/>
          <w:color w:val="000000" w:themeColor="text1"/>
          <w:sz w:val="26"/>
          <w:szCs w:val="26"/>
        </w:rPr>
        <w:t>rule,</w:t>
      </w:r>
      <w:r w:rsidR="0004660A">
        <w:rPr>
          <w:rStyle w:val="FootnoteReference"/>
          <w:bCs/>
          <w:color w:val="000000" w:themeColor="text1"/>
          <w:sz w:val="26"/>
          <w:szCs w:val="26"/>
        </w:rPr>
        <w:footnoteReference w:id="2"/>
      </w:r>
      <w:r w:rsidR="00EF043A">
        <w:rPr>
          <w:bCs/>
          <w:color w:val="000000" w:themeColor="text1"/>
          <w:sz w:val="26"/>
          <w:szCs w:val="26"/>
        </w:rPr>
        <w:t xml:space="preserve"> which provides that </w:t>
      </w:r>
      <w:r w:rsidR="00783101">
        <w:rPr>
          <w:bCs/>
          <w:color w:val="000000" w:themeColor="text1"/>
          <w:sz w:val="26"/>
          <w:szCs w:val="26"/>
        </w:rPr>
        <w:t xml:space="preserve">while </w:t>
      </w:r>
      <w:r w:rsidR="00E424A3">
        <w:rPr>
          <w:bCs/>
          <w:color w:val="000000" w:themeColor="text1"/>
          <w:sz w:val="26"/>
          <w:szCs w:val="26"/>
        </w:rPr>
        <w:t>accuracy</w:t>
      </w:r>
      <w:r w:rsidR="00783101">
        <w:rPr>
          <w:bCs/>
          <w:color w:val="000000" w:themeColor="text1"/>
          <w:sz w:val="26"/>
          <w:szCs w:val="26"/>
        </w:rPr>
        <w:t xml:space="preserve"> of the meter is </w:t>
      </w:r>
      <w:r w:rsidR="00E424A3">
        <w:rPr>
          <w:bCs/>
          <w:color w:val="000000" w:themeColor="text1"/>
          <w:sz w:val="26"/>
          <w:szCs w:val="26"/>
        </w:rPr>
        <w:t xml:space="preserve">an important factor in </w:t>
      </w:r>
      <w:r w:rsidR="00A94653">
        <w:rPr>
          <w:bCs/>
          <w:color w:val="000000" w:themeColor="text1"/>
          <w:sz w:val="26"/>
          <w:szCs w:val="26"/>
        </w:rPr>
        <w:t>resolving</w:t>
      </w:r>
      <w:r w:rsidR="00E424A3">
        <w:rPr>
          <w:bCs/>
          <w:color w:val="000000" w:themeColor="text1"/>
          <w:sz w:val="26"/>
          <w:szCs w:val="26"/>
        </w:rPr>
        <w:t xml:space="preserve"> billing disputes, </w:t>
      </w:r>
      <w:r w:rsidR="00A94653">
        <w:rPr>
          <w:bCs/>
          <w:color w:val="000000" w:themeColor="text1"/>
          <w:sz w:val="26"/>
          <w:szCs w:val="26"/>
        </w:rPr>
        <w:t>it is not the sole criterion.  T</w:t>
      </w:r>
      <w:r w:rsidR="00EF043A">
        <w:rPr>
          <w:bCs/>
          <w:color w:val="000000" w:themeColor="text1"/>
          <w:sz w:val="26"/>
          <w:szCs w:val="26"/>
        </w:rPr>
        <w:t xml:space="preserve">o establish a prima facie case of overbilling, </w:t>
      </w:r>
      <w:r w:rsidR="002D5FE9">
        <w:rPr>
          <w:bCs/>
          <w:color w:val="000000" w:themeColor="text1"/>
          <w:sz w:val="26"/>
          <w:szCs w:val="26"/>
        </w:rPr>
        <w:t>a complainant</w:t>
      </w:r>
      <w:r w:rsidR="00EF043A">
        <w:rPr>
          <w:bCs/>
          <w:color w:val="000000" w:themeColor="text1"/>
          <w:sz w:val="26"/>
          <w:szCs w:val="26"/>
        </w:rPr>
        <w:t xml:space="preserve"> </w:t>
      </w:r>
      <w:r w:rsidR="00ED3E19">
        <w:rPr>
          <w:bCs/>
          <w:color w:val="000000" w:themeColor="text1"/>
          <w:sz w:val="26"/>
          <w:szCs w:val="26"/>
        </w:rPr>
        <w:t xml:space="preserve">may show other factors such as </w:t>
      </w:r>
      <w:r w:rsidR="006D10B7">
        <w:rPr>
          <w:bCs/>
          <w:color w:val="000000" w:themeColor="text1"/>
          <w:sz w:val="26"/>
          <w:szCs w:val="26"/>
        </w:rPr>
        <w:t>that</w:t>
      </w:r>
      <w:r w:rsidR="001A114F">
        <w:rPr>
          <w:bCs/>
          <w:color w:val="000000" w:themeColor="text1"/>
          <w:sz w:val="26"/>
          <w:szCs w:val="26"/>
        </w:rPr>
        <w:t>:</w:t>
      </w:r>
      <w:r w:rsidR="003C4A3C">
        <w:rPr>
          <w:bCs/>
          <w:color w:val="000000" w:themeColor="text1"/>
          <w:sz w:val="26"/>
          <w:szCs w:val="26"/>
        </w:rPr>
        <w:t xml:space="preserve"> </w:t>
      </w:r>
      <w:r w:rsidR="006D10B7">
        <w:rPr>
          <w:bCs/>
          <w:color w:val="000000" w:themeColor="text1"/>
          <w:sz w:val="26"/>
          <w:szCs w:val="26"/>
        </w:rPr>
        <w:t xml:space="preserve"> (</w:t>
      </w:r>
      <w:r w:rsidR="00EF043A">
        <w:rPr>
          <w:bCs/>
          <w:color w:val="000000" w:themeColor="text1"/>
          <w:sz w:val="26"/>
          <w:szCs w:val="26"/>
        </w:rPr>
        <w:t>1) the number of occupants in the household has not changed</w:t>
      </w:r>
      <w:r w:rsidR="001A114F">
        <w:rPr>
          <w:bCs/>
          <w:color w:val="000000" w:themeColor="text1"/>
          <w:sz w:val="26"/>
          <w:szCs w:val="26"/>
        </w:rPr>
        <w:t>;</w:t>
      </w:r>
      <w:r w:rsidR="00EF043A">
        <w:rPr>
          <w:bCs/>
          <w:color w:val="000000" w:themeColor="text1"/>
          <w:sz w:val="26"/>
          <w:szCs w:val="26"/>
        </w:rPr>
        <w:t xml:space="preserve"> (2) the potential for energy utilization was low</w:t>
      </w:r>
      <w:r w:rsidR="001A114F">
        <w:rPr>
          <w:bCs/>
          <w:color w:val="000000" w:themeColor="text1"/>
          <w:sz w:val="26"/>
          <w:szCs w:val="26"/>
        </w:rPr>
        <w:t>;</w:t>
      </w:r>
      <w:r w:rsidR="00EF043A">
        <w:rPr>
          <w:bCs/>
          <w:color w:val="000000" w:themeColor="text1"/>
          <w:sz w:val="26"/>
          <w:szCs w:val="26"/>
        </w:rPr>
        <w:t xml:space="preserve"> and (3) </w:t>
      </w:r>
      <w:r w:rsidR="001A114F">
        <w:rPr>
          <w:bCs/>
          <w:color w:val="000000" w:themeColor="text1"/>
          <w:sz w:val="26"/>
          <w:szCs w:val="26"/>
        </w:rPr>
        <w:t xml:space="preserve">the </w:t>
      </w:r>
      <w:r w:rsidR="00EF043A">
        <w:rPr>
          <w:bCs/>
          <w:color w:val="000000" w:themeColor="text1"/>
          <w:sz w:val="26"/>
          <w:szCs w:val="26"/>
        </w:rPr>
        <w:t xml:space="preserve">complainant’s billing history shows no prior abnormalities.  Once the complainant establishes a prima facie case, the burden of proof then shifts to the utility; however, the ultimate burden of proof always remains with the complainant.  </w:t>
      </w:r>
      <w:r w:rsidR="00EF043A" w:rsidRPr="00CB23E3">
        <w:rPr>
          <w:bCs/>
          <w:i/>
          <w:iCs/>
          <w:color w:val="000000" w:themeColor="text1"/>
          <w:sz w:val="26"/>
          <w:szCs w:val="26"/>
        </w:rPr>
        <w:t>Waldron</w:t>
      </w:r>
      <w:r w:rsidR="00EF043A">
        <w:rPr>
          <w:bCs/>
          <w:color w:val="000000" w:themeColor="text1"/>
          <w:sz w:val="26"/>
          <w:szCs w:val="26"/>
        </w:rPr>
        <w:t xml:space="preserve">; </w:t>
      </w:r>
      <w:proofErr w:type="spellStart"/>
      <w:r w:rsidR="00EF043A" w:rsidRPr="00CB23E3">
        <w:rPr>
          <w:bCs/>
          <w:i/>
          <w:iCs/>
          <w:color w:val="000000" w:themeColor="text1"/>
          <w:sz w:val="26"/>
          <w:szCs w:val="26"/>
        </w:rPr>
        <w:t>Replogle</w:t>
      </w:r>
      <w:proofErr w:type="spellEnd"/>
      <w:r w:rsidR="00EF043A" w:rsidRPr="00CB23E3">
        <w:rPr>
          <w:bCs/>
          <w:i/>
          <w:iCs/>
          <w:color w:val="000000" w:themeColor="text1"/>
          <w:sz w:val="26"/>
          <w:szCs w:val="26"/>
        </w:rPr>
        <w:t xml:space="preserve"> v. Pa.</w:t>
      </w:r>
      <w:r w:rsidR="003C4A3C">
        <w:rPr>
          <w:bCs/>
          <w:i/>
          <w:iCs/>
          <w:color w:val="000000" w:themeColor="text1"/>
          <w:sz w:val="26"/>
          <w:szCs w:val="26"/>
        </w:rPr>
        <w:t> </w:t>
      </w:r>
      <w:r w:rsidR="00EF043A" w:rsidRPr="00CB23E3">
        <w:rPr>
          <w:bCs/>
          <w:i/>
          <w:iCs/>
          <w:color w:val="000000" w:themeColor="text1"/>
          <w:sz w:val="26"/>
          <w:szCs w:val="26"/>
        </w:rPr>
        <w:t>Elec Co.</w:t>
      </w:r>
      <w:r w:rsidR="00EF043A">
        <w:rPr>
          <w:bCs/>
          <w:color w:val="000000" w:themeColor="text1"/>
          <w:sz w:val="26"/>
          <w:szCs w:val="26"/>
        </w:rPr>
        <w:t>, 54 Pa. PUC 528 (1980)</w:t>
      </w:r>
      <w:r w:rsidR="00BA5E29">
        <w:rPr>
          <w:bCs/>
          <w:color w:val="000000" w:themeColor="text1"/>
          <w:sz w:val="26"/>
          <w:szCs w:val="26"/>
        </w:rPr>
        <w:t xml:space="preserve">. See also </w:t>
      </w:r>
      <w:r w:rsidR="00BA5E29" w:rsidRPr="00937FE0">
        <w:rPr>
          <w:bCs/>
          <w:i/>
          <w:iCs/>
          <w:color w:val="000000" w:themeColor="text1"/>
          <w:sz w:val="26"/>
          <w:szCs w:val="26"/>
        </w:rPr>
        <w:t>Thomas v. PECO Energy Co.</w:t>
      </w:r>
      <w:r w:rsidR="00BA5E29" w:rsidRPr="00FC2E5B">
        <w:rPr>
          <w:bCs/>
          <w:color w:val="000000" w:themeColor="text1"/>
          <w:sz w:val="26"/>
          <w:szCs w:val="26"/>
        </w:rPr>
        <w:t>,</w:t>
      </w:r>
      <w:r w:rsidR="00BA5E29">
        <w:rPr>
          <w:bCs/>
          <w:color w:val="000000" w:themeColor="text1"/>
          <w:sz w:val="26"/>
          <w:szCs w:val="26"/>
        </w:rPr>
        <w:t xml:space="preserve"> Docket No.</w:t>
      </w:r>
      <w:r w:rsidR="003C4A3C">
        <w:rPr>
          <w:bCs/>
          <w:color w:val="000000" w:themeColor="text1"/>
          <w:sz w:val="26"/>
          <w:szCs w:val="26"/>
        </w:rPr>
        <w:t> </w:t>
      </w:r>
      <w:r w:rsidR="00BA5E29">
        <w:rPr>
          <w:bCs/>
          <w:color w:val="000000" w:themeColor="text1"/>
          <w:sz w:val="26"/>
          <w:szCs w:val="26"/>
        </w:rPr>
        <w:t>C-2010-</w:t>
      </w:r>
      <w:r w:rsidR="00B36890">
        <w:rPr>
          <w:bCs/>
          <w:color w:val="000000" w:themeColor="text1"/>
          <w:sz w:val="26"/>
          <w:szCs w:val="26"/>
        </w:rPr>
        <w:t>2187197 (Final Order entered Nov. 15, 2011).</w:t>
      </w:r>
    </w:p>
    <w:p w14:paraId="52041760" w14:textId="77777777" w:rsidR="00EF043A" w:rsidRDefault="00EF043A" w:rsidP="00EF043A">
      <w:pPr>
        <w:pStyle w:val="ListParagraph"/>
        <w:keepNext/>
        <w:spacing w:line="360" w:lineRule="auto"/>
        <w:rPr>
          <w:bCs/>
          <w:color w:val="000000" w:themeColor="text1"/>
          <w:sz w:val="26"/>
          <w:szCs w:val="26"/>
        </w:rPr>
      </w:pPr>
    </w:p>
    <w:p w14:paraId="0201A2F5" w14:textId="2CA828C2" w:rsidR="00EF043A" w:rsidRDefault="00EF043A" w:rsidP="007F5002">
      <w:pPr>
        <w:pStyle w:val="ListParagraph"/>
        <w:keepNext/>
        <w:spacing w:line="360" w:lineRule="auto"/>
        <w:ind w:left="0" w:firstLine="720"/>
        <w:rPr>
          <w:bCs/>
          <w:color w:val="000000" w:themeColor="text1"/>
          <w:sz w:val="26"/>
          <w:szCs w:val="26"/>
        </w:rPr>
      </w:pPr>
      <w:r>
        <w:rPr>
          <w:bCs/>
          <w:color w:val="000000" w:themeColor="text1"/>
          <w:sz w:val="26"/>
          <w:szCs w:val="26"/>
        </w:rPr>
        <w:tab/>
        <w:t xml:space="preserve">In </w:t>
      </w:r>
      <w:proofErr w:type="spellStart"/>
      <w:r w:rsidRPr="00D3670B">
        <w:rPr>
          <w:bCs/>
          <w:i/>
          <w:iCs/>
          <w:color w:val="000000" w:themeColor="text1"/>
          <w:sz w:val="26"/>
          <w:szCs w:val="26"/>
        </w:rPr>
        <w:t>Milkie</w:t>
      </w:r>
      <w:proofErr w:type="spellEnd"/>
      <w:r>
        <w:rPr>
          <w:bCs/>
          <w:i/>
          <w:iCs/>
          <w:color w:val="000000" w:themeColor="text1"/>
          <w:sz w:val="26"/>
          <w:szCs w:val="26"/>
        </w:rPr>
        <w:t xml:space="preserve"> </w:t>
      </w:r>
      <w:r>
        <w:rPr>
          <w:bCs/>
          <w:color w:val="000000" w:themeColor="text1"/>
          <w:sz w:val="26"/>
          <w:szCs w:val="26"/>
        </w:rPr>
        <w:t xml:space="preserve">at 1219-20, the Commonwealth Court of Pennsylvania further refined the </w:t>
      </w:r>
      <w:r w:rsidRPr="00572A28">
        <w:rPr>
          <w:bCs/>
          <w:i/>
          <w:iCs/>
          <w:color w:val="000000" w:themeColor="text1"/>
          <w:sz w:val="26"/>
          <w:szCs w:val="26"/>
        </w:rPr>
        <w:t>Waldron</w:t>
      </w:r>
      <w:r>
        <w:rPr>
          <w:bCs/>
          <w:color w:val="000000" w:themeColor="text1"/>
          <w:sz w:val="26"/>
          <w:szCs w:val="26"/>
        </w:rPr>
        <w:t xml:space="preserve"> rule by holding:</w:t>
      </w:r>
    </w:p>
    <w:p w14:paraId="415D88A4" w14:textId="77777777" w:rsidR="001A114F" w:rsidRDefault="001A114F" w:rsidP="00FC2E5B">
      <w:pPr>
        <w:pStyle w:val="ListParagraph"/>
        <w:keepNext/>
        <w:rPr>
          <w:bCs/>
          <w:color w:val="000000" w:themeColor="text1"/>
          <w:sz w:val="26"/>
          <w:szCs w:val="26"/>
        </w:rPr>
      </w:pPr>
    </w:p>
    <w:p w14:paraId="13D545C2" w14:textId="283F9357" w:rsidR="00EF043A" w:rsidRDefault="00EF043A" w:rsidP="00EF043A">
      <w:pPr>
        <w:pStyle w:val="ListParagraph"/>
        <w:keepNext/>
        <w:tabs>
          <w:tab w:val="left" w:pos="7110"/>
          <w:tab w:val="left" w:pos="7920"/>
        </w:tabs>
        <w:ind w:left="1620" w:right="1530"/>
        <w:rPr>
          <w:bCs/>
          <w:color w:val="000000" w:themeColor="text1"/>
          <w:sz w:val="26"/>
          <w:szCs w:val="26"/>
        </w:rPr>
      </w:pPr>
      <w:r>
        <w:rPr>
          <w:bCs/>
          <w:color w:val="000000" w:themeColor="text1"/>
          <w:sz w:val="26"/>
          <w:szCs w:val="26"/>
        </w:rPr>
        <w:t xml:space="preserve">While the [Waldron] rule is often explained by stating that the ratepayer must establish certain specific elements </w:t>
      </w:r>
      <w:proofErr w:type="gramStart"/>
      <w:r>
        <w:rPr>
          <w:bCs/>
          <w:color w:val="000000" w:themeColor="text1"/>
          <w:sz w:val="26"/>
          <w:szCs w:val="26"/>
        </w:rPr>
        <w:t>in order to</w:t>
      </w:r>
      <w:proofErr w:type="gramEnd"/>
      <w:r>
        <w:rPr>
          <w:bCs/>
          <w:color w:val="000000" w:themeColor="text1"/>
          <w:sz w:val="26"/>
          <w:szCs w:val="26"/>
        </w:rPr>
        <w:t xml:space="preserve"> make out a prima facie case of overbilling by a </w:t>
      </w:r>
      <w:r>
        <w:rPr>
          <w:bCs/>
          <w:color w:val="000000" w:themeColor="text1"/>
          <w:sz w:val="26"/>
          <w:szCs w:val="26"/>
        </w:rPr>
        <w:lastRenderedPageBreak/>
        <w:t>utility company, we believe that this view is too restrictive.  Rather the controlling principle is that even where a utility can present evidence t</w:t>
      </w:r>
      <w:r w:rsidR="00F73448">
        <w:rPr>
          <w:bCs/>
          <w:color w:val="000000" w:themeColor="text1"/>
          <w:sz w:val="26"/>
          <w:szCs w:val="26"/>
        </w:rPr>
        <w:t>h</w:t>
      </w:r>
      <w:r>
        <w:rPr>
          <w:bCs/>
          <w:color w:val="000000" w:themeColor="text1"/>
          <w:sz w:val="26"/>
          <w:szCs w:val="26"/>
        </w:rPr>
        <w:t>at it h</w:t>
      </w:r>
      <w:r w:rsidR="00F73448">
        <w:rPr>
          <w:bCs/>
          <w:color w:val="000000" w:themeColor="text1"/>
          <w:sz w:val="26"/>
          <w:szCs w:val="26"/>
        </w:rPr>
        <w:t>a</w:t>
      </w:r>
      <w:r>
        <w:rPr>
          <w:bCs/>
          <w:color w:val="000000" w:themeColor="text1"/>
          <w:sz w:val="26"/>
          <w:szCs w:val="26"/>
        </w:rPr>
        <w:t xml:space="preserve">s tested the customer’s meter and found it to be accurate, the customer may nonetheless prove his case by circumstantial evidence, which would support a finding that the metered usage exceeded the actual usage.  Thus, as our Supreme Court has explained, the rule operates as a device by which the complainant is protected from dismissal because of his inability to marshal direct proof that his meter had malfunctioned.  </w:t>
      </w:r>
      <w:r w:rsidRPr="00B55CB9">
        <w:rPr>
          <w:bCs/>
          <w:i/>
          <w:iCs/>
          <w:color w:val="000000" w:themeColor="text1"/>
          <w:sz w:val="26"/>
          <w:szCs w:val="26"/>
        </w:rPr>
        <w:t>Burleson v. Pennsylvania Pub. Util. Comm’n</w:t>
      </w:r>
      <w:r>
        <w:rPr>
          <w:bCs/>
          <w:color w:val="000000" w:themeColor="text1"/>
          <w:sz w:val="26"/>
          <w:szCs w:val="26"/>
        </w:rPr>
        <w:t>, 501 Pa. 433, 435-6, 461 A.2d 1234, 1235 (1983).</w:t>
      </w:r>
    </w:p>
    <w:p w14:paraId="77E1D228" w14:textId="77777777" w:rsidR="00EF043A" w:rsidRDefault="00EF043A" w:rsidP="003C4A3C">
      <w:pPr>
        <w:pStyle w:val="ListParagraph"/>
        <w:keepNext/>
        <w:spacing w:line="480" w:lineRule="auto"/>
        <w:rPr>
          <w:bCs/>
          <w:color w:val="000000" w:themeColor="text1"/>
          <w:sz w:val="26"/>
          <w:szCs w:val="26"/>
        </w:rPr>
      </w:pPr>
    </w:p>
    <w:p w14:paraId="69D002BF" w14:textId="1C45ADD1" w:rsidR="00B765FF" w:rsidRDefault="00B765FF" w:rsidP="00685ABF">
      <w:pPr>
        <w:pStyle w:val="ListParagraph"/>
        <w:keepNext/>
        <w:spacing w:line="360" w:lineRule="auto"/>
        <w:ind w:left="0" w:firstLine="720"/>
        <w:rPr>
          <w:bCs/>
          <w:color w:val="000000" w:themeColor="text1"/>
          <w:sz w:val="26"/>
          <w:szCs w:val="26"/>
        </w:rPr>
      </w:pPr>
      <w:r>
        <w:rPr>
          <w:bCs/>
          <w:color w:val="000000" w:themeColor="text1"/>
          <w:sz w:val="26"/>
          <w:szCs w:val="26"/>
        </w:rPr>
        <w:tab/>
      </w:r>
      <w:r w:rsidR="00E23163">
        <w:rPr>
          <w:bCs/>
          <w:color w:val="000000" w:themeColor="text1"/>
          <w:sz w:val="26"/>
          <w:szCs w:val="26"/>
        </w:rPr>
        <w:t xml:space="preserve">The </w:t>
      </w:r>
      <w:r w:rsidR="006269D7">
        <w:rPr>
          <w:bCs/>
          <w:color w:val="000000" w:themeColor="text1"/>
          <w:sz w:val="26"/>
          <w:szCs w:val="26"/>
        </w:rPr>
        <w:t>Commission has</w:t>
      </w:r>
      <w:r w:rsidR="00E23163">
        <w:rPr>
          <w:bCs/>
          <w:color w:val="000000" w:themeColor="text1"/>
          <w:sz w:val="26"/>
          <w:szCs w:val="26"/>
        </w:rPr>
        <w:t xml:space="preserve"> also considered </w:t>
      </w:r>
      <w:r w:rsidR="00262BD8">
        <w:rPr>
          <w:bCs/>
          <w:color w:val="000000" w:themeColor="text1"/>
          <w:sz w:val="26"/>
          <w:szCs w:val="26"/>
        </w:rPr>
        <w:t>circumstances</w:t>
      </w:r>
      <w:r w:rsidR="009146D8">
        <w:rPr>
          <w:bCs/>
          <w:color w:val="000000" w:themeColor="text1"/>
          <w:sz w:val="26"/>
          <w:szCs w:val="26"/>
        </w:rPr>
        <w:t xml:space="preserve"> where a complainant contends that their utility bill is </w:t>
      </w:r>
      <w:r w:rsidR="00BC25C6">
        <w:rPr>
          <w:bCs/>
          <w:color w:val="000000" w:themeColor="text1"/>
          <w:sz w:val="26"/>
          <w:szCs w:val="26"/>
        </w:rPr>
        <w:t>unreasonably large compared to their perceived utility usage</w:t>
      </w:r>
      <w:r w:rsidR="007D374A">
        <w:rPr>
          <w:bCs/>
          <w:color w:val="000000" w:themeColor="text1"/>
          <w:sz w:val="26"/>
          <w:szCs w:val="26"/>
        </w:rPr>
        <w:t xml:space="preserve">.  The </w:t>
      </w:r>
      <w:r w:rsidR="00D97D54">
        <w:rPr>
          <w:bCs/>
          <w:color w:val="000000" w:themeColor="text1"/>
          <w:sz w:val="26"/>
          <w:szCs w:val="26"/>
        </w:rPr>
        <w:t>Commission</w:t>
      </w:r>
      <w:r w:rsidR="00262BD8">
        <w:rPr>
          <w:bCs/>
          <w:color w:val="000000" w:themeColor="text1"/>
          <w:sz w:val="26"/>
          <w:szCs w:val="26"/>
        </w:rPr>
        <w:t xml:space="preserve"> </w:t>
      </w:r>
      <w:r w:rsidR="006269D7">
        <w:rPr>
          <w:bCs/>
          <w:color w:val="000000" w:themeColor="text1"/>
          <w:sz w:val="26"/>
          <w:szCs w:val="26"/>
        </w:rPr>
        <w:t xml:space="preserve">has </w:t>
      </w:r>
      <w:r w:rsidR="00BE35AD">
        <w:rPr>
          <w:bCs/>
          <w:color w:val="000000" w:themeColor="text1"/>
          <w:sz w:val="26"/>
          <w:szCs w:val="26"/>
        </w:rPr>
        <w:t xml:space="preserve">stated </w:t>
      </w:r>
      <w:r w:rsidR="006269D7">
        <w:rPr>
          <w:bCs/>
          <w:color w:val="000000" w:themeColor="text1"/>
          <w:sz w:val="26"/>
          <w:szCs w:val="26"/>
        </w:rPr>
        <w:t>that, “</w:t>
      </w:r>
      <w:r w:rsidR="00891564">
        <w:rPr>
          <w:bCs/>
          <w:color w:val="000000" w:themeColor="text1"/>
          <w:sz w:val="26"/>
          <w:szCs w:val="26"/>
        </w:rPr>
        <w:t xml:space="preserve">The Complainant’s testimony consisted </w:t>
      </w:r>
      <w:r w:rsidR="00D97D54">
        <w:rPr>
          <w:bCs/>
          <w:color w:val="000000" w:themeColor="text1"/>
          <w:sz w:val="26"/>
          <w:szCs w:val="26"/>
        </w:rPr>
        <w:t>solely</w:t>
      </w:r>
      <w:r w:rsidR="00891564">
        <w:rPr>
          <w:bCs/>
          <w:color w:val="000000" w:themeColor="text1"/>
          <w:sz w:val="26"/>
          <w:szCs w:val="26"/>
        </w:rPr>
        <w:t xml:space="preserve"> of his opinion that these charges are too high</w:t>
      </w:r>
      <w:r w:rsidR="00D97D54">
        <w:rPr>
          <w:bCs/>
          <w:color w:val="000000" w:themeColor="text1"/>
          <w:sz w:val="26"/>
          <w:szCs w:val="26"/>
        </w:rPr>
        <w:t>.</w:t>
      </w:r>
      <w:r w:rsidR="00891564">
        <w:rPr>
          <w:bCs/>
          <w:color w:val="000000" w:themeColor="text1"/>
          <w:sz w:val="26"/>
          <w:szCs w:val="26"/>
        </w:rPr>
        <w:t xml:space="preserve"> </w:t>
      </w:r>
      <w:r w:rsidR="00D97D54">
        <w:rPr>
          <w:bCs/>
          <w:color w:val="000000" w:themeColor="text1"/>
          <w:sz w:val="26"/>
          <w:szCs w:val="26"/>
        </w:rPr>
        <w:t>Regardless</w:t>
      </w:r>
      <w:r w:rsidR="00891564">
        <w:rPr>
          <w:bCs/>
          <w:color w:val="000000" w:themeColor="text1"/>
          <w:sz w:val="26"/>
          <w:szCs w:val="26"/>
        </w:rPr>
        <w:t xml:space="preserve"> of how earnestly Complainant believes the </w:t>
      </w:r>
      <w:r w:rsidR="00D97D54">
        <w:rPr>
          <w:bCs/>
          <w:color w:val="000000" w:themeColor="text1"/>
          <w:sz w:val="26"/>
          <w:szCs w:val="26"/>
        </w:rPr>
        <w:t>complaint</w:t>
      </w:r>
      <w:r w:rsidR="00891564">
        <w:rPr>
          <w:bCs/>
          <w:color w:val="000000" w:themeColor="text1"/>
          <w:sz w:val="26"/>
          <w:szCs w:val="26"/>
        </w:rPr>
        <w:t xml:space="preserve"> allegations to be true, personal opinions or perceptions do not constitute </w:t>
      </w:r>
      <w:r w:rsidR="00D97D54">
        <w:rPr>
          <w:bCs/>
          <w:color w:val="000000" w:themeColor="text1"/>
          <w:sz w:val="26"/>
          <w:szCs w:val="26"/>
        </w:rPr>
        <w:t>substantial evidence</w:t>
      </w:r>
      <w:r w:rsidR="00E8193E">
        <w:rPr>
          <w:bCs/>
          <w:color w:val="000000" w:themeColor="text1"/>
          <w:sz w:val="26"/>
          <w:szCs w:val="26"/>
        </w:rPr>
        <w:t xml:space="preserve"> sufficient to permit him to sustain his burden of proof.</w:t>
      </w:r>
      <w:r w:rsidR="006269D7">
        <w:rPr>
          <w:bCs/>
          <w:color w:val="000000" w:themeColor="text1"/>
          <w:sz w:val="26"/>
          <w:szCs w:val="26"/>
        </w:rPr>
        <w:t xml:space="preserve">”  </w:t>
      </w:r>
      <w:r w:rsidR="00A53800" w:rsidRPr="00244887">
        <w:rPr>
          <w:bCs/>
          <w:i/>
          <w:iCs/>
          <w:color w:val="000000" w:themeColor="text1"/>
          <w:sz w:val="26"/>
          <w:szCs w:val="26"/>
        </w:rPr>
        <w:t>Kirby v. PPL Elec. Corp.</w:t>
      </w:r>
      <w:r w:rsidR="00A53800">
        <w:rPr>
          <w:bCs/>
          <w:color w:val="000000" w:themeColor="text1"/>
          <w:sz w:val="26"/>
          <w:szCs w:val="26"/>
        </w:rPr>
        <w:t>, Docket No. C-2</w:t>
      </w:r>
      <w:r w:rsidR="00F57057">
        <w:rPr>
          <w:bCs/>
          <w:color w:val="000000" w:themeColor="text1"/>
          <w:sz w:val="26"/>
          <w:szCs w:val="26"/>
        </w:rPr>
        <w:t>006</w:t>
      </w:r>
      <w:r w:rsidR="005068D2">
        <w:rPr>
          <w:bCs/>
          <w:color w:val="000000" w:themeColor="text1"/>
          <w:sz w:val="26"/>
          <w:szCs w:val="26"/>
        </w:rPr>
        <w:t>6</w:t>
      </w:r>
      <w:r w:rsidR="00C55605">
        <w:rPr>
          <w:bCs/>
          <w:color w:val="000000" w:themeColor="text1"/>
          <w:sz w:val="26"/>
          <w:szCs w:val="26"/>
        </w:rPr>
        <w:t>297 (Final Order entered Nov. 16, 2006)</w:t>
      </w:r>
      <w:r w:rsidR="0048584E">
        <w:rPr>
          <w:bCs/>
          <w:color w:val="000000" w:themeColor="text1"/>
          <w:sz w:val="26"/>
          <w:szCs w:val="26"/>
        </w:rPr>
        <w:t xml:space="preserve"> (</w:t>
      </w:r>
      <w:r w:rsidR="0048584E" w:rsidRPr="0048584E">
        <w:rPr>
          <w:bCs/>
          <w:i/>
          <w:iCs/>
          <w:color w:val="000000" w:themeColor="text1"/>
          <w:sz w:val="26"/>
          <w:szCs w:val="26"/>
        </w:rPr>
        <w:t>Kirby</w:t>
      </w:r>
      <w:r w:rsidR="0048584E">
        <w:rPr>
          <w:bCs/>
          <w:color w:val="000000" w:themeColor="text1"/>
          <w:sz w:val="26"/>
          <w:szCs w:val="26"/>
        </w:rPr>
        <w:t>)</w:t>
      </w:r>
      <w:r w:rsidR="00C55605">
        <w:rPr>
          <w:bCs/>
          <w:color w:val="000000" w:themeColor="text1"/>
          <w:sz w:val="26"/>
          <w:szCs w:val="26"/>
        </w:rPr>
        <w:t xml:space="preserve">, citing </w:t>
      </w:r>
      <w:r w:rsidR="00C55605" w:rsidRPr="00244887">
        <w:rPr>
          <w:bCs/>
          <w:i/>
          <w:iCs/>
          <w:color w:val="000000" w:themeColor="text1"/>
          <w:sz w:val="26"/>
          <w:szCs w:val="26"/>
        </w:rPr>
        <w:t xml:space="preserve">Pa. Bureau of Corr. </w:t>
      </w:r>
      <w:r w:rsidR="00244887" w:rsidRPr="00244887">
        <w:rPr>
          <w:bCs/>
          <w:i/>
          <w:iCs/>
          <w:color w:val="000000" w:themeColor="text1"/>
          <w:sz w:val="26"/>
          <w:szCs w:val="26"/>
        </w:rPr>
        <w:t>v</w:t>
      </w:r>
      <w:r w:rsidR="00B65FE6" w:rsidRPr="00244887">
        <w:rPr>
          <w:bCs/>
          <w:i/>
          <w:iCs/>
          <w:color w:val="000000" w:themeColor="text1"/>
          <w:sz w:val="26"/>
          <w:szCs w:val="26"/>
        </w:rPr>
        <w:t>. City of Pittsburgh</w:t>
      </w:r>
      <w:r w:rsidR="00B65FE6" w:rsidRPr="005068D2">
        <w:rPr>
          <w:bCs/>
          <w:color w:val="000000" w:themeColor="text1"/>
          <w:sz w:val="26"/>
          <w:szCs w:val="26"/>
        </w:rPr>
        <w:t>,</w:t>
      </w:r>
      <w:r w:rsidR="00B65FE6">
        <w:rPr>
          <w:bCs/>
          <w:color w:val="000000" w:themeColor="text1"/>
          <w:sz w:val="26"/>
          <w:szCs w:val="26"/>
        </w:rPr>
        <w:t xml:space="preserve"> 532 A.2d 12 (Pa. 1987)</w:t>
      </w:r>
      <w:r w:rsidR="00D879C5">
        <w:rPr>
          <w:bCs/>
          <w:color w:val="000000" w:themeColor="text1"/>
          <w:sz w:val="26"/>
          <w:szCs w:val="26"/>
        </w:rPr>
        <w:t>.</w:t>
      </w:r>
    </w:p>
    <w:p w14:paraId="0290B583" w14:textId="77777777" w:rsidR="00D879C5" w:rsidRDefault="00D879C5" w:rsidP="00FE2551">
      <w:pPr>
        <w:pStyle w:val="ListParagraph"/>
        <w:keepNext/>
        <w:spacing w:line="360" w:lineRule="auto"/>
        <w:rPr>
          <w:bCs/>
          <w:color w:val="000000" w:themeColor="text1"/>
          <w:sz w:val="26"/>
          <w:szCs w:val="26"/>
        </w:rPr>
      </w:pPr>
    </w:p>
    <w:p w14:paraId="290BD3FA" w14:textId="746D734F" w:rsidR="005B572C" w:rsidRDefault="00261E33" w:rsidP="00685ABF">
      <w:pPr>
        <w:keepNext/>
        <w:spacing w:line="360" w:lineRule="auto"/>
        <w:rPr>
          <w:sz w:val="26"/>
          <w:szCs w:val="26"/>
        </w:rPr>
      </w:pPr>
      <w:r w:rsidRPr="00685ABF">
        <w:rPr>
          <w:b/>
          <w:bCs/>
          <w:sz w:val="26"/>
          <w:szCs w:val="26"/>
        </w:rPr>
        <w:t>ALJ’s Initial Decision</w:t>
      </w:r>
    </w:p>
    <w:p w14:paraId="1267CA89" w14:textId="77777777" w:rsidR="007A354D" w:rsidRDefault="007A354D" w:rsidP="007A354D">
      <w:pPr>
        <w:keepNext/>
        <w:spacing w:line="360" w:lineRule="auto"/>
        <w:ind w:left="720"/>
        <w:rPr>
          <w:sz w:val="26"/>
          <w:szCs w:val="26"/>
        </w:rPr>
      </w:pPr>
    </w:p>
    <w:p w14:paraId="24F670A4" w14:textId="4DC35A27" w:rsidR="007A354D" w:rsidRDefault="007A354D">
      <w:pPr>
        <w:keepNext/>
        <w:spacing w:line="360" w:lineRule="auto"/>
        <w:ind w:firstLine="720"/>
        <w:rPr>
          <w:sz w:val="26"/>
          <w:szCs w:val="26"/>
        </w:rPr>
      </w:pPr>
      <w:r>
        <w:rPr>
          <w:sz w:val="26"/>
          <w:szCs w:val="26"/>
        </w:rPr>
        <w:tab/>
        <w:t xml:space="preserve">In this proceeding, ALJ Myers </w:t>
      </w:r>
      <w:r w:rsidR="00F63CFD">
        <w:rPr>
          <w:sz w:val="26"/>
          <w:szCs w:val="26"/>
        </w:rPr>
        <w:t xml:space="preserve">made twelve Findings of Facts and </w:t>
      </w:r>
      <w:r w:rsidR="008B6053">
        <w:rPr>
          <w:sz w:val="26"/>
          <w:szCs w:val="26"/>
        </w:rPr>
        <w:t xml:space="preserve">reached </w:t>
      </w:r>
      <w:r w:rsidR="006B04C5">
        <w:rPr>
          <w:sz w:val="26"/>
          <w:szCs w:val="26"/>
        </w:rPr>
        <w:t>six Conclusions of Law</w:t>
      </w:r>
      <w:r w:rsidR="00C356E4">
        <w:rPr>
          <w:sz w:val="26"/>
          <w:szCs w:val="26"/>
        </w:rPr>
        <w:t>.</w:t>
      </w:r>
      <w:r w:rsidR="005610F2">
        <w:rPr>
          <w:sz w:val="26"/>
          <w:szCs w:val="26"/>
        </w:rPr>
        <w:t xml:space="preserve"> I</w:t>
      </w:r>
      <w:r w:rsidR="00F63CFD">
        <w:rPr>
          <w:sz w:val="26"/>
          <w:szCs w:val="26"/>
        </w:rPr>
        <w:t>.</w:t>
      </w:r>
      <w:r w:rsidR="005610F2">
        <w:rPr>
          <w:sz w:val="26"/>
          <w:szCs w:val="26"/>
        </w:rPr>
        <w:t>D</w:t>
      </w:r>
      <w:r w:rsidR="00F63CFD">
        <w:rPr>
          <w:sz w:val="26"/>
          <w:szCs w:val="26"/>
        </w:rPr>
        <w:t>.</w:t>
      </w:r>
      <w:r w:rsidR="005610F2">
        <w:rPr>
          <w:sz w:val="26"/>
          <w:szCs w:val="26"/>
        </w:rPr>
        <w:t xml:space="preserve"> </w:t>
      </w:r>
      <w:r w:rsidR="00C356E4">
        <w:rPr>
          <w:sz w:val="26"/>
          <w:szCs w:val="26"/>
        </w:rPr>
        <w:t xml:space="preserve">at </w:t>
      </w:r>
      <w:r w:rsidR="000E41BB">
        <w:rPr>
          <w:sz w:val="26"/>
          <w:szCs w:val="26"/>
        </w:rPr>
        <w:t xml:space="preserve">2-3, </w:t>
      </w:r>
      <w:r w:rsidR="00C356E4">
        <w:rPr>
          <w:sz w:val="26"/>
          <w:szCs w:val="26"/>
        </w:rPr>
        <w:t xml:space="preserve">7-8.  These Conclusions and any factual determinations contained in the </w:t>
      </w:r>
      <w:r w:rsidR="005610F2">
        <w:rPr>
          <w:sz w:val="26"/>
          <w:szCs w:val="26"/>
        </w:rPr>
        <w:t>Initial Decision are incorporated</w:t>
      </w:r>
      <w:r w:rsidR="00EA14B1">
        <w:rPr>
          <w:sz w:val="26"/>
          <w:szCs w:val="26"/>
        </w:rPr>
        <w:t xml:space="preserve"> herein by reference and are adopted without comment unless they are either expressly or by necessary </w:t>
      </w:r>
      <w:r w:rsidR="008B5C17">
        <w:rPr>
          <w:sz w:val="26"/>
          <w:szCs w:val="26"/>
        </w:rPr>
        <w:t>implication rejected or modified by this Opinion and Order.</w:t>
      </w:r>
    </w:p>
    <w:p w14:paraId="2602B99F" w14:textId="5197C2FB" w:rsidR="00E10BA4" w:rsidRDefault="00E10BA4">
      <w:pPr>
        <w:keepNext/>
        <w:spacing w:line="360" w:lineRule="auto"/>
        <w:ind w:firstLine="720"/>
        <w:rPr>
          <w:sz w:val="26"/>
          <w:szCs w:val="26"/>
        </w:rPr>
      </w:pPr>
    </w:p>
    <w:p w14:paraId="66418D39" w14:textId="5651841A" w:rsidR="00B77E7A" w:rsidRDefault="00E10BA4" w:rsidP="00B77E7A">
      <w:pPr>
        <w:spacing w:line="360" w:lineRule="auto"/>
        <w:ind w:firstLine="1440"/>
        <w:rPr>
          <w:sz w:val="26"/>
          <w:szCs w:val="26"/>
        </w:rPr>
      </w:pPr>
      <w:r>
        <w:rPr>
          <w:sz w:val="26"/>
          <w:szCs w:val="26"/>
        </w:rPr>
        <w:t xml:space="preserve">In his analysis, the ALJ </w:t>
      </w:r>
      <w:r w:rsidR="00454FAC">
        <w:rPr>
          <w:sz w:val="26"/>
          <w:szCs w:val="26"/>
        </w:rPr>
        <w:t xml:space="preserve">stated </w:t>
      </w:r>
      <w:r w:rsidR="00454FAC" w:rsidRPr="007C05EE">
        <w:rPr>
          <w:sz w:val="26"/>
          <w:szCs w:val="26"/>
        </w:rPr>
        <w:t xml:space="preserve">the Complainant’s mere belief that his electric bill is too high in comparison to what he believes his electric usage should be and </w:t>
      </w:r>
      <w:r w:rsidR="00454FAC" w:rsidRPr="007C05EE">
        <w:rPr>
          <w:sz w:val="26"/>
          <w:szCs w:val="26"/>
        </w:rPr>
        <w:lastRenderedPageBreak/>
        <w:t>that he has been overbilled by PPL</w:t>
      </w:r>
      <w:r w:rsidR="006B20D5">
        <w:rPr>
          <w:sz w:val="26"/>
          <w:szCs w:val="26"/>
        </w:rPr>
        <w:t>,</w:t>
      </w:r>
      <w:r w:rsidR="00454FAC" w:rsidRPr="007C05EE">
        <w:rPr>
          <w:sz w:val="26"/>
          <w:szCs w:val="26"/>
        </w:rPr>
        <w:t xml:space="preserve"> does not constitute substantial evidence sufficient to permit him to sustain his burden of proof under </w:t>
      </w:r>
      <w:r w:rsidR="00454FAC" w:rsidRPr="00685ABF">
        <w:rPr>
          <w:i/>
          <w:iCs/>
          <w:sz w:val="26"/>
          <w:szCs w:val="26"/>
        </w:rPr>
        <w:t>Kirby,</w:t>
      </w:r>
      <w:r w:rsidR="00454FAC" w:rsidRPr="007C05EE">
        <w:rPr>
          <w:sz w:val="26"/>
          <w:szCs w:val="26"/>
        </w:rPr>
        <w:t xml:space="preserve"> and without more, he has not met his burden under </w:t>
      </w:r>
      <w:r w:rsidR="00454FAC" w:rsidRPr="007C05EE">
        <w:rPr>
          <w:i/>
          <w:iCs/>
          <w:sz w:val="26"/>
          <w:szCs w:val="26"/>
        </w:rPr>
        <w:t>Waldron</w:t>
      </w:r>
      <w:r w:rsidR="00454FAC" w:rsidRPr="007C05EE">
        <w:rPr>
          <w:sz w:val="26"/>
          <w:szCs w:val="26"/>
        </w:rPr>
        <w:t xml:space="preserve"> and </w:t>
      </w:r>
      <w:proofErr w:type="spellStart"/>
      <w:r w:rsidR="00454FAC" w:rsidRPr="007C05EE">
        <w:rPr>
          <w:i/>
          <w:iCs/>
          <w:sz w:val="26"/>
          <w:szCs w:val="26"/>
        </w:rPr>
        <w:t>Milkie</w:t>
      </w:r>
      <w:proofErr w:type="spellEnd"/>
      <w:r w:rsidR="00454FAC" w:rsidRPr="007C05EE">
        <w:rPr>
          <w:sz w:val="26"/>
          <w:szCs w:val="26"/>
        </w:rPr>
        <w:t>.</w:t>
      </w:r>
      <w:r w:rsidR="004F4B2A">
        <w:rPr>
          <w:sz w:val="26"/>
          <w:szCs w:val="26"/>
        </w:rPr>
        <w:t xml:space="preserve">  I.D. at </w:t>
      </w:r>
      <w:r w:rsidR="0038419E">
        <w:rPr>
          <w:sz w:val="26"/>
          <w:szCs w:val="26"/>
        </w:rPr>
        <w:t>5.</w:t>
      </w:r>
      <w:r w:rsidR="008C123B">
        <w:rPr>
          <w:sz w:val="26"/>
          <w:szCs w:val="26"/>
        </w:rPr>
        <w:t xml:space="preserve"> </w:t>
      </w:r>
    </w:p>
    <w:p w14:paraId="03AE2EBD" w14:textId="77777777" w:rsidR="00B77E7A" w:rsidRDefault="00B77E7A" w:rsidP="00B77E7A">
      <w:pPr>
        <w:spacing w:line="360" w:lineRule="auto"/>
        <w:ind w:firstLine="1440"/>
        <w:rPr>
          <w:sz w:val="26"/>
          <w:szCs w:val="26"/>
        </w:rPr>
      </w:pPr>
    </w:p>
    <w:p w14:paraId="3C3DC35C" w14:textId="76F959D3" w:rsidR="009373AE" w:rsidRPr="00652122" w:rsidRDefault="008C123B" w:rsidP="00685ABF">
      <w:pPr>
        <w:spacing w:line="360" w:lineRule="auto"/>
        <w:ind w:firstLine="1440"/>
        <w:rPr>
          <w:sz w:val="26"/>
          <w:szCs w:val="26"/>
        </w:rPr>
      </w:pPr>
      <w:r>
        <w:rPr>
          <w:sz w:val="26"/>
          <w:szCs w:val="26"/>
        </w:rPr>
        <w:t xml:space="preserve"> </w:t>
      </w:r>
      <w:r w:rsidR="0038419E">
        <w:rPr>
          <w:sz w:val="26"/>
          <w:szCs w:val="26"/>
        </w:rPr>
        <w:t xml:space="preserve">According to the ALJ, </w:t>
      </w:r>
      <w:r>
        <w:rPr>
          <w:sz w:val="26"/>
          <w:szCs w:val="26"/>
        </w:rPr>
        <w:t>t</w:t>
      </w:r>
      <w:r w:rsidRPr="007C05EE">
        <w:rPr>
          <w:sz w:val="26"/>
          <w:szCs w:val="26"/>
        </w:rPr>
        <w:t>he Complainant made a general argument at the hearing that he was being charged for more electricity than his home used.</w:t>
      </w:r>
      <w:r w:rsidR="00DF3F8B">
        <w:rPr>
          <w:sz w:val="26"/>
          <w:szCs w:val="26"/>
        </w:rPr>
        <w:t xml:space="preserve">  The ALJ noted that the Complainant </w:t>
      </w:r>
      <w:r w:rsidRPr="007C05EE">
        <w:rPr>
          <w:sz w:val="26"/>
          <w:szCs w:val="26"/>
        </w:rPr>
        <w:t>based this argument on information he received from “JEA”</w:t>
      </w:r>
      <w:r w:rsidR="008A4016">
        <w:rPr>
          <w:rStyle w:val="FootnoteReference"/>
          <w:sz w:val="26"/>
          <w:szCs w:val="26"/>
        </w:rPr>
        <w:footnoteReference w:id="3"/>
      </w:r>
      <w:r w:rsidRPr="007C05EE">
        <w:rPr>
          <w:sz w:val="26"/>
          <w:szCs w:val="26"/>
        </w:rPr>
        <w:t xml:space="preserve"> in Jacksonville, Florida</w:t>
      </w:r>
      <w:r w:rsidR="00297685">
        <w:rPr>
          <w:sz w:val="26"/>
          <w:szCs w:val="26"/>
        </w:rPr>
        <w:t xml:space="preserve">.  The Complainant </w:t>
      </w:r>
      <w:r w:rsidRPr="007C05EE">
        <w:rPr>
          <w:sz w:val="26"/>
          <w:szCs w:val="26"/>
        </w:rPr>
        <w:t>further testified that the amount of electricity he was being billed for was far beyond the amount of electricity his home used.</w:t>
      </w:r>
      <w:r w:rsidR="00370ADB">
        <w:rPr>
          <w:sz w:val="26"/>
          <w:szCs w:val="26"/>
        </w:rPr>
        <w:t xml:space="preserve">  The ALJ noted that i</w:t>
      </w:r>
      <w:r w:rsidRPr="007C05EE">
        <w:rPr>
          <w:sz w:val="26"/>
          <w:szCs w:val="26"/>
        </w:rPr>
        <w:t xml:space="preserve">n support of this position, </w:t>
      </w:r>
      <w:r w:rsidR="00370ADB">
        <w:rPr>
          <w:sz w:val="26"/>
          <w:szCs w:val="26"/>
        </w:rPr>
        <w:t xml:space="preserve">the </w:t>
      </w:r>
      <w:r w:rsidRPr="007C05EE">
        <w:rPr>
          <w:sz w:val="26"/>
          <w:szCs w:val="26"/>
        </w:rPr>
        <w:t xml:space="preserve">Complainant </w:t>
      </w:r>
      <w:proofErr w:type="gramStart"/>
      <w:r w:rsidRPr="007C05EE">
        <w:rPr>
          <w:sz w:val="26"/>
          <w:szCs w:val="26"/>
        </w:rPr>
        <w:t>made reference</w:t>
      </w:r>
      <w:proofErr w:type="gramEnd"/>
      <w:r w:rsidRPr="007C05EE">
        <w:rPr>
          <w:sz w:val="26"/>
          <w:szCs w:val="26"/>
        </w:rPr>
        <w:t xml:space="preserve"> to calculations he had made in a page attached to his</w:t>
      </w:r>
      <w:r w:rsidR="007E40CE">
        <w:rPr>
          <w:sz w:val="26"/>
          <w:szCs w:val="26"/>
        </w:rPr>
        <w:t xml:space="preserve"> C</w:t>
      </w:r>
      <w:r w:rsidRPr="007C05EE">
        <w:rPr>
          <w:sz w:val="26"/>
          <w:szCs w:val="26"/>
        </w:rPr>
        <w:t>omplaint.</w:t>
      </w:r>
      <w:r w:rsidR="00C46A6D">
        <w:rPr>
          <w:rStyle w:val="FootnoteReference"/>
          <w:sz w:val="26"/>
          <w:szCs w:val="26"/>
        </w:rPr>
        <w:footnoteReference w:id="4"/>
      </w:r>
      <w:r w:rsidRPr="007C05EE">
        <w:rPr>
          <w:sz w:val="26"/>
          <w:szCs w:val="26"/>
        </w:rPr>
        <w:t xml:space="preserve"> </w:t>
      </w:r>
      <w:r w:rsidR="007E40CE">
        <w:rPr>
          <w:sz w:val="26"/>
          <w:szCs w:val="26"/>
        </w:rPr>
        <w:t xml:space="preserve">  According to the ALJ, a</w:t>
      </w:r>
      <w:r w:rsidRPr="007C05EE">
        <w:rPr>
          <w:sz w:val="26"/>
          <w:szCs w:val="26"/>
        </w:rPr>
        <w:t xml:space="preserve">t the conclusion </w:t>
      </w:r>
      <w:r w:rsidRPr="007C05EE">
        <w:rPr>
          <w:sz w:val="26"/>
          <w:szCs w:val="26"/>
        </w:rPr>
        <w:lastRenderedPageBreak/>
        <w:t>of these calculations, the Complainant indicated that his average monthly electric bill should be approximately $50.16</w:t>
      </w:r>
      <w:r>
        <w:rPr>
          <w:sz w:val="26"/>
          <w:szCs w:val="26"/>
        </w:rPr>
        <w:t xml:space="preserve">.  </w:t>
      </w:r>
      <w:r w:rsidRPr="007C05EE">
        <w:rPr>
          <w:sz w:val="26"/>
          <w:szCs w:val="26"/>
        </w:rPr>
        <w:t xml:space="preserve">The </w:t>
      </w:r>
      <w:r w:rsidR="00B71E11">
        <w:rPr>
          <w:sz w:val="26"/>
          <w:szCs w:val="26"/>
        </w:rPr>
        <w:t xml:space="preserve">ALJ opined that the </w:t>
      </w:r>
      <w:r w:rsidRPr="007C05EE">
        <w:rPr>
          <w:sz w:val="26"/>
          <w:szCs w:val="26"/>
        </w:rPr>
        <w:t xml:space="preserve">Complainant, however, failed to provide any evidence to support the </w:t>
      </w:r>
      <w:proofErr w:type="gramStart"/>
      <w:r w:rsidRPr="007C05EE">
        <w:rPr>
          <w:sz w:val="26"/>
          <w:szCs w:val="26"/>
        </w:rPr>
        <w:t>manner in which</w:t>
      </w:r>
      <w:proofErr w:type="gramEnd"/>
      <w:r w:rsidRPr="007C05EE">
        <w:rPr>
          <w:sz w:val="26"/>
          <w:szCs w:val="26"/>
        </w:rPr>
        <w:t xml:space="preserve"> these calculations were made or the accuracy of their results.</w:t>
      </w:r>
      <w:r w:rsidR="00B71E11">
        <w:rPr>
          <w:sz w:val="26"/>
          <w:szCs w:val="26"/>
        </w:rPr>
        <w:t xml:space="preserve">  The</w:t>
      </w:r>
      <w:r w:rsidR="00D46A6B">
        <w:rPr>
          <w:sz w:val="26"/>
          <w:szCs w:val="26"/>
        </w:rPr>
        <w:t>refore, the</w:t>
      </w:r>
      <w:r w:rsidR="00B71E11">
        <w:rPr>
          <w:sz w:val="26"/>
          <w:szCs w:val="26"/>
        </w:rPr>
        <w:t xml:space="preserve"> ALJ</w:t>
      </w:r>
      <w:r w:rsidR="0029364B">
        <w:rPr>
          <w:sz w:val="26"/>
          <w:szCs w:val="26"/>
        </w:rPr>
        <w:t xml:space="preserve"> determined that </w:t>
      </w:r>
      <w:r w:rsidRPr="007C05EE">
        <w:rPr>
          <w:sz w:val="26"/>
          <w:szCs w:val="26"/>
        </w:rPr>
        <w:t xml:space="preserve">the Complainant </w:t>
      </w:r>
      <w:r w:rsidR="00245437">
        <w:rPr>
          <w:sz w:val="26"/>
          <w:szCs w:val="26"/>
        </w:rPr>
        <w:t>f</w:t>
      </w:r>
      <w:r w:rsidRPr="007C05EE">
        <w:rPr>
          <w:sz w:val="26"/>
          <w:szCs w:val="26"/>
        </w:rPr>
        <w:t>ailed to</w:t>
      </w:r>
      <w:r w:rsidR="009373AE">
        <w:rPr>
          <w:sz w:val="26"/>
          <w:szCs w:val="26"/>
        </w:rPr>
        <w:t xml:space="preserve"> </w:t>
      </w:r>
      <w:r w:rsidR="009373AE" w:rsidRPr="00652122">
        <w:rPr>
          <w:sz w:val="26"/>
          <w:szCs w:val="26"/>
        </w:rPr>
        <w:t>establish that these calculations have any relevance or relationship to his home or his electric usage.</w:t>
      </w:r>
      <w:r w:rsidR="00245437">
        <w:rPr>
          <w:sz w:val="26"/>
          <w:szCs w:val="26"/>
        </w:rPr>
        <w:t xml:space="preserve">  </w:t>
      </w:r>
      <w:r w:rsidR="00245437" w:rsidRPr="00685ABF">
        <w:rPr>
          <w:i/>
          <w:iCs/>
          <w:sz w:val="26"/>
          <w:szCs w:val="26"/>
        </w:rPr>
        <w:t>Id.</w:t>
      </w:r>
      <w:r w:rsidR="00245437">
        <w:rPr>
          <w:sz w:val="26"/>
          <w:szCs w:val="26"/>
        </w:rPr>
        <w:t xml:space="preserve"> at 5-6.</w:t>
      </w:r>
    </w:p>
    <w:p w14:paraId="757150ED" w14:textId="287C7B9D" w:rsidR="008C123B" w:rsidRPr="007C05EE" w:rsidRDefault="008C123B" w:rsidP="00685ABF">
      <w:pPr>
        <w:spacing w:line="360" w:lineRule="auto"/>
        <w:ind w:firstLine="1440"/>
        <w:rPr>
          <w:sz w:val="26"/>
          <w:szCs w:val="26"/>
        </w:rPr>
      </w:pPr>
    </w:p>
    <w:p w14:paraId="0031BF68" w14:textId="2BA4EA28" w:rsidR="00226E82" w:rsidRDefault="00226E82" w:rsidP="00226E82">
      <w:pPr>
        <w:spacing w:line="360" w:lineRule="auto"/>
        <w:ind w:firstLine="1440"/>
        <w:rPr>
          <w:sz w:val="26"/>
          <w:szCs w:val="26"/>
        </w:rPr>
      </w:pPr>
      <w:r w:rsidRPr="001D1A63">
        <w:rPr>
          <w:sz w:val="26"/>
          <w:szCs w:val="26"/>
        </w:rPr>
        <w:t xml:space="preserve">The ALJ also stated that the Complainant’s calculations fail to provide any meaningful explanation or support for his argument that he uses far less electricity than he is billed for and that he has been consistently overbilled each month by PPL but noted that the Complainant’s calculations, however, do indicate that in addition to baseboard electric heat, the Complainant’s home also has a water pump, electric hot water heater, electric </w:t>
      </w:r>
      <w:proofErr w:type="gramStart"/>
      <w:r w:rsidRPr="001D1A63">
        <w:rPr>
          <w:sz w:val="26"/>
          <w:szCs w:val="26"/>
        </w:rPr>
        <w:t>stove</w:t>
      </w:r>
      <w:proofErr w:type="gramEnd"/>
      <w:r w:rsidRPr="001D1A63">
        <w:rPr>
          <w:sz w:val="26"/>
          <w:szCs w:val="26"/>
        </w:rPr>
        <w:t xml:space="preserve"> and electric dryer.  According to the ALJ, these appliances all add to the Complainant’s monthly electric usage</w:t>
      </w:r>
      <w:r w:rsidR="002D48F5">
        <w:rPr>
          <w:sz w:val="26"/>
          <w:szCs w:val="26"/>
        </w:rPr>
        <w:t xml:space="preserve"> and t</w:t>
      </w:r>
      <w:r w:rsidRPr="001D1A63">
        <w:rPr>
          <w:sz w:val="26"/>
          <w:szCs w:val="26"/>
        </w:rPr>
        <w:t>he Complainant</w:t>
      </w:r>
      <w:r w:rsidR="00F623F4">
        <w:rPr>
          <w:sz w:val="26"/>
          <w:szCs w:val="26"/>
        </w:rPr>
        <w:t xml:space="preserve"> </w:t>
      </w:r>
      <w:r w:rsidRPr="001D1A63">
        <w:rPr>
          <w:sz w:val="26"/>
          <w:szCs w:val="26"/>
        </w:rPr>
        <w:t>has failed to provide any evidence to show that this is the actual electric usage of each of the appliances in his home on an average basis.</w:t>
      </w:r>
      <w:r w:rsidR="008015DA">
        <w:rPr>
          <w:sz w:val="26"/>
          <w:szCs w:val="26"/>
        </w:rPr>
        <w:t xml:space="preserve">  </w:t>
      </w:r>
      <w:r w:rsidR="008015DA" w:rsidRPr="00685ABF">
        <w:rPr>
          <w:i/>
          <w:iCs/>
          <w:sz w:val="26"/>
          <w:szCs w:val="26"/>
        </w:rPr>
        <w:t>Id.</w:t>
      </w:r>
      <w:r w:rsidR="008015DA">
        <w:rPr>
          <w:sz w:val="26"/>
          <w:szCs w:val="26"/>
        </w:rPr>
        <w:t xml:space="preserve"> at 6.</w:t>
      </w:r>
    </w:p>
    <w:p w14:paraId="0FC03299" w14:textId="5B61DDA3" w:rsidR="00D85E8D" w:rsidRDefault="00D85E8D" w:rsidP="00226E82">
      <w:pPr>
        <w:spacing w:line="360" w:lineRule="auto"/>
        <w:ind w:firstLine="1440"/>
        <w:rPr>
          <w:sz w:val="26"/>
          <w:szCs w:val="26"/>
        </w:rPr>
      </w:pPr>
    </w:p>
    <w:p w14:paraId="461FF631" w14:textId="4F993937" w:rsidR="00E10BA4" w:rsidRDefault="00D85E8D" w:rsidP="00685ABF">
      <w:pPr>
        <w:tabs>
          <w:tab w:val="left" w:pos="810"/>
        </w:tabs>
        <w:spacing w:line="360" w:lineRule="auto"/>
        <w:ind w:firstLine="1440"/>
        <w:rPr>
          <w:sz w:val="26"/>
          <w:szCs w:val="26"/>
        </w:rPr>
      </w:pPr>
      <w:r>
        <w:rPr>
          <w:sz w:val="26"/>
          <w:szCs w:val="26"/>
        </w:rPr>
        <w:t xml:space="preserve">Importantly, the ALJ determined that </w:t>
      </w:r>
      <w:r w:rsidR="00135616" w:rsidRPr="00811362">
        <w:rPr>
          <w:sz w:val="26"/>
          <w:szCs w:val="26"/>
        </w:rPr>
        <w:t xml:space="preserve">PPL offered testimony and evidence which contradicts the Complainant’s arguments.  According to the ALJ, based on PPL’s testimony and evidence, the Complainant’s yearly seasonal electric usage between 2011 and 2020 has been consistent with lower usage during the summer months and higher usage during the winter months.  </w:t>
      </w:r>
      <w:r w:rsidR="00135616" w:rsidRPr="00811362">
        <w:rPr>
          <w:i/>
          <w:iCs/>
          <w:sz w:val="26"/>
          <w:szCs w:val="26"/>
        </w:rPr>
        <w:t xml:space="preserve">Id. </w:t>
      </w:r>
      <w:r w:rsidR="00135616" w:rsidRPr="00811362">
        <w:rPr>
          <w:sz w:val="26"/>
          <w:szCs w:val="26"/>
        </w:rPr>
        <w:t xml:space="preserve">at 6-7, citing Tr. at 717; PPL Exh. 5.  The ALJ further noted that on April 27, 2020, PPL removed the meter at the Complainant’s home </w:t>
      </w:r>
      <w:r w:rsidR="00135616" w:rsidRPr="00811362">
        <w:rPr>
          <w:sz w:val="26"/>
          <w:szCs w:val="26"/>
        </w:rPr>
        <w:lastRenderedPageBreak/>
        <w:t>for testing and on May 1, 2020, it tested with an accuracy of 99.96%.</w:t>
      </w:r>
      <w:r w:rsidR="002537C8">
        <w:rPr>
          <w:sz w:val="26"/>
          <w:szCs w:val="26"/>
        </w:rPr>
        <w:t xml:space="preserve">  </w:t>
      </w:r>
      <w:r w:rsidR="00135616">
        <w:rPr>
          <w:sz w:val="26"/>
          <w:szCs w:val="26"/>
        </w:rPr>
        <w:t>I.D.</w:t>
      </w:r>
      <w:r w:rsidR="00135616" w:rsidRPr="00811362">
        <w:rPr>
          <w:sz w:val="26"/>
          <w:szCs w:val="26"/>
        </w:rPr>
        <w:t xml:space="preserve"> at 7, citing Tr.</w:t>
      </w:r>
      <w:r w:rsidR="00525B98">
        <w:rPr>
          <w:sz w:val="26"/>
          <w:szCs w:val="26"/>
        </w:rPr>
        <w:t> </w:t>
      </w:r>
      <w:r w:rsidR="00135616" w:rsidRPr="00811362">
        <w:rPr>
          <w:sz w:val="26"/>
          <w:szCs w:val="26"/>
        </w:rPr>
        <w:t>at 18-19; PPL Exh. 6.</w:t>
      </w:r>
      <w:r w:rsidR="003A1B55">
        <w:rPr>
          <w:sz w:val="26"/>
          <w:szCs w:val="26"/>
        </w:rPr>
        <w:t xml:space="preserve">  </w:t>
      </w:r>
      <w:r w:rsidR="00135616" w:rsidRPr="00811362">
        <w:rPr>
          <w:sz w:val="26"/>
          <w:szCs w:val="26"/>
        </w:rPr>
        <w:t xml:space="preserve">Therefore, the ALJ determined that the meter servicing the Complainant’s home was accurate within the margin of error permitted by the Commission’s </w:t>
      </w:r>
      <w:r w:rsidR="0085609B">
        <w:rPr>
          <w:sz w:val="26"/>
          <w:szCs w:val="26"/>
        </w:rPr>
        <w:t>R</w:t>
      </w:r>
      <w:r w:rsidR="00135616" w:rsidRPr="00811362">
        <w:rPr>
          <w:sz w:val="26"/>
          <w:szCs w:val="26"/>
        </w:rPr>
        <w:t>egulations.</w:t>
      </w:r>
      <w:r w:rsidR="00135616">
        <w:rPr>
          <w:sz w:val="26"/>
          <w:szCs w:val="26"/>
        </w:rPr>
        <w:t xml:space="preserve">  I.D. at 7</w:t>
      </w:r>
      <w:r w:rsidR="00135616" w:rsidRPr="00811362">
        <w:rPr>
          <w:sz w:val="26"/>
          <w:szCs w:val="26"/>
        </w:rPr>
        <w:t>, citing 52 Pa. Code § 57.20(c).</w:t>
      </w:r>
    </w:p>
    <w:p w14:paraId="000C4A91" w14:textId="77777777" w:rsidR="008B5C17" w:rsidRDefault="008B5C17" w:rsidP="007A354D">
      <w:pPr>
        <w:keepNext/>
        <w:spacing w:line="360" w:lineRule="auto"/>
        <w:ind w:left="720"/>
        <w:rPr>
          <w:sz w:val="26"/>
          <w:szCs w:val="26"/>
        </w:rPr>
      </w:pPr>
    </w:p>
    <w:p w14:paraId="55828CDD" w14:textId="28648C61" w:rsidR="008B5C17" w:rsidRDefault="008B5C17" w:rsidP="00226653">
      <w:pPr>
        <w:keepNext/>
        <w:spacing w:line="360" w:lineRule="auto"/>
        <w:ind w:firstLine="720"/>
        <w:rPr>
          <w:sz w:val="26"/>
          <w:szCs w:val="26"/>
        </w:rPr>
      </w:pPr>
      <w:r>
        <w:rPr>
          <w:sz w:val="26"/>
          <w:szCs w:val="26"/>
        </w:rPr>
        <w:tab/>
        <w:t>A</w:t>
      </w:r>
      <w:r w:rsidR="004A3C18">
        <w:rPr>
          <w:sz w:val="26"/>
          <w:szCs w:val="26"/>
        </w:rPr>
        <w:t>ccordingly, a</w:t>
      </w:r>
      <w:r>
        <w:rPr>
          <w:sz w:val="26"/>
          <w:szCs w:val="26"/>
        </w:rPr>
        <w:t xml:space="preserve">fter thoroughly addressing the testimony and evidence adduced in this proceeding, ALJ Myers determined that the Complaint </w:t>
      </w:r>
      <w:r w:rsidR="008A4499">
        <w:rPr>
          <w:sz w:val="26"/>
          <w:szCs w:val="26"/>
        </w:rPr>
        <w:t>should be</w:t>
      </w:r>
      <w:r>
        <w:rPr>
          <w:sz w:val="26"/>
          <w:szCs w:val="26"/>
        </w:rPr>
        <w:t xml:space="preserve"> de</w:t>
      </w:r>
      <w:r w:rsidR="0015070A">
        <w:rPr>
          <w:sz w:val="26"/>
          <w:szCs w:val="26"/>
        </w:rPr>
        <w:t xml:space="preserve">nied because the </w:t>
      </w:r>
      <w:r w:rsidR="00D60B3D">
        <w:rPr>
          <w:sz w:val="26"/>
          <w:szCs w:val="26"/>
        </w:rPr>
        <w:t>C</w:t>
      </w:r>
      <w:r w:rsidR="0015070A">
        <w:rPr>
          <w:sz w:val="26"/>
          <w:szCs w:val="26"/>
        </w:rPr>
        <w:t>omplainant failed to sustain his burden of establishing a prima facie case that</w:t>
      </w:r>
      <w:r w:rsidR="00351387">
        <w:rPr>
          <w:sz w:val="26"/>
          <w:szCs w:val="26"/>
        </w:rPr>
        <w:t xml:space="preserve"> he had been overbilled for electrical service.</w:t>
      </w:r>
    </w:p>
    <w:p w14:paraId="13555511" w14:textId="77777777" w:rsidR="00A97AAC" w:rsidRDefault="00A97AAC" w:rsidP="007A354D">
      <w:pPr>
        <w:keepNext/>
        <w:spacing w:line="360" w:lineRule="auto"/>
        <w:ind w:left="720"/>
        <w:rPr>
          <w:sz w:val="26"/>
          <w:szCs w:val="26"/>
        </w:rPr>
      </w:pPr>
    </w:p>
    <w:p w14:paraId="0D872133" w14:textId="6064D959" w:rsidR="00A97AAC" w:rsidRDefault="00AB13BF" w:rsidP="00525B98">
      <w:pPr>
        <w:keepNext/>
        <w:spacing w:line="360" w:lineRule="auto"/>
        <w:rPr>
          <w:sz w:val="26"/>
          <w:szCs w:val="26"/>
        </w:rPr>
      </w:pPr>
      <w:r w:rsidRPr="00685ABF">
        <w:rPr>
          <w:b/>
          <w:bCs/>
          <w:sz w:val="26"/>
          <w:szCs w:val="26"/>
        </w:rPr>
        <w:t>Exception</w:t>
      </w:r>
      <w:r w:rsidR="000A24C6" w:rsidRPr="00685ABF">
        <w:rPr>
          <w:b/>
          <w:bCs/>
          <w:sz w:val="26"/>
          <w:szCs w:val="26"/>
        </w:rPr>
        <w:t>s</w:t>
      </w:r>
      <w:r w:rsidR="00226653">
        <w:rPr>
          <w:b/>
          <w:bCs/>
          <w:sz w:val="26"/>
          <w:szCs w:val="26"/>
        </w:rPr>
        <w:t xml:space="preserve"> and </w:t>
      </w:r>
      <w:r w:rsidR="000A24C6" w:rsidRPr="00685ABF">
        <w:rPr>
          <w:b/>
          <w:bCs/>
          <w:sz w:val="26"/>
          <w:szCs w:val="26"/>
        </w:rPr>
        <w:t xml:space="preserve">Replies to </w:t>
      </w:r>
      <w:r w:rsidR="00A05D20" w:rsidRPr="00685ABF">
        <w:rPr>
          <w:b/>
          <w:bCs/>
          <w:sz w:val="26"/>
          <w:szCs w:val="26"/>
        </w:rPr>
        <w:t>Exceptions</w:t>
      </w:r>
    </w:p>
    <w:p w14:paraId="0A9DF5F9" w14:textId="77777777" w:rsidR="00A05D20" w:rsidRDefault="00A05D20" w:rsidP="007A354D">
      <w:pPr>
        <w:keepNext/>
        <w:spacing w:line="360" w:lineRule="auto"/>
        <w:ind w:left="720"/>
        <w:rPr>
          <w:sz w:val="26"/>
          <w:szCs w:val="26"/>
        </w:rPr>
      </w:pPr>
    </w:p>
    <w:p w14:paraId="37415F5E" w14:textId="643396F6" w:rsidR="00A05D20" w:rsidRDefault="00F8102C" w:rsidP="008936E3">
      <w:pPr>
        <w:keepNext/>
        <w:spacing w:line="360" w:lineRule="auto"/>
        <w:ind w:firstLine="720"/>
        <w:rPr>
          <w:sz w:val="26"/>
          <w:szCs w:val="26"/>
        </w:rPr>
      </w:pPr>
      <w:r>
        <w:rPr>
          <w:sz w:val="26"/>
          <w:szCs w:val="26"/>
        </w:rPr>
        <w:tab/>
      </w:r>
      <w:r w:rsidR="00A05D20">
        <w:rPr>
          <w:sz w:val="26"/>
          <w:szCs w:val="26"/>
        </w:rPr>
        <w:t xml:space="preserve">As </w:t>
      </w:r>
      <w:r w:rsidR="00E077AB">
        <w:rPr>
          <w:sz w:val="26"/>
          <w:szCs w:val="26"/>
        </w:rPr>
        <w:t xml:space="preserve">to </w:t>
      </w:r>
      <w:r w:rsidR="00A05D20">
        <w:rPr>
          <w:sz w:val="26"/>
          <w:szCs w:val="26"/>
        </w:rPr>
        <w:t xml:space="preserve">his Exceptions, </w:t>
      </w:r>
      <w:r w:rsidR="00E077AB">
        <w:rPr>
          <w:sz w:val="26"/>
          <w:szCs w:val="26"/>
        </w:rPr>
        <w:t>the C</w:t>
      </w:r>
      <w:r w:rsidR="00A05D20">
        <w:rPr>
          <w:sz w:val="26"/>
          <w:szCs w:val="26"/>
        </w:rPr>
        <w:t xml:space="preserve">omplainant </w:t>
      </w:r>
      <w:r w:rsidR="00163C39">
        <w:rPr>
          <w:sz w:val="26"/>
          <w:szCs w:val="26"/>
        </w:rPr>
        <w:t>submitted the calculation he had attached to his Complaint, upon which he wrote that</w:t>
      </w:r>
      <w:r w:rsidR="00D31936">
        <w:rPr>
          <w:sz w:val="26"/>
          <w:szCs w:val="26"/>
        </w:rPr>
        <w:t>,</w:t>
      </w:r>
      <w:r w:rsidR="00B52654">
        <w:rPr>
          <w:sz w:val="26"/>
          <w:szCs w:val="26"/>
        </w:rPr>
        <w:t xml:space="preserve"> </w:t>
      </w:r>
      <w:r w:rsidR="009006DE">
        <w:rPr>
          <w:sz w:val="26"/>
          <w:szCs w:val="26"/>
        </w:rPr>
        <w:t>“T</w:t>
      </w:r>
      <w:r w:rsidR="00B52654">
        <w:rPr>
          <w:sz w:val="26"/>
          <w:szCs w:val="26"/>
        </w:rPr>
        <w:t>he burden of proof ha</w:t>
      </w:r>
      <w:r w:rsidR="009006DE">
        <w:rPr>
          <w:sz w:val="26"/>
          <w:szCs w:val="26"/>
        </w:rPr>
        <w:t>s</w:t>
      </w:r>
      <w:r w:rsidR="00B52654">
        <w:rPr>
          <w:sz w:val="26"/>
          <w:szCs w:val="26"/>
        </w:rPr>
        <w:t xml:space="preserve"> been </w:t>
      </w:r>
      <w:r w:rsidR="009006DE">
        <w:rPr>
          <w:sz w:val="26"/>
          <w:szCs w:val="26"/>
        </w:rPr>
        <w:t>sho</w:t>
      </w:r>
      <w:r w:rsidR="00CE56B9">
        <w:rPr>
          <w:sz w:val="26"/>
          <w:szCs w:val="26"/>
        </w:rPr>
        <w:t xml:space="preserve">wn” </w:t>
      </w:r>
      <w:r w:rsidR="006A128D">
        <w:rPr>
          <w:sz w:val="26"/>
          <w:szCs w:val="26"/>
        </w:rPr>
        <w:t xml:space="preserve">and that </w:t>
      </w:r>
      <w:r w:rsidR="00CE56B9">
        <w:rPr>
          <w:sz w:val="26"/>
          <w:szCs w:val="26"/>
        </w:rPr>
        <w:t>“</w:t>
      </w:r>
      <w:r w:rsidR="006A128D">
        <w:rPr>
          <w:sz w:val="26"/>
          <w:szCs w:val="26"/>
        </w:rPr>
        <w:t xml:space="preserve">this calculation </w:t>
      </w:r>
      <w:r w:rsidR="00EE35BC">
        <w:rPr>
          <w:sz w:val="26"/>
          <w:szCs w:val="26"/>
        </w:rPr>
        <w:t>is the proof</w:t>
      </w:r>
      <w:r w:rsidR="00851219">
        <w:rPr>
          <w:sz w:val="26"/>
          <w:szCs w:val="26"/>
        </w:rPr>
        <w:t xml:space="preserve"> single occupant home </w:t>
      </w:r>
      <w:r>
        <w:rPr>
          <w:sz w:val="26"/>
          <w:szCs w:val="26"/>
        </w:rPr>
        <w:t>and normal electric usage.”</w:t>
      </w:r>
      <w:r w:rsidR="00EE4F1E">
        <w:rPr>
          <w:sz w:val="26"/>
          <w:szCs w:val="26"/>
        </w:rPr>
        <w:t xml:space="preserve">  </w:t>
      </w:r>
      <w:r w:rsidR="00D31936">
        <w:rPr>
          <w:sz w:val="26"/>
          <w:szCs w:val="26"/>
        </w:rPr>
        <w:t xml:space="preserve">Complaint at </w:t>
      </w:r>
      <w:r w:rsidR="008936E3">
        <w:rPr>
          <w:sz w:val="26"/>
          <w:szCs w:val="26"/>
        </w:rPr>
        <w:t xml:space="preserve">7.  </w:t>
      </w:r>
      <w:r w:rsidR="00EE4F1E">
        <w:rPr>
          <w:sz w:val="26"/>
          <w:szCs w:val="26"/>
        </w:rPr>
        <w:t>He did not otherwise address the Initial Decision.</w:t>
      </w:r>
    </w:p>
    <w:p w14:paraId="1B702505" w14:textId="77777777" w:rsidR="00EE4F1E" w:rsidRDefault="00EE4F1E" w:rsidP="007A354D">
      <w:pPr>
        <w:keepNext/>
        <w:spacing w:line="360" w:lineRule="auto"/>
        <w:ind w:left="720"/>
        <w:rPr>
          <w:sz w:val="26"/>
          <w:szCs w:val="26"/>
        </w:rPr>
      </w:pPr>
    </w:p>
    <w:p w14:paraId="615F0C6A" w14:textId="5C4AC72C" w:rsidR="00EE4F1E" w:rsidRDefault="00EE4F1E" w:rsidP="00525B98">
      <w:pPr>
        <w:keepNext/>
        <w:widowControl/>
        <w:spacing w:line="360" w:lineRule="auto"/>
        <w:ind w:firstLine="720"/>
        <w:rPr>
          <w:sz w:val="26"/>
          <w:szCs w:val="26"/>
        </w:rPr>
      </w:pPr>
      <w:r>
        <w:rPr>
          <w:sz w:val="26"/>
          <w:szCs w:val="26"/>
        </w:rPr>
        <w:tab/>
      </w:r>
      <w:r w:rsidR="00FD1F51">
        <w:rPr>
          <w:sz w:val="26"/>
          <w:szCs w:val="26"/>
        </w:rPr>
        <w:t xml:space="preserve">In its </w:t>
      </w:r>
      <w:r w:rsidR="00230166">
        <w:rPr>
          <w:sz w:val="26"/>
          <w:szCs w:val="26"/>
        </w:rPr>
        <w:t>R</w:t>
      </w:r>
      <w:r w:rsidR="00FD1F51">
        <w:rPr>
          <w:sz w:val="26"/>
          <w:szCs w:val="26"/>
        </w:rPr>
        <w:t>eplies to Exceptions, PPL addressed both the form and the substance of Mr. L</w:t>
      </w:r>
      <w:r w:rsidR="00230166">
        <w:rPr>
          <w:sz w:val="26"/>
          <w:szCs w:val="26"/>
        </w:rPr>
        <w:t>avin’s Exceptio</w:t>
      </w:r>
      <w:r w:rsidR="003C6ABD">
        <w:rPr>
          <w:sz w:val="26"/>
          <w:szCs w:val="26"/>
        </w:rPr>
        <w:t xml:space="preserve">ns, which it requested be dismissed by the Commission.  First, it pointed out that the Exceptions fail to comply with </w:t>
      </w:r>
      <w:r w:rsidR="00C320C9">
        <w:rPr>
          <w:sz w:val="26"/>
          <w:szCs w:val="26"/>
        </w:rPr>
        <w:t xml:space="preserve">the requirements set out by the Commission in its regulations at 52 Pa. Code § </w:t>
      </w:r>
      <w:r w:rsidR="002C36C3">
        <w:rPr>
          <w:sz w:val="26"/>
          <w:szCs w:val="26"/>
        </w:rPr>
        <w:t>5.533 since they</w:t>
      </w:r>
      <w:r w:rsidR="00D36DBA">
        <w:rPr>
          <w:sz w:val="26"/>
          <w:szCs w:val="26"/>
        </w:rPr>
        <w:t xml:space="preserve"> </w:t>
      </w:r>
      <w:r w:rsidR="00EF68EB">
        <w:rPr>
          <w:sz w:val="26"/>
          <w:szCs w:val="26"/>
        </w:rPr>
        <w:t xml:space="preserve">do not identify any </w:t>
      </w:r>
      <w:r w:rsidR="005054D6">
        <w:rPr>
          <w:sz w:val="26"/>
          <w:szCs w:val="26"/>
        </w:rPr>
        <w:t xml:space="preserve">specific </w:t>
      </w:r>
      <w:r w:rsidR="001D1784">
        <w:rPr>
          <w:sz w:val="26"/>
          <w:szCs w:val="26"/>
        </w:rPr>
        <w:t>error of</w:t>
      </w:r>
      <w:r w:rsidR="005054D6">
        <w:rPr>
          <w:sz w:val="26"/>
          <w:szCs w:val="26"/>
        </w:rPr>
        <w:t xml:space="preserve"> the </w:t>
      </w:r>
      <w:r w:rsidR="00953B06">
        <w:rPr>
          <w:sz w:val="26"/>
          <w:szCs w:val="26"/>
        </w:rPr>
        <w:t>ALJ,</w:t>
      </w:r>
      <w:r w:rsidR="00D30E0C">
        <w:rPr>
          <w:sz w:val="26"/>
          <w:szCs w:val="26"/>
        </w:rPr>
        <w:t xml:space="preserve"> but rather represent </w:t>
      </w:r>
      <w:r w:rsidR="00867563">
        <w:rPr>
          <w:sz w:val="26"/>
          <w:szCs w:val="26"/>
        </w:rPr>
        <w:t xml:space="preserve">a general disagreement with the conclusion that the Complaint should be dismissed for failure to sustain </w:t>
      </w:r>
      <w:r w:rsidR="00BE5E8F">
        <w:rPr>
          <w:sz w:val="26"/>
          <w:szCs w:val="26"/>
        </w:rPr>
        <w:t>the burden of proof.</w:t>
      </w:r>
      <w:r w:rsidR="00A05449">
        <w:rPr>
          <w:sz w:val="26"/>
          <w:szCs w:val="26"/>
        </w:rPr>
        <w:t xml:space="preserve">  In addition, </w:t>
      </w:r>
      <w:r w:rsidR="008936E3">
        <w:rPr>
          <w:sz w:val="26"/>
          <w:szCs w:val="26"/>
        </w:rPr>
        <w:t>the R</w:t>
      </w:r>
      <w:r w:rsidR="00953B06">
        <w:rPr>
          <w:sz w:val="26"/>
          <w:szCs w:val="26"/>
        </w:rPr>
        <w:t>espondent asserted</w:t>
      </w:r>
      <w:r w:rsidR="00D43F62">
        <w:rPr>
          <w:sz w:val="26"/>
          <w:szCs w:val="26"/>
        </w:rPr>
        <w:t xml:space="preserve"> that the Exceptions </w:t>
      </w:r>
      <w:r w:rsidR="00255147">
        <w:rPr>
          <w:sz w:val="26"/>
          <w:szCs w:val="26"/>
        </w:rPr>
        <w:t xml:space="preserve">should be </w:t>
      </w:r>
      <w:r w:rsidR="001E72EC">
        <w:rPr>
          <w:sz w:val="26"/>
          <w:szCs w:val="26"/>
        </w:rPr>
        <w:t xml:space="preserve">rejected as </w:t>
      </w:r>
      <w:r w:rsidR="008936E3">
        <w:rPr>
          <w:sz w:val="26"/>
          <w:szCs w:val="26"/>
        </w:rPr>
        <w:t>the C</w:t>
      </w:r>
      <w:r w:rsidR="001E72EC">
        <w:rPr>
          <w:sz w:val="26"/>
          <w:szCs w:val="26"/>
        </w:rPr>
        <w:t>omplainant failed to offer any competent evidence that he had been billed incorrectly</w:t>
      </w:r>
      <w:r w:rsidR="00380824">
        <w:rPr>
          <w:sz w:val="26"/>
          <w:szCs w:val="26"/>
        </w:rPr>
        <w:t xml:space="preserve">, </w:t>
      </w:r>
      <w:r w:rsidR="00380824">
        <w:rPr>
          <w:sz w:val="26"/>
          <w:szCs w:val="26"/>
        </w:rPr>
        <w:lastRenderedPageBreak/>
        <w:t>and the record supports the ALJ’s con</w:t>
      </w:r>
      <w:r w:rsidR="00B822D7">
        <w:rPr>
          <w:sz w:val="26"/>
          <w:szCs w:val="26"/>
        </w:rPr>
        <w:t xml:space="preserve">clusion that the Complaint should be denied.  </w:t>
      </w:r>
      <w:r w:rsidR="00FB7E69">
        <w:rPr>
          <w:sz w:val="26"/>
          <w:szCs w:val="26"/>
        </w:rPr>
        <w:t>R.</w:t>
      </w:r>
      <w:r w:rsidR="00525B98">
        <w:rPr>
          <w:sz w:val="26"/>
          <w:szCs w:val="26"/>
        </w:rPr>
        <w:t> </w:t>
      </w:r>
      <w:r w:rsidR="00FB7E69">
        <w:rPr>
          <w:sz w:val="26"/>
          <w:szCs w:val="26"/>
        </w:rPr>
        <w:t xml:space="preserve">Exc. at </w:t>
      </w:r>
      <w:r w:rsidR="005206BE">
        <w:rPr>
          <w:sz w:val="26"/>
          <w:szCs w:val="26"/>
        </w:rPr>
        <w:t>2-4.</w:t>
      </w:r>
    </w:p>
    <w:p w14:paraId="6A493B14" w14:textId="77777777" w:rsidR="00C06C21" w:rsidRDefault="00C06C21" w:rsidP="00525B98">
      <w:pPr>
        <w:keepNext/>
        <w:widowControl/>
        <w:spacing w:line="360" w:lineRule="auto"/>
        <w:ind w:left="720"/>
        <w:rPr>
          <w:sz w:val="26"/>
          <w:szCs w:val="26"/>
        </w:rPr>
      </w:pPr>
    </w:p>
    <w:p w14:paraId="572A7689" w14:textId="3F4C30EB" w:rsidR="00C06C21" w:rsidRDefault="00C06C21" w:rsidP="00525B98">
      <w:pPr>
        <w:keepNext/>
        <w:widowControl/>
        <w:spacing w:line="360" w:lineRule="auto"/>
        <w:rPr>
          <w:sz w:val="26"/>
          <w:szCs w:val="26"/>
        </w:rPr>
      </w:pPr>
      <w:r w:rsidRPr="00685ABF">
        <w:rPr>
          <w:b/>
          <w:bCs/>
          <w:sz w:val="26"/>
          <w:szCs w:val="26"/>
        </w:rPr>
        <w:t>Disposition</w:t>
      </w:r>
    </w:p>
    <w:p w14:paraId="75EBCF59" w14:textId="77777777" w:rsidR="00C06C21" w:rsidRDefault="00C06C21" w:rsidP="007A354D">
      <w:pPr>
        <w:keepNext/>
        <w:spacing w:line="360" w:lineRule="auto"/>
        <w:ind w:left="720"/>
        <w:rPr>
          <w:sz w:val="26"/>
          <w:szCs w:val="26"/>
        </w:rPr>
      </w:pPr>
    </w:p>
    <w:p w14:paraId="7B2461E0" w14:textId="68FD7452" w:rsidR="00C06C21" w:rsidRDefault="00C06C21" w:rsidP="0059594D">
      <w:pPr>
        <w:keepNext/>
        <w:spacing w:line="360" w:lineRule="auto"/>
        <w:ind w:firstLine="720"/>
        <w:rPr>
          <w:sz w:val="26"/>
          <w:szCs w:val="26"/>
        </w:rPr>
      </w:pPr>
      <w:r>
        <w:rPr>
          <w:sz w:val="26"/>
          <w:szCs w:val="26"/>
        </w:rPr>
        <w:tab/>
      </w:r>
      <w:r w:rsidR="00466542">
        <w:rPr>
          <w:sz w:val="26"/>
          <w:szCs w:val="26"/>
        </w:rPr>
        <w:t xml:space="preserve">As a preliminary matter, we will not disregard the Exceptions for </w:t>
      </w:r>
      <w:r w:rsidR="0052511F">
        <w:rPr>
          <w:sz w:val="26"/>
          <w:szCs w:val="26"/>
        </w:rPr>
        <w:t xml:space="preserve">failure to comply with our </w:t>
      </w:r>
      <w:r w:rsidR="00961CEA">
        <w:rPr>
          <w:sz w:val="26"/>
          <w:szCs w:val="26"/>
        </w:rPr>
        <w:t>R</w:t>
      </w:r>
      <w:r w:rsidR="0052511F">
        <w:rPr>
          <w:sz w:val="26"/>
          <w:szCs w:val="26"/>
        </w:rPr>
        <w:t xml:space="preserve">egulations as </w:t>
      </w:r>
      <w:proofErr w:type="gramStart"/>
      <w:r w:rsidR="0052511F">
        <w:rPr>
          <w:sz w:val="26"/>
          <w:szCs w:val="26"/>
        </w:rPr>
        <w:t>it is clear that Mr. La</w:t>
      </w:r>
      <w:r w:rsidR="00312AED">
        <w:rPr>
          <w:sz w:val="26"/>
          <w:szCs w:val="26"/>
        </w:rPr>
        <w:t>vin</w:t>
      </w:r>
      <w:proofErr w:type="gramEnd"/>
      <w:r w:rsidR="00312AED">
        <w:rPr>
          <w:sz w:val="26"/>
          <w:szCs w:val="26"/>
        </w:rPr>
        <w:t xml:space="preserve"> is objecting to the ALJ’s determination that the calculation he provided is </w:t>
      </w:r>
      <w:r w:rsidR="004F5FB7">
        <w:rPr>
          <w:sz w:val="26"/>
          <w:szCs w:val="26"/>
        </w:rPr>
        <w:t>in</w:t>
      </w:r>
      <w:r w:rsidR="00312AED">
        <w:rPr>
          <w:sz w:val="26"/>
          <w:szCs w:val="26"/>
        </w:rPr>
        <w:t>sufficient to satisfy his burden of proof</w:t>
      </w:r>
      <w:r w:rsidR="00F6339D">
        <w:rPr>
          <w:sz w:val="26"/>
          <w:szCs w:val="26"/>
        </w:rPr>
        <w:t xml:space="preserve">.  </w:t>
      </w:r>
    </w:p>
    <w:p w14:paraId="664B8C3D" w14:textId="77777777" w:rsidR="00157A52" w:rsidRDefault="00157A52" w:rsidP="007A354D">
      <w:pPr>
        <w:keepNext/>
        <w:spacing w:line="360" w:lineRule="auto"/>
        <w:ind w:left="720"/>
        <w:rPr>
          <w:sz w:val="26"/>
          <w:szCs w:val="26"/>
        </w:rPr>
      </w:pPr>
    </w:p>
    <w:p w14:paraId="414A84B7" w14:textId="1B563F54" w:rsidR="00524CE5" w:rsidRDefault="00157A52" w:rsidP="007E7ACD">
      <w:pPr>
        <w:keepNext/>
        <w:widowControl/>
        <w:spacing w:line="360" w:lineRule="auto"/>
        <w:ind w:firstLine="720"/>
        <w:rPr>
          <w:sz w:val="26"/>
          <w:szCs w:val="26"/>
        </w:rPr>
      </w:pPr>
      <w:r>
        <w:rPr>
          <w:sz w:val="26"/>
          <w:szCs w:val="26"/>
        </w:rPr>
        <w:tab/>
        <w:t xml:space="preserve">Based on our review of the testimony and exhibits </w:t>
      </w:r>
      <w:r w:rsidR="00504191">
        <w:rPr>
          <w:sz w:val="26"/>
          <w:szCs w:val="26"/>
        </w:rPr>
        <w:t xml:space="preserve">presented in this proceeding, </w:t>
      </w:r>
      <w:proofErr w:type="gramStart"/>
      <w:r w:rsidR="00504191">
        <w:rPr>
          <w:sz w:val="26"/>
          <w:szCs w:val="26"/>
        </w:rPr>
        <w:t>it is clear that ALJ Myers</w:t>
      </w:r>
      <w:proofErr w:type="gramEnd"/>
      <w:r w:rsidR="00504191">
        <w:rPr>
          <w:sz w:val="26"/>
          <w:szCs w:val="26"/>
        </w:rPr>
        <w:t xml:space="preserve"> correctly determined that</w:t>
      </w:r>
      <w:r w:rsidR="00E4736D">
        <w:rPr>
          <w:sz w:val="26"/>
          <w:szCs w:val="26"/>
        </w:rPr>
        <w:t xml:space="preserve"> </w:t>
      </w:r>
      <w:r w:rsidR="00282F3F">
        <w:rPr>
          <w:sz w:val="26"/>
          <w:szCs w:val="26"/>
        </w:rPr>
        <w:t>the C</w:t>
      </w:r>
      <w:r w:rsidR="00E4736D">
        <w:rPr>
          <w:sz w:val="26"/>
          <w:szCs w:val="26"/>
        </w:rPr>
        <w:t>omplainant failed to establish a prima facie case that he had been overbilled</w:t>
      </w:r>
      <w:r w:rsidR="005332CA">
        <w:rPr>
          <w:sz w:val="26"/>
          <w:szCs w:val="26"/>
        </w:rPr>
        <w:t xml:space="preserve"> and therefore the Complaint should be denied.  He thoroughly examined the calculation that Mr. Lavin presented (both attached to his Complaint, </w:t>
      </w:r>
      <w:r w:rsidR="007E4A59">
        <w:rPr>
          <w:sz w:val="26"/>
          <w:szCs w:val="26"/>
        </w:rPr>
        <w:t xml:space="preserve">addressed at the hearing and which was presented as the Exceptions) and determined it should be afforded </w:t>
      </w:r>
      <w:r w:rsidR="00BA3764">
        <w:rPr>
          <w:sz w:val="26"/>
          <w:szCs w:val="26"/>
        </w:rPr>
        <w:t>no probative weight.</w:t>
      </w:r>
      <w:r w:rsidR="00634EF3">
        <w:rPr>
          <w:sz w:val="26"/>
          <w:szCs w:val="26"/>
        </w:rPr>
        <w:t xml:space="preserve"> </w:t>
      </w:r>
      <w:r w:rsidR="00BA3764">
        <w:rPr>
          <w:sz w:val="26"/>
          <w:szCs w:val="26"/>
        </w:rPr>
        <w:t xml:space="preserve"> As ALJ Myers </w:t>
      </w:r>
      <w:r w:rsidR="004672C5">
        <w:rPr>
          <w:sz w:val="26"/>
          <w:szCs w:val="26"/>
        </w:rPr>
        <w:t>explained</w:t>
      </w:r>
      <w:r w:rsidR="0069540F">
        <w:rPr>
          <w:sz w:val="26"/>
          <w:szCs w:val="26"/>
        </w:rPr>
        <w:t xml:space="preserve"> </w:t>
      </w:r>
      <w:r w:rsidR="004636E1">
        <w:rPr>
          <w:sz w:val="26"/>
          <w:szCs w:val="26"/>
        </w:rPr>
        <w:t xml:space="preserve">Mr. Lavin “failed to provide any evidence to support the </w:t>
      </w:r>
      <w:proofErr w:type="gramStart"/>
      <w:r w:rsidR="004636E1">
        <w:rPr>
          <w:sz w:val="26"/>
          <w:szCs w:val="26"/>
        </w:rPr>
        <w:t>manner</w:t>
      </w:r>
      <w:r w:rsidR="004672C5">
        <w:rPr>
          <w:sz w:val="26"/>
          <w:szCs w:val="26"/>
        </w:rPr>
        <w:t xml:space="preserve"> in which</w:t>
      </w:r>
      <w:proofErr w:type="gramEnd"/>
      <w:r w:rsidR="004672C5">
        <w:rPr>
          <w:sz w:val="26"/>
          <w:szCs w:val="26"/>
        </w:rPr>
        <w:t xml:space="preserve"> these calculations were made or the accuracy of their results” and</w:t>
      </w:r>
      <w:r w:rsidR="000002AD">
        <w:rPr>
          <w:sz w:val="26"/>
          <w:szCs w:val="26"/>
        </w:rPr>
        <w:t xml:space="preserve"> further</w:t>
      </w:r>
      <w:r w:rsidR="004672C5">
        <w:rPr>
          <w:sz w:val="26"/>
          <w:szCs w:val="26"/>
        </w:rPr>
        <w:t xml:space="preserve"> noted</w:t>
      </w:r>
      <w:r w:rsidR="00634EF3">
        <w:rPr>
          <w:sz w:val="26"/>
          <w:szCs w:val="26"/>
        </w:rPr>
        <w:t xml:space="preserve"> </w:t>
      </w:r>
      <w:r w:rsidR="0004447C">
        <w:rPr>
          <w:sz w:val="26"/>
          <w:szCs w:val="26"/>
        </w:rPr>
        <w:t xml:space="preserve">that </w:t>
      </w:r>
      <w:r w:rsidR="006D571D">
        <w:rPr>
          <w:sz w:val="26"/>
          <w:szCs w:val="26"/>
        </w:rPr>
        <w:t>the C</w:t>
      </w:r>
      <w:r w:rsidR="003A0EFA">
        <w:rPr>
          <w:sz w:val="26"/>
          <w:szCs w:val="26"/>
        </w:rPr>
        <w:t xml:space="preserve">omplainant </w:t>
      </w:r>
      <w:r w:rsidR="00DA33DE">
        <w:rPr>
          <w:sz w:val="26"/>
          <w:szCs w:val="26"/>
        </w:rPr>
        <w:t>“</w:t>
      </w:r>
      <w:r w:rsidR="003A0EFA">
        <w:rPr>
          <w:sz w:val="26"/>
          <w:szCs w:val="26"/>
        </w:rPr>
        <w:t xml:space="preserve">failed to provide any evidence </w:t>
      </w:r>
      <w:r w:rsidR="00DA33DE">
        <w:rPr>
          <w:sz w:val="26"/>
          <w:szCs w:val="26"/>
        </w:rPr>
        <w:t xml:space="preserve">to show </w:t>
      </w:r>
      <w:r w:rsidR="003A0EFA">
        <w:rPr>
          <w:sz w:val="26"/>
          <w:szCs w:val="26"/>
        </w:rPr>
        <w:t>that this is the actual electrical usage of each of the appliances in his home on an average basis</w:t>
      </w:r>
      <w:r w:rsidR="00195664">
        <w:rPr>
          <w:sz w:val="26"/>
          <w:szCs w:val="26"/>
        </w:rPr>
        <w:t>.</w:t>
      </w:r>
      <w:r w:rsidR="005D3DAD">
        <w:rPr>
          <w:sz w:val="26"/>
          <w:szCs w:val="26"/>
        </w:rPr>
        <w:t>”</w:t>
      </w:r>
      <w:r w:rsidR="00195664">
        <w:rPr>
          <w:sz w:val="26"/>
          <w:szCs w:val="26"/>
        </w:rPr>
        <w:t xml:space="preserve">  </w:t>
      </w:r>
      <w:r w:rsidR="0030774B">
        <w:rPr>
          <w:sz w:val="26"/>
          <w:szCs w:val="26"/>
        </w:rPr>
        <w:t xml:space="preserve">I.D. at 5-6.  </w:t>
      </w:r>
      <w:r w:rsidR="001A56B3">
        <w:rPr>
          <w:sz w:val="26"/>
          <w:szCs w:val="26"/>
        </w:rPr>
        <w:t xml:space="preserve">As noted, </w:t>
      </w:r>
      <w:r w:rsidR="001F03CE">
        <w:rPr>
          <w:sz w:val="26"/>
          <w:szCs w:val="26"/>
        </w:rPr>
        <w:t xml:space="preserve">ALJ Myers </w:t>
      </w:r>
      <w:r w:rsidR="0004447C" w:rsidRPr="0004447C">
        <w:rPr>
          <w:sz w:val="26"/>
          <w:szCs w:val="26"/>
        </w:rPr>
        <w:t xml:space="preserve">explained in the Initial Decision </w:t>
      </w:r>
      <w:r w:rsidR="00195664">
        <w:rPr>
          <w:sz w:val="26"/>
          <w:szCs w:val="26"/>
        </w:rPr>
        <w:t xml:space="preserve"> that </w:t>
      </w:r>
      <w:r w:rsidR="006D571D">
        <w:rPr>
          <w:sz w:val="26"/>
          <w:szCs w:val="26"/>
        </w:rPr>
        <w:t>the C</w:t>
      </w:r>
      <w:r w:rsidR="0004447C" w:rsidRPr="0004447C">
        <w:rPr>
          <w:sz w:val="26"/>
          <w:szCs w:val="26"/>
        </w:rPr>
        <w:t xml:space="preserve">omplainant testified that these </w:t>
      </w:r>
      <w:r w:rsidR="0004447C" w:rsidRPr="0004447C">
        <w:rPr>
          <w:sz w:val="26"/>
          <w:szCs w:val="26"/>
        </w:rPr>
        <w:lastRenderedPageBreak/>
        <w:t>calculations are based on information from “JEA,” a community-owned utility serving Jacksonville and surrounding communities.</w:t>
      </w:r>
      <w:r w:rsidR="00B85B14">
        <w:rPr>
          <w:rStyle w:val="FootnoteReference"/>
          <w:sz w:val="26"/>
          <w:szCs w:val="26"/>
        </w:rPr>
        <w:footnoteReference w:id="5"/>
      </w:r>
      <w:r w:rsidR="00897620">
        <w:rPr>
          <w:sz w:val="26"/>
          <w:szCs w:val="26"/>
        </w:rPr>
        <w:t xml:space="preserve">  I.D. at 5. </w:t>
      </w:r>
    </w:p>
    <w:p w14:paraId="34863303" w14:textId="77777777" w:rsidR="00F910C3" w:rsidRDefault="00F910C3" w:rsidP="007A354D">
      <w:pPr>
        <w:keepNext/>
        <w:spacing w:line="360" w:lineRule="auto"/>
        <w:ind w:left="720"/>
        <w:rPr>
          <w:sz w:val="26"/>
          <w:szCs w:val="26"/>
        </w:rPr>
      </w:pPr>
    </w:p>
    <w:p w14:paraId="47EE2453" w14:textId="59CE6A9B" w:rsidR="008677CF" w:rsidRDefault="00F910C3" w:rsidP="00525B98">
      <w:pPr>
        <w:keepNext/>
        <w:widowControl/>
        <w:spacing w:line="360" w:lineRule="auto"/>
        <w:ind w:firstLine="720"/>
        <w:rPr>
          <w:sz w:val="26"/>
          <w:szCs w:val="26"/>
        </w:rPr>
      </w:pPr>
      <w:r>
        <w:rPr>
          <w:sz w:val="26"/>
          <w:szCs w:val="26"/>
        </w:rPr>
        <w:tab/>
      </w:r>
      <w:r w:rsidR="007935AD">
        <w:rPr>
          <w:sz w:val="26"/>
          <w:szCs w:val="26"/>
        </w:rPr>
        <w:t xml:space="preserve">As </w:t>
      </w:r>
      <w:r w:rsidR="0059594D">
        <w:rPr>
          <w:sz w:val="26"/>
          <w:szCs w:val="26"/>
        </w:rPr>
        <w:t xml:space="preserve">ALJ Myers </w:t>
      </w:r>
      <w:r w:rsidR="007935AD">
        <w:rPr>
          <w:sz w:val="26"/>
          <w:szCs w:val="26"/>
        </w:rPr>
        <w:t xml:space="preserve">correctly found in </w:t>
      </w:r>
      <w:r w:rsidR="0059594D">
        <w:rPr>
          <w:sz w:val="26"/>
          <w:szCs w:val="26"/>
        </w:rPr>
        <w:t>his</w:t>
      </w:r>
      <w:r w:rsidR="007935AD">
        <w:rPr>
          <w:sz w:val="26"/>
          <w:szCs w:val="26"/>
        </w:rPr>
        <w:t xml:space="preserve"> Initial Decision, </w:t>
      </w:r>
      <w:r w:rsidR="0059594D">
        <w:rPr>
          <w:sz w:val="26"/>
          <w:szCs w:val="26"/>
        </w:rPr>
        <w:t>the C</w:t>
      </w:r>
      <w:r w:rsidR="0042105B">
        <w:rPr>
          <w:sz w:val="26"/>
          <w:szCs w:val="26"/>
        </w:rPr>
        <w:t xml:space="preserve">omplainant’s allegation that he is being billed for more </w:t>
      </w:r>
      <w:r w:rsidR="0086399F">
        <w:rPr>
          <w:sz w:val="26"/>
          <w:szCs w:val="26"/>
        </w:rPr>
        <w:t>electricity</w:t>
      </w:r>
      <w:r w:rsidR="0042105B">
        <w:rPr>
          <w:sz w:val="26"/>
          <w:szCs w:val="26"/>
        </w:rPr>
        <w:t xml:space="preserve"> than his home uses and that</w:t>
      </w:r>
      <w:r w:rsidR="001909A7">
        <w:rPr>
          <w:sz w:val="26"/>
          <w:szCs w:val="26"/>
        </w:rPr>
        <w:t xml:space="preserve"> therefore </w:t>
      </w:r>
      <w:r w:rsidR="0042105B">
        <w:rPr>
          <w:sz w:val="26"/>
          <w:szCs w:val="26"/>
        </w:rPr>
        <w:t>he has been overbilled</w:t>
      </w:r>
      <w:r w:rsidR="00DE728B">
        <w:rPr>
          <w:sz w:val="26"/>
          <w:szCs w:val="26"/>
        </w:rPr>
        <w:t xml:space="preserve"> is not supported by </w:t>
      </w:r>
      <w:r w:rsidR="00DC4497">
        <w:rPr>
          <w:sz w:val="26"/>
          <w:szCs w:val="26"/>
        </w:rPr>
        <w:t xml:space="preserve">any </w:t>
      </w:r>
      <w:r w:rsidR="00DE728B">
        <w:rPr>
          <w:sz w:val="26"/>
          <w:szCs w:val="26"/>
        </w:rPr>
        <w:t>competent evidenc</w:t>
      </w:r>
      <w:r w:rsidR="00C4182F">
        <w:rPr>
          <w:sz w:val="26"/>
          <w:szCs w:val="26"/>
        </w:rPr>
        <w:t>e, either direct or circumstantial</w:t>
      </w:r>
      <w:r w:rsidR="001571F2">
        <w:rPr>
          <w:sz w:val="26"/>
          <w:szCs w:val="26"/>
        </w:rPr>
        <w:t>, much less that quantum necessary to support a Commission finding</w:t>
      </w:r>
      <w:r w:rsidR="00C4182F">
        <w:rPr>
          <w:sz w:val="26"/>
          <w:szCs w:val="26"/>
        </w:rPr>
        <w:t>.</w:t>
      </w:r>
      <w:r w:rsidR="005E2313">
        <w:rPr>
          <w:sz w:val="26"/>
          <w:szCs w:val="26"/>
        </w:rPr>
        <w:t xml:space="preserve"> </w:t>
      </w:r>
      <w:r w:rsidR="00AF5A0D">
        <w:rPr>
          <w:sz w:val="26"/>
          <w:szCs w:val="26"/>
        </w:rPr>
        <w:t xml:space="preserve"> </w:t>
      </w:r>
      <w:r w:rsidR="00F159B3">
        <w:rPr>
          <w:sz w:val="26"/>
          <w:szCs w:val="26"/>
        </w:rPr>
        <w:t xml:space="preserve">Further, even if Mr. Lavin’s testimony </w:t>
      </w:r>
      <w:r w:rsidR="008677CF">
        <w:rPr>
          <w:sz w:val="26"/>
          <w:szCs w:val="26"/>
        </w:rPr>
        <w:t xml:space="preserve">had been </w:t>
      </w:r>
      <w:r w:rsidR="00F159B3">
        <w:rPr>
          <w:sz w:val="26"/>
          <w:szCs w:val="26"/>
        </w:rPr>
        <w:t xml:space="preserve">sufficient </w:t>
      </w:r>
      <w:r w:rsidR="00C83FCF">
        <w:rPr>
          <w:sz w:val="26"/>
          <w:szCs w:val="26"/>
        </w:rPr>
        <w:t xml:space="preserve">to </w:t>
      </w:r>
    </w:p>
    <w:p w14:paraId="4BE5B712" w14:textId="3A926733" w:rsidR="00F8102C" w:rsidRDefault="005E2313" w:rsidP="00685ABF">
      <w:pPr>
        <w:keepNext/>
        <w:spacing w:line="360" w:lineRule="auto"/>
        <w:rPr>
          <w:sz w:val="26"/>
          <w:szCs w:val="26"/>
        </w:rPr>
      </w:pPr>
      <w:r>
        <w:rPr>
          <w:sz w:val="26"/>
          <w:szCs w:val="26"/>
        </w:rPr>
        <w:t xml:space="preserve">establish a prima facie case, PPL </w:t>
      </w:r>
      <w:r w:rsidR="00E22281">
        <w:rPr>
          <w:sz w:val="26"/>
          <w:szCs w:val="26"/>
        </w:rPr>
        <w:t xml:space="preserve">demonstrated that </w:t>
      </w:r>
      <w:r w:rsidR="00C273D1">
        <w:rPr>
          <w:sz w:val="26"/>
          <w:szCs w:val="26"/>
        </w:rPr>
        <w:t>the meter was tested in his home and found to be 99.9% accurate</w:t>
      </w:r>
      <w:r w:rsidR="004836C1">
        <w:rPr>
          <w:sz w:val="26"/>
          <w:szCs w:val="26"/>
        </w:rPr>
        <w:t xml:space="preserve"> </w:t>
      </w:r>
      <w:r w:rsidR="00DC3F7F">
        <w:rPr>
          <w:sz w:val="26"/>
          <w:szCs w:val="26"/>
        </w:rPr>
        <w:t>(</w:t>
      </w:r>
      <w:r w:rsidR="004836C1">
        <w:rPr>
          <w:sz w:val="26"/>
          <w:szCs w:val="26"/>
        </w:rPr>
        <w:t>PPL Exh. 6)</w:t>
      </w:r>
      <w:r w:rsidR="00C273D1">
        <w:rPr>
          <w:sz w:val="26"/>
          <w:szCs w:val="26"/>
        </w:rPr>
        <w:t>, and that his usage history</w:t>
      </w:r>
      <w:r w:rsidR="00B5256E">
        <w:rPr>
          <w:sz w:val="26"/>
          <w:szCs w:val="26"/>
        </w:rPr>
        <w:t xml:space="preserve"> shows consistent yearly seasonal usage</w:t>
      </w:r>
      <w:r w:rsidR="00A81F78">
        <w:rPr>
          <w:sz w:val="26"/>
          <w:szCs w:val="26"/>
        </w:rPr>
        <w:t xml:space="preserve"> since 2011 (PPL Exh.</w:t>
      </w:r>
      <w:r w:rsidR="004836C1">
        <w:rPr>
          <w:sz w:val="26"/>
          <w:szCs w:val="26"/>
        </w:rPr>
        <w:t xml:space="preserve"> 5)</w:t>
      </w:r>
      <w:r w:rsidR="00B5256E">
        <w:rPr>
          <w:sz w:val="26"/>
          <w:szCs w:val="26"/>
        </w:rPr>
        <w:t xml:space="preserve">.  </w:t>
      </w:r>
    </w:p>
    <w:p w14:paraId="4F978630" w14:textId="77777777" w:rsidR="00E53D1C" w:rsidRDefault="00E53D1C" w:rsidP="00685ABF">
      <w:pPr>
        <w:spacing w:line="360" w:lineRule="auto"/>
        <w:ind w:left="720"/>
        <w:rPr>
          <w:sz w:val="26"/>
          <w:szCs w:val="26"/>
        </w:rPr>
      </w:pPr>
    </w:p>
    <w:p w14:paraId="0463DF1B" w14:textId="0BAFA13A" w:rsidR="005B572C" w:rsidRDefault="00E53D1C" w:rsidP="00685ABF">
      <w:pPr>
        <w:spacing w:line="360" w:lineRule="auto"/>
        <w:ind w:firstLine="720"/>
        <w:rPr>
          <w:sz w:val="26"/>
          <w:szCs w:val="26"/>
        </w:rPr>
      </w:pPr>
      <w:r>
        <w:rPr>
          <w:sz w:val="26"/>
          <w:szCs w:val="26"/>
        </w:rPr>
        <w:tab/>
      </w:r>
      <w:r w:rsidR="008C224B">
        <w:rPr>
          <w:sz w:val="26"/>
          <w:szCs w:val="26"/>
        </w:rPr>
        <w:t xml:space="preserve">Accordingly, </w:t>
      </w:r>
      <w:r w:rsidR="008D2A04">
        <w:rPr>
          <w:sz w:val="26"/>
          <w:szCs w:val="26"/>
        </w:rPr>
        <w:t>on consideration of the record, we conclude that</w:t>
      </w:r>
      <w:r w:rsidR="00775654">
        <w:rPr>
          <w:sz w:val="26"/>
          <w:szCs w:val="26"/>
        </w:rPr>
        <w:t xml:space="preserve"> the</w:t>
      </w:r>
      <w:r w:rsidR="008D2A04">
        <w:rPr>
          <w:sz w:val="26"/>
          <w:szCs w:val="26"/>
        </w:rPr>
        <w:t xml:space="preserve"> </w:t>
      </w:r>
      <w:r w:rsidR="00775654">
        <w:rPr>
          <w:sz w:val="26"/>
          <w:szCs w:val="26"/>
        </w:rPr>
        <w:t>C</w:t>
      </w:r>
      <w:r w:rsidR="00677537">
        <w:rPr>
          <w:sz w:val="26"/>
          <w:szCs w:val="26"/>
        </w:rPr>
        <w:t xml:space="preserve">omplainant failed to establish that </w:t>
      </w:r>
      <w:r w:rsidR="00FC1954">
        <w:rPr>
          <w:sz w:val="26"/>
          <w:szCs w:val="26"/>
        </w:rPr>
        <w:t xml:space="preserve">he has been overbilled for his electric service, or that PPL </w:t>
      </w:r>
      <w:r w:rsidR="00823E9B">
        <w:rPr>
          <w:sz w:val="26"/>
          <w:szCs w:val="26"/>
        </w:rPr>
        <w:t xml:space="preserve">has violated the Code, </w:t>
      </w:r>
      <w:r w:rsidR="0024335B">
        <w:rPr>
          <w:sz w:val="26"/>
          <w:szCs w:val="26"/>
        </w:rPr>
        <w:t xml:space="preserve">or a Commission </w:t>
      </w:r>
      <w:r w:rsidR="00F268A2">
        <w:rPr>
          <w:sz w:val="26"/>
          <w:szCs w:val="26"/>
        </w:rPr>
        <w:t>R</w:t>
      </w:r>
      <w:r w:rsidR="0024335B">
        <w:rPr>
          <w:sz w:val="26"/>
          <w:szCs w:val="26"/>
        </w:rPr>
        <w:t xml:space="preserve">egulation or </w:t>
      </w:r>
      <w:r w:rsidR="00F268A2">
        <w:rPr>
          <w:sz w:val="26"/>
          <w:szCs w:val="26"/>
        </w:rPr>
        <w:t>O</w:t>
      </w:r>
      <w:r w:rsidR="0024335B">
        <w:rPr>
          <w:sz w:val="26"/>
          <w:szCs w:val="26"/>
        </w:rPr>
        <w:t>rder</w:t>
      </w:r>
      <w:r w:rsidR="00B93C5A">
        <w:rPr>
          <w:sz w:val="26"/>
          <w:szCs w:val="26"/>
        </w:rPr>
        <w:t xml:space="preserve"> or a Commission-approved tariff</w:t>
      </w:r>
      <w:r w:rsidR="00326BF6">
        <w:rPr>
          <w:sz w:val="26"/>
          <w:szCs w:val="26"/>
        </w:rPr>
        <w:t xml:space="preserve">, and therefore </w:t>
      </w:r>
      <w:r w:rsidR="004864C1">
        <w:rPr>
          <w:sz w:val="26"/>
          <w:szCs w:val="26"/>
        </w:rPr>
        <w:t xml:space="preserve">we </w:t>
      </w:r>
      <w:r w:rsidR="00EA28D7">
        <w:rPr>
          <w:sz w:val="26"/>
          <w:szCs w:val="26"/>
        </w:rPr>
        <w:t xml:space="preserve">adopt </w:t>
      </w:r>
      <w:r w:rsidR="00326BF6">
        <w:rPr>
          <w:sz w:val="26"/>
          <w:szCs w:val="26"/>
        </w:rPr>
        <w:t>the ALJ’s Initial</w:t>
      </w:r>
      <w:r w:rsidR="000B320A">
        <w:rPr>
          <w:sz w:val="26"/>
          <w:szCs w:val="26"/>
        </w:rPr>
        <w:t xml:space="preserve"> D</w:t>
      </w:r>
      <w:r w:rsidR="00326BF6">
        <w:rPr>
          <w:sz w:val="26"/>
          <w:szCs w:val="26"/>
        </w:rPr>
        <w:t>ecision</w:t>
      </w:r>
      <w:r w:rsidR="009826E3">
        <w:rPr>
          <w:sz w:val="26"/>
          <w:szCs w:val="26"/>
        </w:rPr>
        <w:t xml:space="preserve">, </w:t>
      </w:r>
      <w:r w:rsidR="00326BF6">
        <w:rPr>
          <w:sz w:val="26"/>
          <w:szCs w:val="26"/>
        </w:rPr>
        <w:t>consistent with this O</w:t>
      </w:r>
      <w:r w:rsidR="00B93C5A">
        <w:rPr>
          <w:sz w:val="26"/>
          <w:szCs w:val="26"/>
        </w:rPr>
        <w:t>pinion and Order.</w:t>
      </w:r>
    </w:p>
    <w:p w14:paraId="033C492A" w14:textId="77777777" w:rsidR="00775654" w:rsidRDefault="00775654" w:rsidP="00685ABF">
      <w:pPr>
        <w:spacing w:line="360" w:lineRule="auto"/>
        <w:ind w:firstLine="720"/>
        <w:rPr>
          <w:color w:val="000000" w:themeColor="text1"/>
          <w:sz w:val="26"/>
          <w:szCs w:val="26"/>
        </w:rPr>
      </w:pPr>
    </w:p>
    <w:p w14:paraId="728B8F0D" w14:textId="77777777" w:rsidR="00B4513A" w:rsidRDefault="00B4513A" w:rsidP="00685ABF">
      <w:pPr>
        <w:widowControl/>
        <w:spacing w:line="360" w:lineRule="auto"/>
        <w:jc w:val="center"/>
        <w:rPr>
          <w:bCs/>
          <w:color w:val="000000" w:themeColor="text1"/>
          <w:sz w:val="26"/>
          <w:szCs w:val="26"/>
        </w:rPr>
      </w:pPr>
      <w:r w:rsidRPr="008836BC">
        <w:rPr>
          <w:b/>
          <w:color w:val="000000" w:themeColor="text1"/>
          <w:sz w:val="26"/>
          <w:szCs w:val="26"/>
        </w:rPr>
        <w:t>Conclusion</w:t>
      </w:r>
    </w:p>
    <w:p w14:paraId="462E884C" w14:textId="77777777" w:rsidR="004864C1" w:rsidRDefault="004864C1" w:rsidP="00685ABF">
      <w:pPr>
        <w:widowControl/>
        <w:spacing w:line="360" w:lineRule="auto"/>
        <w:jc w:val="center"/>
        <w:rPr>
          <w:bCs/>
          <w:color w:val="000000" w:themeColor="text1"/>
          <w:sz w:val="26"/>
          <w:szCs w:val="26"/>
        </w:rPr>
      </w:pPr>
    </w:p>
    <w:p w14:paraId="4CF0720A" w14:textId="7A53264E" w:rsidR="00B4513A" w:rsidRDefault="00332060" w:rsidP="007E7ACD">
      <w:pPr>
        <w:widowControl/>
        <w:spacing w:line="360" w:lineRule="auto"/>
        <w:rPr>
          <w:b/>
          <w:color w:val="000000" w:themeColor="text1"/>
          <w:sz w:val="26"/>
          <w:szCs w:val="26"/>
        </w:rPr>
      </w:pPr>
      <w:r>
        <w:rPr>
          <w:bCs/>
          <w:color w:val="000000" w:themeColor="text1"/>
          <w:sz w:val="26"/>
          <w:szCs w:val="26"/>
        </w:rPr>
        <w:tab/>
      </w:r>
      <w:r>
        <w:rPr>
          <w:bCs/>
          <w:color w:val="000000" w:themeColor="text1"/>
          <w:sz w:val="26"/>
          <w:szCs w:val="26"/>
        </w:rPr>
        <w:tab/>
      </w:r>
      <w:r w:rsidR="00001F04">
        <w:rPr>
          <w:bCs/>
          <w:color w:val="000000" w:themeColor="text1"/>
          <w:sz w:val="26"/>
          <w:szCs w:val="26"/>
        </w:rPr>
        <w:t xml:space="preserve">Based on our review of the </w:t>
      </w:r>
      <w:r w:rsidR="00F1010A">
        <w:rPr>
          <w:bCs/>
          <w:color w:val="000000" w:themeColor="text1"/>
          <w:sz w:val="26"/>
          <w:szCs w:val="26"/>
        </w:rPr>
        <w:t xml:space="preserve">Complaint, </w:t>
      </w:r>
      <w:r w:rsidR="00001F04">
        <w:rPr>
          <w:bCs/>
          <w:color w:val="000000" w:themeColor="text1"/>
          <w:sz w:val="26"/>
          <w:szCs w:val="26"/>
        </w:rPr>
        <w:t xml:space="preserve">Exceptions, Replies to Exceptions, the Initial </w:t>
      </w:r>
      <w:proofErr w:type="gramStart"/>
      <w:r w:rsidR="00001F04">
        <w:rPr>
          <w:bCs/>
          <w:color w:val="000000" w:themeColor="text1"/>
          <w:sz w:val="26"/>
          <w:szCs w:val="26"/>
        </w:rPr>
        <w:t>Decision</w:t>
      </w:r>
      <w:proofErr w:type="gramEnd"/>
      <w:r w:rsidR="00001F04">
        <w:rPr>
          <w:bCs/>
          <w:color w:val="000000" w:themeColor="text1"/>
          <w:sz w:val="26"/>
          <w:szCs w:val="26"/>
        </w:rPr>
        <w:t xml:space="preserve"> and the record in this proc</w:t>
      </w:r>
      <w:r w:rsidR="00001F04">
        <w:rPr>
          <w:rFonts w:ascii="ng" w:hAnsi="ng"/>
          <w:bCs/>
          <w:color w:val="000000" w:themeColor="text1"/>
          <w:sz w:val="26"/>
          <w:szCs w:val="26"/>
        </w:rPr>
        <w:t>eeding</w:t>
      </w:r>
      <w:r w:rsidR="00ED7F46">
        <w:rPr>
          <w:rFonts w:ascii="ng" w:hAnsi="ng"/>
          <w:bCs/>
          <w:color w:val="000000" w:themeColor="text1"/>
          <w:sz w:val="26"/>
          <w:szCs w:val="26"/>
        </w:rPr>
        <w:t xml:space="preserve">, we </w:t>
      </w:r>
      <w:r w:rsidR="00CF3822">
        <w:rPr>
          <w:rFonts w:ascii="ng" w:hAnsi="ng"/>
          <w:bCs/>
          <w:color w:val="000000" w:themeColor="text1"/>
          <w:sz w:val="26"/>
          <w:szCs w:val="26"/>
        </w:rPr>
        <w:t>deny</w:t>
      </w:r>
      <w:r w:rsidR="00ED7F46">
        <w:rPr>
          <w:bCs/>
          <w:color w:val="000000" w:themeColor="text1"/>
          <w:sz w:val="26"/>
          <w:szCs w:val="26"/>
        </w:rPr>
        <w:t xml:space="preserve"> </w:t>
      </w:r>
      <w:r w:rsidR="00EB7436">
        <w:rPr>
          <w:bCs/>
          <w:color w:val="000000" w:themeColor="text1"/>
          <w:sz w:val="26"/>
          <w:szCs w:val="26"/>
        </w:rPr>
        <w:t>the C</w:t>
      </w:r>
      <w:r w:rsidR="00ED7F46">
        <w:rPr>
          <w:bCs/>
          <w:color w:val="000000" w:themeColor="text1"/>
          <w:sz w:val="26"/>
          <w:szCs w:val="26"/>
        </w:rPr>
        <w:t xml:space="preserve">omplainant’s </w:t>
      </w:r>
      <w:r w:rsidR="00ED7F46">
        <w:rPr>
          <w:bCs/>
          <w:color w:val="000000" w:themeColor="text1"/>
          <w:sz w:val="26"/>
          <w:szCs w:val="26"/>
        </w:rPr>
        <w:lastRenderedPageBreak/>
        <w:t xml:space="preserve">Exceptions and </w:t>
      </w:r>
      <w:r w:rsidR="00E961D2">
        <w:rPr>
          <w:bCs/>
          <w:color w:val="000000" w:themeColor="text1"/>
          <w:sz w:val="26"/>
          <w:szCs w:val="26"/>
        </w:rPr>
        <w:t>a</w:t>
      </w:r>
      <w:r w:rsidR="009A4332">
        <w:rPr>
          <w:bCs/>
          <w:color w:val="000000" w:themeColor="text1"/>
          <w:sz w:val="26"/>
          <w:szCs w:val="26"/>
        </w:rPr>
        <w:t>dopt</w:t>
      </w:r>
      <w:r w:rsidR="00E961D2">
        <w:rPr>
          <w:bCs/>
          <w:color w:val="000000" w:themeColor="text1"/>
          <w:sz w:val="26"/>
          <w:szCs w:val="26"/>
        </w:rPr>
        <w:t xml:space="preserve"> the ALJ Initial Decision, consistent with this Opinion and Order</w:t>
      </w:r>
      <w:r w:rsidR="007E7ACD">
        <w:rPr>
          <w:bCs/>
          <w:color w:val="000000" w:themeColor="text1"/>
          <w:sz w:val="26"/>
          <w:szCs w:val="26"/>
        </w:rPr>
        <w:t xml:space="preserve">; </w:t>
      </w:r>
      <w:r w:rsidR="000A75E5" w:rsidRPr="008836BC">
        <w:rPr>
          <w:b/>
          <w:color w:val="000000" w:themeColor="text1"/>
          <w:sz w:val="26"/>
          <w:szCs w:val="26"/>
        </w:rPr>
        <w:t>THEREFORE,</w:t>
      </w:r>
    </w:p>
    <w:p w14:paraId="62F16775" w14:textId="77777777" w:rsidR="007E7ACD" w:rsidRPr="008836BC" w:rsidRDefault="007E7ACD" w:rsidP="007E7ACD">
      <w:pPr>
        <w:widowControl/>
        <w:spacing w:line="360" w:lineRule="auto"/>
        <w:rPr>
          <w:b/>
          <w:color w:val="000000" w:themeColor="text1"/>
          <w:sz w:val="26"/>
          <w:szCs w:val="26"/>
        </w:rPr>
      </w:pPr>
    </w:p>
    <w:p w14:paraId="0BC98745" w14:textId="2FC91A60" w:rsidR="00B4513A" w:rsidRDefault="00B4513A" w:rsidP="00AF2516">
      <w:pPr>
        <w:keepNext/>
        <w:widowControl/>
        <w:spacing w:line="360" w:lineRule="auto"/>
        <w:ind w:firstLine="1440"/>
        <w:rPr>
          <w:bCs/>
          <w:color w:val="000000" w:themeColor="text1"/>
          <w:sz w:val="26"/>
          <w:szCs w:val="26"/>
        </w:rPr>
      </w:pPr>
      <w:r w:rsidRPr="008836BC">
        <w:rPr>
          <w:b/>
          <w:color w:val="000000" w:themeColor="text1"/>
          <w:sz w:val="26"/>
          <w:szCs w:val="26"/>
        </w:rPr>
        <w:t>IT IS ORDERED:</w:t>
      </w:r>
    </w:p>
    <w:p w14:paraId="01FB2F68" w14:textId="77777777" w:rsidR="00E961D2" w:rsidRDefault="00E961D2" w:rsidP="00AF2516">
      <w:pPr>
        <w:keepNext/>
        <w:widowControl/>
        <w:spacing w:line="360" w:lineRule="auto"/>
        <w:ind w:firstLine="1440"/>
        <w:rPr>
          <w:bCs/>
          <w:color w:val="000000" w:themeColor="text1"/>
          <w:sz w:val="26"/>
          <w:szCs w:val="26"/>
        </w:rPr>
      </w:pPr>
    </w:p>
    <w:p w14:paraId="36A87277" w14:textId="216F55EB" w:rsidR="00E961D2" w:rsidRDefault="00E961D2" w:rsidP="007E7ACD">
      <w:pPr>
        <w:keepNext/>
        <w:widowControl/>
        <w:spacing w:line="360" w:lineRule="auto"/>
        <w:ind w:firstLine="1440"/>
        <w:rPr>
          <w:bCs/>
          <w:color w:val="000000" w:themeColor="text1"/>
          <w:sz w:val="26"/>
          <w:szCs w:val="26"/>
        </w:rPr>
      </w:pPr>
      <w:r>
        <w:rPr>
          <w:bCs/>
          <w:color w:val="000000" w:themeColor="text1"/>
          <w:sz w:val="26"/>
          <w:szCs w:val="26"/>
        </w:rPr>
        <w:t>1.</w:t>
      </w:r>
      <w:r>
        <w:rPr>
          <w:bCs/>
          <w:color w:val="000000" w:themeColor="text1"/>
          <w:sz w:val="26"/>
          <w:szCs w:val="26"/>
        </w:rPr>
        <w:tab/>
        <w:t xml:space="preserve">That the Exceptions of </w:t>
      </w:r>
      <w:r w:rsidR="001B0265">
        <w:rPr>
          <w:bCs/>
          <w:color w:val="000000" w:themeColor="text1"/>
          <w:sz w:val="26"/>
          <w:szCs w:val="26"/>
        </w:rPr>
        <w:t xml:space="preserve">Brendan Lavin filed on </w:t>
      </w:r>
      <w:r w:rsidR="009A4332">
        <w:rPr>
          <w:bCs/>
          <w:color w:val="000000" w:themeColor="text1"/>
          <w:sz w:val="26"/>
          <w:szCs w:val="26"/>
        </w:rPr>
        <w:t>November 5</w:t>
      </w:r>
      <w:r w:rsidR="00506ACB">
        <w:rPr>
          <w:bCs/>
          <w:color w:val="000000" w:themeColor="text1"/>
          <w:sz w:val="26"/>
          <w:szCs w:val="26"/>
        </w:rPr>
        <w:t xml:space="preserve">, </w:t>
      </w:r>
      <w:r w:rsidR="001C51C4">
        <w:rPr>
          <w:bCs/>
          <w:color w:val="000000" w:themeColor="text1"/>
          <w:sz w:val="26"/>
          <w:szCs w:val="26"/>
        </w:rPr>
        <w:t>2020, to</w:t>
      </w:r>
      <w:r w:rsidR="001B0265">
        <w:rPr>
          <w:bCs/>
          <w:color w:val="000000" w:themeColor="text1"/>
          <w:sz w:val="26"/>
          <w:szCs w:val="26"/>
        </w:rPr>
        <w:t xml:space="preserve"> the Initial Decision of </w:t>
      </w:r>
      <w:r w:rsidR="00E01841">
        <w:rPr>
          <w:bCs/>
          <w:color w:val="000000" w:themeColor="text1"/>
          <w:sz w:val="26"/>
          <w:szCs w:val="26"/>
        </w:rPr>
        <w:t>Administrative</w:t>
      </w:r>
      <w:r w:rsidR="001B0265">
        <w:rPr>
          <w:bCs/>
          <w:color w:val="000000" w:themeColor="text1"/>
          <w:sz w:val="26"/>
          <w:szCs w:val="26"/>
        </w:rPr>
        <w:t xml:space="preserve"> Law Judge Benjamin J. Myers </w:t>
      </w:r>
      <w:r w:rsidR="00D8489B">
        <w:rPr>
          <w:bCs/>
          <w:color w:val="000000" w:themeColor="text1"/>
          <w:sz w:val="26"/>
          <w:szCs w:val="26"/>
        </w:rPr>
        <w:t>issued</w:t>
      </w:r>
      <w:r w:rsidR="001B0265">
        <w:rPr>
          <w:bCs/>
          <w:color w:val="000000" w:themeColor="text1"/>
          <w:sz w:val="26"/>
          <w:szCs w:val="26"/>
        </w:rPr>
        <w:t xml:space="preserve"> </w:t>
      </w:r>
      <w:r w:rsidR="001C51C4">
        <w:rPr>
          <w:bCs/>
          <w:color w:val="000000" w:themeColor="text1"/>
          <w:sz w:val="26"/>
          <w:szCs w:val="26"/>
        </w:rPr>
        <w:t>October</w:t>
      </w:r>
      <w:r w:rsidR="007E7ACD">
        <w:rPr>
          <w:bCs/>
          <w:color w:val="000000" w:themeColor="text1"/>
          <w:sz w:val="26"/>
          <w:szCs w:val="26"/>
        </w:rPr>
        <w:t> </w:t>
      </w:r>
      <w:r w:rsidR="001C51C4">
        <w:rPr>
          <w:bCs/>
          <w:color w:val="000000" w:themeColor="text1"/>
          <w:sz w:val="26"/>
          <w:szCs w:val="26"/>
        </w:rPr>
        <w:t>21,</w:t>
      </w:r>
      <w:r w:rsidR="007E7ACD">
        <w:rPr>
          <w:bCs/>
          <w:color w:val="000000" w:themeColor="text1"/>
          <w:sz w:val="26"/>
          <w:szCs w:val="26"/>
        </w:rPr>
        <w:t> </w:t>
      </w:r>
      <w:r w:rsidR="001C51C4">
        <w:rPr>
          <w:bCs/>
          <w:color w:val="000000" w:themeColor="text1"/>
          <w:sz w:val="26"/>
          <w:szCs w:val="26"/>
        </w:rPr>
        <w:t xml:space="preserve">2020, </w:t>
      </w:r>
      <w:r w:rsidR="00E01841">
        <w:rPr>
          <w:bCs/>
          <w:color w:val="000000" w:themeColor="text1"/>
          <w:sz w:val="26"/>
          <w:szCs w:val="26"/>
        </w:rPr>
        <w:t>are denied, consistent with Opinion and Order</w:t>
      </w:r>
      <w:r w:rsidR="005B60FE">
        <w:rPr>
          <w:bCs/>
          <w:color w:val="000000" w:themeColor="text1"/>
          <w:sz w:val="26"/>
          <w:szCs w:val="26"/>
        </w:rPr>
        <w:t>.</w:t>
      </w:r>
    </w:p>
    <w:p w14:paraId="56A99F29" w14:textId="77777777" w:rsidR="001C51C4" w:rsidRDefault="001C51C4" w:rsidP="007E7ACD">
      <w:pPr>
        <w:keepNext/>
        <w:widowControl/>
        <w:spacing w:line="360" w:lineRule="auto"/>
        <w:ind w:firstLine="1440"/>
        <w:rPr>
          <w:bCs/>
          <w:color w:val="000000" w:themeColor="text1"/>
          <w:sz w:val="26"/>
          <w:szCs w:val="26"/>
        </w:rPr>
      </w:pPr>
    </w:p>
    <w:p w14:paraId="1C7CEE1B" w14:textId="484DF098" w:rsidR="005B60FE" w:rsidRDefault="005B60FE" w:rsidP="007E7ACD">
      <w:pPr>
        <w:keepNext/>
        <w:widowControl/>
        <w:spacing w:line="360" w:lineRule="auto"/>
        <w:ind w:firstLine="1440"/>
        <w:rPr>
          <w:bCs/>
          <w:color w:val="000000" w:themeColor="text1"/>
          <w:sz w:val="26"/>
          <w:szCs w:val="26"/>
        </w:rPr>
      </w:pPr>
      <w:r>
        <w:rPr>
          <w:bCs/>
          <w:color w:val="000000" w:themeColor="text1"/>
          <w:sz w:val="26"/>
          <w:szCs w:val="26"/>
        </w:rPr>
        <w:t>2.</w:t>
      </w:r>
      <w:r>
        <w:rPr>
          <w:bCs/>
          <w:color w:val="000000" w:themeColor="text1"/>
          <w:sz w:val="26"/>
          <w:szCs w:val="26"/>
        </w:rPr>
        <w:tab/>
        <w:t xml:space="preserve">That the Initial Decision of </w:t>
      </w:r>
      <w:r w:rsidR="001C51C4">
        <w:rPr>
          <w:bCs/>
          <w:color w:val="000000" w:themeColor="text1"/>
          <w:sz w:val="26"/>
          <w:szCs w:val="26"/>
        </w:rPr>
        <w:t xml:space="preserve">Administrative Law Judge Benjamin J. Myers </w:t>
      </w:r>
      <w:r w:rsidR="00D8489B">
        <w:rPr>
          <w:bCs/>
          <w:color w:val="000000" w:themeColor="text1"/>
          <w:sz w:val="26"/>
          <w:szCs w:val="26"/>
        </w:rPr>
        <w:t>issued</w:t>
      </w:r>
      <w:r w:rsidR="001C51C4">
        <w:rPr>
          <w:bCs/>
          <w:color w:val="000000" w:themeColor="text1"/>
          <w:sz w:val="26"/>
          <w:szCs w:val="26"/>
        </w:rPr>
        <w:t xml:space="preserve"> October 21, 2020, is </w:t>
      </w:r>
      <w:r w:rsidR="000F035A">
        <w:rPr>
          <w:bCs/>
          <w:color w:val="000000" w:themeColor="text1"/>
          <w:sz w:val="26"/>
          <w:szCs w:val="26"/>
        </w:rPr>
        <w:t>a</w:t>
      </w:r>
      <w:r w:rsidR="00186F71">
        <w:rPr>
          <w:bCs/>
          <w:color w:val="000000" w:themeColor="text1"/>
          <w:sz w:val="26"/>
          <w:szCs w:val="26"/>
        </w:rPr>
        <w:t>dopted</w:t>
      </w:r>
      <w:r w:rsidR="000F035A">
        <w:rPr>
          <w:bCs/>
          <w:color w:val="000000" w:themeColor="text1"/>
          <w:sz w:val="26"/>
          <w:szCs w:val="26"/>
        </w:rPr>
        <w:t>, consistent with this Opinion and Order.</w:t>
      </w:r>
    </w:p>
    <w:p w14:paraId="60BB8361" w14:textId="77777777" w:rsidR="000F035A" w:rsidRDefault="000F035A" w:rsidP="007E7ACD">
      <w:pPr>
        <w:keepNext/>
        <w:widowControl/>
        <w:spacing w:line="360" w:lineRule="auto"/>
        <w:ind w:firstLine="1440"/>
        <w:rPr>
          <w:bCs/>
          <w:color w:val="000000" w:themeColor="text1"/>
          <w:sz w:val="26"/>
          <w:szCs w:val="26"/>
        </w:rPr>
      </w:pPr>
    </w:p>
    <w:p w14:paraId="283D798E" w14:textId="7C701941" w:rsidR="000F035A" w:rsidRDefault="000F035A" w:rsidP="007E7ACD">
      <w:pPr>
        <w:keepNext/>
        <w:widowControl/>
        <w:spacing w:line="360" w:lineRule="auto"/>
        <w:ind w:firstLine="1440"/>
        <w:rPr>
          <w:bCs/>
          <w:color w:val="000000" w:themeColor="text1"/>
          <w:sz w:val="26"/>
          <w:szCs w:val="26"/>
        </w:rPr>
      </w:pPr>
      <w:r>
        <w:rPr>
          <w:bCs/>
          <w:color w:val="000000" w:themeColor="text1"/>
          <w:sz w:val="26"/>
          <w:szCs w:val="26"/>
        </w:rPr>
        <w:t>3.</w:t>
      </w:r>
      <w:r>
        <w:rPr>
          <w:bCs/>
          <w:color w:val="000000" w:themeColor="text1"/>
          <w:sz w:val="26"/>
          <w:szCs w:val="26"/>
        </w:rPr>
        <w:tab/>
        <w:t>That the Formal Complaint filed by Bren</w:t>
      </w:r>
      <w:r w:rsidR="000E1108">
        <w:rPr>
          <w:bCs/>
          <w:color w:val="000000" w:themeColor="text1"/>
          <w:sz w:val="26"/>
          <w:szCs w:val="26"/>
        </w:rPr>
        <w:t xml:space="preserve">dan Lavin </w:t>
      </w:r>
      <w:r w:rsidR="00E04A7E">
        <w:rPr>
          <w:bCs/>
          <w:color w:val="000000" w:themeColor="text1"/>
          <w:sz w:val="26"/>
          <w:szCs w:val="26"/>
        </w:rPr>
        <w:t>against</w:t>
      </w:r>
      <w:r w:rsidR="000E1108">
        <w:rPr>
          <w:bCs/>
          <w:color w:val="000000" w:themeColor="text1"/>
          <w:sz w:val="26"/>
          <w:szCs w:val="26"/>
        </w:rPr>
        <w:t xml:space="preserve"> PPL Electric Utilities Corporation at Docket No. C-2020-301</w:t>
      </w:r>
      <w:r w:rsidR="00E04A7E">
        <w:rPr>
          <w:bCs/>
          <w:color w:val="000000" w:themeColor="text1"/>
          <w:sz w:val="26"/>
          <w:szCs w:val="26"/>
        </w:rPr>
        <w:t>9103 is denied</w:t>
      </w:r>
      <w:r w:rsidR="0079592F">
        <w:rPr>
          <w:bCs/>
          <w:color w:val="000000" w:themeColor="text1"/>
          <w:sz w:val="26"/>
          <w:szCs w:val="26"/>
        </w:rPr>
        <w:t>, consistent with this Opinion and Order.</w:t>
      </w:r>
    </w:p>
    <w:p w14:paraId="4EDFCDF1" w14:textId="77777777" w:rsidR="0079592F" w:rsidRDefault="0079592F" w:rsidP="007E7ACD">
      <w:pPr>
        <w:keepNext/>
        <w:widowControl/>
        <w:spacing w:line="360" w:lineRule="auto"/>
        <w:ind w:firstLine="1440"/>
        <w:rPr>
          <w:bCs/>
          <w:color w:val="000000" w:themeColor="text1"/>
          <w:sz w:val="26"/>
          <w:szCs w:val="26"/>
        </w:rPr>
      </w:pPr>
    </w:p>
    <w:p w14:paraId="5AE5A668" w14:textId="02B16FAA" w:rsidR="0079592F" w:rsidRPr="00E961D2" w:rsidRDefault="0079592F" w:rsidP="007E7ACD">
      <w:pPr>
        <w:keepNext/>
        <w:widowControl/>
        <w:spacing w:line="360" w:lineRule="auto"/>
        <w:ind w:firstLine="1440"/>
        <w:rPr>
          <w:bCs/>
          <w:color w:val="000000" w:themeColor="text1"/>
          <w:sz w:val="26"/>
          <w:szCs w:val="26"/>
        </w:rPr>
      </w:pPr>
      <w:r>
        <w:rPr>
          <w:bCs/>
          <w:color w:val="000000" w:themeColor="text1"/>
          <w:sz w:val="26"/>
          <w:szCs w:val="26"/>
        </w:rPr>
        <w:t>4.</w:t>
      </w:r>
      <w:r>
        <w:rPr>
          <w:bCs/>
          <w:color w:val="000000" w:themeColor="text1"/>
          <w:sz w:val="26"/>
          <w:szCs w:val="26"/>
        </w:rPr>
        <w:tab/>
      </w:r>
      <w:r w:rsidR="009451C2">
        <w:rPr>
          <w:bCs/>
          <w:color w:val="000000" w:themeColor="text1"/>
          <w:sz w:val="26"/>
          <w:szCs w:val="26"/>
        </w:rPr>
        <w:t>That the proceeding at Docket No.</w:t>
      </w:r>
      <w:r w:rsidR="00265DD2">
        <w:rPr>
          <w:bCs/>
          <w:color w:val="000000" w:themeColor="text1"/>
          <w:sz w:val="26"/>
          <w:szCs w:val="26"/>
        </w:rPr>
        <w:t xml:space="preserve"> C-2020-3019103 be marked closed.</w:t>
      </w:r>
      <w:r w:rsidR="0067711E" w:rsidRPr="0067711E">
        <w:rPr>
          <w:noProof/>
        </w:rPr>
        <w:t xml:space="preserve"> </w:t>
      </w:r>
    </w:p>
    <w:p w14:paraId="3024BE3D" w14:textId="59AD53F8" w:rsidR="00CF0D61" w:rsidRPr="00457E90" w:rsidRDefault="00CF0D61" w:rsidP="002F5FDF">
      <w:pPr>
        <w:keepNext/>
        <w:keepLines/>
        <w:widowControl/>
        <w:spacing w:line="360" w:lineRule="auto"/>
        <w:rPr>
          <w:color w:val="000000" w:themeColor="text1"/>
          <w:sz w:val="26"/>
          <w:szCs w:val="26"/>
        </w:rPr>
      </w:pPr>
    </w:p>
    <w:p w14:paraId="0CA2F1CC" w14:textId="6C9E9377" w:rsidR="000F1318" w:rsidRPr="00457E90" w:rsidRDefault="000F1318" w:rsidP="004538BD">
      <w:pPr>
        <w:keepNext/>
        <w:keepLines/>
        <w:widowControl/>
        <w:ind w:firstLine="5040"/>
        <w:rPr>
          <w:color w:val="000000" w:themeColor="text1"/>
          <w:sz w:val="26"/>
          <w:szCs w:val="26"/>
        </w:rPr>
      </w:pPr>
      <w:r w:rsidRPr="00457E90">
        <w:rPr>
          <w:b/>
          <w:color w:val="000000" w:themeColor="text1"/>
          <w:sz w:val="26"/>
          <w:szCs w:val="26"/>
        </w:rPr>
        <w:t>BY THE COMMISSION,</w:t>
      </w:r>
    </w:p>
    <w:p w14:paraId="6AF02D71" w14:textId="6C156B67" w:rsidR="000F1318" w:rsidRPr="00457E90" w:rsidRDefault="0067711E" w:rsidP="001B1107">
      <w:pPr>
        <w:keepNext/>
        <w:keepLines/>
        <w:widowControl/>
        <w:ind w:firstLine="5040"/>
        <w:rPr>
          <w:color w:val="000000" w:themeColor="text1"/>
          <w:sz w:val="26"/>
          <w:szCs w:val="26"/>
        </w:rPr>
      </w:pPr>
      <w:r>
        <w:rPr>
          <w:noProof/>
        </w:rPr>
        <w:drawing>
          <wp:anchor distT="0" distB="0" distL="114300" distR="114300" simplePos="0" relativeHeight="251659264" behindDoc="1" locked="0" layoutInCell="1" allowOverlap="1" wp14:anchorId="225F13BB" wp14:editId="0B3E515D">
            <wp:simplePos x="0" y="0"/>
            <wp:positionH relativeFrom="column">
              <wp:posOffset>3228975</wp:posOffset>
            </wp:positionH>
            <wp:positionV relativeFrom="paragraph">
              <wp:posOffset>20955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20C88B7B" w14:textId="77777777" w:rsidR="004538BD" w:rsidRPr="00457E90" w:rsidRDefault="004538BD" w:rsidP="001B1107">
      <w:pPr>
        <w:keepNext/>
        <w:keepLines/>
        <w:widowControl/>
        <w:ind w:firstLine="5040"/>
        <w:rPr>
          <w:color w:val="000000" w:themeColor="text1"/>
          <w:sz w:val="26"/>
          <w:szCs w:val="26"/>
        </w:rPr>
      </w:pPr>
    </w:p>
    <w:p w14:paraId="1B0C2E55" w14:textId="77777777" w:rsidR="008C474D" w:rsidRPr="00457E90" w:rsidRDefault="008C474D" w:rsidP="001B1107">
      <w:pPr>
        <w:keepNext/>
        <w:keepLines/>
        <w:widowControl/>
        <w:ind w:firstLine="5040"/>
        <w:rPr>
          <w:color w:val="000000" w:themeColor="text1"/>
          <w:sz w:val="26"/>
          <w:szCs w:val="26"/>
        </w:rPr>
      </w:pPr>
    </w:p>
    <w:p w14:paraId="3D5A241B" w14:textId="77777777" w:rsidR="00353974" w:rsidRPr="00457E90" w:rsidRDefault="00353974" w:rsidP="001B1107">
      <w:pPr>
        <w:keepNext/>
        <w:keepLines/>
        <w:widowControl/>
        <w:ind w:firstLine="5040"/>
        <w:rPr>
          <w:color w:val="000000" w:themeColor="text1"/>
          <w:sz w:val="26"/>
          <w:szCs w:val="26"/>
        </w:rPr>
      </w:pPr>
    </w:p>
    <w:p w14:paraId="4628069C" w14:textId="77777777" w:rsidR="00600F6F" w:rsidRPr="00457E90" w:rsidRDefault="00600F6F" w:rsidP="001B1107">
      <w:pPr>
        <w:keepNext/>
        <w:keepLines/>
        <w:widowControl/>
        <w:ind w:firstLine="5040"/>
        <w:rPr>
          <w:color w:val="000000" w:themeColor="text1"/>
          <w:sz w:val="26"/>
          <w:szCs w:val="26"/>
        </w:rPr>
      </w:pPr>
      <w:r w:rsidRPr="00457E90">
        <w:rPr>
          <w:color w:val="000000" w:themeColor="text1"/>
          <w:sz w:val="26"/>
          <w:szCs w:val="26"/>
        </w:rPr>
        <w:t>Rosemary Chiavetta</w:t>
      </w:r>
    </w:p>
    <w:p w14:paraId="0892709B" w14:textId="77777777" w:rsidR="000F1318" w:rsidRPr="00457E90" w:rsidRDefault="000F1318" w:rsidP="001B1107">
      <w:pPr>
        <w:keepNext/>
        <w:keepLines/>
        <w:widowControl/>
        <w:ind w:firstLine="5040"/>
        <w:rPr>
          <w:color w:val="000000" w:themeColor="text1"/>
          <w:sz w:val="26"/>
          <w:szCs w:val="26"/>
        </w:rPr>
      </w:pPr>
      <w:r w:rsidRPr="00457E90">
        <w:rPr>
          <w:color w:val="000000" w:themeColor="text1"/>
          <w:sz w:val="26"/>
          <w:szCs w:val="26"/>
        </w:rPr>
        <w:t>Secretary</w:t>
      </w:r>
    </w:p>
    <w:p w14:paraId="74F6AD4B" w14:textId="77777777" w:rsidR="00B12270" w:rsidRPr="00457E90" w:rsidRDefault="00B12270" w:rsidP="002F5FDF">
      <w:pPr>
        <w:keepNext/>
        <w:keepLines/>
        <w:widowControl/>
        <w:ind w:firstLine="5760"/>
        <w:rPr>
          <w:color w:val="000000" w:themeColor="text1"/>
          <w:sz w:val="26"/>
          <w:szCs w:val="26"/>
        </w:rPr>
      </w:pPr>
    </w:p>
    <w:p w14:paraId="3662FEEC" w14:textId="77777777" w:rsidR="000F1318" w:rsidRPr="00457E90" w:rsidRDefault="000F1318">
      <w:pPr>
        <w:keepNext/>
        <w:keepLines/>
        <w:widowControl/>
        <w:rPr>
          <w:color w:val="000000" w:themeColor="text1"/>
          <w:sz w:val="26"/>
          <w:szCs w:val="26"/>
        </w:rPr>
      </w:pPr>
      <w:r w:rsidRPr="00457E90">
        <w:rPr>
          <w:color w:val="000000" w:themeColor="text1"/>
          <w:sz w:val="26"/>
          <w:szCs w:val="26"/>
        </w:rPr>
        <w:t>(SEAL)</w:t>
      </w:r>
    </w:p>
    <w:p w14:paraId="0EDA7423" w14:textId="77777777" w:rsidR="000F1318" w:rsidRPr="00457E90" w:rsidRDefault="000F1318">
      <w:pPr>
        <w:keepNext/>
        <w:keepLines/>
        <w:widowControl/>
        <w:rPr>
          <w:color w:val="000000" w:themeColor="text1"/>
          <w:sz w:val="26"/>
          <w:szCs w:val="26"/>
        </w:rPr>
      </w:pPr>
    </w:p>
    <w:p w14:paraId="6DA6125E" w14:textId="7113C30B" w:rsidR="000F1318" w:rsidRPr="00457E90" w:rsidRDefault="00F248A4" w:rsidP="001B1107">
      <w:pPr>
        <w:keepNext/>
        <w:widowControl/>
        <w:rPr>
          <w:color w:val="000000" w:themeColor="text1"/>
          <w:sz w:val="26"/>
          <w:szCs w:val="26"/>
        </w:rPr>
      </w:pPr>
      <w:r w:rsidRPr="00457E90">
        <w:rPr>
          <w:color w:val="000000" w:themeColor="text1"/>
          <w:sz w:val="26"/>
          <w:szCs w:val="26"/>
        </w:rPr>
        <w:t>ORDER ADOPTED:</w:t>
      </w:r>
      <w:r w:rsidR="00E04E57" w:rsidRPr="00457E90">
        <w:rPr>
          <w:color w:val="000000" w:themeColor="text1"/>
          <w:sz w:val="26"/>
          <w:szCs w:val="26"/>
        </w:rPr>
        <w:t xml:space="preserve">  </w:t>
      </w:r>
      <w:r w:rsidR="00CC3B3F">
        <w:rPr>
          <w:color w:val="000000" w:themeColor="text1"/>
          <w:sz w:val="26"/>
          <w:szCs w:val="26"/>
        </w:rPr>
        <w:t xml:space="preserve">December </w:t>
      </w:r>
      <w:r w:rsidR="00EB7436">
        <w:rPr>
          <w:color w:val="000000" w:themeColor="text1"/>
          <w:sz w:val="26"/>
          <w:szCs w:val="26"/>
        </w:rPr>
        <w:t>16</w:t>
      </w:r>
      <w:r w:rsidR="00737125">
        <w:rPr>
          <w:color w:val="000000" w:themeColor="text1"/>
          <w:sz w:val="26"/>
          <w:szCs w:val="26"/>
        </w:rPr>
        <w:t>, 2021</w:t>
      </w:r>
    </w:p>
    <w:p w14:paraId="171B8E12" w14:textId="77777777" w:rsidR="0077592B" w:rsidRPr="00457E90" w:rsidRDefault="0077592B" w:rsidP="001B1107">
      <w:pPr>
        <w:keepNext/>
        <w:widowControl/>
        <w:rPr>
          <w:color w:val="000000" w:themeColor="text1"/>
          <w:sz w:val="26"/>
          <w:szCs w:val="26"/>
        </w:rPr>
      </w:pPr>
    </w:p>
    <w:p w14:paraId="17260E00" w14:textId="0CC6336D" w:rsidR="00F272E7" w:rsidRPr="00457E90" w:rsidRDefault="000F1318" w:rsidP="001B1107">
      <w:pPr>
        <w:keepNext/>
        <w:widowControl/>
        <w:rPr>
          <w:b/>
          <w:color w:val="000000" w:themeColor="text1"/>
          <w:sz w:val="26"/>
          <w:szCs w:val="26"/>
        </w:rPr>
      </w:pPr>
      <w:r w:rsidRPr="00457E90">
        <w:rPr>
          <w:color w:val="000000" w:themeColor="text1"/>
          <w:sz w:val="26"/>
          <w:szCs w:val="26"/>
        </w:rPr>
        <w:t>ORDER ENTERED:</w:t>
      </w:r>
      <w:r w:rsidR="002A6384" w:rsidRPr="00457E90">
        <w:rPr>
          <w:color w:val="000000" w:themeColor="text1"/>
          <w:sz w:val="26"/>
          <w:szCs w:val="26"/>
        </w:rPr>
        <w:t xml:space="preserve">  </w:t>
      </w:r>
      <w:r w:rsidR="0067711E">
        <w:rPr>
          <w:color w:val="000000" w:themeColor="text1"/>
          <w:sz w:val="26"/>
          <w:szCs w:val="26"/>
        </w:rPr>
        <w:t>December 16, 2021</w:t>
      </w:r>
    </w:p>
    <w:sectPr w:rsidR="00F272E7" w:rsidRPr="00457E90"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A3E1" w14:textId="77777777" w:rsidR="00CD4BF0" w:rsidRDefault="00CD4BF0">
      <w:r>
        <w:separator/>
      </w:r>
    </w:p>
  </w:endnote>
  <w:endnote w:type="continuationSeparator" w:id="0">
    <w:p w14:paraId="5F15AC7F" w14:textId="77777777" w:rsidR="00CD4BF0" w:rsidRDefault="00CD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ng">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6F7AA943"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17D1">
      <w:rPr>
        <w:rStyle w:val="PageNumber"/>
        <w:noProof/>
        <w:sz w:val="26"/>
      </w:rPr>
      <w:t>8</w:t>
    </w:r>
    <w:r w:rsidRPr="00C7667D">
      <w:rPr>
        <w:rStyle w:val="PageNumber"/>
        <w:sz w:val="26"/>
      </w:rPr>
      <w:fldChar w:fldCharType="end"/>
    </w:r>
  </w:p>
  <w:p w14:paraId="581B4382" w14:textId="77777777" w:rsidR="005E5EF9" w:rsidRDefault="005E5EF9"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B56F" w14:textId="77777777" w:rsidR="00CD4BF0" w:rsidRDefault="00CD4BF0">
      <w:r>
        <w:separator/>
      </w:r>
    </w:p>
  </w:footnote>
  <w:footnote w:type="continuationSeparator" w:id="0">
    <w:p w14:paraId="31E9CFF7" w14:textId="77777777" w:rsidR="00CD4BF0" w:rsidRDefault="00CD4BF0">
      <w:r>
        <w:continuationSeparator/>
      </w:r>
    </w:p>
  </w:footnote>
  <w:footnote w:id="1">
    <w:p w14:paraId="67B487FC" w14:textId="1E2E764F" w:rsidR="00C25478" w:rsidRPr="00685ABF" w:rsidRDefault="00C25478" w:rsidP="00282F3F">
      <w:pPr>
        <w:pStyle w:val="FootnoteText"/>
        <w:ind w:firstLine="720"/>
        <w:rPr>
          <w:sz w:val="26"/>
          <w:szCs w:val="26"/>
        </w:rPr>
      </w:pPr>
      <w:r w:rsidRPr="00685ABF">
        <w:rPr>
          <w:rStyle w:val="FootnoteReference"/>
          <w:sz w:val="26"/>
          <w:szCs w:val="26"/>
        </w:rPr>
        <w:footnoteRef/>
      </w:r>
      <w:r w:rsidRPr="00685ABF">
        <w:rPr>
          <w:sz w:val="26"/>
          <w:szCs w:val="26"/>
        </w:rPr>
        <w:t xml:space="preserve"> </w:t>
      </w:r>
      <w:r w:rsidR="00ED672A">
        <w:rPr>
          <w:sz w:val="26"/>
          <w:szCs w:val="26"/>
        </w:rPr>
        <w:tab/>
      </w:r>
      <w:r w:rsidR="00B52E69" w:rsidRPr="00685ABF">
        <w:rPr>
          <w:sz w:val="26"/>
          <w:szCs w:val="26"/>
        </w:rPr>
        <w:t xml:space="preserve">The Exceptions were received by the Commission on November </w:t>
      </w:r>
      <w:r w:rsidR="00CE6AFC" w:rsidRPr="00685ABF">
        <w:rPr>
          <w:sz w:val="26"/>
          <w:szCs w:val="26"/>
        </w:rPr>
        <w:t>5</w:t>
      </w:r>
      <w:r w:rsidR="00B52E69" w:rsidRPr="00685ABF">
        <w:rPr>
          <w:sz w:val="26"/>
          <w:szCs w:val="26"/>
        </w:rPr>
        <w:t xml:space="preserve">, 2020, but since it did not appear that they had been served on respondent, the Commission’s </w:t>
      </w:r>
      <w:r w:rsidR="000D38DA" w:rsidRPr="00685ABF">
        <w:rPr>
          <w:sz w:val="26"/>
          <w:szCs w:val="26"/>
        </w:rPr>
        <w:t>Secretary served the</w:t>
      </w:r>
      <w:r w:rsidR="00ED518B" w:rsidRPr="00685ABF">
        <w:rPr>
          <w:sz w:val="26"/>
          <w:szCs w:val="26"/>
        </w:rPr>
        <w:t>m</w:t>
      </w:r>
      <w:r w:rsidR="000D38DA" w:rsidRPr="00685ABF">
        <w:rPr>
          <w:sz w:val="26"/>
          <w:szCs w:val="26"/>
        </w:rPr>
        <w:t xml:space="preserve"> on </w:t>
      </w:r>
      <w:r w:rsidR="00C04088">
        <w:rPr>
          <w:sz w:val="26"/>
          <w:szCs w:val="26"/>
        </w:rPr>
        <w:t>R</w:t>
      </w:r>
      <w:r w:rsidR="000D38DA" w:rsidRPr="00685ABF">
        <w:rPr>
          <w:sz w:val="26"/>
          <w:szCs w:val="26"/>
        </w:rPr>
        <w:t xml:space="preserve">espondent PPL by letter dated </w:t>
      </w:r>
      <w:r w:rsidR="00ED518B" w:rsidRPr="00685ABF">
        <w:rPr>
          <w:sz w:val="26"/>
          <w:szCs w:val="26"/>
        </w:rPr>
        <w:t xml:space="preserve">December 9, 2020.  </w:t>
      </w:r>
    </w:p>
  </w:footnote>
  <w:footnote w:id="2">
    <w:p w14:paraId="3E17B25D" w14:textId="456142DD" w:rsidR="0004660A" w:rsidRPr="00685ABF" w:rsidRDefault="0004660A" w:rsidP="00685ABF">
      <w:pPr>
        <w:pStyle w:val="FootnoteText"/>
        <w:ind w:firstLine="720"/>
        <w:rPr>
          <w:sz w:val="26"/>
          <w:szCs w:val="26"/>
        </w:rPr>
      </w:pPr>
      <w:r w:rsidRPr="00685ABF">
        <w:rPr>
          <w:rStyle w:val="FootnoteReference"/>
          <w:sz w:val="26"/>
          <w:szCs w:val="26"/>
        </w:rPr>
        <w:footnoteRef/>
      </w:r>
      <w:r w:rsidRPr="00685ABF">
        <w:rPr>
          <w:sz w:val="26"/>
          <w:szCs w:val="26"/>
        </w:rPr>
        <w:t xml:space="preserve"> </w:t>
      </w:r>
      <w:r w:rsidRPr="00685ABF">
        <w:rPr>
          <w:sz w:val="26"/>
          <w:szCs w:val="26"/>
        </w:rPr>
        <w:tab/>
      </w:r>
      <w:r w:rsidRPr="0004660A">
        <w:rPr>
          <w:bCs/>
          <w:i/>
          <w:iCs/>
          <w:color w:val="000000" w:themeColor="text1"/>
          <w:sz w:val="26"/>
          <w:szCs w:val="26"/>
        </w:rPr>
        <w:t>Waldron v. Philadelphia Elec. Co.</w:t>
      </w:r>
      <w:r w:rsidRPr="0004660A">
        <w:rPr>
          <w:bCs/>
          <w:color w:val="000000" w:themeColor="text1"/>
          <w:sz w:val="26"/>
          <w:szCs w:val="26"/>
        </w:rPr>
        <w:t>, 54 Pa. PUC 98 (1980)</w:t>
      </w:r>
      <w:r w:rsidRPr="00953AAC">
        <w:rPr>
          <w:bCs/>
          <w:color w:val="000000" w:themeColor="text1"/>
          <w:sz w:val="26"/>
          <w:szCs w:val="26"/>
        </w:rPr>
        <w:t xml:space="preserve"> </w:t>
      </w:r>
      <w:r w:rsidRPr="00685ABF">
        <w:rPr>
          <w:bCs/>
          <w:i/>
          <w:iCs/>
          <w:color w:val="000000" w:themeColor="text1"/>
          <w:sz w:val="26"/>
          <w:szCs w:val="26"/>
        </w:rPr>
        <w:t>(Waldron)</w:t>
      </w:r>
      <w:r w:rsidRPr="0004660A">
        <w:rPr>
          <w:bCs/>
          <w:color w:val="000000" w:themeColor="text1"/>
          <w:sz w:val="26"/>
          <w:szCs w:val="26"/>
        </w:rPr>
        <w:t>.</w:t>
      </w:r>
    </w:p>
  </w:footnote>
  <w:footnote w:id="3">
    <w:p w14:paraId="58588CAA" w14:textId="79D36C5C" w:rsidR="009612F8" w:rsidRPr="005D6B00" w:rsidRDefault="008A4016" w:rsidP="00685ABF">
      <w:pPr>
        <w:ind w:firstLine="720"/>
        <w:rPr>
          <w:sz w:val="26"/>
          <w:szCs w:val="26"/>
        </w:rPr>
      </w:pPr>
      <w:r w:rsidRPr="00685ABF">
        <w:rPr>
          <w:rStyle w:val="FootnoteReference"/>
          <w:sz w:val="26"/>
          <w:szCs w:val="26"/>
        </w:rPr>
        <w:footnoteRef/>
      </w:r>
      <w:r w:rsidRPr="00685ABF">
        <w:rPr>
          <w:sz w:val="26"/>
          <w:szCs w:val="26"/>
        </w:rPr>
        <w:t xml:space="preserve"> </w:t>
      </w:r>
      <w:r w:rsidRPr="00685ABF">
        <w:rPr>
          <w:sz w:val="26"/>
          <w:szCs w:val="26"/>
        </w:rPr>
        <w:tab/>
      </w:r>
      <w:r w:rsidR="009612F8" w:rsidRPr="009612F8">
        <w:rPr>
          <w:sz w:val="26"/>
          <w:szCs w:val="26"/>
        </w:rPr>
        <w:t>“JEA” is a community-owned utility serving Jacksonville and surrounding communities.</w:t>
      </w:r>
      <w:r w:rsidR="00910115">
        <w:rPr>
          <w:sz w:val="26"/>
          <w:szCs w:val="26"/>
        </w:rPr>
        <w:t xml:space="preserve">  According to the ALJ, t</w:t>
      </w:r>
      <w:r w:rsidR="009612F8" w:rsidRPr="009612F8">
        <w:rPr>
          <w:sz w:val="26"/>
          <w:szCs w:val="26"/>
        </w:rPr>
        <w:t xml:space="preserve">he Complainant did not provide an explanation as to why he contacted this </w:t>
      </w:r>
      <w:proofErr w:type="gramStart"/>
      <w:r w:rsidR="009612F8" w:rsidRPr="009612F8">
        <w:rPr>
          <w:sz w:val="26"/>
          <w:szCs w:val="26"/>
        </w:rPr>
        <w:t>particular utility</w:t>
      </w:r>
      <w:proofErr w:type="gramEnd"/>
      <w:r w:rsidR="009612F8" w:rsidRPr="009612F8">
        <w:rPr>
          <w:sz w:val="26"/>
          <w:szCs w:val="26"/>
        </w:rPr>
        <w:t xml:space="preserve"> or how information he may have received regarding electric usage in Florida relates to his home or personal circumstance in Pennsylvania. </w:t>
      </w:r>
      <w:r w:rsidR="009612F8" w:rsidRPr="005D6B00">
        <w:rPr>
          <w:sz w:val="26"/>
          <w:szCs w:val="26"/>
        </w:rPr>
        <w:t xml:space="preserve"> </w:t>
      </w:r>
      <w:r w:rsidR="005D6B00">
        <w:rPr>
          <w:sz w:val="26"/>
          <w:szCs w:val="26"/>
        </w:rPr>
        <w:t xml:space="preserve">I.D. at 5. </w:t>
      </w:r>
    </w:p>
    <w:p w14:paraId="2FA74CBE" w14:textId="58194CAB" w:rsidR="008A4016" w:rsidRDefault="008A4016" w:rsidP="00685ABF">
      <w:pPr>
        <w:pStyle w:val="FootnoteText"/>
        <w:ind w:firstLine="720"/>
      </w:pPr>
    </w:p>
  </w:footnote>
  <w:footnote w:id="4">
    <w:p w14:paraId="249FC8D3" w14:textId="77777777" w:rsidR="00C8115B" w:rsidRPr="008A0A6F" w:rsidRDefault="00C46A6D" w:rsidP="00FC2E5B">
      <w:pPr>
        <w:pStyle w:val="Default"/>
        <w:ind w:firstLine="720"/>
        <w:rPr>
          <w:sz w:val="26"/>
          <w:szCs w:val="26"/>
        </w:rPr>
      </w:pPr>
      <w:r w:rsidRPr="00685ABF">
        <w:rPr>
          <w:rStyle w:val="FootnoteReference"/>
          <w:sz w:val="26"/>
          <w:szCs w:val="26"/>
        </w:rPr>
        <w:footnoteRef/>
      </w:r>
      <w:r w:rsidRPr="00685ABF">
        <w:rPr>
          <w:sz w:val="26"/>
          <w:szCs w:val="26"/>
        </w:rPr>
        <w:t xml:space="preserve"> </w:t>
      </w:r>
      <w:r w:rsidR="00C8115B" w:rsidRPr="00685ABF">
        <w:rPr>
          <w:sz w:val="26"/>
          <w:szCs w:val="26"/>
        </w:rPr>
        <w:tab/>
      </w:r>
      <w:r w:rsidR="00C8115B" w:rsidRPr="008A0A6F">
        <w:rPr>
          <w:sz w:val="26"/>
          <w:szCs w:val="26"/>
        </w:rPr>
        <w:t xml:space="preserve">For example, to apparently establish how much electricity certain appliances use, the </w:t>
      </w:r>
      <w:r w:rsidR="00C8115B" w:rsidRPr="00A27EB8">
        <w:rPr>
          <w:sz w:val="26"/>
          <w:szCs w:val="26"/>
        </w:rPr>
        <w:t xml:space="preserve">Complainant provided the following calculations: </w:t>
      </w:r>
    </w:p>
    <w:p w14:paraId="20E7FC3A" w14:textId="77777777" w:rsidR="00C8115B" w:rsidRPr="008A0A6F" w:rsidRDefault="00C8115B" w:rsidP="00C8115B">
      <w:pPr>
        <w:pStyle w:val="Default"/>
        <w:ind w:left="1440" w:right="1440"/>
        <w:rPr>
          <w:sz w:val="26"/>
          <w:szCs w:val="26"/>
        </w:rPr>
      </w:pPr>
    </w:p>
    <w:p w14:paraId="7EC41209" w14:textId="3654D872" w:rsidR="00C8115B" w:rsidRPr="00AF5ABC" w:rsidRDefault="00C8115B" w:rsidP="00C8115B">
      <w:pPr>
        <w:pStyle w:val="Default"/>
        <w:ind w:left="1440" w:right="1440"/>
        <w:rPr>
          <w:sz w:val="26"/>
          <w:szCs w:val="26"/>
        </w:rPr>
      </w:pPr>
      <w:r w:rsidRPr="008A0A6F">
        <w:rPr>
          <w:sz w:val="26"/>
          <w:szCs w:val="26"/>
        </w:rPr>
        <w:t xml:space="preserve">Lights and Water Pump - 7 Lights including Water Pump equal </w:t>
      </w:r>
      <w:r w:rsidR="00AF5ABC">
        <w:rPr>
          <w:sz w:val="26"/>
          <w:szCs w:val="26"/>
        </w:rPr>
        <w:t>0</w:t>
      </w:r>
      <w:r w:rsidRPr="00AF5ABC">
        <w:rPr>
          <w:sz w:val="26"/>
          <w:szCs w:val="26"/>
        </w:rPr>
        <w:t xml:space="preserve">.7x7 Hours per Day = 4.9 KWH/Day </w:t>
      </w:r>
    </w:p>
    <w:p w14:paraId="42F4E2B9" w14:textId="77777777" w:rsidR="00C8115B" w:rsidRPr="00A27EB8" w:rsidRDefault="00C8115B" w:rsidP="00C8115B">
      <w:pPr>
        <w:pStyle w:val="Default"/>
        <w:ind w:left="1440" w:right="1440"/>
        <w:rPr>
          <w:sz w:val="26"/>
          <w:szCs w:val="26"/>
        </w:rPr>
      </w:pPr>
    </w:p>
    <w:p w14:paraId="47AAABFF" w14:textId="70006407" w:rsidR="00C8115B" w:rsidRPr="00AF5ABC" w:rsidRDefault="00C8115B" w:rsidP="00C8115B">
      <w:pPr>
        <w:pStyle w:val="Default"/>
        <w:ind w:left="1440" w:right="1440"/>
        <w:rPr>
          <w:sz w:val="26"/>
          <w:szCs w:val="26"/>
        </w:rPr>
      </w:pPr>
      <w:r w:rsidRPr="008A0A6F">
        <w:rPr>
          <w:sz w:val="26"/>
          <w:szCs w:val="26"/>
        </w:rPr>
        <w:t xml:space="preserve">Hot Water Heater - 1 Light Outlet of 115 Watts per 12 Hours a Day equal </w:t>
      </w:r>
      <w:r w:rsidR="00AF5ABC">
        <w:rPr>
          <w:sz w:val="26"/>
          <w:szCs w:val="26"/>
        </w:rPr>
        <w:t>0</w:t>
      </w:r>
      <w:r w:rsidRPr="00AF5ABC">
        <w:rPr>
          <w:sz w:val="26"/>
          <w:szCs w:val="26"/>
        </w:rPr>
        <w:t xml:space="preserve">.1 x 12 Hours = 1.2 KWH/Day </w:t>
      </w:r>
    </w:p>
    <w:p w14:paraId="799538D7" w14:textId="77777777" w:rsidR="00C8115B" w:rsidRPr="00A27EB8" w:rsidRDefault="00C8115B" w:rsidP="00C8115B">
      <w:pPr>
        <w:pStyle w:val="Default"/>
        <w:ind w:left="1440" w:right="1440"/>
        <w:rPr>
          <w:sz w:val="26"/>
          <w:szCs w:val="26"/>
        </w:rPr>
      </w:pPr>
    </w:p>
    <w:p w14:paraId="6CB27CD3" w14:textId="3C8242CB" w:rsidR="00C8115B" w:rsidRPr="00AF5ABC" w:rsidRDefault="00C8115B" w:rsidP="00C8115B">
      <w:pPr>
        <w:pStyle w:val="Default"/>
        <w:ind w:left="1440" w:right="1440"/>
        <w:rPr>
          <w:sz w:val="26"/>
          <w:szCs w:val="26"/>
        </w:rPr>
      </w:pPr>
      <w:r w:rsidRPr="008A0A6F">
        <w:rPr>
          <w:sz w:val="26"/>
          <w:szCs w:val="26"/>
        </w:rPr>
        <w:t xml:space="preserve">Washer - 1 Light Outlet of 115 Watts per 4 Hour a Day (and overage) equal </w:t>
      </w:r>
      <w:r w:rsidR="00AF5ABC">
        <w:rPr>
          <w:sz w:val="26"/>
          <w:szCs w:val="26"/>
        </w:rPr>
        <w:t>0</w:t>
      </w:r>
      <w:r w:rsidRPr="00AF5ABC">
        <w:rPr>
          <w:sz w:val="26"/>
          <w:szCs w:val="26"/>
        </w:rPr>
        <w:t>.1x4 Hours =</w:t>
      </w:r>
      <w:r w:rsidR="005068D2">
        <w:rPr>
          <w:sz w:val="26"/>
          <w:szCs w:val="26"/>
        </w:rPr>
        <w:t xml:space="preserve"> </w:t>
      </w:r>
      <w:r w:rsidR="00AF5ABC">
        <w:rPr>
          <w:sz w:val="26"/>
          <w:szCs w:val="26"/>
        </w:rPr>
        <w:t>0</w:t>
      </w:r>
      <w:r w:rsidRPr="00AF5ABC">
        <w:rPr>
          <w:sz w:val="26"/>
          <w:szCs w:val="26"/>
        </w:rPr>
        <w:t xml:space="preserve">.4 KWH/Day </w:t>
      </w:r>
    </w:p>
    <w:p w14:paraId="166B9A13" w14:textId="77777777" w:rsidR="00C8115B" w:rsidRPr="00A27EB8" w:rsidRDefault="00C8115B" w:rsidP="00C8115B">
      <w:pPr>
        <w:pStyle w:val="Default"/>
        <w:ind w:left="1440" w:right="1440"/>
        <w:rPr>
          <w:sz w:val="26"/>
          <w:szCs w:val="26"/>
        </w:rPr>
      </w:pPr>
    </w:p>
    <w:p w14:paraId="39028246" w14:textId="2C15FECA" w:rsidR="00C8115B" w:rsidRPr="00AF5ABC" w:rsidRDefault="00C8115B" w:rsidP="00C8115B">
      <w:pPr>
        <w:pStyle w:val="Default"/>
        <w:ind w:left="1440" w:right="1440"/>
        <w:rPr>
          <w:sz w:val="26"/>
          <w:szCs w:val="26"/>
        </w:rPr>
      </w:pPr>
      <w:r w:rsidRPr="008A0A6F">
        <w:rPr>
          <w:sz w:val="26"/>
          <w:szCs w:val="26"/>
        </w:rPr>
        <w:t xml:space="preserve">Stove - 2 Lights Outlet or </w:t>
      </w:r>
      <w:proofErr w:type="gramStart"/>
      <w:r w:rsidRPr="008A0A6F">
        <w:rPr>
          <w:sz w:val="26"/>
          <w:szCs w:val="26"/>
        </w:rPr>
        <w:t>220 Watt</w:t>
      </w:r>
      <w:proofErr w:type="gramEnd"/>
      <w:r w:rsidRPr="008A0A6F">
        <w:rPr>
          <w:sz w:val="26"/>
          <w:szCs w:val="26"/>
        </w:rPr>
        <w:t xml:space="preserve"> Outlet per 2.4 Hours a Day equal </w:t>
      </w:r>
      <w:r w:rsidR="00AF5ABC">
        <w:rPr>
          <w:sz w:val="26"/>
          <w:szCs w:val="26"/>
        </w:rPr>
        <w:t>0</w:t>
      </w:r>
      <w:r w:rsidRPr="00AF5ABC">
        <w:rPr>
          <w:sz w:val="26"/>
          <w:szCs w:val="26"/>
        </w:rPr>
        <w:t xml:space="preserve">.2 x 2.4 Hours = </w:t>
      </w:r>
      <w:r w:rsidR="00AF5ABC">
        <w:rPr>
          <w:sz w:val="26"/>
          <w:szCs w:val="26"/>
        </w:rPr>
        <w:t>0</w:t>
      </w:r>
      <w:r w:rsidRPr="00AF5ABC">
        <w:rPr>
          <w:sz w:val="26"/>
          <w:szCs w:val="26"/>
        </w:rPr>
        <w:t xml:space="preserve">.48 KWH/Day </w:t>
      </w:r>
    </w:p>
    <w:p w14:paraId="304C9A30" w14:textId="77777777" w:rsidR="00C8115B" w:rsidRPr="00A27EB8" w:rsidRDefault="00C8115B" w:rsidP="00C8115B">
      <w:pPr>
        <w:pStyle w:val="Default"/>
        <w:ind w:left="1440" w:right="1440"/>
        <w:rPr>
          <w:sz w:val="26"/>
          <w:szCs w:val="26"/>
        </w:rPr>
      </w:pPr>
    </w:p>
    <w:p w14:paraId="05C3E65A" w14:textId="3AAE5E31" w:rsidR="00C8115B" w:rsidRPr="00AF5ABC" w:rsidRDefault="00C8115B" w:rsidP="00C8115B">
      <w:pPr>
        <w:pStyle w:val="Default"/>
        <w:ind w:left="1440" w:right="1440"/>
        <w:rPr>
          <w:sz w:val="26"/>
          <w:szCs w:val="26"/>
        </w:rPr>
      </w:pPr>
      <w:r w:rsidRPr="008A0A6F">
        <w:rPr>
          <w:sz w:val="26"/>
          <w:szCs w:val="26"/>
        </w:rPr>
        <w:t xml:space="preserve">Dryer - 2 Lights Outlet or </w:t>
      </w:r>
      <w:proofErr w:type="gramStart"/>
      <w:r w:rsidRPr="008A0A6F">
        <w:rPr>
          <w:sz w:val="26"/>
          <w:szCs w:val="26"/>
        </w:rPr>
        <w:t>220 Watt</w:t>
      </w:r>
      <w:proofErr w:type="gramEnd"/>
      <w:r w:rsidRPr="008A0A6F">
        <w:rPr>
          <w:sz w:val="26"/>
          <w:szCs w:val="26"/>
        </w:rPr>
        <w:t xml:space="preserve"> Outlet per 2.4 Hours a Day equal </w:t>
      </w:r>
      <w:r w:rsidR="00AF5ABC">
        <w:rPr>
          <w:sz w:val="26"/>
          <w:szCs w:val="26"/>
        </w:rPr>
        <w:t>0</w:t>
      </w:r>
      <w:r w:rsidRPr="00AF5ABC">
        <w:rPr>
          <w:sz w:val="26"/>
          <w:szCs w:val="26"/>
        </w:rPr>
        <w:t xml:space="preserve">.2 x 2.4 Hours = </w:t>
      </w:r>
      <w:r w:rsidR="00AF5ABC">
        <w:rPr>
          <w:sz w:val="26"/>
          <w:szCs w:val="26"/>
        </w:rPr>
        <w:t>0</w:t>
      </w:r>
      <w:r w:rsidRPr="00AF5ABC">
        <w:rPr>
          <w:sz w:val="26"/>
          <w:szCs w:val="26"/>
        </w:rPr>
        <w:t>.48 KWH/Day</w:t>
      </w:r>
    </w:p>
    <w:p w14:paraId="4768C60A" w14:textId="77777777" w:rsidR="00C8115B" w:rsidRPr="00A27EB8" w:rsidRDefault="00C8115B" w:rsidP="00C8115B">
      <w:pPr>
        <w:pStyle w:val="Default"/>
        <w:ind w:left="1440" w:right="1440"/>
        <w:rPr>
          <w:sz w:val="26"/>
          <w:szCs w:val="26"/>
        </w:rPr>
      </w:pPr>
      <w:r w:rsidRPr="00A27EB8">
        <w:rPr>
          <w:sz w:val="26"/>
          <w:szCs w:val="26"/>
        </w:rPr>
        <w:t xml:space="preserve"> </w:t>
      </w:r>
    </w:p>
    <w:p w14:paraId="19824214" w14:textId="4E6055D7" w:rsidR="00C8115B" w:rsidRPr="00AF5ABC" w:rsidRDefault="00C8115B" w:rsidP="00C8115B">
      <w:pPr>
        <w:pStyle w:val="Default"/>
        <w:ind w:left="1440" w:right="1440"/>
        <w:rPr>
          <w:sz w:val="26"/>
          <w:szCs w:val="26"/>
        </w:rPr>
      </w:pPr>
      <w:r w:rsidRPr="008A0A6F">
        <w:rPr>
          <w:sz w:val="26"/>
          <w:szCs w:val="26"/>
        </w:rPr>
        <w:t xml:space="preserve">Refrigerator - 1 Light Outlet per every half hour or 12 Hours a Day equal </w:t>
      </w:r>
      <w:r w:rsidR="00AF5ABC">
        <w:rPr>
          <w:sz w:val="26"/>
          <w:szCs w:val="26"/>
        </w:rPr>
        <w:t>0</w:t>
      </w:r>
      <w:r w:rsidRPr="00AF5ABC">
        <w:rPr>
          <w:sz w:val="26"/>
          <w:szCs w:val="26"/>
        </w:rPr>
        <w:t xml:space="preserve">.1x12 Hours = -1.2KWH/Day </w:t>
      </w:r>
    </w:p>
    <w:p w14:paraId="385C37C0" w14:textId="40EF8344" w:rsidR="00C8115B" w:rsidRPr="008A0A6F" w:rsidRDefault="00C8115B" w:rsidP="00C8115B">
      <w:pPr>
        <w:pStyle w:val="Default"/>
        <w:ind w:left="1440" w:right="1440"/>
        <w:rPr>
          <w:sz w:val="26"/>
          <w:szCs w:val="26"/>
        </w:rPr>
      </w:pPr>
      <w:r w:rsidRPr="008A0A6F">
        <w:rPr>
          <w:sz w:val="26"/>
          <w:szCs w:val="26"/>
        </w:rPr>
        <w:t xml:space="preserve">Electric Heat (Thermostat Auto-shut off) - 4 Light Outlet of </w:t>
      </w:r>
      <w:proofErr w:type="gramStart"/>
      <w:r w:rsidRPr="008A0A6F">
        <w:rPr>
          <w:sz w:val="26"/>
          <w:szCs w:val="26"/>
        </w:rPr>
        <w:t>115 Watt</w:t>
      </w:r>
      <w:proofErr w:type="gramEnd"/>
      <w:r w:rsidRPr="008A0A6F">
        <w:rPr>
          <w:sz w:val="26"/>
          <w:szCs w:val="26"/>
        </w:rPr>
        <w:t xml:space="preserve"> Outlet equal </w:t>
      </w:r>
      <w:r w:rsidR="00AF5ABC">
        <w:rPr>
          <w:sz w:val="26"/>
          <w:szCs w:val="26"/>
        </w:rPr>
        <w:t>0</w:t>
      </w:r>
      <w:r w:rsidRPr="00AF5ABC">
        <w:rPr>
          <w:sz w:val="26"/>
          <w:szCs w:val="26"/>
        </w:rPr>
        <w:t xml:space="preserve">.4x12 </w:t>
      </w:r>
      <w:proofErr w:type="spellStart"/>
      <w:r w:rsidRPr="00AF5ABC">
        <w:rPr>
          <w:sz w:val="26"/>
          <w:szCs w:val="26"/>
        </w:rPr>
        <w:t>Hrs</w:t>
      </w:r>
      <w:proofErr w:type="spellEnd"/>
      <w:r w:rsidRPr="00AF5ABC">
        <w:rPr>
          <w:sz w:val="26"/>
          <w:szCs w:val="26"/>
        </w:rPr>
        <w:t xml:space="preserve">: 4.8KWH/Day per every half hour </w:t>
      </w:r>
      <w:r w:rsidRPr="00A27EB8">
        <w:rPr>
          <w:sz w:val="26"/>
          <w:szCs w:val="26"/>
        </w:rPr>
        <w:t xml:space="preserve">per 24 hours or 12 Hours (every half hour and overage per day) </w:t>
      </w:r>
    </w:p>
    <w:p w14:paraId="44D39A5D" w14:textId="77777777" w:rsidR="00C8115B" w:rsidRPr="008A0A6F" w:rsidRDefault="00C8115B" w:rsidP="00C8115B">
      <w:pPr>
        <w:pStyle w:val="Default"/>
        <w:ind w:left="1440" w:right="1440"/>
        <w:rPr>
          <w:sz w:val="26"/>
          <w:szCs w:val="26"/>
        </w:rPr>
      </w:pPr>
    </w:p>
    <w:p w14:paraId="04D5C4EB" w14:textId="77777777" w:rsidR="00C8115B" w:rsidRPr="008A0A6F" w:rsidRDefault="00C8115B" w:rsidP="00C8115B">
      <w:pPr>
        <w:ind w:left="1440" w:right="1440"/>
        <w:rPr>
          <w:sz w:val="26"/>
          <w:szCs w:val="26"/>
        </w:rPr>
      </w:pPr>
      <w:r w:rsidRPr="008A0A6F">
        <w:rPr>
          <w:b/>
          <w:bCs/>
          <w:sz w:val="26"/>
          <w:szCs w:val="26"/>
        </w:rPr>
        <w:t xml:space="preserve">Total </w:t>
      </w:r>
      <w:proofErr w:type="spellStart"/>
      <w:r w:rsidRPr="008A0A6F">
        <w:rPr>
          <w:b/>
          <w:bCs/>
          <w:sz w:val="26"/>
          <w:szCs w:val="26"/>
        </w:rPr>
        <w:t>KiloWatt</w:t>
      </w:r>
      <w:proofErr w:type="spellEnd"/>
      <w:r w:rsidRPr="008A0A6F">
        <w:rPr>
          <w:b/>
          <w:bCs/>
          <w:sz w:val="26"/>
          <w:szCs w:val="26"/>
        </w:rPr>
        <w:t xml:space="preserve"> Hours per Day 13.46 KWH/Day</w:t>
      </w:r>
    </w:p>
    <w:p w14:paraId="270D8A70" w14:textId="70994A97" w:rsidR="00C8115B" w:rsidRPr="00685ABF" w:rsidRDefault="00C8115B" w:rsidP="00C46A6D">
      <w:pPr>
        <w:pStyle w:val="FootnoteText"/>
        <w:ind w:firstLine="720"/>
        <w:rPr>
          <w:sz w:val="26"/>
          <w:szCs w:val="26"/>
        </w:rPr>
      </w:pPr>
    </w:p>
    <w:p w14:paraId="43CF8142" w14:textId="5B490BAD" w:rsidR="00C8115B" w:rsidRPr="00685ABF" w:rsidRDefault="00E36AC5" w:rsidP="008A0A6F">
      <w:pPr>
        <w:pStyle w:val="FootnoteText"/>
        <w:rPr>
          <w:sz w:val="26"/>
          <w:szCs w:val="26"/>
        </w:rPr>
      </w:pPr>
      <w:r w:rsidRPr="00685ABF">
        <w:rPr>
          <w:i/>
          <w:iCs/>
          <w:sz w:val="26"/>
          <w:szCs w:val="26"/>
        </w:rPr>
        <w:t>See,</w:t>
      </w:r>
      <w:r>
        <w:rPr>
          <w:sz w:val="26"/>
          <w:szCs w:val="26"/>
        </w:rPr>
        <w:t xml:space="preserve"> </w:t>
      </w:r>
      <w:r w:rsidR="00C8115B" w:rsidRPr="00685ABF">
        <w:rPr>
          <w:sz w:val="26"/>
          <w:szCs w:val="26"/>
        </w:rPr>
        <w:t xml:space="preserve">I.D. at </w:t>
      </w:r>
      <w:proofErr w:type="gramStart"/>
      <w:r w:rsidR="008A0A6F" w:rsidRPr="00685ABF">
        <w:rPr>
          <w:sz w:val="26"/>
          <w:szCs w:val="26"/>
        </w:rPr>
        <w:t>6</w:t>
      </w:r>
      <w:r>
        <w:rPr>
          <w:sz w:val="26"/>
          <w:szCs w:val="26"/>
        </w:rPr>
        <w:t>;</w:t>
      </w:r>
      <w:proofErr w:type="gramEnd"/>
      <w:r>
        <w:rPr>
          <w:sz w:val="26"/>
          <w:szCs w:val="26"/>
        </w:rPr>
        <w:t xml:space="preserve"> Complaint</w:t>
      </w:r>
      <w:r w:rsidR="008A0A6F" w:rsidRPr="00685ABF">
        <w:rPr>
          <w:sz w:val="26"/>
          <w:szCs w:val="26"/>
        </w:rPr>
        <w:t xml:space="preserve">. </w:t>
      </w:r>
    </w:p>
  </w:footnote>
  <w:footnote w:id="5">
    <w:p w14:paraId="4FD3BC9C" w14:textId="6BC8DA5A" w:rsidR="00B85B14" w:rsidRPr="00685ABF" w:rsidRDefault="00B85B14" w:rsidP="007E7ACD">
      <w:pPr>
        <w:pStyle w:val="FootnoteText"/>
        <w:keepLines/>
        <w:ind w:firstLine="720"/>
        <w:rPr>
          <w:sz w:val="26"/>
          <w:szCs w:val="26"/>
        </w:rPr>
      </w:pPr>
      <w:r w:rsidRPr="00685ABF">
        <w:rPr>
          <w:rStyle w:val="FootnoteReference"/>
          <w:sz w:val="26"/>
          <w:szCs w:val="26"/>
        </w:rPr>
        <w:footnoteRef/>
      </w:r>
      <w:r w:rsidRPr="00685ABF">
        <w:rPr>
          <w:sz w:val="26"/>
          <w:szCs w:val="26"/>
        </w:rPr>
        <w:t xml:space="preserve"> </w:t>
      </w:r>
      <w:r w:rsidR="0059594D">
        <w:rPr>
          <w:sz w:val="26"/>
          <w:szCs w:val="26"/>
        </w:rPr>
        <w:tab/>
      </w:r>
      <w:r w:rsidR="00825705">
        <w:rPr>
          <w:sz w:val="26"/>
          <w:szCs w:val="26"/>
        </w:rPr>
        <w:t>As noted, t</w:t>
      </w:r>
      <w:r w:rsidR="001D3DDB" w:rsidRPr="00685ABF">
        <w:rPr>
          <w:sz w:val="26"/>
          <w:szCs w:val="26"/>
        </w:rPr>
        <w:t xml:space="preserve">he Complainant did not provide an explanation as to why he contacted this </w:t>
      </w:r>
      <w:proofErr w:type="gramStart"/>
      <w:r w:rsidR="001D3DDB" w:rsidRPr="00685ABF">
        <w:rPr>
          <w:sz w:val="26"/>
          <w:szCs w:val="26"/>
        </w:rPr>
        <w:t>particular utility</w:t>
      </w:r>
      <w:proofErr w:type="gramEnd"/>
      <w:r w:rsidR="001D3DDB" w:rsidRPr="00685ABF">
        <w:rPr>
          <w:sz w:val="26"/>
          <w:szCs w:val="26"/>
        </w:rPr>
        <w:t xml:space="preserve"> or how information he may have received regarding electric usage in Florida relates to his home or personal circumstance in Pennsylvania</w:t>
      </w:r>
      <w:r w:rsidR="00F569E0" w:rsidRPr="00685ABF">
        <w:rPr>
          <w:sz w:val="26"/>
          <w:szCs w:val="26"/>
        </w:rPr>
        <w:t xml:space="preserve">. </w:t>
      </w:r>
      <w:r w:rsidR="009826E3">
        <w:rPr>
          <w:sz w:val="26"/>
          <w:szCs w:val="26"/>
        </w:rPr>
        <w:t xml:space="preserve"> </w:t>
      </w:r>
      <w:r w:rsidRPr="00685ABF">
        <w:rPr>
          <w:sz w:val="26"/>
          <w:szCs w:val="26"/>
        </w:rPr>
        <w:t xml:space="preserve">In addition, ALJ Myers sustained PPL’s objection that </w:t>
      </w:r>
      <w:r w:rsidR="009826E3">
        <w:rPr>
          <w:sz w:val="26"/>
          <w:szCs w:val="26"/>
        </w:rPr>
        <w:t>the C</w:t>
      </w:r>
      <w:r w:rsidRPr="00685ABF">
        <w:rPr>
          <w:sz w:val="26"/>
          <w:szCs w:val="26"/>
        </w:rPr>
        <w:t xml:space="preserve">omplainant’s recitation of information regarding what he was told by JEA was impermissible hearsay.  </w:t>
      </w:r>
      <w:r w:rsidR="0034013E" w:rsidRPr="00685ABF">
        <w:rPr>
          <w:sz w:val="26"/>
          <w:szCs w:val="26"/>
        </w:rPr>
        <w:t xml:space="preserve">Uncorroborated hearsay cannot be used to support a finding of fact.  </w:t>
      </w:r>
      <w:r w:rsidR="0034013E" w:rsidRPr="00685ABF">
        <w:rPr>
          <w:i/>
          <w:iCs/>
          <w:sz w:val="26"/>
          <w:szCs w:val="26"/>
        </w:rPr>
        <w:t>Walker v. Unemployment Compensation Bd. of Review</w:t>
      </w:r>
      <w:r w:rsidR="0034013E" w:rsidRPr="00685ABF">
        <w:rPr>
          <w:sz w:val="26"/>
          <w:szCs w:val="26"/>
        </w:rPr>
        <w:t xml:space="preserve">, 367 A.2d 366 (Pa. Cmwlth. 1976).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65437E03"/>
    <w:multiLevelType w:val="hybridMultilevel"/>
    <w:tmpl w:val="18E8E25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2AD"/>
    <w:rsid w:val="00001380"/>
    <w:rsid w:val="00001873"/>
    <w:rsid w:val="00001970"/>
    <w:rsid w:val="00001F04"/>
    <w:rsid w:val="00002203"/>
    <w:rsid w:val="00002348"/>
    <w:rsid w:val="00002BC0"/>
    <w:rsid w:val="00002CE4"/>
    <w:rsid w:val="00002F2A"/>
    <w:rsid w:val="00002F49"/>
    <w:rsid w:val="00003627"/>
    <w:rsid w:val="000038D3"/>
    <w:rsid w:val="0000415E"/>
    <w:rsid w:val="0000570A"/>
    <w:rsid w:val="00005EE1"/>
    <w:rsid w:val="00005F78"/>
    <w:rsid w:val="0000645C"/>
    <w:rsid w:val="000065AF"/>
    <w:rsid w:val="00007440"/>
    <w:rsid w:val="000074DC"/>
    <w:rsid w:val="00007503"/>
    <w:rsid w:val="00007597"/>
    <w:rsid w:val="00007888"/>
    <w:rsid w:val="0001099D"/>
    <w:rsid w:val="00010E45"/>
    <w:rsid w:val="00012D0C"/>
    <w:rsid w:val="000138C9"/>
    <w:rsid w:val="00013FDE"/>
    <w:rsid w:val="00014C68"/>
    <w:rsid w:val="000158F2"/>
    <w:rsid w:val="00015A01"/>
    <w:rsid w:val="00016B3D"/>
    <w:rsid w:val="00020552"/>
    <w:rsid w:val="00020E43"/>
    <w:rsid w:val="00021A75"/>
    <w:rsid w:val="00021F0B"/>
    <w:rsid w:val="00022D45"/>
    <w:rsid w:val="00023536"/>
    <w:rsid w:val="0002355F"/>
    <w:rsid w:val="00023FCD"/>
    <w:rsid w:val="000310BE"/>
    <w:rsid w:val="00031669"/>
    <w:rsid w:val="00032087"/>
    <w:rsid w:val="000323A8"/>
    <w:rsid w:val="000330F7"/>
    <w:rsid w:val="00033C9A"/>
    <w:rsid w:val="00034CD7"/>
    <w:rsid w:val="00036927"/>
    <w:rsid w:val="000369A9"/>
    <w:rsid w:val="000414B0"/>
    <w:rsid w:val="00041B21"/>
    <w:rsid w:val="000425C0"/>
    <w:rsid w:val="00042F9E"/>
    <w:rsid w:val="000438A2"/>
    <w:rsid w:val="0004447C"/>
    <w:rsid w:val="00044CC4"/>
    <w:rsid w:val="000457DE"/>
    <w:rsid w:val="00045A7A"/>
    <w:rsid w:val="00045D01"/>
    <w:rsid w:val="0004660A"/>
    <w:rsid w:val="00047245"/>
    <w:rsid w:val="00047D2B"/>
    <w:rsid w:val="000505E5"/>
    <w:rsid w:val="00051647"/>
    <w:rsid w:val="00052BDC"/>
    <w:rsid w:val="00053CED"/>
    <w:rsid w:val="000549A7"/>
    <w:rsid w:val="00055C2D"/>
    <w:rsid w:val="00056AD8"/>
    <w:rsid w:val="00057057"/>
    <w:rsid w:val="00057859"/>
    <w:rsid w:val="000579BA"/>
    <w:rsid w:val="000606AA"/>
    <w:rsid w:val="000610F9"/>
    <w:rsid w:val="000612B8"/>
    <w:rsid w:val="00061850"/>
    <w:rsid w:val="00061B83"/>
    <w:rsid w:val="000620D6"/>
    <w:rsid w:val="0006229E"/>
    <w:rsid w:val="00062704"/>
    <w:rsid w:val="000629CD"/>
    <w:rsid w:val="00063028"/>
    <w:rsid w:val="00063701"/>
    <w:rsid w:val="00064692"/>
    <w:rsid w:val="00065DB6"/>
    <w:rsid w:val="00065E03"/>
    <w:rsid w:val="00066C24"/>
    <w:rsid w:val="00067196"/>
    <w:rsid w:val="000673D1"/>
    <w:rsid w:val="00067A0D"/>
    <w:rsid w:val="00067E3E"/>
    <w:rsid w:val="00071064"/>
    <w:rsid w:val="00071A8A"/>
    <w:rsid w:val="00072AC2"/>
    <w:rsid w:val="00072D9D"/>
    <w:rsid w:val="00073870"/>
    <w:rsid w:val="00075210"/>
    <w:rsid w:val="00075C6D"/>
    <w:rsid w:val="00075F0C"/>
    <w:rsid w:val="00077167"/>
    <w:rsid w:val="00080CCC"/>
    <w:rsid w:val="00080CE8"/>
    <w:rsid w:val="000814F3"/>
    <w:rsid w:val="00081C40"/>
    <w:rsid w:val="0008328F"/>
    <w:rsid w:val="00084DB9"/>
    <w:rsid w:val="00086622"/>
    <w:rsid w:val="00086D0B"/>
    <w:rsid w:val="00086F47"/>
    <w:rsid w:val="000876F1"/>
    <w:rsid w:val="000877E7"/>
    <w:rsid w:val="00087887"/>
    <w:rsid w:val="00087D18"/>
    <w:rsid w:val="0009007E"/>
    <w:rsid w:val="00090AF0"/>
    <w:rsid w:val="00091989"/>
    <w:rsid w:val="0009269E"/>
    <w:rsid w:val="0009275D"/>
    <w:rsid w:val="00092ABD"/>
    <w:rsid w:val="00092E0B"/>
    <w:rsid w:val="00092E40"/>
    <w:rsid w:val="000930E0"/>
    <w:rsid w:val="000940CD"/>
    <w:rsid w:val="0009466E"/>
    <w:rsid w:val="0009476C"/>
    <w:rsid w:val="00094F3D"/>
    <w:rsid w:val="00096F18"/>
    <w:rsid w:val="0009781B"/>
    <w:rsid w:val="000A010B"/>
    <w:rsid w:val="000A0C20"/>
    <w:rsid w:val="000A0D32"/>
    <w:rsid w:val="000A1B73"/>
    <w:rsid w:val="000A1EF2"/>
    <w:rsid w:val="000A239E"/>
    <w:rsid w:val="000A24C6"/>
    <w:rsid w:val="000A35F4"/>
    <w:rsid w:val="000A4174"/>
    <w:rsid w:val="000A4770"/>
    <w:rsid w:val="000A55D1"/>
    <w:rsid w:val="000A59F2"/>
    <w:rsid w:val="000A5F76"/>
    <w:rsid w:val="000A63CA"/>
    <w:rsid w:val="000A659B"/>
    <w:rsid w:val="000A7169"/>
    <w:rsid w:val="000A748C"/>
    <w:rsid w:val="000A75E5"/>
    <w:rsid w:val="000A7D89"/>
    <w:rsid w:val="000A7DDC"/>
    <w:rsid w:val="000A7F91"/>
    <w:rsid w:val="000A7F96"/>
    <w:rsid w:val="000B2B80"/>
    <w:rsid w:val="000B320A"/>
    <w:rsid w:val="000B37C8"/>
    <w:rsid w:val="000B3DAB"/>
    <w:rsid w:val="000B45BB"/>
    <w:rsid w:val="000B465F"/>
    <w:rsid w:val="000B48E8"/>
    <w:rsid w:val="000B4ED0"/>
    <w:rsid w:val="000B6C00"/>
    <w:rsid w:val="000B729D"/>
    <w:rsid w:val="000B7557"/>
    <w:rsid w:val="000C0702"/>
    <w:rsid w:val="000C15CE"/>
    <w:rsid w:val="000C22A2"/>
    <w:rsid w:val="000C474C"/>
    <w:rsid w:val="000C5C6E"/>
    <w:rsid w:val="000C63FF"/>
    <w:rsid w:val="000C70B2"/>
    <w:rsid w:val="000C71A1"/>
    <w:rsid w:val="000C742F"/>
    <w:rsid w:val="000D03DD"/>
    <w:rsid w:val="000D2456"/>
    <w:rsid w:val="000D38DA"/>
    <w:rsid w:val="000D3A39"/>
    <w:rsid w:val="000D3FF0"/>
    <w:rsid w:val="000D42A7"/>
    <w:rsid w:val="000D7483"/>
    <w:rsid w:val="000D7A3F"/>
    <w:rsid w:val="000E014F"/>
    <w:rsid w:val="000E1108"/>
    <w:rsid w:val="000E1730"/>
    <w:rsid w:val="000E3624"/>
    <w:rsid w:val="000E3D4A"/>
    <w:rsid w:val="000E3D4C"/>
    <w:rsid w:val="000E41BB"/>
    <w:rsid w:val="000E4BED"/>
    <w:rsid w:val="000E515B"/>
    <w:rsid w:val="000E570C"/>
    <w:rsid w:val="000E5BCD"/>
    <w:rsid w:val="000E709A"/>
    <w:rsid w:val="000F035A"/>
    <w:rsid w:val="000F086A"/>
    <w:rsid w:val="000F1318"/>
    <w:rsid w:val="000F22DA"/>
    <w:rsid w:val="000F2540"/>
    <w:rsid w:val="000F2935"/>
    <w:rsid w:val="000F2A1D"/>
    <w:rsid w:val="000F35E6"/>
    <w:rsid w:val="000F3795"/>
    <w:rsid w:val="000F3896"/>
    <w:rsid w:val="000F3AD3"/>
    <w:rsid w:val="000F3C8D"/>
    <w:rsid w:val="000F4467"/>
    <w:rsid w:val="000F4F95"/>
    <w:rsid w:val="000F5177"/>
    <w:rsid w:val="000F5F00"/>
    <w:rsid w:val="000F69B0"/>
    <w:rsid w:val="000F6C98"/>
    <w:rsid w:val="000F6D5A"/>
    <w:rsid w:val="0010013C"/>
    <w:rsid w:val="001006F0"/>
    <w:rsid w:val="00100BA6"/>
    <w:rsid w:val="00101745"/>
    <w:rsid w:val="00102D03"/>
    <w:rsid w:val="00104F15"/>
    <w:rsid w:val="00105084"/>
    <w:rsid w:val="00105193"/>
    <w:rsid w:val="00106400"/>
    <w:rsid w:val="00106537"/>
    <w:rsid w:val="00106BE0"/>
    <w:rsid w:val="00106ECA"/>
    <w:rsid w:val="0011096D"/>
    <w:rsid w:val="00111A44"/>
    <w:rsid w:val="00111C9B"/>
    <w:rsid w:val="001126B3"/>
    <w:rsid w:val="00112F14"/>
    <w:rsid w:val="00114080"/>
    <w:rsid w:val="0011423D"/>
    <w:rsid w:val="00114D80"/>
    <w:rsid w:val="0011580C"/>
    <w:rsid w:val="00116724"/>
    <w:rsid w:val="00116E75"/>
    <w:rsid w:val="001170DB"/>
    <w:rsid w:val="00120FCD"/>
    <w:rsid w:val="00121004"/>
    <w:rsid w:val="00121111"/>
    <w:rsid w:val="001227E2"/>
    <w:rsid w:val="00122941"/>
    <w:rsid w:val="00123375"/>
    <w:rsid w:val="00123802"/>
    <w:rsid w:val="0012456C"/>
    <w:rsid w:val="00124C20"/>
    <w:rsid w:val="00125767"/>
    <w:rsid w:val="00125890"/>
    <w:rsid w:val="001260A0"/>
    <w:rsid w:val="0012641B"/>
    <w:rsid w:val="0012697D"/>
    <w:rsid w:val="001307B6"/>
    <w:rsid w:val="00130DA1"/>
    <w:rsid w:val="00131517"/>
    <w:rsid w:val="00131A77"/>
    <w:rsid w:val="00131B43"/>
    <w:rsid w:val="001328CA"/>
    <w:rsid w:val="00132C3A"/>
    <w:rsid w:val="00133684"/>
    <w:rsid w:val="00134874"/>
    <w:rsid w:val="00134C35"/>
    <w:rsid w:val="00134CC7"/>
    <w:rsid w:val="00134D3A"/>
    <w:rsid w:val="00135616"/>
    <w:rsid w:val="00136E37"/>
    <w:rsid w:val="0013771C"/>
    <w:rsid w:val="00140B75"/>
    <w:rsid w:val="00140EBD"/>
    <w:rsid w:val="00141760"/>
    <w:rsid w:val="00141DBB"/>
    <w:rsid w:val="001437B9"/>
    <w:rsid w:val="00143927"/>
    <w:rsid w:val="00144427"/>
    <w:rsid w:val="0015070A"/>
    <w:rsid w:val="00150989"/>
    <w:rsid w:val="00151166"/>
    <w:rsid w:val="00153234"/>
    <w:rsid w:val="00153B73"/>
    <w:rsid w:val="00154F21"/>
    <w:rsid w:val="0015662E"/>
    <w:rsid w:val="0015669F"/>
    <w:rsid w:val="0015686E"/>
    <w:rsid w:val="00156BE1"/>
    <w:rsid w:val="00157042"/>
    <w:rsid w:val="001571F2"/>
    <w:rsid w:val="0015798E"/>
    <w:rsid w:val="00157A52"/>
    <w:rsid w:val="00157A84"/>
    <w:rsid w:val="00157BDC"/>
    <w:rsid w:val="00157C14"/>
    <w:rsid w:val="0016005F"/>
    <w:rsid w:val="00160565"/>
    <w:rsid w:val="001606BC"/>
    <w:rsid w:val="00160B7C"/>
    <w:rsid w:val="0016116D"/>
    <w:rsid w:val="00161471"/>
    <w:rsid w:val="0016155A"/>
    <w:rsid w:val="001617F9"/>
    <w:rsid w:val="00161E6E"/>
    <w:rsid w:val="001620E4"/>
    <w:rsid w:val="00162420"/>
    <w:rsid w:val="00163AA3"/>
    <w:rsid w:val="00163C39"/>
    <w:rsid w:val="00165945"/>
    <w:rsid w:val="00167F11"/>
    <w:rsid w:val="00167F75"/>
    <w:rsid w:val="00170EA7"/>
    <w:rsid w:val="00170F24"/>
    <w:rsid w:val="001716CD"/>
    <w:rsid w:val="00172C4A"/>
    <w:rsid w:val="001730AD"/>
    <w:rsid w:val="001738D5"/>
    <w:rsid w:val="001743B6"/>
    <w:rsid w:val="00174516"/>
    <w:rsid w:val="00174D7D"/>
    <w:rsid w:val="00175B2F"/>
    <w:rsid w:val="00177A43"/>
    <w:rsid w:val="001802F0"/>
    <w:rsid w:val="00181004"/>
    <w:rsid w:val="00182179"/>
    <w:rsid w:val="0018236E"/>
    <w:rsid w:val="001827DB"/>
    <w:rsid w:val="00183632"/>
    <w:rsid w:val="001836EC"/>
    <w:rsid w:val="001852CF"/>
    <w:rsid w:val="00185B5E"/>
    <w:rsid w:val="00186183"/>
    <w:rsid w:val="00186887"/>
    <w:rsid w:val="00186F71"/>
    <w:rsid w:val="001870DE"/>
    <w:rsid w:val="0018772B"/>
    <w:rsid w:val="001903F0"/>
    <w:rsid w:val="0019093F"/>
    <w:rsid w:val="001909A7"/>
    <w:rsid w:val="00190A91"/>
    <w:rsid w:val="00191574"/>
    <w:rsid w:val="00191851"/>
    <w:rsid w:val="00192EBC"/>
    <w:rsid w:val="00193CEB"/>
    <w:rsid w:val="00193D64"/>
    <w:rsid w:val="00195664"/>
    <w:rsid w:val="00196100"/>
    <w:rsid w:val="00196484"/>
    <w:rsid w:val="001967BB"/>
    <w:rsid w:val="00196BDC"/>
    <w:rsid w:val="00197F3D"/>
    <w:rsid w:val="001A114F"/>
    <w:rsid w:val="001A17C3"/>
    <w:rsid w:val="001A29C7"/>
    <w:rsid w:val="001A4A0C"/>
    <w:rsid w:val="001A53C8"/>
    <w:rsid w:val="001A56B3"/>
    <w:rsid w:val="001A5C18"/>
    <w:rsid w:val="001A632A"/>
    <w:rsid w:val="001A6370"/>
    <w:rsid w:val="001A7C77"/>
    <w:rsid w:val="001B0265"/>
    <w:rsid w:val="001B03F0"/>
    <w:rsid w:val="001B1107"/>
    <w:rsid w:val="001B1A49"/>
    <w:rsid w:val="001B4783"/>
    <w:rsid w:val="001B48DC"/>
    <w:rsid w:val="001B54B3"/>
    <w:rsid w:val="001B5664"/>
    <w:rsid w:val="001B642F"/>
    <w:rsid w:val="001B66E1"/>
    <w:rsid w:val="001B6B53"/>
    <w:rsid w:val="001B73A5"/>
    <w:rsid w:val="001B75C1"/>
    <w:rsid w:val="001B7AD2"/>
    <w:rsid w:val="001B7E44"/>
    <w:rsid w:val="001C0410"/>
    <w:rsid w:val="001C167C"/>
    <w:rsid w:val="001C2324"/>
    <w:rsid w:val="001C2384"/>
    <w:rsid w:val="001C3135"/>
    <w:rsid w:val="001C331A"/>
    <w:rsid w:val="001C3A1B"/>
    <w:rsid w:val="001C3A7C"/>
    <w:rsid w:val="001C47A2"/>
    <w:rsid w:val="001C4D2E"/>
    <w:rsid w:val="001C51C4"/>
    <w:rsid w:val="001C53B1"/>
    <w:rsid w:val="001C730F"/>
    <w:rsid w:val="001C7922"/>
    <w:rsid w:val="001C7C12"/>
    <w:rsid w:val="001D0315"/>
    <w:rsid w:val="001D11B8"/>
    <w:rsid w:val="001D15B1"/>
    <w:rsid w:val="001D1784"/>
    <w:rsid w:val="001D266F"/>
    <w:rsid w:val="001D27D5"/>
    <w:rsid w:val="001D2BAD"/>
    <w:rsid w:val="001D3011"/>
    <w:rsid w:val="001D3DDB"/>
    <w:rsid w:val="001D412C"/>
    <w:rsid w:val="001D41EC"/>
    <w:rsid w:val="001D5A75"/>
    <w:rsid w:val="001D6521"/>
    <w:rsid w:val="001D6DAA"/>
    <w:rsid w:val="001D746E"/>
    <w:rsid w:val="001D7EBD"/>
    <w:rsid w:val="001E05C6"/>
    <w:rsid w:val="001E2658"/>
    <w:rsid w:val="001E2717"/>
    <w:rsid w:val="001E2CFB"/>
    <w:rsid w:val="001E342B"/>
    <w:rsid w:val="001E3713"/>
    <w:rsid w:val="001E4C1C"/>
    <w:rsid w:val="001E51E9"/>
    <w:rsid w:val="001E5417"/>
    <w:rsid w:val="001E5511"/>
    <w:rsid w:val="001E6066"/>
    <w:rsid w:val="001E6861"/>
    <w:rsid w:val="001E6DA3"/>
    <w:rsid w:val="001E72EC"/>
    <w:rsid w:val="001E73AB"/>
    <w:rsid w:val="001F03CE"/>
    <w:rsid w:val="001F0488"/>
    <w:rsid w:val="001F2321"/>
    <w:rsid w:val="001F2BD2"/>
    <w:rsid w:val="001F3443"/>
    <w:rsid w:val="001F3DC6"/>
    <w:rsid w:val="001F4060"/>
    <w:rsid w:val="001F44D5"/>
    <w:rsid w:val="001F4C91"/>
    <w:rsid w:val="001F55D5"/>
    <w:rsid w:val="001F5868"/>
    <w:rsid w:val="001F67F2"/>
    <w:rsid w:val="001F794B"/>
    <w:rsid w:val="001F7B55"/>
    <w:rsid w:val="00200E35"/>
    <w:rsid w:val="002013B2"/>
    <w:rsid w:val="00201CF3"/>
    <w:rsid w:val="00201F63"/>
    <w:rsid w:val="00202047"/>
    <w:rsid w:val="0020406A"/>
    <w:rsid w:val="00204650"/>
    <w:rsid w:val="002051DE"/>
    <w:rsid w:val="00205839"/>
    <w:rsid w:val="00206720"/>
    <w:rsid w:val="00206A67"/>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11C"/>
    <w:rsid w:val="0021645F"/>
    <w:rsid w:val="00217C4E"/>
    <w:rsid w:val="00217E3D"/>
    <w:rsid w:val="00220CE0"/>
    <w:rsid w:val="00221C10"/>
    <w:rsid w:val="002234B5"/>
    <w:rsid w:val="002235CE"/>
    <w:rsid w:val="0022395C"/>
    <w:rsid w:val="002242F7"/>
    <w:rsid w:val="00224B35"/>
    <w:rsid w:val="00225BD2"/>
    <w:rsid w:val="002260B2"/>
    <w:rsid w:val="00226653"/>
    <w:rsid w:val="00226E82"/>
    <w:rsid w:val="0022734C"/>
    <w:rsid w:val="00230166"/>
    <w:rsid w:val="00230396"/>
    <w:rsid w:val="0023043A"/>
    <w:rsid w:val="00230BAB"/>
    <w:rsid w:val="00231CDD"/>
    <w:rsid w:val="0023312B"/>
    <w:rsid w:val="002333E3"/>
    <w:rsid w:val="00233E2F"/>
    <w:rsid w:val="00234289"/>
    <w:rsid w:val="00234DC2"/>
    <w:rsid w:val="0023535F"/>
    <w:rsid w:val="00235759"/>
    <w:rsid w:val="002357D7"/>
    <w:rsid w:val="002365A9"/>
    <w:rsid w:val="00237CB3"/>
    <w:rsid w:val="002411CC"/>
    <w:rsid w:val="00241B87"/>
    <w:rsid w:val="0024335B"/>
    <w:rsid w:val="0024389A"/>
    <w:rsid w:val="00244887"/>
    <w:rsid w:val="00245437"/>
    <w:rsid w:val="00246BA0"/>
    <w:rsid w:val="00247BB1"/>
    <w:rsid w:val="00252D9D"/>
    <w:rsid w:val="00252E14"/>
    <w:rsid w:val="002537C8"/>
    <w:rsid w:val="00253F56"/>
    <w:rsid w:val="00253FD2"/>
    <w:rsid w:val="00255147"/>
    <w:rsid w:val="00255A6D"/>
    <w:rsid w:val="002567D5"/>
    <w:rsid w:val="0025691E"/>
    <w:rsid w:val="00256A4C"/>
    <w:rsid w:val="00260041"/>
    <w:rsid w:val="00260366"/>
    <w:rsid w:val="00260547"/>
    <w:rsid w:val="00260A97"/>
    <w:rsid w:val="0026191C"/>
    <w:rsid w:val="00261E33"/>
    <w:rsid w:val="002628F9"/>
    <w:rsid w:val="00262BD8"/>
    <w:rsid w:val="0026347E"/>
    <w:rsid w:val="00263EDB"/>
    <w:rsid w:val="002645F0"/>
    <w:rsid w:val="00264ABB"/>
    <w:rsid w:val="00264F2D"/>
    <w:rsid w:val="00264FEB"/>
    <w:rsid w:val="00265263"/>
    <w:rsid w:val="00265DD2"/>
    <w:rsid w:val="00266827"/>
    <w:rsid w:val="00266A1E"/>
    <w:rsid w:val="00267649"/>
    <w:rsid w:val="00267732"/>
    <w:rsid w:val="00272760"/>
    <w:rsid w:val="002731E0"/>
    <w:rsid w:val="00273B8C"/>
    <w:rsid w:val="00273FE5"/>
    <w:rsid w:val="00274284"/>
    <w:rsid w:val="00274861"/>
    <w:rsid w:val="00275124"/>
    <w:rsid w:val="002751AE"/>
    <w:rsid w:val="002753CE"/>
    <w:rsid w:val="00275FF7"/>
    <w:rsid w:val="00276166"/>
    <w:rsid w:val="00276C00"/>
    <w:rsid w:val="00277004"/>
    <w:rsid w:val="00277653"/>
    <w:rsid w:val="00281D3B"/>
    <w:rsid w:val="00282D52"/>
    <w:rsid w:val="00282F3F"/>
    <w:rsid w:val="002836FA"/>
    <w:rsid w:val="002838E3"/>
    <w:rsid w:val="00283F86"/>
    <w:rsid w:val="002847CB"/>
    <w:rsid w:val="00285105"/>
    <w:rsid w:val="00285550"/>
    <w:rsid w:val="00285919"/>
    <w:rsid w:val="00285E1B"/>
    <w:rsid w:val="0028615A"/>
    <w:rsid w:val="002864C6"/>
    <w:rsid w:val="00286F7C"/>
    <w:rsid w:val="00287BE6"/>
    <w:rsid w:val="00287CC5"/>
    <w:rsid w:val="0029085A"/>
    <w:rsid w:val="002931D9"/>
    <w:rsid w:val="0029364B"/>
    <w:rsid w:val="002958B5"/>
    <w:rsid w:val="002959F5"/>
    <w:rsid w:val="00296612"/>
    <w:rsid w:val="0029737E"/>
    <w:rsid w:val="00297685"/>
    <w:rsid w:val="00297C2E"/>
    <w:rsid w:val="002A0136"/>
    <w:rsid w:val="002A1C25"/>
    <w:rsid w:val="002A1E1B"/>
    <w:rsid w:val="002A2303"/>
    <w:rsid w:val="002A2A68"/>
    <w:rsid w:val="002A333F"/>
    <w:rsid w:val="002A38C3"/>
    <w:rsid w:val="002A3A6E"/>
    <w:rsid w:val="002A3AC8"/>
    <w:rsid w:val="002A4B76"/>
    <w:rsid w:val="002A53EA"/>
    <w:rsid w:val="002A5B9B"/>
    <w:rsid w:val="002A5CB7"/>
    <w:rsid w:val="002A5FA3"/>
    <w:rsid w:val="002A6384"/>
    <w:rsid w:val="002A63DE"/>
    <w:rsid w:val="002A6C1F"/>
    <w:rsid w:val="002A6F9C"/>
    <w:rsid w:val="002A71F9"/>
    <w:rsid w:val="002A740E"/>
    <w:rsid w:val="002B14F1"/>
    <w:rsid w:val="002B2121"/>
    <w:rsid w:val="002B2223"/>
    <w:rsid w:val="002B30F8"/>
    <w:rsid w:val="002B3767"/>
    <w:rsid w:val="002B37EF"/>
    <w:rsid w:val="002B3979"/>
    <w:rsid w:val="002B45BA"/>
    <w:rsid w:val="002B4AF8"/>
    <w:rsid w:val="002B4B0D"/>
    <w:rsid w:val="002B574E"/>
    <w:rsid w:val="002B576A"/>
    <w:rsid w:val="002C0012"/>
    <w:rsid w:val="002C002A"/>
    <w:rsid w:val="002C011D"/>
    <w:rsid w:val="002C19D9"/>
    <w:rsid w:val="002C19FE"/>
    <w:rsid w:val="002C36C3"/>
    <w:rsid w:val="002C3A79"/>
    <w:rsid w:val="002C41C5"/>
    <w:rsid w:val="002C4BF6"/>
    <w:rsid w:val="002C5029"/>
    <w:rsid w:val="002C5E4C"/>
    <w:rsid w:val="002C5EE0"/>
    <w:rsid w:val="002C6054"/>
    <w:rsid w:val="002C6BD7"/>
    <w:rsid w:val="002C6E17"/>
    <w:rsid w:val="002C7FAF"/>
    <w:rsid w:val="002D07D4"/>
    <w:rsid w:val="002D1465"/>
    <w:rsid w:val="002D1892"/>
    <w:rsid w:val="002D2D30"/>
    <w:rsid w:val="002D3E11"/>
    <w:rsid w:val="002D430D"/>
    <w:rsid w:val="002D43F8"/>
    <w:rsid w:val="002D48DB"/>
    <w:rsid w:val="002D48F5"/>
    <w:rsid w:val="002D4D00"/>
    <w:rsid w:val="002D4D21"/>
    <w:rsid w:val="002D5A50"/>
    <w:rsid w:val="002D5C5B"/>
    <w:rsid w:val="002D5FE9"/>
    <w:rsid w:val="002D6210"/>
    <w:rsid w:val="002D650D"/>
    <w:rsid w:val="002E035D"/>
    <w:rsid w:val="002E0503"/>
    <w:rsid w:val="002E09D3"/>
    <w:rsid w:val="002E1177"/>
    <w:rsid w:val="002E16FC"/>
    <w:rsid w:val="002E1859"/>
    <w:rsid w:val="002E1C3F"/>
    <w:rsid w:val="002E456C"/>
    <w:rsid w:val="002E5790"/>
    <w:rsid w:val="002E6214"/>
    <w:rsid w:val="002E6E40"/>
    <w:rsid w:val="002E6EE9"/>
    <w:rsid w:val="002F0636"/>
    <w:rsid w:val="002F0ADE"/>
    <w:rsid w:val="002F0CED"/>
    <w:rsid w:val="002F1870"/>
    <w:rsid w:val="002F246D"/>
    <w:rsid w:val="002F2CEF"/>
    <w:rsid w:val="002F3827"/>
    <w:rsid w:val="002F480A"/>
    <w:rsid w:val="002F5424"/>
    <w:rsid w:val="002F5D1D"/>
    <w:rsid w:val="002F5FDF"/>
    <w:rsid w:val="002F6418"/>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0774B"/>
    <w:rsid w:val="00310D99"/>
    <w:rsid w:val="0031153E"/>
    <w:rsid w:val="00311E53"/>
    <w:rsid w:val="00312AED"/>
    <w:rsid w:val="00312B5A"/>
    <w:rsid w:val="00312E08"/>
    <w:rsid w:val="00313471"/>
    <w:rsid w:val="0031396C"/>
    <w:rsid w:val="003143DF"/>
    <w:rsid w:val="00314635"/>
    <w:rsid w:val="003158CE"/>
    <w:rsid w:val="00316BFA"/>
    <w:rsid w:val="00316E94"/>
    <w:rsid w:val="003177A0"/>
    <w:rsid w:val="003210EC"/>
    <w:rsid w:val="003211A5"/>
    <w:rsid w:val="003218DD"/>
    <w:rsid w:val="00322A65"/>
    <w:rsid w:val="00323F3D"/>
    <w:rsid w:val="00324197"/>
    <w:rsid w:val="003243FF"/>
    <w:rsid w:val="00324FDF"/>
    <w:rsid w:val="003255BF"/>
    <w:rsid w:val="00325606"/>
    <w:rsid w:val="00326A17"/>
    <w:rsid w:val="00326BF6"/>
    <w:rsid w:val="00330239"/>
    <w:rsid w:val="00330365"/>
    <w:rsid w:val="00332060"/>
    <w:rsid w:val="003336F9"/>
    <w:rsid w:val="00333F9C"/>
    <w:rsid w:val="00335E8E"/>
    <w:rsid w:val="00336FAF"/>
    <w:rsid w:val="00337351"/>
    <w:rsid w:val="00337DFD"/>
    <w:rsid w:val="0034013E"/>
    <w:rsid w:val="00340C45"/>
    <w:rsid w:val="00341EBA"/>
    <w:rsid w:val="003432AF"/>
    <w:rsid w:val="00343BD1"/>
    <w:rsid w:val="00343F42"/>
    <w:rsid w:val="00344DE3"/>
    <w:rsid w:val="00345135"/>
    <w:rsid w:val="003470A4"/>
    <w:rsid w:val="00350145"/>
    <w:rsid w:val="00351387"/>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077"/>
    <w:rsid w:val="003704B1"/>
    <w:rsid w:val="003708CD"/>
    <w:rsid w:val="00370ADB"/>
    <w:rsid w:val="00370E2A"/>
    <w:rsid w:val="00372BD1"/>
    <w:rsid w:val="00373F74"/>
    <w:rsid w:val="003742CF"/>
    <w:rsid w:val="00374344"/>
    <w:rsid w:val="00375080"/>
    <w:rsid w:val="0037692B"/>
    <w:rsid w:val="003806A7"/>
    <w:rsid w:val="00380824"/>
    <w:rsid w:val="00380889"/>
    <w:rsid w:val="0038121C"/>
    <w:rsid w:val="003813B6"/>
    <w:rsid w:val="00381C7A"/>
    <w:rsid w:val="00382A4B"/>
    <w:rsid w:val="00383539"/>
    <w:rsid w:val="0038419E"/>
    <w:rsid w:val="00384D26"/>
    <w:rsid w:val="00385595"/>
    <w:rsid w:val="003864E0"/>
    <w:rsid w:val="003873EC"/>
    <w:rsid w:val="00390901"/>
    <w:rsid w:val="00390935"/>
    <w:rsid w:val="00390EAC"/>
    <w:rsid w:val="00390FB3"/>
    <w:rsid w:val="003932FF"/>
    <w:rsid w:val="00394289"/>
    <w:rsid w:val="00394901"/>
    <w:rsid w:val="00396DDD"/>
    <w:rsid w:val="00396E0C"/>
    <w:rsid w:val="00397240"/>
    <w:rsid w:val="0039733C"/>
    <w:rsid w:val="00397A8B"/>
    <w:rsid w:val="00397DE1"/>
    <w:rsid w:val="003A0289"/>
    <w:rsid w:val="003A05A4"/>
    <w:rsid w:val="003A0EFA"/>
    <w:rsid w:val="003A1AE3"/>
    <w:rsid w:val="003A1B55"/>
    <w:rsid w:val="003A1BF7"/>
    <w:rsid w:val="003A1D11"/>
    <w:rsid w:val="003A2F51"/>
    <w:rsid w:val="003A3888"/>
    <w:rsid w:val="003A3A03"/>
    <w:rsid w:val="003A4827"/>
    <w:rsid w:val="003A4F76"/>
    <w:rsid w:val="003A50AE"/>
    <w:rsid w:val="003A5385"/>
    <w:rsid w:val="003A5839"/>
    <w:rsid w:val="003A79A7"/>
    <w:rsid w:val="003B1460"/>
    <w:rsid w:val="003B1AD4"/>
    <w:rsid w:val="003B2A95"/>
    <w:rsid w:val="003B3893"/>
    <w:rsid w:val="003B3CEA"/>
    <w:rsid w:val="003B4CDB"/>
    <w:rsid w:val="003B55BA"/>
    <w:rsid w:val="003B561F"/>
    <w:rsid w:val="003B6407"/>
    <w:rsid w:val="003B6A0D"/>
    <w:rsid w:val="003B6D6F"/>
    <w:rsid w:val="003B6F63"/>
    <w:rsid w:val="003C042A"/>
    <w:rsid w:val="003C05A6"/>
    <w:rsid w:val="003C08A6"/>
    <w:rsid w:val="003C0BFD"/>
    <w:rsid w:val="003C0DCF"/>
    <w:rsid w:val="003C0F72"/>
    <w:rsid w:val="003C135E"/>
    <w:rsid w:val="003C2071"/>
    <w:rsid w:val="003C4355"/>
    <w:rsid w:val="003C4A3C"/>
    <w:rsid w:val="003C4DEE"/>
    <w:rsid w:val="003C54B2"/>
    <w:rsid w:val="003C5758"/>
    <w:rsid w:val="003C59B3"/>
    <w:rsid w:val="003C5CBD"/>
    <w:rsid w:val="003C5CC7"/>
    <w:rsid w:val="003C61AD"/>
    <w:rsid w:val="003C6576"/>
    <w:rsid w:val="003C6624"/>
    <w:rsid w:val="003C6ABD"/>
    <w:rsid w:val="003C6D35"/>
    <w:rsid w:val="003C718F"/>
    <w:rsid w:val="003C761B"/>
    <w:rsid w:val="003C7678"/>
    <w:rsid w:val="003D1299"/>
    <w:rsid w:val="003D17B2"/>
    <w:rsid w:val="003D234C"/>
    <w:rsid w:val="003D2FA7"/>
    <w:rsid w:val="003D33CC"/>
    <w:rsid w:val="003D34B7"/>
    <w:rsid w:val="003D3538"/>
    <w:rsid w:val="003D3779"/>
    <w:rsid w:val="003D4436"/>
    <w:rsid w:val="003D4638"/>
    <w:rsid w:val="003D4EA1"/>
    <w:rsid w:val="003D509A"/>
    <w:rsid w:val="003D571B"/>
    <w:rsid w:val="003D715B"/>
    <w:rsid w:val="003D7A8D"/>
    <w:rsid w:val="003E206B"/>
    <w:rsid w:val="003E22CB"/>
    <w:rsid w:val="003E3836"/>
    <w:rsid w:val="003E45AF"/>
    <w:rsid w:val="003E6144"/>
    <w:rsid w:val="003E6384"/>
    <w:rsid w:val="003E6544"/>
    <w:rsid w:val="003E6D9C"/>
    <w:rsid w:val="003E6DED"/>
    <w:rsid w:val="003E771C"/>
    <w:rsid w:val="003E784C"/>
    <w:rsid w:val="003E7B6A"/>
    <w:rsid w:val="003F07AF"/>
    <w:rsid w:val="003F08B3"/>
    <w:rsid w:val="003F2372"/>
    <w:rsid w:val="003F27D1"/>
    <w:rsid w:val="003F287E"/>
    <w:rsid w:val="003F3E83"/>
    <w:rsid w:val="003F6004"/>
    <w:rsid w:val="003F62A9"/>
    <w:rsid w:val="003F6B49"/>
    <w:rsid w:val="003F7000"/>
    <w:rsid w:val="00400A85"/>
    <w:rsid w:val="004012CB"/>
    <w:rsid w:val="004023F4"/>
    <w:rsid w:val="00402479"/>
    <w:rsid w:val="0040255A"/>
    <w:rsid w:val="004041D5"/>
    <w:rsid w:val="0040425C"/>
    <w:rsid w:val="00404D47"/>
    <w:rsid w:val="00406562"/>
    <w:rsid w:val="004065AF"/>
    <w:rsid w:val="0041052A"/>
    <w:rsid w:val="0041054F"/>
    <w:rsid w:val="0041107A"/>
    <w:rsid w:val="004113DE"/>
    <w:rsid w:val="004119CD"/>
    <w:rsid w:val="00411CC6"/>
    <w:rsid w:val="00412DCF"/>
    <w:rsid w:val="004144EE"/>
    <w:rsid w:val="004146BE"/>
    <w:rsid w:val="00414855"/>
    <w:rsid w:val="00415460"/>
    <w:rsid w:val="00415483"/>
    <w:rsid w:val="00415C4F"/>
    <w:rsid w:val="00416C72"/>
    <w:rsid w:val="004170E4"/>
    <w:rsid w:val="00417166"/>
    <w:rsid w:val="004177C8"/>
    <w:rsid w:val="00420B2F"/>
    <w:rsid w:val="0042105B"/>
    <w:rsid w:val="00421349"/>
    <w:rsid w:val="004214D7"/>
    <w:rsid w:val="004217F6"/>
    <w:rsid w:val="004220C4"/>
    <w:rsid w:val="00422D36"/>
    <w:rsid w:val="00423D67"/>
    <w:rsid w:val="0042446A"/>
    <w:rsid w:val="0042583F"/>
    <w:rsid w:val="004263C3"/>
    <w:rsid w:val="00426B65"/>
    <w:rsid w:val="00427326"/>
    <w:rsid w:val="00431521"/>
    <w:rsid w:val="004327CF"/>
    <w:rsid w:val="004327EA"/>
    <w:rsid w:val="00433069"/>
    <w:rsid w:val="004337A1"/>
    <w:rsid w:val="00434436"/>
    <w:rsid w:val="00437F57"/>
    <w:rsid w:val="004420AA"/>
    <w:rsid w:val="00442A6D"/>
    <w:rsid w:val="00442CCD"/>
    <w:rsid w:val="00443A8E"/>
    <w:rsid w:val="00443C9A"/>
    <w:rsid w:val="00446BF2"/>
    <w:rsid w:val="0044738E"/>
    <w:rsid w:val="00450B3B"/>
    <w:rsid w:val="0045283E"/>
    <w:rsid w:val="00452F66"/>
    <w:rsid w:val="0045374A"/>
    <w:rsid w:val="004538BD"/>
    <w:rsid w:val="00454FAC"/>
    <w:rsid w:val="00455DFC"/>
    <w:rsid w:val="00455F3A"/>
    <w:rsid w:val="00456DED"/>
    <w:rsid w:val="00457051"/>
    <w:rsid w:val="0045711B"/>
    <w:rsid w:val="0045730E"/>
    <w:rsid w:val="00457B9F"/>
    <w:rsid w:val="00457E90"/>
    <w:rsid w:val="004600FF"/>
    <w:rsid w:val="004615A0"/>
    <w:rsid w:val="00462519"/>
    <w:rsid w:val="004635D2"/>
    <w:rsid w:val="004636E1"/>
    <w:rsid w:val="00464917"/>
    <w:rsid w:val="00464C0F"/>
    <w:rsid w:val="004650C9"/>
    <w:rsid w:val="004657FF"/>
    <w:rsid w:val="00465BFC"/>
    <w:rsid w:val="00466542"/>
    <w:rsid w:val="004672C5"/>
    <w:rsid w:val="00467C2D"/>
    <w:rsid w:val="00467DF7"/>
    <w:rsid w:val="00470B07"/>
    <w:rsid w:val="00471CE8"/>
    <w:rsid w:val="00472342"/>
    <w:rsid w:val="004724DE"/>
    <w:rsid w:val="00472F90"/>
    <w:rsid w:val="00473508"/>
    <w:rsid w:val="0047373F"/>
    <w:rsid w:val="00473CA5"/>
    <w:rsid w:val="00475626"/>
    <w:rsid w:val="00475D26"/>
    <w:rsid w:val="00476668"/>
    <w:rsid w:val="00477723"/>
    <w:rsid w:val="00477A9D"/>
    <w:rsid w:val="00480CAA"/>
    <w:rsid w:val="004827A8"/>
    <w:rsid w:val="00482FDC"/>
    <w:rsid w:val="004836C1"/>
    <w:rsid w:val="00483911"/>
    <w:rsid w:val="00483C56"/>
    <w:rsid w:val="004840C2"/>
    <w:rsid w:val="0048454A"/>
    <w:rsid w:val="004853BA"/>
    <w:rsid w:val="0048584E"/>
    <w:rsid w:val="00485F0B"/>
    <w:rsid w:val="004864C1"/>
    <w:rsid w:val="00486B69"/>
    <w:rsid w:val="004870D9"/>
    <w:rsid w:val="0048747D"/>
    <w:rsid w:val="004920D8"/>
    <w:rsid w:val="004932B7"/>
    <w:rsid w:val="004938FA"/>
    <w:rsid w:val="00493EA2"/>
    <w:rsid w:val="0049470B"/>
    <w:rsid w:val="004949D0"/>
    <w:rsid w:val="00494B74"/>
    <w:rsid w:val="00494C2A"/>
    <w:rsid w:val="00495074"/>
    <w:rsid w:val="004950CB"/>
    <w:rsid w:val="00496DAA"/>
    <w:rsid w:val="004970D4"/>
    <w:rsid w:val="0049745E"/>
    <w:rsid w:val="0049771B"/>
    <w:rsid w:val="004A04D3"/>
    <w:rsid w:val="004A0B21"/>
    <w:rsid w:val="004A2460"/>
    <w:rsid w:val="004A34D5"/>
    <w:rsid w:val="004A38B3"/>
    <w:rsid w:val="004A3C18"/>
    <w:rsid w:val="004A43F1"/>
    <w:rsid w:val="004A45DC"/>
    <w:rsid w:val="004A4D14"/>
    <w:rsid w:val="004A548F"/>
    <w:rsid w:val="004A6496"/>
    <w:rsid w:val="004A6520"/>
    <w:rsid w:val="004A6818"/>
    <w:rsid w:val="004A7831"/>
    <w:rsid w:val="004A7E33"/>
    <w:rsid w:val="004B04B3"/>
    <w:rsid w:val="004B2034"/>
    <w:rsid w:val="004B2FCC"/>
    <w:rsid w:val="004B3A7B"/>
    <w:rsid w:val="004B3BCD"/>
    <w:rsid w:val="004B430B"/>
    <w:rsid w:val="004B486A"/>
    <w:rsid w:val="004B50C5"/>
    <w:rsid w:val="004B5169"/>
    <w:rsid w:val="004B5F0B"/>
    <w:rsid w:val="004B6DAA"/>
    <w:rsid w:val="004C04C8"/>
    <w:rsid w:val="004C0BDB"/>
    <w:rsid w:val="004C1F63"/>
    <w:rsid w:val="004C2E32"/>
    <w:rsid w:val="004C3611"/>
    <w:rsid w:val="004C39DE"/>
    <w:rsid w:val="004C40E8"/>
    <w:rsid w:val="004C4277"/>
    <w:rsid w:val="004C49FF"/>
    <w:rsid w:val="004C4E52"/>
    <w:rsid w:val="004C4F45"/>
    <w:rsid w:val="004C503C"/>
    <w:rsid w:val="004C5F17"/>
    <w:rsid w:val="004C6AD8"/>
    <w:rsid w:val="004C749A"/>
    <w:rsid w:val="004D0758"/>
    <w:rsid w:val="004D08F5"/>
    <w:rsid w:val="004D149F"/>
    <w:rsid w:val="004D1980"/>
    <w:rsid w:val="004D1C0F"/>
    <w:rsid w:val="004D23D3"/>
    <w:rsid w:val="004D35E2"/>
    <w:rsid w:val="004D36CD"/>
    <w:rsid w:val="004D438D"/>
    <w:rsid w:val="004D4C7E"/>
    <w:rsid w:val="004D54AC"/>
    <w:rsid w:val="004D57DE"/>
    <w:rsid w:val="004D5A16"/>
    <w:rsid w:val="004D5E02"/>
    <w:rsid w:val="004D5EB9"/>
    <w:rsid w:val="004D652F"/>
    <w:rsid w:val="004D667C"/>
    <w:rsid w:val="004D7545"/>
    <w:rsid w:val="004D78EC"/>
    <w:rsid w:val="004E1764"/>
    <w:rsid w:val="004E2942"/>
    <w:rsid w:val="004E371F"/>
    <w:rsid w:val="004E3C47"/>
    <w:rsid w:val="004E4DA0"/>
    <w:rsid w:val="004E52A7"/>
    <w:rsid w:val="004E5323"/>
    <w:rsid w:val="004E58C3"/>
    <w:rsid w:val="004E73A1"/>
    <w:rsid w:val="004F0BF9"/>
    <w:rsid w:val="004F2383"/>
    <w:rsid w:val="004F454F"/>
    <w:rsid w:val="004F4B2A"/>
    <w:rsid w:val="004F5854"/>
    <w:rsid w:val="004F59CD"/>
    <w:rsid w:val="004F5B8E"/>
    <w:rsid w:val="004F5FB7"/>
    <w:rsid w:val="004F637D"/>
    <w:rsid w:val="004F6A40"/>
    <w:rsid w:val="004F7249"/>
    <w:rsid w:val="004F7A65"/>
    <w:rsid w:val="00500B53"/>
    <w:rsid w:val="00501313"/>
    <w:rsid w:val="0050260A"/>
    <w:rsid w:val="00504191"/>
    <w:rsid w:val="00505146"/>
    <w:rsid w:val="005054D6"/>
    <w:rsid w:val="00505654"/>
    <w:rsid w:val="00505658"/>
    <w:rsid w:val="00505BA0"/>
    <w:rsid w:val="00505E50"/>
    <w:rsid w:val="00505F0E"/>
    <w:rsid w:val="00506679"/>
    <w:rsid w:val="005068D2"/>
    <w:rsid w:val="00506ACB"/>
    <w:rsid w:val="0050729B"/>
    <w:rsid w:val="005121D5"/>
    <w:rsid w:val="005125C4"/>
    <w:rsid w:val="005129AA"/>
    <w:rsid w:val="005135AB"/>
    <w:rsid w:val="005137EC"/>
    <w:rsid w:val="0051458A"/>
    <w:rsid w:val="00515F69"/>
    <w:rsid w:val="00517397"/>
    <w:rsid w:val="005175D0"/>
    <w:rsid w:val="00517E17"/>
    <w:rsid w:val="005201D8"/>
    <w:rsid w:val="005206BE"/>
    <w:rsid w:val="00520BBC"/>
    <w:rsid w:val="00520FC0"/>
    <w:rsid w:val="005215ED"/>
    <w:rsid w:val="0052172B"/>
    <w:rsid w:val="005222FF"/>
    <w:rsid w:val="005229E8"/>
    <w:rsid w:val="00523347"/>
    <w:rsid w:val="005233D3"/>
    <w:rsid w:val="00524CE5"/>
    <w:rsid w:val="00524EF6"/>
    <w:rsid w:val="0052511F"/>
    <w:rsid w:val="005251AE"/>
    <w:rsid w:val="0052533D"/>
    <w:rsid w:val="00525B98"/>
    <w:rsid w:val="00526309"/>
    <w:rsid w:val="005265A2"/>
    <w:rsid w:val="005272C4"/>
    <w:rsid w:val="00530E74"/>
    <w:rsid w:val="00530F5B"/>
    <w:rsid w:val="005321F4"/>
    <w:rsid w:val="005332CA"/>
    <w:rsid w:val="005332F5"/>
    <w:rsid w:val="00534A1D"/>
    <w:rsid w:val="0053555D"/>
    <w:rsid w:val="00536217"/>
    <w:rsid w:val="00536591"/>
    <w:rsid w:val="005406D3"/>
    <w:rsid w:val="005417B5"/>
    <w:rsid w:val="005429B4"/>
    <w:rsid w:val="00542BE8"/>
    <w:rsid w:val="00543E4D"/>
    <w:rsid w:val="00544615"/>
    <w:rsid w:val="00544F99"/>
    <w:rsid w:val="005455AB"/>
    <w:rsid w:val="00545FB5"/>
    <w:rsid w:val="005515C2"/>
    <w:rsid w:val="00551667"/>
    <w:rsid w:val="005516F8"/>
    <w:rsid w:val="005521B1"/>
    <w:rsid w:val="00552997"/>
    <w:rsid w:val="0055414F"/>
    <w:rsid w:val="00555069"/>
    <w:rsid w:val="005556B4"/>
    <w:rsid w:val="0055672D"/>
    <w:rsid w:val="005568E5"/>
    <w:rsid w:val="005579ED"/>
    <w:rsid w:val="005579F7"/>
    <w:rsid w:val="00557A09"/>
    <w:rsid w:val="00557A7D"/>
    <w:rsid w:val="00557FD7"/>
    <w:rsid w:val="005605A1"/>
    <w:rsid w:val="00560C0D"/>
    <w:rsid w:val="00560E96"/>
    <w:rsid w:val="005610F2"/>
    <w:rsid w:val="0056119D"/>
    <w:rsid w:val="005616AB"/>
    <w:rsid w:val="005621B2"/>
    <w:rsid w:val="00562552"/>
    <w:rsid w:val="005626BA"/>
    <w:rsid w:val="00562E63"/>
    <w:rsid w:val="005643F6"/>
    <w:rsid w:val="00564E19"/>
    <w:rsid w:val="00566759"/>
    <w:rsid w:val="00567D40"/>
    <w:rsid w:val="005703A8"/>
    <w:rsid w:val="00570C3F"/>
    <w:rsid w:val="005718EA"/>
    <w:rsid w:val="00571F7E"/>
    <w:rsid w:val="00572A28"/>
    <w:rsid w:val="00574303"/>
    <w:rsid w:val="00574ED6"/>
    <w:rsid w:val="00575107"/>
    <w:rsid w:val="0057514C"/>
    <w:rsid w:val="0057789B"/>
    <w:rsid w:val="00577B05"/>
    <w:rsid w:val="00581FA1"/>
    <w:rsid w:val="005823D7"/>
    <w:rsid w:val="0058299E"/>
    <w:rsid w:val="00583090"/>
    <w:rsid w:val="0058331B"/>
    <w:rsid w:val="00583807"/>
    <w:rsid w:val="00584BB2"/>
    <w:rsid w:val="00584FE6"/>
    <w:rsid w:val="00585213"/>
    <w:rsid w:val="0058529B"/>
    <w:rsid w:val="00587173"/>
    <w:rsid w:val="0058773B"/>
    <w:rsid w:val="00591736"/>
    <w:rsid w:val="00592CAB"/>
    <w:rsid w:val="005930C6"/>
    <w:rsid w:val="00595599"/>
    <w:rsid w:val="0059594D"/>
    <w:rsid w:val="0059612F"/>
    <w:rsid w:val="0059626E"/>
    <w:rsid w:val="0059677D"/>
    <w:rsid w:val="00597224"/>
    <w:rsid w:val="005A0472"/>
    <w:rsid w:val="005A08BE"/>
    <w:rsid w:val="005A0CF6"/>
    <w:rsid w:val="005A1997"/>
    <w:rsid w:val="005A1A65"/>
    <w:rsid w:val="005A1B5E"/>
    <w:rsid w:val="005A1BD4"/>
    <w:rsid w:val="005A2BAC"/>
    <w:rsid w:val="005A2D70"/>
    <w:rsid w:val="005A366E"/>
    <w:rsid w:val="005A4358"/>
    <w:rsid w:val="005A4418"/>
    <w:rsid w:val="005A4D2D"/>
    <w:rsid w:val="005A6378"/>
    <w:rsid w:val="005A6C35"/>
    <w:rsid w:val="005A6DEC"/>
    <w:rsid w:val="005A7B34"/>
    <w:rsid w:val="005A7B45"/>
    <w:rsid w:val="005B01F2"/>
    <w:rsid w:val="005B1396"/>
    <w:rsid w:val="005B1F31"/>
    <w:rsid w:val="005B26C1"/>
    <w:rsid w:val="005B4DDD"/>
    <w:rsid w:val="005B572C"/>
    <w:rsid w:val="005B5F54"/>
    <w:rsid w:val="005B6044"/>
    <w:rsid w:val="005B60FE"/>
    <w:rsid w:val="005B7C69"/>
    <w:rsid w:val="005C0A52"/>
    <w:rsid w:val="005C1B0A"/>
    <w:rsid w:val="005C1FAF"/>
    <w:rsid w:val="005C27AF"/>
    <w:rsid w:val="005C3415"/>
    <w:rsid w:val="005C4421"/>
    <w:rsid w:val="005C4A52"/>
    <w:rsid w:val="005C5EB6"/>
    <w:rsid w:val="005C70E8"/>
    <w:rsid w:val="005C7772"/>
    <w:rsid w:val="005C78FA"/>
    <w:rsid w:val="005C7C7D"/>
    <w:rsid w:val="005D14A8"/>
    <w:rsid w:val="005D14FC"/>
    <w:rsid w:val="005D18D2"/>
    <w:rsid w:val="005D1E22"/>
    <w:rsid w:val="005D2789"/>
    <w:rsid w:val="005D2D5F"/>
    <w:rsid w:val="005D353A"/>
    <w:rsid w:val="005D3582"/>
    <w:rsid w:val="005D35DD"/>
    <w:rsid w:val="005D3DAD"/>
    <w:rsid w:val="005D4394"/>
    <w:rsid w:val="005D482A"/>
    <w:rsid w:val="005D5019"/>
    <w:rsid w:val="005D60FF"/>
    <w:rsid w:val="005D6692"/>
    <w:rsid w:val="005D6B00"/>
    <w:rsid w:val="005D73C6"/>
    <w:rsid w:val="005D7CE3"/>
    <w:rsid w:val="005E0114"/>
    <w:rsid w:val="005E0DB4"/>
    <w:rsid w:val="005E138C"/>
    <w:rsid w:val="005E14FC"/>
    <w:rsid w:val="005E2082"/>
    <w:rsid w:val="005E2313"/>
    <w:rsid w:val="005E37F5"/>
    <w:rsid w:val="005E4293"/>
    <w:rsid w:val="005E5EF9"/>
    <w:rsid w:val="005E6F70"/>
    <w:rsid w:val="005F2384"/>
    <w:rsid w:val="005F28ED"/>
    <w:rsid w:val="005F37D2"/>
    <w:rsid w:val="005F4E0F"/>
    <w:rsid w:val="005F4E1B"/>
    <w:rsid w:val="005F5031"/>
    <w:rsid w:val="005F5398"/>
    <w:rsid w:val="005F5A69"/>
    <w:rsid w:val="005F6BF6"/>
    <w:rsid w:val="005F6FFE"/>
    <w:rsid w:val="005F7119"/>
    <w:rsid w:val="005F75E1"/>
    <w:rsid w:val="005F777A"/>
    <w:rsid w:val="005F7A1F"/>
    <w:rsid w:val="00600E98"/>
    <w:rsid w:val="00600F6F"/>
    <w:rsid w:val="00601235"/>
    <w:rsid w:val="0060165C"/>
    <w:rsid w:val="00601D83"/>
    <w:rsid w:val="00603771"/>
    <w:rsid w:val="0060382E"/>
    <w:rsid w:val="00603AE5"/>
    <w:rsid w:val="00603B1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0D92"/>
    <w:rsid w:val="0062143F"/>
    <w:rsid w:val="006227CD"/>
    <w:rsid w:val="00624559"/>
    <w:rsid w:val="00625036"/>
    <w:rsid w:val="00625B6D"/>
    <w:rsid w:val="00625C7F"/>
    <w:rsid w:val="006269D7"/>
    <w:rsid w:val="00626EDC"/>
    <w:rsid w:val="00626FD4"/>
    <w:rsid w:val="006301EB"/>
    <w:rsid w:val="0063290C"/>
    <w:rsid w:val="00632CDD"/>
    <w:rsid w:val="006331A7"/>
    <w:rsid w:val="00634133"/>
    <w:rsid w:val="0063425C"/>
    <w:rsid w:val="00634CD6"/>
    <w:rsid w:val="00634EF3"/>
    <w:rsid w:val="00635D6D"/>
    <w:rsid w:val="00635E3F"/>
    <w:rsid w:val="00635E50"/>
    <w:rsid w:val="00636142"/>
    <w:rsid w:val="00636377"/>
    <w:rsid w:val="00636AAC"/>
    <w:rsid w:val="0063783C"/>
    <w:rsid w:val="00637B98"/>
    <w:rsid w:val="006403CA"/>
    <w:rsid w:val="00640AFE"/>
    <w:rsid w:val="00640D08"/>
    <w:rsid w:val="00641994"/>
    <w:rsid w:val="00641CD2"/>
    <w:rsid w:val="00641F38"/>
    <w:rsid w:val="00642A8F"/>
    <w:rsid w:val="00643BA9"/>
    <w:rsid w:val="00643E11"/>
    <w:rsid w:val="00644C8C"/>
    <w:rsid w:val="00645898"/>
    <w:rsid w:val="006464FE"/>
    <w:rsid w:val="00646EA4"/>
    <w:rsid w:val="0064745B"/>
    <w:rsid w:val="0065242B"/>
    <w:rsid w:val="00652638"/>
    <w:rsid w:val="006526C1"/>
    <w:rsid w:val="0065364E"/>
    <w:rsid w:val="00653B67"/>
    <w:rsid w:val="00653BE4"/>
    <w:rsid w:val="00654B86"/>
    <w:rsid w:val="00654CCA"/>
    <w:rsid w:val="00655D2A"/>
    <w:rsid w:val="00656704"/>
    <w:rsid w:val="00656725"/>
    <w:rsid w:val="00656F0F"/>
    <w:rsid w:val="0065707C"/>
    <w:rsid w:val="00657623"/>
    <w:rsid w:val="00657E57"/>
    <w:rsid w:val="00660BC3"/>
    <w:rsid w:val="00660C81"/>
    <w:rsid w:val="00660C86"/>
    <w:rsid w:val="00660EDC"/>
    <w:rsid w:val="006617A4"/>
    <w:rsid w:val="006618CB"/>
    <w:rsid w:val="00662981"/>
    <w:rsid w:val="00662B39"/>
    <w:rsid w:val="00662F52"/>
    <w:rsid w:val="006643E9"/>
    <w:rsid w:val="00664FE3"/>
    <w:rsid w:val="00665428"/>
    <w:rsid w:val="006675B8"/>
    <w:rsid w:val="0066765C"/>
    <w:rsid w:val="00667DA0"/>
    <w:rsid w:val="0067116A"/>
    <w:rsid w:val="0067360F"/>
    <w:rsid w:val="00675032"/>
    <w:rsid w:val="00675393"/>
    <w:rsid w:val="006757DB"/>
    <w:rsid w:val="00675992"/>
    <w:rsid w:val="00676B83"/>
    <w:rsid w:val="0067711E"/>
    <w:rsid w:val="0067747B"/>
    <w:rsid w:val="00677531"/>
    <w:rsid w:val="00677537"/>
    <w:rsid w:val="00677F26"/>
    <w:rsid w:val="006811E0"/>
    <w:rsid w:val="006812F2"/>
    <w:rsid w:val="006815AB"/>
    <w:rsid w:val="00681F8C"/>
    <w:rsid w:val="00682264"/>
    <w:rsid w:val="00682EFB"/>
    <w:rsid w:val="0068309C"/>
    <w:rsid w:val="0068393B"/>
    <w:rsid w:val="00684876"/>
    <w:rsid w:val="006848D1"/>
    <w:rsid w:val="00684ACB"/>
    <w:rsid w:val="00685ABF"/>
    <w:rsid w:val="00685BC7"/>
    <w:rsid w:val="00685C47"/>
    <w:rsid w:val="00686D73"/>
    <w:rsid w:val="00686F6C"/>
    <w:rsid w:val="006873A7"/>
    <w:rsid w:val="006873CB"/>
    <w:rsid w:val="0068752B"/>
    <w:rsid w:val="006876F5"/>
    <w:rsid w:val="006878D9"/>
    <w:rsid w:val="00690B52"/>
    <w:rsid w:val="00690C1F"/>
    <w:rsid w:val="0069121A"/>
    <w:rsid w:val="006913FC"/>
    <w:rsid w:val="00691986"/>
    <w:rsid w:val="00693AD5"/>
    <w:rsid w:val="00693AF4"/>
    <w:rsid w:val="00693B4A"/>
    <w:rsid w:val="00694612"/>
    <w:rsid w:val="0069540F"/>
    <w:rsid w:val="00695E07"/>
    <w:rsid w:val="00696E9D"/>
    <w:rsid w:val="006A0106"/>
    <w:rsid w:val="006A0550"/>
    <w:rsid w:val="006A0B82"/>
    <w:rsid w:val="006A128D"/>
    <w:rsid w:val="006A15A1"/>
    <w:rsid w:val="006A29BE"/>
    <w:rsid w:val="006A41E2"/>
    <w:rsid w:val="006A46D8"/>
    <w:rsid w:val="006A5D48"/>
    <w:rsid w:val="006A780B"/>
    <w:rsid w:val="006A78F3"/>
    <w:rsid w:val="006A78FD"/>
    <w:rsid w:val="006B04C5"/>
    <w:rsid w:val="006B1632"/>
    <w:rsid w:val="006B20D5"/>
    <w:rsid w:val="006B2529"/>
    <w:rsid w:val="006B296A"/>
    <w:rsid w:val="006B2CA4"/>
    <w:rsid w:val="006B2D7F"/>
    <w:rsid w:val="006B3206"/>
    <w:rsid w:val="006B40EB"/>
    <w:rsid w:val="006B54BB"/>
    <w:rsid w:val="006B6994"/>
    <w:rsid w:val="006B6AFA"/>
    <w:rsid w:val="006B6D80"/>
    <w:rsid w:val="006B6DB3"/>
    <w:rsid w:val="006B6F21"/>
    <w:rsid w:val="006B7130"/>
    <w:rsid w:val="006C13B4"/>
    <w:rsid w:val="006C1813"/>
    <w:rsid w:val="006C248C"/>
    <w:rsid w:val="006C2A53"/>
    <w:rsid w:val="006C39F1"/>
    <w:rsid w:val="006C48BC"/>
    <w:rsid w:val="006C4B3A"/>
    <w:rsid w:val="006C5226"/>
    <w:rsid w:val="006C5BFF"/>
    <w:rsid w:val="006C5DAF"/>
    <w:rsid w:val="006D10B7"/>
    <w:rsid w:val="006D1180"/>
    <w:rsid w:val="006D153C"/>
    <w:rsid w:val="006D16EE"/>
    <w:rsid w:val="006D1F59"/>
    <w:rsid w:val="006D3169"/>
    <w:rsid w:val="006D3F69"/>
    <w:rsid w:val="006D44CC"/>
    <w:rsid w:val="006D50F7"/>
    <w:rsid w:val="006D571D"/>
    <w:rsid w:val="006D5883"/>
    <w:rsid w:val="006D7C41"/>
    <w:rsid w:val="006E05E8"/>
    <w:rsid w:val="006E0927"/>
    <w:rsid w:val="006E0BFB"/>
    <w:rsid w:val="006E26F2"/>
    <w:rsid w:val="006E37C1"/>
    <w:rsid w:val="006E40D4"/>
    <w:rsid w:val="006E4730"/>
    <w:rsid w:val="006E4F8A"/>
    <w:rsid w:val="006E59CC"/>
    <w:rsid w:val="006E6140"/>
    <w:rsid w:val="006E6793"/>
    <w:rsid w:val="006E7EAD"/>
    <w:rsid w:val="006F0316"/>
    <w:rsid w:val="006F1FC8"/>
    <w:rsid w:val="006F303C"/>
    <w:rsid w:val="006F35C0"/>
    <w:rsid w:val="006F381F"/>
    <w:rsid w:val="006F3A31"/>
    <w:rsid w:val="006F3BFD"/>
    <w:rsid w:val="006F4482"/>
    <w:rsid w:val="006F4677"/>
    <w:rsid w:val="006F57F7"/>
    <w:rsid w:val="006F59F6"/>
    <w:rsid w:val="006F5C22"/>
    <w:rsid w:val="006F611E"/>
    <w:rsid w:val="006F7821"/>
    <w:rsid w:val="0070000C"/>
    <w:rsid w:val="007021E2"/>
    <w:rsid w:val="00702633"/>
    <w:rsid w:val="00702EF7"/>
    <w:rsid w:val="00707BC4"/>
    <w:rsid w:val="00707E19"/>
    <w:rsid w:val="007104BC"/>
    <w:rsid w:val="00711101"/>
    <w:rsid w:val="00711D2A"/>
    <w:rsid w:val="00713260"/>
    <w:rsid w:val="00713C3F"/>
    <w:rsid w:val="007143E1"/>
    <w:rsid w:val="00714B3B"/>
    <w:rsid w:val="00714CF1"/>
    <w:rsid w:val="00715EC5"/>
    <w:rsid w:val="007161EE"/>
    <w:rsid w:val="00717887"/>
    <w:rsid w:val="00717AA6"/>
    <w:rsid w:val="007202D3"/>
    <w:rsid w:val="0072098C"/>
    <w:rsid w:val="00721398"/>
    <w:rsid w:val="007214F3"/>
    <w:rsid w:val="007221DD"/>
    <w:rsid w:val="0072248F"/>
    <w:rsid w:val="00722821"/>
    <w:rsid w:val="007228F5"/>
    <w:rsid w:val="00722A5F"/>
    <w:rsid w:val="00724B2D"/>
    <w:rsid w:val="00725DC7"/>
    <w:rsid w:val="00725E15"/>
    <w:rsid w:val="00726535"/>
    <w:rsid w:val="00727214"/>
    <w:rsid w:val="007272EB"/>
    <w:rsid w:val="00731185"/>
    <w:rsid w:val="00731661"/>
    <w:rsid w:val="0073214E"/>
    <w:rsid w:val="00733B06"/>
    <w:rsid w:val="007342FE"/>
    <w:rsid w:val="0073497A"/>
    <w:rsid w:val="00734D57"/>
    <w:rsid w:val="00734F07"/>
    <w:rsid w:val="0073522D"/>
    <w:rsid w:val="00737125"/>
    <w:rsid w:val="00737F05"/>
    <w:rsid w:val="00741103"/>
    <w:rsid w:val="007417C5"/>
    <w:rsid w:val="007417DE"/>
    <w:rsid w:val="0074182D"/>
    <w:rsid w:val="00742FDA"/>
    <w:rsid w:val="007446FC"/>
    <w:rsid w:val="00745184"/>
    <w:rsid w:val="00745908"/>
    <w:rsid w:val="0074754C"/>
    <w:rsid w:val="007477F4"/>
    <w:rsid w:val="00750358"/>
    <w:rsid w:val="00752644"/>
    <w:rsid w:val="00752F02"/>
    <w:rsid w:val="007538C7"/>
    <w:rsid w:val="00753BFB"/>
    <w:rsid w:val="00754143"/>
    <w:rsid w:val="00755688"/>
    <w:rsid w:val="00756187"/>
    <w:rsid w:val="00756698"/>
    <w:rsid w:val="0075784D"/>
    <w:rsid w:val="00757B89"/>
    <w:rsid w:val="00757C4B"/>
    <w:rsid w:val="00760C68"/>
    <w:rsid w:val="00761767"/>
    <w:rsid w:val="00762D2F"/>
    <w:rsid w:val="00762F72"/>
    <w:rsid w:val="007631E0"/>
    <w:rsid w:val="00763515"/>
    <w:rsid w:val="0076375D"/>
    <w:rsid w:val="007655F8"/>
    <w:rsid w:val="00765FB5"/>
    <w:rsid w:val="0076670A"/>
    <w:rsid w:val="00766820"/>
    <w:rsid w:val="00767745"/>
    <w:rsid w:val="0076792F"/>
    <w:rsid w:val="00767F81"/>
    <w:rsid w:val="007700F1"/>
    <w:rsid w:val="00772460"/>
    <w:rsid w:val="0077299B"/>
    <w:rsid w:val="00772F48"/>
    <w:rsid w:val="007736BA"/>
    <w:rsid w:val="00773E1D"/>
    <w:rsid w:val="00774394"/>
    <w:rsid w:val="0077505E"/>
    <w:rsid w:val="00775654"/>
    <w:rsid w:val="0077592B"/>
    <w:rsid w:val="00775F8A"/>
    <w:rsid w:val="007769FA"/>
    <w:rsid w:val="007800E4"/>
    <w:rsid w:val="00780972"/>
    <w:rsid w:val="00780A9E"/>
    <w:rsid w:val="00780AA2"/>
    <w:rsid w:val="00781A9D"/>
    <w:rsid w:val="00781AF0"/>
    <w:rsid w:val="00781E30"/>
    <w:rsid w:val="00782BD9"/>
    <w:rsid w:val="00783101"/>
    <w:rsid w:val="00783778"/>
    <w:rsid w:val="00783BA1"/>
    <w:rsid w:val="00783F0C"/>
    <w:rsid w:val="007840BB"/>
    <w:rsid w:val="007841EA"/>
    <w:rsid w:val="00785927"/>
    <w:rsid w:val="00785E2E"/>
    <w:rsid w:val="00785FC2"/>
    <w:rsid w:val="00790151"/>
    <w:rsid w:val="00790164"/>
    <w:rsid w:val="007908C5"/>
    <w:rsid w:val="00791772"/>
    <w:rsid w:val="00791C3A"/>
    <w:rsid w:val="00792FD3"/>
    <w:rsid w:val="007935AD"/>
    <w:rsid w:val="00794734"/>
    <w:rsid w:val="00794A1F"/>
    <w:rsid w:val="0079592F"/>
    <w:rsid w:val="00795F22"/>
    <w:rsid w:val="00797EC8"/>
    <w:rsid w:val="007A081A"/>
    <w:rsid w:val="007A1051"/>
    <w:rsid w:val="007A20AD"/>
    <w:rsid w:val="007A2506"/>
    <w:rsid w:val="007A2A3C"/>
    <w:rsid w:val="007A354D"/>
    <w:rsid w:val="007A3733"/>
    <w:rsid w:val="007A3934"/>
    <w:rsid w:val="007A5539"/>
    <w:rsid w:val="007A6548"/>
    <w:rsid w:val="007A6E7E"/>
    <w:rsid w:val="007A7415"/>
    <w:rsid w:val="007A7CE5"/>
    <w:rsid w:val="007B00E1"/>
    <w:rsid w:val="007B09B7"/>
    <w:rsid w:val="007B1211"/>
    <w:rsid w:val="007B187C"/>
    <w:rsid w:val="007B1ECA"/>
    <w:rsid w:val="007B220F"/>
    <w:rsid w:val="007B22C7"/>
    <w:rsid w:val="007B2702"/>
    <w:rsid w:val="007B3B0E"/>
    <w:rsid w:val="007B3DF4"/>
    <w:rsid w:val="007B4CDF"/>
    <w:rsid w:val="007B6650"/>
    <w:rsid w:val="007B6B1E"/>
    <w:rsid w:val="007B7CC9"/>
    <w:rsid w:val="007C2AD4"/>
    <w:rsid w:val="007C2DD4"/>
    <w:rsid w:val="007C3B06"/>
    <w:rsid w:val="007C3E46"/>
    <w:rsid w:val="007C49D3"/>
    <w:rsid w:val="007C4F78"/>
    <w:rsid w:val="007C5024"/>
    <w:rsid w:val="007C5CBD"/>
    <w:rsid w:val="007C6FEF"/>
    <w:rsid w:val="007C73B8"/>
    <w:rsid w:val="007D012D"/>
    <w:rsid w:val="007D07AE"/>
    <w:rsid w:val="007D2582"/>
    <w:rsid w:val="007D3420"/>
    <w:rsid w:val="007D3687"/>
    <w:rsid w:val="007D374A"/>
    <w:rsid w:val="007D4EA3"/>
    <w:rsid w:val="007D5362"/>
    <w:rsid w:val="007E000F"/>
    <w:rsid w:val="007E1135"/>
    <w:rsid w:val="007E1D38"/>
    <w:rsid w:val="007E2056"/>
    <w:rsid w:val="007E29CF"/>
    <w:rsid w:val="007E35D8"/>
    <w:rsid w:val="007E3B2E"/>
    <w:rsid w:val="007E40CE"/>
    <w:rsid w:val="007E48DE"/>
    <w:rsid w:val="007E496A"/>
    <w:rsid w:val="007E4A59"/>
    <w:rsid w:val="007E4CD7"/>
    <w:rsid w:val="007E6661"/>
    <w:rsid w:val="007E6721"/>
    <w:rsid w:val="007E7ACD"/>
    <w:rsid w:val="007F0DB7"/>
    <w:rsid w:val="007F2A8D"/>
    <w:rsid w:val="007F2E32"/>
    <w:rsid w:val="007F3880"/>
    <w:rsid w:val="007F3B8C"/>
    <w:rsid w:val="007F421B"/>
    <w:rsid w:val="007F5002"/>
    <w:rsid w:val="0080062C"/>
    <w:rsid w:val="008015DA"/>
    <w:rsid w:val="008020B7"/>
    <w:rsid w:val="008028D5"/>
    <w:rsid w:val="00803236"/>
    <w:rsid w:val="00804D26"/>
    <w:rsid w:val="00807623"/>
    <w:rsid w:val="008078E2"/>
    <w:rsid w:val="00807B53"/>
    <w:rsid w:val="00807D7F"/>
    <w:rsid w:val="00810D34"/>
    <w:rsid w:val="00811503"/>
    <w:rsid w:val="00812346"/>
    <w:rsid w:val="00812EEE"/>
    <w:rsid w:val="00812F41"/>
    <w:rsid w:val="008146DD"/>
    <w:rsid w:val="00814E45"/>
    <w:rsid w:val="00814E5E"/>
    <w:rsid w:val="00815680"/>
    <w:rsid w:val="0081620E"/>
    <w:rsid w:val="0081658F"/>
    <w:rsid w:val="0081739B"/>
    <w:rsid w:val="008175D0"/>
    <w:rsid w:val="00817884"/>
    <w:rsid w:val="008179CF"/>
    <w:rsid w:val="00817B5A"/>
    <w:rsid w:val="00817B90"/>
    <w:rsid w:val="00817C45"/>
    <w:rsid w:val="00817F37"/>
    <w:rsid w:val="00820CE5"/>
    <w:rsid w:val="00820E00"/>
    <w:rsid w:val="008213F1"/>
    <w:rsid w:val="00822141"/>
    <w:rsid w:val="00822C5F"/>
    <w:rsid w:val="008230BB"/>
    <w:rsid w:val="00823319"/>
    <w:rsid w:val="00823E9B"/>
    <w:rsid w:val="00825705"/>
    <w:rsid w:val="00825D43"/>
    <w:rsid w:val="00826068"/>
    <w:rsid w:val="008263F0"/>
    <w:rsid w:val="00826547"/>
    <w:rsid w:val="00830148"/>
    <w:rsid w:val="00830302"/>
    <w:rsid w:val="00830FD2"/>
    <w:rsid w:val="008316AD"/>
    <w:rsid w:val="00833286"/>
    <w:rsid w:val="0083378E"/>
    <w:rsid w:val="00833C7E"/>
    <w:rsid w:val="00834FD5"/>
    <w:rsid w:val="00835878"/>
    <w:rsid w:val="008363A2"/>
    <w:rsid w:val="00836AF5"/>
    <w:rsid w:val="00837125"/>
    <w:rsid w:val="00840A7D"/>
    <w:rsid w:val="00841DAA"/>
    <w:rsid w:val="00842834"/>
    <w:rsid w:val="00842D75"/>
    <w:rsid w:val="008438D2"/>
    <w:rsid w:val="00843952"/>
    <w:rsid w:val="008445D4"/>
    <w:rsid w:val="008446F1"/>
    <w:rsid w:val="00846291"/>
    <w:rsid w:val="00846EC8"/>
    <w:rsid w:val="00846FF0"/>
    <w:rsid w:val="008470AF"/>
    <w:rsid w:val="00847435"/>
    <w:rsid w:val="00851219"/>
    <w:rsid w:val="00851BF3"/>
    <w:rsid w:val="0085298A"/>
    <w:rsid w:val="00852E40"/>
    <w:rsid w:val="008530EC"/>
    <w:rsid w:val="0085365F"/>
    <w:rsid w:val="00853E89"/>
    <w:rsid w:val="0085494F"/>
    <w:rsid w:val="00854C98"/>
    <w:rsid w:val="00855458"/>
    <w:rsid w:val="0085609B"/>
    <w:rsid w:val="00856302"/>
    <w:rsid w:val="0085639F"/>
    <w:rsid w:val="0085728C"/>
    <w:rsid w:val="00860314"/>
    <w:rsid w:val="008606DC"/>
    <w:rsid w:val="0086134D"/>
    <w:rsid w:val="008617B6"/>
    <w:rsid w:val="00861B30"/>
    <w:rsid w:val="00861E68"/>
    <w:rsid w:val="00861FD7"/>
    <w:rsid w:val="00862C13"/>
    <w:rsid w:val="00862C4C"/>
    <w:rsid w:val="00863704"/>
    <w:rsid w:val="0086399F"/>
    <w:rsid w:val="00865036"/>
    <w:rsid w:val="00865057"/>
    <w:rsid w:val="00865472"/>
    <w:rsid w:val="00865F3F"/>
    <w:rsid w:val="00867563"/>
    <w:rsid w:val="008677CF"/>
    <w:rsid w:val="00867F17"/>
    <w:rsid w:val="0087080C"/>
    <w:rsid w:val="00870E37"/>
    <w:rsid w:val="0087155B"/>
    <w:rsid w:val="00872237"/>
    <w:rsid w:val="00873A3D"/>
    <w:rsid w:val="00874671"/>
    <w:rsid w:val="00875178"/>
    <w:rsid w:val="0087635E"/>
    <w:rsid w:val="00876880"/>
    <w:rsid w:val="00876921"/>
    <w:rsid w:val="00876B68"/>
    <w:rsid w:val="00877698"/>
    <w:rsid w:val="0088013C"/>
    <w:rsid w:val="00881830"/>
    <w:rsid w:val="008821C7"/>
    <w:rsid w:val="00882750"/>
    <w:rsid w:val="0088286F"/>
    <w:rsid w:val="008836BC"/>
    <w:rsid w:val="00883EAF"/>
    <w:rsid w:val="00884452"/>
    <w:rsid w:val="00885D5A"/>
    <w:rsid w:val="00886D40"/>
    <w:rsid w:val="008875DE"/>
    <w:rsid w:val="00887A02"/>
    <w:rsid w:val="008905D7"/>
    <w:rsid w:val="00890679"/>
    <w:rsid w:val="00890929"/>
    <w:rsid w:val="00891564"/>
    <w:rsid w:val="008926C3"/>
    <w:rsid w:val="008936E3"/>
    <w:rsid w:val="00893951"/>
    <w:rsid w:val="00893FC1"/>
    <w:rsid w:val="008955C5"/>
    <w:rsid w:val="00895B87"/>
    <w:rsid w:val="00896511"/>
    <w:rsid w:val="008966EC"/>
    <w:rsid w:val="00897620"/>
    <w:rsid w:val="00897763"/>
    <w:rsid w:val="0089787B"/>
    <w:rsid w:val="00897A5A"/>
    <w:rsid w:val="008A0709"/>
    <w:rsid w:val="008A08D2"/>
    <w:rsid w:val="008A0A6F"/>
    <w:rsid w:val="008A26A7"/>
    <w:rsid w:val="008A2E7B"/>
    <w:rsid w:val="008A3162"/>
    <w:rsid w:val="008A35E6"/>
    <w:rsid w:val="008A3A4A"/>
    <w:rsid w:val="008A4016"/>
    <w:rsid w:val="008A4196"/>
    <w:rsid w:val="008A4499"/>
    <w:rsid w:val="008A44A5"/>
    <w:rsid w:val="008A4B8E"/>
    <w:rsid w:val="008A56FF"/>
    <w:rsid w:val="008A5C8E"/>
    <w:rsid w:val="008A67D2"/>
    <w:rsid w:val="008B01A1"/>
    <w:rsid w:val="008B1C95"/>
    <w:rsid w:val="008B30B7"/>
    <w:rsid w:val="008B474F"/>
    <w:rsid w:val="008B562E"/>
    <w:rsid w:val="008B5748"/>
    <w:rsid w:val="008B5B9D"/>
    <w:rsid w:val="008B5C17"/>
    <w:rsid w:val="008B6053"/>
    <w:rsid w:val="008B6149"/>
    <w:rsid w:val="008B6355"/>
    <w:rsid w:val="008B6A22"/>
    <w:rsid w:val="008B6B0E"/>
    <w:rsid w:val="008B6E1A"/>
    <w:rsid w:val="008B7513"/>
    <w:rsid w:val="008B77C0"/>
    <w:rsid w:val="008C074A"/>
    <w:rsid w:val="008C10DE"/>
    <w:rsid w:val="008C123B"/>
    <w:rsid w:val="008C184C"/>
    <w:rsid w:val="008C1B0A"/>
    <w:rsid w:val="008C2078"/>
    <w:rsid w:val="008C224B"/>
    <w:rsid w:val="008C2964"/>
    <w:rsid w:val="008C474D"/>
    <w:rsid w:val="008C4D02"/>
    <w:rsid w:val="008C520E"/>
    <w:rsid w:val="008C5CA5"/>
    <w:rsid w:val="008C5FE2"/>
    <w:rsid w:val="008C7368"/>
    <w:rsid w:val="008C73D6"/>
    <w:rsid w:val="008D0C62"/>
    <w:rsid w:val="008D216A"/>
    <w:rsid w:val="008D2462"/>
    <w:rsid w:val="008D2528"/>
    <w:rsid w:val="008D2533"/>
    <w:rsid w:val="008D2A04"/>
    <w:rsid w:val="008D2B98"/>
    <w:rsid w:val="008D2CD6"/>
    <w:rsid w:val="008D39B0"/>
    <w:rsid w:val="008D462B"/>
    <w:rsid w:val="008D4939"/>
    <w:rsid w:val="008D4F0B"/>
    <w:rsid w:val="008D5193"/>
    <w:rsid w:val="008D5BCE"/>
    <w:rsid w:val="008D5DBA"/>
    <w:rsid w:val="008D6167"/>
    <w:rsid w:val="008D61FA"/>
    <w:rsid w:val="008D6613"/>
    <w:rsid w:val="008D6632"/>
    <w:rsid w:val="008D6DBD"/>
    <w:rsid w:val="008D7500"/>
    <w:rsid w:val="008E0465"/>
    <w:rsid w:val="008E1195"/>
    <w:rsid w:val="008E203E"/>
    <w:rsid w:val="008E3AEA"/>
    <w:rsid w:val="008E3D60"/>
    <w:rsid w:val="008E517B"/>
    <w:rsid w:val="008E6B68"/>
    <w:rsid w:val="008E7390"/>
    <w:rsid w:val="008E762D"/>
    <w:rsid w:val="008F000D"/>
    <w:rsid w:val="008F0960"/>
    <w:rsid w:val="008F151B"/>
    <w:rsid w:val="008F179B"/>
    <w:rsid w:val="008F1F00"/>
    <w:rsid w:val="008F2108"/>
    <w:rsid w:val="008F307B"/>
    <w:rsid w:val="008F32A1"/>
    <w:rsid w:val="008F41BE"/>
    <w:rsid w:val="008F4712"/>
    <w:rsid w:val="008F4C9E"/>
    <w:rsid w:val="008F638D"/>
    <w:rsid w:val="008F6D15"/>
    <w:rsid w:val="008F6E84"/>
    <w:rsid w:val="008F7EBB"/>
    <w:rsid w:val="008F7ED1"/>
    <w:rsid w:val="009001B6"/>
    <w:rsid w:val="0090056C"/>
    <w:rsid w:val="009006DE"/>
    <w:rsid w:val="00900939"/>
    <w:rsid w:val="00900A35"/>
    <w:rsid w:val="00900DF0"/>
    <w:rsid w:val="00902F6A"/>
    <w:rsid w:val="00903621"/>
    <w:rsid w:val="009050AE"/>
    <w:rsid w:val="0090513E"/>
    <w:rsid w:val="00905898"/>
    <w:rsid w:val="00906329"/>
    <w:rsid w:val="00906339"/>
    <w:rsid w:val="0090652D"/>
    <w:rsid w:val="009075BC"/>
    <w:rsid w:val="009079F0"/>
    <w:rsid w:val="00907EE2"/>
    <w:rsid w:val="00910115"/>
    <w:rsid w:val="00910F11"/>
    <w:rsid w:val="009113AE"/>
    <w:rsid w:val="00911F60"/>
    <w:rsid w:val="0091240D"/>
    <w:rsid w:val="00912EB2"/>
    <w:rsid w:val="0091347C"/>
    <w:rsid w:val="00914284"/>
    <w:rsid w:val="00914550"/>
    <w:rsid w:val="009146D8"/>
    <w:rsid w:val="009147E3"/>
    <w:rsid w:val="0091487A"/>
    <w:rsid w:val="00914E36"/>
    <w:rsid w:val="00915300"/>
    <w:rsid w:val="0091657F"/>
    <w:rsid w:val="009173B9"/>
    <w:rsid w:val="00917AE1"/>
    <w:rsid w:val="009202B1"/>
    <w:rsid w:val="0092042A"/>
    <w:rsid w:val="009207AD"/>
    <w:rsid w:val="009210A5"/>
    <w:rsid w:val="00921355"/>
    <w:rsid w:val="009216CA"/>
    <w:rsid w:val="00921781"/>
    <w:rsid w:val="00922466"/>
    <w:rsid w:val="00922808"/>
    <w:rsid w:val="00922934"/>
    <w:rsid w:val="00923CCF"/>
    <w:rsid w:val="009245CB"/>
    <w:rsid w:val="009259EF"/>
    <w:rsid w:val="00927725"/>
    <w:rsid w:val="00927BF5"/>
    <w:rsid w:val="00930782"/>
    <w:rsid w:val="00930FFB"/>
    <w:rsid w:val="00931452"/>
    <w:rsid w:val="009320E8"/>
    <w:rsid w:val="009332EE"/>
    <w:rsid w:val="0093355A"/>
    <w:rsid w:val="009335BA"/>
    <w:rsid w:val="00934660"/>
    <w:rsid w:val="00934E21"/>
    <w:rsid w:val="00934FF9"/>
    <w:rsid w:val="00936198"/>
    <w:rsid w:val="009368DE"/>
    <w:rsid w:val="00936B44"/>
    <w:rsid w:val="00936EC8"/>
    <w:rsid w:val="009373AE"/>
    <w:rsid w:val="00937FE0"/>
    <w:rsid w:val="00940BF3"/>
    <w:rsid w:val="009410FF"/>
    <w:rsid w:val="009416FE"/>
    <w:rsid w:val="009417E1"/>
    <w:rsid w:val="0094189E"/>
    <w:rsid w:val="00941ED1"/>
    <w:rsid w:val="00942439"/>
    <w:rsid w:val="00942AE0"/>
    <w:rsid w:val="009451C2"/>
    <w:rsid w:val="00945B17"/>
    <w:rsid w:val="00945C13"/>
    <w:rsid w:val="00945D12"/>
    <w:rsid w:val="00945ECB"/>
    <w:rsid w:val="00947933"/>
    <w:rsid w:val="00947F9D"/>
    <w:rsid w:val="00950381"/>
    <w:rsid w:val="00951A36"/>
    <w:rsid w:val="00953AAC"/>
    <w:rsid w:val="00953B06"/>
    <w:rsid w:val="00953C4E"/>
    <w:rsid w:val="009565CC"/>
    <w:rsid w:val="00960A89"/>
    <w:rsid w:val="009612F8"/>
    <w:rsid w:val="00961CEA"/>
    <w:rsid w:val="00962287"/>
    <w:rsid w:val="00962690"/>
    <w:rsid w:val="009626D0"/>
    <w:rsid w:val="00963DDA"/>
    <w:rsid w:val="009643F6"/>
    <w:rsid w:val="00964564"/>
    <w:rsid w:val="00971077"/>
    <w:rsid w:val="00971B25"/>
    <w:rsid w:val="0097220B"/>
    <w:rsid w:val="0097266B"/>
    <w:rsid w:val="00972EDB"/>
    <w:rsid w:val="00973FD3"/>
    <w:rsid w:val="00973FE6"/>
    <w:rsid w:val="009740C4"/>
    <w:rsid w:val="00975E8B"/>
    <w:rsid w:val="00976F69"/>
    <w:rsid w:val="00980263"/>
    <w:rsid w:val="009817D1"/>
    <w:rsid w:val="00981F79"/>
    <w:rsid w:val="009825C9"/>
    <w:rsid w:val="009826E3"/>
    <w:rsid w:val="00984B06"/>
    <w:rsid w:val="009850EF"/>
    <w:rsid w:val="00985278"/>
    <w:rsid w:val="009868FC"/>
    <w:rsid w:val="00990A70"/>
    <w:rsid w:val="00991558"/>
    <w:rsid w:val="00991A16"/>
    <w:rsid w:val="00992433"/>
    <w:rsid w:val="00992BE2"/>
    <w:rsid w:val="00994167"/>
    <w:rsid w:val="009941C2"/>
    <w:rsid w:val="0099562E"/>
    <w:rsid w:val="00996000"/>
    <w:rsid w:val="00996DDC"/>
    <w:rsid w:val="00997288"/>
    <w:rsid w:val="0099744B"/>
    <w:rsid w:val="009A2E41"/>
    <w:rsid w:val="009A4332"/>
    <w:rsid w:val="009A52C1"/>
    <w:rsid w:val="009A5EA7"/>
    <w:rsid w:val="009B3EDA"/>
    <w:rsid w:val="009B455D"/>
    <w:rsid w:val="009B4E8F"/>
    <w:rsid w:val="009B4F2A"/>
    <w:rsid w:val="009B5EBC"/>
    <w:rsid w:val="009B71D6"/>
    <w:rsid w:val="009B74E2"/>
    <w:rsid w:val="009B7769"/>
    <w:rsid w:val="009C2436"/>
    <w:rsid w:val="009C26FE"/>
    <w:rsid w:val="009C2A3B"/>
    <w:rsid w:val="009C441C"/>
    <w:rsid w:val="009C492A"/>
    <w:rsid w:val="009C4C6F"/>
    <w:rsid w:val="009C50AA"/>
    <w:rsid w:val="009C6DC7"/>
    <w:rsid w:val="009C7820"/>
    <w:rsid w:val="009D0462"/>
    <w:rsid w:val="009D12AD"/>
    <w:rsid w:val="009D242A"/>
    <w:rsid w:val="009D2975"/>
    <w:rsid w:val="009D2B50"/>
    <w:rsid w:val="009D2D8D"/>
    <w:rsid w:val="009D2FBA"/>
    <w:rsid w:val="009D311D"/>
    <w:rsid w:val="009D351E"/>
    <w:rsid w:val="009D3629"/>
    <w:rsid w:val="009D36DC"/>
    <w:rsid w:val="009D3B9B"/>
    <w:rsid w:val="009D3D9D"/>
    <w:rsid w:val="009D4172"/>
    <w:rsid w:val="009D42C8"/>
    <w:rsid w:val="009D5597"/>
    <w:rsid w:val="009D58D1"/>
    <w:rsid w:val="009D7565"/>
    <w:rsid w:val="009D7787"/>
    <w:rsid w:val="009D7D9C"/>
    <w:rsid w:val="009E02C9"/>
    <w:rsid w:val="009E121C"/>
    <w:rsid w:val="009E13A6"/>
    <w:rsid w:val="009E161B"/>
    <w:rsid w:val="009E1B98"/>
    <w:rsid w:val="009E23CD"/>
    <w:rsid w:val="009E2E51"/>
    <w:rsid w:val="009E39DC"/>
    <w:rsid w:val="009E3E51"/>
    <w:rsid w:val="009E3FAC"/>
    <w:rsid w:val="009E4153"/>
    <w:rsid w:val="009E5378"/>
    <w:rsid w:val="009E56B4"/>
    <w:rsid w:val="009E5881"/>
    <w:rsid w:val="009E64DE"/>
    <w:rsid w:val="009E6D68"/>
    <w:rsid w:val="009E7BE8"/>
    <w:rsid w:val="009E7F39"/>
    <w:rsid w:val="009F029A"/>
    <w:rsid w:val="009F0DA4"/>
    <w:rsid w:val="009F1B61"/>
    <w:rsid w:val="009F28C9"/>
    <w:rsid w:val="009F2A29"/>
    <w:rsid w:val="009F2C50"/>
    <w:rsid w:val="009F31ED"/>
    <w:rsid w:val="009F3C2E"/>
    <w:rsid w:val="009F4081"/>
    <w:rsid w:val="009F43C3"/>
    <w:rsid w:val="009F4A70"/>
    <w:rsid w:val="009F4D28"/>
    <w:rsid w:val="009F6110"/>
    <w:rsid w:val="009F615E"/>
    <w:rsid w:val="009F6933"/>
    <w:rsid w:val="009F6EDF"/>
    <w:rsid w:val="009F7D43"/>
    <w:rsid w:val="00A012D0"/>
    <w:rsid w:val="00A01523"/>
    <w:rsid w:val="00A015E7"/>
    <w:rsid w:val="00A0389C"/>
    <w:rsid w:val="00A043FE"/>
    <w:rsid w:val="00A05449"/>
    <w:rsid w:val="00A05729"/>
    <w:rsid w:val="00A05803"/>
    <w:rsid w:val="00A05916"/>
    <w:rsid w:val="00A05D20"/>
    <w:rsid w:val="00A06E1B"/>
    <w:rsid w:val="00A0794D"/>
    <w:rsid w:val="00A10898"/>
    <w:rsid w:val="00A10EFF"/>
    <w:rsid w:val="00A1290A"/>
    <w:rsid w:val="00A13975"/>
    <w:rsid w:val="00A16741"/>
    <w:rsid w:val="00A1701D"/>
    <w:rsid w:val="00A209C7"/>
    <w:rsid w:val="00A20EC8"/>
    <w:rsid w:val="00A2114F"/>
    <w:rsid w:val="00A218A7"/>
    <w:rsid w:val="00A21FBD"/>
    <w:rsid w:val="00A2216E"/>
    <w:rsid w:val="00A22A96"/>
    <w:rsid w:val="00A2370B"/>
    <w:rsid w:val="00A23A1D"/>
    <w:rsid w:val="00A24782"/>
    <w:rsid w:val="00A25885"/>
    <w:rsid w:val="00A265F3"/>
    <w:rsid w:val="00A26CAA"/>
    <w:rsid w:val="00A26CCB"/>
    <w:rsid w:val="00A27AFB"/>
    <w:rsid w:val="00A27EB8"/>
    <w:rsid w:val="00A304C5"/>
    <w:rsid w:val="00A31536"/>
    <w:rsid w:val="00A31956"/>
    <w:rsid w:val="00A3399F"/>
    <w:rsid w:val="00A33C0B"/>
    <w:rsid w:val="00A33DC9"/>
    <w:rsid w:val="00A33F77"/>
    <w:rsid w:val="00A341C4"/>
    <w:rsid w:val="00A3490C"/>
    <w:rsid w:val="00A34A62"/>
    <w:rsid w:val="00A35831"/>
    <w:rsid w:val="00A36CCE"/>
    <w:rsid w:val="00A36E14"/>
    <w:rsid w:val="00A3743F"/>
    <w:rsid w:val="00A378E5"/>
    <w:rsid w:val="00A37DA4"/>
    <w:rsid w:val="00A40872"/>
    <w:rsid w:val="00A40C71"/>
    <w:rsid w:val="00A412EF"/>
    <w:rsid w:val="00A42EF2"/>
    <w:rsid w:val="00A4355E"/>
    <w:rsid w:val="00A44D84"/>
    <w:rsid w:val="00A4560F"/>
    <w:rsid w:val="00A45BD2"/>
    <w:rsid w:val="00A46829"/>
    <w:rsid w:val="00A46F60"/>
    <w:rsid w:val="00A4716C"/>
    <w:rsid w:val="00A479EA"/>
    <w:rsid w:val="00A50436"/>
    <w:rsid w:val="00A5086E"/>
    <w:rsid w:val="00A51409"/>
    <w:rsid w:val="00A51BC7"/>
    <w:rsid w:val="00A5275D"/>
    <w:rsid w:val="00A52A12"/>
    <w:rsid w:val="00A52ED5"/>
    <w:rsid w:val="00A5372E"/>
    <w:rsid w:val="00A53800"/>
    <w:rsid w:val="00A54194"/>
    <w:rsid w:val="00A54BC7"/>
    <w:rsid w:val="00A54E6E"/>
    <w:rsid w:val="00A5515B"/>
    <w:rsid w:val="00A56953"/>
    <w:rsid w:val="00A5774E"/>
    <w:rsid w:val="00A578D4"/>
    <w:rsid w:val="00A60EBF"/>
    <w:rsid w:val="00A61015"/>
    <w:rsid w:val="00A61324"/>
    <w:rsid w:val="00A6138F"/>
    <w:rsid w:val="00A61D6F"/>
    <w:rsid w:val="00A61D7A"/>
    <w:rsid w:val="00A61E5B"/>
    <w:rsid w:val="00A63622"/>
    <w:rsid w:val="00A64735"/>
    <w:rsid w:val="00A64A5F"/>
    <w:rsid w:val="00A653BF"/>
    <w:rsid w:val="00A654E5"/>
    <w:rsid w:val="00A659E2"/>
    <w:rsid w:val="00A65E71"/>
    <w:rsid w:val="00A65F01"/>
    <w:rsid w:val="00A6665F"/>
    <w:rsid w:val="00A66936"/>
    <w:rsid w:val="00A7085C"/>
    <w:rsid w:val="00A70C84"/>
    <w:rsid w:val="00A72F5E"/>
    <w:rsid w:val="00A7322E"/>
    <w:rsid w:val="00A73FFB"/>
    <w:rsid w:val="00A757FC"/>
    <w:rsid w:val="00A76523"/>
    <w:rsid w:val="00A766F9"/>
    <w:rsid w:val="00A8035D"/>
    <w:rsid w:val="00A807A3"/>
    <w:rsid w:val="00A80D96"/>
    <w:rsid w:val="00A81E2E"/>
    <w:rsid w:val="00A81F78"/>
    <w:rsid w:val="00A8265A"/>
    <w:rsid w:val="00A833D0"/>
    <w:rsid w:val="00A83F16"/>
    <w:rsid w:val="00A84303"/>
    <w:rsid w:val="00A84C81"/>
    <w:rsid w:val="00A84D22"/>
    <w:rsid w:val="00A8510A"/>
    <w:rsid w:val="00A85D7B"/>
    <w:rsid w:val="00A860D4"/>
    <w:rsid w:val="00A860F0"/>
    <w:rsid w:val="00A8651D"/>
    <w:rsid w:val="00A87E35"/>
    <w:rsid w:val="00A90276"/>
    <w:rsid w:val="00A9067D"/>
    <w:rsid w:val="00A90807"/>
    <w:rsid w:val="00A91BFE"/>
    <w:rsid w:val="00A92240"/>
    <w:rsid w:val="00A931DE"/>
    <w:rsid w:val="00A93D89"/>
    <w:rsid w:val="00A94653"/>
    <w:rsid w:val="00A94EBF"/>
    <w:rsid w:val="00A95566"/>
    <w:rsid w:val="00A95A99"/>
    <w:rsid w:val="00A95EB3"/>
    <w:rsid w:val="00A964C1"/>
    <w:rsid w:val="00A975B1"/>
    <w:rsid w:val="00A97AAC"/>
    <w:rsid w:val="00AA0AB4"/>
    <w:rsid w:val="00AA1034"/>
    <w:rsid w:val="00AA4A4A"/>
    <w:rsid w:val="00AA548E"/>
    <w:rsid w:val="00AA5C5A"/>
    <w:rsid w:val="00AA6178"/>
    <w:rsid w:val="00AB13BF"/>
    <w:rsid w:val="00AB2251"/>
    <w:rsid w:val="00AB2C4F"/>
    <w:rsid w:val="00AB465A"/>
    <w:rsid w:val="00AB5F73"/>
    <w:rsid w:val="00AB6761"/>
    <w:rsid w:val="00AB6968"/>
    <w:rsid w:val="00AB77C7"/>
    <w:rsid w:val="00AC014D"/>
    <w:rsid w:val="00AC2EB4"/>
    <w:rsid w:val="00AC3F25"/>
    <w:rsid w:val="00AC409E"/>
    <w:rsid w:val="00AC42D7"/>
    <w:rsid w:val="00AC43E5"/>
    <w:rsid w:val="00AC4A08"/>
    <w:rsid w:val="00AC4A8D"/>
    <w:rsid w:val="00AC4FFA"/>
    <w:rsid w:val="00AC7204"/>
    <w:rsid w:val="00AC7EA1"/>
    <w:rsid w:val="00AD0771"/>
    <w:rsid w:val="00AD07F3"/>
    <w:rsid w:val="00AD0B76"/>
    <w:rsid w:val="00AD0DB8"/>
    <w:rsid w:val="00AD12A0"/>
    <w:rsid w:val="00AD1F22"/>
    <w:rsid w:val="00AD21FB"/>
    <w:rsid w:val="00AD3629"/>
    <w:rsid w:val="00AD3C01"/>
    <w:rsid w:val="00AD427A"/>
    <w:rsid w:val="00AD43BF"/>
    <w:rsid w:val="00AD445A"/>
    <w:rsid w:val="00AD4625"/>
    <w:rsid w:val="00AD4DBC"/>
    <w:rsid w:val="00AD58D7"/>
    <w:rsid w:val="00AD5DA0"/>
    <w:rsid w:val="00AD5E93"/>
    <w:rsid w:val="00AD5FC5"/>
    <w:rsid w:val="00AD6ADC"/>
    <w:rsid w:val="00AD7D0B"/>
    <w:rsid w:val="00AE1258"/>
    <w:rsid w:val="00AE157F"/>
    <w:rsid w:val="00AE22A4"/>
    <w:rsid w:val="00AE32D0"/>
    <w:rsid w:val="00AE37B8"/>
    <w:rsid w:val="00AE3A0E"/>
    <w:rsid w:val="00AE49C7"/>
    <w:rsid w:val="00AE5BCC"/>
    <w:rsid w:val="00AE6208"/>
    <w:rsid w:val="00AE665F"/>
    <w:rsid w:val="00AE67D7"/>
    <w:rsid w:val="00AE719F"/>
    <w:rsid w:val="00AF03C9"/>
    <w:rsid w:val="00AF0428"/>
    <w:rsid w:val="00AF080C"/>
    <w:rsid w:val="00AF0CAE"/>
    <w:rsid w:val="00AF2516"/>
    <w:rsid w:val="00AF3873"/>
    <w:rsid w:val="00AF3AA6"/>
    <w:rsid w:val="00AF3BFA"/>
    <w:rsid w:val="00AF3E3E"/>
    <w:rsid w:val="00AF3F47"/>
    <w:rsid w:val="00AF490E"/>
    <w:rsid w:val="00AF570B"/>
    <w:rsid w:val="00AF57F6"/>
    <w:rsid w:val="00AF5A0D"/>
    <w:rsid w:val="00AF5ABC"/>
    <w:rsid w:val="00AF5FE4"/>
    <w:rsid w:val="00AF629B"/>
    <w:rsid w:val="00AF67A4"/>
    <w:rsid w:val="00AF73CD"/>
    <w:rsid w:val="00B04D8B"/>
    <w:rsid w:val="00B05188"/>
    <w:rsid w:val="00B05533"/>
    <w:rsid w:val="00B068F4"/>
    <w:rsid w:val="00B06FFF"/>
    <w:rsid w:val="00B075DE"/>
    <w:rsid w:val="00B07704"/>
    <w:rsid w:val="00B07E37"/>
    <w:rsid w:val="00B110E2"/>
    <w:rsid w:val="00B11100"/>
    <w:rsid w:val="00B11C81"/>
    <w:rsid w:val="00B11D1A"/>
    <w:rsid w:val="00B11E5B"/>
    <w:rsid w:val="00B12270"/>
    <w:rsid w:val="00B12E10"/>
    <w:rsid w:val="00B13224"/>
    <w:rsid w:val="00B13A08"/>
    <w:rsid w:val="00B146AF"/>
    <w:rsid w:val="00B146EB"/>
    <w:rsid w:val="00B14A28"/>
    <w:rsid w:val="00B14ABA"/>
    <w:rsid w:val="00B155F6"/>
    <w:rsid w:val="00B179F0"/>
    <w:rsid w:val="00B210A2"/>
    <w:rsid w:val="00B216E3"/>
    <w:rsid w:val="00B217E8"/>
    <w:rsid w:val="00B21E03"/>
    <w:rsid w:val="00B21E96"/>
    <w:rsid w:val="00B22FC7"/>
    <w:rsid w:val="00B23540"/>
    <w:rsid w:val="00B2360F"/>
    <w:rsid w:val="00B236E4"/>
    <w:rsid w:val="00B24B12"/>
    <w:rsid w:val="00B258FE"/>
    <w:rsid w:val="00B26BB7"/>
    <w:rsid w:val="00B27AD5"/>
    <w:rsid w:val="00B30888"/>
    <w:rsid w:val="00B3107C"/>
    <w:rsid w:val="00B310CB"/>
    <w:rsid w:val="00B32AE3"/>
    <w:rsid w:val="00B32D74"/>
    <w:rsid w:val="00B3398A"/>
    <w:rsid w:val="00B35C62"/>
    <w:rsid w:val="00B35E0E"/>
    <w:rsid w:val="00B36890"/>
    <w:rsid w:val="00B36C27"/>
    <w:rsid w:val="00B37393"/>
    <w:rsid w:val="00B37C7B"/>
    <w:rsid w:val="00B40231"/>
    <w:rsid w:val="00B407F3"/>
    <w:rsid w:val="00B41911"/>
    <w:rsid w:val="00B43262"/>
    <w:rsid w:val="00B4513A"/>
    <w:rsid w:val="00B45526"/>
    <w:rsid w:val="00B46787"/>
    <w:rsid w:val="00B4695A"/>
    <w:rsid w:val="00B501B5"/>
    <w:rsid w:val="00B508E9"/>
    <w:rsid w:val="00B50A32"/>
    <w:rsid w:val="00B512B9"/>
    <w:rsid w:val="00B51417"/>
    <w:rsid w:val="00B519A3"/>
    <w:rsid w:val="00B523D5"/>
    <w:rsid w:val="00B524AB"/>
    <w:rsid w:val="00B5256E"/>
    <w:rsid w:val="00B52654"/>
    <w:rsid w:val="00B52B1B"/>
    <w:rsid w:val="00B52E64"/>
    <w:rsid w:val="00B52E69"/>
    <w:rsid w:val="00B531F1"/>
    <w:rsid w:val="00B539B9"/>
    <w:rsid w:val="00B54027"/>
    <w:rsid w:val="00B55CB9"/>
    <w:rsid w:val="00B55F29"/>
    <w:rsid w:val="00B562F0"/>
    <w:rsid w:val="00B56E5D"/>
    <w:rsid w:val="00B57587"/>
    <w:rsid w:val="00B60F8C"/>
    <w:rsid w:val="00B6365C"/>
    <w:rsid w:val="00B63878"/>
    <w:rsid w:val="00B63B8E"/>
    <w:rsid w:val="00B64ED4"/>
    <w:rsid w:val="00B65FE6"/>
    <w:rsid w:val="00B663B8"/>
    <w:rsid w:val="00B67C28"/>
    <w:rsid w:val="00B70517"/>
    <w:rsid w:val="00B70664"/>
    <w:rsid w:val="00B713D0"/>
    <w:rsid w:val="00B715C6"/>
    <w:rsid w:val="00B71E11"/>
    <w:rsid w:val="00B71ED5"/>
    <w:rsid w:val="00B72C69"/>
    <w:rsid w:val="00B74D4D"/>
    <w:rsid w:val="00B74EE2"/>
    <w:rsid w:val="00B75272"/>
    <w:rsid w:val="00B75BB3"/>
    <w:rsid w:val="00B75CFC"/>
    <w:rsid w:val="00B765FF"/>
    <w:rsid w:val="00B76878"/>
    <w:rsid w:val="00B76A44"/>
    <w:rsid w:val="00B76BFB"/>
    <w:rsid w:val="00B76E07"/>
    <w:rsid w:val="00B77E7A"/>
    <w:rsid w:val="00B80221"/>
    <w:rsid w:val="00B802C9"/>
    <w:rsid w:val="00B8045B"/>
    <w:rsid w:val="00B8210E"/>
    <w:rsid w:val="00B822D7"/>
    <w:rsid w:val="00B831D5"/>
    <w:rsid w:val="00B8325D"/>
    <w:rsid w:val="00B83574"/>
    <w:rsid w:val="00B83597"/>
    <w:rsid w:val="00B84B13"/>
    <w:rsid w:val="00B84D00"/>
    <w:rsid w:val="00B8546D"/>
    <w:rsid w:val="00B85B14"/>
    <w:rsid w:val="00B85E95"/>
    <w:rsid w:val="00B85EED"/>
    <w:rsid w:val="00B86EF9"/>
    <w:rsid w:val="00B875C0"/>
    <w:rsid w:val="00B9035C"/>
    <w:rsid w:val="00B9185F"/>
    <w:rsid w:val="00B922CA"/>
    <w:rsid w:val="00B93C5A"/>
    <w:rsid w:val="00B95367"/>
    <w:rsid w:val="00B95925"/>
    <w:rsid w:val="00B96A3D"/>
    <w:rsid w:val="00B97BD5"/>
    <w:rsid w:val="00B97EF6"/>
    <w:rsid w:val="00BA05E5"/>
    <w:rsid w:val="00BA090D"/>
    <w:rsid w:val="00BA194E"/>
    <w:rsid w:val="00BA1A0B"/>
    <w:rsid w:val="00BA24D2"/>
    <w:rsid w:val="00BA26FC"/>
    <w:rsid w:val="00BA293F"/>
    <w:rsid w:val="00BA29F9"/>
    <w:rsid w:val="00BA2D78"/>
    <w:rsid w:val="00BA3102"/>
    <w:rsid w:val="00BA3764"/>
    <w:rsid w:val="00BA3B2B"/>
    <w:rsid w:val="00BA47FB"/>
    <w:rsid w:val="00BA4EA6"/>
    <w:rsid w:val="00BA50D4"/>
    <w:rsid w:val="00BA5E29"/>
    <w:rsid w:val="00BA657A"/>
    <w:rsid w:val="00BA698B"/>
    <w:rsid w:val="00BA7F63"/>
    <w:rsid w:val="00BB0534"/>
    <w:rsid w:val="00BB0DB8"/>
    <w:rsid w:val="00BB0F8F"/>
    <w:rsid w:val="00BB1176"/>
    <w:rsid w:val="00BB13D7"/>
    <w:rsid w:val="00BB1979"/>
    <w:rsid w:val="00BB24CA"/>
    <w:rsid w:val="00BB24F7"/>
    <w:rsid w:val="00BB2C8C"/>
    <w:rsid w:val="00BB30D2"/>
    <w:rsid w:val="00BB348E"/>
    <w:rsid w:val="00BB354F"/>
    <w:rsid w:val="00BB36A8"/>
    <w:rsid w:val="00BB4777"/>
    <w:rsid w:val="00BB4EEB"/>
    <w:rsid w:val="00BB5B0A"/>
    <w:rsid w:val="00BB5B74"/>
    <w:rsid w:val="00BB6E7C"/>
    <w:rsid w:val="00BB7A47"/>
    <w:rsid w:val="00BC06C3"/>
    <w:rsid w:val="00BC1DFD"/>
    <w:rsid w:val="00BC25C6"/>
    <w:rsid w:val="00BC4B1E"/>
    <w:rsid w:val="00BC55DE"/>
    <w:rsid w:val="00BC5C7E"/>
    <w:rsid w:val="00BC67A3"/>
    <w:rsid w:val="00BD019D"/>
    <w:rsid w:val="00BD0BDE"/>
    <w:rsid w:val="00BD159B"/>
    <w:rsid w:val="00BD1988"/>
    <w:rsid w:val="00BD481F"/>
    <w:rsid w:val="00BD4AA6"/>
    <w:rsid w:val="00BD4F56"/>
    <w:rsid w:val="00BD4FD8"/>
    <w:rsid w:val="00BE0304"/>
    <w:rsid w:val="00BE06AE"/>
    <w:rsid w:val="00BE17D6"/>
    <w:rsid w:val="00BE1981"/>
    <w:rsid w:val="00BE19A2"/>
    <w:rsid w:val="00BE25C9"/>
    <w:rsid w:val="00BE3507"/>
    <w:rsid w:val="00BE35AD"/>
    <w:rsid w:val="00BE37E1"/>
    <w:rsid w:val="00BE4E81"/>
    <w:rsid w:val="00BE5BD9"/>
    <w:rsid w:val="00BE5E8F"/>
    <w:rsid w:val="00BE5EA8"/>
    <w:rsid w:val="00BE6BBF"/>
    <w:rsid w:val="00BE78A4"/>
    <w:rsid w:val="00BF078E"/>
    <w:rsid w:val="00BF1182"/>
    <w:rsid w:val="00BF4C43"/>
    <w:rsid w:val="00BF50B0"/>
    <w:rsid w:val="00BF5FB6"/>
    <w:rsid w:val="00BF778F"/>
    <w:rsid w:val="00BF7D4A"/>
    <w:rsid w:val="00C0063A"/>
    <w:rsid w:val="00C013F6"/>
    <w:rsid w:val="00C017BF"/>
    <w:rsid w:val="00C0199F"/>
    <w:rsid w:val="00C01E70"/>
    <w:rsid w:val="00C02983"/>
    <w:rsid w:val="00C03981"/>
    <w:rsid w:val="00C03F37"/>
    <w:rsid w:val="00C04088"/>
    <w:rsid w:val="00C04218"/>
    <w:rsid w:val="00C043E0"/>
    <w:rsid w:val="00C05009"/>
    <w:rsid w:val="00C0565A"/>
    <w:rsid w:val="00C0680D"/>
    <w:rsid w:val="00C06C21"/>
    <w:rsid w:val="00C07042"/>
    <w:rsid w:val="00C0704F"/>
    <w:rsid w:val="00C0708D"/>
    <w:rsid w:val="00C07844"/>
    <w:rsid w:val="00C10C95"/>
    <w:rsid w:val="00C118E6"/>
    <w:rsid w:val="00C11B45"/>
    <w:rsid w:val="00C11E3E"/>
    <w:rsid w:val="00C1299F"/>
    <w:rsid w:val="00C14AB0"/>
    <w:rsid w:val="00C15225"/>
    <w:rsid w:val="00C15CEE"/>
    <w:rsid w:val="00C15E9D"/>
    <w:rsid w:val="00C167D1"/>
    <w:rsid w:val="00C17130"/>
    <w:rsid w:val="00C17D3D"/>
    <w:rsid w:val="00C2001B"/>
    <w:rsid w:val="00C212AB"/>
    <w:rsid w:val="00C214F0"/>
    <w:rsid w:val="00C23B27"/>
    <w:rsid w:val="00C25478"/>
    <w:rsid w:val="00C26422"/>
    <w:rsid w:val="00C26C7C"/>
    <w:rsid w:val="00C273D1"/>
    <w:rsid w:val="00C31030"/>
    <w:rsid w:val="00C320C9"/>
    <w:rsid w:val="00C3269F"/>
    <w:rsid w:val="00C3288D"/>
    <w:rsid w:val="00C33A1B"/>
    <w:rsid w:val="00C342DB"/>
    <w:rsid w:val="00C34F0D"/>
    <w:rsid w:val="00C356E4"/>
    <w:rsid w:val="00C40EF8"/>
    <w:rsid w:val="00C4152A"/>
    <w:rsid w:val="00C417FE"/>
    <w:rsid w:val="00C4182F"/>
    <w:rsid w:val="00C42785"/>
    <w:rsid w:val="00C43321"/>
    <w:rsid w:val="00C44280"/>
    <w:rsid w:val="00C44A63"/>
    <w:rsid w:val="00C45243"/>
    <w:rsid w:val="00C45B43"/>
    <w:rsid w:val="00C46031"/>
    <w:rsid w:val="00C4681F"/>
    <w:rsid w:val="00C46A6D"/>
    <w:rsid w:val="00C47CB8"/>
    <w:rsid w:val="00C50450"/>
    <w:rsid w:val="00C504ED"/>
    <w:rsid w:val="00C519F7"/>
    <w:rsid w:val="00C52184"/>
    <w:rsid w:val="00C5255F"/>
    <w:rsid w:val="00C53234"/>
    <w:rsid w:val="00C533F3"/>
    <w:rsid w:val="00C53989"/>
    <w:rsid w:val="00C53AF1"/>
    <w:rsid w:val="00C53E83"/>
    <w:rsid w:val="00C5470E"/>
    <w:rsid w:val="00C54865"/>
    <w:rsid w:val="00C54F52"/>
    <w:rsid w:val="00C553B7"/>
    <w:rsid w:val="00C55605"/>
    <w:rsid w:val="00C5798E"/>
    <w:rsid w:val="00C57D4A"/>
    <w:rsid w:val="00C60A09"/>
    <w:rsid w:val="00C61F13"/>
    <w:rsid w:val="00C62AF8"/>
    <w:rsid w:val="00C62F2D"/>
    <w:rsid w:val="00C64AE9"/>
    <w:rsid w:val="00C6529F"/>
    <w:rsid w:val="00C65356"/>
    <w:rsid w:val="00C65A41"/>
    <w:rsid w:val="00C674D2"/>
    <w:rsid w:val="00C67C95"/>
    <w:rsid w:val="00C67EE6"/>
    <w:rsid w:val="00C70497"/>
    <w:rsid w:val="00C70D5A"/>
    <w:rsid w:val="00C71284"/>
    <w:rsid w:val="00C72121"/>
    <w:rsid w:val="00C72DC6"/>
    <w:rsid w:val="00C7307F"/>
    <w:rsid w:val="00C7375E"/>
    <w:rsid w:val="00C74075"/>
    <w:rsid w:val="00C7463A"/>
    <w:rsid w:val="00C74CA2"/>
    <w:rsid w:val="00C756E0"/>
    <w:rsid w:val="00C75F35"/>
    <w:rsid w:val="00C75F58"/>
    <w:rsid w:val="00C7667D"/>
    <w:rsid w:val="00C7765F"/>
    <w:rsid w:val="00C77E8A"/>
    <w:rsid w:val="00C8115B"/>
    <w:rsid w:val="00C81238"/>
    <w:rsid w:val="00C81F24"/>
    <w:rsid w:val="00C83FCF"/>
    <w:rsid w:val="00C84B57"/>
    <w:rsid w:val="00C8615B"/>
    <w:rsid w:val="00C869F3"/>
    <w:rsid w:val="00C87B7D"/>
    <w:rsid w:val="00C90B5C"/>
    <w:rsid w:val="00C91119"/>
    <w:rsid w:val="00C91249"/>
    <w:rsid w:val="00C92B71"/>
    <w:rsid w:val="00C93A1C"/>
    <w:rsid w:val="00C9495E"/>
    <w:rsid w:val="00C94E7E"/>
    <w:rsid w:val="00C97C9B"/>
    <w:rsid w:val="00CA0008"/>
    <w:rsid w:val="00CA08AE"/>
    <w:rsid w:val="00CA0E3A"/>
    <w:rsid w:val="00CA12F4"/>
    <w:rsid w:val="00CA1C47"/>
    <w:rsid w:val="00CA3333"/>
    <w:rsid w:val="00CA3A19"/>
    <w:rsid w:val="00CA4F93"/>
    <w:rsid w:val="00CA6A22"/>
    <w:rsid w:val="00CA6E12"/>
    <w:rsid w:val="00CB004D"/>
    <w:rsid w:val="00CB08D8"/>
    <w:rsid w:val="00CB09E8"/>
    <w:rsid w:val="00CB0B66"/>
    <w:rsid w:val="00CB0E84"/>
    <w:rsid w:val="00CB1F67"/>
    <w:rsid w:val="00CB23E3"/>
    <w:rsid w:val="00CB34CC"/>
    <w:rsid w:val="00CB3AB0"/>
    <w:rsid w:val="00CB42F2"/>
    <w:rsid w:val="00CB4618"/>
    <w:rsid w:val="00CB67BD"/>
    <w:rsid w:val="00CB710A"/>
    <w:rsid w:val="00CC04CB"/>
    <w:rsid w:val="00CC04D2"/>
    <w:rsid w:val="00CC104B"/>
    <w:rsid w:val="00CC14C4"/>
    <w:rsid w:val="00CC17D6"/>
    <w:rsid w:val="00CC3B3F"/>
    <w:rsid w:val="00CC4EAB"/>
    <w:rsid w:val="00CC5527"/>
    <w:rsid w:val="00CD04C5"/>
    <w:rsid w:val="00CD06B5"/>
    <w:rsid w:val="00CD1C68"/>
    <w:rsid w:val="00CD310C"/>
    <w:rsid w:val="00CD312E"/>
    <w:rsid w:val="00CD32A8"/>
    <w:rsid w:val="00CD39BC"/>
    <w:rsid w:val="00CD437D"/>
    <w:rsid w:val="00CD46D5"/>
    <w:rsid w:val="00CD4BF0"/>
    <w:rsid w:val="00CD682B"/>
    <w:rsid w:val="00CD7494"/>
    <w:rsid w:val="00CD754D"/>
    <w:rsid w:val="00CD7835"/>
    <w:rsid w:val="00CD7C27"/>
    <w:rsid w:val="00CD7F80"/>
    <w:rsid w:val="00CE02AD"/>
    <w:rsid w:val="00CE053C"/>
    <w:rsid w:val="00CE080E"/>
    <w:rsid w:val="00CE10A4"/>
    <w:rsid w:val="00CE10E3"/>
    <w:rsid w:val="00CE186F"/>
    <w:rsid w:val="00CE23AA"/>
    <w:rsid w:val="00CE295E"/>
    <w:rsid w:val="00CE2B42"/>
    <w:rsid w:val="00CE2FED"/>
    <w:rsid w:val="00CE319B"/>
    <w:rsid w:val="00CE34FC"/>
    <w:rsid w:val="00CE3EAE"/>
    <w:rsid w:val="00CE40E3"/>
    <w:rsid w:val="00CE4A86"/>
    <w:rsid w:val="00CE4CAE"/>
    <w:rsid w:val="00CE55DA"/>
    <w:rsid w:val="00CE56B9"/>
    <w:rsid w:val="00CE69C0"/>
    <w:rsid w:val="00CE6AFC"/>
    <w:rsid w:val="00CE7C58"/>
    <w:rsid w:val="00CF021C"/>
    <w:rsid w:val="00CF0D25"/>
    <w:rsid w:val="00CF0D61"/>
    <w:rsid w:val="00CF2968"/>
    <w:rsid w:val="00CF3822"/>
    <w:rsid w:val="00CF38F4"/>
    <w:rsid w:val="00CF44B5"/>
    <w:rsid w:val="00CF5879"/>
    <w:rsid w:val="00D00375"/>
    <w:rsid w:val="00D0168A"/>
    <w:rsid w:val="00D01935"/>
    <w:rsid w:val="00D022DC"/>
    <w:rsid w:val="00D0253C"/>
    <w:rsid w:val="00D03292"/>
    <w:rsid w:val="00D0330C"/>
    <w:rsid w:val="00D04171"/>
    <w:rsid w:val="00D042BE"/>
    <w:rsid w:val="00D046C9"/>
    <w:rsid w:val="00D05183"/>
    <w:rsid w:val="00D05704"/>
    <w:rsid w:val="00D05993"/>
    <w:rsid w:val="00D05E58"/>
    <w:rsid w:val="00D06BC9"/>
    <w:rsid w:val="00D109EA"/>
    <w:rsid w:val="00D12493"/>
    <w:rsid w:val="00D12C7A"/>
    <w:rsid w:val="00D1306C"/>
    <w:rsid w:val="00D149E4"/>
    <w:rsid w:val="00D149F9"/>
    <w:rsid w:val="00D14EF9"/>
    <w:rsid w:val="00D15416"/>
    <w:rsid w:val="00D16A42"/>
    <w:rsid w:val="00D17E87"/>
    <w:rsid w:val="00D2066E"/>
    <w:rsid w:val="00D20992"/>
    <w:rsid w:val="00D20F4F"/>
    <w:rsid w:val="00D214F7"/>
    <w:rsid w:val="00D22C5B"/>
    <w:rsid w:val="00D23D51"/>
    <w:rsid w:val="00D24620"/>
    <w:rsid w:val="00D250CE"/>
    <w:rsid w:val="00D253C6"/>
    <w:rsid w:val="00D26D50"/>
    <w:rsid w:val="00D276A4"/>
    <w:rsid w:val="00D30181"/>
    <w:rsid w:val="00D309AF"/>
    <w:rsid w:val="00D30A21"/>
    <w:rsid w:val="00D30B29"/>
    <w:rsid w:val="00D30E0C"/>
    <w:rsid w:val="00D3112B"/>
    <w:rsid w:val="00D312C0"/>
    <w:rsid w:val="00D31936"/>
    <w:rsid w:val="00D31CBB"/>
    <w:rsid w:val="00D32257"/>
    <w:rsid w:val="00D332FB"/>
    <w:rsid w:val="00D3464C"/>
    <w:rsid w:val="00D34EE3"/>
    <w:rsid w:val="00D3501F"/>
    <w:rsid w:val="00D361C1"/>
    <w:rsid w:val="00D36224"/>
    <w:rsid w:val="00D3657A"/>
    <w:rsid w:val="00D3670B"/>
    <w:rsid w:val="00D36DBA"/>
    <w:rsid w:val="00D3738A"/>
    <w:rsid w:val="00D40DAC"/>
    <w:rsid w:val="00D41625"/>
    <w:rsid w:val="00D416AA"/>
    <w:rsid w:val="00D416F5"/>
    <w:rsid w:val="00D4262E"/>
    <w:rsid w:val="00D43F62"/>
    <w:rsid w:val="00D4403B"/>
    <w:rsid w:val="00D4410A"/>
    <w:rsid w:val="00D44111"/>
    <w:rsid w:val="00D44386"/>
    <w:rsid w:val="00D444A1"/>
    <w:rsid w:val="00D4621F"/>
    <w:rsid w:val="00D4655A"/>
    <w:rsid w:val="00D46A6B"/>
    <w:rsid w:val="00D46A93"/>
    <w:rsid w:val="00D5084C"/>
    <w:rsid w:val="00D50EE4"/>
    <w:rsid w:val="00D51945"/>
    <w:rsid w:val="00D51C1B"/>
    <w:rsid w:val="00D51F74"/>
    <w:rsid w:val="00D52267"/>
    <w:rsid w:val="00D522BB"/>
    <w:rsid w:val="00D52328"/>
    <w:rsid w:val="00D53045"/>
    <w:rsid w:val="00D5474F"/>
    <w:rsid w:val="00D55056"/>
    <w:rsid w:val="00D5547C"/>
    <w:rsid w:val="00D55C90"/>
    <w:rsid w:val="00D57267"/>
    <w:rsid w:val="00D60B3D"/>
    <w:rsid w:val="00D610F0"/>
    <w:rsid w:val="00D61635"/>
    <w:rsid w:val="00D626A9"/>
    <w:rsid w:val="00D628C5"/>
    <w:rsid w:val="00D62FAE"/>
    <w:rsid w:val="00D63DB5"/>
    <w:rsid w:val="00D64E8B"/>
    <w:rsid w:val="00D6726D"/>
    <w:rsid w:val="00D7066E"/>
    <w:rsid w:val="00D7078F"/>
    <w:rsid w:val="00D72BC6"/>
    <w:rsid w:val="00D74447"/>
    <w:rsid w:val="00D7481F"/>
    <w:rsid w:val="00D75026"/>
    <w:rsid w:val="00D75DD0"/>
    <w:rsid w:val="00D7673F"/>
    <w:rsid w:val="00D76EF3"/>
    <w:rsid w:val="00D77DAA"/>
    <w:rsid w:val="00D77FB0"/>
    <w:rsid w:val="00D807BE"/>
    <w:rsid w:val="00D808B5"/>
    <w:rsid w:val="00D80DD7"/>
    <w:rsid w:val="00D82050"/>
    <w:rsid w:val="00D838FD"/>
    <w:rsid w:val="00D83927"/>
    <w:rsid w:val="00D8400C"/>
    <w:rsid w:val="00D84056"/>
    <w:rsid w:val="00D8489B"/>
    <w:rsid w:val="00D84954"/>
    <w:rsid w:val="00D84E23"/>
    <w:rsid w:val="00D8588C"/>
    <w:rsid w:val="00D85A30"/>
    <w:rsid w:val="00D85E8D"/>
    <w:rsid w:val="00D85F48"/>
    <w:rsid w:val="00D86245"/>
    <w:rsid w:val="00D8640F"/>
    <w:rsid w:val="00D87378"/>
    <w:rsid w:val="00D879C5"/>
    <w:rsid w:val="00D87B6F"/>
    <w:rsid w:val="00D87CCB"/>
    <w:rsid w:val="00D9043F"/>
    <w:rsid w:val="00D9099A"/>
    <w:rsid w:val="00D914D1"/>
    <w:rsid w:val="00D91604"/>
    <w:rsid w:val="00D91632"/>
    <w:rsid w:val="00D91C87"/>
    <w:rsid w:val="00D92BFE"/>
    <w:rsid w:val="00D92E74"/>
    <w:rsid w:val="00D94CBE"/>
    <w:rsid w:val="00D95671"/>
    <w:rsid w:val="00D9594F"/>
    <w:rsid w:val="00D97AB4"/>
    <w:rsid w:val="00D97D54"/>
    <w:rsid w:val="00D97F34"/>
    <w:rsid w:val="00DA020B"/>
    <w:rsid w:val="00DA10D6"/>
    <w:rsid w:val="00DA1B87"/>
    <w:rsid w:val="00DA2243"/>
    <w:rsid w:val="00DA27CE"/>
    <w:rsid w:val="00DA2C5A"/>
    <w:rsid w:val="00DA33DE"/>
    <w:rsid w:val="00DA3A4E"/>
    <w:rsid w:val="00DA3E5A"/>
    <w:rsid w:val="00DA3FEA"/>
    <w:rsid w:val="00DA4918"/>
    <w:rsid w:val="00DA5B39"/>
    <w:rsid w:val="00DA6AA2"/>
    <w:rsid w:val="00DA7199"/>
    <w:rsid w:val="00DB07BF"/>
    <w:rsid w:val="00DB0C5B"/>
    <w:rsid w:val="00DB1A45"/>
    <w:rsid w:val="00DB1CF4"/>
    <w:rsid w:val="00DB1EB8"/>
    <w:rsid w:val="00DB200D"/>
    <w:rsid w:val="00DB360C"/>
    <w:rsid w:val="00DB411F"/>
    <w:rsid w:val="00DB613E"/>
    <w:rsid w:val="00DB76CD"/>
    <w:rsid w:val="00DC0B04"/>
    <w:rsid w:val="00DC1D2F"/>
    <w:rsid w:val="00DC20CB"/>
    <w:rsid w:val="00DC262C"/>
    <w:rsid w:val="00DC28F4"/>
    <w:rsid w:val="00DC2DC4"/>
    <w:rsid w:val="00DC335A"/>
    <w:rsid w:val="00DC3D25"/>
    <w:rsid w:val="00DC3D2E"/>
    <w:rsid w:val="00DC3F7F"/>
    <w:rsid w:val="00DC4188"/>
    <w:rsid w:val="00DC4497"/>
    <w:rsid w:val="00DC4FD4"/>
    <w:rsid w:val="00DC5766"/>
    <w:rsid w:val="00DC5F21"/>
    <w:rsid w:val="00DC6174"/>
    <w:rsid w:val="00DC61FD"/>
    <w:rsid w:val="00DC6A06"/>
    <w:rsid w:val="00DC6E87"/>
    <w:rsid w:val="00DC72ED"/>
    <w:rsid w:val="00DC7506"/>
    <w:rsid w:val="00DC7E6C"/>
    <w:rsid w:val="00DD035E"/>
    <w:rsid w:val="00DD0AC0"/>
    <w:rsid w:val="00DD111C"/>
    <w:rsid w:val="00DD1C01"/>
    <w:rsid w:val="00DD1C92"/>
    <w:rsid w:val="00DD461A"/>
    <w:rsid w:val="00DD4CBC"/>
    <w:rsid w:val="00DD58FD"/>
    <w:rsid w:val="00DD6654"/>
    <w:rsid w:val="00DD6697"/>
    <w:rsid w:val="00DD6765"/>
    <w:rsid w:val="00DD6E93"/>
    <w:rsid w:val="00DD75E5"/>
    <w:rsid w:val="00DD7963"/>
    <w:rsid w:val="00DE04DD"/>
    <w:rsid w:val="00DE0EDC"/>
    <w:rsid w:val="00DE1461"/>
    <w:rsid w:val="00DE1E03"/>
    <w:rsid w:val="00DE252A"/>
    <w:rsid w:val="00DE2736"/>
    <w:rsid w:val="00DE2F69"/>
    <w:rsid w:val="00DE3736"/>
    <w:rsid w:val="00DE49C0"/>
    <w:rsid w:val="00DE5402"/>
    <w:rsid w:val="00DE5864"/>
    <w:rsid w:val="00DE6237"/>
    <w:rsid w:val="00DE728B"/>
    <w:rsid w:val="00DE7564"/>
    <w:rsid w:val="00DE7AB3"/>
    <w:rsid w:val="00DE7F24"/>
    <w:rsid w:val="00DF0036"/>
    <w:rsid w:val="00DF013F"/>
    <w:rsid w:val="00DF0724"/>
    <w:rsid w:val="00DF18E7"/>
    <w:rsid w:val="00DF1A4D"/>
    <w:rsid w:val="00DF1C9D"/>
    <w:rsid w:val="00DF2929"/>
    <w:rsid w:val="00DF294F"/>
    <w:rsid w:val="00DF3F8B"/>
    <w:rsid w:val="00DF4709"/>
    <w:rsid w:val="00DF5DEB"/>
    <w:rsid w:val="00DF678F"/>
    <w:rsid w:val="00DF7501"/>
    <w:rsid w:val="00DF788A"/>
    <w:rsid w:val="00DF7A28"/>
    <w:rsid w:val="00E0081B"/>
    <w:rsid w:val="00E0114E"/>
    <w:rsid w:val="00E01841"/>
    <w:rsid w:val="00E01BE5"/>
    <w:rsid w:val="00E01E3E"/>
    <w:rsid w:val="00E01FDB"/>
    <w:rsid w:val="00E02B67"/>
    <w:rsid w:val="00E03674"/>
    <w:rsid w:val="00E04231"/>
    <w:rsid w:val="00E0486D"/>
    <w:rsid w:val="00E04A7E"/>
    <w:rsid w:val="00E04E57"/>
    <w:rsid w:val="00E05050"/>
    <w:rsid w:val="00E05419"/>
    <w:rsid w:val="00E05C7D"/>
    <w:rsid w:val="00E05EB1"/>
    <w:rsid w:val="00E064FC"/>
    <w:rsid w:val="00E07488"/>
    <w:rsid w:val="00E077AB"/>
    <w:rsid w:val="00E10031"/>
    <w:rsid w:val="00E10136"/>
    <w:rsid w:val="00E103C4"/>
    <w:rsid w:val="00E10BA4"/>
    <w:rsid w:val="00E10FC3"/>
    <w:rsid w:val="00E1127B"/>
    <w:rsid w:val="00E118A2"/>
    <w:rsid w:val="00E11B88"/>
    <w:rsid w:val="00E1207C"/>
    <w:rsid w:val="00E12101"/>
    <w:rsid w:val="00E12301"/>
    <w:rsid w:val="00E12B86"/>
    <w:rsid w:val="00E13CEA"/>
    <w:rsid w:val="00E14272"/>
    <w:rsid w:val="00E15A12"/>
    <w:rsid w:val="00E16A5A"/>
    <w:rsid w:val="00E16CC8"/>
    <w:rsid w:val="00E2019B"/>
    <w:rsid w:val="00E2096B"/>
    <w:rsid w:val="00E20C02"/>
    <w:rsid w:val="00E21290"/>
    <w:rsid w:val="00E21838"/>
    <w:rsid w:val="00E219EA"/>
    <w:rsid w:val="00E21C8C"/>
    <w:rsid w:val="00E22281"/>
    <w:rsid w:val="00E22360"/>
    <w:rsid w:val="00E23163"/>
    <w:rsid w:val="00E23784"/>
    <w:rsid w:val="00E23BB7"/>
    <w:rsid w:val="00E25274"/>
    <w:rsid w:val="00E2573D"/>
    <w:rsid w:val="00E266C1"/>
    <w:rsid w:val="00E26E0C"/>
    <w:rsid w:val="00E3006B"/>
    <w:rsid w:val="00E302B8"/>
    <w:rsid w:val="00E306BC"/>
    <w:rsid w:val="00E30ED8"/>
    <w:rsid w:val="00E31018"/>
    <w:rsid w:val="00E338C6"/>
    <w:rsid w:val="00E33FA7"/>
    <w:rsid w:val="00E34E03"/>
    <w:rsid w:val="00E35F60"/>
    <w:rsid w:val="00E36AC5"/>
    <w:rsid w:val="00E36AE9"/>
    <w:rsid w:val="00E375EE"/>
    <w:rsid w:val="00E3799E"/>
    <w:rsid w:val="00E40018"/>
    <w:rsid w:val="00E40854"/>
    <w:rsid w:val="00E40C17"/>
    <w:rsid w:val="00E40F9B"/>
    <w:rsid w:val="00E412C8"/>
    <w:rsid w:val="00E41345"/>
    <w:rsid w:val="00E4165A"/>
    <w:rsid w:val="00E423C1"/>
    <w:rsid w:val="00E42464"/>
    <w:rsid w:val="00E424A3"/>
    <w:rsid w:val="00E42AC5"/>
    <w:rsid w:val="00E42CB1"/>
    <w:rsid w:val="00E4428D"/>
    <w:rsid w:val="00E45397"/>
    <w:rsid w:val="00E45EAD"/>
    <w:rsid w:val="00E4654E"/>
    <w:rsid w:val="00E46C3A"/>
    <w:rsid w:val="00E4736D"/>
    <w:rsid w:val="00E47ACF"/>
    <w:rsid w:val="00E47FDD"/>
    <w:rsid w:val="00E5134F"/>
    <w:rsid w:val="00E518B2"/>
    <w:rsid w:val="00E51C8C"/>
    <w:rsid w:val="00E520A4"/>
    <w:rsid w:val="00E522D2"/>
    <w:rsid w:val="00E52795"/>
    <w:rsid w:val="00E535B9"/>
    <w:rsid w:val="00E538F0"/>
    <w:rsid w:val="00E53D1C"/>
    <w:rsid w:val="00E53E02"/>
    <w:rsid w:val="00E5420B"/>
    <w:rsid w:val="00E5492C"/>
    <w:rsid w:val="00E549E2"/>
    <w:rsid w:val="00E54B68"/>
    <w:rsid w:val="00E55021"/>
    <w:rsid w:val="00E5535D"/>
    <w:rsid w:val="00E55595"/>
    <w:rsid w:val="00E55717"/>
    <w:rsid w:val="00E55866"/>
    <w:rsid w:val="00E5620B"/>
    <w:rsid w:val="00E57269"/>
    <w:rsid w:val="00E5737B"/>
    <w:rsid w:val="00E57E04"/>
    <w:rsid w:val="00E60082"/>
    <w:rsid w:val="00E6065B"/>
    <w:rsid w:val="00E606C0"/>
    <w:rsid w:val="00E61A9C"/>
    <w:rsid w:val="00E626BD"/>
    <w:rsid w:val="00E626D5"/>
    <w:rsid w:val="00E627A0"/>
    <w:rsid w:val="00E64BA9"/>
    <w:rsid w:val="00E64E09"/>
    <w:rsid w:val="00E64F5C"/>
    <w:rsid w:val="00E66472"/>
    <w:rsid w:val="00E66A5E"/>
    <w:rsid w:val="00E7017D"/>
    <w:rsid w:val="00E702D0"/>
    <w:rsid w:val="00E71CCA"/>
    <w:rsid w:val="00E743CA"/>
    <w:rsid w:val="00E74669"/>
    <w:rsid w:val="00E7534B"/>
    <w:rsid w:val="00E75F7D"/>
    <w:rsid w:val="00E77401"/>
    <w:rsid w:val="00E80FAC"/>
    <w:rsid w:val="00E8193E"/>
    <w:rsid w:val="00E819A6"/>
    <w:rsid w:val="00E831DB"/>
    <w:rsid w:val="00E8338B"/>
    <w:rsid w:val="00E83822"/>
    <w:rsid w:val="00E8400B"/>
    <w:rsid w:val="00E84422"/>
    <w:rsid w:val="00E8461C"/>
    <w:rsid w:val="00E84665"/>
    <w:rsid w:val="00E84666"/>
    <w:rsid w:val="00E84CC7"/>
    <w:rsid w:val="00E85385"/>
    <w:rsid w:val="00E8564D"/>
    <w:rsid w:val="00E85DC4"/>
    <w:rsid w:val="00E86196"/>
    <w:rsid w:val="00E86AB3"/>
    <w:rsid w:val="00E86CC3"/>
    <w:rsid w:val="00E86E77"/>
    <w:rsid w:val="00E90641"/>
    <w:rsid w:val="00E907C3"/>
    <w:rsid w:val="00E90A93"/>
    <w:rsid w:val="00E9272A"/>
    <w:rsid w:val="00E93309"/>
    <w:rsid w:val="00E9416D"/>
    <w:rsid w:val="00E94FED"/>
    <w:rsid w:val="00E952A1"/>
    <w:rsid w:val="00E955E5"/>
    <w:rsid w:val="00E95F0D"/>
    <w:rsid w:val="00E961D2"/>
    <w:rsid w:val="00E966E3"/>
    <w:rsid w:val="00E968B2"/>
    <w:rsid w:val="00E96E6E"/>
    <w:rsid w:val="00E96FC9"/>
    <w:rsid w:val="00EA12AE"/>
    <w:rsid w:val="00EA14B1"/>
    <w:rsid w:val="00EA193D"/>
    <w:rsid w:val="00EA1B47"/>
    <w:rsid w:val="00EA1C91"/>
    <w:rsid w:val="00EA20C9"/>
    <w:rsid w:val="00EA212C"/>
    <w:rsid w:val="00EA238A"/>
    <w:rsid w:val="00EA28D7"/>
    <w:rsid w:val="00EA355D"/>
    <w:rsid w:val="00EA3FC5"/>
    <w:rsid w:val="00EA4B71"/>
    <w:rsid w:val="00EA4EBA"/>
    <w:rsid w:val="00EA6567"/>
    <w:rsid w:val="00EA7585"/>
    <w:rsid w:val="00EA79E3"/>
    <w:rsid w:val="00EA7D9B"/>
    <w:rsid w:val="00EB037C"/>
    <w:rsid w:val="00EB24BD"/>
    <w:rsid w:val="00EB2F11"/>
    <w:rsid w:val="00EB3C81"/>
    <w:rsid w:val="00EB40AE"/>
    <w:rsid w:val="00EB51CF"/>
    <w:rsid w:val="00EB60D3"/>
    <w:rsid w:val="00EB7436"/>
    <w:rsid w:val="00EB7826"/>
    <w:rsid w:val="00EC0156"/>
    <w:rsid w:val="00EC0860"/>
    <w:rsid w:val="00EC094E"/>
    <w:rsid w:val="00EC18D0"/>
    <w:rsid w:val="00EC285B"/>
    <w:rsid w:val="00EC4AB0"/>
    <w:rsid w:val="00EC4E83"/>
    <w:rsid w:val="00EC56D6"/>
    <w:rsid w:val="00EC5EF0"/>
    <w:rsid w:val="00EC6384"/>
    <w:rsid w:val="00EC7055"/>
    <w:rsid w:val="00EC7477"/>
    <w:rsid w:val="00EC7841"/>
    <w:rsid w:val="00ED090C"/>
    <w:rsid w:val="00ED1ED0"/>
    <w:rsid w:val="00ED250C"/>
    <w:rsid w:val="00ED3709"/>
    <w:rsid w:val="00ED3B3B"/>
    <w:rsid w:val="00ED3C7F"/>
    <w:rsid w:val="00ED3E19"/>
    <w:rsid w:val="00ED44C9"/>
    <w:rsid w:val="00ED463F"/>
    <w:rsid w:val="00ED46F3"/>
    <w:rsid w:val="00ED4AB7"/>
    <w:rsid w:val="00ED50E2"/>
    <w:rsid w:val="00ED518B"/>
    <w:rsid w:val="00ED672A"/>
    <w:rsid w:val="00ED76C6"/>
    <w:rsid w:val="00ED785A"/>
    <w:rsid w:val="00ED793C"/>
    <w:rsid w:val="00ED7D8E"/>
    <w:rsid w:val="00ED7F27"/>
    <w:rsid w:val="00ED7F46"/>
    <w:rsid w:val="00EE17D4"/>
    <w:rsid w:val="00EE1E70"/>
    <w:rsid w:val="00EE26B1"/>
    <w:rsid w:val="00EE35BC"/>
    <w:rsid w:val="00EE415D"/>
    <w:rsid w:val="00EE4B52"/>
    <w:rsid w:val="00EE4F1E"/>
    <w:rsid w:val="00EE60D8"/>
    <w:rsid w:val="00EE74DE"/>
    <w:rsid w:val="00EE77AD"/>
    <w:rsid w:val="00EE7916"/>
    <w:rsid w:val="00EE7A1F"/>
    <w:rsid w:val="00EE7F74"/>
    <w:rsid w:val="00EF043A"/>
    <w:rsid w:val="00EF1579"/>
    <w:rsid w:val="00EF245F"/>
    <w:rsid w:val="00EF25C0"/>
    <w:rsid w:val="00EF27FA"/>
    <w:rsid w:val="00EF2E8E"/>
    <w:rsid w:val="00EF2F1F"/>
    <w:rsid w:val="00EF311A"/>
    <w:rsid w:val="00EF40EA"/>
    <w:rsid w:val="00EF41B6"/>
    <w:rsid w:val="00EF492B"/>
    <w:rsid w:val="00EF56AC"/>
    <w:rsid w:val="00EF67D7"/>
    <w:rsid w:val="00EF68EB"/>
    <w:rsid w:val="00EF70EB"/>
    <w:rsid w:val="00EF77F3"/>
    <w:rsid w:val="00F00436"/>
    <w:rsid w:val="00F014A8"/>
    <w:rsid w:val="00F0212A"/>
    <w:rsid w:val="00F02BCC"/>
    <w:rsid w:val="00F031D2"/>
    <w:rsid w:val="00F05A99"/>
    <w:rsid w:val="00F05B65"/>
    <w:rsid w:val="00F0663B"/>
    <w:rsid w:val="00F07004"/>
    <w:rsid w:val="00F07330"/>
    <w:rsid w:val="00F07424"/>
    <w:rsid w:val="00F079B7"/>
    <w:rsid w:val="00F1010A"/>
    <w:rsid w:val="00F101E4"/>
    <w:rsid w:val="00F10C02"/>
    <w:rsid w:val="00F10EEE"/>
    <w:rsid w:val="00F11287"/>
    <w:rsid w:val="00F1144F"/>
    <w:rsid w:val="00F11C17"/>
    <w:rsid w:val="00F124E6"/>
    <w:rsid w:val="00F132CB"/>
    <w:rsid w:val="00F147F9"/>
    <w:rsid w:val="00F150FF"/>
    <w:rsid w:val="00F15558"/>
    <w:rsid w:val="00F15724"/>
    <w:rsid w:val="00F159B3"/>
    <w:rsid w:val="00F15A5B"/>
    <w:rsid w:val="00F167D4"/>
    <w:rsid w:val="00F167EB"/>
    <w:rsid w:val="00F16A42"/>
    <w:rsid w:val="00F16E62"/>
    <w:rsid w:val="00F175F4"/>
    <w:rsid w:val="00F177E3"/>
    <w:rsid w:val="00F20CC9"/>
    <w:rsid w:val="00F2234E"/>
    <w:rsid w:val="00F2288B"/>
    <w:rsid w:val="00F22901"/>
    <w:rsid w:val="00F22F74"/>
    <w:rsid w:val="00F2334F"/>
    <w:rsid w:val="00F24356"/>
    <w:rsid w:val="00F248A4"/>
    <w:rsid w:val="00F25509"/>
    <w:rsid w:val="00F2567E"/>
    <w:rsid w:val="00F25E7F"/>
    <w:rsid w:val="00F25EDD"/>
    <w:rsid w:val="00F268A2"/>
    <w:rsid w:val="00F272E7"/>
    <w:rsid w:val="00F27BAE"/>
    <w:rsid w:val="00F312BE"/>
    <w:rsid w:val="00F313CD"/>
    <w:rsid w:val="00F32049"/>
    <w:rsid w:val="00F3270B"/>
    <w:rsid w:val="00F32B4B"/>
    <w:rsid w:val="00F32CDB"/>
    <w:rsid w:val="00F332CF"/>
    <w:rsid w:val="00F33BA3"/>
    <w:rsid w:val="00F33E68"/>
    <w:rsid w:val="00F34510"/>
    <w:rsid w:val="00F356BD"/>
    <w:rsid w:val="00F35995"/>
    <w:rsid w:val="00F365EB"/>
    <w:rsid w:val="00F3684A"/>
    <w:rsid w:val="00F36ED1"/>
    <w:rsid w:val="00F372C0"/>
    <w:rsid w:val="00F378C1"/>
    <w:rsid w:val="00F408A7"/>
    <w:rsid w:val="00F409F0"/>
    <w:rsid w:val="00F43B25"/>
    <w:rsid w:val="00F4477B"/>
    <w:rsid w:val="00F45117"/>
    <w:rsid w:val="00F4563D"/>
    <w:rsid w:val="00F45705"/>
    <w:rsid w:val="00F461F8"/>
    <w:rsid w:val="00F478C0"/>
    <w:rsid w:val="00F50C10"/>
    <w:rsid w:val="00F52C7E"/>
    <w:rsid w:val="00F53844"/>
    <w:rsid w:val="00F5537D"/>
    <w:rsid w:val="00F55602"/>
    <w:rsid w:val="00F55C05"/>
    <w:rsid w:val="00F569E0"/>
    <w:rsid w:val="00F56F7E"/>
    <w:rsid w:val="00F57057"/>
    <w:rsid w:val="00F5729E"/>
    <w:rsid w:val="00F605A4"/>
    <w:rsid w:val="00F6208C"/>
    <w:rsid w:val="00F622E2"/>
    <w:rsid w:val="00F623F4"/>
    <w:rsid w:val="00F6311D"/>
    <w:rsid w:val="00F6339D"/>
    <w:rsid w:val="00F63B9D"/>
    <w:rsid w:val="00F63CFD"/>
    <w:rsid w:val="00F642F3"/>
    <w:rsid w:val="00F64418"/>
    <w:rsid w:val="00F648A1"/>
    <w:rsid w:val="00F64FAE"/>
    <w:rsid w:val="00F65F60"/>
    <w:rsid w:val="00F66FB2"/>
    <w:rsid w:val="00F673C0"/>
    <w:rsid w:val="00F6789B"/>
    <w:rsid w:val="00F67F35"/>
    <w:rsid w:val="00F7068C"/>
    <w:rsid w:val="00F70C02"/>
    <w:rsid w:val="00F71424"/>
    <w:rsid w:val="00F72200"/>
    <w:rsid w:val="00F73448"/>
    <w:rsid w:val="00F741DD"/>
    <w:rsid w:val="00F74B38"/>
    <w:rsid w:val="00F755DA"/>
    <w:rsid w:val="00F7666B"/>
    <w:rsid w:val="00F7790D"/>
    <w:rsid w:val="00F77A0C"/>
    <w:rsid w:val="00F80010"/>
    <w:rsid w:val="00F804C8"/>
    <w:rsid w:val="00F805B1"/>
    <w:rsid w:val="00F8102C"/>
    <w:rsid w:val="00F814EE"/>
    <w:rsid w:val="00F8156C"/>
    <w:rsid w:val="00F83F55"/>
    <w:rsid w:val="00F8487F"/>
    <w:rsid w:val="00F8555D"/>
    <w:rsid w:val="00F858CC"/>
    <w:rsid w:val="00F86A73"/>
    <w:rsid w:val="00F86AFF"/>
    <w:rsid w:val="00F90276"/>
    <w:rsid w:val="00F904B3"/>
    <w:rsid w:val="00F90584"/>
    <w:rsid w:val="00F9099C"/>
    <w:rsid w:val="00F90A03"/>
    <w:rsid w:val="00F90DA9"/>
    <w:rsid w:val="00F910C3"/>
    <w:rsid w:val="00F9223A"/>
    <w:rsid w:val="00F92CFC"/>
    <w:rsid w:val="00F93027"/>
    <w:rsid w:val="00F9451F"/>
    <w:rsid w:val="00F94F34"/>
    <w:rsid w:val="00F9587F"/>
    <w:rsid w:val="00F96208"/>
    <w:rsid w:val="00F9654A"/>
    <w:rsid w:val="00F9717F"/>
    <w:rsid w:val="00F97826"/>
    <w:rsid w:val="00F979DB"/>
    <w:rsid w:val="00FA1E4A"/>
    <w:rsid w:val="00FA2770"/>
    <w:rsid w:val="00FA2DE8"/>
    <w:rsid w:val="00FA4180"/>
    <w:rsid w:val="00FA4F12"/>
    <w:rsid w:val="00FA5D6D"/>
    <w:rsid w:val="00FA6A5D"/>
    <w:rsid w:val="00FA6C19"/>
    <w:rsid w:val="00FA6CA3"/>
    <w:rsid w:val="00FB0722"/>
    <w:rsid w:val="00FB434F"/>
    <w:rsid w:val="00FB4C38"/>
    <w:rsid w:val="00FB65AC"/>
    <w:rsid w:val="00FB7B78"/>
    <w:rsid w:val="00FB7E69"/>
    <w:rsid w:val="00FC14C8"/>
    <w:rsid w:val="00FC1954"/>
    <w:rsid w:val="00FC196D"/>
    <w:rsid w:val="00FC2E5B"/>
    <w:rsid w:val="00FC2F4F"/>
    <w:rsid w:val="00FC3309"/>
    <w:rsid w:val="00FC3DEB"/>
    <w:rsid w:val="00FC42DB"/>
    <w:rsid w:val="00FC45C9"/>
    <w:rsid w:val="00FC4BD9"/>
    <w:rsid w:val="00FC4D9A"/>
    <w:rsid w:val="00FC50D2"/>
    <w:rsid w:val="00FC5243"/>
    <w:rsid w:val="00FC620D"/>
    <w:rsid w:val="00FC68DF"/>
    <w:rsid w:val="00FC695B"/>
    <w:rsid w:val="00FC71E8"/>
    <w:rsid w:val="00FD0540"/>
    <w:rsid w:val="00FD0659"/>
    <w:rsid w:val="00FD17F6"/>
    <w:rsid w:val="00FD1C3A"/>
    <w:rsid w:val="00FD1F51"/>
    <w:rsid w:val="00FD2521"/>
    <w:rsid w:val="00FD2638"/>
    <w:rsid w:val="00FD2B91"/>
    <w:rsid w:val="00FD2E13"/>
    <w:rsid w:val="00FD34AB"/>
    <w:rsid w:val="00FD3828"/>
    <w:rsid w:val="00FD3B29"/>
    <w:rsid w:val="00FD4381"/>
    <w:rsid w:val="00FD4FB3"/>
    <w:rsid w:val="00FD564A"/>
    <w:rsid w:val="00FD5776"/>
    <w:rsid w:val="00FD5BB3"/>
    <w:rsid w:val="00FD7C06"/>
    <w:rsid w:val="00FE0830"/>
    <w:rsid w:val="00FE0A6B"/>
    <w:rsid w:val="00FE0C89"/>
    <w:rsid w:val="00FE1A2A"/>
    <w:rsid w:val="00FE1B00"/>
    <w:rsid w:val="00FE2551"/>
    <w:rsid w:val="00FE3446"/>
    <w:rsid w:val="00FE4072"/>
    <w:rsid w:val="00FE4AD9"/>
    <w:rsid w:val="00FE6467"/>
    <w:rsid w:val="00FE6936"/>
    <w:rsid w:val="00FE7C3C"/>
    <w:rsid w:val="00FF0555"/>
    <w:rsid w:val="00FF06B3"/>
    <w:rsid w:val="00FF1289"/>
    <w:rsid w:val="00FF1598"/>
    <w:rsid w:val="00FF24BC"/>
    <w:rsid w:val="00FF44BD"/>
    <w:rsid w:val="00FF4A8A"/>
    <w:rsid w:val="00FF4CF7"/>
    <w:rsid w:val="00FF4F7F"/>
    <w:rsid w:val="00FF5B94"/>
    <w:rsid w:val="00FF66C1"/>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styleId="UnresolvedMention">
    <w:name w:val="Unresolved Mention"/>
    <w:basedOn w:val="DefaultParagraphFont"/>
    <w:uiPriority w:val="99"/>
    <w:semiHidden/>
    <w:unhideWhenUsed/>
    <w:rsid w:val="004A38B3"/>
    <w:rPr>
      <w:color w:val="605E5C"/>
      <w:shd w:val="clear" w:color="auto" w:fill="E1DFDD"/>
    </w:rPr>
  </w:style>
  <w:style w:type="character" w:customStyle="1" w:styleId="FootnoteTextChar">
    <w:name w:val="Footnote Text Char"/>
    <w:basedOn w:val="DefaultParagraphFont"/>
    <w:link w:val="FootnoteText"/>
    <w:semiHidden/>
    <w:rsid w:val="00875178"/>
  </w:style>
  <w:style w:type="paragraph" w:customStyle="1" w:styleId="Default">
    <w:name w:val="Default"/>
    <w:rsid w:val="00C8115B"/>
    <w:pPr>
      <w:autoSpaceDE w:val="0"/>
      <w:autoSpaceDN w:val="0"/>
      <w:adjustRightInd w:val="0"/>
    </w:pPr>
    <w:rPr>
      <w:rFonts w:eastAsiaTheme="minorHAnsi"/>
      <w:color w:val="000000"/>
      <w:sz w:val="24"/>
      <w:szCs w:val="24"/>
    </w:rPr>
  </w:style>
  <w:style w:type="paragraph" w:styleId="Revision">
    <w:name w:val="Revision"/>
    <w:hidden/>
    <w:uiPriority w:val="99"/>
    <w:semiHidden/>
    <w:rsid w:val="0068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151">
      <w:bodyDiv w:val="1"/>
      <w:marLeft w:val="0"/>
      <w:marRight w:val="0"/>
      <w:marTop w:val="0"/>
      <w:marBottom w:val="0"/>
      <w:divBdr>
        <w:top w:val="none" w:sz="0" w:space="0" w:color="auto"/>
        <w:left w:val="none" w:sz="0" w:space="0" w:color="auto"/>
        <w:bottom w:val="none" w:sz="0" w:space="0" w:color="auto"/>
        <w:right w:val="none" w:sz="0" w:space="0" w:color="auto"/>
      </w:divBdr>
    </w:div>
    <w:div w:id="247858941">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676226466">
      <w:bodyDiv w:val="1"/>
      <w:marLeft w:val="0"/>
      <w:marRight w:val="0"/>
      <w:marTop w:val="0"/>
      <w:marBottom w:val="0"/>
      <w:divBdr>
        <w:top w:val="none" w:sz="0" w:space="0" w:color="auto"/>
        <w:left w:val="none" w:sz="0" w:space="0" w:color="auto"/>
        <w:bottom w:val="none" w:sz="0" w:space="0" w:color="auto"/>
        <w:right w:val="none" w:sz="0" w:space="0" w:color="auto"/>
      </w:divBdr>
    </w:div>
    <w:div w:id="1261526215">
      <w:bodyDiv w:val="1"/>
      <w:marLeft w:val="0"/>
      <w:marRight w:val="0"/>
      <w:marTop w:val="0"/>
      <w:marBottom w:val="0"/>
      <w:divBdr>
        <w:top w:val="none" w:sz="0" w:space="0" w:color="auto"/>
        <w:left w:val="none" w:sz="0" w:space="0" w:color="auto"/>
        <w:bottom w:val="none" w:sz="0" w:space="0" w:color="auto"/>
        <w:right w:val="none" w:sz="0" w:space="0" w:color="auto"/>
      </w:divBdr>
    </w:div>
    <w:div w:id="1509783949">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81043792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61852">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customXml/itemProps3.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4.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2499</Words>
  <Characters>13196</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15664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2</cp:revision>
  <cp:lastPrinted>2017-09-19T20:03:00Z</cp:lastPrinted>
  <dcterms:created xsi:type="dcterms:W3CDTF">2021-12-16T15:45:00Z</dcterms:created>
  <dcterms:modified xsi:type="dcterms:W3CDTF">2021-12-16T15:45:00Z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