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264B0" w14:textId="77777777" w:rsidR="00D246EA" w:rsidRPr="00C055EF" w:rsidRDefault="00D246EA" w:rsidP="009C37FA">
      <w:pPr>
        <w:tabs>
          <w:tab w:val="center" w:pos="4680"/>
        </w:tabs>
        <w:spacing w:line="240" w:lineRule="auto"/>
        <w:jc w:val="center"/>
        <w:rPr>
          <w:b/>
          <w:szCs w:val="24"/>
        </w:rPr>
      </w:pPr>
      <w:r w:rsidRPr="00C055EF">
        <w:rPr>
          <w:b/>
          <w:szCs w:val="24"/>
        </w:rPr>
        <w:t>BEFORE THE</w:t>
      </w:r>
    </w:p>
    <w:p w14:paraId="316DA1DC" w14:textId="77777777" w:rsidR="00D246EA" w:rsidRPr="00C055EF" w:rsidRDefault="00D246EA" w:rsidP="009C37FA">
      <w:pPr>
        <w:tabs>
          <w:tab w:val="center" w:pos="4680"/>
        </w:tabs>
        <w:spacing w:line="240" w:lineRule="auto"/>
        <w:jc w:val="center"/>
        <w:rPr>
          <w:szCs w:val="24"/>
        </w:rPr>
      </w:pPr>
      <w:r w:rsidRPr="00C055EF">
        <w:rPr>
          <w:b/>
          <w:szCs w:val="24"/>
        </w:rPr>
        <w:t>PENNSYLVANIA PUBLIC UTILITY COMMISSION</w:t>
      </w:r>
    </w:p>
    <w:p w14:paraId="55E73A4E" w14:textId="77777777" w:rsidR="00D246EA" w:rsidRPr="00C055EF" w:rsidRDefault="00D246EA" w:rsidP="009C37FA">
      <w:pPr>
        <w:spacing w:line="240" w:lineRule="auto"/>
        <w:jc w:val="both"/>
        <w:rPr>
          <w:szCs w:val="24"/>
        </w:rPr>
      </w:pPr>
    </w:p>
    <w:p w14:paraId="22B4A3D2" w14:textId="77777777" w:rsidR="00D246EA" w:rsidRPr="00C055EF" w:rsidRDefault="00D246EA" w:rsidP="009C37FA">
      <w:pPr>
        <w:spacing w:line="240" w:lineRule="auto"/>
        <w:jc w:val="both"/>
        <w:rPr>
          <w:szCs w:val="24"/>
        </w:rPr>
      </w:pPr>
    </w:p>
    <w:p w14:paraId="06FD6ED5" w14:textId="77777777" w:rsidR="00D246EA" w:rsidRPr="00C055EF" w:rsidRDefault="00D246EA" w:rsidP="009C37FA">
      <w:pPr>
        <w:spacing w:line="240" w:lineRule="auto"/>
        <w:jc w:val="both"/>
        <w:rPr>
          <w:szCs w:val="24"/>
        </w:rPr>
      </w:pPr>
    </w:p>
    <w:p w14:paraId="75D01445" w14:textId="77777777" w:rsidR="009A31E8" w:rsidRPr="009A31E8" w:rsidRDefault="009A31E8" w:rsidP="009A31E8">
      <w:pPr>
        <w:tabs>
          <w:tab w:val="left" w:pos="5040"/>
        </w:tabs>
        <w:spacing w:line="240" w:lineRule="auto"/>
        <w:jc w:val="both"/>
        <w:rPr>
          <w:szCs w:val="24"/>
        </w:rPr>
      </w:pPr>
      <w:r w:rsidRPr="009A31E8">
        <w:rPr>
          <w:szCs w:val="24"/>
        </w:rPr>
        <w:t>Petition to Amend Philadelphia Gas Works</w:t>
      </w:r>
      <w:r w:rsidRPr="009A31E8">
        <w:rPr>
          <w:szCs w:val="24"/>
        </w:rPr>
        <w:tab/>
        <w:t>:</w:t>
      </w:r>
      <w:r w:rsidRPr="009A31E8">
        <w:rPr>
          <w:szCs w:val="24"/>
        </w:rPr>
        <w:tab/>
      </w:r>
      <w:bookmarkStart w:id="0" w:name="_Hlk89845251"/>
      <w:r w:rsidRPr="009A31E8">
        <w:rPr>
          <w:szCs w:val="24"/>
        </w:rPr>
        <w:t>P-2020-3018867</w:t>
      </w:r>
      <w:bookmarkEnd w:id="0"/>
    </w:p>
    <w:p w14:paraId="4AA69666" w14:textId="77777777" w:rsidR="009A31E8" w:rsidRPr="009A31E8" w:rsidRDefault="009A31E8" w:rsidP="009A31E8">
      <w:pPr>
        <w:tabs>
          <w:tab w:val="left" w:pos="5040"/>
        </w:tabs>
        <w:spacing w:line="240" w:lineRule="auto"/>
        <w:jc w:val="both"/>
        <w:rPr>
          <w:szCs w:val="24"/>
        </w:rPr>
      </w:pPr>
      <w:r w:rsidRPr="009A31E8">
        <w:rPr>
          <w:szCs w:val="24"/>
        </w:rPr>
        <w:t xml:space="preserve">Universal Service and Energy Conservation </w:t>
      </w:r>
      <w:r w:rsidRPr="009A31E8">
        <w:rPr>
          <w:szCs w:val="24"/>
        </w:rPr>
        <w:tab/>
        <w:t>:</w:t>
      </w:r>
    </w:p>
    <w:p w14:paraId="184C2431" w14:textId="07785BFC" w:rsidR="009E6487" w:rsidRPr="0065312F" w:rsidRDefault="009A31E8" w:rsidP="009A31E8">
      <w:pPr>
        <w:autoSpaceDE w:val="0"/>
        <w:autoSpaceDN w:val="0"/>
        <w:spacing w:line="240" w:lineRule="auto"/>
        <w:rPr>
          <w:szCs w:val="24"/>
        </w:rPr>
      </w:pPr>
      <w:r w:rsidRPr="009A31E8">
        <w:rPr>
          <w:szCs w:val="24"/>
        </w:rPr>
        <w:t>Plan for 2017-2022</w:t>
      </w:r>
      <w:r w:rsidRPr="009A31E8">
        <w:rPr>
          <w:szCs w:val="24"/>
        </w:rPr>
        <w:tab/>
      </w:r>
      <w:r>
        <w:rPr>
          <w:szCs w:val="24"/>
        </w:rPr>
        <w:tab/>
      </w:r>
      <w:r>
        <w:rPr>
          <w:szCs w:val="24"/>
        </w:rPr>
        <w:tab/>
      </w:r>
      <w:r>
        <w:rPr>
          <w:szCs w:val="24"/>
        </w:rPr>
        <w:tab/>
      </w:r>
      <w:r>
        <w:rPr>
          <w:szCs w:val="24"/>
        </w:rPr>
        <w:tab/>
      </w:r>
      <w:r w:rsidRPr="009A31E8">
        <w:rPr>
          <w:szCs w:val="24"/>
        </w:rPr>
        <w:t>:</w:t>
      </w:r>
    </w:p>
    <w:p w14:paraId="3C153D79" w14:textId="77777777" w:rsidR="009E6487" w:rsidRPr="008E09FB" w:rsidRDefault="009E6487" w:rsidP="009E6487">
      <w:pPr>
        <w:autoSpaceDE w:val="0"/>
        <w:autoSpaceDN w:val="0"/>
        <w:spacing w:line="240" w:lineRule="auto"/>
        <w:rPr>
          <w:szCs w:val="24"/>
        </w:rPr>
      </w:pPr>
    </w:p>
    <w:p w14:paraId="15E42459" w14:textId="2EC862EF" w:rsidR="009E6487" w:rsidRDefault="009E6487" w:rsidP="009E6487">
      <w:pPr>
        <w:spacing w:line="240" w:lineRule="auto"/>
        <w:rPr>
          <w:rFonts w:eastAsia="Calibri"/>
          <w:szCs w:val="24"/>
        </w:rPr>
      </w:pPr>
    </w:p>
    <w:p w14:paraId="5888409E" w14:textId="77777777" w:rsidR="00230169" w:rsidRPr="008E09FB" w:rsidRDefault="00230169" w:rsidP="009E6487">
      <w:pPr>
        <w:spacing w:line="240" w:lineRule="auto"/>
        <w:rPr>
          <w:rFonts w:eastAsia="Calibri"/>
          <w:szCs w:val="24"/>
        </w:rPr>
      </w:pPr>
    </w:p>
    <w:p w14:paraId="00570A1C" w14:textId="77777777" w:rsidR="009E6487" w:rsidRDefault="009E6487" w:rsidP="009E6487">
      <w:pPr>
        <w:spacing w:line="240" w:lineRule="auto"/>
        <w:jc w:val="center"/>
        <w:rPr>
          <w:b/>
          <w:szCs w:val="24"/>
          <w:u w:val="single"/>
        </w:rPr>
      </w:pPr>
      <w:r w:rsidRPr="00C055EF">
        <w:rPr>
          <w:b/>
          <w:szCs w:val="24"/>
          <w:u w:val="single"/>
        </w:rPr>
        <w:t>PREHEARING ORDER</w:t>
      </w:r>
    </w:p>
    <w:p w14:paraId="50BB7271" w14:textId="77777777" w:rsidR="009E6487" w:rsidRPr="00B46295" w:rsidRDefault="009E6487" w:rsidP="00230169">
      <w:pPr>
        <w:tabs>
          <w:tab w:val="center" w:pos="4680"/>
        </w:tabs>
        <w:suppressAutoHyphens/>
        <w:autoSpaceDE w:val="0"/>
        <w:autoSpaceDN w:val="0"/>
        <w:rPr>
          <w:spacing w:val="-3"/>
          <w:szCs w:val="24"/>
          <w:u w:val="single"/>
        </w:rPr>
      </w:pPr>
    </w:p>
    <w:p w14:paraId="422240E7" w14:textId="77777777" w:rsidR="009E6487" w:rsidRPr="00AD763F" w:rsidRDefault="009E6487" w:rsidP="00230169">
      <w:pPr>
        <w:tabs>
          <w:tab w:val="left" w:pos="-720"/>
        </w:tabs>
        <w:suppressAutoHyphens/>
        <w:autoSpaceDE w:val="0"/>
        <w:autoSpaceDN w:val="0"/>
        <w:ind w:firstLine="1440"/>
        <w:rPr>
          <w:b/>
          <w:bCs/>
          <w:spacing w:val="-3"/>
          <w:szCs w:val="24"/>
        </w:rPr>
      </w:pPr>
      <w:r>
        <w:rPr>
          <w:b/>
          <w:bCs/>
          <w:spacing w:val="-3"/>
          <w:szCs w:val="24"/>
        </w:rPr>
        <w:t xml:space="preserve">NOTE:  </w:t>
      </w:r>
      <w:r w:rsidRPr="00AD763F">
        <w:rPr>
          <w:b/>
          <w:bCs/>
          <w:spacing w:val="-3"/>
          <w:szCs w:val="24"/>
        </w:rPr>
        <w:t>Please read this document in its entirety as it provides important information</w:t>
      </w:r>
      <w:r>
        <w:rPr>
          <w:b/>
          <w:bCs/>
          <w:spacing w:val="-3"/>
          <w:szCs w:val="24"/>
        </w:rPr>
        <w:t xml:space="preserve"> about this case.</w:t>
      </w:r>
    </w:p>
    <w:p w14:paraId="0D2386EC" w14:textId="77777777" w:rsidR="00D246EA" w:rsidRPr="00C055EF" w:rsidRDefault="00D246EA" w:rsidP="00230169">
      <w:pPr>
        <w:jc w:val="both"/>
        <w:rPr>
          <w:szCs w:val="24"/>
        </w:rPr>
      </w:pPr>
    </w:p>
    <w:p w14:paraId="7D571A2A" w14:textId="44539D0C" w:rsidR="009A31E8" w:rsidRPr="009A31E8" w:rsidRDefault="009A31E8" w:rsidP="00230169">
      <w:pPr>
        <w:tabs>
          <w:tab w:val="left" w:pos="720"/>
        </w:tabs>
        <w:autoSpaceDE w:val="0"/>
        <w:autoSpaceDN w:val="0"/>
        <w:contextualSpacing/>
        <w:rPr>
          <w:szCs w:val="24"/>
        </w:rPr>
      </w:pPr>
      <w:r>
        <w:rPr>
          <w:bCs/>
          <w:szCs w:val="24"/>
        </w:rPr>
        <w:tab/>
      </w:r>
      <w:r>
        <w:rPr>
          <w:bCs/>
          <w:szCs w:val="24"/>
        </w:rPr>
        <w:tab/>
      </w:r>
      <w:r w:rsidRPr="009A31E8">
        <w:rPr>
          <w:szCs w:val="24"/>
        </w:rPr>
        <w:t>Philadelphia Gas Works (PGW) filed its first proposed 2017-2020 Universal Service and Energy Conservation Plan (2017 USECP) on April 28, 2016, at Docket No. M</w:t>
      </w:r>
      <w:r w:rsidRPr="009A31E8">
        <w:rPr>
          <w:szCs w:val="24"/>
        </w:rPr>
        <w:noBreakHyphen/>
        <w:t>2016</w:t>
      </w:r>
      <w:r w:rsidRPr="009A31E8">
        <w:rPr>
          <w:szCs w:val="24"/>
        </w:rPr>
        <w:noBreakHyphen/>
        <w:t xml:space="preserve">2542415.  The Commission directed PGW revise the plan, and the Commission ultimately approved PGW’s 2017 USECP by order entered on October 5, 2017.  </w:t>
      </w:r>
    </w:p>
    <w:p w14:paraId="7D07EB6E" w14:textId="7F14E7A4" w:rsidR="009A31E8" w:rsidRPr="009A31E8" w:rsidRDefault="009A31E8" w:rsidP="00230169">
      <w:pPr>
        <w:tabs>
          <w:tab w:val="left" w:pos="720"/>
        </w:tabs>
        <w:autoSpaceDE w:val="0"/>
        <w:autoSpaceDN w:val="0"/>
        <w:contextualSpacing/>
        <w:rPr>
          <w:szCs w:val="24"/>
        </w:rPr>
      </w:pPr>
    </w:p>
    <w:p w14:paraId="33DFC6DC" w14:textId="1747967B" w:rsidR="009A31E8" w:rsidRPr="009A31E8" w:rsidRDefault="009A31E8" w:rsidP="00230169">
      <w:pPr>
        <w:tabs>
          <w:tab w:val="left" w:pos="720"/>
        </w:tabs>
        <w:autoSpaceDE w:val="0"/>
        <w:autoSpaceDN w:val="0"/>
        <w:contextualSpacing/>
        <w:rPr>
          <w:szCs w:val="24"/>
        </w:rPr>
      </w:pPr>
      <w:r w:rsidRPr="009A31E8">
        <w:rPr>
          <w:szCs w:val="24"/>
        </w:rPr>
        <w:tab/>
      </w:r>
      <w:r w:rsidRPr="009A31E8">
        <w:rPr>
          <w:szCs w:val="24"/>
        </w:rPr>
        <w:tab/>
        <w:t>On January 6, 2020, PGW filed a Cover Letter and 2020 Addendum.  The Cover Letter outlined a proposal to implement a Pilot Program and other CAP</w:t>
      </w:r>
      <w:r w:rsidRPr="009A31E8">
        <w:rPr>
          <w:szCs w:val="24"/>
          <w:vertAlign w:val="superscript"/>
        </w:rPr>
        <w:footnoteReference w:id="1"/>
      </w:r>
      <w:r w:rsidRPr="009A31E8">
        <w:rPr>
          <w:szCs w:val="24"/>
        </w:rPr>
        <w:t xml:space="preserve"> changes.  Notably, as part of a Pilot Program to run through the term of its existing USECP, PGW proposed to implement the new recommended energy burdens</w:t>
      </w:r>
      <w:r w:rsidRPr="009A31E8">
        <w:rPr>
          <w:szCs w:val="24"/>
          <w:vertAlign w:val="superscript"/>
        </w:rPr>
        <w:footnoteReference w:id="2"/>
      </w:r>
      <w:r w:rsidRPr="009A31E8">
        <w:rPr>
          <w:szCs w:val="24"/>
        </w:rPr>
        <w:t>, eliminate the $5 PPA co-pay</w:t>
      </w:r>
      <w:r w:rsidRPr="009A31E8">
        <w:rPr>
          <w:szCs w:val="24"/>
          <w:vertAlign w:val="superscript"/>
        </w:rPr>
        <w:footnoteReference w:id="3"/>
      </w:r>
      <w:r w:rsidRPr="009A31E8">
        <w:rPr>
          <w:szCs w:val="24"/>
        </w:rPr>
        <w:t xml:space="preserve">, </w:t>
      </w:r>
      <w:r w:rsidRPr="009A31E8">
        <w:rPr>
          <w:bCs/>
          <w:szCs w:val="24"/>
        </w:rPr>
        <w:t>set a maximum CAP credit limit</w:t>
      </w:r>
      <w:r w:rsidRPr="009A31E8">
        <w:rPr>
          <w:bCs/>
          <w:szCs w:val="24"/>
          <w:vertAlign w:val="superscript"/>
        </w:rPr>
        <w:footnoteReference w:id="4"/>
      </w:r>
      <w:r w:rsidRPr="009A31E8">
        <w:rPr>
          <w:bCs/>
          <w:szCs w:val="24"/>
        </w:rPr>
        <w:t>, and make its existing consumption limit pilot permanent</w:t>
      </w:r>
      <w:r w:rsidRPr="009A31E8">
        <w:rPr>
          <w:bCs/>
          <w:szCs w:val="24"/>
          <w:vertAlign w:val="superscript"/>
        </w:rPr>
        <w:footnoteReference w:id="5"/>
      </w:r>
      <w:r w:rsidRPr="009A31E8">
        <w:rPr>
          <w:bCs/>
          <w:szCs w:val="24"/>
        </w:rPr>
        <w:t>.</w:t>
      </w:r>
    </w:p>
    <w:p w14:paraId="30F61FA2" w14:textId="77777777" w:rsidR="009A31E8" w:rsidRPr="009A31E8" w:rsidRDefault="009A31E8" w:rsidP="00230169">
      <w:pPr>
        <w:tabs>
          <w:tab w:val="left" w:pos="720"/>
        </w:tabs>
        <w:autoSpaceDE w:val="0"/>
        <w:autoSpaceDN w:val="0"/>
        <w:contextualSpacing/>
        <w:rPr>
          <w:szCs w:val="24"/>
        </w:rPr>
      </w:pPr>
    </w:p>
    <w:p w14:paraId="419C4DF0" w14:textId="234689B1" w:rsidR="009A31E8" w:rsidRPr="009A31E8" w:rsidRDefault="009A31E8" w:rsidP="00230169">
      <w:pPr>
        <w:tabs>
          <w:tab w:val="left" w:pos="720"/>
        </w:tabs>
        <w:autoSpaceDE w:val="0"/>
        <w:autoSpaceDN w:val="0"/>
        <w:contextualSpacing/>
        <w:rPr>
          <w:szCs w:val="24"/>
        </w:rPr>
      </w:pPr>
      <w:r w:rsidRPr="009A31E8">
        <w:rPr>
          <w:szCs w:val="24"/>
        </w:rPr>
        <w:lastRenderedPageBreak/>
        <w:tab/>
      </w:r>
      <w:r w:rsidRPr="009A31E8">
        <w:rPr>
          <w:szCs w:val="24"/>
        </w:rPr>
        <w:tab/>
        <w:t>The January 6, 2020 filing was initially docketed at Docket No. M-2016-2542415, the proceeding for PGW’s 2017 USECP.  On February 21, 2020, PGW filed a Petition to expedite review of the January 6, 2020 filing, and the January 6, 2020 filing was re-docketed at P-2020-3018867 as a Petition to Amend PGW’s 2017 USECP.</w:t>
      </w:r>
    </w:p>
    <w:p w14:paraId="4532726C" w14:textId="435D5C16" w:rsidR="009A31E8" w:rsidRPr="009A31E8" w:rsidRDefault="009A31E8" w:rsidP="00230169">
      <w:pPr>
        <w:tabs>
          <w:tab w:val="left" w:pos="720"/>
        </w:tabs>
        <w:autoSpaceDE w:val="0"/>
        <w:autoSpaceDN w:val="0"/>
        <w:contextualSpacing/>
        <w:rPr>
          <w:szCs w:val="24"/>
        </w:rPr>
      </w:pPr>
    </w:p>
    <w:p w14:paraId="3B5C7120" w14:textId="77777777" w:rsidR="009A31E8" w:rsidRPr="009A31E8" w:rsidRDefault="009A31E8" w:rsidP="00230169">
      <w:pPr>
        <w:ind w:firstLine="720"/>
        <w:contextualSpacing/>
        <w:rPr>
          <w:szCs w:val="24"/>
        </w:rPr>
      </w:pPr>
      <w:r w:rsidRPr="009A31E8">
        <w:rPr>
          <w:szCs w:val="24"/>
        </w:rPr>
        <w:tab/>
        <w:t xml:space="preserve">By Order entered March 26, 2020, the Commission, </w:t>
      </w:r>
      <w:r w:rsidRPr="009A31E8">
        <w:rPr>
          <w:i/>
          <w:iCs/>
          <w:szCs w:val="24"/>
        </w:rPr>
        <w:t>inter alia</w:t>
      </w:r>
      <w:r w:rsidRPr="009A31E8">
        <w:rPr>
          <w:szCs w:val="24"/>
        </w:rPr>
        <w:t xml:space="preserve">, approved, on an expedited basis, the </w:t>
      </w:r>
      <w:r w:rsidRPr="009A31E8">
        <w:rPr>
          <w:color w:val="0D0D0D"/>
          <w:szCs w:val="24"/>
        </w:rPr>
        <w:t xml:space="preserve">provisions of PGW’s January 6, 2020 filing as a Pilot Program to expire expiration at a date coincident with the end of </w:t>
      </w:r>
      <w:r w:rsidRPr="009A31E8">
        <w:rPr>
          <w:szCs w:val="24"/>
        </w:rPr>
        <w:t>Philadelphia Gas Works’ 2017-2022 Universal Service and Energy Conservation Plan at Docket No. M</w:t>
      </w:r>
      <w:r w:rsidRPr="009A31E8">
        <w:rPr>
          <w:szCs w:val="24"/>
        </w:rPr>
        <w:noBreakHyphen/>
        <w:t>2016</w:t>
      </w:r>
      <w:r w:rsidRPr="009A31E8">
        <w:rPr>
          <w:szCs w:val="24"/>
        </w:rPr>
        <w:noBreakHyphen/>
        <w:t>2542415.</w:t>
      </w:r>
    </w:p>
    <w:p w14:paraId="646CB4EF" w14:textId="77777777" w:rsidR="009A31E8" w:rsidRPr="009A31E8" w:rsidRDefault="009A31E8" w:rsidP="00230169">
      <w:pPr>
        <w:ind w:firstLine="720"/>
        <w:contextualSpacing/>
        <w:rPr>
          <w:szCs w:val="24"/>
        </w:rPr>
      </w:pPr>
    </w:p>
    <w:p w14:paraId="39662CA3" w14:textId="0D0A1AC5" w:rsidR="009A31E8" w:rsidRPr="009A31E8" w:rsidRDefault="009A31E8" w:rsidP="00230169">
      <w:pPr>
        <w:contextualSpacing/>
        <w:rPr>
          <w:szCs w:val="24"/>
        </w:rPr>
      </w:pPr>
      <w:r w:rsidRPr="009A31E8">
        <w:rPr>
          <w:szCs w:val="24"/>
        </w:rPr>
        <w:tab/>
      </w:r>
      <w:r w:rsidRPr="009A31E8">
        <w:rPr>
          <w:szCs w:val="24"/>
        </w:rPr>
        <w:tab/>
        <w:t xml:space="preserve">OCA and OSBA appealed the Commission’s March 26, 2020 Order to the Commonwealth Court.  OCA and OSBA argued on appeal that, by granting PGW’s Petition to amend its 2017 USECP in this expedited fashion, the Commission violated the due process rights of interested parties as guaranteed by the United States and Pennsylvania Constitutions.  Upon review, the Commonwealth Court held the Commission erred in granting the Petition without providing interested parties, like OCA and OSBA, adequate notice of the grant of expedited consideration of the Petition and a meaningful opportunity to respond to the particular facts of the proposed changes to PGW’s USECP set forth in the Petition. </w:t>
      </w:r>
      <w:r w:rsidR="007E1E17">
        <w:rPr>
          <w:szCs w:val="24"/>
        </w:rPr>
        <w:t xml:space="preserve"> </w:t>
      </w:r>
      <w:r w:rsidRPr="009A31E8">
        <w:rPr>
          <w:szCs w:val="24"/>
        </w:rPr>
        <w:t>By Order entered September 29, 2021, the Commonwealth Court vacated the Commission’s March 26, 2020 Order and remanded the matter back to the Commission for further proceedings.  The Court directed the Commission to provide evidentiary proceedings and issue a new decision consistent with its Opinion.</w:t>
      </w:r>
      <w:r w:rsidRPr="009A31E8">
        <w:rPr>
          <w:szCs w:val="24"/>
          <w:vertAlign w:val="superscript"/>
        </w:rPr>
        <w:footnoteReference w:id="6"/>
      </w:r>
      <w:r w:rsidRPr="009A31E8">
        <w:rPr>
          <w:szCs w:val="24"/>
        </w:rPr>
        <w:t xml:space="preserve"> </w:t>
      </w:r>
    </w:p>
    <w:p w14:paraId="1FCB2DB4" w14:textId="77777777" w:rsidR="009A31E8" w:rsidRPr="009A31E8" w:rsidRDefault="009A31E8" w:rsidP="00230169">
      <w:pPr>
        <w:contextualSpacing/>
        <w:rPr>
          <w:szCs w:val="24"/>
        </w:rPr>
      </w:pPr>
    </w:p>
    <w:p w14:paraId="50A5069D" w14:textId="77777777" w:rsidR="009A31E8" w:rsidRPr="009A31E8" w:rsidRDefault="009A31E8" w:rsidP="00230169">
      <w:pPr>
        <w:contextualSpacing/>
        <w:rPr>
          <w:szCs w:val="24"/>
        </w:rPr>
      </w:pPr>
      <w:r w:rsidRPr="009A31E8">
        <w:rPr>
          <w:szCs w:val="24"/>
        </w:rPr>
        <w:tab/>
      </w:r>
      <w:r w:rsidRPr="009A31E8">
        <w:rPr>
          <w:szCs w:val="24"/>
        </w:rPr>
        <w:tab/>
        <w:t xml:space="preserve">On October 25, 2021, PGW filed a Petition for Commission Action, requesting that the Commission: (1) issue an order directing PGW to maintain its existing energy burden Pilot Program as part of its Customer Responsibility Program on a temporary basis until a final Commission order is issued in the proceeding on remand; (2) set a schedule for an expedited proceeding on remand in order to provide for the evidentiary proceedings and issuance of a new decision required by the Commonwealth Court’s decision; and (3) direct the Office of </w:t>
      </w:r>
      <w:r w:rsidRPr="009A31E8">
        <w:rPr>
          <w:szCs w:val="24"/>
        </w:rPr>
        <w:lastRenderedPageBreak/>
        <w:t>Administrative Law Judge (OALJ) to develop a certified record to be submitted to the Commission for decision.</w:t>
      </w:r>
    </w:p>
    <w:p w14:paraId="65FBA606" w14:textId="77777777" w:rsidR="009A31E8" w:rsidRPr="009A31E8" w:rsidRDefault="009A31E8" w:rsidP="00230169">
      <w:pPr>
        <w:contextualSpacing/>
        <w:rPr>
          <w:szCs w:val="24"/>
        </w:rPr>
      </w:pPr>
    </w:p>
    <w:p w14:paraId="021D3117" w14:textId="77777777" w:rsidR="009A31E8" w:rsidRPr="009A31E8" w:rsidRDefault="009A31E8" w:rsidP="00230169">
      <w:pPr>
        <w:autoSpaceDE w:val="0"/>
        <w:autoSpaceDN w:val="0"/>
        <w:rPr>
          <w:szCs w:val="24"/>
        </w:rPr>
      </w:pPr>
      <w:r w:rsidRPr="009A31E8">
        <w:rPr>
          <w:szCs w:val="24"/>
        </w:rPr>
        <w:tab/>
      </w:r>
      <w:r w:rsidRPr="009A31E8">
        <w:rPr>
          <w:szCs w:val="24"/>
        </w:rPr>
        <w:tab/>
        <w:t>On October 29, 2021, PGW filed its USECP for 2023-2027 which has been docketed at M-2021-3029323.  As of the time of this Order, no other filing has been made at that docket by any party and the matter remains assigned to the Commission’s Bureau of Consumer Services (BCS).</w:t>
      </w:r>
    </w:p>
    <w:p w14:paraId="34F0EAF7" w14:textId="77777777" w:rsidR="009A31E8" w:rsidRPr="009A31E8" w:rsidRDefault="009A31E8" w:rsidP="00230169">
      <w:pPr>
        <w:contextualSpacing/>
        <w:rPr>
          <w:szCs w:val="24"/>
        </w:rPr>
      </w:pPr>
    </w:p>
    <w:p w14:paraId="1972D4A3" w14:textId="77777777" w:rsidR="009A31E8" w:rsidRPr="009A31E8" w:rsidRDefault="009A31E8" w:rsidP="00230169">
      <w:pPr>
        <w:contextualSpacing/>
        <w:rPr>
          <w:szCs w:val="24"/>
        </w:rPr>
      </w:pPr>
      <w:r w:rsidRPr="009A31E8">
        <w:rPr>
          <w:szCs w:val="24"/>
        </w:rPr>
        <w:tab/>
      </w:r>
      <w:r w:rsidRPr="009A31E8">
        <w:rPr>
          <w:szCs w:val="24"/>
        </w:rPr>
        <w:tab/>
        <w:t xml:space="preserve">On November 4, 2021, the Coalition for Affordable Utility Services and Energy Efficiency in Pennsylvania (CAUSE-PA) and the Tenant Union Representative Network, (TURN) filed Petitions to Intervene in the remanded matter.  </w:t>
      </w:r>
    </w:p>
    <w:p w14:paraId="65541F98" w14:textId="77777777" w:rsidR="009A31E8" w:rsidRPr="009A31E8" w:rsidRDefault="009A31E8" w:rsidP="00230169">
      <w:pPr>
        <w:contextualSpacing/>
        <w:rPr>
          <w:szCs w:val="24"/>
        </w:rPr>
      </w:pPr>
    </w:p>
    <w:p w14:paraId="674CF4C4" w14:textId="77777777" w:rsidR="009A31E8" w:rsidRPr="009A31E8" w:rsidRDefault="009A31E8" w:rsidP="00230169">
      <w:pPr>
        <w:contextualSpacing/>
        <w:rPr>
          <w:szCs w:val="24"/>
        </w:rPr>
      </w:pPr>
      <w:r w:rsidRPr="009A31E8">
        <w:rPr>
          <w:szCs w:val="24"/>
        </w:rPr>
        <w:tab/>
      </w:r>
      <w:r w:rsidRPr="009A31E8">
        <w:rPr>
          <w:szCs w:val="24"/>
        </w:rPr>
        <w:tab/>
        <w:t>On November 15, 2021, CAUSE-PA and TURN filed a joint Answer to PGW’s October 25, 2021 Petition, essentially supporting PGW’s Petition.  Also on November 15, 2021, OCA filed an Answer to PGW’s October 25, 2021 Answer.  In its Answer, OCA averred it did not oppose PGW’s request for a temporary extension of the existing Pilot Program during the pendency of the remand proceeding, with the caveat that OCA reserves the right to request refunds to the date of the Remand Order.  Further, OCA opposes PGW’s request for an expedited process and certification of the record.</w:t>
      </w:r>
    </w:p>
    <w:p w14:paraId="0E56E849" w14:textId="77777777" w:rsidR="009A31E8" w:rsidRPr="009A31E8" w:rsidRDefault="009A31E8" w:rsidP="00230169">
      <w:pPr>
        <w:contextualSpacing/>
        <w:rPr>
          <w:szCs w:val="24"/>
        </w:rPr>
      </w:pPr>
    </w:p>
    <w:p w14:paraId="3719ED45" w14:textId="77777777" w:rsidR="009A31E8" w:rsidRPr="009A31E8" w:rsidRDefault="009A31E8" w:rsidP="00230169">
      <w:pPr>
        <w:contextualSpacing/>
        <w:rPr>
          <w:szCs w:val="24"/>
        </w:rPr>
      </w:pPr>
      <w:r w:rsidRPr="009A31E8">
        <w:rPr>
          <w:szCs w:val="24"/>
        </w:rPr>
        <w:tab/>
      </w:r>
      <w:r w:rsidRPr="009A31E8">
        <w:rPr>
          <w:szCs w:val="24"/>
        </w:rPr>
        <w:tab/>
        <w:t xml:space="preserve">On December 7, 2021, the Chief Administrative Law Judge assigned the undersigneds to the remanded matter.   </w:t>
      </w:r>
    </w:p>
    <w:p w14:paraId="594C632D" w14:textId="77777777" w:rsidR="009A31E8" w:rsidRPr="009A31E8" w:rsidRDefault="009A31E8" w:rsidP="00230169">
      <w:pPr>
        <w:tabs>
          <w:tab w:val="left" w:pos="720"/>
        </w:tabs>
        <w:autoSpaceDE w:val="0"/>
        <w:autoSpaceDN w:val="0"/>
        <w:contextualSpacing/>
        <w:rPr>
          <w:szCs w:val="24"/>
        </w:rPr>
      </w:pPr>
    </w:p>
    <w:p w14:paraId="62859FE5" w14:textId="3DE35936" w:rsidR="009A31E8" w:rsidRDefault="009A31E8" w:rsidP="00230169">
      <w:pPr>
        <w:tabs>
          <w:tab w:val="left" w:pos="720"/>
        </w:tabs>
        <w:autoSpaceDE w:val="0"/>
        <w:autoSpaceDN w:val="0"/>
        <w:contextualSpacing/>
        <w:rPr>
          <w:szCs w:val="24"/>
        </w:rPr>
      </w:pPr>
      <w:r w:rsidRPr="009A31E8">
        <w:rPr>
          <w:szCs w:val="24"/>
        </w:rPr>
        <w:tab/>
      </w:r>
      <w:r w:rsidRPr="009A31E8">
        <w:rPr>
          <w:szCs w:val="24"/>
        </w:rPr>
        <w:tab/>
        <w:t xml:space="preserve">On December 14, 2021, the Commission issued a notice, scheduling </w:t>
      </w:r>
      <w:r>
        <w:rPr>
          <w:szCs w:val="24"/>
        </w:rPr>
        <w:t>a</w:t>
      </w:r>
      <w:r w:rsidRPr="009A31E8">
        <w:rPr>
          <w:szCs w:val="24"/>
        </w:rPr>
        <w:t xml:space="preserve"> prehearing conference</w:t>
      </w:r>
      <w:r>
        <w:rPr>
          <w:szCs w:val="24"/>
        </w:rPr>
        <w:t xml:space="preserve"> for 11:00 a.m. on December 20, 2021.  A Prehearing Conference Order was entered December 15, 2021.</w:t>
      </w:r>
    </w:p>
    <w:p w14:paraId="55E2446F" w14:textId="64682BAA" w:rsidR="009A31E8" w:rsidRDefault="009A31E8" w:rsidP="00230169">
      <w:pPr>
        <w:tabs>
          <w:tab w:val="left" w:pos="720"/>
        </w:tabs>
        <w:autoSpaceDE w:val="0"/>
        <w:autoSpaceDN w:val="0"/>
        <w:contextualSpacing/>
        <w:rPr>
          <w:szCs w:val="24"/>
        </w:rPr>
      </w:pPr>
    </w:p>
    <w:p w14:paraId="3B53F945" w14:textId="3245D7DB" w:rsidR="009A31E8" w:rsidRPr="009A31E8" w:rsidRDefault="009A31E8" w:rsidP="00230169">
      <w:pPr>
        <w:tabs>
          <w:tab w:val="left" w:pos="720"/>
        </w:tabs>
        <w:autoSpaceDE w:val="0"/>
        <w:autoSpaceDN w:val="0"/>
        <w:contextualSpacing/>
        <w:rPr>
          <w:szCs w:val="24"/>
        </w:rPr>
      </w:pPr>
      <w:r>
        <w:rPr>
          <w:szCs w:val="24"/>
        </w:rPr>
        <w:tab/>
      </w:r>
      <w:r>
        <w:rPr>
          <w:szCs w:val="24"/>
        </w:rPr>
        <w:tab/>
        <w:t xml:space="preserve">The Prehearing Conference was convened as scheduled.  PGW, OCA, OSBA, CAUSE-PA, and TURN were represented by counsel.  The parties discussed a variety of matters, discussed more fully below. </w:t>
      </w:r>
    </w:p>
    <w:p w14:paraId="44A56EC3" w14:textId="77777777" w:rsidR="0017213E" w:rsidRDefault="0017213E" w:rsidP="00230169">
      <w:pPr>
        <w:ind w:firstLine="720"/>
        <w:rPr>
          <w:szCs w:val="24"/>
        </w:rPr>
      </w:pPr>
    </w:p>
    <w:p w14:paraId="0E1A6ACC" w14:textId="77777777" w:rsidR="00661CF0" w:rsidRPr="00C055EF" w:rsidRDefault="00661CF0" w:rsidP="00230169">
      <w:pPr>
        <w:jc w:val="center"/>
        <w:rPr>
          <w:szCs w:val="24"/>
        </w:rPr>
      </w:pPr>
      <w:r w:rsidRPr="00C055EF">
        <w:rPr>
          <w:b/>
          <w:szCs w:val="24"/>
          <w:u w:val="single"/>
        </w:rPr>
        <w:lastRenderedPageBreak/>
        <w:t>Litigation Schedule</w:t>
      </w:r>
    </w:p>
    <w:p w14:paraId="267FD78C" w14:textId="77777777" w:rsidR="00661CF0" w:rsidRPr="00C055EF" w:rsidRDefault="00661CF0" w:rsidP="00230169">
      <w:pPr>
        <w:rPr>
          <w:szCs w:val="24"/>
        </w:rPr>
      </w:pPr>
    </w:p>
    <w:p w14:paraId="117CDB9F" w14:textId="595DE120" w:rsidR="00661CF0" w:rsidRPr="00C055EF" w:rsidRDefault="00661CF0" w:rsidP="00230169">
      <w:pPr>
        <w:rPr>
          <w:szCs w:val="24"/>
        </w:rPr>
      </w:pPr>
      <w:r w:rsidRPr="00C055EF">
        <w:rPr>
          <w:szCs w:val="24"/>
        </w:rPr>
        <w:tab/>
      </w:r>
      <w:r w:rsidRPr="00C055EF">
        <w:rPr>
          <w:szCs w:val="24"/>
        </w:rPr>
        <w:tab/>
      </w:r>
      <w:r w:rsidR="009A31E8">
        <w:rPr>
          <w:szCs w:val="24"/>
        </w:rPr>
        <w:t>T</w:t>
      </w:r>
      <w:r w:rsidRPr="00C055EF">
        <w:rPr>
          <w:szCs w:val="24"/>
        </w:rPr>
        <w:t>he following litigation schedule</w:t>
      </w:r>
      <w:r w:rsidR="009A31E8">
        <w:rPr>
          <w:szCs w:val="24"/>
        </w:rPr>
        <w:t xml:space="preserve"> </w:t>
      </w:r>
      <w:r w:rsidR="009E6487">
        <w:rPr>
          <w:szCs w:val="24"/>
        </w:rPr>
        <w:t>was adopted:</w:t>
      </w:r>
    </w:p>
    <w:p w14:paraId="7E021A5B" w14:textId="77777777" w:rsidR="00661CF0" w:rsidRPr="00C055EF" w:rsidRDefault="00661CF0" w:rsidP="00661CF0">
      <w:pPr>
        <w:rPr>
          <w:szCs w:val="24"/>
        </w:rPr>
      </w:pPr>
    </w:p>
    <w:tbl>
      <w:tblPr>
        <w:tblW w:w="9390" w:type="dxa"/>
        <w:tblInd w:w="297" w:type="dxa"/>
        <w:tblBorders>
          <w:top w:val="thinThickSmallGap" w:sz="24" w:space="0" w:color="auto"/>
          <w:left w:val="thinThickSmallGap" w:sz="24" w:space="0" w:color="auto"/>
          <w:bottom w:val="thinThickSmallGap" w:sz="24" w:space="0" w:color="auto"/>
          <w:right w:val="thickThinSmallGap" w:sz="24" w:space="0" w:color="auto"/>
          <w:insideH w:val="single" w:sz="4" w:space="0" w:color="auto"/>
          <w:insideV w:val="single" w:sz="4" w:space="0" w:color="auto"/>
        </w:tblBorders>
        <w:tblLayout w:type="fixed"/>
        <w:tblLook w:val="04A0" w:firstRow="1" w:lastRow="0" w:firstColumn="1" w:lastColumn="0" w:noHBand="0" w:noVBand="1"/>
      </w:tblPr>
      <w:tblGrid>
        <w:gridCol w:w="2842"/>
        <w:gridCol w:w="6548"/>
      </w:tblGrid>
      <w:tr w:rsidR="0017213E" w14:paraId="7D9AAAE7" w14:textId="77777777" w:rsidTr="00B1652E">
        <w:trPr>
          <w:trHeight w:val="390"/>
        </w:trPr>
        <w:tc>
          <w:tcPr>
            <w:tcW w:w="2842" w:type="dxa"/>
            <w:tcBorders>
              <w:top w:val="thinThickSmallGap" w:sz="24" w:space="0" w:color="auto"/>
              <w:left w:val="thinThickSmallGap" w:sz="24" w:space="0" w:color="auto"/>
              <w:bottom w:val="single" w:sz="4" w:space="0" w:color="auto"/>
              <w:right w:val="single" w:sz="4" w:space="0" w:color="auto"/>
            </w:tcBorders>
            <w:hideMark/>
          </w:tcPr>
          <w:p w14:paraId="36A30213" w14:textId="77777777" w:rsidR="0017213E" w:rsidRPr="00A8557E" w:rsidRDefault="0017213E" w:rsidP="007E1E17">
            <w:pPr>
              <w:pStyle w:val="Heading2"/>
              <w:jc w:val="center"/>
              <w:rPr>
                <w:sz w:val="24"/>
                <w:szCs w:val="24"/>
                <w:u w:val="none"/>
              </w:rPr>
            </w:pPr>
            <w:r w:rsidRPr="00A8557E">
              <w:rPr>
                <w:sz w:val="24"/>
                <w:szCs w:val="24"/>
              </w:rPr>
              <w:t>Date</w:t>
            </w:r>
          </w:p>
        </w:tc>
        <w:tc>
          <w:tcPr>
            <w:tcW w:w="6548" w:type="dxa"/>
            <w:tcBorders>
              <w:top w:val="thinThickSmallGap" w:sz="24" w:space="0" w:color="auto"/>
              <w:left w:val="single" w:sz="4" w:space="0" w:color="auto"/>
              <w:bottom w:val="single" w:sz="4" w:space="0" w:color="auto"/>
              <w:right w:val="thickThinSmallGap" w:sz="24" w:space="0" w:color="auto"/>
            </w:tcBorders>
            <w:hideMark/>
          </w:tcPr>
          <w:p w14:paraId="269357C3" w14:textId="77777777" w:rsidR="0017213E" w:rsidRPr="00A8557E" w:rsidRDefault="0017213E" w:rsidP="00B1652E">
            <w:pPr>
              <w:pStyle w:val="Heading2"/>
              <w:rPr>
                <w:sz w:val="24"/>
                <w:szCs w:val="24"/>
                <w:u w:val="none"/>
              </w:rPr>
            </w:pPr>
            <w:r w:rsidRPr="00A8557E">
              <w:rPr>
                <w:sz w:val="24"/>
                <w:szCs w:val="24"/>
              </w:rPr>
              <w:t>Event</w:t>
            </w:r>
          </w:p>
        </w:tc>
      </w:tr>
      <w:tr w:rsidR="002E4431" w14:paraId="3DC700D3" w14:textId="77777777" w:rsidTr="00B1652E">
        <w:trPr>
          <w:trHeight w:val="390"/>
        </w:trPr>
        <w:tc>
          <w:tcPr>
            <w:tcW w:w="2842" w:type="dxa"/>
            <w:tcBorders>
              <w:top w:val="thinThickSmallGap" w:sz="24" w:space="0" w:color="auto"/>
              <w:left w:val="thinThickSmallGap" w:sz="24" w:space="0" w:color="auto"/>
              <w:bottom w:val="single" w:sz="4" w:space="0" w:color="auto"/>
              <w:right w:val="single" w:sz="4" w:space="0" w:color="auto"/>
            </w:tcBorders>
          </w:tcPr>
          <w:p w14:paraId="3F7F8C13" w14:textId="1CE6D5B4" w:rsidR="002E4431" w:rsidRPr="006F27D5" w:rsidRDefault="009A31E8" w:rsidP="006F27D5">
            <w:pPr>
              <w:pStyle w:val="Heading2"/>
              <w:jc w:val="center"/>
              <w:rPr>
                <w:b w:val="0"/>
                <w:bCs/>
                <w:sz w:val="24"/>
                <w:szCs w:val="24"/>
                <w:u w:val="none"/>
              </w:rPr>
            </w:pPr>
            <w:r>
              <w:rPr>
                <w:b w:val="0"/>
                <w:bCs/>
                <w:sz w:val="24"/>
                <w:szCs w:val="24"/>
                <w:u w:val="none"/>
              </w:rPr>
              <w:t>February 4, 2022</w:t>
            </w:r>
          </w:p>
        </w:tc>
        <w:tc>
          <w:tcPr>
            <w:tcW w:w="6548" w:type="dxa"/>
            <w:tcBorders>
              <w:top w:val="thinThickSmallGap" w:sz="24" w:space="0" w:color="auto"/>
              <w:left w:val="single" w:sz="4" w:space="0" w:color="auto"/>
              <w:bottom w:val="single" w:sz="4" w:space="0" w:color="auto"/>
              <w:right w:val="thickThinSmallGap" w:sz="24" w:space="0" w:color="auto"/>
            </w:tcBorders>
          </w:tcPr>
          <w:p w14:paraId="1B2D8EAB" w14:textId="3C415337" w:rsidR="002E4431" w:rsidRPr="002E4431" w:rsidRDefault="009A31E8" w:rsidP="00B1652E">
            <w:pPr>
              <w:pStyle w:val="Heading2"/>
              <w:rPr>
                <w:b w:val="0"/>
                <w:bCs/>
                <w:sz w:val="24"/>
                <w:szCs w:val="24"/>
                <w:u w:val="none"/>
              </w:rPr>
            </w:pPr>
            <w:r>
              <w:rPr>
                <w:b w:val="0"/>
                <w:bCs/>
                <w:sz w:val="24"/>
                <w:szCs w:val="24"/>
                <w:u w:val="none"/>
              </w:rPr>
              <w:t>PGW Direct Testimony</w:t>
            </w:r>
          </w:p>
        </w:tc>
      </w:tr>
      <w:tr w:rsidR="002E4431" w14:paraId="443FB811" w14:textId="77777777" w:rsidTr="00B1652E">
        <w:trPr>
          <w:trHeight w:val="404"/>
        </w:trPr>
        <w:tc>
          <w:tcPr>
            <w:tcW w:w="2842" w:type="dxa"/>
            <w:tcBorders>
              <w:top w:val="single" w:sz="4" w:space="0" w:color="auto"/>
              <w:left w:val="thinThickSmallGap" w:sz="24" w:space="0" w:color="auto"/>
              <w:bottom w:val="single" w:sz="4" w:space="0" w:color="auto"/>
              <w:right w:val="single" w:sz="4" w:space="0" w:color="auto"/>
            </w:tcBorders>
            <w:vAlign w:val="center"/>
          </w:tcPr>
          <w:p w14:paraId="791EC1FA" w14:textId="5C43C428" w:rsidR="002E4431" w:rsidRDefault="009A31E8" w:rsidP="0017213E">
            <w:pPr>
              <w:spacing w:line="240" w:lineRule="auto"/>
              <w:jc w:val="center"/>
              <w:rPr>
                <w:szCs w:val="24"/>
              </w:rPr>
            </w:pPr>
            <w:r>
              <w:rPr>
                <w:szCs w:val="24"/>
              </w:rPr>
              <w:t>March 7, 2022</w:t>
            </w:r>
          </w:p>
        </w:tc>
        <w:tc>
          <w:tcPr>
            <w:tcW w:w="6548" w:type="dxa"/>
            <w:tcBorders>
              <w:top w:val="single" w:sz="4" w:space="0" w:color="auto"/>
              <w:left w:val="single" w:sz="4" w:space="0" w:color="auto"/>
              <w:bottom w:val="single" w:sz="4" w:space="0" w:color="auto"/>
              <w:right w:val="thickThinSmallGap" w:sz="24" w:space="0" w:color="auto"/>
            </w:tcBorders>
          </w:tcPr>
          <w:p w14:paraId="2C0483C4" w14:textId="0772DAA6" w:rsidR="002E4431" w:rsidRPr="00A8557E" w:rsidRDefault="009A31E8" w:rsidP="0017213E">
            <w:pPr>
              <w:spacing w:line="240" w:lineRule="auto"/>
              <w:rPr>
                <w:szCs w:val="24"/>
              </w:rPr>
            </w:pPr>
            <w:r>
              <w:rPr>
                <w:szCs w:val="24"/>
              </w:rPr>
              <w:t>Other Parties’ Direct Testimony</w:t>
            </w:r>
            <w:r>
              <w:rPr>
                <w:szCs w:val="24"/>
              </w:rPr>
              <w:tab/>
            </w:r>
          </w:p>
        </w:tc>
      </w:tr>
      <w:tr w:rsidR="002E4431" w14:paraId="50A2CE62" w14:textId="77777777" w:rsidTr="00B1652E">
        <w:trPr>
          <w:trHeight w:val="404"/>
        </w:trPr>
        <w:tc>
          <w:tcPr>
            <w:tcW w:w="2842" w:type="dxa"/>
            <w:tcBorders>
              <w:top w:val="single" w:sz="4" w:space="0" w:color="auto"/>
              <w:left w:val="thinThickSmallGap" w:sz="24" w:space="0" w:color="auto"/>
              <w:bottom w:val="single" w:sz="4" w:space="0" w:color="auto"/>
              <w:right w:val="single" w:sz="4" w:space="0" w:color="auto"/>
            </w:tcBorders>
            <w:vAlign w:val="center"/>
          </w:tcPr>
          <w:p w14:paraId="6669A409" w14:textId="779E4E99" w:rsidR="002E4431" w:rsidRDefault="009A31E8" w:rsidP="0017213E">
            <w:pPr>
              <w:spacing w:line="240" w:lineRule="auto"/>
              <w:jc w:val="center"/>
              <w:rPr>
                <w:szCs w:val="24"/>
              </w:rPr>
            </w:pPr>
            <w:r>
              <w:t>March 31, 2022</w:t>
            </w:r>
          </w:p>
        </w:tc>
        <w:tc>
          <w:tcPr>
            <w:tcW w:w="6548" w:type="dxa"/>
            <w:tcBorders>
              <w:top w:val="single" w:sz="4" w:space="0" w:color="auto"/>
              <w:left w:val="single" w:sz="4" w:space="0" w:color="auto"/>
              <w:bottom w:val="single" w:sz="4" w:space="0" w:color="auto"/>
              <w:right w:val="thickThinSmallGap" w:sz="24" w:space="0" w:color="auto"/>
            </w:tcBorders>
          </w:tcPr>
          <w:p w14:paraId="7DC6D9E9" w14:textId="7FBAE94E" w:rsidR="002E4431" w:rsidRPr="00A8557E" w:rsidRDefault="009A31E8" w:rsidP="0017213E">
            <w:pPr>
              <w:spacing w:line="240" w:lineRule="auto"/>
              <w:rPr>
                <w:szCs w:val="24"/>
              </w:rPr>
            </w:pPr>
            <w:r>
              <w:rPr>
                <w:szCs w:val="24"/>
              </w:rPr>
              <w:t>Rebuttal Testimony</w:t>
            </w:r>
          </w:p>
        </w:tc>
      </w:tr>
      <w:tr w:rsidR="002E4431" w14:paraId="1BDE0121" w14:textId="77777777" w:rsidTr="00B1652E">
        <w:trPr>
          <w:trHeight w:val="404"/>
        </w:trPr>
        <w:tc>
          <w:tcPr>
            <w:tcW w:w="2842" w:type="dxa"/>
            <w:tcBorders>
              <w:top w:val="single" w:sz="4" w:space="0" w:color="auto"/>
              <w:left w:val="thinThickSmallGap" w:sz="24" w:space="0" w:color="auto"/>
              <w:bottom w:val="single" w:sz="4" w:space="0" w:color="auto"/>
              <w:right w:val="single" w:sz="4" w:space="0" w:color="auto"/>
            </w:tcBorders>
            <w:vAlign w:val="center"/>
          </w:tcPr>
          <w:p w14:paraId="63A1A2EE" w14:textId="0BF4800B" w:rsidR="002E4431" w:rsidRDefault="009A31E8" w:rsidP="0017213E">
            <w:pPr>
              <w:spacing w:line="240" w:lineRule="auto"/>
              <w:jc w:val="center"/>
              <w:rPr>
                <w:szCs w:val="24"/>
              </w:rPr>
            </w:pPr>
            <w:r>
              <w:t>April 12, 2022</w:t>
            </w:r>
          </w:p>
        </w:tc>
        <w:tc>
          <w:tcPr>
            <w:tcW w:w="6548" w:type="dxa"/>
            <w:tcBorders>
              <w:top w:val="single" w:sz="4" w:space="0" w:color="auto"/>
              <w:left w:val="single" w:sz="4" w:space="0" w:color="auto"/>
              <w:bottom w:val="single" w:sz="4" w:space="0" w:color="auto"/>
              <w:right w:val="thickThinSmallGap" w:sz="24" w:space="0" w:color="auto"/>
            </w:tcBorders>
          </w:tcPr>
          <w:p w14:paraId="4AF45E99" w14:textId="70C96FBD" w:rsidR="002E4431" w:rsidRPr="00A8557E" w:rsidRDefault="009A31E8" w:rsidP="0017213E">
            <w:pPr>
              <w:spacing w:line="240" w:lineRule="auto"/>
              <w:rPr>
                <w:szCs w:val="24"/>
              </w:rPr>
            </w:pPr>
            <w:r>
              <w:rPr>
                <w:szCs w:val="24"/>
              </w:rPr>
              <w:t>Surrebuttal Testimony</w:t>
            </w:r>
            <w:r>
              <w:rPr>
                <w:szCs w:val="24"/>
              </w:rPr>
              <w:tab/>
            </w:r>
          </w:p>
        </w:tc>
      </w:tr>
      <w:tr w:rsidR="002E4431" w14:paraId="0FCF411C" w14:textId="77777777" w:rsidTr="00B1652E">
        <w:trPr>
          <w:trHeight w:val="404"/>
        </w:trPr>
        <w:tc>
          <w:tcPr>
            <w:tcW w:w="2842" w:type="dxa"/>
            <w:tcBorders>
              <w:top w:val="single" w:sz="4" w:space="0" w:color="auto"/>
              <w:left w:val="thinThickSmallGap" w:sz="24" w:space="0" w:color="auto"/>
              <w:bottom w:val="single" w:sz="4" w:space="0" w:color="auto"/>
              <w:right w:val="single" w:sz="4" w:space="0" w:color="auto"/>
            </w:tcBorders>
            <w:vAlign w:val="center"/>
          </w:tcPr>
          <w:p w14:paraId="783F90C5" w14:textId="3E1B85CA" w:rsidR="002E4431" w:rsidRDefault="009A31E8" w:rsidP="0017213E">
            <w:pPr>
              <w:spacing w:line="240" w:lineRule="auto"/>
              <w:jc w:val="center"/>
              <w:rPr>
                <w:szCs w:val="24"/>
              </w:rPr>
            </w:pPr>
            <w:r>
              <w:t>April 18, 2022</w:t>
            </w:r>
          </w:p>
        </w:tc>
        <w:tc>
          <w:tcPr>
            <w:tcW w:w="6548" w:type="dxa"/>
            <w:tcBorders>
              <w:top w:val="single" w:sz="4" w:space="0" w:color="auto"/>
              <w:left w:val="single" w:sz="4" w:space="0" w:color="auto"/>
              <w:bottom w:val="single" w:sz="4" w:space="0" w:color="auto"/>
              <w:right w:val="thickThinSmallGap" w:sz="24" w:space="0" w:color="auto"/>
            </w:tcBorders>
          </w:tcPr>
          <w:p w14:paraId="39A1D0AD" w14:textId="380BAB80" w:rsidR="002E4431" w:rsidRDefault="009A31E8" w:rsidP="0017213E">
            <w:pPr>
              <w:spacing w:line="240" w:lineRule="auto"/>
              <w:rPr>
                <w:szCs w:val="24"/>
              </w:rPr>
            </w:pPr>
            <w:r>
              <w:rPr>
                <w:szCs w:val="24"/>
              </w:rPr>
              <w:t>Rejoinder Outline</w:t>
            </w:r>
          </w:p>
        </w:tc>
      </w:tr>
      <w:tr w:rsidR="002E4431" w14:paraId="49AF4E5C" w14:textId="77777777" w:rsidTr="00B1652E">
        <w:trPr>
          <w:trHeight w:val="404"/>
        </w:trPr>
        <w:tc>
          <w:tcPr>
            <w:tcW w:w="2842" w:type="dxa"/>
            <w:tcBorders>
              <w:top w:val="single" w:sz="4" w:space="0" w:color="auto"/>
              <w:left w:val="thinThickSmallGap" w:sz="24" w:space="0" w:color="auto"/>
              <w:bottom w:val="single" w:sz="4" w:space="0" w:color="auto"/>
              <w:right w:val="single" w:sz="4" w:space="0" w:color="auto"/>
            </w:tcBorders>
            <w:vAlign w:val="center"/>
          </w:tcPr>
          <w:p w14:paraId="229471F1" w14:textId="283CB448" w:rsidR="002E4431" w:rsidRDefault="009A31E8" w:rsidP="0017213E">
            <w:pPr>
              <w:spacing w:line="240" w:lineRule="auto"/>
              <w:jc w:val="center"/>
              <w:rPr>
                <w:szCs w:val="24"/>
              </w:rPr>
            </w:pPr>
            <w:r>
              <w:t>April 19-20, 2022</w:t>
            </w:r>
          </w:p>
        </w:tc>
        <w:tc>
          <w:tcPr>
            <w:tcW w:w="6548" w:type="dxa"/>
            <w:tcBorders>
              <w:top w:val="single" w:sz="4" w:space="0" w:color="auto"/>
              <w:left w:val="single" w:sz="4" w:space="0" w:color="auto"/>
              <w:bottom w:val="single" w:sz="4" w:space="0" w:color="auto"/>
              <w:right w:val="thickThinSmallGap" w:sz="24" w:space="0" w:color="auto"/>
            </w:tcBorders>
          </w:tcPr>
          <w:p w14:paraId="33E3EAB1" w14:textId="304EB0F6" w:rsidR="002E4431" w:rsidRDefault="009A31E8" w:rsidP="0017213E">
            <w:pPr>
              <w:spacing w:line="240" w:lineRule="auto"/>
              <w:rPr>
                <w:szCs w:val="24"/>
              </w:rPr>
            </w:pPr>
            <w:r>
              <w:rPr>
                <w:szCs w:val="24"/>
              </w:rPr>
              <w:t>Hearings</w:t>
            </w:r>
          </w:p>
        </w:tc>
      </w:tr>
      <w:tr w:rsidR="002E4431" w14:paraId="052A3698" w14:textId="77777777" w:rsidTr="00B1652E">
        <w:trPr>
          <w:trHeight w:val="404"/>
        </w:trPr>
        <w:tc>
          <w:tcPr>
            <w:tcW w:w="2842" w:type="dxa"/>
            <w:tcBorders>
              <w:top w:val="single" w:sz="4" w:space="0" w:color="auto"/>
              <w:left w:val="thinThickSmallGap" w:sz="24" w:space="0" w:color="auto"/>
              <w:bottom w:val="single" w:sz="4" w:space="0" w:color="auto"/>
              <w:right w:val="single" w:sz="4" w:space="0" w:color="auto"/>
            </w:tcBorders>
            <w:vAlign w:val="center"/>
          </w:tcPr>
          <w:p w14:paraId="435D356C" w14:textId="256CAC5F" w:rsidR="002E4431" w:rsidRDefault="009A31E8" w:rsidP="0017213E">
            <w:pPr>
              <w:spacing w:line="240" w:lineRule="auto"/>
              <w:jc w:val="center"/>
              <w:rPr>
                <w:szCs w:val="24"/>
              </w:rPr>
            </w:pPr>
            <w:r>
              <w:t>May 10, 2022</w:t>
            </w:r>
          </w:p>
        </w:tc>
        <w:tc>
          <w:tcPr>
            <w:tcW w:w="6548" w:type="dxa"/>
            <w:tcBorders>
              <w:top w:val="single" w:sz="4" w:space="0" w:color="auto"/>
              <w:left w:val="single" w:sz="4" w:space="0" w:color="auto"/>
              <w:bottom w:val="single" w:sz="4" w:space="0" w:color="auto"/>
              <w:right w:val="thickThinSmallGap" w:sz="24" w:space="0" w:color="auto"/>
            </w:tcBorders>
          </w:tcPr>
          <w:p w14:paraId="69D756CF" w14:textId="4D7B15E9" w:rsidR="002E4431" w:rsidRDefault="009A31E8" w:rsidP="0017213E">
            <w:pPr>
              <w:spacing w:line="240" w:lineRule="auto"/>
              <w:rPr>
                <w:szCs w:val="24"/>
              </w:rPr>
            </w:pPr>
            <w:r>
              <w:rPr>
                <w:szCs w:val="24"/>
              </w:rPr>
              <w:t>Main Brief</w:t>
            </w:r>
            <w:r>
              <w:rPr>
                <w:szCs w:val="24"/>
              </w:rPr>
              <w:tab/>
            </w:r>
          </w:p>
        </w:tc>
      </w:tr>
      <w:tr w:rsidR="002E4431" w14:paraId="7288327D" w14:textId="77777777" w:rsidTr="00B1652E">
        <w:trPr>
          <w:trHeight w:val="404"/>
        </w:trPr>
        <w:tc>
          <w:tcPr>
            <w:tcW w:w="2842" w:type="dxa"/>
            <w:tcBorders>
              <w:top w:val="single" w:sz="4" w:space="0" w:color="auto"/>
              <w:left w:val="thinThickSmallGap" w:sz="24" w:space="0" w:color="auto"/>
              <w:bottom w:val="single" w:sz="4" w:space="0" w:color="auto"/>
              <w:right w:val="single" w:sz="4" w:space="0" w:color="auto"/>
            </w:tcBorders>
            <w:vAlign w:val="center"/>
          </w:tcPr>
          <w:p w14:paraId="44B170CD" w14:textId="7EB37283" w:rsidR="002E4431" w:rsidRDefault="009A31E8" w:rsidP="0017213E">
            <w:pPr>
              <w:spacing w:line="240" w:lineRule="auto"/>
              <w:jc w:val="center"/>
              <w:rPr>
                <w:szCs w:val="24"/>
              </w:rPr>
            </w:pPr>
            <w:r>
              <w:t>May 25, 2022</w:t>
            </w:r>
          </w:p>
        </w:tc>
        <w:tc>
          <w:tcPr>
            <w:tcW w:w="6548" w:type="dxa"/>
            <w:tcBorders>
              <w:top w:val="single" w:sz="4" w:space="0" w:color="auto"/>
              <w:left w:val="single" w:sz="4" w:space="0" w:color="auto"/>
              <w:bottom w:val="single" w:sz="4" w:space="0" w:color="auto"/>
              <w:right w:val="thickThinSmallGap" w:sz="24" w:space="0" w:color="auto"/>
            </w:tcBorders>
          </w:tcPr>
          <w:p w14:paraId="66414F33" w14:textId="49F02662" w:rsidR="002E4431" w:rsidRDefault="009A31E8" w:rsidP="0017213E">
            <w:pPr>
              <w:spacing w:line="240" w:lineRule="auto"/>
              <w:rPr>
                <w:szCs w:val="24"/>
              </w:rPr>
            </w:pPr>
            <w:r>
              <w:rPr>
                <w:szCs w:val="24"/>
              </w:rPr>
              <w:t>Reply Brief</w:t>
            </w:r>
          </w:p>
        </w:tc>
      </w:tr>
    </w:tbl>
    <w:p w14:paraId="2B04D6F2" w14:textId="2A7EDCF9" w:rsidR="009154D6" w:rsidRDefault="009154D6" w:rsidP="009154D6">
      <w:pPr>
        <w:rPr>
          <w:szCs w:val="24"/>
        </w:rPr>
      </w:pPr>
      <w:r>
        <w:rPr>
          <w:szCs w:val="24"/>
        </w:rPr>
        <w:tab/>
      </w:r>
    </w:p>
    <w:p w14:paraId="69A2EAFA" w14:textId="568745CA" w:rsidR="00070A0A" w:rsidRDefault="008C41D9" w:rsidP="009154D6">
      <w:pPr>
        <w:rPr>
          <w:szCs w:val="24"/>
        </w:rPr>
      </w:pPr>
      <w:r>
        <w:rPr>
          <w:szCs w:val="24"/>
        </w:rPr>
        <w:tab/>
      </w:r>
      <w:r>
        <w:rPr>
          <w:szCs w:val="24"/>
        </w:rPr>
        <w:tab/>
      </w:r>
      <w:r w:rsidR="00661CF0" w:rsidRPr="00AE3BF5">
        <w:rPr>
          <w:szCs w:val="24"/>
        </w:rPr>
        <w:t>The parties are reminded of the Commission’s requirements for the preparation and filin</w:t>
      </w:r>
      <w:r w:rsidR="00B4562F" w:rsidRPr="00AE3BF5">
        <w:rPr>
          <w:szCs w:val="24"/>
        </w:rPr>
        <w:t>g of written testimony.  52 Pa.</w:t>
      </w:r>
      <w:r w:rsidR="00661CF0" w:rsidRPr="00AE3BF5">
        <w:rPr>
          <w:szCs w:val="24"/>
        </w:rPr>
        <w:t>Code §</w:t>
      </w:r>
      <w:r w:rsidR="00CF5E0E" w:rsidRPr="00AE3BF5">
        <w:rPr>
          <w:szCs w:val="24"/>
        </w:rPr>
        <w:t>§</w:t>
      </w:r>
      <w:r w:rsidR="00B4562F" w:rsidRPr="00AE3BF5">
        <w:rPr>
          <w:szCs w:val="24"/>
        </w:rPr>
        <w:t xml:space="preserve"> </w:t>
      </w:r>
      <w:r w:rsidR="00661CF0" w:rsidRPr="00AE3BF5">
        <w:rPr>
          <w:szCs w:val="24"/>
        </w:rPr>
        <w:t>5.412</w:t>
      </w:r>
      <w:r w:rsidR="00CF5E0E" w:rsidRPr="00AE3BF5">
        <w:rPr>
          <w:szCs w:val="24"/>
        </w:rPr>
        <w:t xml:space="preserve"> and 5.412a</w:t>
      </w:r>
      <w:r w:rsidR="00661CF0" w:rsidRPr="00AE3BF5">
        <w:rPr>
          <w:szCs w:val="24"/>
        </w:rPr>
        <w:t xml:space="preserve">.  Written testimony must be accompanied by all exhibits to which it relates.  </w:t>
      </w:r>
      <w:r w:rsidR="00C3047B" w:rsidRPr="00AE3BF5">
        <w:rPr>
          <w:szCs w:val="24"/>
        </w:rPr>
        <w:t xml:space="preserve">Technical terms and concepts are to be clearly defined and explained in the testimonies and briefs.  </w:t>
      </w:r>
      <w:r w:rsidR="008E0184" w:rsidRPr="00AE3BF5">
        <w:rPr>
          <w:b/>
          <w:szCs w:val="24"/>
        </w:rPr>
        <w:t>No written testimony will be admitted into evidence unless accompanied by a verification o</w:t>
      </w:r>
      <w:r w:rsidR="005054AA" w:rsidRPr="00AE3BF5">
        <w:rPr>
          <w:b/>
          <w:szCs w:val="24"/>
        </w:rPr>
        <w:t>r</w:t>
      </w:r>
      <w:r w:rsidR="008E0184" w:rsidRPr="00AE3BF5">
        <w:rPr>
          <w:b/>
          <w:szCs w:val="24"/>
        </w:rPr>
        <w:t xml:space="preserve"> affidavit of the witness</w:t>
      </w:r>
      <w:r w:rsidR="008E0184" w:rsidRPr="00AE3BF5">
        <w:rPr>
          <w:szCs w:val="24"/>
        </w:rPr>
        <w:t>.</w:t>
      </w:r>
      <w:r w:rsidR="00070A0A" w:rsidRPr="00AE3BF5">
        <w:rPr>
          <w:szCs w:val="24"/>
        </w:rPr>
        <w:t xml:space="preserve"> </w:t>
      </w:r>
    </w:p>
    <w:p w14:paraId="1E8D3BD7" w14:textId="77777777" w:rsidR="009154D6" w:rsidRPr="00AE3BF5" w:rsidRDefault="009154D6" w:rsidP="009154D6">
      <w:pPr>
        <w:rPr>
          <w:szCs w:val="24"/>
        </w:rPr>
      </w:pPr>
    </w:p>
    <w:p w14:paraId="438E53D6" w14:textId="320BB3C3" w:rsidR="00DE5C0B" w:rsidRPr="00AE3BF5" w:rsidRDefault="00661CF0" w:rsidP="00332ED6">
      <w:pPr>
        <w:ind w:firstLine="1440"/>
        <w:rPr>
          <w:szCs w:val="24"/>
        </w:rPr>
      </w:pPr>
      <w:r w:rsidRPr="00952163">
        <w:rPr>
          <w:szCs w:val="24"/>
        </w:rPr>
        <w:t xml:space="preserve">The above-stated dates are </w:t>
      </w:r>
      <w:r w:rsidRPr="00952163">
        <w:rPr>
          <w:szCs w:val="24"/>
          <w:u w:val="single"/>
        </w:rPr>
        <w:t>in-hand</w:t>
      </w:r>
      <w:r w:rsidRPr="00952163">
        <w:rPr>
          <w:szCs w:val="24"/>
        </w:rPr>
        <w:t xml:space="preserve"> dates for service on the parties and the </w:t>
      </w:r>
      <w:r w:rsidR="00375C8A" w:rsidRPr="00952163">
        <w:rPr>
          <w:szCs w:val="24"/>
        </w:rPr>
        <w:t>Presiding</w:t>
      </w:r>
      <w:r w:rsidRPr="00952163">
        <w:rPr>
          <w:szCs w:val="24"/>
        </w:rPr>
        <w:t xml:space="preserve"> Administrative Law Judge</w:t>
      </w:r>
      <w:r w:rsidR="009A31E8">
        <w:rPr>
          <w:szCs w:val="24"/>
        </w:rPr>
        <w:t>s</w:t>
      </w:r>
      <w:r w:rsidR="00B67360" w:rsidRPr="00952163">
        <w:rPr>
          <w:szCs w:val="24"/>
        </w:rPr>
        <w:t xml:space="preserve"> (</w:t>
      </w:r>
      <w:r w:rsidRPr="00952163">
        <w:rPr>
          <w:szCs w:val="24"/>
        </w:rPr>
        <w:t>ALJ</w:t>
      </w:r>
      <w:r w:rsidR="009A31E8">
        <w:rPr>
          <w:szCs w:val="24"/>
        </w:rPr>
        <w:t>s</w:t>
      </w:r>
      <w:r w:rsidRPr="00952163">
        <w:rPr>
          <w:szCs w:val="24"/>
        </w:rPr>
        <w:t xml:space="preserve">).  </w:t>
      </w:r>
    </w:p>
    <w:p w14:paraId="46330372" w14:textId="77777777" w:rsidR="00DE5C0B" w:rsidRPr="00AE3BF5" w:rsidRDefault="00DE5C0B" w:rsidP="00C3047B">
      <w:pPr>
        <w:rPr>
          <w:szCs w:val="24"/>
        </w:rPr>
      </w:pPr>
    </w:p>
    <w:p w14:paraId="3829ABAE" w14:textId="582B55D8" w:rsidR="00235FAB" w:rsidRDefault="00033142" w:rsidP="00941F49">
      <w:pPr>
        <w:ind w:firstLine="1440"/>
        <w:rPr>
          <w:szCs w:val="24"/>
        </w:rPr>
      </w:pPr>
      <w:r>
        <w:rPr>
          <w:szCs w:val="24"/>
        </w:rPr>
        <w:t>Evidentiary h</w:t>
      </w:r>
      <w:r w:rsidR="00661CF0" w:rsidRPr="00AE3BF5">
        <w:rPr>
          <w:szCs w:val="24"/>
        </w:rPr>
        <w:t xml:space="preserve">earings will begin promptly at </w:t>
      </w:r>
      <w:r w:rsidR="00302CBA" w:rsidRPr="00AE3BF5">
        <w:rPr>
          <w:b/>
          <w:szCs w:val="24"/>
          <w:u w:val="single"/>
        </w:rPr>
        <w:t>1</w:t>
      </w:r>
      <w:r w:rsidR="00B93289" w:rsidRPr="00AE3BF5">
        <w:rPr>
          <w:b/>
          <w:szCs w:val="24"/>
          <w:u w:val="single"/>
        </w:rPr>
        <w:t>0</w:t>
      </w:r>
      <w:r w:rsidR="00302CBA" w:rsidRPr="00AE3BF5">
        <w:rPr>
          <w:b/>
          <w:szCs w:val="24"/>
          <w:u w:val="single"/>
        </w:rPr>
        <w:t xml:space="preserve">:00 </w:t>
      </w:r>
      <w:r w:rsidR="00B93289" w:rsidRPr="00AE3BF5">
        <w:rPr>
          <w:b/>
          <w:szCs w:val="24"/>
          <w:u w:val="single"/>
        </w:rPr>
        <w:t>a</w:t>
      </w:r>
      <w:r w:rsidR="00302CBA" w:rsidRPr="00AE3BF5">
        <w:rPr>
          <w:b/>
          <w:szCs w:val="24"/>
          <w:u w:val="single"/>
        </w:rPr>
        <w:t xml:space="preserve">.m. on </w:t>
      </w:r>
      <w:r w:rsidR="009A31E8">
        <w:rPr>
          <w:b/>
          <w:szCs w:val="24"/>
          <w:u w:val="single"/>
        </w:rPr>
        <w:t>April 19</w:t>
      </w:r>
      <w:r w:rsidR="00302CBA" w:rsidRPr="00AE3BF5">
        <w:rPr>
          <w:b/>
          <w:szCs w:val="24"/>
          <w:u w:val="single"/>
        </w:rPr>
        <w:t>, 20</w:t>
      </w:r>
      <w:r w:rsidR="00B93289" w:rsidRPr="00AE3BF5">
        <w:rPr>
          <w:b/>
          <w:szCs w:val="24"/>
          <w:u w:val="single"/>
        </w:rPr>
        <w:t>2</w:t>
      </w:r>
      <w:r w:rsidR="009A31E8">
        <w:rPr>
          <w:b/>
          <w:szCs w:val="24"/>
          <w:u w:val="single"/>
        </w:rPr>
        <w:t>2</w:t>
      </w:r>
      <w:r w:rsidR="00B93289" w:rsidRPr="00AE3BF5">
        <w:rPr>
          <w:b/>
          <w:szCs w:val="24"/>
          <w:u w:val="single"/>
        </w:rPr>
        <w:t xml:space="preserve">, and </w:t>
      </w:r>
      <w:r w:rsidR="009A31E8">
        <w:rPr>
          <w:b/>
          <w:szCs w:val="24"/>
          <w:u w:val="single"/>
        </w:rPr>
        <w:t>April 20, 2022</w:t>
      </w:r>
      <w:r w:rsidR="00302CBA" w:rsidRPr="00AE3BF5">
        <w:rPr>
          <w:szCs w:val="24"/>
        </w:rPr>
        <w:t xml:space="preserve">.  </w:t>
      </w:r>
      <w:r w:rsidR="00661CF0" w:rsidRPr="00AE3BF5">
        <w:rPr>
          <w:szCs w:val="24"/>
        </w:rPr>
        <w:t>The parties must confer before commencement of the hearings to schedule their witnesses so as to avoid “holes” or “dead time” during the hearings</w:t>
      </w:r>
      <w:r w:rsidR="00C3047B" w:rsidRPr="00AE3BF5">
        <w:rPr>
          <w:szCs w:val="24"/>
        </w:rPr>
        <w:t xml:space="preserve">. </w:t>
      </w:r>
    </w:p>
    <w:p w14:paraId="2C7A4CE2" w14:textId="77777777" w:rsidR="00235FAB" w:rsidRDefault="00235FAB" w:rsidP="00941F49">
      <w:pPr>
        <w:ind w:firstLine="1440"/>
        <w:rPr>
          <w:szCs w:val="24"/>
        </w:rPr>
      </w:pPr>
    </w:p>
    <w:p w14:paraId="794C7514" w14:textId="4F890C56" w:rsidR="00AD3607" w:rsidRPr="000D2D32" w:rsidRDefault="00670405" w:rsidP="000D2D32">
      <w:pPr>
        <w:jc w:val="center"/>
        <w:rPr>
          <w:b/>
          <w:szCs w:val="24"/>
          <w:u w:val="single"/>
        </w:rPr>
      </w:pPr>
      <w:r w:rsidRPr="00AE3BF5">
        <w:rPr>
          <w:b/>
          <w:szCs w:val="24"/>
          <w:u w:val="single"/>
        </w:rPr>
        <w:t>Parties</w:t>
      </w:r>
      <w:r w:rsidR="00302CBA">
        <w:rPr>
          <w:szCs w:val="24"/>
        </w:rPr>
        <w:t xml:space="preserve"> </w:t>
      </w:r>
    </w:p>
    <w:p w14:paraId="06110112" w14:textId="77777777" w:rsidR="009A31E8" w:rsidRDefault="009A31E8" w:rsidP="00670405">
      <w:pPr>
        <w:rPr>
          <w:szCs w:val="24"/>
        </w:rPr>
      </w:pPr>
    </w:p>
    <w:p w14:paraId="554ADDE4" w14:textId="55FEA478" w:rsidR="00033142" w:rsidRDefault="00AD3607" w:rsidP="00670405">
      <w:pPr>
        <w:rPr>
          <w:szCs w:val="24"/>
        </w:rPr>
      </w:pPr>
      <w:r>
        <w:rPr>
          <w:szCs w:val="24"/>
        </w:rPr>
        <w:tab/>
      </w:r>
      <w:r>
        <w:rPr>
          <w:szCs w:val="24"/>
        </w:rPr>
        <w:tab/>
      </w:r>
      <w:r w:rsidR="009A31E8">
        <w:rPr>
          <w:szCs w:val="24"/>
        </w:rPr>
        <w:t xml:space="preserve">There was no objection to the </w:t>
      </w:r>
      <w:r w:rsidR="00033142">
        <w:rPr>
          <w:szCs w:val="24"/>
        </w:rPr>
        <w:t xml:space="preserve">Petitions to Intervene filed </w:t>
      </w:r>
      <w:r w:rsidR="009A31E8">
        <w:rPr>
          <w:szCs w:val="24"/>
        </w:rPr>
        <w:t xml:space="preserve">by </w:t>
      </w:r>
      <w:r w:rsidR="009A31E8" w:rsidRPr="009A31E8">
        <w:rPr>
          <w:szCs w:val="24"/>
        </w:rPr>
        <w:t>CAUSE-PA and TURN</w:t>
      </w:r>
      <w:r w:rsidR="009A31E8">
        <w:rPr>
          <w:szCs w:val="24"/>
        </w:rPr>
        <w:t>.  These Petitions are hereby granted</w:t>
      </w:r>
      <w:r w:rsidR="009A31E8" w:rsidRPr="009A31E8">
        <w:rPr>
          <w:szCs w:val="24"/>
        </w:rPr>
        <w:t xml:space="preserve">.  </w:t>
      </w:r>
    </w:p>
    <w:p w14:paraId="5296DC91" w14:textId="4E4F0DA0" w:rsidR="00B410BF" w:rsidRPr="00AE3BF5" w:rsidRDefault="009A31E8" w:rsidP="00B410BF">
      <w:pPr>
        <w:jc w:val="center"/>
        <w:rPr>
          <w:b/>
          <w:szCs w:val="24"/>
          <w:u w:val="single"/>
        </w:rPr>
      </w:pPr>
      <w:r>
        <w:rPr>
          <w:b/>
          <w:szCs w:val="24"/>
          <w:u w:val="single"/>
        </w:rPr>
        <w:lastRenderedPageBreak/>
        <w:t>Service</w:t>
      </w:r>
    </w:p>
    <w:p w14:paraId="009887B6" w14:textId="3C1B4C0D" w:rsidR="00995F6D" w:rsidRDefault="00995F6D" w:rsidP="004A3990">
      <w:pPr>
        <w:rPr>
          <w:szCs w:val="24"/>
        </w:rPr>
      </w:pPr>
    </w:p>
    <w:p w14:paraId="2C2E4D9E" w14:textId="12C67BBA" w:rsidR="00C55122" w:rsidRDefault="003B1BC6" w:rsidP="00C55122">
      <w:pPr>
        <w:pStyle w:val="FootnoteText"/>
        <w:jc w:val="left"/>
        <w:rPr>
          <w:rFonts w:cstheme="minorHAnsi"/>
          <w:sz w:val="24"/>
          <w:szCs w:val="24"/>
        </w:rPr>
      </w:pPr>
      <w:r>
        <w:rPr>
          <w:rFonts w:cstheme="minorHAnsi"/>
          <w:sz w:val="24"/>
          <w:szCs w:val="24"/>
        </w:rPr>
        <w:tab/>
      </w:r>
      <w:r>
        <w:rPr>
          <w:rFonts w:cstheme="minorHAnsi"/>
          <w:sz w:val="24"/>
          <w:szCs w:val="24"/>
        </w:rPr>
        <w:tab/>
      </w:r>
      <w:r w:rsidR="009A31E8" w:rsidRPr="009A31E8">
        <w:rPr>
          <w:sz w:val="24"/>
          <w:szCs w:val="24"/>
        </w:rPr>
        <w:t xml:space="preserve">The ALJs agree to </w:t>
      </w:r>
      <w:r w:rsidR="009A31E8">
        <w:rPr>
          <w:sz w:val="24"/>
          <w:szCs w:val="24"/>
        </w:rPr>
        <w:t>be served electronically by email, and there is no need to follow electronic service with hard copy</w:t>
      </w:r>
      <w:r w:rsidR="009A31E8" w:rsidRPr="009A31E8">
        <w:rPr>
          <w:sz w:val="24"/>
          <w:szCs w:val="24"/>
        </w:rPr>
        <w:t xml:space="preserve">.  The email addresses of the Presiding ALJs are </w:t>
      </w:r>
      <w:hyperlink r:id="rId8" w:history="1">
        <w:r w:rsidR="009A31E8" w:rsidRPr="009A31E8">
          <w:rPr>
            <w:rStyle w:val="Hyperlink"/>
            <w:sz w:val="24"/>
            <w:szCs w:val="24"/>
          </w:rPr>
          <w:t>edevoe@pa.gov</w:t>
        </w:r>
      </w:hyperlink>
      <w:r w:rsidR="009A31E8" w:rsidRPr="009A31E8">
        <w:rPr>
          <w:sz w:val="24"/>
          <w:szCs w:val="24"/>
        </w:rPr>
        <w:t xml:space="preserve"> and </w:t>
      </w:r>
      <w:hyperlink r:id="rId9" w:history="1">
        <w:r w:rsidR="009A31E8" w:rsidRPr="009A31E8">
          <w:rPr>
            <w:rStyle w:val="Hyperlink"/>
            <w:sz w:val="24"/>
            <w:szCs w:val="24"/>
          </w:rPr>
          <w:t>mhoyer@pa.gov</w:t>
        </w:r>
      </w:hyperlink>
      <w:r w:rsidR="009A31E8" w:rsidRPr="009A31E8">
        <w:rPr>
          <w:sz w:val="24"/>
          <w:szCs w:val="24"/>
        </w:rPr>
        <w:t xml:space="preserve">. </w:t>
      </w:r>
      <w:r w:rsidR="00C55122" w:rsidRPr="009A31E8">
        <w:rPr>
          <w:rFonts w:cstheme="minorHAnsi"/>
          <w:sz w:val="24"/>
          <w:szCs w:val="24"/>
        </w:rPr>
        <w:t xml:space="preserve"> </w:t>
      </w:r>
    </w:p>
    <w:p w14:paraId="63854B43" w14:textId="0BA52821" w:rsidR="009A31E8" w:rsidRDefault="009A31E8" w:rsidP="00C55122">
      <w:pPr>
        <w:pStyle w:val="FootnoteText"/>
        <w:jc w:val="left"/>
        <w:rPr>
          <w:rFonts w:cstheme="minorHAnsi"/>
          <w:sz w:val="24"/>
          <w:szCs w:val="24"/>
        </w:rPr>
      </w:pPr>
    </w:p>
    <w:p w14:paraId="5A0124D9" w14:textId="629A42A3" w:rsidR="009A31E8" w:rsidRPr="009A31E8" w:rsidRDefault="009A31E8" w:rsidP="00C55122">
      <w:pPr>
        <w:pStyle w:val="FootnoteText"/>
        <w:jc w:val="left"/>
        <w:rPr>
          <w:rFonts w:cstheme="minorHAnsi"/>
          <w:sz w:val="24"/>
          <w:szCs w:val="24"/>
        </w:rPr>
      </w:pPr>
      <w:r>
        <w:rPr>
          <w:rFonts w:cstheme="minorHAnsi"/>
          <w:sz w:val="24"/>
          <w:szCs w:val="24"/>
        </w:rPr>
        <w:tab/>
      </w:r>
      <w:r>
        <w:rPr>
          <w:rFonts w:cstheme="minorHAnsi"/>
          <w:sz w:val="24"/>
          <w:szCs w:val="24"/>
        </w:rPr>
        <w:tab/>
        <w:t xml:space="preserve">Furthermore, all parties agreed to be served electronically.  </w:t>
      </w:r>
    </w:p>
    <w:p w14:paraId="4DD66692" w14:textId="77777777" w:rsidR="00952163" w:rsidRDefault="00952163" w:rsidP="0089017C">
      <w:pPr>
        <w:jc w:val="center"/>
        <w:rPr>
          <w:b/>
          <w:szCs w:val="24"/>
          <w:u w:val="single"/>
        </w:rPr>
      </w:pPr>
    </w:p>
    <w:p w14:paraId="04B472A7" w14:textId="2AFB800B" w:rsidR="00CB0498" w:rsidRDefault="009A31E8" w:rsidP="0089017C">
      <w:pPr>
        <w:jc w:val="center"/>
        <w:rPr>
          <w:b/>
          <w:szCs w:val="24"/>
          <w:u w:val="single"/>
        </w:rPr>
      </w:pPr>
      <w:r>
        <w:rPr>
          <w:b/>
          <w:szCs w:val="24"/>
          <w:u w:val="single"/>
        </w:rPr>
        <w:t xml:space="preserve">PGW’s </w:t>
      </w:r>
      <w:r w:rsidR="00CB0498">
        <w:rPr>
          <w:b/>
          <w:szCs w:val="24"/>
          <w:u w:val="single"/>
        </w:rPr>
        <w:t xml:space="preserve">Motion for </w:t>
      </w:r>
      <w:r>
        <w:rPr>
          <w:b/>
          <w:szCs w:val="24"/>
          <w:u w:val="single"/>
        </w:rPr>
        <w:t>Commission Action filed October 25, 2021</w:t>
      </w:r>
    </w:p>
    <w:p w14:paraId="072F48A8" w14:textId="0D6BEB15" w:rsidR="00CB0498" w:rsidRDefault="00CB0498" w:rsidP="0089017C">
      <w:pPr>
        <w:jc w:val="center"/>
        <w:rPr>
          <w:b/>
          <w:szCs w:val="24"/>
          <w:u w:val="single"/>
        </w:rPr>
      </w:pPr>
    </w:p>
    <w:p w14:paraId="27D82AA4" w14:textId="2B762679" w:rsidR="009A31E8" w:rsidRPr="00F157DB" w:rsidRDefault="009A31E8" w:rsidP="009A31E8">
      <w:pPr>
        <w:pStyle w:val="ListParagraph"/>
        <w:ind w:left="0"/>
        <w:rPr>
          <w:rFonts w:asciiTheme="minorHAnsi" w:hAnsiTheme="minorHAnsi" w:cstheme="minorHAnsi"/>
          <w:sz w:val="28"/>
          <w:szCs w:val="28"/>
        </w:rPr>
      </w:pPr>
      <w:r>
        <w:rPr>
          <w:sz w:val="24"/>
          <w:szCs w:val="24"/>
        </w:rPr>
        <w:tab/>
      </w:r>
      <w:r>
        <w:rPr>
          <w:sz w:val="24"/>
          <w:szCs w:val="24"/>
        </w:rPr>
        <w:tab/>
        <w:t>In its Motion, PGW requests that the Commission:</w:t>
      </w:r>
    </w:p>
    <w:p w14:paraId="2AE8A381" w14:textId="77777777" w:rsidR="009A31E8" w:rsidRDefault="009A31E8" w:rsidP="009A31E8">
      <w:pPr>
        <w:spacing w:line="240" w:lineRule="auto"/>
        <w:ind w:left="1440" w:right="720"/>
        <w:jc w:val="both"/>
        <w:rPr>
          <w:szCs w:val="24"/>
        </w:rPr>
      </w:pPr>
      <w:r>
        <w:rPr>
          <w:szCs w:val="24"/>
        </w:rPr>
        <w:t xml:space="preserve">(1) issue an order directing PGW to maintain the existing energy burden Pilot Program as part of its Customer Responsibility Program (“CRP Pilot Program”) on a </w:t>
      </w:r>
      <w:r w:rsidRPr="009A31E8">
        <w:rPr>
          <w:szCs w:val="24"/>
        </w:rPr>
        <w:t>temporary basis until a final Commission order is issued in the proceeding on remand; (2) set a schedule for an expedited proceeding on remand in order to provide for the evidentiary proceedings and issuance of a new decision required by the Commonwealth Court’s decision; and (3) direct the Office of Administrative Law Judge (“OALJ”) to develop a certified record to be submitted to the Commission for decision.</w:t>
      </w:r>
    </w:p>
    <w:p w14:paraId="3E63540A" w14:textId="77777777" w:rsidR="009A31E8" w:rsidRDefault="009A31E8" w:rsidP="007E1E17">
      <w:pPr>
        <w:pStyle w:val="ListParagraph"/>
        <w:ind w:left="1440" w:right="720"/>
        <w:jc w:val="both"/>
        <w:rPr>
          <w:sz w:val="24"/>
          <w:szCs w:val="24"/>
        </w:rPr>
      </w:pPr>
    </w:p>
    <w:p w14:paraId="4A218245" w14:textId="3A6D2180" w:rsidR="009A31E8" w:rsidRDefault="009A31E8" w:rsidP="007E1E17">
      <w:pPr>
        <w:pStyle w:val="ListParagraph"/>
        <w:ind w:left="0" w:right="720"/>
        <w:rPr>
          <w:sz w:val="24"/>
          <w:szCs w:val="24"/>
        </w:rPr>
      </w:pPr>
      <w:r>
        <w:rPr>
          <w:sz w:val="24"/>
          <w:szCs w:val="24"/>
        </w:rPr>
        <w:tab/>
      </w:r>
      <w:r>
        <w:rPr>
          <w:sz w:val="24"/>
          <w:szCs w:val="24"/>
        </w:rPr>
        <w:tab/>
        <w:t xml:space="preserve">After hearing oral argument, the ALJs granted PGW’s request to continue the Pilot Program during the pendency of this remanded proceeding, and advised that issues regarding refunds (e.g., whether refunds are appropriate; if so, in what amount and to be paid by whom) are reserved for litigation by the parties.  The ALJs decision on this matter will be addressed in a separate order. </w:t>
      </w:r>
    </w:p>
    <w:p w14:paraId="07AAF875" w14:textId="450A4285" w:rsidR="009A31E8" w:rsidRDefault="009A31E8" w:rsidP="00230169">
      <w:pPr>
        <w:pStyle w:val="ListParagraph"/>
        <w:ind w:left="0" w:right="720"/>
        <w:rPr>
          <w:sz w:val="24"/>
          <w:szCs w:val="24"/>
        </w:rPr>
      </w:pPr>
    </w:p>
    <w:p w14:paraId="53D9CE62" w14:textId="43666F76" w:rsidR="009A31E8" w:rsidRDefault="009A31E8" w:rsidP="00230169">
      <w:pPr>
        <w:pStyle w:val="ListParagraph"/>
        <w:ind w:left="0" w:right="720"/>
        <w:rPr>
          <w:sz w:val="24"/>
          <w:szCs w:val="24"/>
        </w:rPr>
      </w:pPr>
      <w:r>
        <w:rPr>
          <w:sz w:val="24"/>
          <w:szCs w:val="24"/>
        </w:rPr>
        <w:tab/>
      </w:r>
      <w:r>
        <w:rPr>
          <w:sz w:val="24"/>
          <w:szCs w:val="24"/>
        </w:rPr>
        <w:tab/>
      </w:r>
      <w:r w:rsidRPr="00F157DB">
        <w:rPr>
          <w:sz w:val="24"/>
          <w:szCs w:val="24"/>
        </w:rPr>
        <w:t xml:space="preserve">As for the relief requesting an expedited proceeding, </w:t>
      </w:r>
      <w:r>
        <w:rPr>
          <w:sz w:val="24"/>
          <w:szCs w:val="24"/>
        </w:rPr>
        <w:t xml:space="preserve">PGW indicated that the litigation schedule adopted at the conference was satisfactory.   </w:t>
      </w:r>
    </w:p>
    <w:p w14:paraId="65CF60F1" w14:textId="77777777" w:rsidR="009A31E8" w:rsidRPr="00F157DB" w:rsidRDefault="009A31E8" w:rsidP="00230169">
      <w:pPr>
        <w:pStyle w:val="ListParagraph"/>
        <w:rPr>
          <w:sz w:val="24"/>
          <w:szCs w:val="24"/>
        </w:rPr>
      </w:pPr>
    </w:p>
    <w:p w14:paraId="00264A3E" w14:textId="5AB6D6EF" w:rsidR="009A31E8" w:rsidRDefault="009A31E8" w:rsidP="00230169">
      <w:pPr>
        <w:rPr>
          <w:b/>
          <w:szCs w:val="24"/>
          <w:u w:val="single"/>
        </w:rPr>
      </w:pPr>
      <w:r>
        <w:rPr>
          <w:szCs w:val="24"/>
        </w:rPr>
        <w:tab/>
      </w:r>
      <w:r>
        <w:rPr>
          <w:szCs w:val="24"/>
        </w:rPr>
        <w:tab/>
        <w:t>As for the request for a certified record as opposed to a written decision from the ALJs, PGW withdrew that request.</w:t>
      </w:r>
    </w:p>
    <w:p w14:paraId="327BF15D" w14:textId="4FB411D4" w:rsidR="00CB0498" w:rsidRDefault="005D46EE" w:rsidP="00230169">
      <w:pPr>
        <w:rPr>
          <w:bCs/>
          <w:szCs w:val="24"/>
        </w:rPr>
      </w:pPr>
      <w:r>
        <w:rPr>
          <w:b/>
          <w:szCs w:val="24"/>
        </w:rPr>
        <w:tab/>
      </w:r>
      <w:r>
        <w:rPr>
          <w:b/>
          <w:szCs w:val="24"/>
        </w:rPr>
        <w:tab/>
      </w:r>
      <w:r w:rsidR="0070431A">
        <w:rPr>
          <w:bCs/>
          <w:szCs w:val="24"/>
        </w:rPr>
        <w:t xml:space="preserve"> </w:t>
      </w:r>
    </w:p>
    <w:p w14:paraId="4A1CDF30" w14:textId="50AB00DD" w:rsidR="007E1E17" w:rsidRDefault="007E1E17" w:rsidP="00230169">
      <w:pPr>
        <w:rPr>
          <w:bCs/>
          <w:szCs w:val="24"/>
        </w:rPr>
      </w:pPr>
    </w:p>
    <w:p w14:paraId="4B4D029D" w14:textId="77777777" w:rsidR="007E1E17" w:rsidRPr="009A31E8" w:rsidRDefault="007E1E17" w:rsidP="00230169">
      <w:pPr>
        <w:rPr>
          <w:bCs/>
          <w:szCs w:val="24"/>
        </w:rPr>
      </w:pPr>
    </w:p>
    <w:p w14:paraId="56F8FD42" w14:textId="5FF76F76" w:rsidR="0089017C" w:rsidRPr="00AE3BF5" w:rsidRDefault="0089017C" w:rsidP="00230169">
      <w:pPr>
        <w:jc w:val="center"/>
        <w:rPr>
          <w:b/>
          <w:szCs w:val="24"/>
          <w:u w:val="single"/>
        </w:rPr>
      </w:pPr>
      <w:r w:rsidRPr="00AE3BF5">
        <w:rPr>
          <w:b/>
          <w:szCs w:val="24"/>
          <w:u w:val="single"/>
        </w:rPr>
        <w:lastRenderedPageBreak/>
        <w:t>Public Input Hearings</w:t>
      </w:r>
    </w:p>
    <w:p w14:paraId="2918A5D8" w14:textId="77777777" w:rsidR="000517CF" w:rsidRPr="00AE3BF5" w:rsidRDefault="000517CF" w:rsidP="00230169">
      <w:pPr>
        <w:jc w:val="center"/>
        <w:rPr>
          <w:szCs w:val="24"/>
        </w:rPr>
      </w:pPr>
    </w:p>
    <w:p w14:paraId="319F1348" w14:textId="2F5D5AB1" w:rsidR="00BD4B53" w:rsidRDefault="00F35AC1" w:rsidP="00230169">
      <w:pPr>
        <w:rPr>
          <w:szCs w:val="24"/>
        </w:rPr>
      </w:pPr>
      <w:r w:rsidRPr="00AE3BF5">
        <w:rPr>
          <w:szCs w:val="24"/>
        </w:rPr>
        <w:tab/>
      </w:r>
      <w:r w:rsidRPr="00AE3BF5">
        <w:rPr>
          <w:szCs w:val="24"/>
        </w:rPr>
        <w:tab/>
      </w:r>
      <w:r w:rsidR="00670405" w:rsidRPr="00AE3BF5">
        <w:rPr>
          <w:szCs w:val="24"/>
        </w:rPr>
        <w:t xml:space="preserve">At present, no party has identified a need to conduct a public input hearing in the Company’s service territory.  </w:t>
      </w:r>
      <w:r w:rsidR="009A31E8">
        <w:rPr>
          <w:szCs w:val="24"/>
        </w:rPr>
        <w:t>T</w:t>
      </w:r>
      <w:r w:rsidR="00670405" w:rsidRPr="00AE3BF5">
        <w:rPr>
          <w:szCs w:val="24"/>
        </w:rPr>
        <w:t>he parties are hereby directed to notify the Presiding ALJ</w:t>
      </w:r>
      <w:r w:rsidR="009A31E8">
        <w:rPr>
          <w:szCs w:val="24"/>
        </w:rPr>
        <w:t>s</w:t>
      </w:r>
      <w:r w:rsidR="00670405" w:rsidRPr="00AE3BF5">
        <w:rPr>
          <w:szCs w:val="24"/>
        </w:rPr>
        <w:t xml:space="preserve"> immediately </w:t>
      </w:r>
      <w:r w:rsidR="009A31E8">
        <w:rPr>
          <w:szCs w:val="24"/>
        </w:rPr>
        <w:t>if there is a</w:t>
      </w:r>
      <w:r w:rsidR="00670405" w:rsidRPr="00AE3BF5">
        <w:rPr>
          <w:szCs w:val="24"/>
        </w:rPr>
        <w:t xml:space="preserve"> change in circumstances.</w:t>
      </w:r>
      <w:r w:rsidR="00FF7D4C" w:rsidRPr="00AE3BF5">
        <w:rPr>
          <w:szCs w:val="24"/>
        </w:rPr>
        <w:t xml:space="preserve"> </w:t>
      </w:r>
    </w:p>
    <w:p w14:paraId="78A6A8E7" w14:textId="77777777" w:rsidR="009A31E8" w:rsidRPr="00AE3BF5" w:rsidRDefault="009A31E8" w:rsidP="00230169">
      <w:pPr>
        <w:rPr>
          <w:szCs w:val="24"/>
        </w:rPr>
      </w:pPr>
    </w:p>
    <w:p w14:paraId="055EB30D" w14:textId="77777777" w:rsidR="00B34559" w:rsidRPr="00AE3BF5" w:rsidRDefault="00B34559" w:rsidP="00230169">
      <w:pPr>
        <w:pStyle w:val="Heading2"/>
        <w:jc w:val="center"/>
        <w:rPr>
          <w:sz w:val="24"/>
          <w:szCs w:val="24"/>
        </w:rPr>
      </w:pPr>
      <w:r w:rsidRPr="00AE3BF5">
        <w:rPr>
          <w:sz w:val="24"/>
          <w:szCs w:val="24"/>
        </w:rPr>
        <w:t>Issues</w:t>
      </w:r>
    </w:p>
    <w:p w14:paraId="1D07A688" w14:textId="77777777" w:rsidR="00B34559" w:rsidRPr="00AE3BF5" w:rsidRDefault="00B34559" w:rsidP="00230169">
      <w:pPr>
        <w:rPr>
          <w:szCs w:val="24"/>
        </w:rPr>
      </w:pPr>
    </w:p>
    <w:p w14:paraId="498C7AB5" w14:textId="3F9CF8F1" w:rsidR="00A036D4" w:rsidRDefault="00B34559" w:rsidP="00230169">
      <w:pPr>
        <w:rPr>
          <w:szCs w:val="24"/>
        </w:rPr>
      </w:pPr>
      <w:r w:rsidRPr="00AE3BF5">
        <w:rPr>
          <w:szCs w:val="24"/>
        </w:rPr>
        <w:tab/>
      </w:r>
      <w:r w:rsidRPr="00AE3BF5">
        <w:rPr>
          <w:szCs w:val="24"/>
        </w:rPr>
        <w:tab/>
        <w:t>In their respective prehearing memoranda, the parties identified various issues they may wish to pursue.  The reader is directed to these documents to review a recitation of these issues.  Additional issues may arise as the discovery process unfolds.</w:t>
      </w:r>
    </w:p>
    <w:p w14:paraId="0406FCE3" w14:textId="77777777" w:rsidR="009C12E0" w:rsidRPr="00AE3BF5" w:rsidRDefault="009C12E0" w:rsidP="00230169">
      <w:pPr>
        <w:rPr>
          <w:szCs w:val="24"/>
        </w:rPr>
      </w:pPr>
    </w:p>
    <w:p w14:paraId="6624938C" w14:textId="77777777" w:rsidR="00B34559" w:rsidRPr="00AE3BF5" w:rsidRDefault="00B34559" w:rsidP="00230169">
      <w:pPr>
        <w:jc w:val="center"/>
        <w:rPr>
          <w:b/>
          <w:u w:val="single"/>
        </w:rPr>
      </w:pPr>
      <w:r w:rsidRPr="00AE3BF5">
        <w:rPr>
          <w:b/>
          <w:u w:val="single"/>
        </w:rPr>
        <w:t>Discovery</w:t>
      </w:r>
    </w:p>
    <w:p w14:paraId="243D5A7F" w14:textId="77777777" w:rsidR="00B34559" w:rsidRPr="00AE3BF5" w:rsidRDefault="00B34559" w:rsidP="00230169">
      <w:pPr>
        <w:rPr>
          <w:szCs w:val="24"/>
        </w:rPr>
      </w:pPr>
    </w:p>
    <w:p w14:paraId="60C57E8B" w14:textId="1E1BD8F7" w:rsidR="00B34559" w:rsidRDefault="00B34559" w:rsidP="00230169">
      <w:pPr>
        <w:rPr>
          <w:szCs w:val="24"/>
        </w:rPr>
      </w:pPr>
      <w:r w:rsidRPr="00AE3BF5">
        <w:rPr>
          <w:szCs w:val="24"/>
        </w:rPr>
        <w:tab/>
      </w:r>
      <w:r w:rsidRPr="00AE3BF5">
        <w:rPr>
          <w:szCs w:val="24"/>
        </w:rPr>
        <w:tab/>
        <w:t>The parties shall engage in informal discovery whenever and wherever possible in an attempt to resolve any disco</w:t>
      </w:r>
      <w:r w:rsidR="00B4562F" w:rsidRPr="00AE3BF5">
        <w:rPr>
          <w:szCs w:val="24"/>
        </w:rPr>
        <w:t>very disputes amicably.  52 Pa.</w:t>
      </w:r>
      <w:r w:rsidRPr="00AE3BF5">
        <w:rPr>
          <w:szCs w:val="24"/>
        </w:rPr>
        <w:t>Code §</w:t>
      </w:r>
      <w:r w:rsidR="00B4562F" w:rsidRPr="00AE3BF5">
        <w:rPr>
          <w:szCs w:val="24"/>
        </w:rPr>
        <w:t xml:space="preserve"> </w:t>
      </w:r>
      <w:r w:rsidRPr="00AE3BF5">
        <w:rPr>
          <w:szCs w:val="24"/>
        </w:rPr>
        <w:t>5.322.  If this process fails, the parties have recourse to the Commission’s procedures for formal discove</w:t>
      </w:r>
      <w:r w:rsidR="00B4562F" w:rsidRPr="00AE3BF5">
        <w:rPr>
          <w:szCs w:val="24"/>
        </w:rPr>
        <w:t>ry, as herein modified.  52 Pa.</w:t>
      </w:r>
      <w:r w:rsidRPr="00AE3BF5">
        <w:rPr>
          <w:szCs w:val="24"/>
        </w:rPr>
        <w:t>Code §§</w:t>
      </w:r>
      <w:r w:rsidR="00B4562F" w:rsidRPr="00AE3BF5">
        <w:rPr>
          <w:szCs w:val="24"/>
        </w:rPr>
        <w:t xml:space="preserve"> </w:t>
      </w:r>
      <w:r w:rsidRPr="00AE3BF5">
        <w:rPr>
          <w:szCs w:val="24"/>
        </w:rPr>
        <w:t xml:space="preserve">5.321, </w:t>
      </w:r>
      <w:r w:rsidRPr="00AE3BF5">
        <w:rPr>
          <w:i/>
          <w:szCs w:val="24"/>
        </w:rPr>
        <w:t>et</w:t>
      </w:r>
      <w:r w:rsidRPr="00AE3BF5">
        <w:rPr>
          <w:szCs w:val="24"/>
        </w:rPr>
        <w:t xml:space="preserve"> </w:t>
      </w:r>
      <w:r w:rsidRPr="00AE3BF5">
        <w:rPr>
          <w:i/>
          <w:szCs w:val="24"/>
        </w:rPr>
        <w:t>seq</w:t>
      </w:r>
      <w:r w:rsidRPr="00AE3BF5">
        <w:rPr>
          <w:szCs w:val="24"/>
        </w:rPr>
        <w:t>.  The parties must not send the Presiding ALJ</w:t>
      </w:r>
      <w:r w:rsidR="009A31E8">
        <w:rPr>
          <w:szCs w:val="24"/>
        </w:rPr>
        <w:t>s</w:t>
      </w:r>
      <w:r w:rsidRPr="00AE3BF5">
        <w:rPr>
          <w:szCs w:val="24"/>
        </w:rPr>
        <w:t xml:space="preserve"> discovery material or cover letters, unless attached to a motion to compel.  </w:t>
      </w:r>
      <w:r w:rsidRPr="00AE3BF5">
        <w:rPr>
          <w:b/>
          <w:szCs w:val="24"/>
        </w:rPr>
        <w:t>All motions to compel must contain a certification of counsel of the informal discovery undertaken and their efforts to resolve their discovery disputes informally.</w:t>
      </w:r>
      <w:r w:rsidRPr="00AE3BF5">
        <w:rPr>
          <w:szCs w:val="24"/>
        </w:rPr>
        <w:t xml:space="preserve">  If a motion to compel fails to contain such certification, the Presiding ALJ</w:t>
      </w:r>
      <w:r w:rsidR="009A31E8">
        <w:rPr>
          <w:szCs w:val="24"/>
        </w:rPr>
        <w:t>s</w:t>
      </w:r>
      <w:r w:rsidRPr="00AE3BF5">
        <w:rPr>
          <w:szCs w:val="24"/>
        </w:rPr>
        <w:t xml:space="preserve"> will contact the parties and direct them to pursue informal discovery.</w:t>
      </w:r>
    </w:p>
    <w:p w14:paraId="0DEDB2E7" w14:textId="72F50B47" w:rsidR="00952163" w:rsidRDefault="00952163" w:rsidP="00230169">
      <w:pPr>
        <w:rPr>
          <w:szCs w:val="24"/>
        </w:rPr>
      </w:pPr>
    </w:p>
    <w:p w14:paraId="4611016F" w14:textId="0BD36751" w:rsidR="00B34559" w:rsidRPr="0033180B" w:rsidRDefault="00B34559" w:rsidP="00230169">
      <w:pPr>
        <w:rPr>
          <w:szCs w:val="24"/>
        </w:rPr>
      </w:pPr>
      <w:r w:rsidRPr="00C055EF">
        <w:rPr>
          <w:szCs w:val="24"/>
        </w:rPr>
        <w:tab/>
      </w:r>
      <w:r w:rsidRPr="00C055EF">
        <w:rPr>
          <w:szCs w:val="24"/>
        </w:rPr>
        <w:tab/>
      </w:r>
      <w:r w:rsidR="000D2D32">
        <w:rPr>
          <w:szCs w:val="24"/>
        </w:rPr>
        <w:t>At the prehearing conference</w:t>
      </w:r>
      <w:r w:rsidR="00AD30FA">
        <w:rPr>
          <w:szCs w:val="24"/>
        </w:rPr>
        <w:t>,</w:t>
      </w:r>
      <w:r w:rsidR="000D2D32">
        <w:rPr>
          <w:szCs w:val="24"/>
        </w:rPr>
        <w:t xml:space="preserve"> </w:t>
      </w:r>
      <w:r w:rsidR="00AD30FA">
        <w:rPr>
          <w:szCs w:val="24"/>
        </w:rPr>
        <w:t xml:space="preserve">the parties agreed to the following modifications of </w:t>
      </w:r>
      <w:r w:rsidRPr="00AD30FA">
        <w:rPr>
          <w:szCs w:val="24"/>
        </w:rPr>
        <w:t>the</w:t>
      </w:r>
      <w:r w:rsidRPr="0033180B">
        <w:rPr>
          <w:szCs w:val="24"/>
        </w:rPr>
        <w:t xml:space="preserve"> Commission’s procedures for formal discovery</w:t>
      </w:r>
      <w:r w:rsidR="00AD30FA" w:rsidRPr="0033180B">
        <w:rPr>
          <w:szCs w:val="24"/>
        </w:rPr>
        <w:t>:</w:t>
      </w:r>
    </w:p>
    <w:p w14:paraId="6038BA90" w14:textId="7D186832" w:rsidR="00163A8C" w:rsidRDefault="00163A8C" w:rsidP="0033180B">
      <w:pPr>
        <w:ind w:left="1440" w:right="1440"/>
        <w:rPr>
          <w:rFonts w:eastAsia="Calibri"/>
          <w:szCs w:val="24"/>
        </w:rPr>
      </w:pPr>
    </w:p>
    <w:p w14:paraId="4E56006A" w14:textId="341C793C" w:rsidR="009A31E8" w:rsidRDefault="009A31E8" w:rsidP="009A31E8">
      <w:pPr>
        <w:spacing w:line="240" w:lineRule="auto"/>
        <w:ind w:left="1440" w:firstLine="720"/>
        <w:jc w:val="both"/>
        <w:rPr>
          <w:szCs w:val="24"/>
        </w:rPr>
      </w:pPr>
      <w:r>
        <w:rPr>
          <w:szCs w:val="24"/>
        </w:rPr>
        <w:t>(1)       Answers to written interrogatories will be served in-hand within ten (10) calendar days of service of the interrogatories except that service of interrogatories served after 12:00 noon on a Friday shall be deemed service on the following business day;</w:t>
      </w:r>
    </w:p>
    <w:p w14:paraId="4363CEBC" w14:textId="77777777" w:rsidR="009A31E8" w:rsidRDefault="009A31E8" w:rsidP="009A31E8">
      <w:pPr>
        <w:spacing w:line="240" w:lineRule="auto"/>
        <w:ind w:left="1440" w:firstLine="720"/>
        <w:jc w:val="both"/>
        <w:rPr>
          <w:szCs w:val="24"/>
        </w:rPr>
      </w:pPr>
    </w:p>
    <w:p w14:paraId="545AC9E8" w14:textId="70016D49" w:rsidR="009A31E8" w:rsidRDefault="009A31E8" w:rsidP="009A31E8">
      <w:pPr>
        <w:spacing w:line="240" w:lineRule="auto"/>
        <w:ind w:left="1440"/>
        <w:jc w:val="both"/>
        <w:rPr>
          <w:szCs w:val="24"/>
        </w:rPr>
      </w:pPr>
      <w:r>
        <w:rPr>
          <w:szCs w:val="24"/>
        </w:rPr>
        <w:lastRenderedPageBreak/>
        <w:t>            (2)       Objections to interrogatories will be communicated orally within three (3) business days of service; unresolved objections shall be served to the ALJs in writing within five (5) business days of service of the interrogatories;</w:t>
      </w:r>
    </w:p>
    <w:p w14:paraId="01CA787E" w14:textId="77777777" w:rsidR="009A31E8" w:rsidRDefault="009A31E8" w:rsidP="009A31E8">
      <w:pPr>
        <w:spacing w:line="240" w:lineRule="auto"/>
        <w:ind w:left="1440"/>
        <w:jc w:val="both"/>
        <w:rPr>
          <w:szCs w:val="24"/>
        </w:rPr>
      </w:pPr>
    </w:p>
    <w:p w14:paraId="3A00BC99" w14:textId="4F7D2DB3" w:rsidR="009A31E8" w:rsidRDefault="009A31E8" w:rsidP="009A31E8">
      <w:pPr>
        <w:spacing w:line="240" w:lineRule="auto"/>
        <w:ind w:left="1440"/>
        <w:jc w:val="both"/>
        <w:rPr>
          <w:szCs w:val="24"/>
        </w:rPr>
      </w:pPr>
      <w:r>
        <w:rPr>
          <w:szCs w:val="24"/>
        </w:rPr>
        <w:t>            (3)       Motions to dismiss objections and/or direct the answering of interrogatories will be filed within three (3) business days of service of written interrogatories;</w:t>
      </w:r>
    </w:p>
    <w:p w14:paraId="11F5775E" w14:textId="77777777" w:rsidR="009A31E8" w:rsidRDefault="009A31E8" w:rsidP="009A31E8">
      <w:pPr>
        <w:spacing w:line="240" w:lineRule="auto"/>
        <w:ind w:left="1440"/>
        <w:jc w:val="both"/>
        <w:rPr>
          <w:szCs w:val="24"/>
        </w:rPr>
      </w:pPr>
    </w:p>
    <w:p w14:paraId="495001F6" w14:textId="10F10899" w:rsidR="009A31E8" w:rsidRDefault="009A31E8" w:rsidP="009A31E8">
      <w:pPr>
        <w:spacing w:line="240" w:lineRule="auto"/>
        <w:ind w:left="1440"/>
        <w:jc w:val="both"/>
        <w:rPr>
          <w:szCs w:val="24"/>
        </w:rPr>
      </w:pPr>
      <w:r>
        <w:rPr>
          <w:szCs w:val="24"/>
        </w:rPr>
        <w:t>            (4)       Responses to motions to dismiss objections and/or direct the answering of interrogatories will be filed within three (3) business days of service of such motions;</w:t>
      </w:r>
    </w:p>
    <w:p w14:paraId="09E398F2" w14:textId="77777777" w:rsidR="009A31E8" w:rsidRDefault="009A31E8" w:rsidP="009A31E8">
      <w:pPr>
        <w:spacing w:line="240" w:lineRule="auto"/>
        <w:ind w:left="1440"/>
        <w:jc w:val="both"/>
        <w:rPr>
          <w:szCs w:val="24"/>
        </w:rPr>
      </w:pPr>
    </w:p>
    <w:p w14:paraId="1D68260B" w14:textId="7B6F3AB3" w:rsidR="009A31E8" w:rsidRDefault="009A31E8" w:rsidP="009A31E8">
      <w:pPr>
        <w:spacing w:line="240" w:lineRule="auto"/>
        <w:ind w:left="1440"/>
        <w:jc w:val="both"/>
        <w:rPr>
          <w:szCs w:val="24"/>
        </w:rPr>
      </w:pPr>
      <w:r>
        <w:rPr>
          <w:szCs w:val="24"/>
        </w:rPr>
        <w:t>            (5)       Responses to requests for document production, entry for inspection, or other purposes will be served in-hand within ten (10) calendar days or objected to within five (5) business days of service;</w:t>
      </w:r>
    </w:p>
    <w:p w14:paraId="752BED78" w14:textId="77777777" w:rsidR="009A31E8" w:rsidRDefault="009A31E8" w:rsidP="009A31E8">
      <w:pPr>
        <w:spacing w:line="240" w:lineRule="auto"/>
        <w:ind w:left="1440"/>
        <w:jc w:val="both"/>
        <w:rPr>
          <w:szCs w:val="24"/>
        </w:rPr>
      </w:pPr>
    </w:p>
    <w:p w14:paraId="3F882826" w14:textId="3FEE4893" w:rsidR="009A31E8" w:rsidRDefault="009A31E8" w:rsidP="009A31E8">
      <w:pPr>
        <w:spacing w:line="240" w:lineRule="auto"/>
        <w:ind w:left="1440"/>
        <w:jc w:val="both"/>
        <w:rPr>
          <w:szCs w:val="24"/>
        </w:rPr>
      </w:pPr>
      <w:r>
        <w:rPr>
          <w:szCs w:val="24"/>
        </w:rPr>
        <w:t>            (6)       Requests for admission will be deemed admitted unless answered within ten (10) calendar days or objected to within five (5) business days of service;</w:t>
      </w:r>
    </w:p>
    <w:p w14:paraId="14F7E626" w14:textId="77777777" w:rsidR="009A31E8" w:rsidRDefault="009A31E8" w:rsidP="009A31E8">
      <w:pPr>
        <w:spacing w:line="240" w:lineRule="auto"/>
        <w:ind w:left="1440"/>
        <w:jc w:val="both"/>
        <w:rPr>
          <w:szCs w:val="24"/>
        </w:rPr>
      </w:pPr>
    </w:p>
    <w:p w14:paraId="6578FD77" w14:textId="31420BF5" w:rsidR="009A31E8" w:rsidRDefault="009A31E8" w:rsidP="009A31E8">
      <w:pPr>
        <w:spacing w:line="240" w:lineRule="auto"/>
        <w:ind w:left="1440"/>
        <w:jc w:val="both"/>
        <w:rPr>
          <w:szCs w:val="24"/>
        </w:rPr>
      </w:pPr>
      <w:r>
        <w:rPr>
          <w:szCs w:val="24"/>
        </w:rPr>
        <w:t>            (7)       Rulings over motions shall be issued, if possible, within seven (7) calendar days of the filing of the motion;</w:t>
      </w:r>
    </w:p>
    <w:p w14:paraId="4DD1771E" w14:textId="77777777" w:rsidR="009A31E8" w:rsidRDefault="009A31E8" w:rsidP="009A31E8">
      <w:pPr>
        <w:spacing w:line="240" w:lineRule="auto"/>
        <w:ind w:left="1440"/>
        <w:jc w:val="both"/>
        <w:rPr>
          <w:szCs w:val="24"/>
        </w:rPr>
      </w:pPr>
    </w:p>
    <w:p w14:paraId="6DA098E4" w14:textId="3363092B" w:rsidR="009A31E8" w:rsidRDefault="009A31E8" w:rsidP="009A31E8">
      <w:pPr>
        <w:spacing w:line="240" w:lineRule="auto"/>
        <w:ind w:left="1440"/>
        <w:jc w:val="both"/>
        <w:rPr>
          <w:szCs w:val="24"/>
        </w:rPr>
      </w:pPr>
      <w:r>
        <w:rPr>
          <w:szCs w:val="24"/>
        </w:rPr>
        <w:t>            (8)       Any discovery or discovery related pleadings such as objections, motions, answers to motions served after 12:00 noon on a Friday or on any business day preceding a state holiday shall be deemed to have been served on the following business day for purposes of tracking responsive due dates; and</w:t>
      </w:r>
    </w:p>
    <w:p w14:paraId="09F4758D" w14:textId="77777777" w:rsidR="009A31E8" w:rsidRDefault="009A31E8" w:rsidP="009A31E8">
      <w:pPr>
        <w:spacing w:line="240" w:lineRule="auto"/>
        <w:ind w:left="1440"/>
        <w:jc w:val="both"/>
        <w:rPr>
          <w:szCs w:val="24"/>
        </w:rPr>
      </w:pPr>
    </w:p>
    <w:p w14:paraId="45165ACA" w14:textId="662C7483" w:rsidR="009A31E8" w:rsidRDefault="009A31E8" w:rsidP="009A31E8">
      <w:pPr>
        <w:spacing w:line="240" w:lineRule="auto"/>
        <w:ind w:left="1440"/>
        <w:jc w:val="both"/>
        <w:rPr>
          <w:szCs w:val="24"/>
        </w:rPr>
      </w:pPr>
      <w:r>
        <w:rPr>
          <w:szCs w:val="24"/>
        </w:rPr>
        <w:t>            (9)     Due dates be “in-hand” and that electronic or fax service on the due date will satisfy the “in-hand” requirement.</w:t>
      </w:r>
    </w:p>
    <w:p w14:paraId="2C6240E6" w14:textId="77777777" w:rsidR="009A31E8" w:rsidRPr="001F0A13" w:rsidRDefault="009A31E8" w:rsidP="0033180B">
      <w:pPr>
        <w:ind w:left="1440" w:right="1440"/>
        <w:rPr>
          <w:szCs w:val="24"/>
        </w:rPr>
      </w:pPr>
    </w:p>
    <w:p w14:paraId="28944B54" w14:textId="740C8E30" w:rsidR="00302CBA" w:rsidRPr="00AE3BF5" w:rsidRDefault="00302CBA" w:rsidP="00230169">
      <w:pPr>
        <w:pStyle w:val="Footer"/>
        <w:tabs>
          <w:tab w:val="clear" w:pos="4320"/>
          <w:tab w:val="clear" w:pos="8640"/>
        </w:tabs>
        <w:jc w:val="center"/>
        <w:rPr>
          <w:b/>
          <w:szCs w:val="24"/>
          <w:u w:val="single"/>
        </w:rPr>
      </w:pPr>
      <w:r w:rsidRPr="00AE3BF5">
        <w:rPr>
          <w:b/>
          <w:szCs w:val="24"/>
          <w:u w:val="single"/>
        </w:rPr>
        <w:t>Protective Order</w:t>
      </w:r>
    </w:p>
    <w:p w14:paraId="04B51F88" w14:textId="41B8B1A3" w:rsidR="00302CBA" w:rsidRPr="00AE3BF5" w:rsidRDefault="00302CBA" w:rsidP="00230169">
      <w:pPr>
        <w:pStyle w:val="Footer"/>
        <w:tabs>
          <w:tab w:val="clear" w:pos="4320"/>
          <w:tab w:val="clear" w:pos="8640"/>
        </w:tabs>
        <w:jc w:val="center"/>
        <w:rPr>
          <w:b/>
          <w:szCs w:val="24"/>
          <w:u w:val="single"/>
        </w:rPr>
      </w:pPr>
    </w:p>
    <w:p w14:paraId="248948C0" w14:textId="2B6D1058" w:rsidR="00302CBA" w:rsidRPr="00AE3BF5" w:rsidRDefault="00302CBA" w:rsidP="00230169">
      <w:pPr>
        <w:pStyle w:val="Footer"/>
        <w:tabs>
          <w:tab w:val="clear" w:pos="4320"/>
          <w:tab w:val="clear" w:pos="8640"/>
        </w:tabs>
        <w:rPr>
          <w:szCs w:val="24"/>
        </w:rPr>
      </w:pPr>
      <w:r w:rsidRPr="00AE3BF5">
        <w:rPr>
          <w:szCs w:val="24"/>
        </w:rPr>
        <w:tab/>
      </w:r>
      <w:r w:rsidRPr="00AE3BF5">
        <w:rPr>
          <w:szCs w:val="24"/>
        </w:rPr>
        <w:tab/>
        <w:t>The parties must comply with</w:t>
      </w:r>
      <w:r w:rsidR="007C2DB2" w:rsidRPr="00AE3BF5">
        <w:rPr>
          <w:szCs w:val="24"/>
        </w:rPr>
        <w:t xml:space="preserve"> 52 Pa.Code § 5.362</w:t>
      </w:r>
      <w:r w:rsidRPr="00AE3BF5">
        <w:rPr>
          <w:szCs w:val="24"/>
        </w:rPr>
        <w:t xml:space="preserve"> regarding the preparation and filing of a</w:t>
      </w:r>
      <w:r w:rsidR="007C2DB2" w:rsidRPr="00AE3BF5">
        <w:rPr>
          <w:szCs w:val="24"/>
        </w:rPr>
        <w:t xml:space="preserve"> motion for a</w:t>
      </w:r>
      <w:r w:rsidRPr="00AE3BF5">
        <w:rPr>
          <w:szCs w:val="24"/>
        </w:rPr>
        <w:t xml:space="preserve"> protective order.  If a party files a </w:t>
      </w:r>
      <w:r w:rsidR="007C2DB2" w:rsidRPr="00AE3BF5">
        <w:rPr>
          <w:szCs w:val="24"/>
        </w:rPr>
        <w:t xml:space="preserve">motion for a </w:t>
      </w:r>
      <w:r w:rsidRPr="00AE3BF5">
        <w:rPr>
          <w:szCs w:val="24"/>
        </w:rPr>
        <w:t xml:space="preserve">protective order, it must submit </w:t>
      </w:r>
      <w:r w:rsidR="0033180B">
        <w:rPr>
          <w:szCs w:val="24"/>
        </w:rPr>
        <w:t>a copy</w:t>
      </w:r>
      <w:r w:rsidR="009C12E0">
        <w:rPr>
          <w:szCs w:val="24"/>
        </w:rPr>
        <w:t xml:space="preserve"> of the proposed protective order</w:t>
      </w:r>
      <w:r w:rsidR="007C2DB2" w:rsidRPr="00AE3BF5">
        <w:rPr>
          <w:szCs w:val="24"/>
        </w:rPr>
        <w:t xml:space="preserve"> to the Presiding A</w:t>
      </w:r>
      <w:r w:rsidR="0033180B">
        <w:rPr>
          <w:szCs w:val="24"/>
        </w:rPr>
        <w:t>LJ</w:t>
      </w:r>
      <w:r w:rsidR="009A31E8">
        <w:rPr>
          <w:szCs w:val="24"/>
        </w:rPr>
        <w:t>s</w:t>
      </w:r>
      <w:r w:rsidR="009C12E0">
        <w:rPr>
          <w:szCs w:val="24"/>
        </w:rPr>
        <w:t xml:space="preserve"> by email</w:t>
      </w:r>
      <w:r w:rsidR="0033180B">
        <w:rPr>
          <w:szCs w:val="24"/>
        </w:rPr>
        <w:t xml:space="preserve"> </w:t>
      </w:r>
      <w:r w:rsidR="007C2DB2" w:rsidRPr="00AE3BF5">
        <w:rPr>
          <w:b/>
          <w:szCs w:val="24"/>
        </w:rPr>
        <w:t xml:space="preserve">in </w:t>
      </w:r>
      <w:r w:rsidR="0033180B">
        <w:rPr>
          <w:b/>
          <w:szCs w:val="24"/>
        </w:rPr>
        <w:t xml:space="preserve">a </w:t>
      </w:r>
      <w:r w:rsidR="007C2DB2" w:rsidRPr="00AE3BF5">
        <w:rPr>
          <w:b/>
          <w:i/>
          <w:szCs w:val="24"/>
        </w:rPr>
        <w:t xml:space="preserve">Microsoft Office Word </w:t>
      </w:r>
      <w:r w:rsidR="00984DDB" w:rsidRPr="00AE3BF5">
        <w:rPr>
          <w:b/>
          <w:szCs w:val="24"/>
        </w:rPr>
        <w:t>f</w:t>
      </w:r>
      <w:r w:rsidR="007C2DB2" w:rsidRPr="00AE3BF5">
        <w:rPr>
          <w:b/>
          <w:szCs w:val="24"/>
        </w:rPr>
        <w:t>ormat.</w:t>
      </w:r>
      <w:r w:rsidR="007C2DB2" w:rsidRPr="00AE3BF5">
        <w:rPr>
          <w:szCs w:val="24"/>
        </w:rPr>
        <w:t xml:space="preserve">  </w:t>
      </w:r>
    </w:p>
    <w:p w14:paraId="2E29B3ED" w14:textId="29719A9E" w:rsidR="00CE5E66" w:rsidRDefault="00CE5E66" w:rsidP="00230169">
      <w:pPr>
        <w:pStyle w:val="Footer"/>
        <w:tabs>
          <w:tab w:val="clear" w:pos="4320"/>
          <w:tab w:val="clear" w:pos="8640"/>
        </w:tabs>
        <w:jc w:val="center"/>
        <w:rPr>
          <w:b/>
          <w:szCs w:val="24"/>
          <w:u w:val="single"/>
        </w:rPr>
      </w:pPr>
    </w:p>
    <w:p w14:paraId="06457100" w14:textId="310CB90F" w:rsidR="00246E6A" w:rsidRDefault="00246E6A" w:rsidP="00230169">
      <w:pPr>
        <w:pStyle w:val="Footer"/>
        <w:tabs>
          <w:tab w:val="clear" w:pos="4320"/>
          <w:tab w:val="clear" w:pos="8640"/>
        </w:tabs>
        <w:jc w:val="center"/>
        <w:rPr>
          <w:b/>
          <w:szCs w:val="24"/>
          <w:u w:val="single"/>
        </w:rPr>
      </w:pPr>
    </w:p>
    <w:p w14:paraId="502446CB" w14:textId="1ABCCB7D" w:rsidR="00246E6A" w:rsidRDefault="00246E6A" w:rsidP="00230169">
      <w:pPr>
        <w:pStyle w:val="Footer"/>
        <w:tabs>
          <w:tab w:val="clear" w:pos="4320"/>
          <w:tab w:val="clear" w:pos="8640"/>
        </w:tabs>
        <w:jc w:val="center"/>
        <w:rPr>
          <w:b/>
          <w:szCs w:val="24"/>
          <w:u w:val="single"/>
        </w:rPr>
      </w:pPr>
    </w:p>
    <w:p w14:paraId="57D749E8" w14:textId="793B3EC4" w:rsidR="00246E6A" w:rsidRDefault="00246E6A" w:rsidP="00230169">
      <w:pPr>
        <w:pStyle w:val="Footer"/>
        <w:tabs>
          <w:tab w:val="clear" w:pos="4320"/>
          <w:tab w:val="clear" w:pos="8640"/>
        </w:tabs>
        <w:jc w:val="center"/>
        <w:rPr>
          <w:b/>
          <w:szCs w:val="24"/>
          <w:u w:val="single"/>
        </w:rPr>
      </w:pPr>
    </w:p>
    <w:p w14:paraId="70E3DE36" w14:textId="77777777" w:rsidR="00246E6A" w:rsidRDefault="00246E6A" w:rsidP="00230169">
      <w:pPr>
        <w:pStyle w:val="Footer"/>
        <w:tabs>
          <w:tab w:val="clear" w:pos="4320"/>
          <w:tab w:val="clear" w:pos="8640"/>
        </w:tabs>
        <w:jc w:val="center"/>
        <w:rPr>
          <w:b/>
          <w:szCs w:val="24"/>
          <w:u w:val="single"/>
        </w:rPr>
      </w:pPr>
    </w:p>
    <w:p w14:paraId="467189A6" w14:textId="5FDB7BCE" w:rsidR="00B34559" w:rsidRDefault="00B34559" w:rsidP="00230169">
      <w:pPr>
        <w:pStyle w:val="Footer"/>
        <w:tabs>
          <w:tab w:val="clear" w:pos="4320"/>
          <w:tab w:val="clear" w:pos="8640"/>
        </w:tabs>
        <w:jc w:val="center"/>
        <w:rPr>
          <w:b/>
          <w:szCs w:val="24"/>
          <w:u w:val="single"/>
        </w:rPr>
      </w:pPr>
      <w:r w:rsidRPr="00AE3BF5">
        <w:rPr>
          <w:b/>
          <w:szCs w:val="24"/>
          <w:u w:val="single"/>
        </w:rPr>
        <w:lastRenderedPageBreak/>
        <w:t xml:space="preserve">Settlement </w:t>
      </w:r>
    </w:p>
    <w:p w14:paraId="022982E1" w14:textId="77777777" w:rsidR="006811A0" w:rsidRPr="00AE3BF5" w:rsidRDefault="006811A0" w:rsidP="00230169">
      <w:pPr>
        <w:pStyle w:val="Footer"/>
        <w:tabs>
          <w:tab w:val="clear" w:pos="4320"/>
          <w:tab w:val="clear" w:pos="8640"/>
        </w:tabs>
        <w:jc w:val="center"/>
        <w:rPr>
          <w:szCs w:val="24"/>
        </w:rPr>
      </w:pPr>
    </w:p>
    <w:p w14:paraId="0CBA7F72" w14:textId="2A0B924F" w:rsidR="0054223C" w:rsidRPr="00AE3BF5" w:rsidRDefault="00B34559" w:rsidP="00230169">
      <w:pPr>
        <w:pStyle w:val="Footer"/>
        <w:tabs>
          <w:tab w:val="clear" w:pos="4320"/>
          <w:tab w:val="clear" w:pos="8640"/>
        </w:tabs>
        <w:rPr>
          <w:szCs w:val="24"/>
        </w:rPr>
      </w:pPr>
      <w:r w:rsidRPr="00AE3BF5">
        <w:rPr>
          <w:szCs w:val="24"/>
        </w:rPr>
        <w:tab/>
      </w:r>
      <w:r w:rsidRPr="00AE3BF5">
        <w:rPr>
          <w:szCs w:val="24"/>
        </w:rPr>
        <w:tab/>
        <w:t>The parties are reminded it is the Commission’s policy to</w:t>
      </w:r>
      <w:r w:rsidR="00B4562F" w:rsidRPr="00AE3BF5">
        <w:rPr>
          <w:szCs w:val="24"/>
        </w:rPr>
        <w:t xml:space="preserve"> encourage settlements.  52 Pa.</w:t>
      </w:r>
      <w:r w:rsidRPr="00AE3BF5">
        <w:rPr>
          <w:szCs w:val="24"/>
        </w:rPr>
        <w:t>Code §</w:t>
      </w:r>
      <w:r w:rsidR="00B4562F" w:rsidRPr="00AE3BF5">
        <w:rPr>
          <w:szCs w:val="24"/>
        </w:rPr>
        <w:t xml:space="preserve"> </w:t>
      </w:r>
      <w:r w:rsidRPr="00AE3BF5">
        <w:rPr>
          <w:szCs w:val="24"/>
        </w:rPr>
        <w:t xml:space="preserve">5.231(a).  The parties are </w:t>
      </w:r>
      <w:r w:rsidR="009A31E8">
        <w:rPr>
          <w:szCs w:val="24"/>
        </w:rPr>
        <w:t>directed to convene at least one settlement conference prior to the scheduled evidentiary hearings.</w:t>
      </w:r>
    </w:p>
    <w:p w14:paraId="39C65A31" w14:textId="49EEEA41" w:rsidR="008C6F8C" w:rsidRPr="00AE3BF5" w:rsidRDefault="008C6F8C" w:rsidP="00230169">
      <w:pPr>
        <w:pStyle w:val="Footer"/>
        <w:tabs>
          <w:tab w:val="clear" w:pos="4320"/>
          <w:tab w:val="clear" w:pos="8640"/>
        </w:tabs>
        <w:ind w:firstLine="1080"/>
        <w:rPr>
          <w:szCs w:val="24"/>
        </w:rPr>
      </w:pPr>
    </w:p>
    <w:p w14:paraId="3115CDC4" w14:textId="70D0A4F1" w:rsidR="006811A0" w:rsidRPr="00235FAB" w:rsidRDefault="00B34559" w:rsidP="00230169">
      <w:pPr>
        <w:pStyle w:val="Footer"/>
        <w:tabs>
          <w:tab w:val="clear" w:pos="4320"/>
          <w:tab w:val="clear" w:pos="8640"/>
        </w:tabs>
        <w:rPr>
          <w:bCs/>
          <w:szCs w:val="24"/>
        </w:rPr>
      </w:pPr>
      <w:r w:rsidRPr="00AE3BF5">
        <w:rPr>
          <w:szCs w:val="24"/>
        </w:rPr>
        <w:tab/>
      </w:r>
      <w:r w:rsidRPr="00AE3BF5">
        <w:rPr>
          <w:szCs w:val="24"/>
        </w:rPr>
        <w:tab/>
      </w:r>
      <w:r w:rsidR="006811A0" w:rsidRPr="00235FAB">
        <w:rPr>
          <w:bCs/>
          <w:szCs w:val="24"/>
        </w:rPr>
        <w:t xml:space="preserve">In the event that a </w:t>
      </w:r>
      <w:r w:rsidR="006811A0" w:rsidRPr="00235FAB">
        <w:rPr>
          <w:bCs/>
          <w:szCs w:val="24"/>
          <w:u w:val="single"/>
        </w:rPr>
        <w:t>partial settlement</w:t>
      </w:r>
      <w:r w:rsidR="006811A0" w:rsidRPr="00235FAB">
        <w:rPr>
          <w:bCs/>
          <w:szCs w:val="24"/>
        </w:rPr>
        <w:t xml:space="preserve"> is achieved, the parties should be prepared to proceed on the first scheduled day of hearing to present evidence on the non-resolved issues.</w:t>
      </w:r>
    </w:p>
    <w:p w14:paraId="2C83957F" w14:textId="77777777" w:rsidR="006811A0" w:rsidRDefault="006811A0" w:rsidP="00230169">
      <w:pPr>
        <w:ind w:firstLine="1440"/>
        <w:rPr>
          <w:b/>
          <w:szCs w:val="24"/>
        </w:rPr>
      </w:pPr>
    </w:p>
    <w:p w14:paraId="4F0AF2F1" w14:textId="119A299F" w:rsidR="006811A0" w:rsidRDefault="006811A0" w:rsidP="00230169">
      <w:pPr>
        <w:ind w:firstLine="1440"/>
        <w:rPr>
          <w:bCs/>
          <w:szCs w:val="24"/>
        </w:rPr>
      </w:pPr>
      <w:r w:rsidRPr="00235FAB">
        <w:rPr>
          <w:bCs/>
          <w:szCs w:val="24"/>
        </w:rPr>
        <w:t xml:space="preserve">In the event that a </w:t>
      </w:r>
      <w:r w:rsidRPr="00235FAB">
        <w:rPr>
          <w:bCs/>
          <w:szCs w:val="24"/>
          <w:u w:val="single"/>
        </w:rPr>
        <w:t>full settlement</w:t>
      </w:r>
      <w:r w:rsidRPr="00235FAB">
        <w:rPr>
          <w:bCs/>
          <w:szCs w:val="24"/>
        </w:rPr>
        <w:t xml:space="preserve"> is achieved, the parties should notify the </w:t>
      </w:r>
      <w:r>
        <w:rPr>
          <w:bCs/>
          <w:szCs w:val="24"/>
        </w:rPr>
        <w:t>presiding ALJ</w:t>
      </w:r>
      <w:r w:rsidR="009A31E8">
        <w:rPr>
          <w:bCs/>
          <w:szCs w:val="24"/>
        </w:rPr>
        <w:t>s</w:t>
      </w:r>
      <w:r>
        <w:rPr>
          <w:bCs/>
          <w:szCs w:val="24"/>
        </w:rPr>
        <w:t xml:space="preserve"> as soon as possible prior to the scheduled hearings, but no later than </w:t>
      </w:r>
      <w:r w:rsidR="009A31E8">
        <w:rPr>
          <w:b/>
          <w:szCs w:val="24"/>
          <w:u w:val="single"/>
        </w:rPr>
        <w:t>12:00</w:t>
      </w:r>
      <w:r>
        <w:rPr>
          <w:b/>
          <w:szCs w:val="24"/>
          <w:u w:val="single"/>
        </w:rPr>
        <w:t xml:space="preserve"> p.m.</w:t>
      </w:r>
      <w:r w:rsidRPr="00235FAB">
        <w:rPr>
          <w:b/>
          <w:szCs w:val="24"/>
          <w:u w:val="single"/>
        </w:rPr>
        <w:t xml:space="preserve"> </w:t>
      </w:r>
      <w:r w:rsidR="009A31E8">
        <w:rPr>
          <w:b/>
          <w:szCs w:val="24"/>
          <w:u w:val="single"/>
        </w:rPr>
        <w:t xml:space="preserve">noon </w:t>
      </w:r>
      <w:r>
        <w:rPr>
          <w:b/>
          <w:szCs w:val="24"/>
          <w:u w:val="single"/>
        </w:rPr>
        <w:t>on</w:t>
      </w:r>
      <w:r w:rsidR="00F75C5C" w:rsidRPr="00F75C5C">
        <w:rPr>
          <w:b/>
          <w:bCs/>
          <w:szCs w:val="24"/>
          <w:u w:val="single"/>
        </w:rPr>
        <w:t xml:space="preserve"> </w:t>
      </w:r>
      <w:r w:rsidR="009A31E8">
        <w:rPr>
          <w:b/>
          <w:bCs/>
          <w:szCs w:val="24"/>
          <w:u w:val="single"/>
        </w:rPr>
        <w:t>Monday</w:t>
      </w:r>
      <w:r w:rsidR="00F75C5C" w:rsidRPr="00AE3BF5">
        <w:rPr>
          <w:b/>
          <w:bCs/>
          <w:szCs w:val="24"/>
          <w:u w:val="single"/>
        </w:rPr>
        <w:t xml:space="preserve">, </w:t>
      </w:r>
      <w:r w:rsidR="009A31E8">
        <w:rPr>
          <w:b/>
          <w:bCs/>
          <w:szCs w:val="24"/>
          <w:u w:val="single"/>
        </w:rPr>
        <w:t>April</w:t>
      </w:r>
      <w:r w:rsidR="00F75C5C" w:rsidRPr="00AE3BF5">
        <w:rPr>
          <w:b/>
          <w:bCs/>
          <w:szCs w:val="24"/>
          <w:u w:val="single"/>
        </w:rPr>
        <w:t xml:space="preserve"> </w:t>
      </w:r>
      <w:r w:rsidR="009A31E8">
        <w:rPr>
          <w:b/>
          <w:bCs/>
          <w:szCs w:val="24"/>
          <w:u w:val="single"/>
        </w:rPr>
        <w:t>18</w:t>
      </w:r>
      <w:r w:rsidR="00F75C5C" w:rsidRPr="00AE3BF5">
        <w:rPr>
          <w:b/>
          <w:bCs/>
          <w:szCs w:val="24"/>
          <w:u w:val="single"/>
        </w:rPr>
        <w:t>, 202</w:t>
      </w:r>
      <w:r w:rsidR="009A31E8">
        <w:rPr>
          <w:b/>
          <w:bCs/>
          <w:szCs w:val="24"/>
          <w:u w:val="single"/>
        </w:rPr>
        <w:t>2</w:t>
      </w:r>
      <w:r>
        <w:rPr>
          <w:bCs/>
          <w:szCs w:val="24"/>
        </w:rPr>
        <w:t xml:space="preserve">.  If the parties reach a full settlement, they may choose to convene on </w:t>
      </w:r>
      <w:r w:rsidR="009A31E8">
        <w:rPr>
          <w:bCs/>
          <w:szCs w:val="24"/>
        </w:rPr>
        <w:t>April 19, 2022</w:t>
      </w:r>
      <w:r>
        <w:rPr>
          <w:bCs/>
          <w:szCs w:val="24"/>
        </w:rPr>
        <w:t xml:space="preserve"> and/or </w:t>
      </w:r>
      <w:r w:rsidR="009A31E8">
        <w:rPr>
          <w:bCs/>
          <w:szCs w:val="24"/>
        </w:rPr>
        <w:t>April 20</w:t>
      </w:r>
      <w:r>
        <w:rPr>
          <w:bCs/>
          <w:szCs w:val="24"/>
        </w:rPr>
        <w:t>, 202</w:t>
      </w:r>
      <w:r w:rsidR="009A31E8">
        <w:rPr>
          <w:bCs/>
          <w:szCs w:val="24"/>
        </w:rPr>
        <w:t>2</w:t>
      </w:r>
      <w:r>
        <w:rPr>
          <w:bCs/>
          <w:szCs w:val="24"/>
        </w:rPr>
        <w:t xml:space="preserve"> as scheduled and offer their written testimonies and exhibits on the record.  Testimonies and exhibits may be admitted into the record upon oral motion as long as the other parties waive cross-examination </w:t>
      </w:r>
      <w:r w:rsidR="00F75C5C">
        <w:rPr>
          <w:bCs/>
          <w:szCs w:val="24"/>
        </w:rPr>
        <w:t xml:space="preserve">of the witness </w:t>
      </w:r>
      <w:r>
        <w:rPr>
          <w:bCs/>
          <w:szCs w:val="24"/>
        </w:rPr>
        <w:t xml:space="preserve">and </w:t>
      </w:r>
      <w:r w:rsidR="00F75C5C">
        <w:rPr>
          <w:bCs/>
          <w:szCs w:val="24"/>
        </w:rPr>
        <w:t xml:space="preserve">an </w:t>
      </w:r>
      <w:r>
        <w:rPr>
          <w:bCs/>
          <w:szCs w:val="24"/>
        </w:rPr>
        <w:t>appropriate verification</w:t>
      </w:r>
      <w:r w:rsidR="00F75C5C">
        <w:rPr>
          <w:bCs/>
          <w:szCs w:val="24"/>
        </w:rPr>
        <w:t xml:space="preserve"> has</w:t>
      </w:r>
      <w:r>
        <w:rPr>
          <w:bCs/>
          <w:szCs w:val="24"/>
        </w:rPr>
        <w:t xml:space="preserve"> been filed with the Commission’s Secretary’s Bureau. </w:t>
      </w:r>
    </w:p>
    <w:p w14:paraId="7216DE2A" w14:textId="77777777" w:rsidR="006811A0" w:rsidRDefault="006811A0" w:rsidP="00230169">
      <w:pPr>
        <w:ind w:firstLine="1440"/>
        <w:rPr>
          <w:bCs/>
          <w:szCs w:val="24"/>
        </w:rPr>
      </w:pPr>
    </w:p>
    <w:p w14:paraId="7255F08F" w14:textId="635A30BA" w:rsidR="006811A0" w:rsidRDefault="006811A0" w:rsidP="00230169">
      <w:pPr>
        <w:ind w:firstLine="1440"/>
        <w:rPr>
          <w:bCs/>
          <w:szCs w:val="24"/>
        </w:rPr>
      </w:pPr>
      <w:r>
        <w:rPr>
          <w:bCs/>
          <w:szCs w:val="24"/>
        </w:rPr>
        <w:t xml:space="preserve">If the parties </w:t>
      </w:r>
      <w:r w:rsidR="00F06A8E">
        <w:rPr>
          <w:bCs/>
          <w:szCs w:val="24"/>
        </w:rPr>
        <w:t>r</w:t>
      </w:r>
      <w:r>
        <w:rPr>
          <w:bCs/>
          <w:szCs w:val="24"/>
        </w:rPr>
        <w:t>each a full settlement or otherwise deem it appropriate, they may request that the ALJ</w:t>
      </w:r>
      <w:r w:rsidR="009A31E8">
        <w:rPr>
          <w:bCs/>
          <w:szCs w:val="24"/>
        </w:rPr>
        <w:t>s</w:t>
      </w:r>
      <w:r>
        <w:rPr>
          <w:bCs/>
          <w:szCs w:val="24"/>
        </w:rPr>
        <w:t xml:space="preserve"> cancel the evidentiary hearings.  Such a request should be made as soon as possible prior to the scheduled hearings, but no later than</w:t>
      </w:r>
      <w:r w:rsidR="00F75C5C">
        <w:rPr>
          <w:bCs/>
          <w:szCs w:val="24"/>
        </w:rPr>
        <w:t xml:space="preserve"> </w:t>
      </w:r>
      <w:r w:rsidR="009A31E8">
        <w:rPr>
          <w:b/>
          <w:szCs w:val="24"/>
          <w:u w:val="single"/>
        </w:rPr>
        <w:t>12:00</w:t>
      </w:r>
      <w:r>
        <w:rPr>
          <w:b/>
          <w:szCs w:val="24"/>
          <w:u w:val="single"/>
        </w:rPr>
        <w:t xml:space="preserve"> </w:t>
      </w:r>
      <w:r w:rsidR="00F75C5C">
        <w:rPr>
          <w:b/>
          <w:szCs w:val="24"/>
          <w:u w:val="single"/>
        </w:rPr>
        <w:t>p</w:t>
      </w:r>
      <w:r>
        <w:rPr>
          <w:b/>
          <w:szCs w:val="24"/>
          <w:u w:val="single"/>
        </w:rPr>
        <w:t>.m.</w:t>
      </w:r>
      <w:r w:rsidRPr="00433794">
        <w:rPr>
          <w:b/>
          <w:szCs w:val="24"/>
          <w:u w:val="single"/>
        </w:rPr>
        <w:t xml:space="preserve"> </w:t>
      </w:r>
      <w:r w:rsidR="009A31E8">
        <w:rPr>
          <w:b/>
          <w:szCs w:val="24"/>
          <w:u w:val="single"/>
        </w:rPr>
        <w:t xml:space="preserve">noon </w:t>
      </w:r>
      <w:r w:rsidRPr="00433794">
        <w:rPr>
          <w:b/>
          <w:szCs w:val="24"/>
          <w:u w:val="single"/>
        </w:rPr>
        <w:t>on</w:t>
      </w:r>
      <w:r w:rsidR="00F75C5C">
        <w:rPr>
          <w:b/>
          <w:szCs w:val="24"/>
          <w:u w:val="single"/>
        </w:rPr>
        <w:t xml:space="preserve"> </w:t>
      </w:r>
      <w:r w:rsidR="009A31E8">
        <w:rPr>
          <w:b/>
          <w:bCs/>
          <w:szCs w:val="24"/>
          <w:u w:val="single"/>
        </w:rPr>
        <w:t>Monday</w:t>
      </w:r>
      <w:r w:rsidR="00F75C5C" w:rsidRPr="00AE3BF5">
        <w:rPr>
          <w:b/>
          <w:bCs/>
          <w:szCs w:val="24"/>
          <w:u w:val="single"/>
        </w:rPr>
        <w:t xml:space="preserve">, </w:t>
      </w:r>
      <w:r w:rsidR="009A31E8">
        <w:rPr>
          <w:b/>
          <w:bCs/>
          <w:szCs w:val="24"/>
          <w:u w:val="single"/>
        </w:rPr>
        <w:t>April</w:t>
      </w:r>
      <w:r w:rsidR="00F75C5C" w:rsidRPr="00AE3BF5">
        <w:rPr>
          <w:b/>
          <w:bCs/>
          <w:szCs w:val="24"/>
          <w:u w:val="single"/>
        </w:rPr>
        <w:t xml:space="preserve"> </w:t>
      </w:r>
      <w:r w:rsidR="009A31E8">
        <w:rPr>
          <w:b/>
          <w:bCs/>
          <w:szCs w:val="24"/>
          <w:u w:val="single"/>
        </w:rPr>
        <w:t>18</w:t>
      </w:r>
      <w:r w:rsidR="00F75C5C" w:rsidRPr="00AE3BF5">
        <w:rPr>
          <w:b/>
          <w:bCs/>
          <w:szCs w:val="24"/>
          <w:u w:val="single"/>
        </w:rPr>
        <w:t>, 202</w:t>
      </w:r>
      <w:r w:rsidR="00246E6A">
        <w:rPr>
          <w:b/>
          <w:bCs/>
          <w:szCs w:val="24"/>
          <w:u w:val="single"/>
        </w:rPr>
        <w:t>2</w:t>
      </w:r>
      <w:r>
        <w:rPr>
          <w:bCs/>
          <w:szCs w:val="24"/>
        </w:rPr>
        <w:t xml:space="preserve">.  </w:t>
      </w:r>
      <w:r w:rsidRPr="00112D5A">
        <w:rPr>
          <w:bCs/>
          <w:szCs w:val="24"/>
        </w:rPr>
        <w:t>The ALJ</w:t>
      </w:r>
      <w:r w:rsidR="009A31E8">
        <w:rPr>
          <w:bCs/>
          <w:szCs w:val="24"/>
        </w:rPr>
        <w:t>s</w:t>
      </w:r>
      <w:r w:rsidRPr="00112D5A">
        <w:rPr>
          <w:bCs/>
          <w:szCs w:val="24"/>
        </w:rPr>
        <w:t xml:space="preserve"> will not cancel the evidentiary hearing</w:t>
      </w:r>
      <w:r>
        <w:rPr>
          <w:bCs/>
          <w:szCs w:val="24"/>
        </w:rPr>
        <w:t>s</w:t>
      </w:r>
      <w:r w:rsidRPr="00112D5A">
        <w:rPr>
          <w:bCs/>
          <w:szCs w:val="24"/>
        </w:rPr>
        <w:t xml:space="preserve"> unless </w:t>
      </w:r>
      <w:r>
        <w:rPr>
          <w:bCs/>
          <w:szCs w:val="24"/>
        </w:rPr>
        <w:t xml:space="preserve">and until </w:t>
      </w:r>
      <w:r w:rsidRPr="00112D5A">
        <w:rPr>
          <w:bCs/>
          <w:szCs w:val="24"/>
        </w:rPr>
        <w:t>the parties file</w:t>
      </w:r>
      <w:r>
        <w:rPr>
          <w:bCs/>
          <w:szCs w:val="24"/>
        </w:rPr>
        <w:t xml:space="preserve"> a fully-executed joint stipulation for the admission of evidence with the Secretary’s Bureau.  The stipulation must include: (1) a stipulation that all parties waive cross-examination of all witnesses, (2) a list of all testimonies and exhibits to be admitted into the record, either embedded within the stipulation or attached to the stipulation, and (3) a stipulation that the testimonies and exhibits to be admitted into the record are admissible and should be admitted.  If such a stipulation is filed, the ALJ</w:t>
      </w:r>
      <w:r w:rsidR="009A31E8">
        <w:rPr>
          <w:bCs/>
          <w:szCs w:val="24"/>
        </w:rPr>
        <w:t>s</w:t>
      </w:r>
      <w:r>
        <w:rPr>
          <w:bCs/>
          <w:szCs w:val="24"/>
        </w:rPr>
        <w:t xml:space="preserve"> may issue an Order adopting the stipulation, admitting the evidence into the record, cancelling the evidentiary hearings, and ordering the parties to file their testimonies and exhibits, with appropriate verifications, with the Commission’s Secretar</w:t>
      </w:r>
      <w:r w:rsidR="00F06A8E">
        <w:rPr>
          <w:bCs/>
          <w:szCs w:val="24"/>
        </w:rPr>
        <w:t>y’</w:t>
      </w:r>
      <w:r>
        <w:rPr>
          <w:bCs/>
          <w:szCs w:val="24"/>
        </w:rPr>
        <w:t>s Bureau along with a copy of the Order.</w:t>
      </w:r>
    </w:p>
    <w:p w14:paraId="05582D8F" w14:textId="22D870D6" w:rsidR="006811A0" w:rsidRDefault="006811A0" w:rsidP="00230169">
      <w:pPr>
        <w:ind w:firstLine="1440"/>
        <w:rPr>
          <w:bCs/>
          <w:szCs w:val="24"/>
        </w:rPr>
      </w:pPr>
    </w:p>
    <w:p w14:paraId="594D3373" w14:textId="3388304D" w:rsidR="006811A0" w:rsidRPr="00F06A8E" w:rsidRDefault="00F06A8E" w:rsidP="00246E6A">
      <w:pPr>
        <w:pStyle w:val="Footer"/>
        <w:tabs>
          <w:tab w:val="clear" w:pos="4320"/>
          <w:tab w:val="clear" w:pos="8640"/>
        </w:tabs>
        <w:ind w:firstLine="1440"/>
        <w:rPr>
          <w:b/>
          <w:bCs/>
          <w:szCs w:val="24"/>
          <w:u w:val="single"/>
        </w:rPr>
      </w:pPr>
      <w:r>
        <w:rPr>
          <w:szCs w:val="24"/>
        </w:rPr>
        <w:lastRenderedPageBreak/>
        <w:t>A</w:t>
      </w:r>
      <w:r w:rsidR="006811A0" w:rsidRPr="00AE3BF5">
        <w:rPr>
          <w:szCs w:val="24"/>
        </w:rPr>
        <w:t xml:space="preserve"> Joint Settlement Petition</w:t>
      </w:r>
      <w:r>
        <w:rPr>
          <w:szCs w:val="24"/>
        </w:rPr>
        <w:t>, if any, must be</w:t>
      </w:r>
      <w:r w:rsidR="006811A0" w:rsidRPr="00AE3BF5">
        <w:rPr>
          <w:szCs w:val="24"/>
        </w:rPr>
        <w:t xml:space="preserve"> executed by representatives of all parties, </w:t>
      </w:r>
      <w:r>
        <w:rPr>
          <w:szCs w:val="24"/>
        </w:rPr>
        <w:t xml:space="preserve">and, </w:t>
      </w:r>
      <w:r w:rsidR="006811A0" w:rsidRPr="00AE3BF5">
        <w:rPr>
          <w:szCs w:val="24"/>
        </w:rPr>
        <w:t xml:space="preserve">together with all parties’ Statements In Support of Settlement, must be filed with the </w:t>
      </w:r>
      <w:r>
        <w:rPr>
          <w:szCs w:val="24"/>
        </w:rPr>
        <w:t>Secretary’s Bureau</w:t>
      </w:r>
      <w:r w:rsidR="006811A0" w:rsidRPr="00AE3BF5">
        <w:rPr>
          <w:szCs w:val="24"/>
        </w:rPr>
        <w:t xml:space="preserve"> and received in-hand by the Presiding ALJ</w:t>
      </w:r>
      <w:r w:rsidR="009A31E8">
        <w:rPr>
          <w:szCs w:val="24"/>
        </w:rPr>
        <w:t>s</w:t>
      </w:r>
      <w:r w:rsidR="006811A0" w:rsidRPr="00AE3BF5">
        <w:rPr>
          <w:szCs w:val="24"/>
        </w:rPr>
        <w:t xml:space="preserve"> no later than </w:t>
      </w:r>
      <w:r w:rsidRPr="00F06A8E">
        <w:rPr>
          <w:b/>
          <w:bCs/>
          <w:szCs w:val="24"/>
          <w:u w:val="single"/>
        </w:rPr>
        <w:t>4:00 p.m.</w:t>
      </w:r>
      <w:r w:rsidR="006811A0" w:rsidRPr="00F06A8E">
        <w:rPr>
          <w:b/>
          <w:bCs/>
          <w:szCs w:val="24"/>
          <w:u w:val="single"/>
        </w:rPr>
        <w:t xml:space="preserve"> on </w:t>
      </w:r>
      <w:r w:rsidR="009A31E8">
        <w:rPr>
          <w:b/>
          <w:bCs/>
          <w:szCs w:val="24"/>
          <w:u w:val="single"/>
        </w:rPr>
        <w:t>May 25, 2022</w:t>
      </w:r>
      <w:r w:rsidR="006811A0" w:rsidRPr="00F06A8E">
        <w:rPr>
          <w:b/>
          <w:bCs/>
          <w:szCs w:val="24"/>
          <w:u w:val="single"/>
        </w:rPr>
        <w:t xml:space="preserve">.  </w:t>
      </w:r>
    </w:p>
    <w:p w14:paraId="4F6C95AB" w14:textId="77777777" w:rsidR="006811A0" w:rsidRDefault="006811A0" w:rsidP="00230169">
      <w:pPr>
        <w:jc w:val="center"/>
        <w:rPr>
          <w:b/>
          <w:szCs w:val="24"/>
          <w:u w:val="single"/>
        </w:rPr>
      </w:pPr>
    </w:p>
    <w:p w14:paraId="07A2BF36" w14:textId="2958D192" w:rsidR="006811A0" w:rsidRPr="006811A0" w:rsidRDefault="006811A0" w:rsidP="00230169">
      <w:pPr>
        <w:jc w:val="center"/>
        <w:rPr>
          <w:b/>
          <w:szCs w:val="24"/>
          <w:u w:val="single"/>
        </w:rPr>
      </w:pPr>
      <w:r>
        <w:rPr>
          <w:b/>
          <w:szCs w:val="24"/>
          <w:u w:val="single"/>
        </w:rPr>
        <w:t>Stipulations</w:t>
      </w:r>
    </w:p>
    <w:p w14:paraId="1F473D8D" w14:textId="77777777" w:rsidR="006811A0" w:rsidRDefault="006811A0" w:rsidP="00230169">
      <w:pPr>
        <w:pStyle w:val="Footer"/>
        <w:tabs>
          <w:tab w:val="clear" w:pos="4320"/>
          <w:tab w:val="clear" w:pos="8640"/>
        </w:tabs>
        <w:rPr>
          <w:szCs w:val="24"/>
        </w:rPr>
      </w:pPr>
      <w:r>
        <w:rPr>
          <w:szCs w:val="24"/>
        </w:rPr>
        <w:tab/>
      </w:r>
      <w:r>
        <w:rPr>
          <w:szCs w:val="24"/>
        </w:rPr>
        <w:tab/>
      </w:r>
    </w:p>
    <w:p w14:paraId="13B6B3D7" w14:textId="28A1CE04" w:rsidR="006811A0" w:rsidRDefault="006811A0" w:rsidP="00230169">
      <w:pPr>
        <w:pStyle w:val="Footer"/>
        <w:tabs>
          <w:tab w:val="clear" w:pos="4320"/>
          <w:tab w:val="clear" w:pos="8640"/>
        </w:tabs>
        <w:rPr>
          <w:szCs w:val="24"/>
        </w:rPr>
      </w:pPr>
      <w:r>
        <w:rPr>
          <w:szCs w:val="24"/>
        </w:rPr>
        <w:tab/>
      </w:r>
      <w:r>
        <w:rPr>
          <w:szCs w:val="24"/>
        </w:rPr>
        <w:tab/>
      </w:r>
      <w:r w:rsidRPr="00AE3BF5">
        <w:rPr>
          <w:szCs w:val="24"/>
        </w:rPr>
        <w:t xml:space="preserve">If settlement is not feasible, the parties are encouraged to stipulate to any matters they reasonably can to expedite this proceeding, lessen the burden of time and expenses in litigation on all parties and conserve precious administrative hearing resources.  52 Pa.Code §§ 5.232 and 5.234.  </w:t>
      </w:r>
    </w:p>
    <w:p w14:paraId="631DF61A" w14:textId="77777777" w:rsidR="006811A0" w:rsidRDefault="006811A0" w:rsidP="00230169">
      <w:pPr>
        <w:pStyle w:val="Footer"/>
        <w:tabs>
          <w:tab w:val="clear" w:pos="4320"/>
          <w:tab w:val="clear" w:pos="8640"/>
        </w:tabs>
        <w:rPr>
          <w:szCs w:val="24"/>
        </w:rPr>
      </w:pPr>
    </w:p>
    <w:p w14:paraId="0F7729BA" w14:textId="77777777" w:rsidR="006811A0" w:rsidRDefault="006811A0" w:rsidP="00230169">
      <w:pPr>
        <w:pStyle w:val="Footer"/>
        <w:tabs>
          <w:tab w:val="clear" w:pos="4320"/>
          <w:tab w:val="clear" w:pos="8640"/>
        </w:tabs>
        <w:rPr>
          <w:szCs w:val="24"/>
        </w:rPr>
      </w:pPr>
      <w:r>
        <w:rPr>
          <w:szCs w:val="24"/>
        </w:rPr>
        <w:tab/>
      </w:r>
      <w:r>
        <w:rPr>
          <w:szCs w:val="24"/>
        </w:rPr>
        <w:tab/>
      </w:r>
      <w:r w:rsidRPr="00AE3BF5">
        <w:rPr>
          <w:szCs w:val="24"/>
        </w:rPr>
        <w:t>All stipulations entered into by the parties must be reduced to writing, signed by the parties to be bound thereby, and moved into the record in this case</w:t>
      </w:r>
      <w:r>
        <w:rPr>
          <w:szCs w:val="24"/>
        </w:rPr>
        <w:t xml:space="preserve"> either orally at an evidentiary hearing or through a motion filed with the Secretary’s Bureau.  </w:t>
      </w:r>
    </w:p>
    <w:p w14:paraId="0D21E1E3" w14:textId="77777777" w:rsidR="00B1670B" w:rsidRPr="00AE3BF5" w:rsidRDefault="00B1670B" w:rsidP="00230169">
      <w:pPr>
        <w:pStyle w:val="Footer"/>
        <w:tabs>
          <w:tab w:val="clear" w:pos="4320"/>
          <w:tab w:val="clear" w:pos="8640"/>
        </w:tabs>
        <w:jc w:val="center"/>
        <w:rPr>
          <w:b/>
          <w:szCs w:val="24"/>
          <w:u w:val="single"/>
        </w:rPr>
      </w:pPr>
    </w:p>
    <w:p w14:paraId="1E37BA23" w14:textId="5AB55F57" w:rsidR="00B34559" w:rsidRPr="00AE3BF5" w:rsidRDefault="00B34559" w:rsidP="00230169">
      <w:pPr>
        <w:jc w:val="center"/>
        <w:rPr>
          <w:b/>
          <w:szCs w:val="24"/>
          <w:u w:val="single"/>
        </w:rPr>
      </w:pPr>
      <w:r w:rsidRPr="00AE3BF5">
        <w:rPr>
          <w:b/>
          <w:szCs w:val="24"/>
          <w:u w:val="single"/>
        </w:rPr>
        <w:t>Cross-Examination</w:t>
      </w:r>
    </w:p>
    <w:p w14:paraId="5AEC89E2" w14:textId="77777777" w:rsidR="00B34559" w:rsidRPr="00AE3BF5" w:rsidRDefault="00B34559" w:rsidP="00230169">
      <w:pPr>
        <w:pStyle w:val="Footer"/>
        <w:tabs>
          <w:tab w:val="clear" w:pos="4320"/>
          <w:tab w:val="clear" w:pos="8640"/>
        </w:tabs>
        <w:rPr>
          <w:szCs w:val="24"/>
        </w:rPr>
      </w:pPr>
    </w:p>
    <w:p w14:paraId="3F7293A5" w14:textId="77777777" w:rsidR="00B34559" w:rsidRPr="00AE3BF5" w:rsidRDefault="00B34559" w:rsidP="00230169">
      <w:pPr>
        <w:pStyle w:val="Footer"/>
        <w:tabs>
          <w:tab w:val="clear" w:pos="4320"/>
          <w:tab w:val="clear" w:pos="8640"/>
        </w:tabs>
        <w:rPr>
          <w:szCs w:val="24"/>
        </w:rPr>
      </w:pPr>
      <w:r w:rsidRPr="00AE3BF5">
        <w:rPr>
          <w:szCs w:val="24"/>
        </w:rPr>
        <w:tab/>
      </w:r>
      <w:r w:rsidRPr="00AE3BF5">
        <w:rPr>
          <w:szCs w:val="24"/>
        </w:rPr>
        <w:tab/>
        <w:t>Friendly cross-examination or cumulative cross-examination during hearings</w:t>
      </w:r>
      <w:r w:rsidR="00B4562F" w:rsidRPr="00AE3BF5">
        <w:rPr>
          <w:szCs w:val="24"/>
        </w:rPr>
        <w:t xml:space="preserve"> will not be permitted.  52 Pa.</w:t>
      </w:r>
      <w:r w:rsidRPr="00AE3BF5">
        <w:rPr>
          <w:szCs w:val="24"/>
        </w:rPr>
        <w:t>Code §§</w:t>
      </w:r>
      <w:r w:rsidR="00B4562F" w:rsidRPr="00AE3BF5">
        <w:rPr>
          <w:szCs w:val="24"/>
        </w:rPr>
        <w:t xml:space="preserve"> </w:t>
      </w:r>
      <w:r w:rsidRPr="00AE3BF5">
        <w:rPr>
          <w:szCs w:val="24"/>
        </w:rPr>
        <w:t>5.76 &amp; 5.243.</w:t>
      </w:r>
    </w:p>
    <w:p w14:paraId="17AD06A1" w14:textId="77777777" w:rsidR="00F06A8E" w:rsidRDefault="00F06A8E" w:rsidP="00230169">
      <w:pPr>
        <w:pStyle w:val="Footer"/>
        <w:tabs>
          <w:tab w:val="clear" w:pos="4320"/>
          <w:tab w:val="clear" w:pos="8640"/>
        </w:tabs>
        <w:jc w:val="center"/>
        <w:rPr>
          <w:b/>
          <w:szCs w:val="24"/>
          <w:u w:val="single"/>
        </w:rPr>
      </w:pPr>
    </w:p>
    <w:p w14:paraId="1F1CE7F8" w14:textId="78ACC922" w:rsidR="00B34559" w:rsidRPr="00AE3BF5" w:rsidRDefault="00B34559" w:rsidP="00230169">
      <w:pPr>
        <w:pStyle w:val="Footer"/>
        <w:tabs>
          <w:tab w:val="clear" w:pos="4320"/>
          <w:tab w:val="clear" w:pos="8640"/>
        </w:tabs>
        <w:jc w:val="center"/>
        <w:rPr>
          <w:szCs w:val="24"/>
        </w:rPr>
      </w:pPr>
      <w:r w:rsidRPr="00AE3BF5">
        <w:rPr>
          <w:b/>
          <w:szCs w:val="24"/>
          <w:u w:val="single"/>
        </w:rPr>
        <w:t>Briefs</w:t>
      </w:r>
    </w:p>
    <w:p w14:paraId="32FBE1BF" w14:textId="77777777" w:rsidR="00B34559" w:rsidRPr="00AE3BF5" w:rsidRDefault="00B34559" w:rsidP="00230169">
      <w:pPr>
        <w:pStyle w:val="Footer"/>
        <w:tabs>
          <w:tab w:val="clear" w:pos="4320"/>
          <w:tab w:val="clear" w:pos="8640"/>
        </w:tabs>
        <w:rPr>
          <w:szCs w:val="24"/>
        </w:rPr>
      </w:pPr>
    </w:p>
    <w:p w14:paraId="62E48847" w14:textId="59AE83D5" w:rsidR="008C6F8C" w:rsidRPr="00AE3BF5" w:rsidRDefault="00B34559" w:rsidP="00230169">
      <w:pPr>
        <w:pStyle w:val="Footer"/>
        <w:tabs>
          <w:tab w:val="clear" w:pos="4320"/>
          <w:tab w:val="clear" w:pos="8640"/>
        </w:tabs>
        <w:rPr>
          <w:szCs w:val="24"/>
        </w:rPr>
      </w:pPr>
      <w:r w:rsidRPr="00AE3BF5">
        <w:rPr>
          <w:szCs w:val="24"/>
        </w:rPr>
        <w:tab/>
      </w:r>
      <w:r w:rsidRPr="00AE3BF5">
        <w:rPr>
          <w:szCs w:val="24"/>
        </w:rPr>
        <w:tab/>
        <w:t>The parties must comply with 52 Pa.Code §§</w:t>
      </w:r>
      <w:r w:rsidR="00B4562F" w:rsidRPr="00AE3BF5">
        <w:rPr>
          <w:szCs w:val="24"/>
        </w:rPr>
        <w:t xml:space="preserve"> </w:t>
      </w:r>
      <w:r w:rsidRPr="00AE3BF5">
        <w:rPr>
          <w:szCs w:val="24"/>
        </w:rPr>
        <w:t xml:space="preserve">5.501, </w:t>
      </w:r>
      <w:r w:rsidRPr="00AE3BF5">
        <w:rPr>
          <w:i/>
          <w:szCs w:val="24"/>
        </w:rPr>
        <w:t>et</w:t>
      </w:r>
      <w:r w:rsidRPr="00AE3BF5">
        <w:rPr>
          <w:szCs w:val="24"/>
        </w:rPr>
        <w:t xml:space="preserve"> </w:t>
      </w:r>
      <w:r w:rsidRPr="00AE3BF5">
        <w:rPr>
          <w:i/>
          <w:szCs w:val="24"/>
        </w:rPr>
        <w:t>seq</w:t>
      </w:r>
      <w:r w:rsidRPr="00AE3BF5">
        <w:rPr>
          <w:szCs w:val="24"/>
        </w:rPr>
        <w:t xml:space="preserve">., regarding the preparation and filing of briefs.  Page limitations on briefs will be discussed on or before the last day of hearing.  </w:t>
      </w:r>
      <w:r w:rsidR="0033180B">
        <w:rPr>
          <w:szCs w:val="24"/>
        </w:rPr>
        <w:t>T</w:t>
      </w:r>
      <w:r w:rsidRPr="00AE3BF5">
        <w:rPr>
          <w:szCs w:val="24"/>
        </w:rPr>
        <w:t xml:space="preserve">he parties shall submit </w:t>
      </w:r>
      <w:r w:rsidR="0033180B">
        <w:rPr>
          <w:szCs w:val="24"/>
        </w:rPr>
        <w:t xml:space="preserve">an electronic copy of all briefs to </w:t>
      </w:r>
      <w:r w:rsidR="007C2DB2" w:rsidRPr="00AE3BF5">
        <w:rPr>
          <w:szCs w:val="24"/>
        </w:rPr>
        <w:t>the Presiding ALJ</w:t>
      </w:r>
      <w:r w:rsidR="009A31E8">
        <w:rPr>
          <w:szCs w:val="24"/>
        </w:rPr>
        <w:t>s</w:t>
      </w:r>
      <w:r w:rsidRPr="00AE3BF5">
        <w:rPr>
          <w:szCs w:val="24"/>
        </w:rPr>
        <w:t xml:space="preserve"> </w:t>
      </w:r>
      <w:r w:rsidR="0033180B">
        <w:rPr>
          <w:b/>
          <w:szCs w:val="24"/>
        </w:rPr>
        <w:t xml:space="preserve">in a </w:t>
      </w:r>
      <w:r w:rsidRPr="00AE3BF5">
        <w:rPr>
          <w:b/>
          <w:i/>
          <w:szCs w:val="24"/>
        </w:rPr>
        <w:t xml:space="preserve">Microsoft </w:t>
      </w:r>
      <w:r w:rsidR="00654324" w:rsidRPr="00AE3BF5">
        <w:rPr>
          <w:b/>
          <w:i/>
          <w:szCs w:val="24"/>
        </w:rPr>
        <w:t xml:space="preserve">Office </w:t>
      </w:r>
      <w:r w:rsidRPr="00AE3BF5">
        <w:rPr>
          <w:b/>
          <w:i/>
          <w:szCs w:val="24"/>
        </w:rPr>
        <w:t>Word </w:t>
      </w:r>
      <w:r w:rsidRPr="00AE3BF5">
        <w:rPr>
          <w:b/>
          <w:szCs w:val="24"/>
        </w:rPr>
        <w:t>format.</w:t>
      </w:r>
      <w:r w:rsidRPr="00AE3BF5">
        <w:rPr>
          <w:szCs w:val="24"/>
        </w:rPr>
        <w:t xml:space="preserve">  </w:t>
      </w:r>
    </w:p>
    <w:p w14:paraId="7C917E48" w14:textId="0AB1D9E2" w:rsidR="00AE3BF5" w:rsidRDefault="00AE3BF5" w:rsidP="00230169">
      <w:pPr>
        <w:pStyle w:val="Footer"/>
        <w:tabs>
          <w:tab w:val="clear" w:pos="4320"/>
          <w:tab w:val="clear" w:pos="8640"/>
        </w:tabs>
        <w:rPr>
          <w:b/>
          <w:szCs w:val="24"/>
          <w:u w:val="single"/>
        </w:rPr>
      </w:pPr>
    </w:p>
    <w:p w14:paraId="640079C2" w14:textId="014BEC56" w:rsidR="00246E6A" w:rsidRDefault="00246E6A" w:rsidP="00230169">
      <w:pPr>
        <w:pStyle w:val="Footer"/>
        <w:tabs>
          <w:tab w:val="clear" w:pos="4320"/>
          <w:tab w:val="clear" w:pos="8640"/>
        </w:tabs>
        <w:rPr>
          <w:b/>
          <w:szCs w:val="24"/>
          <w:u w:val="single"/>
        </w:rPr>
      </w:pPr>
    </w:p>
    <w:p w14:paraId="58B63F16" w14:textId="629F1066" w:rsidR="00246E6A" w:rsidRDefault="00246E6A" w:rsidP="00230169">
      <w:pPr>
        <w:pStyle w:val="Footer"/>
        <w:tabs>
          <w:tab w:val="clear" w:pos="4320"/>
          <w:tab w:val="clear" w:pos="8640"/>
        </w:tabs>
        <w:rPr>
          <w:b/>
          <w:szCs w:val="24"/>
          <w:u w:val="single"/>
        </w:rPr>
      </w:pPr>
    </w:p>
    <w:p w14:paraId="0B450375" w14:textId="77777777" w:rsidR="00246E6A" w:rsidRPr="00AE3BF5" w:rsidRDefault="00246E6A" w:rsidP="00230169">
      <w:pPr>
        <w:pStyle w:val="Footer"/>
        <w:tabs>
          <w:tab w:val="clear" w:pos="4320"/>
          <w:tab w:val="clear" w:pos="8640"/>
        </w:tabs>
        <w:rPr>
          <w:b/>
          <w:szCs w:val="24"/>
          <w:u w:val="single"/>
        </w:rPr>
      </w:pPr>
    </w:p>
    <w:p w14:paraId="06497A96" w14:textId="097EDCAD" w:rsidR="00B34559" w:rsidRPr="00AE3BF5" w:rsidRDefault="00B34559" w:rsidP="00230169">
      <w:pPr>
        <w:pStyle w:val="Footer"/>
        <w:tabs>
          <w:tab w:val="clear" w:pos="4320"/>
          <w:tab w:val="clear" w:pos="8640"/>
        </w:tabs>
        <w:jc w:val="center"/>
        <w:rPr>
          <w:szCs w:val="24"/>
        </w:rPr>
      </w:pPr>
      <w:r w:rsidRPr="00AE3BF5">
        <w:rPr>
          <w:b/>
          <w:szCs w:val="24"/>
          <w:u w:val="single"/>
        </w:rPr>
        <w:lastRenderedPageBreak/>
        <w:t>Modification</w:t>
      </w:r>
    </w:p>
    <w:p w14:paraId="4BF077E0" w14:textId="77777777" w:rsidR="00B34559" w:rsidRPr="00AE3BF5" w:rsidRDefault="00B34559" w:rsidP="00230169">
      <w:pPr>
        <w:pStyle w:val="Footer"/>
        <w:tabs>
          <w:tab w:val="clear" w:pos="4320"/>
          <w:tab w:val="clear" w:pos="8640"/>
        </w:tabs>
        <w:rPr>
          <w:szCs w:val="24"/>
        </w:rPr>
      </w:pPr>
    </w:p>
    <w:p w14:paraId="6333ACBB" w14:textId="77777777" w:rsidR="00B34559" w:rsidRPr="00C055EF" w:rsidRDefault="00B34559" w:rsidP="00230169">
      <w:pPr>
        <w:pStyle w:val="Footer"/>
        <w:tabs>
          <w:tab w:val="clear" w:pos="4320"/>
          <w:tab w:val="clear" w:pos="8640"/>
        </w:tabs>
        <w:rPr>
          <w:spacing w:val="-3"/>
          <w:szCs w:val="24"/>
        </w:rPr>
      </w:pPr>
      <w:r w:rsidRPr="00AE3BF5">
        <w:rPr>
          <w:szCs w:val="24"/>
        </w:rPr>
        <w:tab/>
      </w:r>
      <w:r w:rsidRPr="00AE3BF5">
        <w:rPr>
          <w:szCs w:val="24"/>
        </w:rPr>
        <w:tab/>
        <w:t xml:space="preserve">Any of the provisions of this </w:t>
      </w:r>
      <w:r w:rsidRPr="00AE3BF5">
        <w:rPr>
          <w:spacing w:val="-3"/>
          <w:szCs w:val="24"/>
        </w:rPr>
        <w:t>Prehearing Order may be modified upon motion and good cause shown by any party in interest.</w:t>
      </w:r>
    </w:p>
    <w:p w14:paraId="50767266" w14:textId="77777777" w:rsidR="00B34559" w:rsidRPr="00C055EF" w:rsidRDefault="00B34559" w:rsidP="00230169">
      <w:pPr>
        <w:pStyle w:val="Footer"/>
        <w:tabs>
          <w:tab w:val="clear" w:pos="4320"/>
          <w:tab w:val="clear" w:pos="8640"/>
        </w:tabs>
        <w:rPr>
          <w:spacing w:val="-3"/>
          <w:szCs w:val="24"/>
        </w:rPr>
      </w:pPr>
    </w:p>
    <w:p w14:paraId="6B0FA58B" w14:textId="77777777" w:rsidR="00780DB7" w:rsidRDefault="00780DB7" w:rsidP="00230169">
      <w:pPr>
        <w:tabs>
          <w:tab w:val="left" w:pos="0"/>
        </w:tabs>
        <w:jc w:val="both"/>
        <w:rPr>
          <w:szCs w:val="24"/>
        </w:rPr>
      </w:pPr>
    </w:p>
    <w:p w14:paraId="48534FD1" w14:textId="46DA400A" w:rsidR="009A31E8" w:rsidRPr="007660A3" w:rsidRDefault="009A31E8" w:rsidP="00230169">
      <w:pPr>
        <w:spacing w:line="240" w:lineRule="auto"/>
      </w:pPr>
      <w:r w:rsidRPr="00623257">
        <w:t xml:space="preserve">Date:  </w:t>
      </w:r>
      <w:r>
        <w:rPr>
          <w:u w:val="single"/>
        </w:rPr>
        <w:t xml:space="preserve">December </w:t>
      </w:r>
      <w:r w:rsidR="00230169">
        <w:rPr>
          <w:u w:val="single"/>
        </w:rPr>
        <w:t>28</w:t>
      </w:r>
      <w:r>
        <w:rPr>
          <w:u w:val="single"/>
        </w:rPr>
        <w:t>, 2021</w:t>
      </w:r>
      <w:r w:rsidRPr="007660A3">
        <w:rPr>
          <w:rFonts w:eastAsia="SimSun"/>
        </w:rPr>
        <w:tab/>
      </w:r>
      <w:r w:rsidRPr="007660A3">
        <w:rPr>
          <w:rFonts w:eastAsia="SimSun"/>
        </w:rPr>
        <w:tab/>
      </w:r>
      <w:r w:rsidRPr="007660A3">
        <w:rPr>
          <w:rFonts w:eastAsia="SimSun"/>
        </w:rPr>
        <w:tab/>
      </w:r>
      <w:r w:rsidRPr="007660A3">
        <w:rPr>
          <w:rFonts w:eastAsia="SimSun"/>
        </w:rPr>
        <w:tab/>
      </w:r>
      <w:r w:rsidRPr="007660A3">
        <w:rPr>
          <w:u w:val="single"/>
        </w:rPr>
        <w:tab/>
      </w:r>
      <w:r w:rsidRPr="007660A3">
        <w:rPr>
          <w:u w:val="single"/>
        </w:rPr>
        <w:tab/>
        <w:t>/s/</w:t>
      </w:r>
      <w:r w:rsidRPr="007660A3">
        <w:rPr>
          <w:u w:val="single"/>
        </w:rPr>
        <w:tab/>
      </w:r>
      <w:r w:rsidRPr="007660A3">
        <w:rPr>
          <w:u w:val="single"/>
        </w:rPr>
        <w:tab/>
      </w:r>
      <w:r w:rsidRPr="007660A3">
        <w:rPr>
          <w:u w:val="single"/>
        </w:rPr>
        <w:tab/>
      </w:r>
      <w:r w:rsidRPr="007660A3">
        <w:rPr>
          <w:u w:val="single"/>
        </w:rPr>
        <w:tab/>
      </w:r>
    </w:p>
    <w:p w14:paraId="3F29D2ED" w14:textId="77777777" w:rsidR="009A31E8" w:rsidRPr="007660A3" w:rsidRDefault="009A31E8" w:rsidP="00230169">
      <w:pPr>
        <w:spacing w:line="240" w:lineRule="auto"/>
      </w:pPr>
      <w:r w:rsidRPr="007660A3">
        <w:tab/>
      </w:r>
      <w:r w:rsidRPr="007660A3">
        <w:tab/>
      </w:r>
      <w:r w:rsidRPr="007660A3">
        <w:tab/>
      </w:r>
      <w:r w:rsidRPr="007660A3">
        <w:tab/>
      </w:r>
      <w:r w:rsidRPr="007660A3">
        <w:tab/>
      </w:r>
      <w:r w:rsidRPr="007660A3">
        <w:tab/>
      </w:r>
      <w:r w:rsidRPr="007660A3">
        <w:tab/>
        <w:t>Mark A. Hoyer</w:t>
      </w:r>
    </w:p>
    <w:p w14:paraId="428DAB4F" w14:textId="77777777" w:rsidR="009A31E8" w:rsidRPr="007660A3" w:rsidRDefault="009A31E8" w:rsidP="00230169">
      <w:pPr>
        <w:spacing w:line="240" w:lineRule="auto"/>
      </w:pPr>
      <w:r w:rsidRPr="007660A3">
        <w:tab/>
      </w:r>
      <w:r w:rsidRPr="007660A3">
        <w:tab/>
      </w:r>
      <w:r w:rsidRPr="007660A3">
        <w:tab/>
      </w:r>
      <w:r w:rsidRPr="007660A3">
        <w:tab/>
      </w:r>
      <w:r w:rsidRPr="007660A3">
        <w:tab/>
      </w:r>
      <w:r w:rsidRPr="007660A3">
        <w:tab/>
      </w:r>
      <w:r w:rsidRPr="007660A3">
        <w:tab/>
        <w:t>Deputy Chief Administrative Law Judge</w:t>
      </w:r>
    </w:p>
    <w:p w14:paraId="4FF1CE0A" w14:textId="1F855FBB" w:rsidR="009A31E8" w:rsidRDefault="009A31E8" w:rsidP="00230169">
      <w:pPr>
        <w:spacing w:line="240" w:lineRule="auto"/>
      </w:pPr>
      <w:r w:rsidRPr="007660A3">
        <w:tab/>
      </w:r>
      <w:r w:rsidRPr="007660A3">
        <w:tab/>
      </w:r>
      <w:r w:rsidRPr="007660A3">
        <w:tab/>
      </w:r>
      <w:r w:rsidRPr="007660A3">
        <w:tab/>
      </w:r>
      <w:r w:rsidRPr="007660A3">
        <w:tab/>
      </w:r>
      <w:r w:rsidRPr="007660A3">
        <w:tab/>
      </w:r>
    </w:p>
    <w:p w14:paraId="5AB64EC4" w14:textId="77777777" w:rsidR="00230169" w:rsidRPr="007660A3" w:rsidRDefault="00230169" w:rsidP="00230169">
      <w:pPr>
        <w:spacing w:line="240" w:lineRule="auto"/>
      </w:pPr>
    </w:p>
    <w:p w14:paraId="0A7A3565" w14:textId="77777777" w:rsidR="009A31E8" w:rsidRPr="007660A3" w:rsidRDefault="009A31E8" w:rsidP="00230169">
      <w:pPr>
        <w:spacing w:line="240" w:lineRule="auto"/>
      </w:pPr>
      <w:r w:rsidRPr="007660A3">
        <w:tab/>
      </w:r>
      <w:r w:rsidRPr="007660A3">
        <w:tab/>
      </w:r>
      <w:r w:rsidRPr="007660A3">
        <w:tab/>
      </w:r>
      <w:r w:rsidRPr="007660A3">
        <w:tab/>
      </w:r>
      <w:r w:rsidRPr="007660A3">
        <w:tab/>
      </w:r>
      <w:r w:rsidRPr="007660A3">
        <w:tab/>
      </w:r>
      <w:r>
        <w:tab/>
      </w:r>
      <w:r w:rsidRPr="007660A3">
        <w:rPr>
          <w:u w:val="single"/>
        </w:rPr>
        <w:tab/>
      </w:r>
      <w:r w:rsidRPr="007660A3">
        <w:rPr>
          <w:u w:val="single"/>
        </w:rPr>
        <w:tab/>
        <w:t>/s/</w:t>
      </w:r>
      <w:r w:rsidRPr="007660A3">
        <w:rPr>
          <w:u w:val="single"/>
        </w:rPr>
        <w:tab/>
      </w:r>
      <w:r w:rsidRPr="007660A3">
        <w:rPr>
          <w:u w:val="single"/>
        </w:rPr>
        <w:tab/>
      </w:r>
      <w:r w:rsidRPr="007660A3">
        <w:rPr>
          <w:u w:val="single"/>
        </w:rPr>
        <w:tab/>
      </w:r>
      <w:r w:rsidRPr="007660A3">
        <w:rPr>
          <w:u w:val="single"/>
        </w:rPr>
        <w:tab/>
      </w:r>
    </w:p>
    <w:p w14:paraId="0D5F1C6A" w14:textId="77777777" w:rsidR="009A31E8" w:rsidRPr="007660A3" w:rsidRDefault="009A31E8" w:rsidP="00230169">
      <w:pPr>
        <w:spacing w:line="240" w:lineRule="auto"/>
      </w:pPr>
      <w:r w:rsidRPr="007660A3">
        <w:tab/>
      </w:r>
      <w:r w:rsidRPr="007660A3">
        <w:tab/>
      </w:r>
      <w:r w:rsidRPr="007660A3">
        <w:tab/>
      </w:r>
      <w:r w:rsidRPr="007660A3">
        <w:tab/>
      </w:r>
      <w:r w:rsidRPr="007660A3">
        <w:tab/>
      </w:r>
      <w:r w:rsidRPr="007660A3">
        <w:tab/>
      </w:r>
      <w:r w:rsidRPr="007660A3">
        <w:tab/>
        <w:t>Emily I. DeVoe</w:t>
      </w:r>
    </w:p>
    <w:p w14:paraId="14D1D53E" w14:textId="77777777" w:rsidR="009A31E8" w:rsidRPr="007660A3" w:rsidRDefault="009A31E8" w:rsidP="00230169">
      <w:pPr>
        <w:spacing w:line="240" w:lineRule="auto"/>
      </w:pPr>
      <w:r w:rsidRPr="007660A3">
        <w:tab/>
      </w:r>
      <w:r w:rsidRPr="007660A3">
        <w:tab/>
      </w:r>
      <w:r w:rsidRPr="007660A3">
        <w:tab/>
      </w:r>
      <w:r w:rsidRPr="007660A3">
        <w:tab/>
      </w:r>
      <w:r w:rsidRPr="007660A3">
        <w:tab/>
      </w:r>
      <w:r w:rsidRPr="007660A3">
        <w:tab/>
      </w:r>
      <w:r w:rsidRPr="007660A3">
        <w:tab/>
        <w:t>Administrative Law Judge</w:t>
      </w:r>
    </w:p>
    <w:p w14:paraId="1E32F437" w14:textId="5187D283" w:rsidR="008C6F8C" w:rsidRDefault="008C6F8C" w:rsidP="00A04291">
      <w:pPr>
        <w:widowControl w:val="0"/>
        <w:tabs>
          <w:tab w:val="left" w:pos="0"/>
        </w:tabs>
        <w:autoSpaceDE w:val="0"/>
        <w:autoSpaceDN w:val="0"/>
        <w:adjustRightInd w:val="0"/>
        <w:jc w:val="both"/>
        <w:rPr>
          <w:rFonts w:ascii="Microsoft Sans Serif"/>
        </w:rPr>
      </w:pPr>
    </w:p>
    <w:p w14:paraId="18D2A892" w14:textId="77777777" w:rsidR="00780DB7" w:rsidRDefault="00780DB7" w:rsidP="00780DB7">
      <w:pPr>
        <w:spacing w:line="240" w:lineRule="auto"/>
        <w:rPr>
          <w:rFonts w:ascii="Microsoft Sans Serif"/>
        </w:rPr>
      </w:pPr>
    </w:p>
    <w:p w14:paraId="2D80C21E" w14:textId="77777777" w:rsidR="00984DDB" w:rsidRDefault="00984DDB" w:rsidP="00780DB7">
      <w:pPr>
        <w:spacing w:line="240" w:lineRule="auto"/>
        <w:rPr>
          <w:sz w:val="20"/>
        </w:rPr>
        <w:sectPr w:rsidR="00984DDB" w:rsidSect="00A04291">
          <w:footerReference w:type="even" r:id="rId10"/>
          <w:footerReference w:type="default" r:id="rId11"/>
          <w:footerReference w:type="first" r:id="rId12"/>
          <w:pgSz w:w="12240" w:h="15840"/>
          <w:pgMar w:top="1440" w:right="1440" w:bottom="1440" w:left="1440" w:header="720" w:footer="720" w:gutter="0"/>
          <w:pgNumType w:start="1"/>
          <w:cols w:space="720"/>
          <w:titlePg/>
          <w:docGrid w:linePitch="326"/>
        </w:sectPr>
      </w:pPr>
    </w:p>
    <w:p w14:paraId="3884BF86" w14:textId="77777777" w:rsidR="00984DDB" w:rsidRPr="00984DDB" w:rsidRDefault="00984DDB" w:rsidP="00984DDB">
      <w:pPr>
        <w:spacing w:line="240" w:lineRule="auto"/>
        <w:rPr>
          <w:rFonts w:ascii="Microsoft Sans Serif" w:eastAsia="Microsoft Sans Serif" w:hAnsi="Microsoft Sans Serif" w:cs="Microsoft Sans Serif"/>
          <w:b/>
          <w:i/>
          <w:szCs w:val="22"/>
          <w:u w:val="single"/>
        </w:rPr>
      </w:pPr>
    </w:p>
    <w:p w14:paraId="71A25048" w14:textId="77777777" w:rsidR="00246E6A" w:rsidRDefault="00246E6A" w:rsidP="00780DB7">
      <w:pPr>
        <w:spacing w:line="240" w:lineRule="auto"/>
        <w:rPr>
          <w:sz w:val="20"/>
        </w:rPr>
        <w:sectPr w:rsidR="00246E6A" w:rsidSect="00984DDB">
          <w:footerReference w:type="default" r:id="rId13"/>
          <w:type w:val="continuous"/>
          <w:pgSz w:w="12240" w:h="15840"/>
          <w:pgMar w:top="720" w:right="720" w:bottom="720" w:left="720" w:header="720" w:footer="720" w:gutter="0"/>
          <w:pgNumType w:start="1"/>
          <w:cols w:num="2" w:space="720"/>
          <w:titlePg/>
          <w:docGrid w:linePitch="326"/>
        </w:sectPr>
      </w:pPr>
    </w:p>
    <w:p w14:paraId="20AADF5A" w14:textId="77777777" w:rsidR="00246E6A" w:rsidRPr="00246E6A" w:rsidRDefault="00246E6A" w:rsidP="00246E6A">
      <w:pPr>
        <w:spacing w:after="160" w:line="259" w:lineRule="auto"/>
        <w:rPr>
          <w:rFonts w:ascii="Microsoft Sans Serif" w:eastAsia="Microsoft Sans Serif" w:hAnsi="Microsoft Sans Serif" w:cs="Microsoft Sans Serif"/>
          <w:b/>
          <w:szCs w:val="22"/>
          <w:u w:val="single"/>
        </w:rPr>
        <w:sectPr w:rsidR="00246E6A" w:rsidRPr="00246E6A">
          <w:pgSz w:w="12240" w:h="15840"/>
          <w:pgMar w:top="1440" w:right="1440" w:bottom="1440" w:left="1440" w:header="720" w:footer="720" w:gutter="0"/>
          <w:cols w:space="720"/>
          <w:docGrid w:linePitch="360"/>
        </w:sectPr>
      </w:pPr>
      <w:r w:rsidRPr="00246E6A">
        <w:rPr>
          <w:rFonts w:ascii="Microsoft Sans Serif" w:eastAsia="Microsoft Sans Serif" w:hAnsi="Microsoft Sans Serif" w:cs="Microsoft Sans Serif"/>
          <w:b/>
          <w:szCs w:val="22"/>
          <w:u w:val="single"/>
        </w:rPr>
        <w:lastRenderedPageBreak/>
        <w:t>P-2020-3018867 -   PETITION TO AMEND OR MODIFY UNIVERSAL SERVICE AND ENERGY CONSERVATION PLAN</w:t>
      </w:r>
      <w:r w:rsidRPr="00246E6A">
        <w:rPr>
          <w:rFonts w:ascii="Microsoft Sans Serif" w:eastAsia="Microsoft Sans Serif" w:hAnsi="Microsoft Sans Serif" w:cs="Microsoft Sans Serif"/>
          <w:b/>
          <w:szCs w:val="22"/>
          <w:u w:val="single"/>
        </w:rPr>
        <w:cr/>
      </w:r>
      <w:r w:rsidRPr="00246E6A">
        <w:rPr>
          <w:rFonts w:ascii="Microsoft Sans Serif" w:eastAsia="Microsoft Sans Serif" w:hAnsi="Microsoft Sans Serif" w:cs="Microsoft Sans Serif"/>
          <w:b/>
          <w:szCs w:val="22"/>
          <w:u w:val="single"/>
        </w:rPr>
        <w:cr/>
      </w:r>
    </w:p>
    <w:p w14:paraId="56473A4A" w14:textId="77777777" w:rsidR="00246E6A" w:rsidRPr="00246E6A" w:rsidRDefault="00246E6A" w:rsidP="00246E6A">
      <w:pPr>
        <w:spacing w:line="240" w:lineRule="auto"/>
        <w:rPr>
          <w:rFonts w:ascii="Microsoft Sans Serif" w:eastAsia="Microsoft Sans Serif" w:hAnsi="Microsoft Sans Serif" w:cs="Microsoft Sans Serif"/>
          <w:szCs w:val="22"/>
        </w:rPr>
      </w:pPr>
      <w:r w:rsidRPr="00246E6A">
        <w:rPr>
          <w:rFonts w:ascii="Microsoft Sans Serif" w:eastAsia="Microsoft Sans Serif" w:hAnsi="Microsoft Sans Serif" w:cs="Microsoft Sans Serif"/>
          <w:szCs w:val="22"/>
        </w:rPr>
        <w:t>LAUREN M BURGE ESQUIRE</w:t>
      </w:r>
      <w:r w:rsidRPr="00246E6A">
        <w:rPr>
          <w:rFonts w:ascii="Microsoft Sans Serif" w:eastAsia="Microsoft Sans Serif" w:hAnsi="Microsoft Sans Serif" w:cs="Microsoft Sans Serif"/>
          <w:szCs w:val="22"/>
        </w:rPr>
        <w:cr/>
        <w:t>DEANNE ODELL ESQUIRE</w:t>
      </w:r>
      <w:r w:rsidRPr="00246E6A">
        <w:rPr>
          <w:rFonts w:ascii="Microsoft Sans Serif" w:eastAsia="Microsoft Sans Serif" w:hAnsi="Microsoft Sans Serif" w:cs="Microsoft Sans Serif"/>
          <w:szCs w:val="22"/>
        </w:rPr>
        <w:br/>
        <w:t>ECKERT SEAMANS CHERIN &amp; MELLOTT LLC</w:t>
      </w:r>
      <w:r w:rsidRPr="00246E6A">
        <w:rPr>
          <w:rFonts w:ascii="Microsoft Sans Serif" w:eastAsia="Microsoft Sans Serif" w:hAnsi="Microsoft Sans Serif" w:cs="Microsoft Sans Serif"/>
          <w:szCs w:val="22"/>
        </w:rPr>
        <w:cr/>
        <w:t>600 GRANT STREET 44TH FLOOR</w:t>
      </w:r>
      <w:r w:rsidRPr="00246E6A">
        <w:rPr>
          <w:rFonts w:ascii="Microsoft Sans Serif" w:eastAsia="Microsoft Sans Serif" w:hAnsi="Microsoft Sans Serif" w:cs="Microsoft Sans Serif"/>
          <w:szCs w:val="22"/>
        </w:rPr>
        <w:cr/>
        <w:t>PITTSBURGH PA  15219</w:t>
      </w:r>
      <w:r w:rsidRPr="00246E6A">
        <w:rPr>
          <w:rFonts w:ascii="Microsoft Sans Serif" w:eastAsia="Microsoft Sans Serif" w:hAnsi="Microsoft Sans Serif" w:cs="Microsoft Sans Serif"/>
          <w:szCs w:val="22"/>
        </w:rPr>
        <w:cr/>
      </w:r>
      <w:r w:rsidRPr="00246E6A">
        <w:rPr>
          <w:rFonts w:ascii="Microsoft Sans Serif" w:eastAsia="Microsoft Sans Serif" w:hAnsi="Microsoft Sans Serif" w:cs="Microsoft Sans Serif"/>
          <w:b/>
          <w:bCs/>
          <w:szCs w:val="22"/>
        </w:rPr>
        <w:t>412.566.2146</w:t>
      </w:r>
      <w:r w:rsidRPr="00246E6A">
        <w:rPr>
          <w:rFonts w:ascii="Microsoft Sans Serif" w:eastAsia="Microsoft Sans Serif" w:hAnsi="Microsoft Sans Serif" w:cs="Microsoft Sans Serif"/>
          <w:szCs w:val="22"/>
        </w:rPr>
        <w:cr/>
        <w:t>lburge@eckertseamans.com</w:t>
      </w:r>
      <w:r w:rsidRPr="00246E6A">
        <w:rPr>
          <w:rFonts w:ascii="Microsoft Sans Serif" w:eastAsia="Microsoft Sans Serif" w:hAnsi="Microsoft Sans Serif" w:cs="Microsoft Sans Serif"/>
          <w:szCs w:val="22"/>
        </w:rPr>
        <w:cr/>
        <w:t>dodell@eckertseamans.com</w:t>
      </w:r>
      <w:r w:rsidRPr="00246E6A">
        <w:rPr>
          <w:rFonts w:ascii="Microsoft Sans Serif" w:eastAsia="Microsoft Sans Serif" w:hAnsi="Microsoft Sans Serif" w:cs="Microsoft Sans Serif"/>
          <w:szCs w:val="22"/>
        </w:rPr>
        <w:br/>
        <w:t>Accepts eService</w:t>
      </w:r>
      <w:r w:rsidRPr="00246E6A">
        <w:rPr>
          <w:rFonts w:ascii="Microsoft Sans Serif" w:eastAsia="Microsoft Sans Serif" w:hAnsi="Microsoft Sans Serif" w:cs="Microsoft Sans Serif"/>
          <w:szCs w:val="22"/>
        </w:rPr>
        <w:cr/>
      </w:r>
      <w:r w:rsidRPr="00246E6A">
        <w:rPr>
          <w:rFonts w:ascii="Microsoft Sans Serif" w:eastAsia="Microsoft Sans Serif" w:hAnsi="Microsoft Sans Serif" w:cs="Microsoft Sans Serif"/>
          <w:szCs w:val="22"/>
        </w:rPr>
        <w:cr/>
        <w:t>JOLINE PRICE ATTORNEY</w:t>
      </w:r>
      <w:r w:rsidRPr="00246E6A">
        <w:rPr>
          <w:rFonts w:ascii="Microsoft Sans Serif" w:eastAsia="Microsoft Sans Serif" w:hAnsi="Microsoft Sans Serif" w:cs="Microsoft Sans Serif"/>
          <w:szCs w:val="22"/>
        </w:rPr>
        <w:cr/>
        <w:t>ROBERT W BALLENGER ESQUIRE</w:t>
      </w:r>
    </w:p>
    <w:p w14:paraId="05940460" w14:textId="77777777" w:rsidR="00246E6A" w:rsidRPr="00246E6A" w:rsidRDefault="00246E6A" w:rsidP="00246E6A">
      <w:pPr>
        <w:spacing w:line="240" w:lineRule="auto"/>
        <w:rPr>
          <w:rFonts w:ascii="Microsoft Sans Serif" w:eastAsia="Microsoft Sans Serif" w:hAnsi="Microsoft Sans Serif" w:cs="Microsoft Sans Serif"/>
          <w:szCs w:val="22"/>
        </w:rPr>
      </w:pPr>
      <w:r w:rsidRPr="00246E6A">
        <w:rPr>
          <w:rFonts w:ascii="Microsoft Sans Serif" w:eastAsia="Microsoft Sans Serif" w:hAnsi="Microsoft Sans Serif" w:cs="Microsoft Sans Serif"/>
          <w:szCs w:val="22"/>
        </w:rPr>
        <w:t>KINTESHA S SCOTT ESQUIRE</w:t>
      </w:r>
    </w:p>
    <w:p w14:paraId="1A788209" w14:textId="77777777" w:rsidR="00246E6A" w:rsidRPr="00246E6A" w:rsidRDefault="00246E6A" w:rsidP="00246E6A">
      <w:pPr>
        <w:spacing w:line="240" w:lineRule="auto"/>
        <w:rPr>
          <w:rFonts w:ascii="Microsoft Sans Serif" w:eastAsia="Microsoft Sans Serif" w:hAnsi="Microsoft Sans Serif" w:cs="Microsoft Sans Serif"/>
          <w:szCs w:val="22"/>
        </w:rPr>
      </w:pPr>
      <w:r w:rsidRPr="00246E6A">
        <w:rPr>
          <w:rFonts w:ascii="Microsoft Sans Serif" w:eastAsia="Microsoft Sans Serif" w:hAnsi="Microsoft Sans Serif" w:cs="Microsoft Sans Serif"/>
          <w:szCs w:val="22"/>
        </w:rPr>
        <w:t>COMMUNITY LEGAL SERVICES</w:t>
      </w:r>
      <w:r w:rsidRPr="00246E6A">
        <w:rPr>
          <w:rFonts w:ascii="Microsoft Sans Serif" w:eastAsia="Microsoft Sans Serif" w:hAnsi="Microsoft Sans Serif" w:cs="Microsoft Sans Serif"/>
          <w:szCs w:val="22"/>
        </w:rPr>
        <w:cr/>
        <w:t>1424 CHESTNUT STREET</w:t>
      </w:r>
      <w:r w:rsidRPr="00246E6A">
        <w:rPr>
          <w:rFonts w:ascii="Microsoft Sans Serif" w:eastAsia="Microsoft Sans Serif" w:hAnsi="Microsoft Sans Serif" w:cs="Microsoft Sans Serif"/>
          <w:szCs w:val="22"/>
        </w:rPr>
        <w:cr/>
        <w:t>PHILADELPHIA PA  19102</w:t>
      </w:r>
      <w:r w:rsidRPr="00246E6A">
        <w:rPr>
          <w:rFonts w:ascii="Microsoft Sans Serif" w:eastAsia="Microsoft Sans Serif" w:hAnsi="Microsoft Sans Serif" w:cs="Microsoft Sans Serif"/>
          <w:szCs w:val="22"/>
        </w:rPr>
        <w:cr/>
      </w:r>
      <w:r w:rsidRPr="00246E6A">
        <w:rPr>
          <w:rFonts w:ascii="Microsoft Sans Serif" w:eastAsia="Microsoft Sans Serif" w:hAnsi="Microsoft Sans Serif" w:cs="Microsoft Sans Serif"/>
          <w:b/>
          <w:bCs/>
          <w:szCs w:val="22"/>
        </w:rPr>
        <w:t>215.981.3756</w:t>
      </w:r>
      <w:r w:rsidRPr="00246E6A">
        <w:rPr>
          <w:rFonts w:ascii="Microsoft Sans Serif" w:eastAsia="Microsoft Sans Serif" w:hAnsi="Microsoft Sans Serif" w:cs="Microsoft Sans Serif"/>
          <w:b/>
          <w:bCs/>
          <w:szCs w:val="22"/>
        </w:rPr>
        <w:cr/>
      </w:r>
      <w:r w:rsidRPr="00246E6A">
        <w:rPr>
          <w:rFonts w:ascii="Microsoft Sans Serif" w:eastAsia="Microsoft Sans Serif" w:hAnsi="Microsoft Sans Serif" w:cs="Microsoft Sans Serif"/>
          <w:szCs w:val="22"/>
        </w:rPr>
        <w:t>jprice@clsphila.org</w:t>
      </w:r>
      <w:r w:rsidRPr="00246E6A">
        <w:rPr>
          <w:rFonts w:ascii="Microsoft Sans Serif" w:eastAsia="Microsoft Sans Serif" w:hAnsi="Microsoft Sans Serif" w:cs="Microsoft Sans Serif"/>
          <w:szCs w:val="22"/>
        </w:rPr>
        <w:cr/>
        <w:t>rballenger@clsphila.org</w:t>
      </w:r>
    </w:p>
    <w:p w14:paraId="1C215EBA" w14:textId="77777777" w:rsidR="00246E6A" w:rsidRPr="00246E6A" w:rsidRDefault="00246E6A" w:rsidP="00246E6A">
      <w:pPr>
        <w:spacing w:line="240" w:lineRule="auto"/>
        <w:rPr>
          <w:rFonts w:ascii="Microsoft Sans Serif" w:eastAsia="Microsoft Sans Serif" w:hAnsi="Microsoft Sans Serif" w:cs="Microsoft Sans Serif"/>
          <w:szCs w:val="22"/>
        </w:rPr>
      </w:pPr>
      <w:r w:rsidRPr="00246E6A">
        <w:rPr>
          <w:rFonts w:ascii="Microsoft Sans Serif" w:eastAsia="Microsoft Sans Serif" w:hAnsi="Microsoft Sans Serif" w:cs="Microsoft Sans Serif"/>
          <w:szCs w:val="22"/>
        </w:rPr>
        <w:t>kscott@clsphila.org</w:t>
      </w:r>
    </w:p>
    <w:p w14:paraId="473BB5AD" w14:textId="77777777" w:rsidR="00246E6A" w:rsidRPr="00246E6A" w:rsidRDefault="00246E6A" w:rsidP="00246E6A">
      <w:pPr>
        <w:spacing w:line="240" w:lineRule="auto"/>
        <w:rPr>
          <w:rFonts w:ascii="Microsoft Sans Serif" w:eastAsia="Microsoft Sans Serif" w:hAnsi="Microsoft Sans Serif" w:cs="Microsoft Sans Serif"/>
          <w:szCs w:val="22"/>
        </w:rPr>
      </w:pPr>
      <w:r w:rsidRPr="00246E6A">
        <w:rPr>
          <w:rFonts w:ascii="Microsoft Sans Serif" w:eastAsia="Microsoft Sans Serif" w:hAnsi="Microsoft Sans Serif" w:cs="Microsoft Sans Serif"/>
          <w:szCs w:val="22"/>
        </w:rPr>
        <w:t>Accepts eService</w:t>
      </w:r>
      <w:r w:rsidRPr="00246E6A">
        <w:rPr>
          <w:rFonts w:ascii="Microsoft Sans Serif" w:eastAsia="Microsoft Sans Serif" w:hAnsi="Microsoft Sans Serif" w:cs="Microsoft Sans Serif"/>
          <w:szCs w:val="22"/>
        </w:rPr>
        <w:cr/>
      </w:r>
      <w:r w:rsidRPr="00246E6A">
        <w:rPr>
          <w:rFonts w:ascii="Microsoft Sans Serif" w:eastAsia="Microsoft Sans Serif" w:hAnsi="Microsoft Sans Serif" w:cs="Microsoft Sans Serif"/>
          <w:szCs w:val="22"/>
        </w:rPr>
        <w:cr/>
        <w:t>ELIZABETH R MARX ESQUIRE</w:t>
      </w:r>
    </w:p>
    <w:p w14:paraId="58B578DA" w14:textId="77777777" w:rsidR="00246E6A" w:rsidRPr="00246E6A" w:rsidRDefault="00246E6A" w:rsidP="00246E6A">
      <w:pPr>
        <w:spacing w:line="240" w:lineRule="auto"/>
        <w:rPr>
          <w:rFonts w:ascii="Microsoft Sans Serif" w:eastAsia="Microsoft Sans Serif" w:hAnsi="Microsoft Sans Serif" w:cs="Microsoft Sans Serif"/>
          <w:szCs w:val="22"/>
        </w:rPr>
      </w:pPr>
      <w:r w:rsidRPr="00246E6A">
        <w:rPr>
          <w:rFonts w:ascii="Microsoft Sans Serif" w:eastAsia="Microsoft Sans Serif" w:hAnsi="Microsoft Sans Serif" w:cs="Microsoft Sans Serif"/>
          <w:szCs w:val="22"/>
        </w:rPr>
        <w:t>LAUREN BERMAN ESQUIRE</w:t>
      </w:r>
    </w:p>
    <w:p w14:paraId="44EA1637" w14:textId="77777777" w:rsidR="00246E6A" w:rsidRPr="00246E6A" w:rsidRDefault="00246E6A" w:rsidP="00246E6A">
      <w:pPr>
        <w:spacing w:line="240" w:lineRule="auto"/>
        <w:rPr>
          <w:rFonts w:ascii="Microsoft Sans Serif" w:eastAsia="Microsoft Sans Serif" w:hAnsi="Microsoft Sans Serif" w:cs="Microsoft Sans Serif"/>
          <w:szCs w:val="22"/>
        </w:rPr>
      </w:pPr>
      <w:r w:rsidRPr="00246E6A">
        <w:rPr>
          <w:rFonts w:ascii="Microsoft Sans Serif" w:eastAsia="Microsoft Sans Serif" w:hAnsi="Microsoft Sans Serif" w:cs="Microsoft Sans Serif"/>
          <w:szCs w:val="22"/>
        </w:rPr>
        <w:t>RIA PEREIRA ATTORNEY</w:t>
      </w:r>
    </w:p>
    <w:p w14:paraId="63631FB5" w14:textId="77777777" w:rsidR="00246E6A" w:rsidRPr="00246E6A" w:rsidRDefault="00246E6A" w:rsidP="00246E6A">
      <w:pPr>
        <w:spacing w:line="240" w:lineRule="auto"/>
        <w:rPr>
          <w:rFonts w:ascii="Microsoft Sans Serif" w:eastAsia="Microsoft Sans Serif" w:hAnsi="Microsoft Sans Serif" w:cs="Microsoft Sans Serif"/>
          <w:szCs w:val="22"/>
        </w:rPr>
      </w:pPr>
      <w:r w:rsidRPr="00246E6A">
        <w:rPr>
          <w:rFonts w:ascii="Microsoft Sans Serif" w:eastAsia="Microsoft Sans Serif" w:hAnsi="Microsoft Sans Serif" w:cs="Microsoft Sans Serif"/>
          <w:szCs w:val="22"/>
        </w:rPr>
        <w:t>JOHN SWEET ESQUIRE</w:t>
      </w:r>
    </w:p>
    <w:p w14:paraId="6CC459E3" w14:textId="77777777" w:rsidR="00246E6A" w:rsidRPr="00246E6A" w:rsidRDefault="00246E6A" w:rsidP="00246E6A">
      <w:pPr>
        <w:spacing w:line="240" w:lineRule="auto"/>
        <w:rPr>
          <w:rFonts w:ascii="Microsoft Sans Serif" w:eastAsia="Microsoft Sans Serif" w:hAnsi="Microsoft Sans Serif" w:cs="Microsoft Sans Serif"/>
          <w:szCs w:val="22"/>
        </w:rPr>
      </w:pPr>
      <w:r w:rsidRPr="00246E6A">
        <w:rPr>
          <w:rFonts w:ascii="Microsoft Sans Serif" w:eastAsia="Microsoft Sans Serif" w:hAnsi="Microsoft Sans Serif" w:cs="Microsoft Sans Serif"/>
          <w:szCs w:val="22"/>
        </w:rPr>
        <w:t>PA UTILITY LAW PROJECT</w:t>
      </w:r>
      <w:r w:rsidRPr="00246E6A">
        <w:rPr>
          <w:rFonts w:ascii="Microsoft Sans Serif" w:eastAsia="Microsoft Sans Serif" w:hAnsi="Microsoft Sans Serif" w:cs="Microsoft Sans Serif"/>
          <w:szCs w:val="22"/>
        </w:rPr>
        <w:cr/>
        <w:t>118 LOCUST STREET</w:t>
      </w:r>
      <w:r w:rsidRPr="00246E6A">
        <w:rPr>
          <w:rFonts w:ascii="Microsoft Sans Serif" w:eastAsia="Microsoft Sans Serif" w:hAnsi="Microsoft Sans Serif" w:cs="Microsoft Sans Serif"/>
          <w:szCs w:val="22"/>
        </w:rPr>
        <w:cr/>
        <w:t>HARRISBURG PA  17101</w:t>
      </w:r>
      <w:r w:rsidRPr="00246E6A">
        <w:rPr>
          <w:rFonts w:ascii="Microsoft Sans Serif" w:eastAsia="Microsoft Sans Serif" w:hAnsi="Microsoft Sans Serif" w:cs="Microsoft Sans Serif"/>
          <w:szCs w:val="22"/>
        </w:rPr>
        <w:cr/>
      </w:r>
      <w:r w:rsidRPr="00246E6A">
        <w:rPr>
          <w:rFonts w:ascii="Microsoft Sans Serif" w:eastAsia="Microsoft Sans Serif" w:hAnsi="Microsoft Sans Serif" w:cs="Microsoft Sans Serif"/>
          <w:b/>
          <w:bCs/>
          <w:szCs w:val="22"/>
        </w:rPr>
        <w:t>717.236.9486</w:t>
      </w:r>
      <w:r w:rsidRPr="00246E6A">
        <w:rPr>
          <w:rFonts w:ascii="Microsoft Sans Serif" w:eastAsia="Microsoft Sans Serif" w:hAnsi="Microsoft Sans Serif" w:cs="Microsoft Sans Serif"/>
          <w:szCs w:val="22"/>
        </w:rPr>
        <w:cr/>
        <w:t>emarx@pautilitylawproject.org</w:t>
      </w:r>
      <w:r w:rsidRPr="00246E6A">
        <w:rPr>
          <w:rFonts w:ascii="Microsoft Sans Serif" w:eastAsia="Microsoft Sans Serif" w:hAnsi="Microsoft Sans Serif" w:cs="Microsoft Sans Serif"/>
          <w:szCs w:val="22"/>
        </w:rPr>
        <w:cr/>
        <w:t>lberman@pautilitylawproject.org</w:t>
      </w:r>
    </w:p>
    <w:p w14:paraId="43B95253" w14:textId="77777777" w:rsidR="00246E6A" w:rsidRPr="00246E6A" w:rsidRDefault="00246E6A" w:rsidP="00246E6A">
      <w:pPr>
        <w:spacing w:line="240" w:lineRule="auto"/>
        <w:rPr>
          <w:rFonts w:ascii="Microsoft Sans Serif" w:eastAsia="Microsoft Sans Serif" w:hAnsi="Microsoft Sans Serif" w:cs="Microsoft Sans Serif"/>
          <w:szCs w:val="22"/>
        </w:rPr>
      </w:pPr>
      <w:r w:rsidRPr="00246E6A">
        <w:rPr>
          <w:rFonts w:ascii="Microsoft Sans Serif" w:eastAsia="Microsoft Sans Serif" w:hAnsi="Microsoft Sans Serif" w:cs="Microsoft Sans Serif"/>
          <w:szCs w:val="22"/>
        </w:rPr>
        <w:t>rpereira@pautilitylawproject.org</w:t>
      </w:r>
    </w:p>
    <w:p w14:paraId="3798138B" w14:textId="77777777" w:rsidR="00246E6A" w:rsidRPr="00246E6A" w:rsidRDefault="00246E6A" w:rsidP="00246E6A">
      <w:pPr>
        <w:spacing w:line="240" w:lineRule="auto"/>
        <w:rPr>
          <w:rFonts w:ascii="Microsoft Sans Serif" w:eastAsia="Microsoft Sans Serif" w:hAnsi="Microsoft Sans Serif" w:cs="Microsoft Sans Serif"/>
          <w:szCs w:val="22"/>
        </w:rPr>
      </w:pPr>
      <w:r w:rsidRPr="00246E6A">
        <w:rPr>
          <w:rFonts w:ascii="Microsoft Sans Serif" w:eastAsia="Microsoft Sans Serif" w:hAnsi="Microsoft Sans Serif" w:cs="Microsoft Sans Serif"/>
          <w:szCs w:val="22"/>
        </w:rPr>
        <w:t>jsweet@pautilitylawproject.org</w:t>
      </w:r>
    </w:p>
    <w:p w14:paraId="603289B8" w14:textId="77777777" w:rsidR="00246E6A" w:rsidRPr="00246E6A" w:rsidRDefault="00246E6A" w:rsidP="00246E6A">
      <w:pPr>
        <w:spacing w:line="240" w:lineRule="auto"/>
        <w:rPr>
          <w:rFonts w:ascii="Microsoft Sans Serif" w:eastAsia="Microsoft Sans Serif" w:hAnsi="Microsoft Sans Serif" w:cs="Microsoft Sans Serif"/>
          <w:szCs w:val="22"/>
        </w:rPr>
      </w:pPr>
      <w:r w:rsidRPr="00246E6A">
        <w:rPr>
          <w:rFonts w:ascii="Microsoft Sans Serif" w:eastAsia="Microsoft Sans Serif" w:hAnsi="Microsoft Sans Serif" w:cs="Microsoft Sans Serif"/>
          <w:szCs w:val="22"/>
        </w:rPr>
        <w:t>Accepts eService</w:t>
      </w:r>
      <w:r w:rsidRPr="00246E6A">
        <w:rPr>
          <w:rFonts w:ascii="Microsoft Sans Serif" w:eastAsia="Microsoft Sans Serif" w:hAnsi="Microsoft Sans Serif" w:cs="Microsoft Sans Serif"/>
          <w:szCs w:val="22"/>
        </w:rPr>
        <w:cr/>
      </w:r>
      <w:r w:rsidRPr="00246E6A">
        <w:rPr>
          <w:rFonts w:ascii="Microsoft Sans Serif" w:eastAsia="Microsoft Sans Serif" w:hAnsi="Microsoft Sans Serif" w:cs="Microsoft Sans Serif"/>
          <w:szCs w:val="22"/>
        </w:rPr>
        <w:cr/>
      </w:r>
    </w:p>
    <w:p w14:paraId="0DDA49F7" w14:textId="77777777" w:rsidR="00246E6A" w:rsidRPr="00246E6A" w:rsidRDefault="00246E6A" w:rsidP="00246E6A">
      <w:pPr>
        <w:spacing w:line="240" w:lineRule="auto"/>
        <w:rPr>
          <w:rFonts w:ascii="Microsoft Sans Serif" w:eastAsia="Microsoft Sans Serif" w:hAnsi="Microsoft Sans Serif" w:cs="Microsoft Sans Serif"/>
          <w:szCs w:val="22"/>
        </w:rPr>
      </w:pPr>
    </w:p>
    <w:p w14:paraId="0A542E59" w14:textId="77777777" w:rsidR="00246E6A" w:rsidRPr="00246E6A" w:rsidRDefault="00246E6A" w:rsidP="00246E6A">
      <w:pPr>
        <w:spacing w:line="240" w:lineRule="auto"/>
        <w:rPr>
          <w:rFonts w:ascii="Microsoft Sans Serif" w:eastAsia="Microsoft Sans Serif" w:hAnsi="Microsoft Sans Serif" w:cs="Microsoft Sans Serif"/>
          <w:szCs w:val="22"/>
        </w:rPr>
      </w:pPr>
    </w:p>
    <w:p w14:paraId="5A82C6DA" w14:textId="77777777" w:rsidR="00246E6A" w:rsidRPr="00246E6A" w:rsidRDefault="00246E6A" w:rsidP="00246E6A">
      <w:pPr>
        <w:spacing w:line="240" w:lineRule="auto"/>
        <w:rPr>
          <w:rFonts w:ascii="Microsoft Sans Serif" w:eastAsia="Microsoft Sans Serif" w:hAnsi="Microsoft Sans Serif" w:cs="Microsoft Sans Serif"/>
          <w:szCs w:val="22"/>
        </w:rPr>
      </w:pPr>
    </w:p>
    <w:p w14:paraId="66136DB6" w14:textId="77777777" w:rsidR="00246E6A" w:rsidRPr="00246E6A" w:rsidRDefault="00246E6A" w:rsidP="00246E6A">
      <w:pPr>
        <w:spacing w:line="240" w:lineRule="auto"/>
        <w:rPr>
          <w:rFonts w:ascii="Microsoft Sans Serif" w:eastAsia="Microsoft Sans Serif" w:hAnsi="Microsoft Sans Serif" w:cs="Microsoft Sans Serif"/>
          <w:szCs w:val="22"/>
        </w:rPr>
      </w:pPr>
    </w:p>
    <w:p w14:paraId="1264DB20" w14:textId="77777777" w:rsidR="00246E6A" w:rsidRPr="00246E6A" w:rsidRDefault="00246E6A" w:rsidP="00246E6A">
      <w:pPr>
        <w:spacing w:line="240" w:lineRule="auto"/>
        <w:rPr>
          <w:rFonts w:ascii="Microsoft Sans Serif" w:eastAsia="Microsoft Sans Serif" w:hAnsi="Microsoft Sans Serif" w:cs="Microsoft Sans Serif"/>
          <w:szCs w:val="22"/>
        </w:rPr>
      </w:pPr>
    </w:p>
    <w:p w14:paraId="423725B4" w14:textId="77777777" w:rsidR="00246E6A" w:rsidRPr="00246E6A" w:rsidRDefault="00246E6A" w:rsidP="00246E6A">
      <w:pPr>
        <w:spacing w:line="240" w:lineRule="auto"/>
        <w:rPr>
          <w:rFonts w:ascii="Microsoft Sans Serif" w:eastAsia="Microsoft Sans Serif" w:hAnsi="Microsoft Sans Serif" w:cs="Microsoft Sans Serif"/>
          <w:szCs w:val="22"/>
        </w:rPr>
      </w:pPr>
      <w:r w:rsidRPr="00246E6A">
        <w:rPr>
          <w:rFonts w:ascii="Microsoft Sans Serif" w:eastAsia="Microsoft Sans Serif" w:hAnsi="Microsoft Sans Serif" w:cs="Microsoft Sans Serif"/>
          <w:szCs w:val="22"/>
        </w:rPr>
        <w:t>RICHARD KANASKIE ESQUIRE</w:t>
      </w:r>
    </w:p>
    <w:p w14:paraId="58AE4461" w14:textId="77777777" w:rsidR="00246E6A" w:rsidRPr="00246E6A" w:rsidRDefault="00246E6A" w:rsidP="00246E6A">
      <w:pPr>
        <w:spacing w:line="240" w:lineRule="auto"/>
        <w:rPr>
          <w:rFonts w:ascii="Microsoft Sans Serif" w:eastAsia="Microsoft Sans Serif" w:hAnsi="Microsoft Sans Serif" w:cs="Microsoft Sans Serif"/>
          <w:szCs w:val="22"/>
        </w:rPr>
      </w:pPr>
      <w:r w:rsidRPr="00246E6A">
        <w:rPr>
          <w:rFonts w:ascii="Microsoft Sans Serif" w:eastAsia="Microsoft Sans Serif" w:hAnsi="Microsoft Sans Serif" w:cs="Microsoft Sans Serif"/>
          <w:szCs w:val="22"/>
        </w:rPr>
        <w:t>BUREAU OF INVESTIGATION AND</w:t>
      </w:r>
    </w:p>
    <w:p w14:paraId="30821CD9" w14:textId="77777777" w:rsidR="00246E6A" w:rsidRPr="00246E6A" w:rsidRDefault="00246E6A" w:rsidP="00246E6A">
      <w:pPr>
        <w:spacing w:line="240" w:lineRule="auto"/>
        <w:rPr>
          <w:rFonts w:ascii="Microsoft Sans Serif" w:eastAsia="Microsoft Sans Serif" w:hAnsi="Microsoft Sans Serif" w:cs="Microsoft Sans Serif"/>
          <w:szCs w:val="22"/>
        </w:rPr>
      </w:pPr>
      <w:r w:rsidRPr="00246E6A">
        <w:rPr>
          <w:rFonts w:ascii="Microsoft Sans Serif" w:eastAsia="Microsoft Sans Serif" w:hAnsi="Microsoft Sans Serif" w:cs="Microsoft Sans Serif"/>
          <w:szCs w:val="22"/>
        </w:rPr>
        <w:t>ENFORCEMENT</w:t>
      </w:r>
    </w:p>
    <w:p w14:paraId="0A9981FC" w14:textId="77777777" w:rsidR="00246E6A" w:rsidRPr="00246E6A" w:rsidRDefault="00246E6A" w:rsidP="00246E6A">
      <w:pPr>
        <w:spacing w:line="240" w:lineRule="auto"/>
        <w:rPr>
          <w:rFonts w:ascii="Microsoft Sans Serif" w:eastAsia="Microsoft Sans Serif" w:hAnsi="Microsoft Sans Serif" w:cs="Microsoft Sans Serif"/>
          <w:szCs w:val="22"/>
        </w:rPr>
      </w:pPr>
      <w:r w:rsidRPr="00246E6A">
        <w:rPr>
          <w:rFonts w:ascii="Microsoft Sans Serif" w:eastAsia="Microsoft Sans Serif" w:hAnsi="Microsoft Sans Serif" w:cs="Microsoft Sans Serif"/>
          <w:szCs w:val="22"/>
        </w:rPr>
        <w:t>PA PUBLIC UTILITY COMMISSION</w:t>
      </w:r>
    </w:p>
    <w:p w14:paraId="3E1C4929" w14:textId="77777777" w:rsidR="00246E6A" w:rsidRPr="00246E6A" w:rsidRDefault="00246E6A" w:rsidP="00246E6A">
      <w:pPr>
        <w:spacing w:line="240" w:lineRule="auto"/>
        <w:rPr>
          <w:rFonts w:ascii="Microsoft Sans Serif" w:eastAsia="Microsoft Sans Serif" w:hAnsi="Microsoft Sans Serif" w:cs="Microsoft Sans Serif"/>
          <w:szCs w:val="22"/>
        </w:rPr>
      </w:pPr>
      <w:r w:rsidRPr="00246E6A">
        <w:rPr>
          <w:rFonts w:ascii="Microsoft Sans Serif" w:eastAsia="Microsoft Sans Serif" w:hAnsi="Microsoft Sans Serif" w:cs="Microsoft Sans Serif"/>
          <w:szCs w:val="22"/>
        </w:rPr>
        <w:t>400 NORTH STREET</w:t>
      </w:r>
    </w:p>
    <w:p w14:paraId="5E2F6E9A" w14:textId="77777777" w:rsidR="00246E6A" w:rsidRPr="00246E6A" w:rsidRDefault="00246E6A" w:rsidP="00246E6A">
      <w:pPr>
        <w:spacing w:line="240" w:lineRule="auto"/>
        <w:rPr>
          <w:rFonts w:ascii="Microsoft Sans Serif" w:eastAsia="Microsoft Sans Serif" w:hAnsi="Microsoft Sans Serif" w:cs="Microsoft Sans Serif"/>
          <w:szCs w:val="22"/>
        </w:rPr>
      </w:pPr>
      <w:r w:rsidRPr="00246E6A">
        <w:rPr>
          <w:rFonts w:ascii="Microsoft Sans Serif" w:eastAsia="Microsoft Sans Serif" w:hAnsi="Microsoft Sans Serif" w:cs="Microsoft Sans Serif"/>
          <w:szCs w:val="22"/>
        </w:rPr>
        <w:t>2</w:t>
      </w:r>
      <w:r w:rsidRPr="00246E6A">
        <w:rPr>
          <w:rFonts w:ascii="Microsoft Sans Serif" w:eastAsia="Microsoft Sans Serif" w:hAnsi="Microsoft Sans Serif" w:cs="Microsoft Sans Serif"/>
          <w:szCs w:val="22"/>
          <w:vertAlign w:val="superscript"/>
        </w:rPr>
        <w:t>ND</w:t>
      </w:r>
      <w:r w:rsidRPr="00246E6A">
        <w:rPr>
          <w:rFonts w:ascii="Microsoft Sans Serif" w:eastAsia="Microsoft Sans Serif" w:hAnsi="Microsoft Sans Serif" w:cs="Microsoft Sans Serif"/>
          <w:szCs w:val="22"/>
        </w:rPr>
        <w:t xml:space="preserve"> FLOOR</w:t>
      </w:r>
    </w:p>
    <w:p w14:paraId="5CB2F970" w14:textId="77777777" w:rsidR="00246E6A" w:rsidRPr="00246E6A" w:rsidRDefault="00246E6A" w:rsidP="00246E6A">
      <w:pPr>
        <w:spacing w:line="240" w:lineRule="auto"/>
        <w:rPr>
          <w:rFonts w:ascii="Microsoft Sans Serif" w:eastAsia="Microsoft Sans Serif" w:hAnsi="Microsoft Sans Serif" w:cs="Microsoft Sans Serif"/>
          <w:szCs w:val="22"/>
        </w:rPr>
      </w:pPr>
      <w:r w:rsidRPr="00246E6A">
        <w:rPr>
          <w:rFonts w:ascii="Microsoft Sans Serif" w:eastAsia="Microsoft Sans Serif" w:hAnsi="Microsoft Sans Serif" w:cs="Microsoft Sans Serif"/>
          <w:szCs w:val="22"/>
        </w:rPr>
        <w:t>HARRISBURG PA  17120</w:t>
      </w:r>
    </w:p>
    <w:p w14:paraId="59182251" w14:textId="77777777" w:rsidR="00246E6A" w:rsidRPr="00246E6A" w:rsidRDefault="00246E6A" w:rsidP="00246E6A">
      <w:pPr>
        <w:spacing w:line="240" w:lineRule="auto"/>
        <w:rPr>
          <w:rFonts w:ascii="Microsoft Sans Serif" w:eastAsia="Microsoft Sans Serif" w:hAnsi="Microsoft Sans Serif" w:cs="Microsoft Sans Serif"/>
          <w:szCs w:val="22"/>
        </w:rPr>
      </w:pPr>
      <w:r w:rsidRPr="00246E6A">
        <w:rPr>
          <w:rFonts w:ascii="Microsoft Sans Serif" w:eastAsia="Microsoft Sans Serif" w:hAnsi="Microsoft Sans Serif" w:cs="Microsoft Sans Serif"/>
          <w:szCs w:val="22"/>
        </w:rPr>
        <w:t>rkanaskie@pa.gov</w:t>
      </w:r>
    </w:p>
    <w:p w14:paraId="0DE95518" w14:textId="77777777" w:rsidR="00246E6A" w:rsidRPr="00246E6A" w:rsidRDefault="00246E6A" w:rsidP="00246E6A">
      <w:pPr>
        <w:spacing w:line="240" w:lineRule="auto"/>
        <w:rPr>
          <w:rFonts w:ascii="Microsoft Sans Serif" w:eastAsia="Microsoft Sans Serif" w:hAnsi="Microsoft Sans Serif" w:cs="Microsoft Sans Serif"/>
          <w:szCs w:val="22"/>
        </w:rPr>
      </w:pPr>
    </w:p>
    <w:p w14:paraId="4B724120" w14:textId="77777777" w:rsidR="00246E6A" w:rsidRPr="00246E6A" w:rsidRDefault="00246E6A" w:rsidP="00246E6A">
      <w:pPr>
        <w:spacing w:line="240" w:lineRule="auto"/>
        <w:rPr>
          <w:rFonts w:ascii="Microsoft Sans Serif" w:eastAsia="Microsoft Sans Serif" w:hAnsi="Microsoft Sans Serif" w:cs="Microsoft Sans Serif"/>
          <w:szCs w:val="22"/>
        </w:rPr>
      </w:pPr>
      <w:r w:rsidRPr="00246E6A">
        <w:rPr>
          <w:rFonts w:ascii="Microsoft Sans Serif" w:eastAsia="Microsoft Sans Serif" w:hAnsi="Microsoft Sans Serif" w:cs="Microsoft Sans Serif"/>
          <w:szCs w:val="22"/>
        </w:rPr>
        <w:t>CHRISTY APPLEBY ESQUIRE</w:t>
      </w:r>
      <w:r w:rsidRPr="00246E6A">
        <w:rPr>
          <w:rFonts w:ascii="Microsoft Sans Serif" w:eastAsia="Microsoft Sans Serif" w:hAnsi="Microsoft Sans Serif" w:cs="Microsoft Sans Serif"/>
          <w:szCs w:val="22"/>
        </w:rPr>
        <w:cr/>
        <w:t>DARRYL LAWRENCE ESQUIRE</w:t>
      </w:r>
    </w:p>
    <w:p w14:paraId="7939466F" w14:textId="77777777" w:rsidR="00246E6A" w:rsidRPr="00246E6A" w:rsidRDefault="00246E6A" w:rsidP="00246E6A">
      <w:pPr>
        <w:spacing w:line="240" w:lineRule="auto"/>
        <w:rPr>
          <w:rFonts w:ascii="Microsoft Sans Serif" w:eastAsia="Microsoft Sans Serif" w:hAnsi="Microsoft Sans Serif" w:cs="Microsoft Sans Serif"/>
          <w:szCs w:val="22"/>
        </w:rPr>
      </w:pPr>
      <w:r w:rsidRPr="00246E6A">
        <w:rPr>
          <w:rFonts w:ascii="Microsoft Sans Serif" w:eastAsia="Microsoft Sans Serif" w:hAnsi="Microsoft Sans Serif" w:cs="Microsoft Sans Serif"/>
          <w:szCs w:val="22"/>
        </w:rPr>
        <w:t>OFFICE OF CONSUMER ADVOCATE</w:t>
      </w:r>
      <w:r w:rsidRPr="00246E6A">
        <w:rPr>
          <w:rFonts w:ascii="Microsoft Sans Serif" w:eastAsia="Microsoft Sans Serif" w:hAnsi="Microsoft Sans Serif" w:cs="Microsoft Sans Serif"/>
          <w:szCs w:val="22"/>
        </w:rPr>
        <w:cr/>
        <w:t xml:space="preserve">555 WALNUT STREET 5TH FLOOR </w:t>
      </w:r>
      <w:r w:rsidRPr="00246E6A">
        <w:rPr>
          <w:rFonts w:ascii="Microsoft Sans Serif" w:eastAsia="Microsoft Sans Serif" w:hAnsi="Microsoft Sans Serif" w:cs="Microsoft Sans Serif"/>
          <w:szCs w:val="22"/>
        </w:rPr>
        <w:cr/>
        <w:t>FORUM PLACE</w:t>
      </w:r>
      <w:r w:rsidRPr="00246E6A">
        <w:rPr>
          <w:rFonts w:ascii="Microsoft Sans Serif" w:eastAsia="Microsoft Sans Serif" w:hAnsi="Microsoft Sans Serif" w:cs="Microsoft Sans Serif"/>
          <w:szCs w:val="22"/>
        </w:rPr>
        <w:cr/>
        <w:t>HARRISBURG PA  17101</w:t>
      </w:r>
      <w:r w:rsidRPr="00246E6A">
        <w:rPr>
          <w:rFonts w:ascii="Microsoft Sans Serif" w:eastAsia="Microsoft Sans Serif" w:hAnsi="Microsoft Sans Serif" w:cs="Microsoft Sans Serif"/>
          <w:szCs w:val="22"/>
        </w:rPr>
        <w:cr/>
      </w:r>
      <w:r w:rsidRPr="00246E6A">
        <w:rPr>
          <w:rFonts w:ascii="Microsoft Sans Serif" w:eastAsia="Microsoft Sans Serif" w:hAnsi="Microsoft Sans Serif" w:cs="Microsoft Sans Serif"/>
          <w:b/>
          <w:bCs/>
          <w:szCs w:val="22"/>
        </w:rPr>
        <w:t>717.783.5048</w:t>
      </w:r>
      <w:r w:rsidRPr="00246E6A">
        <w:rPr>
          <w:rFonts w:ascii="Microsoft Sans Serif" w:eastAsia="Microsoft Sans Serif" w:hAnsi="Microsoft Sans Serif" w:cs="Microsoft Sans Serif"/>
          <w:b/>
          <w:bCs/>
          <w:szCs w:val="22"/>
        </w:rPr>
        <w:cr/>
      </w:r>
      <w:r w:rsidRPr="00246E6A">
        <w:rPr>
          <w:rFonts w:ascii="Microsoft Sans Serif" w:eastAsia="Microsoft Sans Serif" w:hAnsi="Microsoft Sans Serif" w:cs="Microsoft Sans Serif"/>
          <w:szCs w:val="22"/>
        </w:rPr>
        <w:t>cappleby@paoca.org</w:t>
      </w:r>
      <w:r w:rsidRPr="00246E6A">
        <w:rPr>
          <w:rFonts w:ascii="Microsoft Sans Serif" w:eastAsia="Microsoft Sans Serif" w:hAnsi="Microsoft Sans Serif" w:cs="Microsoft Sans Serif"/>
          <w:szCs w:val="22"/>
        </w:rPr>
        <w:cr/>
        <w:t>dlawrence@paoca.org</w:t>
      </w:r>
    </w:p>
    <w:p w14:paraId="254FFA0D" w14:textId="77777777" w:rsidR="00246E6A" w:rsidRPr="00246E6A" w:rsidRDefault="00246E6A" w:rsidP="00246E6A">
      <w:pPr>
        <w:spacing w:line="240" w:lineRule="auto"/>
        <w:rPr>
          <w:rFonts w:ascii="Microsoft Sans Serif" w:eastAsia="Microsoft Sans Serif" w:hAnsi="Microsoft Sans Serif" w:cs="Microsoft Sans Serif"/>
          <w:szCs w:val="22"/>
        </w:rPr>
      </w:pPr>
      <w:r w:rsidRPr="00246E6A">
        <w:rPr>
          <w:rFonts w:ascii="Microsoft Sans Serif" w:eastAsia="Microsoft Sans Serif" w:hAnsi="Microsoft Sans Serif" w:cs="Microsoft Sans Serif"/>
          <w:szCs w:val="22"/>
        </w:rPr>
        <w:t>Accepts eService</w:t>
      </w:r>
      <w:r w:rsidRPr="00246E6A">
        <w:rPr>
          <w:rFonts w:ascii="Microsoft Sans Serif" w:eastAsia="Microsoft Sans Serif" w:hAnsi="Microsoft Sans Serif" w:cs="Microsoft Sans Serif"/>
          <w:szCs w:val="22"/>
        </w:rPr>
        <w:cr/>
      </w:r>
    </w:p>
    <w:p w14:paraId="08388397" w14:textId="77777777" w:rsidR="00246E6A" w:rsidRPr="00246E6A" w:rsidRDefault="00246E6A" w:rsidP="00246E6A">
      <w:pPr>
        <w:spacing w:line="240" w:lineRule="auto"/>
        <w:rPr>
          <w:rFonts w:ascii="Microsoft Sans Serif" w:eastAsia="Microsoft Sans Serif" w:hAnsi="Microsoft Sans Serif" w:cs="Microsoft Sans Serif"/>
          <w:szCs w:val="22"/>
        </w:rPr>
      </w:pPr>
      <w:r w:rsidRPr="00246E6A">
        <w:rPr>
          <w:rFonts w:ascii="Microsoft Sans Serif" w:eastAsia="Microsoft Sans Serif" w:hAnsi="Microsoft Sans Serif" w:cs="Microsoft Sans Serif"/>
          <w:szCs w:val="22"/>
        </w:rPr>
        <w:t>SHARON E WEBB ESQUIRE</w:t>
      </w:r>
      <w:r w:rsidRPr="00246E6A">
        <w:rPr>
          <w:rFonts w:ascii="Microsoft Sans Serif" w:eastAsia="Microsoft Sans Serif" w:hAnsi="Microsoft Sans Serif" w:cs="Microsoft Sans Serif"/>
          <w:szCs w:val="22"/>
        </w:rPr>
        <w:cr/>
        <w:t>OFFICE OF SMALL BUSINESS ADVOCATE</w:t>
      </w:r>
      <w:r w:rsidRPr="00246E6A">
        <w:rPr>
          <w:rFonts w:ascii="Microsoft Sans Serif" w:eastAsia="Microsoft Sans Serif" w:hAnsi="Microsoft Sans Serif" w:cs="Microsoft Sans Serif"/>
          <w:szCs w:val="22"/>
        </w:rPr>
        <w:cr/>
        <w:t>FORUM PLACE</w:t>
      </w:r>
      <w:r w:rsidRPr="00246E6A">
        <w:rPr>
          <w:rFonts w:ascii="Microsoft Sans Serif" w:eastAsia="Microsoft Sans Serif" w:hAnsi="Microsoft Sans Serif" w:cs="Microsoft Sans Serif"/>
          <w:szCs w:val="22"/>
        </w:rPr>
        <w:cr/>
        <w:t>555 WALNUT STREET 1ST FLOOR</w:t>
      </w:r>
      <w:r w:rsidRPr="00246E6A">
        <w:rPr>
          <w:rFonts w:ascii="Microsoft Sans Serif" w:eastAsia="Microsoft Sans Serif" w:hAnsi="Microsoft Sans Serif" w:cs="Microsoft Sans Serif"/>
          <w:szCs w:val="22"/>
        </w:rPr>
        <w:cr/>
        <w:t>HARRISBURG PA  17101</w:t>
      </w:r>
      <w:r w:rsidRPr="00246E6A">
        <w:rPr>
          <w:rFonts w:ascii="Microsoft Sans Serif" w:eastAsia="Microsoft Sans Serif" w:hAnsi="Microsoft Sans Serif" w:cs="Microsoft Sans Serif"/>
          <w:szCs w:val="22"/>
        </w:rPr>
        <w:cr/>
      </w:r>
      <w:r w:rsidRPr="00246E6A">
        <w:rPr>
          <w:rFonts w:ascii="Microsoft Sans Serif" w:eastAsia="Microsoft Sans Serif" w:hAnsi="Microsoft Sans Serif" w:cs="Microsoft Sans Serif"/>
          <w:b/>
          <w:bCs/>
          <w:szCs w:val="22"/>
        </w:rPr>
        <w:t>717.783.2525</w:t>
      </w:r>
      <w:r w:rsidRPr="00246E6A">
        <w:rPr>
          <w:rFonts w:ascii="Microsoft Sans Serif" w:eastAsia="Microsoft Sans Serif" w:hAnsi="Microsoft Sans Serif" w:cs="Microsoft Sans Serif"/>
          <w:szCs w:val="22"/>
        </w:rPr>
        <w:cr/>
        <w:t>swebb@pa.gov</w:t>
      </w:r>
      <w:r w:rsidRPr="00246E6A">
        <w:rPr>
          <w:rFonts w:ascii="Microsoft Sans Serif" w:eastAsia="Microsoft Sans Serif" w:hAnsi="Microsoft Sans Serif" w:cs="Microsoft Sans Serif"/>
          <w:szCs w:val="22"/>
        </w:rPr>
        <w:cr/>
      </w:r>
      <w:r w:rsidRPr="00246E6A">
        <w:rPr>
          <w:rFonts w:ascii="Microsoft Sans Serif" w:eastAsia="Microsoft Sans Serif" w:hAnsi="Microsoft Sans Serif" w:cs="Microsoft Sans Serif"/>
          <w:szCs w:val="22"/>
        </w:rPr>
        <w:cr/>
        <w:t>JOHN SWEET LEGAL COUNSEL</w:t>
      </w:r>
      <w:r w:rsidRPr="00246E6A">
        <w:rPr>
          <w:rFonts w:ascii="Microsoft Sans Serif" w:eastAsia="Microsoft Sans Serif" w:hAnsi="Microsoft Sans Serif" w:cs="Microsoft Sans Serif"/>
          <w:szCs w:val="22"/>
        </w:rPr>
        <w:cr/>
        <w:t>PA UTILITY LAW PROJECT</w:t>
      </w:r>
      <w:r w:rsidRPr="00246E6A">
        <w:rPr>
          <w:rFonts w:ascii="Microsoft Sans Serif" w:eastAsia="Microsoft Sans Serif" w:hAnsi="Microsoft Sans Serif" w:cs="Microsoft Sans Serif"/>
          <w:szCs w:val="22"/>
        </w:rPr>
        <w:cr/>
        <w:t>118 LOCUST STREET</w:t>
      </w:r>
      <w:r w:rsidRPr="00246E6A">
        <w:rPr>
          <w:rFonts w:ascii="Microsoft Sans Serif" w:eastAsia="Microsoft Sans Serif" w:hAnsi="Microsoft Sans Serif" w:cs="Microsoft Sans Serif"/>
          <w:szCs w:val="22"/>
        </w:rPr>
        <w:cr/>
        <w:t>HARRISBURG PA  17101</w:t>
      </w:r>
      <w:r w:rsidRPr="00246E6A">
        <w:rPr>
          <w:rFonts w:ascii="Microsoft Sans Serif" w:eastAsia="Microsoft Sans Serif" w:hAnsi="Microsoft Sans Serif" w:cs="Microsoft Sans Serif"/>
          <w:szCs w:val="22"/>
        </w:rPr>
        <w:cr/>
      </w:r>
      <w:r w:rsidRPr="00246E6A">
        <w:rPr>
          <w:rFonts w:ascii="Microsoft Sans Serif" w:eastAsia="Microsoft Sans Serif" w:hAnsi="Microsoft Sans Serif" w:cs="Microsoft Sans Serif"/>
          <w:b/>
          <w:bCs/>
          <w:szCs w:val="22"/>
        </w:rPr>
        <w:t>717.701.3837</w:t>
      </w:r>
      <w:r w:rsidRPr="00246E6A">
        <w:rPr>
          <w:rFonts w:ascii="Microsoft Sans Serif" w:eastAsia="Microsoft Sans Serif" w:hAnsi="Microsoft Sans Serif" w:cs="Microsoft Sans Serif"/>
          <w:szCs w:val="22"/>
        </w:rPr>
        <w:cr/>
        <w:t>jsweet@pautilitylawproject.org</w:t>
      </w:r>
      <w:r w:rsidRPr="00246E6A">
        <w:rPr>
          <w:rFonts w:ascii="Microsoft Sans Serif" w:eastAsia="Microsoft Sans Serif" w:hAnsi="Microsoft Sans Serif" w:cs="Microsoft Sans Serif"/>
          <w:szCs w:val="22"/>
        </w:rPr>
        <w:cr/>
        <w:t>Accepts eService</w:t>
      </w:r>
      <w:r w:rsidRPr="00246E6A">
        <w:rPr>
          <w:rFonts w:ascii="Microsoft Sans Serif" w:eastAsia="Microsoft Sans Serif" w:hAnsi="Microsoft Sans Serif" w:cs="Microsoft Sans Serif"/>
          <w:szCs w:val="22"/>
        </w:rPr>
        <w:cr/>
      </w:r>
      <w:r w:rsidRPr="00246E6A">
        <w:rPr>
          <w:rFonts w:ascii="Microsoft Sans Serif" w:eastAsia="Microsoft Sans Serif" w:hAnsi="Microsoft Sans Serif" w:cs="Microsoft Sans Serif"/>
          <w:szCs w:val="22"/>
        </w:rPr>
        <w:cr/>
      </w:r>
    </w:p>
    <w:p w14:paraId="7B1CFA8A" w14:textId="77777777" w:rsidR="00246E6A" w:rsidRPr="00246E6A" w:rsidRDefault="00246E6A" w:rsidP="00246E6A">
      <w:pPr>
        <w:spacing w:line="240" w:lineRule="auto"/>
        <w:rPr>
          <w:rFonts w:ascii="Microsoft Sans Serif" w:eastAsia="Microsoft Sans Serif" w:hAnsi="Microsoft Sans Serif" w:cs="Microsoft Sans Serif"/>
          <w:szCs w:val="22"/>
        </w:rPr>
      </w:pPr>
    </w:p>
    <w:p w14:paraId="21C4734D" w14:textId="77777777" w:rsidR="00246E6A" w:rsidRPr="00246E6A" w:rsidRDefault="00246E6A" w:rsidP="00246E6A">
      <w:pPr>
        <w:spacing w:line="240" w:lineRule="auto"/>
        <w:rPr>
          <w:rFonts w:ascii="Microsoft Sans Serif" w:eastAsia="Microsoft Sans Serif" w:hAnsi="Microsoft Sans Serif" w:cs="Microsoft Sans Serif"/>
          <w:szCs w:val="22"/>
        </w:rPr>
      </w:pPr>
    </w:p>
    <w:p w14:paraId="08880B7F" w14:textId="77777777" w:rsidR="00246E6A" w:rsidRPr="00246E6A" w:rsidRDefault="00246E6A" w:rsidP="00246E6A">
      <w:pPr>
        <w:spacing w:line="240" w:lineRule="auto"/>
        <w:rPr>
          <w:rFonts w:ascii="Microsoft Sans Serif" w:eastAsia="Microsoft Sans Serif" w:hAnsi="Microsoft Sans Serif" w:cs="Microsoft Sans Serif"/>
          <w:szCs w:val="22"/>
        </w:rPr>
      </w:pPr>
    </w:p>
    <w:p w14:paraId="662DB54A" w14:textId="77777777" w:rsidR="00246E6A" w:rsidRPr="00246E6A" w:rsidRDefault="00246E6A" w:rsidP="00246E6A">
      <w:pPr>
        <w:spacing w:line="240" w:lineRule="auto"/>
        <w:rPr>
          <w:rFonts w:ascii="Microsoft Sans Serif" w:eastAsia="Microsoft Sans Serif" w:hAnsi="Microsoft Sans Serif" w:cs="Microsoft Sans Serif"/>
          <w:szCs w:val="22"/>
        </w:rPr>
      </w:pPr>
    </w:p>
    <w:p w14:paraId="0290D3E5" w14:textId="77777777" w:rsidR="00246E6A" w:rsidRPr="00246E6A" w:rsidRDefault="00246E6A" w:rsidP="00246E6A">
      <w:pPr>
        <w:spacing w:line="240" w:lineRule="auto"/>
        <w:rPr>
          <w:rFonts w:ascii="Microsoft Sans Serif" w:eastAsia="Microsoft Sans Serif" w:hAnsi="Microsoft Sans Serif" w:cs="Microsoft Sans Serif"/>
          <w:szCs w:val="22"/>
        </w:rPr>
      </w:pPr>
      <w:r w:rsidRPr="00246E6A">
        <w:rPr>
          <w:rFonts w:ascii="Microsoft Sans Serif" w:eastAsia="Microsoft Sans Serif" w:hAnsi="Microsoft Sans Serif" w:cs="Microsoft Sans Serif"/>
          <w:szCs w:val="22"/>
        </w:rPr>
        <w:lastRenderedPageBreak/>
        <w:t>GRACIELA CHRISTLIEB ESQUIRE</w:t>
      </w:r>
      <w:r w:rsidRPr="00246E6A">
        <w:rPr>
          <w:rFonts w:ascii="Microsoft Sans Serif" w:eastAsia="Microsoft Sans Serif" w:hAnsi="Microsoft Sans Serif" w:cs="Microsoft Sans Serif"/>
          <w:szCs w:val="22"/>
        </w:rPr>
        <w:cr/>
        <w:t>PHILADELPHIA GAS WORKS</w:t>
      </w:r>
      <w:r w:rsidRPr="00246E6A">
        <w:rPr>
          <w:rFonts w:ascii="Microsoft Sans Serif" w:eastAsia="Microsoft Sans Serif" w:hAnsi="Microsoft Sans Serif" w:cs="Microsoft Sans Serif"/>
          <w:szCs w:val="22"/>
        </w:rPr>
        <w:cr/>
        <w:t>800 WEST MONTGOMERY AVENUE</w:t>
      </w:r>
      <w:r w:rsidRPr="00246E6A">
        <w:rPr>
          <w:rFonts w:ascii="Microsoft Sans Serif" w:eastAsia="Microsoft Sans Serif" w:hAnsi="Microsoft Sans Serif" w:cs="Microsoft Sans Serif"/>
          <w:szCs w:val="22"/>
        </w:rPr>
        <w:cr/>
        <w:t>PHILADELPHIA PA  19122</w:t>
      </w:r>
      <w:r w:rsidRPr="00246E6A">
        <w:rPr>
          <w:rFonts w:ascii="Microsoft Sans Serif" w:eastAsia="Microsoft Sans Serif" w:hAnsi="Microsoft Sans Serif" w:cs="Microsoft Sans Serif"/>
          <w:szCs w:val="22"/>
        </w:rPr>
        <w:cr/>
      </w:r>
      <w:r w:rsidRPr="00246E6A">
        <w:rPr>
          <w:rFonts w:ascii="Microsoft Sans Serif" w:eastAsia="Microsoft Sans Serif" w:hAnsi="Microsoft Sans Serif" w:cs="Microsoft Sans Serif"/>
          <w:b/>
          <w:bCs/>
          <w:szCs w:val="22"/>
        </w:rPr>
        <w:t>215.684.6164</w:t>
      </w:r>
      <w:r w:rsidRPr="00246E6A">
        <w:rPr>
          <w:rFonts w:ascii="Microsoft Sans Serif" w:eastAsia="Microsoft Sans Serif" w:hAnsi="Microsoft Sans Serif" w:cs="Microsoft Sans Serif"/>
          <w:szCs w:val="22"/>
        </w:rPr>
        <w:cr/>
        <w:t>Graciela.Christlieb@pgworks.com</w:t>
      </w:r>
      <w:r w:rsidRPr="00246E6A">
        <w:rPr>
          <w:rFonts w:ascii="Microsoft Sans Serif" w:eastAsia="Microsoft Sans Serif" w:hAnsi="Microsoft Sans Serif" w:cs="Microsoft Sans Serif"/>
          <w:szCs w:val="22"/>
        </w:rPr>
        <w:cr/>
        <w:t>Accepts eService</w:t>
      </w:r>
      <w:r w:rsidRPr="00246E6A">
        <w:rPr>
          <w:rFonts w:ascii="Microsoft Sans Serif" w:eastAsia="Microsoft Sans Serif" w:hAnsi="Microsoft Sans Serif" w:cs="Microsoft Sans Serif"/>
          <w:szCs w:val="22"/>
        </w:rPr>
        <w:cr/>
      </w:r>
      <w:r w:rsidRPr="00246E6A">
        <w:rPr>
          <w:rFonts w:ascii="Microsoft Sans Serif" w:eastAsia="Microsoft Sans Serif" w:hAnsi="Microsoft Sans Serif" w:cs="Microsoft Sans Serif"/>
          <w:szCs w:val="22"/>
        </w:rPr>
        <w:cr/>
        <w:t>CRAIG BERRY ATTORNEY</w:t>
      </w:r>
    </w:p>
    <w:p w14:paraId="091D9CE9" w14:textId="77777777" w:rsidR="00246E6A" w:rsidRPr="00246E6A" w:rsidRDefault="00246E6A" w:rsidP="00246E6A">
      <w:pPr>
        <w:spacing w:line="240" w:lineRule="auto"/>
        <w:rPr>
          <w:rFonts w:ascii="Microsoft Sans Serif" w:eastAsia="Microsoft Sans Serif" w:hAnsi="Microsoft Sans Serif" w:cs="Microsoft Sans Serif"/>
          <w:szCs w:val="22"/>
        </w:rPr>
      </w:pPr>
      <w:r w:rsidRPr="00246E6A">
        <w:rPr>
          <w:rFonts w:ascii="Microsoft Sans Serif" w:eastAsia="Microsoft Sans Serif" w:hAnsi="Microsoft Sans Serif" w:cs="Microsoft Sans Serif"/>
          <w:szCs w:val="22"/>
        </w:rPr>
        <w:t>PHILADELPHIA GAS WORKS</w:t>
      </w:r>
    </w:p>
    <w:p w14:paraId="50194A46" w14:textId="77777777" w:rsidR="00246E6A" w:rsidRPr="00246E6A" w:rsidRDefault="00246E6A" w:rsidP="00246E6A">
      <w:pPr>
        <w:spacing w:line="240" w:lineRule="auto"/>
        <w:rPr>
          <w:rFonts w:ascii="Microsoft Sans Serif" w:eastAsia="Microsoft Sans Serif" w:hAnsi="Microsoft Sans Serif" w:cs="Microsoft Sans Serif"/>
          <w:szCs w:val="22"/>
        </w:rPr>
      </w:pPr>
      <w:r w:rsidRPr="00246E6A">
        <w:rPr>
          <w:rFonts w:ascii="Microsoft Sans Serif" w:eastAsia="Microsoft Sans Serif" w:hAnsi="Microsoft Sans Serif" w:cs="Microsoft Sans Serif"/>
          <w:szCs w:val="22"/>
        </w:rPr>
        <w:t>800 W MONTGOMERY AVE</w:t>
      </w:r>
    </w:p>
    <w:p w14:paraId="75432FAA" w14:textId="77777777" w:rsidR="00246E6A" w:rsidRPr="00246E6A" w:rsidRDefault="00246E6A" w:rsidP="00246E6A">
      <w:pPr>
        <w:spacing w:line="240" w:lineRule="auto"/>
        <w:rPr>
          <w:rFonts w:ascii="Microsoft Sans Serif" w:eastAsia="Microsoft Sans Serif" w:hAnsi="Microsoft Sans Serif" w:cs="Microsoft Sans Serif"/>
          <w:szCs w:val="22"/>
        </w:rPr>
      </w:pPr>
      <w:r w:rsidRPr="00246E6A">
        <w:rPr>
          <w:rFonts w:ascii="Microsoft Sans Serif" w:eastAsia="Microsoft Sans Serif" w:hAnsi="Microsoft Sans Serif" w:cs="Microsoft Sans Serif"/>
          <w:szCs w:val="22"/>
        </w:rPr>
        <w:t>PHILADELPHIA PA  19122</w:t>
      </w:r>
    </w:p>
    <w:p w14:paraId="2D889248" w14:textId="77777777" w:rsidR="00246E6A" w:rsidRPr="00246E6A" w:rsidRDefault="00246E6A" w:rsidP="00246E6A">
      <w:pPr>
        <w:spacing w:line="240" w:lineRule="auto"/>
        <w:rPr>
          <w:rFonts w:ascii="Calibri" w:hAnsi="Calibri"/>
          <w:sz w:val="22"/>
          <w:szCs w:val="22"/>
        </w:rPr>
      </w:pPr>
      <w:r w:rsidRPr="00246E6A">
        <w:rPr>
          <w:rFonts w:ascii="Microsoft Sans Serif" w:eastAsia="Microsoft Sans Serif" w:hAnsi="Microsoft Sans Serif" w:cs="Microsoft Sans Serif"/>
          <w:szCs w:val="22"/>
        </w:rPr>
        <w:t>Craig.berry@pgworks.com</w:t>
      </w:r>
    </w:p>
    <w:p w14:paraId="6499B264" w14:textId="7A446918" w:rsidR="00780DB7" w:rsidRDefault="00780DB7" w:rsidP="00780DB7">
      <w:pPr>
        <w:spacing w:line="240" w:lineRule="auto"/>
        <w:rPr>
          <w:sz w:val="20"/>
        </w:rPr>
      </w:pPr>
    </w:p>
    <w:sectPr w:rsidR="00780DB7" w:rsidSect="008D5FE7">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88A5C" w14:textId="77777777" w:rsidR="00BD6B80" w:rsidRPr="0038319B" w:rsidRDefault="00BD6B80">
      <w:pPr>
        <w:rPr>
          <w:sz w:val="19"/>
          <w:szCs w:val="19"/>
        </w:rPr>
      </w:pPr>
      <w:r w:rsidRPr="0038319B">
        <w:rPr>
          <w:sz w:val="19"/>
          <w:szCs w:val="19"/>
        </w:rPr>
        <w:separator/>
      </w:r>
    </w:p>
  </w:endnote>
  <w:endnote w:type="continuationSeparator" w:id="0">
    <w:p w14:paraId="7B399164" w14:textId="77777777" w:rsidR="00BD6B80" w:rsidRPr="0038319B" w:rsidRDefault="00BD6B80">
      <w:pPr>
        <w:rPr>
          <w:sz w:val="19"/>
          <w:szCs w:val="19"/>
        </w:rPr>
      </w:pPr>
      <w:r w:rsidRPr="0038319B">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BC43F" w14:textId="77777777" w:rsidR="00716B74" w:rsidRPr="0038319B" w:rsidRDefault="00716B74" w:rsidP="00B017E6">
    <w:pPr>
      <w:pStyle w:val="Footer"/>
      <w:framePr w:wrap="around" w:vAnchor="text" w:hAnchor="margin" w:xAlign="center" w:y="1"/>
      <w:rPr>
        <w:rStyle w:val="PageNumber"/>
        <w:sz w:val="19"/>
        <w:szCs w:val="19"/>
      </w:rPr>
    </w:pPr>
    <w:r w:rsidRPr="0038319B">
      <w:rPr>
        <w:rStyle w:val="PageNumber"/>
        <w:sz w:val="19"/>
        <w:szCs w:val="19"/>
      </w:rPr>
      <w:fldChar w:fldCharType="begin"/>
    </w:r>
    <w:r w:rsidRPr="0038319B">
      <w:rPr>
        <w:rStyle w:val="PageNumber"/>
        <w:sz w:val="19"/>
        <w:szCs w:val="19"/>
      </w:rPr>
      <w:instrText xml:space="preserve">PAGE  </w:instrText>
    </w:r>
    <w:r w:rsidRPr="0038319B">
      <w:rPr>
        <w:rStyle w:val="PageNumber"/>
        <w:sz w:val="19"/>
        <w:szCs w:val="19"/>
      </w:rPr>
      <w:fldChar w:fldCharType="end"/>
    </w:r>
  </w:p>
  <w:p w14:paraId="1184786F" w14:textId="77777777" w:rsidR="00716B74" w:rsidRPr="0038319B" w:rsidRDefault="00716B74">
    <w:pPr>
      <w:pStyle w:val="Footer"/>
      <w:rPr>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0066150"/>
      <w:docPartObj>
        <w:docPartGallery w:val="Page Numbers (Bottom of Page)"/>
        <w:docPartUnique/>
      </w:docPartObj>
    </w:sdtPr>
    <w:sdtEndPr>
      <w:rPr>
        <w:noProof/>
      </w:rPr>
    </w:sdtEndPr>
    <w:sdtContent>
      <w:p w14:paraId="1183AFD3" w14:textId="18567002" w:rsidR="00984DDB" w:rsidRDefault="00984DDB">
        <w:pPr>
          <w:pStyle w:val="Footer"/>
          <w:jc w:val="center"/>
        </w:pPr>
        <w:r w:rsidRPr="00984DDB">
          <w:rPr>
            <w:sz w:val="20"/>
          </w:rPr>
          <w:fldChar w:fldCharType="begin"/>
        </w:r>
        <w:r w:rsidRPr="00984DDB">
          <w:rPr>
            <w:sz w:val="20"/>
          </w:rPr>
          <w:instrText xml:space="preserve"> PAGE   \* MERGEFORMAT </w:instrText>
        </w:r>
        <w:r w:rsidRPr="00984DDB">
          <w:rPr>
            <w:sz w:val="20"/>
          </w:rPr>
          <w:fldChar w:fldCharType="separate"/>
        </w:r>
        <w:r w:rsidRPr="00984DDB">
          <w:rPr>
            <w:noProof/>
            <w:sz w:val="20"/>
          </w:rPr>
          <w:t>2</w:t>
        </w:r>
        <w:r w:rsidRPr="00984DDB">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C623B" w14:textId="1EF1B022" w:rsidR="00A04291" w:rsidRPr="00A04291" w:rsidRDefault="00A04291">
    <w:pPr>
      <w:pStyle w:val="Footer"/>
      <w:jc w:val="center"/>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55845" w14:textId="3D868CBF" w:rsidR="00984DDB" w:rsidRPr="00984DDB" w:rsidRDefault="00984DDB" w:rsidP="00984D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3F2E7" w14:textId="77777777" w:rsidR="00BD6B80" w:rsidRPr="00984DDB" w:rsidRDefault="00BD6B80" w:rsidP="00984DDB">
      <w:pPr>
        <w:pStyle w:val="Footer"/>
      </w:pPr>
      <w:r>
        <w:separator/>
      </w:r>
    </w:p>
  </w:footnote>
  <w:footnote w:type="continuationSeparator" w:id="0">
    <w:p w14:paraId="7ABB932E" w14:textId="77777777" w:rsidR="00BD6B80" w:rsidRPr="0038319B" w:rsidRDefault="00BD6B80">
      <w:pPr>
        <w:rPr>
          <w:sz w:val="19"/>
          <w:szCs w:val="19"/>
        </w:rPr>
      </w:pPr>
      <w:r w:rsidRPr="0038319B">
        <w:rPr>
          <w:sz w:val="19"/>
          <w:szCs w:val="19"/>
        </w:rPr>
        <w:continuationSeparator/>
      </w:r>
    </w:p>
  </w:footnote>
  <w:footnote w:id="1">
    <w:p w14:paraId="06901DE6" w14:textId="77777777" w:rsidR="009A31E8" w:rsidRPr="009A31E8" w:rsidRDefault="009A31E8" w:rsidP="009A31E8">
      <w:pPr>
        <w:pStyle w:val="FootnoteText"/>
        <w:spacing w:line="240" w:lineRule="auto"/>
        <w:ind w:firstLine="720"/>
        <w:rPr>
          <w:sz w:val="20"/>
        </w:rPr>
      </w:pPr>
      <w:r w:rsidRPr="009A31E8">
        <w:rPr>
          <w:rStyle w:val="FootnoteReference"/>
          <w:sz w:val="20"/>
        </w:rPr>
        <w:footnoteRef/>
      </w:r>
      <w:r w:rsidRPr="009A31E8">
        <w:rPr>
          <w:sz w:val="20"/>
        </w:rPr>
        <w:t xml:space="preserve"> </w:t>
      </w:r>
      <w:r w:rsidRPr="009A31E8">
        <w:rPr>
          <w:sz w:val="20"/>
        </w:rPr>
        <w:tab/>
        <w:t>PGW’s CAP is called Customer Responsibility Program (CRP).</w:t>
      </w:r>
    </w:p>
    <w:p w14:paraId="61D7AB0A" w14:textId="77777777" w:rsidR="009A31E8" w:rsidRPr="009A31E8" w:rsidRDefault="009A31E8" w:rsidP="009A31E8">
      <w:pPr>
        <w:pStyle w:val="FootnoteText"/>
        <w:spacing w:line="240" w:lineRule="auto"/>
        <w:ind w:firstLine="720"/>
        <w:rPr>
          <w:sz w:val="20"/>
        </w:rPr>
      </w:pPr>
    </w:p>
  </w:footnote>
  <w:footnote w:id="2">
    <w:p w14:paraId="29C97819" w14:textId="77777777" w:rsidR="009A31E8" w:rsidRPr="009A31E8" w:rsidRDefault="009A31E8" w:rsidP="009A31E8">
      <w:pPr>
        <w:pStyle w:val="FootnoteText"/>
        <w:spacing w:line="240" w:lineRule="auto"/>
        <w:ind w:firstLine="720"/>
        <w:rPr>
          <w:sz w:val="20"/>
        </w:rPr>
      </w:pPr>
      <w:r w:rsidRPr="009A31E8">
        <w:rPr>
          <w:rStyle w:val="FootnoteReference"/>
          <w:sz w:val="20"/>
        </w:rPr>
        <w:footnoteRef/>
      </w:r>
      <w:r w:rsidRPr="009A31E8">
        <w:rPr>
          <w:sz w:val="20"/>
        </w:rPr>
        <w:t xml:space="preserve"> </w:t>
      </w:r>
      <w:r w:rsidRPr="009A31E8">
        <w:rPr>
          <w:sz w:val="20"/>
        </w:rPr>
        <w:tab/>
        <w:t>Cover Letter at 2.</w:t>
      </w:r>
    </w:p>
    <w:p w14:paraId="31112C47" w14:textId="77777777" w:rsidR="009A31E8" w:rsidRPr="009A31E8" w:rsidRDefault="009A31E8" w:rsidP="009A31E8">
      <w:pPr>
        <w:pStyle w:val="FootnoteText"/>
        <w:spacing w:line="240" w:lineRule="auto"/>
        <w:ind w:firstLine="720"/>
        <w:rPr>
          <w:sz w:val="20"/>
        </w:rPr>
      </w:pPr>
    </w:p>
  </w:footnote>
  <w:footnote w:id="3">
    <w:p w14:paraId="7ADC676C" w14:textId="77777777" w:rsidR="009A31E8" w:rsidRPr="009A31E8" w:rsidRDefault="009A31E8" w:rsidP="009A31E8">
      <w:pPr>
        <w:pStyle w:val="FootnoteText"/>
        <w:spacing w:line="240" w:lineRule="auto"/>
        <w:ind w:firstLine="720"/>
        <w:rPr>
          <w:i/>
          <w:iCs/>
          <w:sz w:val="20"/>
        </w:rPr>
      </w:pPr>
      <w:r w:rsidRPr="009A31E8">
        <w:rPr>
          <w:rStyle w:val="FootnoteReference"/>
          <w:sz w:val="20"/>
        </w:rPr>
        <w:footnoteRef/>
      </w:r>
      <w:r w:rsidRPr="009A31E8">
        <w:rPr>
          <w:sz w:val="20"/>
        </w:rPr>
        <w:t xml:space="preserve"> </w:t>
      </w:r>
      <w:r w:rsidRPr="009A31E8">
        <w:rPr>
          <w:sz w:val="20"/>
        </w:rPr>
        <w:tab/>
      </w:r>
      <w:r w:rsidRPr="009A31E8">
        <w:rPr>
          <w:i/>
          <w:iCs/>
          <w:sz w:val="20"/>
        </w:rPr>
        <w:t>Id.</w:t>
      </w:r>
    </w:p>
    <w:p w14:paraId="74788CF2" w14:textId="77777777" w:rsidR="009A31E8" w:rsidRPr="009A31E8" w:rsidRDefault="009A31E8" w:rsidP="009A31E8">
      <w:pPr>
        <w:pStyle w:val="FootnoteText"/>
        <w:spacing w:line="240" w:lineRule="auto"/>
        <w:ind w:firstLine="720"/>
        <w:rPr>
          <w:sz w:val="20"/>
        </w:rPr>
      </w:pPr>
    </w:p>
  </w:footnote>
  <w:footnote w:id="4">
    <w:p w14:paraId="4FC423B6" w14:textId="77777777" w:rsidR="009A31E8" w:rsidRPr="009A31E8" w:rsidRDefault="009A31E8" w:rsidP="009A31E8">
      <w:pPr>
        <w:pStyle w:val="FootnoteText"/>
        <w:spacing w:line="240" w:lineRule="auto"/>
        <w:ind w:firstLine="720"/>
        <w:rPr>
          <w:i/>
          <w:iCs/>
          <w:sz w:val="20"/>
        </w:rPr>
      </w:pPr>
      <w:r w:rsidRPr="009A31E8">
        <w:rPr>
          <w:rStyle w:val="FootnoteReference"/>
          <w:sz w:val="20"/>
        </w:rPr>
        <w:footnoteRef/>
      </w:r>
      <w:r w:rsidRPr="009A31E8">
        <w:rPr>
          <w:sz w:val="20"/>
        </w:rPr>
        <w:t xml:space="preserve"> </w:t>
      </w:r>
      <w:r w:rsidRPr="009A31E8">
        <w:rPr>
          <w:sz w:val="20"/>
        </w:rPr>
        <w:tab/>
      </w:r>
      <w:r w:rsidRPr="009A31E8">
        <w:rPr>
          <w:i/>
          <w:iCs/>
          <w:sz w:val="20"/>
        </w:rPr>
        <w:t>Id.</w:t>
      </w:r>
    </w:p>
    <w:p w14:paraId="329AEA70" w14:textId="77777777" w:rsidR="009A31E8" w:rsidRPr="009A31E8" w:rsidRDefault="009A31E8" w:rsidP="009A31E8">
      <w:pPr>
        <w:pStyle w:val="FootnoteText"/>
        <w:spacing w:line="240" w:lineRule="auto"/>
        <w:ind w:firstLine="720"/>
        <w:rPr>
          <w:i/>
          <w:iCs/>
          <w:sz w:val="20"/>
          <w:u w:val="single"/>
        </w:rPr>
      </w:pPr>
    </w:p>
  </w:footnote>
  <w:footnote w:id="5">
    <w:p w14:paraId="7C20A50C" w14:textId="09FF3070" w:rsidR="009A31E8" w:rsidRPr="009A31E8" w:rsidRDefault="009A31E8" w:rsidP="009A31E8">
      <w:pPr>
        <w:pStyle w:val="FootnoteText"/>
        <w:spacing w:line="240" w:lineRule="auto"/>
        <w:ind w:firstLine="720"/>
        <w:rPr>
          <w:bCs/>
          <w:sz w:val="20"/>
        </w:rPr>
      </w:pPr>
      <w:r w:rsidRPr="009A31E8">
        <w:rPr>
          <w:rStyle w:val="FootnoteReference"/>
          <w:sz w:val="20"/>
        </w:rPr>
        <w:footnoteRef/>
      </w:r>
      <w:r w:rsidRPr="009A31E8">
        <w:rPr>
          <w:sz w:val="20"/>
        </w:rPr>
        <w:t xml:space="preserve"> </w:t>
      </w:r>
      <w:r w:rsidRPr="009A31E8">
        <w:rPr>
          <w:sz w:val="20"/>
        </w:rPr>
        <w:tab/>
      </w:r>
      <w:r w:rsidRPr="009A31E8">
        <w:rPr>
          <w:i/>
          <w:iCs/>
          <w:sz w:val="20"/>
        </w:rPr>
        <w:t>Id.</w:t>
      </w:r>
      <w:r w:rsidR="00230169">
        <w:rPr>
          <w:i/>
          <w:iCs/>
          <w:sz w:val="20"/>
        </w:rPr>
        <w:t xml:space="preserve"> </w:t>
      </w:r>
      <w:r w:rsidRPr="009A31E8">
        <w:rPr>
          <w:sz w:val="20"/>
        </w:rPr>
        <w:t xml:space="preserve">at </w:t>
      </w:r>
      <w:r w:rsidRPr="009A31E8">
        <w:rPr>
          <w:bCs/>
          <w:sz w:val="20"/>
        </w:rPr>
        <w:t>5.</w:t>
      </w:r>
    </w:p>
    <w:p w14:paraId="0B68BFD0" w14:textId="77777777" w:rsidR="009A31E8" w:rsidRPr="009A31E8" w:rsidRDefault="009A31E8" w:rsidP="009A31E8">
      <w:pPr>
        <w:pStyle w:val="FootnoteText"/>
        <w:spacing w:line="240" w:lineRule="auto"/>
        <w:ind w:firstLine="720"/>
        <w:rPr>
          <w:sz w:val="20"/>
        </w:rPr>
      </w:pPr>
    </w:p>
  </w:footnote>
  <w:footnote w:id="6">
    <w:p w14:paraId="77DE16D7" w14:textId="77777777" w:rsidR="009A31E8" w:rsidRPr="009A31E8" w:rsidRDefault="009A31E8" w:rsidP="009A31E8">
      <w:pPr>
        <w:pStyle w:val="FootnoteText"/>
        <w:spacing w:line="240" w:lineRule="auto"/>
        <w:ind w:firstLine="720"/>
        <w:rPr>
          <w:sz w:val="20"/>
        </w:rPr>
      </w:pPr>
      <w:r w:rsidRPr="009A31E8">
        <w:rPr>
          <w:rStyle w:val="FootnoteReference"/>
          <w:sz w:val="20"/>
        </w:rPr>
        <w:footnoteRef/>
      </w:r>
      <w:r w:rsidRPr="009A31E8">
        <w:rPr>
          <w:sz w:val="20"/>
        </w:rPr>
        <w:t xml:space="preserve"> </w:t>
      </w:r>
      <w:r w:rsidRPr="009A31E8">
        <w:rPr>
          <w:sz w:val="20"/>
        </w:rPr>
        <w:tab/>
      </w:r>
      <w:r w:rsidRPr="009A31E8">
        <w:rPr>
          <w:i/>
          <w:iCs/>
          <w:sz w:val="20"/>
        </w:rPr>
        <w:t xml:space="preserve">See </w:t>
      </w:r>
      <w:r w:rsidRPr="009A31E8">
        <w:rPr>
          <w:sz w:val="20"/>
        </w:rPr>
        <w:t xml:space="preserve">Opinion and Order p.31.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22D16"/>
    <w:multiLevelType w:val="hybridMultilevel"/>
    <w:tmpl w:val="AC82A1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3F11255A"/>
    <w:multiLevelType w:val="hybridMultilevel"/>
    <w:tmpl w:val="B5E6B5E8"/>
    <w:lvl w:ilvl="0" w:tplc="F52AFA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F111256"/>
    <w:multiLevelType w:val="hybridMultilevel"/>
    <w:tmpl w:val="475045E4"/>
    <w:lvl w:ilvl="0" w:tplc="0622917A">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857DE4"/>
    <w:multiLevelType w:val="hybridMultilevel"/>
    <w:tmpl w:val="ECFC1BBE"/>
    <w:lvl w:ilvl="0" w:tplc="0409000F">
      <w:start w:val="1"/>
      <w:numFmt w:val="decimal"/>
      <w:lvlText w:val="%1."/>
      <w:lvlJc w:val="left"/>
      <w:pPr>
        <w:tabs>
          <w:tab w:val="num" w:pos="1108"/>
        </w:tabs>
        <w:ind w:left="1108" w:hanging="360"/>
      </w:pPr>
    </w:lvl>
    <w:lvl w:ilvl="1" w:tplc="04090019" w:tentative="1">
      <w:start w:val="1"/>
      <w:numFmt w:val="lowerLetter"/>
      <w:lvlText w:val="%2."/>
      <w:lvlJc w:val="left"/>
      <w:pPr>
        <w:tabs>
          <w:tab w:val="num" w:pos="1828"/>
        </w:tabs>
        <w:ind w:left="1828" w:hanging="360"/>
      </w:pPr>
    </w:lvl>
    <w:lvl w:ilvl="2" w:tplc="0409001B" w:tentative="1">
      <w:start w:val="1"/>
      <w:numFmt w:val="lowerRoman"/>
      <w:lvlText w:val="%3."/>
      <w:lvlJc w:val="right"/>
      <w:pPr>
        <w:tabs>
          <w:tab w:val="num" w:pos="2548"/>
        </w:tabs>
        <w:ind w:left="2548" w:hanging="180"/>
      </w:pPr>
    </w:lvl>
    <w:lvl w:ilvl="3" w:tplc="0409000F" w:tentative="1">
      <w:start w:val="1"/>
      <w:numFmt w:val="decimal"/>
      <w:lvlText w:val="%4."/>
      <w:lvlJc w:val="left"/>
      <w:pPr>
        <w:tabs>
          <w:tab w:val="num" w:pos="3268"/>
        </w:tabs>
        <w:ind w:left="3268" w:hanging="360"/>
      </w:pPr>
    </w:lvl>
    <w:lvl w:ilvl="4" w:tplc="04090019" w:tentative="1">
      <w:start w:val="1"/>
      <w:numFmt w:val="lowerLetter"/>
      <w:lvlText w:val="%5."/>
      <w:lvlJc w:val="left"/>
      <w:pPr>
        <w:tabs>
          <w:tab w:val="num" w:pos="3988"/>
        </w:tabs>
        <w:ind w:left="3988" w:hanging="360"/>
      </w:pPr>
    </w:lvl>
    <w:lvl w:ilvl="5" w:tplc="0409001B" w:tentative="1">
      <w:start w:val="1"/>
      <w:numFmt w:val="lowerRoman"/>
      <w:lvlText w:val="%6."/>
      <w:lvlJc w:val="right"/>
      <w:pPr>
        <w:tabs>
          <w:tab w:val="num" w:pos="4708"/>
        </w:tabs>
        <w:ind w:left="4708" w:hanging="180"/>
      </w:pPr>
    </w:lvl>
    <w:lvl w:ilvl="6" w:tplc="0409000F" w:tentative="1">
      <w:start w:val="1"/>
      <w:numFmt w:val="decimal"/>
      <w:lvlText w:val="%7."/>
      <w:lvlJc w:val="left"/>
      <w:pPr>
        <w:tabs>
          <w:tab w:val="num" w:pos="5428"/>
        </w:tabs>
        <w:ind w:left="5428" w:hanging="360"/>
      </w:pPr>
    </w:lvl>
    <w:lvl w:ilvl="7" w:tplc="04090019" w:tentative="1">
      <w:start w:val="1"/>
      <w:numFmt w:val="lowerLetter"/>
      <w:lvlText w:val="%8."/>
      <w:lvlJc w:val="left"/>
      <w:pPr>
        <w:tabs>
          <w:tab w:val="num" w:pos="6148"/>
        </w:tabs>
        <w:ind w:left="6148" w:hanging="360"/>
      </w:pPr>
    </w:lvl>
    <w:lvl w:ilvl="8" w:tplc="0409001B" w:tentative="1">
      <w:start w:val="1"/>
      <w:numFmt w:val="lowerRoman"/>
      <w:lvlText w:val="%9."/>
      <w:lvlJc w:val="right"/>
      <w:pPr>
        <w:tabs>
          <w:tab w:val="num" w:pos="6868"/>
        </w:tabs>
        <w:ind w:left="6868" w:hanging="180"/>
      </w:pPr>
    </w:lvl>
  </w:abstractNum>
  <w:abstractNum w:abstractNumId="4" w15:restartNumberingAfterBreak="0">
    <w:nsid w:val="553D4470"/>
    <w:multiLevelType w:val="hybridMultilevel"/>
    <w:tmpl w:val="8854A6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7825E70"/>
    <w:multiLevelType w:val="hybridMultilevel"/>
    <w:tmpl w:val="305A751C"/>
    <w:lvl w:ilvl="0" w:tplc="6B88C9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4B95695"/>
    <w:multiLevelType w:val="hybridMultilevel"/>
    <w:tmpl w:val="AD5049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4C068BB"/>
    <w:multiLevelType w:val="hybridMultilevel"/>
    <w:tmpl w:val="9B163330"/>
    <w:lvl w:ilvl="0" w:tplc="5BF644C4">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ABC0BBD"/>
    <w:multiLevelType w:val="singleLevel"/>
    <w:tmpl w:val="0409000F"/>
    <w:lvl w:ilvl="0">
      <w:start w:val="1"/>
      <w:numFmt w:val="decimal"/>
      <w:lvlText w:val="%1."/>
      <w:lvlJc w:val="left"/>
      <w:pPr>
        <w:tabs>
          <w:tab w:val="num" w:pos="360"/>
        </w:tabs>
        <w:ind w:left="360" w:hanging="360"/>
      </w:pPr>
    </w:lvl>
  </w:abstractNum>
  <w:num w:numId="1">
    <w:abstractNumId w:val="8"/>
  </w:num>
  <w:num w:numId="2">
    <w:abstractNumId w:val="0"/>
  </w:num>
  <w:num w:numId="3">
    <w:abstractNumId w:val="2"/>
  </w:num>
  <w:num w:numId="4">
    <w:abstractNumId w:val="4"/>
  </w:num>
  <w:num w:numId="5">
    <w:abstractNumId w:val="3"/>
  </w:num>
  <w:num w:numId="6">
    <w:abstractNumId w:val="5"/>
  </w:num>
  <w:num w:numId="7">
    <w:abstractNumId w:val="1"/>
  </w:num>
  <w:num w:numId="8">
    <w:abstractNumId w:val="8"/>
    <w:lvlOverride w:ilvl="0">
      <w:startOverride w:val="1"/>
    </w:lvlOverride>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82BADEE-7125-4B4A-9EDF-5EC4589B6DCA}"/>
    <w:docVar w:name="dgnword-eventsink" w:val="376917752"/>
  </w:docVars>
  <w:rsids>
    <w:rsidRoot w:val="00D246EA"/>
    <w:rsid w:val="00002E71"/>
    <w:rsid w:val="00007B24"/>
    <w:rsid w:val="00010F7E"/>
    <w:rsid w:val="00013385"/>
    <w:rsid w:val="0001444C"/>
    <w:rsid w:val="00015C87"/>
    <w:rsid w:val="00022031"/>
    <w:rsid w:val="00022664"/>
    <w:rsid w:val="00024AA5"/>
    <w:rsid w:val="00025122"/>
    <w:rsid w:val="000255FB"/>
    <w:rsid w:val="00025E28"/>
    <w:rsid w:val="00027E4C"/>
    <w:rsid w:val="00032AA1"/>
    <w:rsid w:val="00033142"/>
    <w:rsid w:val="00035D88"/>
    <w:rsid w:val="000404B5"/>
    <w:rsid w:val="00041943"/>
    <w:rsid w:val="00042860"/>
    <w:rsid w:val="00044944"/>
    <w:rsid w:val="00047F1C"/>
    <w:rsid w:val="000514DC"/>
    <w:rsid w:val="000517CF"/>
    <w:rsid w:val="0005471E"/>
    <w:rsid w:val="00057138"/>
    <w:rsid w:val="00060AAA"/>
    <w:rsid w:val="0006429B"/>
    <w:rsid w:val="00064DCD"/>
    <w:rsid w:val="0006554F"/>
    <w:rsid w:val="00070A0A"/>
    <w:rsid w:val="00070D98"/>
    <w:rsid w:val="000716B7"/>
    <w:rsid w:val="00073388"/>
    <w:rsid w:val="000767FF"/>
    <w:rsid w:val="0008135A"/>
    <w:rsid w:val="00084258"/>
    <w:rsid w:val="00085BAF"/>
    <w:rsid w:val="00087CC5"/>
    <w:rsid w:val="0009005C"/>
    <w:rsid w:val="000945B0"/>
    <w:rsid w:val="00096BA9"/>
    <w:rsid w:val="00096F74"/>
    <w:rsid w:val="000A510C"/>
    <w:rsid w:val="000A7EFE"/>
    <w:rsid w:val="000B23CB"/>
    <w:rsid w:val="000B629F"/>
    <w:rsid w:val="000C08F3"/>
    <w:rsid w:val="000C1A6B"/>
    <w:rsid w:val="000C269C"/>
    <w:rsid w:val="000C2C00"/>
    <w:rsid w:val="000C3925"/>
    <w:rsid w:val="000C40B9"/>
    <w:rsid w:val="000C5510"/>
    <w:rsid w:val="000C71B2"/>
    <w:rsid w:val="000D1336"/>
    <w:rsid w:val="000D2D32"/>
    <w:rsid w:val="000D396C"/>
    <w:rsid w:val="000D5C9F"/>
    <w:rsid w:val="000D7906"/>
    <w:rsid w:val="000E0C4B"/>
    <w:rsid w:val="000E0C64"/>
    <w:rsid w:val="000E5571"/>
    <w:rsid w:val="000E6C36"/>
    <w:rsid w:val="000E6DAB"/>
    <w:rsid w:val="000F0CB0"/>
    <w:rsid w:val="000F1E2C"/>
    <w:rsid w:val="000F22AD"/>
    <w:rsid w:val="000F235E"/>
    <w:rsid w:val="000F4AB3"/>
    <w:rsid w:val="000F6D8B"/>
    <w:rsid w:val="00105690"/>
    <w:rsid w:val="001059C3"/>
    <w:rsid w:val="0011089D"/>
    <w:rsid w:val="00111205"/>
    <w:rsid w:val="00112D5A"/>
    <w:rsid w:val="001139FD"/>
    <w:rsid w:val="00114A5C"/>
    <w:rsid w:val="00114D69"/>
    <w:rsid w:val="001163B8"/>
    <w:rsid w:val="00120A71"/>
    <w:rsid w:val="0012337D"/>
    <w:rsid w:val="00126555"/>
    <w:rsid w:val="00131D6C"/>
    <w:rsid w:val="001336B2"/>
    <w:rsid w:val="001341E8"/>
    <w:rsid w:val="0014695E"/>
    <w:rsid w:val="0014750F"/>
    <w:rsid w:val="00150F38"/>
    <w:rsid w:val="001534FA"/>
    <w:rsid w:val="001549F0"/>
    <w:rsid w:val="001551FE"/>
    <w:rsid w:val="00156AFD"/>
    <w:rsid w:val="00160D3B"/>
    <w:rsid w:val="00161D0B"/>
    <w:rsid w:val="00163667"/>
    <w:rsid w:val="00163A8C"/>
    <w:rsid w:val="00164440"/>
    <w:rsid w:val="00165B74"/>
    <w:rsid w:val="0016667B"/>
    <w:rsid w:val="00166CFA"/>
    <w:rsid w:val="001700EF"/>
    <w:rsid w:val="00171BA7"/>
    <w:rsid w:val="001720A6"/>
    <w:rsid w:val="0017213E"/>
    <w:rsid w:val="00174827"/>
    <w:rsid w:val="0017614F"/>
    <w:rsid w:val="00177C22"/>
    <w:rsid w:val="00182211"/>
    <w:rsid w:val="0018502A"/>
    <w:rsid w:val="001870A9"/>
    <w:rsid w:val="00187114"/>
    <w:rsid w:val="00190B52"/>
    <w:rsid w:val="00192F81"/>
    <w:rsid w:val="00194198"/>
    <w:rsid w:val="00197214"/>
    <w:rsid w:val="00197FE7"/>
    <w:rsid w:val="001A474D"/>
    <w:rsid w:val="001A517C"/>
    <w:rsid w:val="001A5CB4"/>
    <w:rsid w:val="001B0C62"/>
    <w:rsid w:val="001B1E6E"/>
    <w:rsid w:val="001B37F9"/>
    <w:rsid w:val="001B389A"/>
    <w:rsid w:val="001B669F"/>
    <w:rsid w:val="001B717E"/>
    <w:rsid w:val="001B7B44"/>
    <w:rsid w:val="001C104C"/>
    <w:rsid w:val="001C1DA4"/>
    <w:rsid w:val="001D06F2"/>
    <w:rsid w:val="001E081F"/>
    <w:rsid w:val="001E13F6"/>
    <w:rsid w:val="001E2FE1"/>
    <w:rsid w:val="001E311D"/>
    <w:rsid w:val="001E6948"/>
    <w:rsid w:val="001E6AC2"/>
    <w:rsid w:val="001E7C98"/>
    <w:rsid w:val="001F0A13"/>
    <w:rsid w:val="001F5956"/>
    <w:rsid w:val="001F5E84"/>
    <w:rsid w:val="001F7CF1"/>
    <w:rsid w:val="001F7E8A"/>
    <w:rsid w:val="002002ED"/>
    <w:rsid w:val="00200CB3"/>
    <w:rsid w:val="00201FC3"/>
    <w:rsid w:val="00202271"/>
    <w:rsid w:val="00205676"/>
    <w:rsid w:val="0020746B"/>
    <w:rsid w:val="002107F3"/>
    <w:rsid w:val="00210D7F"/>
    <w:rsid w:val="00212F85"/>
    <w:rsid w:val="0021472B"/>
    <w:rsid w:val="00216054"/>
    <w:rsid w:val="00217935"/>
    <w:rsid w:val="00221630"/>
    <w:rsid w:val="002219F2"/>
    <w:rsid w:val="002221D5"/>
    <w:rsid w:val="002231E7"/>
    <w:rsid w:val="00225429"/>
    <w:rsid w:val="00225674"/>
    <w:rsid w:val="0022623F"/>
    <w:rsid w:val="002270C7"/>
    <w:rsid w:val="00230169"/>
    <w:rsid w:val="00234986"/>
    <w:rsid w:val="0023594C"/>
    <w:rsid w:val="00235FAB"/>
    <w:rsid w:val="00237F95"/>
    <w:rsid w:val="002432E4"/>
    <w:rsid w:val="002439BE"/>
    <w:rsid w:val="00243A84"/>
    <w:rsid w:val="00244DC3"/>
    <w:rsid w:val="00245691"/>
    <w:rsid w:val="00246E6A"/>
    <w:rsid w:val="00247677"/>
    <w:rsid w:val="00251107"/>
    <w:rsid w:val="00254AC4"/>
    <w:rsid w:val="0025505D"/>
    <w:rsid w:val="0025568C"/>
    <w:rsid w:val="0025624A"/>
    <w:rsid w:val="002569D2"/>
    <w:rsid w:val="00256F15"/>
    <w:rsid w:val="002659C1"/>
    <w:rsid w:val="002705F3"/>
    <w:rsid w:val="00270AA9"/>
    <w:rsid w:val="002715D6"/>
    <w:rsid w:val="00273113"/>
    <w:rsid w:val="00281525"/>
    <w:rsid w:val="00282E72"/>
    <w:rsid w:val="00284375"/>
    <w:rsid w:val="00286013"/>
    <w:rsid w:val="00286E18"/>
    <w:rsid w:val="00292413"/>
    <w:rsid w:val="002947E8"/>
    <w:rsid w:val="00297007"/>
    <w:rsid w:val="002A08AE"/>
    <w:rsid w:val="002A5244"/>
    <w:rsid w:val="002A5634"/>
    <w:rsid w:val="002A667C"/>
    <w:rsid w:val="002B080D"/>
    <w:rsid w:val="002B222F"/>
    <w:rsid w:val="002B3235"/>
    <w:rsid w:val="002B43C8"/>
    <w:rsid w:val="002C0A83"/>
    <w:rsid w:val="002C5195"/>
    <w:rsid w:val="002C6736"/>
    <w:rsid w:val="002D2603"/>
    <w:rsid w:val="002D3212"/>
    <w:rsid w:val="002D3360"/>
    <w:rsid w:val="002D46AD"/>
    <w:rsid w:val="002D4AD0"/>
    <w:rsid w:val="002D50E8"/>
    <w:rsid w:val="002E2732"/>
    <w:rsid w:val="002E414F"/>
    <w:rsid w:val="002E4431"/>
    <w:rsid w:val="002E62AE"/>
    <w:rsid w:val="002E7CBD"/>
    <w:rsid w:val="002F0988"/>
    <w:rsid w:val="003009B5"/>
    <w:rsid w:val="00302100"/>
    <w:rsid w:val="00302CBA"/>
    <w:rsid w:val="00304EAE"/>
    <w:rsid w:val="003050FD"/>
    <w:rsid w:val="003105EB"/>
    <w:rsid w:val="0031208E"/>
    <w:rsid w:val="00314634"/>
    <w:rsid w:val="00316CFE"/>
    <w:rsid w:val="003209B7"/>
    <w:rsid w:val="0032184B"/>
    <w:rsid w:val="00322AAB"/>
    <w:rsid w:val="00323CE9"/>
    <w:rsid w:val="0032536B"/>
    <w:rsid w:val="0033180B"/>
    <w:rsid w:val="00332ED6"/>
    <w:rsid w:val="003367D1"/>
    <w:rsid w:val="00343DF7"/>
    <w:rsid w:val="00344BBD"/>
    <w:rsid w:val="003560A1"/>
    <w:rsid w:val="0036055F"/>
    <w:rsid w:val="00363FC4"/>
    <w:rsid w:val="00371CE2"/>
    <w:rsid w:val="00372BCE"/>
    <w:rsid w:val="00375C8A"/>
    <w:rsid w:val="00375FC7"/>
    <w:rsid w:val="00376661"/>
    <w:rsid w:val="00376FD2"/>
    <w:rsid w:val="00377219"/>
    <w:rsid w:val="00381B41"/>
    <w:rsid w:val="0038319B"/>
    <w:rsid w:val="00383E9E"/>
    <w:rsid w:val="00386EC2"/>
    <w:rsid w:val="00391123"/>
    <w:rsid w:val="003914A1"/>
    <w:rsid w:val="003928FD"/>
    <w:rsid w:val="00392AD3"/>
    <w:rsid w:val="00397CDF"/>
    <w:rsid w:val="003A0369"/>
    <w:rsid w:val="003A3AF6"/>
    <w:rsid w:val="003A51FD"/>
    <w:rsid w:val="003A698F"/>
    <w:rsid w:val="003A7731"/>
    <w:rsid w:val="003B0F7E"/>
    <w:rsid w:val="003B1BC6"/>
    <w:rsid w:val="003B5554"/>
    <w:rsid w:val="003C0F08"/>
    <w:rsid w:val="003C18D2"/>
    <w:rsid w:val="003C49C9"/>
    <w:rsid w:val="003D00C1"/>
    <w:rsid w:val="003D15D0"/>
    <w:rsid w:val="003D38F7"/>
    <w:rsid w:val="003D501C"/>
    <w:rsid w:val="003D6830"/>
    <w:rsid w:val="003D781D"/>
    <w:rsid w:val="003E0082"/>
    <w:rsid w:val="003E29D4"/>
    <w:rsid w:val="003E5D1E"/>
    <w:rsid w:val="003E75A7"/>
    <w:rsid w:val="003F15E2"/>
    <w:rsid w:val="003F347A"/>
    <w:rsid w:val="003F5351"/>
    <w:rsid w:val="003F69C5"/>
    <w:rsid w:val="00401D67"/>
    <w:rsid w:val="0040464B"/>
    <w:rsid w:val="00407E2D"/>
    <w:rsid w:val="00410E81"/>
    <w:rsid w:val="004148B3"/>
    <w:rsid w:val="0041758B"/>
    <w:rsid w:val="00417A48"/>
    <w:rsid w:val="004204B4"/>
    <w:rsid w:val="0042101A"/>
    <w:rsid w:val="00422833"/>
    <w:rsid w:val="004252F4"/>
    <w:rsid w:val="004255AD"/>
    <w:rsid w:val="00427446"/>
    <w:rsid w:val="00427731"/>
    <w:rsid w:val="00427C3F"/>
    <w:rsid w:val="00431ED9"/>
    <w:rsid w:val="00432F4E"/>
    <w:rsid w:val="00433794"/>
    <w:rsid w:val="004345F2"/>
    <w:rsid w:val="00441E8C"/>
    <w:rsid w:val="00443FC3"/>
    <w:rsid w:val="00444F84"/>
    <w:rsid w:val="00447976"/>
    <w:rsid w:val="00447DAD"/>
    <w:rsid w:val="004503A4"/>
    <w:rsid w:val="0045770A"/>
    <w:rsid w:val="004610DD"/>
    <w:rsid w:val="00464FEE"/>
    <w:rsid w:val="00466C20"/>
    <w:rsid w:val="00466EEB"/>
    <w:rsid w:val="00467B2B"/>
    <w:rsid w:val="00470357"/>
    <w:rsid w:val="00471C88"/>
    <w:rsid w:val="004763CF"/>
    <w:rsid w:val="00476406"/>
    <w:rsid w:val="00486895"/>
    <w:rsid w:val="00492902"/>
    <w:rsid w:val="00492FA7"/>
    <w:rsid w:val="004A0D2F"/>
    <w:rsid w:val="004A21EB"/>
    <w:rsid w:val="004A3990"/>
    <w:rsid w:val="004A3A17"/>
    <w:rsid w:val="004A3AE8"/>
    <w:rsid w:val="004A4379"/>
    <w:rsid w:val="004A4472"/>
    <w:rsid w:val="004A5F2D"/>
    <w:rsid w:val="004A5F6F"/>
    <w:rsid w:val="004B1125"/>
    <w:rsid w:val="004B1E4E"/>
    <w:rsid w:val="004B2B97"/>
    <w:rsid w:val="004B53BB"/>
    <w:rsid w:val="004B58A0"/>
    <w:rsid w:val="004C1229"/>
    <w:rsid w:val="004C1ADF"/>
    <w:rsid w:val="004C3351"/>
    <w:rsid w:val="004C66DC"/>
    <w:rsid w:val="004C6ACC"/>
    <w:rsid w:val="004D1AF6"/>
    <w:rsid w:val="004D26B3"/>
    <w:rsid w:val="004D3CF4"/>
    <w:rsid w:val="004D5571"/>
    <w:rsid w:val="004D6A84"/>
    <w:rsid w:val="004D7E6C"/>
    <w:rsid w:val="004E2DEE"/>
    <w:rsid w:val="004E3916"/>
    <w:rsid w:val="004E48B8"/>
    <w:rsid w:val="004E56E5"/>
    <w:rsid w:val="004E6C5D"/>
    <w:rsid w:val="004F3674"/>
    <w:rsid w:val="004F52CA"/>
    <w:rsid w:val="00500E04"/>
    <w:rsid w:val="00501290"/>
    <w:rsid w:val="00503B65"/>
    <w:rsid w:val="005054AA"/>
    <w:rsid w:val="005055FD"/>
    <w:rsid w:val="00506346"/>
    <w:rsid w:val="00510BCD"/>
    <w:rsid w:val="00512A74"/>
    <w:rsid w:val="00513A0D"/>
    <w:rsid w:val="00513E78"/>
    <w:rsid w:val="0051710C"/>
    <w:rsid w:val="00520B4D"/>
    <w:rsid w:val="00521F2B"/>
    <w:rsid w:val="0052321B"/>
    <w:rsid w:val="005235D3"/>
    <w:rsid w:val="005245B1"/>
    <w:rsid w:val="00526125"/>
    <w:rsid w:val="00526196"/>
    <w:rsid w:val="0052693F"/>
    <w:rsid w:val="00527EB8"/>
    <w:rsid w:val="005319D7"/>
    <w:rsid w:val="00536AA8"/>
    <w:rsid w:val="0054223C"/>
    <w:rsid w:val="005463A9"/>
    <w:rsid w:val="00546F57"/>
    <w:rsid w:val="0054708F"/>
    <w:rsid w:val="005474D6"/>
    <w:rsid w:val="00554F2B"/>
    <w:rsid w:val="00562BF1"/>
    <w:rsid w:val="005756F9"/>
    <w:rsid w:val="00575B38"/>
    <w:rsid w:val="00576844"/>
    <w:rsid w:val="005773BD"/>
    <w:rsid w:val="0058038D"/>
    <w:rsid w:val="00580BCF"/>
    <w:rsid w:val="00583A50"/>
    <w:rsid w:val="00590615"/>
    <w:rsid w:val="005928D7"/>
    <w:rsid w:val="005943D3"/>
    <w:rsid w:val="005945F6"/>
    <w:rsid w:val="00595C07"/>
    <w:rsid w:val="005963C4"/>
    <w:rsid w:val="00597C8F"/>
    <w:rsid w:val="005A560D"/>
    <w:rsid w:val="005B04D0"/>
    <w:rsid w:val="005B4EAA"/>
    <w:rsid w:val="005B7654"/>
    <w:rsid w:val="005C5138"/>
    <w:rsid w:val="005C5ED9"/>
    <w:rsid w:val="005C70F2"/>
    <w:rsid w:val="005D141F"/>
    <w:rsid w:val="005D43A7"/>
    <w:rsid w:val="005D44A5"/>
    <w:rsid w:val="005D45C9"/>
    <w:rsid w:val="005D46EE"/>
    <w:rsid w:val="005E6C7E"/>
    <w:rsid w:val="005F4BD5"/>
    <w:rsid w:val="0060008F"/>
    <w:rsid w:val="006023C2"/>
    <w:rsid w:val="0060255E"/>
    <w:rsid w:val="006026DA"/>
    <w:rsid w:val="00602BAF"/>
    <w:rsid w:val="00603FCF"/>
    <w:rsid w:val="00607F27"/>
    <w:rsid w:val="00613DA8"/>
    <w:rsid w:val="00614B07"/>
    <w:rsid w:val="006168E1"/>
    <w:rsid w:val="00616EF1"/>
    <w:rsid w:val="0062040F"/>
    <w:rsid w:val="00622936"/>
    <w:rsid w:val="0062391C"/>
    <w:rsid w:val="0062406D"/>
    <w:rsid w:val="00624998"/>
    <w:rsid w:val="00624A87"/>
    <w:rsid w:val="0062593D"/>
    <w:rsid w:val="0062731D"/>
    <w:rsid w:val="00633610"/>
    <w:rsid w:val="00636172"/>
    <w:rsid w:val="0064016B"/>
    <w:rsid w:val="0064206D"/>
    <w:rsid w:val="00645937"/>
    <w:rsid w:val="00651B5B"/>
    <w:rsid w:val="00654324"/>
    <w:rsid w:val="0065509C"/>
    <w:rsid w:val="0065674E"/>
    <w:rsid w:val="00657880"/>
    <w:rsid w:val="00657F07"/>
    <w:rsid w:val="00661B4E"/>
    <w:rsid w:val="00661CF0"/>
    <w:rsid w:val="00662C19"/>
    <w:rsid w:val="0066416E"/>
    <w:rsid w:val="00670405"/>
    <w:rsid w:val="0067080A"/>
    <w:rsid w:val="00670B1B"/>
    <w:rsid w:val="006729FF"/>
    <w:rsid w:val="006734EC"/>
    <w:rsid w:val="00675F41"/>
    <w:rsid w:val="00675F85"/>
    <w:rsid w:val="00676400"/>
    <w:rsid w:val="00680221"/>
    <w:rsid w:val="0068098C"/>
    <w:rsid w:val="006811A0"/>
    <w:rsid w:val="00682EB4"/>
    <w:rsid w:val="00692D9A"/>
    <w:rsid w:val="00694E8C"/>
    <w:rsid w:val="006A1A0E"/>
    <w:rsid w:val="006A28D8"/>
    <w:rsid w:val="006A64F2"/>
    <w:rsid w:val="006A6FAE"/>
    <w:rsid w:val="006B3EFB"/>
    <w:rsid w:val="006B54A5"/>
    <w:rsid w:val="006B690F"/>
    <w:rsid w:val="006B69E2"/>
    <w:rsid w:val="006C245B"/>
    <w:rsid w:val="006C3072"/>
    <w:rsid w:val="006C578A"/>
    <w:rsid w:val="006C5DA4"/>
    <w:rsid w:val="006C6F08"/>
    <w:rsid w:val="006C7836"/>
    <w:rsid w:val="006D491B"/>
    <w:rsid w:val="006D5BBC"/>
    <w:rsid w:val="006D6B1D"/>
    <w:rsid w:val="006E0D29"/>
    <w:rsid w:val="006E1DF2"/>
    <w:rsid w:val="006E2729"/>
    <w:rsid w:val="006E57E8"/>
    <w:rsid w:val="006F08AE"/>
    <w:rsid w:val="006F27D5"/>
    <w:rsid w:val="006F2ACE"/>
    <w:rsid w:val="007000FB"/>
    <w:rsid w:val="007008E0"/>
    <w:rsid w:val="0070431A"/>
    <w:rsid w:val="00705235"/>
    <w:rsid w:val="0071044A"/>
    <w:rsid w:val="007107AD"/>
    <w:rsid w:val="00715311"/>
    <w:rsid w:val="00716B74"/>
    <w:rsid w:val="00721F14"/>
    <w:rsid w:val="00723821"/>
    <w:rsid w:val="007241C6"/>
    <w:rsid w:val="00727D45"/>
    <w:rsid w:val="00735001"/>
    <w:rsid w:val="00737E9E"/>
    <w:rsid w:val="00741D25"/>
    <w:rsid w:val="00742C25"/>
    <w:rsid w:val="00743300"/>
    <w:rsid w:val="007449CB"/>
    <w:rsid w:val="00745364"/>
    <w:rsid w:val="00747A6F"/>
    <w:rsid w:val="007520AB"/>
    <w:rsid w:val="00752308"/>
    <w:rsid w:val="00764D5B"/>
    <w:rsid w:val="00764E26"/>
    <w:rsid w:val="00766C21"/>
    <w:rsid w:val="00767683"/>
    <w:rsid w:val="0077010C"/>
    <w:rsid w:val="00772875"/>
    <w:rsid w:val="0077419F"/>
    <w:rsid w:val="00776BEF"/>
    <w:rsid w:val="00780DB7"/>
    <w:rsid w:val="00781BAD"/>
    <w:rsid w:val="00783E2F"/>
    <w:rsid w:val="00787B82"/>
    <w:rsid w:val="00792375"/>
    <w:rsid w:val="00796F08"/>
    <w:rsid w:val="007A1A4C"/>
    <w:rsid w:val="007A3DF4"/>
    <w:rsid w:val="007A4181"/>
    <w:rsid w:val="007A46A0"/>
    <w:rsid w:val="007A646C"/>
    <w:rsid w:val="007B21DD"/>
    <w:rsid w:val="007B3B0D"/>
    <w:rsid w:val="007B430A"/>
    <w:rsid w:val="007B51B9"/>
    <w:rsid w:val="007B5630"/>
    <w:rsid w:val="007C0BAC"/>
    <w:rsid w:val="007C2688"/>
    <w:rsid w:val="007C2DB2"/>
    <w:rsid w:val="007C5E26"/>
    <w:rsid w:val="007D2137"/>
    <w:rsid w:val="007D3A28"/>
    <w:rsid w:val="007D67D1"/>
    <w:rsid w:val="007E1E17"/>
    <w:rsid w:val="007E2A88"/>
    <w:rsid w:val="007E3D09"/>
    <w:rsid w:val="007E65F3"/>
    <w:rsid w:val="00803C80"/>
    <w:rsid w:val="008046A7"/>
    <w:rsid w:val="00813028"/>
    <w:rsid w:val="0081794C"/>
    <w:rsid w:val="0082072C"/>
    <w:rsid w:val="008211B6"/>
    <w:rsid w:val="008215F2"/>
    <w:rsid w:val="0082268A"/>
    <w:rsid w:val="00823ECB"/>
    <w:rsid w:val="008305E5"/>
    <w:rsid w:val="00831EDA"/>
    <w:rsid w:val="008363BD"/>
    <w:rsid w:val="008433EA"/>
    <w:rsid w:val="00843476"/>
    <w:rsid w:val="00843826"/>
    <w:rsid w:val="008524F5"/>
    <w:rsid w:val="008527AF"/>
    <w:rsid w:val="00852BFB"/>
    <w:rsid w:val="00853982"/>
    <w:rsid w:val="0085531D"/>
    <w:rsid w:val="0085796E"/>
    <w:rsid w:val="00860898"/>
    <w:rsid w:val="008631AD"/>
    <w:rsid w:val="00872392"/>
    <w:rsid w:val="008739F3"/>
    <w:rsid w:val="00875888"/>
    <w:rsid w:val="00875DE6"/>
    <w:rsid w:val="00876079"/>
    <w:rsid w:val="00877335"/>
    <w:rsid w:val="008779FD"/>
    <w:rsid w:val="00881A7C"/>
    <w:rsid w:val="008834DA"/>
    <w:rsid w:val="00885412"/>
    <w:rsid w:val="0088650D"/>
    <w:rsid w:val="0089017C"/>
    <w:rsid w:val="0089092B"/>
    <w:rsid w:val="00890FD6"/>
    <w:rsid w:val="0089104A"/>
    <w:rsid w:val="00893AEA"/>
    <w:rsid w:val="00894A65"/>
    <w:rsid w:val="00895B38"/>
    <w:rsid w:val="00896729"/>
    <w:rsid w:val="00896DED"/>
    <w:rsid w:val="00897E6A"/>
    <w:rsid w:val="008A23D3"/>
    <w:rsid w:val="008A43BB"/>
    <w:rsid w:val="008A53F1"/>
    <w:rsid w:val="008A56AE"/>
    <w:rsid w:val="008A6371"/>
    <w:rsid w:val="008B629C"/>
    <w:rsid w:val="008B6526"/>
    <w:rsid w:val="008B71D2"/>
    <w:rsid w:val="008C0A8C"/>
    <w:rsid w:val="008C1CCC"/>
    <w:rsid w:val="008C41D9"/>
    <w:rsid w:val="008C4B08"/>
    <w:rsid w:val="008C6C90"/>
    <w:rsid w:val="008C6CD3"/>
    <w:rsid w:val="008C6F8C"/>
    <w:rsid w:val="008D25CC"/>
    <w:rsid w:val="008D3E8B"/>
    <w:rsid w:val="008D5B17"/>
    <w:rsid w:val="008D72E7"/>
    <w:rsid w:val="008D7CB6"/>
    <w:rsid w:val="008E0184"/>
    <w:rsid w:val="008E19FD"/>
    <w:rsid w:val="008E1A72"/>
    <w:rsid w:val="008E482E"/>
    <w:rsid w:val="008E484D"/>
    <w:rsid w:val="008E4AAD"/>
    <w:rsid w:val="008F0EDC"/>
    <w:rsid w:val="008F3DEC"/>
    <w:rsid w:val="008F457B"/>
    <w:rsid w:val="008F5E1E"/>
    <w:rsid w:val="008F6C35"/>
    <w:rsid w:val="00904091"/>
    <w:rsid w:val="009044B7"/>
    <w:rsid w:val="009063FA"/>
    <w:rsid w:val="00906E26"/>
    <w:rsid w:val="00910515"/>
    <w:rsid w:val="00912360"/>
    <w:rsid w:val="00914472"/>
    <w:rsid w:val="009154D6"/>
    <w:rsid w:val="009163C9"/>
    <w:rsid w:val="00917AE9"/>
    <w:rsid w:val="00921DA9"/>
    <w:rsid w:val="00922491"/>
    <w:rsid w:val="00934F65"/>
    <w:rsid w:val="00937AE1"/>
    <w:rsid w:val="0094137F"/>
    <w:rsid w:val="00941BFF"/>
    <w:rsid w:val="00941E0A"/>
    <w:rsid w:val="00941F49"/>
    <w:rsid w:val="00942B3C"/>
    <w:rsid w:val="00943570"/>
    <w:rsid w:val="00951621"/>
    <w:rsid w:val="00951681"/>
    <w:rsid w:val="00951BC4"/>
    <w:rsid w:val="00952163"/>
    <w:rsid w:val="00953FEA"/>
    <w:rsid w:val="00956A19"/>
    <w:rsid w:val="009603C9"/>
    <w:rsid w:val="00960B87"/>
    <w:rsid w:val="0096278B"/>
    <w:rsid w:val="00962AAD"/>
    <w:rsid w:val="009635AB"/>
    <w:rsid w:val="0096404B"/>
    <w:rsid w:val="00964ECF"/>
    <w:rsid w:val="00971A09"/>
    <w:rsid w:val="00973E74"/>
    <w:rsid w:val="00974281"/>
    <w:rsid w:val="009751C2"/>
    <w:rsid w:val="00975E03"/>
    <w:rsid w:val="009770EA"/>
    <w:rsid w:val="009772E0"/>
    <w:rsid w:val="00980566"/>
    <w:rsid w:val="00984C2A"/>
    <w:rsid w:val="00984DDB"/>
    <w:rsid w:val="00986732"/>
    <w:rsid w:val="00986ECD"/>
    <w:rsid w:val="009903E3"/>
    <w:rsid w:val="00990BCC"/>
    <w:rsid w:val="009911B5"/>
    <w:rsid w:val="0099176B"/>
    <w:rsid w:val="0099459B"/>
    <w:rsid w:val="00995F6D"/>
    <w:rsid w:val="009972E5"/>
    <w:rsid w:val="009A2737"/>
    <w:rsid w:val="009A2A70"/>
    <w:rsid w:val="009A31E8"/>
    <w:rsid w:val="009A3D45"/>
    <w:rsid w:val="009A622A"/>
    <w:rsid w:val="009A64B7"/>
    <w:rsid w:val="009A7D1A"/>
    <w:rsid w:val="009B3268"/>
    <w:rsid w:val="009B5FBB"/>
    <w:rsid w:val="009B6AE5"/>
    <w:rsid w:val="009B795E"/>
    <w:rsid w:val="009C12E0"/>
    <w:rsid w:val="009C37FA"/>
    <w:rsid w:val="009C4E1E"/>
    <w:rsid w:val="009D0659"/>
    <w:rsid w:val="009D119A"/>
    <w:rsid w:val="009D1B63"/>
    <w:rsid w:val="009D3FC3"/>
    <w:rsid w:val="009D4AFE"/>
    <w:rsid w:val="009D674B"/>
    <w:rsid w:val="009D68DC"/>
    <w:rsid w:val="009D737E"/>
    <w:rsid w:val="009E0743"/>
    <w:rsid w:val="009E0762"/>
    <w:rsid w:val="009E16BB"/>
    <w:rsid w:val="009E3575"/>
    <w:rsid w:val="009E6487"/>
    <w:rsid w:val="009E6878"/>
    <w:rsid w:val="009E722E"/>
    <w:rsid w:val="009F07ED"/>
    <w:rsid w:val="009F17FE"/>
    <w:rsid w:val="009F193A"/>
    <w:rsid w:val="009F2B70"/>
    <w:rsid w:val="009F34A1"/>
    <w:rsid w:val="009F4617"/>
    <w:rsid w:val="009F47A7"/>
    <w:rsid w:val="009F7990"/>
    <w:rsid w:val="009F7A6D"/>
    <w:rsid w:val="00A009D4"/>
    <w:rsid w:val="00A0161B"/>
    <w:rsid w:val="00A036D4"/>
    <w:rsid w:val="00A04291"/>
    <w:rsid w:val="00A1194C"/>
    <w:rsid w:val="00A12944"/>
    <w:rsid w:val="00A13886"/>
    <w:rsid w:val="00A14EFC"/>
    <w:rsid w:val="00A162C3"/>
    <w:rsid w:val="00A22BE0"/>
    <w:rsid w:val="00A23840"/>
    <w:rsid w:val="00A23CBF"/>
    <w:rsid w:val="00A24C4F"/>
    <w:rsid w:val="00A24D8E"/>
    <w:rsid w:val="00A27657"/>
    <w:rsid w:val="00A27BD7"/>
    <w:rsid w:val="00A30C18"/>
    <w:rsid w:val="00A312B8"/>
    <w:rsid w:val="00A32C82"/>
    <w:rsid w:val="00A33A9C"/>
    <w:rsid w:val="00A34BD3"/>
    <w:rsid w:val="00A35315"/>
    <w:rsid w:val="00A35477"/>
    <w:rsid w:val="00A367E7"/>
    <w:rsid w:val="00A36D4C"/>
    <w:rsid w:val="00A43A1C"/>
    <w:rsid w:val="00A442C3"/>
    <w:rsid w:val="00A4779D"/>
    <w:rsid w:val="00A575A7"/>
    <w:rsid w:val="00A60FB3"/>
    <w:rsid w:val="00A6198D"/>
    <w:rsid w:val="00A64001"/>
    <w:rsid w:val="00A7014D"/>
    <w:rsid w:val="00A71047"/>
    <w:rsid w:val="00A722F9"/>
    <w:rsid w:val="00A7350E"/>
    <w:rsid w:val="00A835FF"/>
    <w:rsid w:val="00A83846"/>
    <w:rsid w:val="00A83E30"/>
    <w:rsid w:val="00A90C2F"/>
    <w:rsid w:val="00A916E8"/>
    <w:rsid w:val="00A92349"/>
    <w:rsid w:val="00A9375E"/>
    <w:rsid w:val="00A944BC"/>
    <w:rsid w:val="00A97F70"/>
    <w:rsid w:val="00AA1CCA"/>
    <w:rsid w:val="00AA2355"/>
    <w:rsid w:val="00AB07B5"/>
    <w:rsid w:val="00AB0B25"/>
    <w:rsid w:val="00AB186C"/>
    <w:rsid w:val="00AB3EDF"/>
    <w:rsid w:val="00AB4F34"/>
    <w:rsid w:val="00AB515B"/>
    <w:rsid w:val="00AC051E"/>
    <w:rsid w:val="00AC3769"/>
    <w:rsid w:val="00AC3AF2"/>
    <w:rsid w:val="00AC54FF"/>
    <w:rsid w:val="00AC575A"/>
    <w:rsid w:val="00AC741F"/>
    <w:rsid w:val="00AD066A"/>
    <w:rsid w:val="00AD069F"/>
    <w:rsid w:val="00AD30FA"/>
    <w:rsid w:val="00AD3607"/>
    <w:rsid w:val="00AE3450"/>
    <w:rsid w:val="00AE3BF5"/>
    <w:rsid w:val="00AE699D"/>
    <w:rsid w:val="00AF0EE7"/>
    <w:rsid w:val="00AF1477"/>
    <w:rsid w:val="00AF14F3"/>
    <w:rsid w:val="00AF33FC"/>
    <w:rsid w:val="00AF4C7A"/>
    <w:rsid w:val="00AF6FC9"/>
    <w:rsid w:val="00B00AA3"/>
    <w:rsid w:val="00B0123E"/>
    <w:rsid w:val="00B017E6"/>
    <w:rsid w:val="00B04340"/>
    <w:rsid w:val="00B072ED"/>
    <w:rsid w:val="00B14A97"/>
    <w:rsid w:val="00B15030"/>
    <w:rsid w:val="00B150FA"/>
    <w:rsid w:val="00B1670B"/>
    <w:rsid w:val="00B176DD"/>
    <w:rsid w:val="00B20D8C"/>
    <w:rsid w:val="00B20D8D"/>
    <w:rsid w:val="00B20EE3"/>
    <w:rsid w:val="00B21B7C"/>
    <w:rsid w:val="00B22AC5"/>
    <w:rsid w:val="00B24C6D"/>
    <w:rsid w:val="00B306C9"/>
    <w:rsid w:val="00B323F0"/>
    <w:rsid w:val="00B34559"/>
    <w:rsid w:val="00B37E41"/>
    <w:rsid w:val="00B410BF"/>
    <w:rsid w:val="00B42A94"/>
    <w:rsid w:val="00B4562F"/>
    <w:rsid w:val="00B47709"/>
    <w:rsid w:val="00B50794"/>
    <w:rsid w:val="00B517F3"/>
    <w:rsid w:val="00B64FEC"/>
    <w:rsid w:val="00B67360"/>
    <w:rsid w:val="00B71F14"/>
    <w:rsid w:val="00B7524D"/>
    <w:rsid w:val="00B75FAB"/>
    <w:rsid w:val="00B763C7"/>
    <w:rsid w:val="00B7646C"/>
    <w:rsid w:val="00B80476"/>
    <w:rsid w:val="00B816DD"/>
    <w:rsid w:val="00B81A18"/>
    <w:rsid w:val="00B81D8F"/>
    <w:rsid w:val="00B82AC2"/>
    <w:rsid w:val="00B83C4A"/>
    <w:rsid w:val="00B84C59"/>
    <w:rsid w:val="00B85E90"/>
    <w:rsid w:val="00B93289"/>
    <w:rsid w:val="00BA0069"/>
    <w:rsid w:val="00BA3333"/>
    <w:rsid w:val="00BA36B3"/>
    <w:rsid w:val="00BA45E7"/>
    <w:rsid w:val="00BA4FDC"/>
    <w:rsid w:val="00BA582C"/>
    <w:rsid w:val="00BA5B1F"/>
    <w:rsid w:val="00BA66B1"/>
    <w:rsid w:val="00BA6867"/>
    <w:rsid w:val="00BB1638"/>
    <w:rsid w:val="00BB1A11"/>
    <w:rsid w:val="00BB4BAF"/>
    <w:rsid w:val="00BB51FB"/>
    <w:rsid w:val="00BB7471"/>
    <w:rsid w:val="00BB7E8B"/>
    <w:rsid w:val="00BC04CE"/>
    <w:rsid w:val="00BC1DCF"/>
    <w:rsid w:val="00BC346D"/>
    <w:rsid w:val="00BC35D4"/>
    <w:rsid w:val="00BC3D16"/>
    <w:rsid w:val="00BC56F4"/>
    <w:rsid w:val="00BD4B53"/>
    <w:rsid w:val="00BD4DFB"/>
    <w:rsid w:val="00BD6B80"/>
    <w:rsid w:val="00BD6E6A"/>
    <w:rsid w:val="00BE3510"/>
    <w:rsid w:val="00BE66CB"/>
    <w:rsid w:val="00BE761E"/>
    <w:rsid w:val="00BE7C7B"/>
    <w:rsid w:val="00BF0827"/>
    <w:rsid w:val="00BF2F4A"/>
    <w:rsid w:val="00BF3093"/>
    <w:rsid w:val="00BF38AF"/>
    <w:rsid w:val="00BF3C89"/>
    <w:rsid w:val="00C02423"/>
    <w:rsid w:val="00C04531"/>
    <w:rsid w:val="00C04558"/>
    <w:rsid w:val="00C04EA1"/>
    <w:rsid w:val="00C055EF"/>
    <w:rsid w:val="00C07612"/>
    <w:rsid w:val="00C100B9"/>
    <w:rsid w:val="00C10C78"/>
    <w:rsid w:val="00C11AAF"/>
    <w:rsid w:val="00C11EFF"/>
    <w:rsid w:val="00C124E6"/>
    <w:rsid w:val="00C13F83"/>
    <w:rsid w:val="00C15ECA"/>
    <w:rsid w:val="00C17120"/>
    <w:rsid w:val="00C20E93"/>
    <w:rsid w:val="00C222F3"/>
    <w:rsid w:val="00C23BF2"/>
    <w:rsid w:val="00C24004"/>
    <w:rsid w:val="00C24455"/>
    <w:rsid w:val="00C254F0"/>
    <w:rsid w:val="00C25EDA"/>
    <w:rsid w:val="00C3047B"/>
    <w:rsid w:val="00C35674"/>
    <w:rsid w:val="00C37CD0"/>
    <w:rsid w:val="00C44EDD"/>
    <w:rsid w:val="00C4508D"/>
    <w:rsid w:val="00C46557"/>
    <w:rsid w:val="00C46DC6"/>
    <w:rsid w:val="00C4789A"/>
    <w:rsid w:val="00C54579"/>
    <w:rsid w:val="00C55122"/>
    <w:rsid w:val="00C55401"/>
    <w:rsid w:val="00C679CE"/>
    <w:rsid w:val="00C73A6E"/>
    <w:rsid w:val="00C75773"/>
    <w:rsid w:val="00C75F6A"/>
    <w:rsid w:val="00C77BF9"/>
    <w:rsid w:val="00C81090"/>
    <w:rsid w:val="00C85A5E"/>
    <w:rsid w:val="00C93740"/>
    <w:rsid w:val="00C96C3D"/>
    <w:rsid w:val="00C9730E"/>
    <w:rsid w:val="00CA06B1"/>
    <w:rsid w:val="00CA256A"/>
    <w:rsid w:val="00CA6AF5"/>
    <w:rsid w:val="00CA6B55"/>
    <w:rsid w:val="00CA7F6D"/>
    <w:rsid w:val="00CB0498"/>
    <w:rsid w:val="00CB7B6B"/>
    <w:rsid w:val="00CC0BE8"/>
    <w:rsid w:val="00CC3421"/>
    <w:rsid w:val="00CC3E11"/>
    <w:rsid w:val="00CC6700"/>
    <w:rsid w:val="00CC6D89"/>
    <w:rsid w:val="00CC6F63"/>
    <w:rsid w:val="00CD20F8"/>
    <w:rsid w:val="00CD34E9"/>
    <w:rsid w:val="00CE116F"/>
    <w:rsid w:val="00CE1403"/>
    <w:rsid w:val="00CE21D8"/>
    <w:rsid w:val="00CE2FD5"/>
    <w:rsid w:val="00CE354D"/>
    <w:rsid w:val="00CE3B7D"/>
    <w:rsid w:val="00CE5E66"/>
    <w:rsid w:val="00CE617C"/>
    <w:rsid w:val="00CF034F"/>
    <w:rsid w:val="00CF1A8C"/>
    <w:rsid w:val="00CF35E9"/>
    <w:rsid w:val="00CF43F2"/>
    <w:rsid w:val="00CF4B8D"/>
    <w:rsid w:val="00CF5E0E"/>
    <w:rsid w:val="00CF7BAF"/>
    <w:rsid w:val="00D02312"/>
    <w:rsid w:val="00D04772"/>
    <w:rsid w:val="00D04832"/>
    <w:rsid w:val="00D06CF4"/>
    <w:rsid w:val="00D0780E"/>
    <w:rsid w:val="00D1088E"/>
    <w:rsid w:val="00D15412"/>
    <w:rsid w:val="00D162BC"/>
    <w:rsid w:val="00D167BB"/>
    <w:rsid w:val="00D205BA"/>
    <w:rsid w:val="00D20BDA"/>
    <w:rsid w:val="00D22B30"/>
    <w:rsid w:val="00D246EA"/>
    <w:rsid w:val="00D255D4"/>
    <w:rsid w:val="00D25F59"/>
    <w:rsid w:val="00D2720D"/>
    <w:rsid w:val="00D3255C"/>
    <w:rsid w:val="00D333E3"/>
    <w:rsid w:val="00D3420E"/>
    <w:rsid w:val="00D34865"/>
    <w:rsid w:val="00D3525E"/>
    <w:rsid w:val="00D356CF"/>
    <w:rsid w:val="00D4206A"/>
    <w:rsid w:val="00D45091"/>
    <w:rsid w:val="00D50C61"/>
    <w:rsid w:val="00D5467C"/>
    <w:rsid w:val="00D548FC"/>
    <w:rsid w:val="00D57818"/>
    <w:rsid w:val="00D61DC7"/>
    <w:rsid w:val="00D65AC8"/>
    <w:rsid w:val="00D66147"/>
    <w:rsid w:val="00D7008E"/>
    <w:rsid w:val="00D72F00"/>
    <w:rsid w:val="00D75ADF"/>
    <w:rsid w:val="00D807D1"/>
    <w:rsid w:val="00D84932"/>
    <w:rsid w:val="00D91676"/>
    <w:rsid w:val="00D9281D"/>
    <w:rsid w:val="00D955E5"/>
    <w:rsid w:val="00D96314"/>
    <w:rsid w:val="00D96611"/>
    <w:rsid w:val="00DA0270"/>
    <w:rsid w:val="00DA06FC"/>
    <w:rsid w:val="00DA29A8"/>
    <w:rsid w:val="00DA56F0"/>
    <w:rsid w:val="00DA5F0B"/>
    <w:rsid w:val="00DA6113"/>
    <w:rsid w:val="00DA6A49"/>
    <w:rsid w:val="00DB123E"/>
    <w:rsid w:val="00DB531F"/>
    <w:rsid w:val="00DB5F13"/>
    <w:rsid w:val="00DB7979"/>
    <w:rsid w:val="00DC0699"/>
    <w:rsid w:val="00DC0C4C"/>
    <w:rsid w:val="00DC22C5"/>
    <w:rsid w:val="00DC5B32"/>
    <w:rsid w:val="00DD0C56"/>
    <w:rsid w:val="00DD14E6"/>
    <w:rsid w:val="00DD3E45"/>
    <w:rsid w:val="00DD742F"/>
    <w:rsid w:val="00DE2141"/>
    <w:rsid w:val="00DE2A19"/>
    <w:rsid w:val="00DE2F1E"/>
    <w:rsid w:val="00DE2FEA"/>
    <w:rsid w:val="00DE5630"/>
    <w:rsid w:val="00DE5C0B"/>
    <w:rsid w:val="00DE5FF0"/>
    <w:rsid w:val="00DF0EC6"/>
    <w:rsid w:val="00DF1592"/>
    <w:rsid w:val="00DF1691"/>
    <w:rsid w:val="00DF26E7"/>
    <w:rsid w:val="00DF6DBF"/>
    <w:rsid w:val="00DF6E59"/>
    <w:rsid w:val="00E006C8"/>
    <w:rsid w:val="00E044B0"/>
    <w:rsid w:val="00E049A4"/>
    <w:rsid w:val="00E054B8"/>
    <w:rsid w:val="00E125AF"/>
    <w:rsid w:val="00E13082"/>
    <w:rsid w:val="00E1342A"/>
    <w:rsid w:val="00E14388"/>
    <w:rsid w:val="00E1687C"/>
    <w:rsid w:val="00E16B41"/>
    <w:rsid w:val="00E21788"/>
    <w:rsid w:val="00E225EF"/>
    <w:rsid w:val="00E242D3"/>
    <w:rsid w:val="00E24CA4"/>
    <w:rsid w:val="00E32889"/>
    <w:rsid w:val="00E36C6E"/>
    <w:rsid w:val="00E414F8"/>
    <w:rsid w:val="00E427FD"/>
    <w:rsid w:val="00E43A15"/>
    <w:rsid w:val="00E4472A"/>
    <w:rsid w:val="00E47077"/>
    <w:rsid w:val="00E52101"/>
    <w:rsid w:val="00E53C53"/>
    <w:rsid w:val="00E56ADF"/>
    <w:rsid w:val="00E56C5E"/>
    <w:rsid w:val="00E641A6"/>
    <w:rsid w:val="00E6714F"/>
    <w:rsid w:val="00E705D3"/>
    <w:rsid w:val="00E7260B"/>
    <w:rsid w:val="00E73062"/>
    <w:rsid w:val="00E7317F"/>
    <w:rsid w:val="00E73276"/>
    <w:rsid w:val="00E74CBE"/>
    <w:rsid w:val="00E75BEC"/>
    <w:rsid w:val="00E76ACE"/>
    <w:rsid w:val="00E8256E"/>
    <w:rsid w:val="00E84012"/>
    <w:rsid w:val="00E861DA"/>
    <w:rsid w:val="00E904E5"/>
    <w:rsid w:val="00E96A0E"/>
    <w:rsid w:val="00EA7897"/>
    <w:rsid w:val="00EB1B66"/>
    <w:rsid w:val="00EB208A"/>
    <w:rsid w:val="00EB2FB3"/>
    <w:rsid w:val="00EB3CD9"/>
    <w:rsid w:val="00EB434A"/>
    <w:rsid w:val="00EB44B5"/>
    <w:rsid w:val="00EB4B99"/>
    <w:rsid w:val="00EB6C7C"/>
    <w:rsid w:val="00EC11E4"/>
    <w:rsid w:val="00EC1AE7"/>
    <w:rsid w:val="00EC7FD4"/>
    <w:rsid w:val="00ED1EC3"/>
    <w:rsid w:val="00ED2F45"/>
    <w:rsid w:val="00ED4012"/>
    <w:rsid w:val="00ED55A2"/>
    <w:rsid w:val="00EE010A"/>
    <w:rsid w:val="00EE01C0"/>
    <w:rsid w:val="00EE0C3B"/>
    <w:rsid w:val="00EE46C5"/>
    <w:rsid w:val="00EF0124"/>
    <w:rsid w:val="00EF12CB"/>
    <w:rsid w:val="00EF4F0C"/>
    <w:rsid w:val="00F001C8"/>
    <w:rsid w:val="00F0033E"/>
    <w:rsid w:val="00F013BC"/>
    <w:rsid w:val="00F02A7A"/>
    <w:rsid w:val="00F03624"/>
    <w:rsid w:val="00F06057"/>
    <w:rsid w:val="00F06A8E"/>
    <w:rsid w:val="00F0779F"/>
    <w:rsid w:val="00F13DFD"/>
    <w:rsid w:val="00F218EC"/>
    <w:rsid w:val="00F22A64"/>
    <w:rsid w:val="00F3014C"/>
    <w:rsid w:val="00F344DB"/>
    <w:rsid w:val="00F353CE"/>
    <w:rsid w:val="00F35AC1"/>
    <w:rsid w:val="00F35B2E"/>
    <w:rsid w:val="00F3651B"/>
    <w:rsid w:val="00F37163"/>
    <w:rsid w:val="00F41761"/>
    <w:rsid w:val="00F42AC1"/>
    <w:rsid w:val="00F435F1"/>
    <w:rsid w:val="00F45F9D"/>
    <w:rsid w:val="00F47958"/>
    <w:rsid w:val="00F47E33"/>
    <w:rsid w:val="00F50847"/>
    <w:rsid w:val="00F51224"/>
    <w:rsid w:val="00F53648"/>
    <w:rsid w:val="00F56905"/>
    <w:rsid w:val="00F5726F"/>
    <w:rsid w:val="00F65411"/>
    <w:rsid w:val="00F67312"/>
    <w:rsid w:val="00F710FC"/>
    <w:rsid w:val="00F73B62"/>
    <w:rsid w:val="00F73E58"/>
    <w:rsid w:val="00F7406E"/>
    <w:rsid w:val="00F74249"/>
    <w:rsid w:val="00F75473"/>
    <w:rsid w:val="00F756CC"/>
    <w:rsid w:val="00F75ABA"/>
    <w:rsid w:val="00F75BE8"/>
    <w:rsid w:val="00F75C5C"/>
    <w:rsid w:val="00F75F01"/>
    <w:rsid w:val="00F838BA"/>
    <w:rsid w:val="00F83F38"/>
    <w:rsid w:val="00F84751"/>
    <w:rsid w:val="00F85075"/>
    <w:rsid w:val="00F92785"/>
    <w:rsid w:val="00F974C3"/>
    <w:rsid w:val="00F97F63"/>
    <w:rsid w:val="00FA01A3"/>
    <w:rsid w:val="00FA105B"/>
    <w:rsid w:val="00FA521B"/>
    <w:rsid w:val="00FA7E0A"/>
    <w:rsid w:val="00FB0CB0"/>
    <w:rsid w:val="00FB1797"/>
    <w:rsid w:val="00FB272D"/>
    <w:rsid w:val="00FB48D5"/>
    <w:rsid w:val="00FC7574"/>
    <w:rsid w:val="00FD0D57"/>
    <w:rsid w:val="00FD241B"/>
    <w:rsid w:val="00FD2B9F"/>
    <w:rsid w:val="00FE0A6D"/>
    <w:rsid w:val="00FE176C"/>
    <w:rsid w:val="00FE2065"/>
    <w:rsid w:val="00FE2301"/>
    <w:rsid w:val="00FE3202"/>
    <w:rsid w:val="00FE35AB"/>
    <w:rsid w:val="00FE3976"/>
    <w:rsid w:val="00FE4274"/>
    <w:rsid w:val="00FE4D80"/>
    <w:rsid w:val="00FE5327"/>
    <w:rsid w:val="00FE6FF7"/>
    <w:rsid w:val="00FF0616"/>
    <w:rsid w:val="00FF1275"/>
    <w:rsid w:val="00FF235B"/>
    <w:rsid w:val="00FF6210"/>
    <w:rsid w:val="00FF73EC"/>
    <w:rsid w:val="00FF7A16"/>
    <w:rsid w:val="00FF7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C53B33"/>
  <w15:docId w15:val="{24702A0D-BEE8-4137-B08A-F964ECB5B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37FA"/>
    <w:pPr>
      <w:spacing w:line="360" w:lineRule="auto"/>
    </w:pPr>
    <w:rPr>
      <w:sz w:val="24"/>
    </w:rPr>
  </w:style>
  <w:style w:type="paragraph" w:styleId="Heading2">
    <w:name w:val="heading 2"/>
    <w:basedOn w:val="Normal"/>
    <w:next w:val="Normal"/>
    <w:link w:val="Heading2Char"/>
    <w:qFormat/>
    <w:rsid w:val="00661CF0"/>
    <w:pPr>
      <w:keepNext/>
      <w:jc w:val="both"/>
      <w:outlineLvl w:val="1"/>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61CF0"/>
    <w:rPr>
      <w:color w:val="0000FF"/>
      <w:u w:val="single"/>
    </w:rPr>
  </w:style>
  <w:style w:type="paragraph" w:styleId="Footer">
    <w:name w:val="footer"/>
    <w:basedOn w:val="Normal"/>
    <w:link w:val="FooterChar"/>
    <w:uiPriority w:val="99"/>
    <w:rsid w:val="008E484D"/>
    <w:pPr>
      <w:tabs>
        <w:tab w:val="center" w:pos="4320"/>
        <w:tab w:val="right" w:pos="8640"/>
      </w:tabs>
    </w:pPr>
  </w:style>
  <w:style w:type="character" w:styleId="PageNumber">
    <w:name w:val="page number"/>
    <w:basedOn w:val="DefaultParagraphFont"/>
    <w:uiPriority w:val="99"/>
    <w:rsid w:val="008E484D"/>
  </w:style>
  <w:style w:type="paragraph" w:styleId="FootnoteText">
    <w:name w:val="footnote text"/>
    <w:basedOn w:val="Normal"/>
    <w:link w:val="FootnoteTextChar"/>
    <w:uiPriority w:val="99"/>
    <w:rsid w:val="00B34559"/>
    <w:pPr>
      <w:jc w:val="both"/>
    </w:pPr>
    <w:rPr>
      <w:sz w:val="26"/>
    </w:rPr>
  </w:style>
  <w:style w:type="character" w:styleId="FootnoteReference">
    <w:name w:val="footnote reference"/>
    <w:uiPriority w:val="99"/>
    <w:semiHidden/>
    <w:rsid w:val="00B34559"/>
    <w:rPr>
      <w:vertAlign w:val="superscript"/>
    </w:rPr>
  </w:style>
  <w:style w:type="paragraph" w:styleId="DocumentMap">
    <w:name w:val="Document Map"/>
    <w:basedOn w:val="Normal"/>
    <w:semiHidden/>
    <w:rsid w:val="00FF0616"/>
    <w:pPr>
      <w:shd w:val="clear" w:color="auto" w:fill="000080"/>
    </w:pPr>
    <w:rPr>
      <w:rFonts w:ascii="Tahoma" w:hAnsi="Tahoma" w:cs="Tahoma"/>
    </w:rPr>
  </w:style>
  <w:style w:type="paragraph" w:styleId="ListParagraph">
    <w:name w:val="List Paragraph"/>
    <w:basedOn w:val="Normal"/>
    <w:uiPriority w:val="99"/>
    <w:qFormat/>
    <w:rsid w:val="00DE2A19"/>
    <w:pPr>
      <w:ind w:left="720"/>
      <w:contextualSpacing/>
    </w:pPr>
    <w:rPr>
      <w:color w:val="000000"/>
      <w:sz w:val="26"/>
    </w:rPr>
  </w:style>
  <w:style w:type="paragraph" w:styleId="Header">
    <w:name w:val="header"/>
    <w:basedOn w:val="Normal"/>
    <w:link w:val="HeaderChar"/>
    <w:rsid w:val="003209B7"/>
    <w:pPr>
      <w:tabs>
        <w:tab w:val="center" w:pos="4680"/>
        <w:tab w:val="right" w:pos="9360"/>
      </w:tabs>
    </w:pPr>
  </w:style>
  <w:style w:type="character" w:customStyle="1" w:styleId="HeaderChar">
    <w:name w:val="Header Char"/>
    <w:basedOn w:val="DefaultParagraphFont"/>
    <w:link w:val="Header"/>
    <w:rsid w:val="003209B7"/>
  </w:style>
  <w:style w:type="character" w:customStyle="1" w:styleId="FooterChar">
    <w:name w:val="Footer Char"/>
    <w:basedOn w:val="DefaultParagraphFont"/>
    <w:link w:val="Footer"/>
    <w:uiPriority w:val="99"/>
    <w:rsid w:val="00A43A1C"/>
  </w:style>
  <w:style w:type="paragraph" w:customStyle="1" w:styleId="ParaTab1">
    <w:name w:val="ParaTab 1"/>
    <w:uiPriority w:val="99"/>
    <w:rsid w:val="002219F2"/>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BC04C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C04CE"/>
    <w:rPr>
      <w:rFonts w:ascii="Tahoma" w:hAnsi="Tahoma" w:cs="Tahoma"/>
      <w:sz w:val="16"/>
      <w:szCs w:val="16"/>
    </w:rPr>
  </w:style>
  <w:style w:type="character" w:styleId="UnresolvedMention">
    <w:name w:val="Unresolved Mention"/>
    <w:basedOn w:val="DefaultParagraphFont"/>
    <w:uiPriority w:val="99"/>
    <w:semiHidden/>
    <w:unhideWhenUsed/>
    <w:rsid w:val="00AD3607"/>
    <w:rPr>
      <w:color w:val="605E5C"/>
      <w:shd w:val="clear" w:color="auto" w:fill="E1DFDD"/>
    </w:rPr>
  </w:style>
  <w:style w:type="character" w:customStyle="1" w:styleId="Heading2Char">
    <w:name w:val="Heading 2 Char"/>
    <w:basedOn w:val="DefaultParagraphFont"/>
    <w:link w:val="Heading2"/>
    <w:rsid w:val="0017213E"/>
    <w:rPr>
      <w:b/>
      <w:sz w:val="26"/>
      <w:u w:val="single"/>
    </w:rPr>
  </w:style>
  <w:style w:type="character" w:customStyle="1" w:styleId="FootnoteTextChar">
    <w:name w:val="Footnote Text Char"/>
    <w:basedOn w:val="DefaultParagraphFont"/>
    <w:link w:val="FootnoteText"/>
    <w:uiPriority w:val="99"/>
    <w:rsid w:val="009E6487"/>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05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evoe@pa.gov"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hoyer@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0DD13-9255-4706-8A29-138A21456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2583</Words>
  <Characters>14608</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MIS</dc:creator>
  <cp:lastModifiedBy>Miskanic, Nicholas</cp:lastModifiedBy>
  <cp:revision>2</cp:revision>
  <cp:lastPrinted>2014-02-13T18:21:00Z</cp:lastPrinted>
  <dcterms:created xsi:type="dcterms:W3CDTF">2021-12-28T15:31:00Z</dcterms:created>
  <dcterms:modified xsi:type="dcterms:W3CDTF">2021-12-28T15:31:00Z</dcterms:modified>
</cp:coreProperties>
</file>