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FC13" w14:textId="77777777" w:rsidR="00861356" w:rsidRPr="004143B7" w:rsidRDefault="00861356" w:rsidP="00861356">
      <w:pPr>
        <w:jc w:val="center"/>
        <w:rPr>
          <w:rFonts w:ascii="Times New Roman" w:hAnsi="Times New Roman" w:cs="Times New Roman"/>
          <w:b/>
        </w:rPr>
      </w:pPr>
      <w:r w:rsidRPr="004143B7">
        <w:rPr>
          <w:rFonts w:ascii="Times New Roman" w:hAnsi="Times New Roman" w:cs="Times New Roman"/>
          <w:b/>
        </w:rPr>
        <w:t>BEFORE THE</w:t>
      </w:r>
    </w:p>
    <w:p w14:paraId="4B5A1CCC" w14:textId="77777777" w:rsidR="00861356" w:rsidRPr="004143B7" w:rsidRDefault="00861356" w:rsidP="00861356">
      <w:pPr>
        <w:tabs>
          <w:tab w:val="center" w:pos="4680"/>
        </w:tabs>
        <w:suppressAutoHyphens/>
        <w:jc w:val="center"/>
        <w:rPr>
          <w:rFonts w:ascii="Times New Roman" w:hAnsi="Times New Roman" w:cs="Times New Roman"/>
          <w:b/>
          <w:bCs/>
          <w:spacing w:val="-3"/>
        </w:rPr>
      </w:pPr>
      <w:r w:rsidRPr="004143B7">
        <w:rPr>
          <w:rFonts w:ascii="Times New Roman" w:hAnsi="Times New Roman" w:cs="Times New Roman"/>
          <w:b/>
          <w:bCs/>
          <w:spacing w:val="-3"/>
        </w:rPr>
        <w:t>PENNSYLVANIA PUBLIC UTILITY COMMISSION</w:t>
      </w:r>
    </w:p>
    <w:p w14:paraId="5B0FAB47" w14:textId="77777777" w:rsidR="00861356" w:rsidRPr="004143B7" w:rsidRDefault="00861356" w:rsidP="00861356">
      <w:pPr>
        <w:tabs>
          <w:tab w:val="left" w:pos="-720"/>
        </w:tabs>
        <w:suppressAutoHyphens/>
        <w:rPr>
          <w:rFonts w:ascii="Times New Roman" w:hAnsi="Times New Roman" w:cs="Times New Roman"/>
          <w:spacing w:val="-3"/>
        </w:rPr>
      </w:pPr>
    </w:p>
    <w:p w14:paraId="032AB596" w14:textId="77777777" w:rsidR="00861356" w:rsidRPr="004143B7" w:rsidRDefault="00861356" w:rsidP="00861356">
      <w:pPr>
        <w:tabs>
          <w:tab w:val="left" w:pos="-720"/>
        </w:tabs>
        <w:suppressAutoHyphens/>
        <w:rPr>
          <w:rFonts w:ascii="Times New Roman" w:hAnsi="Times New Roman" w:cs="Times New Roman"/>
          <w:spacing w:val="-3"/>
        </w:rPr>
      </w:pPr>
    </w:p>
    <w:p w14:paraId="1884F976" w14:textId="77777777" w:rsidR="00861356" w:rsidRPr="004143B7" w:rsidRDefault="00861356" w:rsidP="00861356">
      <w:pPr>
        <w:tabs>
          <w:tab w:val="left" w:pos="-720"/>
        </w:tabs>
        <w:suppressAutoHyphens/>
        <w:rPr>
          <w:rFonts w:ascii="Times New Roman" w:hAnsi="Times New Roman" w:cs="Times New Roman"/>
          <w:spacing w:val="-3"/>
        </w:rPr>
      </w:pPr>
    </w:p>
    <w:p w14:paraId="4062DFAA" w14:textId="77777777" w:rsidR="00861356" w:rsidRPr="001D7EAB" w:rsidRDefault="00861356" w:rsidP="00861356">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2C2B454A" w14:textId="77777777" w:rsidR="00861356" w:rsidRPr="001D7EAB" w:rsidRDefault="00861356" w:rsidP="00861356">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130DFB22" w14:textId="77777777" w:rsidR="00861356" w:rsidRPr="001D7EAB" w:rsidRDefault="00861356" w:rsidP="00861356">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t>C-2020-3023129</w:t>
      </w:r>
    </w:p>
    <w:p w14:paraId="1A67F343" w14:textId="77777777" w:rsidR="00861356" w:rsidRPr="001D7EAB" w:rsidRDefault="00861356" w:rsidP="00861356">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20EC15C0" w14:textId="77777777" w:rsidR="00861356" w:rsidRPr="001D7EAB" w:rsidRDefault="00861356" w:rsidP="00861356">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1C0B3A5F" w14:textId="77777777" w:rsidR="00861356" w:rsidRPr="004143B7" w:rsidRDefault="00861356" w:rsidP="00861356">
      <w:pPr>
        <w:tabs>
          <w:tab w:val="left" w:pos="-720"/>
        </w:tabs>
        <w:suppressAutoHyphens/>
        <w:rPr>
          <w:rFonts w:ascii="Times New Roman" w:hAnsi="Times New Roman" w:cs="Times New Roman"/>
          <w:spacing w:val="-3"/>
        </w:rPr>
      </w:pPr>
    </w:p>
    <w:p w14:paraId="75CB1D42" w14:textId="77777777" w:rsidR="00861356" w:rsidRPr="004143B7" w:rsidRDefault="00861356" w:rsidP="00861356">
      <w:pPr>
        <w:tabs>
          <w:tab w:val="left" w:pos="-720"/>
          <w:tab w:val="left" w:pos="5040"/>
        </w:tabs>
        <w:suppressAutoHyphens/>
        <w:rPr>
          <w:rFonts w:ascii="Times New Roman" w:hAnsi="Times New Roman" w:cs="Times New Roman"/>
          <w:spacing w:val="-3"/>
        </w:rPr>
      </w:pPr>
    </w:p>
    <w:p w14:paraId="0C2E6983" w14:textId="77777777" w:rsidR="00861356" w:rsidRPr="004143B7" w:rsidRDefault="00861356" w:rsidP="00861356">
      <w:pPr>
        <w:tabs>
          <w:tab w:val="left" w:pos="-720"/>
          <w:tab w:val="left" w:pos="5040"/>
        </w:tabs>
        <w:suppressAutoHyphens/>
        <w:rPr>
          <w:rFonts w:ascii="Times New Roman" w:hAnsi="Times New Roman" w:cs="Times New Roman"/>
          <w:spacing w:val="-3"/>
        </w:rPr>
      </w:pPr>
    </w:p>
    <w:p w14:paraId="6B9275DE" w14:textId="142B52FE" w:rsidR="00861356" w:rsidRDefault="00861356" w:rsidP="00861356">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SECOND </w:t>
      </w:r>
      <w:r w:rsidRPr="004143B7">
        <w:rPr>
          <w:rFonts w:ascii="Times New Roman" w:hAnsi="Times New Roman" w:cs="Times New Roman"/>
          <w:b/>
          <w:bCs/>
          <w:spacing w:val="-3"/>
          <w:u w:val="single"/>
        </w:rPr>
        <w:t>ORDER</w:t>
      </w:r>
    </w:p>
    <w:p w14:paraId="193450A1" w14:textId="77777777" w:rsidR="00861356" w:rsidRDefault="00861356" w:rsidP="00861356">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GRANTING IN PART AND DENYING IN PART </w:t>
      </w:r>
    </w:p>
    <w:p w14:paraId="383CC77F" w14:textId="0B18091A" w:rsidR="00861356" w:rsidRPr="00861356" w:rsidRDefault="00861356" w:rsidP="00861356">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MOTION TO STRIKE PORTIONS OF BRIEFS</w:t>
      </w:r>
    </w:p>
    <w:p w14:paraId="0EBE1A66" w14:textId="77777777" w:rsidR="00861356" w:rsidRPr="004143B7" w:rsidRDefault="00861356" w:rsidP="00861356">
      <w:pPr>
        <w:pStyle w:val="ParaTab1"/>
        <w:tabs>
          <w:tab w:val="left" w:pos="2070"/>
        </w:tabs>
        <w:ind w:firstLine="0"/>
        <w:rPr>
          <w:rFonts w:ascii="Times New Roman" w:hAnsi="Times New Roman" w:cs="Times New Roman"/>
        </w:rPr>
      </w:pPr>
    </w:p>
    <w:p w14:paraId="2E076491" w14:textId="77777777" w:rsidR="00861356" w:rsidRPr="004143B7" w:rsidRDefault="00861356" w:rsidP="00861356">
      <w:pPr>
        <w:pStyle w:val="ParaTab1"/>
        <w:ind w:firstLine="0"/>
        <w:rPr>
          <w:rFonts w:ascii="Times New Roman" w:hAnsi="Times New Roman" w:cs="Times New Roman"/>
        </w:rPr>
      </w:pPr>
    </w:p>
    <w:p w14:paraId="6CA9DA47" w14:textId="77777777" w:rsidR="00861356" w:rsidRPr="00573050" w:rsidRDefault="00861356" w:rsidP="00861356">
      <w:pPr>
        <w:pStyle w:val="ParaTab1"/>
        <w:tabs>
          <w:tab w:val="left" w:pos="2070"/>
        </w:tabs>
        <w:spacing w:line="360" w:lineRule="auto"/>
        <w:rPr>
          <w:rFonts w:ascii="Times New Roman" w:eastAsia="Calibri" w:hAnsi="Times New Roman" w:cs="Times New Roman"/>
          <w:spacing w:val="-3"/>
        </w:rPr>
      </w:pPr>
      <w:r w:rsidRPr="004143B7">
        <w:rPr>
          <w:rFonts w:ascii="Times New Roman" w:hAnsi="Times New Roman" w:cs="Times New Roman"/>
        </w:rPr>
        <w:t xml:space="preserve">On </w:t>
      </w:r>
      <w:r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573050">
        <w:rPr>
          <w:rFonts w:ascii="Times New Roman" w:eastAsia="Calibri" w:hAnsi="Times New Roman" w:cs="Times New Roman"/>
          <w:spacing w:val="-3"/>
        </w:rPr>
        <w:t>taking action</w:t>
      </w:r>
      <w:proofErr w:type="gramEnd"/>
      <w:r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4B27BA32" w14:textId="77777777" w:rsidR="00861356" w:rsidRPr="00573050" w:rsidRDefault="00861356" w:rsidP="00861356">
      <w:pPr>
        <w:pStyle w:val="ParaTab1"/>
        <w:tabs>
          <w:tab w:val="left" w:pos="2070"/>
        </w:tabs>
        <w:spacing w:line="360" w:lineRule="auto"/>
        <w:rPr>
          <w:rFonts w:ascii="Times New Roman" w:eastAsia="Calibri" w:hAnsi="Times New Roman" w:cs="Times New Roman"/>
          <w:spacing w:val="-3"/>
        </w:rPr>
      </w:pPr>
    </w:p>
    <w:p w14:paraId="4E1EF94A" w14:textId="77777777" w:rsidR="00861356" w:rsidRPr="002D6018" w:rsidRDefault="00861356" w:rsidP="00861356">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t xml:space="preserve">On December 23, 2020, Sunoco filed an answer and new matter in response to the complaint.  In its answer, Sunoco admitted or denied the various averments Glen Riddle made in its 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w:t>
      </w:r>
      <w:r w:rsidRPr="00573050">
        <w:rPr>
          <w:rFonts w:ascii="Times New Roman" w:eastAsia="Calibri" w:hAnsi="Times New Roman" w:cs="Times New Roman"/>
          <w:spacing w:val="-3"/>
        </w:rPr>
        <w:lastRenderedPageBreak/>
        <w:t xml:space="preserve">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154E5FA8" w14:textId="77777777" w:rsidR="00861356" w:rsidRPr="002D6018" w:rsidRDefault="00861356" w:rsidP="00861356">
      <w:pPr>
        <w:pStyle w:val="ParaTab1"/>
        <w:tabs>
          <w:tab w:val="left" w:pos="2070"/>
        </w:tabs>
        <w:spacing w:line="360" w:lineRule="auto"/>
        <w:rPr>
          <w:rFonts w:ascii="Times New Roman" w:hAnsi="Times New Roman" w:cs="Times New Roman"/>
        </w:rPr>
      </w:pPr>
    </w:p>
    <w:p w14:paraId="7AB8665A" w14:textId="31DBCCCC" w:rsidR="00861356" w:rsidRDefault="00861356" w:rsidP="00861356">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sidR="00A72B85">
        <w:rPr>
          <w:rFonts w:ascii="Times New Roman" w:hAnsi="Times New Roman" w:cs="Times New Roman"/>
        </w:rPr>
        <w:t xml:space="preserve">,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0F3B7EFD" w14:textId="77777777" w:rsidR="00861356" w:rsidRDefault="00861356" w:rsidP="00861356">
      <w:pPr>
        <w:pStyle w:val="ParaTab1"/>
        <w:tabs>
          <w:tab w:val="left" w:pos="2070"/>
        </w:tabs>
        <w:spacing w:line="360" w:lineRule="auto"/>
        <w:rPr>
          <w:rFonts w:ascii="Times New Roman" w:hAnsi="Times New Roman" w:cs="Times New Roman"/>
        </w:rPr>
      </w:pPr>
    </w:p>
    <w:p w14:paraId="78835FC9" w14:textId="2C48E546" w:rsidR="00861356" w:rsidRPr="006D2F61" w:rsidRDefault="00861356" w:rsidP="0086135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multiple pleadings were </w:t>
      </w:r>
      <w:proofErr w:type="gramStart"/>
      <w:r>
        <w:rPr>
          <w:rFonts w:ascii="Times New Roman" w:hAnsi="Times New Roman" w:cs="Times New Roman"/>
        </w:rPr>
        <w:t>filed</w:t>
      </w:r>
      <w:proofErr w:type="gramEnd"/>
      <w:r>
        <w:rPr>
          <w:rFonts w:ascii="Times New Roman" w:hAnsi="Times New Roman" w:cs="Times New Roman"/>
        </w:rPr>
        <w:t xml:space="preserve"> and procedural matters occurred.  This includes the filing of preliminary objections, establishment of an initial telephonic hearing, a motion for a prehearing conference and procedural schedule, the filing of a petition for interim emergency relief, the withdraw of the petition for interim emergency relief, a prehearing conference, the rescheduling of the prehearing conference, the filing of a motion to compel by each party, the filing of a motion for a protective order that was contested, a motion in </w:t>
      </w:r>
      <w:proofErr w:type="spellStart"/>
      <w:r>
        <w:rPr>
          <w:rFonts w:ascii="Times New Roman" w:hAnsi="Times New Roman" w:cs="Times New Roman"/>
        </w:rPr>
        <w:t>limine</w:t>
      </w:r>
      <w:proofErr w:type="spellEnd"/>
      <w:r>
        <w:rPr>
          <w:rFonts w:ascii="Times New Roman" w:hAnsi="Times New Roman" w:cs="Times New Roman"/>
        </w:rPr>
        <w:t>, a motion to enforce the order granting in part and denying in part the preliminary objections and striking Glen Riddle testimony, a motion for a final continuance</w:t>
      </w:r>
      <w:r w:rsidR="00282912">
        <w:rPr>
          <w:rFonts w:ascii="Times New Roman" w:hAnsi="Times New Roman" w:cs="Times New Roman"/>
        </w:rPr>
        <w:t xml:space="preserve">, </w:t>
      </w:r>
      <w:r>
        <w:rPr>
          <w:rFonts w:ascii="Times New Roman" w:hAnsi="Times New Roman" w:cs="Times New Roman"/>
        </w:rPr>
        <w:t>another motion to compel</w:t>
      </w:r>
      <w:r w:rsidR="00282912">
        <w:rPr>
          <w:rFonts w:ascii="Times New Roman" w:hAnsi="Times New Roman" w:cs="Times New Roman"/>
        </w:rPr>
        <w:t xml:space="preserve"> and a motion to strike a portion of </w:t>
      </w:r>
      <w:r w:rsidR="00F12CB3">
        <w:rPr>
          <w:rFonts w:ascii="Times New Roman" w:hAnsi="Times New Roman" w:cs="Times New Roman"/>
        </w:rPr>
        <w:t>a reply brief</w:t>
      </w:r>
      <w:r>
        <w:rPr>
          <w:rFonts w:ascii="Times New Roman" w:hAnsi="Times New Roman" w:cs="Times New Roman"/>
        </w:rPr>
        <w:t>.  Each of these procedural matters was responded to with the necessary order or hearing notice as appropriate.</w:t>
      </w:r>
    </w:p>
    <w:p w14:paraId="62FEA4D8" w14:textId="77777777" w:rsidR="00861356" w:rsidRPr="006D2F61" w:rsidRDefault="00861356" w:rsidP="00861356">
      <w:pPr>
        <w:pStyle w:val="ParaTab1"/>
        <w:spacing w:line="360" w:lineRule="auto"/>
        <w:ind w:firstLine="0"/>
        <w:rPr>
          <w:rFonts w:ascii="Times New Roman" w:hAnsi="Times New Roman" w:cs="Times New Roman"/>
        </w:rPr>
      </w:pPr>
    </w:p>
    <w:p w14:paraId="5E06D200" w14:textId="77777777" w:rsidR="00861356" w:rsidRPr="006D2F61" w:rsidRDefault="00861356" w:rsidP="00861356">
      <w:pPr>
        <w:pStyle w:val="ParaTab1"/>
        <w:spacing w:line="360" w:lineRule="auto"/>
        <w:ind w:firstLine="0"/>
        <w:rPr>
          <w:rFonts w:ascii="Times New Roman" w:hAnsi="Times New Roman" w:cs="Times New Roman"/>
        </w:rPr>
      </w:pPr>
      <w:r w:rsidRPr="006D2F61">
        <w:rPr>
          <w:rFonts w:ascii="Times New Roman" w:hAnsi="Times New Roman" w:cs="Times New Roman"/>
        </w:rPr>
        <w:tab/>
      </w:r>
      <w:r w:rsidRPr="006D2F61">
        <w:rPr>
          <w:rFonts w:ascii="Times New Roman" w:hAnsi="Times New Roman" w:cs="Times New Roman"/>
        </w:rPr>
        <w:tab/>
      </w:r>
      <w:r>
        <w:rPr>
          <w:rFonts w:ascii="Times New Roman" w:hAnsi="Times New Roman" w:cs="Times New Roman"/>
        </w:rPr>
        <w:t>In addition, t</w:t>
      </w:r>
      <w:r w:rsidRPr="006D2F61">
        <w:rPr>
          <w:rFonts w:ascii="Times New Roman" w:hAnsi="Times New Roman" w:cs="Times New Roman"/>
        </w:rPr>
        <w:t>he parties submitted pre-served written testimony pursuant to the litigation schedule.</w:t>
      </w:r>
    </w:p>
    <w:p w14:paraId="46B33A8B" w14:textId="77777777" w:rsidR="00861356" w:rsidRPr="006D2F61" w:rsidRDefault="00861356" w:rsidP="00861356">
      <w:pPr>
        <w:pStyle w:val="ParaTab1"/>
        <w:spacing w:line="360" w:lineRule="auto"/>
        <w:ind w:firstLine="0"/>
        <w:rPr>
          <w:rFonts w:ascii="Times New Roman" w:hAnsi="Times New Roman" w:cs="Times New Roman"/>
        </w:rPr>
      </w:pPr>
    </w:p>
    <w:p w14:paraId="64D9B997" w14:textId="77777777" w:rsidR="00861356" w:rsidRDefault="00861356" w:rsidP="00861356">
      <w:pPr>
        <w:pStyle w:val="Style"/>
        <w:spacing w:line="360" w:lineRule="auto"/>
        <w:ind w:firstLine="1440"/>
      </w:pPr>
      <w:r w:rsidRPr="006D2F61">
        <w:t xml:space="preserve">The hearing was held on </w:t>
      </w:r>
      <w:r>
        <w:t>July 7, 12 and 13</w:t>
      </w:r>
      <w:r w:rsidRPr="006D2F61">
        <w:t>, 2021, as scheduled.</w:t>
      </w:r>
      <w:r>
        <w:t xml:space="preserve">  Samuel Cortes, Esquire and Ashley Beach, Esquire appeared on behalf of Glen Riddle.  Diana Silva, Esquire, Tom Sniscak, Esquire, Kevin McKeon, Esquire, Whitney Snyder, Esquire and Bryce Beard, Esquire </w:t>
      </w:r>
      <w:r>
        <w:lastRenderedPageBreak/>
        <w:t xml:space="preserve">appeared on behalf of Sunoco.  </w:t>
      </w:r>
      <w:r w:rsidRPr="00CC576B">
        <w:t xml:space="preserve">Witnesses were subject to cross examination and pre-served testimony and accompanying attachments were admitted into the record.  At the conclusion of the hearing, a discussion was held regarding the opportunity to submit briefs on the disputed issues.  The parties agreed that main briefs </w:t>
      </w:r>
      <w:r>
        <w:t>would</w:t>
      </w:r>
      <w:r w:rsidRPr="00CC576B">
        <w:t xml:space="preserve"> be filed on </w:t>
      </w:r>
      <w:r>
        <w:t>September 3</w:t>
      </w:r>
      <w:r w:rsidRPr="00CC576B">
        <w:t xml:space="preserve">, </w:t>
      </w:r>
      <w:proofErr w:type="gramStart"/>
      <w:r w:rsidRPr="00CC576B">
        <w:t>2021</w:t>
      </w:r>
      <w:proofErr w:type="gramEnd"/>
      <w:r w:rsidRPr="00CC576B">
        <w:t xml:space="preserve"> and reply briefs </w:t>
      </w:r>
      <w:r>
        <w:t>would</w:t>
      </w:r>
      <w:r w:rsidRPr="00CC576B">
        <w:t xml:space="preserve"> be filed on </w:t>
      </w:r>
      <w:r>
        <w:t>September 24</w:t>
      </w:r>
      <w:r w:rsidRPr="00CC576B">
        <w:t xml:space="preserve">, 2021.  </w:t>
      </w:r>
      <w:r>
        <w:t xml:space="preserve">A briefing order was issued on July 14, </w:t>
      </w:r>
      <w:proofErr w:type="gramStart"/>
      <w:r>
        <w:t>2021</w:t>
      </w:r>
      <w:proofErr w:type="gramEnd"/>
      <w:r>
        <w:t xml:space="preserve"> </w:t>
      </w:r>
      <w:r w:rsidRPr="00CC576B">
        <w:t>memorializ</w:t>
      </w:r>
      <w:r>
        <w:t>ing</w:t>
      </w:r>
      <w:r w:rsidRPr="00CC576B">
        <w:t xml:space="preserve"> the briefing schedule and address</w:t>
      </w:r>
      <w:r>
        <w:t>ing</w:t>
      </w:r>
      <w:r w:rsidRPr="00CC576B">
        <w:t xml:space="preserve"> additional procedural issues regarding briefs. </w:t>
      </w:r>
      <w:r>
        <w:t xml:space="preserve"> On August 20, 2021, at the request of the parties, a revised briefing order was issued to modify the briefing due dates to accommodate delays in the receipt of the hearing transcript so that the main briefs would instead be due on September 17, </w:t>
      </w:r>
      <w:proofErr w:type="gramStart"/>
      <w:r>
        <w:t>2021</w:t>
      </w:r>
      <w:proofErr w:type="gramEnd"/>
      <w:r>
        <w:t xml:space="preserve"> and the reply briefs would be due on October 8, 2021.</w:t>
      </w:r>
    </w:p>
    <w:p w14:paraId="0FB1C08E" w14:textId="77777777" w:rsidR="00861356" w:rsidRDefault="00861356" w:rsidP="00861356">
      <w:pPr>
        <w:pStyle w:val="Style"/>
        <w:spacing w:line="360" w:lineRule="auto"/>
        <w:ind w:firstLine="1440"/>
      </w:pPr>
    </w:p>
    <w:p w14:paraId="3134D43D" w14:textId="77777777" w:rsidR="00861356" w:rsidRDefault="00861356" w:rsidP="00861356">
      <w:pPr>
        <w:pStyle w:val="Style"/>
        <w:spacing w:line="360" w:lineRule="auto"/>
        <w:ind w:firstLine="1440"/>
      </w:pPr>
      <w:r>
        <w:t xml:space="preserve">Both Glen Riddle and Sunoco filed main and </w:t>
      </w:r>
      <w:proofErr w:type="gramStart"/>
      <w:r>
        <w:t>reply</w:t>
      </w:r>
      <w:proofErr w:type="gramEnd"/>
      <w:r>
        <w:t xml:space="preserve"> briefs pursuant to the revised briefing order.</w:t>
      </w:r>
    </w:p>
    <w:p w14:paraId="52BEFB08" w14:textId="77777777" w:rsidR="00861356" w:rsidRDefault="00861356" w:rsidP="00861356">
      <w:pPr>
        <w:pStyle w:val="Style"/>
        <w:spacing w:line="360" w:lineRule="auto"/>
        <w:ind w:firstLine="1440"/>
      </w:pPr>
    </w:p>
    <w:p w14:paraId="03B137B4" w14:textId="05308CC3" w:rsidR="00861356" w:rsidRDefault="00861356" w:rsidP="00861356">
      <w:pPr>
        <w:pStyle w:val="Style"/>
        <w:spacing w:line="360" w:lineRule="auto"/>
        <w:ind w:firstLine="1440"/>
      </w:pPr>
      <w:r>
        <w:t xml:space="preserve">On November 9, 2021, Sunoco filed a motion to strike portions of Glen Riddle’s reply brief.  On November 29, 2021, Glen Riddle filed an answer to Sunoco’s motion to strike.  </w:t>
      </w:r>
      <w:r w:rsidR="00F12CB3">
        <w:t>By Order dated December 3, 2021</w:t>
      </w:r>
      <w:r>
        <w:t xml:space="preserve">, Sunoco’s motion </w:t>
      </w:r>
      <w:r w:rsidR="00F12CB3">
        <w:t xml:space="preserve">was </w:t>
      </w:r>
      <w:r>
        <w:t>granted in part and denied in part.</w:t>
      </w:r>
    </w:p>
    <w:p w14:paraId="3294DB20" w14:textId="13A71CA4" w:rsidR="00F12CB3" w:rsidRDefault="00F12CB3" w:rsidP="00861356">
      <w:pPr>
        <w:pStyle w:val="Style"/>
        <w:spacing w:line="360" w:lineRule="auto"/>
        <w:ind w:firstLine="1440"/>
      </w:pPr>
    </w:p>
    <w:p w14:paraId="0D027408" w14:textId="251D0713" w:rsidR="00F12CB3" w:rsidRDefault="00F12CB3" w:rsidP="00861356">
      <w:pPr>
        <w:pStyle w:val="Style"/>
        <w:spacing w:line="360" w:lineRule="auto"/>
        <w:ind w:firstLine="1440"/>
      </w:pPr>
      <w:r>
        <w:t xml:space="preserve">On </w:t>
      </w:r>
      <w:r w:rsidR="00DF4170">
        <w:t xml:space="preserve">December 7, 2021, Glen Riddle filed a motion to strike portions </w:t>
      </w:r>
      <w:r w:rsidR="00B97A9C">
        <w:t xml:space="preserve">Sunoco’s main and </w:t>
      </w:r>
      <w:proofErr w:type="gramStart"/>
      <w:r w:rsidR="00B97A9C">
        <w:t>reply</w:t>
      </w:r>
      <w:proofErr w:type="gramEnd"/>
      <w:r w:rsidR="00B97A9C">
        <w:t xml:space="preserve"> briefs.  On December 27, 2021, Sunoco filed an answer to Glen Riddle’s motion to strike.  As discussed further below, Glen Riddle’s motion to strike will be granted in part and denied in part.</w:t>
      </w:r>
    </w:p>
    <w:p w14:paraId="40B2A70B" w14:textId="77777777" w:rsidR="00861356" w:rsidRDefault="00861356" w:rsidP="00861356">
      <w:pPr>
        <w:pStyle w:val="Style"/>
        <w:spacing w:line="360" w:lineRule="auto"/>
        <w:ind w:firstLine="1440"/>
      </w:pPr>
    </w:p>
    <w:p w14:paraId="20BF22BF" w14:textId="36F2A56B" w:rsidR="00861356" w:rsidRDefault="00861356" w:rsidP="00861356">
      <w:pPr>
        <w:pStyle w:val="ParaTab1"/>
        <w:tabs>
          <w:tab w:val="left" w:pos="2070"/>
        </w:tabs>
        <w:spacing w:line="360" w:lineRule="auto"/>
        <w:rPr>
          <w:rFonts w:ascii="Times New Roman" w:hAnsi="Times New Roman" w:cs="Times New Roman"/>
          <w:bCs/>
          <w:color w:val="000000"/>
        </w:rPr>
      </w:pPr>
      <w:r>
        <w:rPr>
          <w:rFonts w:ascii="Times New Roman" w:eastAsiaTheme="minorHAnsi" w:hAnsi="Times New Roman" w:cs="Times New Roman"/>
          <w:bCs/>
          <w:color w:val="000000"/>
        </w:rPr>
        <w:t>As an initial matter</w:t>
      </w:r>
      <w:r w:rsidR="00481DC3">
        <w:rPr>
          <w:rFonts w:ascii="Times New Roman" w:eastAsiaTheme="minorHAnsi" w:hAnsi="Times New Roman" w:cs="Times New Roman"/>
          <w:bCs/>
          <w:color w:val="000000"/>
        </w:rPr>
        <w:t xml:space="preserve">, and as noted in the December 3, </w:t>
      </w:r>
      <w:proofErr w:type="gramStart"/>
      <w:r w:rsidR="00481DC3">
        <w:rPr>
          <w:rFonts w:ascii="Times New Roman" w:eastAsiaTheme="minorHAnsi" w:hAnsi="Times New Roman" w:cs="Times New Roman"/>
          <w:bCs/>
          <w:color w:val="000000"/>
        </w:rPr>
        <w:t>2021</w:t>
      </w:r>
      <w:proofErr w:type="gramEnd"/>
      <w:r w:rsidR="00481DC3">
        <w:rPr>
          <w:rFonts w:ascii="Times New Roman" w:eastAsiaTheme="minorHAnsi" w:hAnsi="Times New Roman" w:cs="Times New Roman"/>
          <w:bCs/>
          <w:color w:val="000000"/>
        </w:rPr>
        <w:t xml:space="preserve"> order addressing </w:t>
      </w:r>
      <w:r w:rsidR="00557606">
        <w:rPr>
          <w:rFonts w:ascii="Times New Roman" w:eastAsiaTheme="minorHAnsi" w:hAnsi="Times New Roman" w:cs="Times New Roman"/>
          <w:bCs/>
          <w:color w:val="000000"/>
        </w:rPr>
        <w:t xml:space="preserve">Sunoco’s motion to strike, </w:t>
      </w:r>
      <w:r>
        <w:rPr>
          <w:rFonts w:ascii="Times New Roman" w:eastAsiaTheme="minorHAnsi" w:hAnsi="Times New Roman" w:cs="Times New Roman"/>
          <w:bCs/>
          <w:color w:val="000000"/>
        </w:rPr>
        <w:t xml:space="preserve">Section 5.403 of the Commission’s regulations provides that presiding officers have all necessary authority to control the receipt of evidence, including ruling on the admissibility of evidence.  52 Pa. Code § 5.403(a)(1).  The presiding officer will actively employ these powers to direct and focus the proceedings consistent with due process.  52 </w:t>
      </w:r>
      <w:proofErr w:type="spellStart"/>
      <w:r>
        <w:rPr>
          <w:rFonts w:ascii="Times New Roman" w:eastAsiaTheme="minorHAnsi" w:hAnsi="Times New Roman" w:cs="Times New Roman"/>
          <w:bCs/>
          <w:color w:val="000000"/>
        </w:rPr>
        <w:t>Pa.Code</w:t>
      </w:r>
      <w:proofErr w:type="spellEnd"/>
      <w:r>
        <w:rPr>
          <w:rFonts w:ascii="Times New Roman" w:eastAsiaTheme="minorHAnsi" w:hAnsi="Times New Roman" w:cs="Times New Roman"/>
          <w:bCs/>
          <w:color w:val="000000"/>
        </w:rPr>
        <w:t xml:space="preserve"> § 5.403(b).  In addition, presiding officers have the authority to “exclude irrelevant, immaterial or unduly repetitive evidence, to prevent excessive examination of witnesses, to schedule and impose reasonable limitations on discovery and to otherwise regulate the course of the proceeding.”  52 Pa. Code § 5.483(a</w:t>
      </w:r>
      <w:r w:rsidRPr="00F148E3">
        <w:rPr>
          <w:rFonts w:ascii="Times New Roman" w:eastAsiaTheme="minorHAnsi" w:hAnsi="Times New Roman" w:cs="Times New Roman"/>
          <w:bCs/>
          <w:color w:val="000000"/>
        </w:rPr>
        <w:t xml:space="preserve">).  </w:t>
      </w:r>
      <w:r w:rsidRPr="00F148E3">
        <w:rPr>
          <w:rFonts w:ascii="Times New Roman" w:hAnsi="Times New Roman" w:cs="Times New Roman"/>
          <w:bCs/>
          <w:color w:val="000000"/>
        </w:rPr>
        <w:t xml:space="preserve">Furthermore, Section 5.431 governs the close of the record.  Specifically, the record of a case will be closed at the conclusion of the hearing unless otherwise directed by the presiding </w:t>
      </w:r>
      <w:r w:rsidRPr="00F148E3">
        <w:rPr>
          <w:rFonts w:ascii="Times New Roman" w:hAnsi="Times New Roman" w:cs="Times New Roman"/>
          <w:bCs/>
          <w:color w:val="000000"/>
        </w:rPr>
        <w:lastRenderedPageBreak/>
        <w:t>officer or the Commission.  52 Pa. Code § 5.431(a).  After the record is closed, additional matter may not be relied upon or accepted into the record unless allowed for good cause shown by the presiding officer or the Commission upon motion.  52 Pa. Code § 5.431(b).</w:t>
      </w:r>
    </w:p>
    <w:p w14:paraId="5FA4B361" w14:textId="77777777" w:rsidR="00861356" w:rsidRDefault="00861356" w:rsidP="00861356">
      <w:pPr>
        <w:pStyle w:val="ParaTab1"/>
        <w:tabs>
          <w:tab w:val="left" w:pos="2070"/>
        </w:tabs>
        <w:spacing w:line="360" w:lineRule="auto"/>
        <w:rPr>
          <w:rFonts w:ascii="Times New Roman" w:hAnsi="Times New Roman" w:cs="Times New Roman"/>
          <w:bCs/>
          <w:color w:val="000000"/>
        </w:rPr>
      </w:pPr>
    </w:p>
    <w:p w14:paraId="696CE5CF" w14:textId="77777777" w:rsidR="00B72651" w:rsidRDefault="00861356" w:rsidP="00861356">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In its motion,</w:t>
      </w:r>
      <w:r w:rsidR="00EB1532">
        <w:rPr>
          <w:rFonts w:ascii="Times New Roman" w:hAnsi="Times New Roman" w:cs="Times New Roman"/>
          <w:bCs/>
          <w:color w:val="000000"/>
        </w:rPr>
        <w:t xml:space="preserve"> Glen Riddle </w:t>
      </w:r>
      <w:r w:rsidR="00491328">
        <w:rPr>
          <w:rFonts w:ascii="Times New Roman" w:hAnsi="Times New Roman" w:cs="Times New Roman"/>
          <w:bCs/>
          <w:color w:val="000000"/>
        </w:rPr>
        <w:t xml:space="preserve">argued that Sunoco’s briefs fail to comply with Commission regulations and </w:t>
      </w:r>
      <w:r w:rsidR="0067147C">
        <w:rPr>
          <w:rFonts w:ascii="Times New Roman" w:hAnsi="Times New Roman" w:cs="Times New Roman"/>
          <w:bCs/>
          <w:color w:val="000000"/>
        </w:rPr>
        <w:t xml:space="preserve">the briefing order entered in this case </w:t>
      </w:r>
      <w:r w:rsidR="00491328">
        <w:rPr>
          <w:rFonts w:ascii="Times New Roman" w:hAnsi="Times New Roman" w:cs="Times New Roman"/>
          <w:bCs/>
          <w:color w:val="000000"/>
        </w:rPr>
        <w:t xml:space="preserve">because they </w:t>
      </w:r>
      <w:r w:rsidR="00A47F47">
        <w:rPr>
          <w:rFonts w:ascii="Times New Roman" w:hAnsi="Times New Roman" w:cs="Times New Roman"/>
          <w:bCs/>
          <w:color w:val="000000"/>
        </w:rPr>
        <w:t xml:space="preserve">exceed </w:t>
      </w:r>
      <w:r w:rsidR="0067147C">
        <w:rPr>
          <w:rFonts w:ascii="Times New Roman" w:hAnsi="Times New Roman" w:cs="Times New Roman"/>
          <w:bCs/>
          <w:color w:val="000000"/>
        </w:rPr>
        <w:t xml:space="preserve">the page limitations.  </w:t>
      </w:r>
      <w:r w:rsidR="00816452">
        <w:rPr>
          <w:rFonts w:ascii="Times New Roman" w:hAnsi="Times New Roman" w:cs="Times New Roman"/>
          <w:bCs/>
          <w:color w:val="000000"/>
        </w:rPr>
        <w:t xml:space="preserve">Glen Riddle noted that Sunoco’s main brief is 87 pages, including its appendices </w:t>
      </w:r>
      <w:r w:rsidR="00DC6904">
        <w:rPr>
          <w:rFonts w:ascii="Times New Roman" w:hAnsi="Times New Roman" w:cs="Times New Roman"/>
          <w:bCs/>
          <w:color w:val="000000"/>
        </w:rPr>
        <w:t>where it included its proposed conclusions of law, findings of fact and ordering paragraphs</w:t>
      </w:r>
      <w:r w:rsidR="00B2623A">
        <w:rPr>
          <w:rFonts w:ascii="Times New Roman" w:hAnsi="Times New Roman" w:cs="Times New Roman"/>
          <w:bCs/>
          <w:color w:val="000000"/>
        </w:rPr>
        <w:t>, and that Sunoco’s reply brief is 109 pages long including a 54-page chart that contains further argument.</w:t>
      </w:r>
      <w:r w:rsidR="008E6AA4">
        <w:rPr>
          <w:rFonts w:ascii="Times New Roman" w:hAnsi="Times New Roman" w:cs="Times New Roman"/>
          <w:bCs/>
          <w:color w:val="000000"/>
        </w:rPr>
        <w:t xml:space="preserve">  Glen Riddle added that portions of Sunoco’s main brief should be stricken because it </w:t>
      </w:r>
      <w:r w:rsidR="004414B1">
        <w:rPr>
          <w:rFonts w:ascii="Times New Roman" w:hAnsi="Times New Roman" w:cs="Times New Roman"/>
          <w:bCs/>
          <w:color w:val="000000"/>
        </w:rPr>
        <w:t xml:space="preserve">references matters that are outside of the record.  </w:t>
      </w:r>
      <w:r w:rsidR="00B760A0">
        <w:rPr>
          <w:rFonts w:ascii="Times New Roman" w:hAnsi="Times New Roman" w:cs="Times New Roman"/>
          <w:bCs/>
          <w:color w:val="000000"/>
        </w:rPr>
        <w:t xml:space="preserve">Glen Riddle argued that it attempted to respond to </w:t>
      </w:r>
      <w:r w:rsidR="00C55D28">
        <w:rPr>
          <w:rFonts w:ascii="Times New Roman" w:hAnsi="Times New Roman" w:cs="Times New Roman"/>
          <w:bCs/>
          <w:color w:val="000000"/>
        </w:rPr>
        <w:t xml:space="preserve">the extra-record evidence in its reply </w:t>
      </w:r>
      <w:proofErr w:type="gramStart"/>
      <w:r w:rsidR="00C55D28">
        <w:rPr>
          <w:rFonts w:ascii="Times New Roman" w:hAnsi="Times New Roman" w:cs="Times New Roman"/>
          <w:bCs/>
          <w:color w:val="000000"/>
        </w:rPr>
        <w:t>brief</w:t>
      </w:r>
      <w:proofErr w:type="gramEnd"/>
      <w:r w:rsidR="00C55D28">
        <w:rPr>
          <w:rFonts w:ascii="Times New Roman" w:hAnsi="Times New Roman" w:cs="Times New Roman"/>
          <w:bCs/>
          <w:color w:val="000000"/>
        </w:rPr>
        <w:t xml:space="preserve"> but that portion of the reply brief was stricken upon Sunoco’s motion.</w:t>
      </w:r>
      <w:r w:rsidR="00B72651">
        <w:rPr>
          <w:rFonts w:ascii="Times New Roman" w:hAnsi="Times New Roman" w:cs="Times New Roman"/>
          <w:bCs/>
          <w:color w:val="000000"/>
        </w:rPr>
        <w:t xml:space="preserve">  Glen Riddle argued that Appendices A, B and C to Sunoco’s main brief, Appendix A of Sunoco’s reply brief and page 38, footnote 10 of Sunoco’s main brief should be stricken.</w:t>
      </w:r>
    </w:p>
    <w:p w14:paraId="05470EB0" w14:textId="77777777" w:rsidR="00B72651" w:rsidRDefault="00B72651" w:rsidP="00861356">
      <w:pPr>
        <w:pStyle w:val="ParaTab1"/>
        <w:tabs>
          <w:tab w:val="left" w:pos="2070"/>
        </w:tabs>
        <w:spacing w:line="360" w:lineRule="auto"/>
        <w:rPr>
          <w:rFonts w:ascii="Times New Roman" w:hAnsi="Times New Roman" w:cs="Times New Roman"/>
          <w:bCs/>
          <w:color w:val="000000"/>
        </w:rPr>
      </w:pPr>
    </w:p>
    <w:p w14:paraId="2803AE71" w14:textId="4E9AF52B" w:rsidR="00F86FA7" w:rsidRDefault="009757C8" w:rsidP="00861356">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In its answer to Glen Riddle’s motion, Sunoco argued that </w:t>
      </w:r>
      <w:r w:rsidR="00734417">
        <w:rPr>
          <w:rFonts w:ascii="Times New Roman" w:hAnsi="Times New Roman" w:cs="Times New Roman"/>
          <w:bCs/>
          <w:color w:val="000000"/>
        </w:rPr>
        <w:t xml:space="preserve">Glen Riddle’s request to strike </w:t>
      </w:r>
      <w:r w:rsidR="00F12DDE">
        <w:rPr>
          <w:rFonts w:ascii="Times New Roman" w:hAnsi="Times New Roman" w:cs="Times New Roman"/>
          <w:bCs/>
          <w:color w:val="000000"/>
        </w:rPr>
        <w:t xml:space="preserve">footnote 10 of its main brief </w:t>
      </w:r>
      <w:r w:rsidR="00B50D49">
        <w:rPr>
          <w:rFonts w:ascii="Times New Roman" w:hAnsi="Times New Roman" w:cs="Times New Roman"/>
          <w:bCs/>
          <w:color w:val="000000"/>
        </w:rPr>
        <w:t>should be rejected because the footnote is supported by record evidence</w:t>
      </w:r>
      <w:r w:rsidR="00B0689F">
        <w:rPr>
          <w:rFonts w:ascii="Times New Roman" w:hAnsi="Times New Roman" w:cs="Times New Roman"/>
          <w:bCs/>
          <w:color w:val="000000"/>
        </w:rPr>
        <w:t>, namely Glen Riddle exhibit GRS-134</w:t>
      </w:r>
      <w:r w:rsidR="006542B6">
        <w:rPr>
          <w:rFonts w:ascii="Times New Roman" w:hAnsi="Times New Roman" w:cs="Times New Roman"/>
          <w:bCs/>
          <w:color w:val="000000"/>
        </w:rPr>
        <w:t>, and that the footnote merely states that the lawsuit was filed</w:t>
      </w:r>
      <w:r w:rsidR="00BB2739">
        <w:rPr>
          <w:rFonts w:ascii="Times New Roman" w:hAnsi="Times New Roman" w:cs="Times New Roman"/>
          <w:bCs/>
          <w:color w:val="000000"/>
        </w:rPr>
        <w:t xml:space="preserve">, not any facts or outcomes of those lawsuits.  </w:t>
      </w:r>
      <w:r w:rsidR="00C43978">
        <w:rPr>
          <w:rFonts w:ascii="Times New Roman" w:hAnsi="Times New Roman" w:cs="Times New Roman"/>
          <w:bCs/>
          <w:color w:val="000000"/>
        </w:rPr>
        <w:t xml:space="preserve">Sunoco compares this reference to </w:t>
      </w:r>
      <w:r w:rsidR="00B93676">
        <w:rPr>
          <w:rFonts w:ascii="Times New Roman" w:hAnsi="Times New Roman" w:cs="Times New Roman"/>
          <w:bCs/>
          <w:color w:val="000000"/>
        </w:rPr>
        <w:t>the 11-page l</w:t>
      </w:r>
      <w:r w:rsidR="006C6B8B">
        <w:rPr>
          <w:rFonts w:ascii="Times New Roman" w:hAnsi="Times New Roman" w:cs="Times New Roman"/>
          <w:bCs/>
          <w:color w:val="000000"/>
        </w:rPr>
        <w:t>e</w:t>
      </w:r>
      <w:r w:rsidR="00B93676">
        <w:rPr>
          <w:rFonts w:ascii="Times New Roman" w:hAnsi="Times New Roman" w:cs="Times New Roman"/>
          <w:bCs/>
          <w:color w:val="000000"/>
        </w:rPr>
        <w:t xml:space="preserve">tter Glen Riddle </w:t>
      </w:r>
      <w:r w:rsidR="002F23E9">
        <w:rPr>
          <w:rFonts w:ascii="Times New Roman" w:hAnsi="Times New Roman" w:cs="Times New Roman"/>
          <w:bCs/>
          <w:color w:val="000000"/>
        </w:rPr>
        <w:t>filed with</w:t>
      </w:r>
      <w:r w:rsidR="00B93676">
        <w:rPr>
          <w:rFonts w:ascii="Times New Roman" w:hAnsi="Times New Roman" w:cs="Times New Roman"/>
          <w:bCs/>
          <w:color w:val="000000"/>
        </w:rPr>
        <w:t xml:space="preserve"> the Office of Open Records as part of that proceeding that was never admitted into the record.</w:t>
      </w:r>
      <w:r w:rsidR="004A50FA">
        <w:rPr>
          <w:rFonts w:ascii="Times New Roman" w:hAnsi="Times New Roman" w:cs="Times New Roman"/>
          <w:bCs/>
          <w:color w:val="000000"/>
        </w:rPr>
        <w:t xml:space="preserve">  </w:t>
      </w:r>
      <w:proofErr w:type="gramStart"/>
      <w:r w:rsidR="004A50FA">
        <w:rPr>
          <w:rFonts w:ascii="Times New Roman" w:hAnsi="Times New Roman" w:cs="Times New Roman"/>
          <w:bCs/>
          <w:color w:val="000000"/>
        </w:rPr>
        <w:t>With regard to</w:t>
      </w:r>
      <w:proofErr w:type="gramEnd"/>
      <w:r w:rsidR="004A50FA">
        <w:rPr>
          <w:rFonts w:ascii="Times New Roman" w:hAnsi="Times New Roman" w:cs="Times New Roman"/>
          <w:bCs/>
          <w:color w:val="000000"/>
        </w:rPr>
        <w:t xml:space="preserve"> Sunoco exceeding the page limits on the briefs, Sunoco argued that it is common practice before the Commission that </w:t>
      </w:r>
      <w:r w:rsidR="00D7200C">
        <w:rPr>
          <w:rFonts w:ascii="Times New Roman" w:hAnsi="Times New Roman" w:cs="Times New Roman"/>
          <w:bCs/>
          <w:color w:val="000000"/>
        </w:rPr>
        <w:t xml:space="preserve">proposed findings of fact, conclusions of law and ordering paragraphs are attached as appendices to the main brief, not included </w:t>
      </w:r>
      <w:r w:rsidR="00177661">
        <w:rPr>
          <w:rFonts w:ascii="Times New Roman" w:hAnsi="Times New Roman" w:cs="Times New Roman"/>
          <w:bCs/>
          <w:color w:val="000000"/>
        </w:rPr>
        <w:t xml:space="preserve">in the main brief, noting that they are not legal argument but are helpful to the presiding officer.  </w:t>
      </w:r>
      <w:r w:rsidR="00BF4C10">
        <w:rPr>
          <w:rFonts w:ascii="Times New Roman" w:hAnsi="Times New Roman" w:cs="Times New Roman"/>
          <w:bCs/>
          <w:color w:val="000000"/>
        </w:rPr>
        <w:t xml:space="preserve">Sunoco also argued that Glen Riddle was not prejudiced by the </w:t>
      </w:r>
      <w:r w:rsidR="00966574">
        <w:rPr>
          <w:rFonts w:ascii="Times New Roman" w:hAnsi="Times New Roman" w:cs="Times New Roman"/>
          <w:bCs/>
          <w:color w:val="000000"/>
        </w:rPr>
        <w:t xml:space="preserve">proposed materials because Glen Riddle could have responded to them in its reply brief, which was only 18-pages long.  Finally, Sunoco argued that </w:t>
      </w:r>
      <w:r w:rsidR="00A5633F">
        <w:rPr>
          <w:rFonts w:ascii="Times New Roman" w:hAnsi="Times New Roman" w:cs="Times New Roman"/>
          <w:bCs/>
          <w:color w:val="000000"/>
        </w:rPr>
        <w:t xml:space="preserve">Glen Riddle’s argument that Appendix </w:t>
      </w:r>
      <w:r w:rsidR="006C6B8B">
        <w:rPr>
          <w:rFonts w:ascii="Times New Roman" w:hAnsi="Times New Roman" w:cs="Times New Roman"/>
          <w:bCs/>
          <w:color w:val="000000"/>
        </w:rPr>
        <w:t>A</w:t>
      </w:r>
      <w:r w:rsidR="00A5633F">
        <w:rPr>
          <w:rFonts w:ascii="Times New Roman" w:hAnsi="Times New Roman" w:cs="Times New Roman"/>
          <w:bCs/>
          <w:color w:val="000000"/>
        </w:rPr>
        <w:t xml:space="preserve"> to Sunoco’s main brief should be stricken</w:t>
      </w:r>
      <w:r w:rsidR="00604D1F">
        <w:rPr>
          <w:rFonts w:ascii="Times New Roman" w:hAnsi="Times New Roman" w:cs="Times New Roman"/>
          <w:bCs/>
          <w:color w:val="000000"/>
        </w:rPr>
        <w:t xml:space="preserve"> should also be rejected because </w:t>
      </w:r>
      <w:r w:rsidR="00DB7747">
        <w:rPr>
          <w:rFonts w:ascii="Times New Roman" w:hAnsi="Times New Roman" w:cs="Times New Roman"/>
          <w:bCs/>
          <w:color w:val="000000"/>
        </w:rPr>
        <w:t>the Appendix contains a table with a page-by-page correction of the incorrect and inaccurate citatio</w:t>
      </w:r>
      <w:r w:rsidR="00C23804">
        <w:rPr>
          <w:rFonts w:ascii="Times New Roman" w:hAnsi="Times New Roman" w:cs="Times New Roman"/>
          <w:bCs/>
          <w:color w:val="000000"/>
        </w:rPr>
        <w:t>ns to and quotations of the record in Glen Riddle’s main brief</w:t>
      </w:r>
      <w:r w:rsidR="00A0680E">
        <w:rPr>
          <w:rFonts w:ascii="Times New Roman" w:hAnsi="Times New Roman" w:cs="Times New Roman"/>
          <w:bCs/>
          <w:color w:val="000000"/>
        </w:rPr>
        <w:t xml:space="preserve"> and that Sunoco had no choice but to su</w:t>
      </w:r>
      <w:r w:rsidR="00543F54">
        <w:rPr>
          <w:rFonts w:ascii="Times New Roman" w:hAnsi="Times New Roman" w:cs="Times New Roman"/>
          <w:bCs/>
          <w:color w:val="000000"/>
        </w:rPr>
        <w:t>b</w:t>
      </w:r>
      <w:r w:rsidR="00A0680E">
        <w:rPr>
          <w:rFonts w:ascii="Times New Roman" w:hAnsi="Times New Roman" w:cs="Times New Roman"/>
          <w:bCs/>
          <w:color w:val="000000"/>
        </w:rPr>
        <w:t xml:space="preserve">mit an exhaustive page-by-page correction to the inaccuracies in </w:t>
      </w:r>
      <w:r w:rsidR="00543F54">
        <w:rPr>
          <w:rFonts w:ascii="Times New Roman" w:hAnsi="Times New Roman" w:cs="Times New Roman"/>
          <w:bCs/>
          <w:color w:val="000000"/>
        </w:rPr>
        <w:t xml:space="preserve">Glen Riddle’s main brief.  Sunoco argued that the Commission has denied </w:t>
      </w:r>
      <w:r w:rsidR="00543F54">
        <w:rPr>
          <w:rFonts w:ascii="Times New Roman" w:hAnsi="Times New Roman" w:cs="Times New Roman"/>
          <w:bCs/>
          <w:color w:val="000000"/>
        </w:rPr>
        <w:lastRenderedPageBreak/>
        <w:t>similar motions to strike based on technical grounds</w:t>
      </w:r>
      <w:r w:rsidR="00F0563A">
        <w:rPr>
          <w:rFonts w:ascii="Times New Roman" w:hAnsi="Times New Roman" w:cs="Times New Roman"/>
          <w:bCs/>
          <w:color w:val="000000"/>
        </w:rPr>
        <w:t xml:space="preserve"> where additional explanation was needed.  </w:t>
      </w:r>
      <w:r w:rsidR="00F86FA7">
        <w:rPr>
          <w:rFonts w:ascii="Times New Roman" w:hAnsi="Times New Roman" w:cs="Times New Roman"/>
          <w:bCs/>
          <w:color w:val="000000"/>
        </w:rPr>
        <w:t>Sunoco requested that Glen Riddle’s motion be denied.</w:t>
      </w:r>
    </w:p>
    <w:p w14:paraId="5183AB1C" w14:textId="77777777" w:rsidR="00F86FA7" w:rsidRDefault="00F86FA7" w:rsidP="00861356">
      <w:pPr>
        <w:pStyle w:val="ParaTab1"/>
        <w:tabs>
          <w:tab w:val="left" w:pos="2070"/>
        </w:tabs>
        <w:spacing w:line="360" w:lineRule="auto"/>
        <w:rPr>
          <w:rFonts w:ascii="Times New Roman" w:hAnsi="Times New Roman" w:cs="Times New Roman"/>
          <w:bCs/>
          <w:color w:val="000000"/>
        </w:rPr>
      </w:pPr>
    </w:p>
    <w:p w14:paraId="78628CBA" w14:textId="61B8724A" w:rsidR="00EB1532" w:rsidRDefault="000D6011" w:rsidP="00861356">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Glen Riddle’s motion to strike footnote 10 of Sunoco’s main brief will be denied.  As Sunoco noted in its answer to Glen Riddle’s motion, </w:t>
      </w:r>
      <w:r w:rsidR="000F6E70">
        <w:rPr>
          <w:rFonts w:ascii="Times New Roman" w:hAnsi="Times New Roman" w:cs="Times New Roman"/>
          <w:bCs/>
          <w:color w:val="000000"/>
        </w:rPr>
        <w:t xml:space="preserve">footnote 10 </w:t>
      </w:r>
      <w:r w:rsidR="002C7D3A">
        <w:rPr>
          <w:rFonts w:ascii="Times New Roman" w:hAnsi="Times New Roman" w:cs="Times New Roman"/>
          <w:bCs/>
          <w:color w:val="000000"/>
        </w:rPr>
        <w:t xml:space="preserve">only references the other proceedings and does not state any facts from or outcomes to these proceedings.  In addition, there is other evidence of record in this proceeding that similarly references </w:t>
      </w:r>
      <w:r w:rsidR="00E123B3">
        <w:rPr>
          <w:rFonts w:ascii="Times New Roman" w:hAnsi="Times New Roman" w:cs="Times New Roman"/>
          <w:bCs/>
          <w:color w:val="000000"/>
        </w:rPr>
        <w:t xml:space="preserve">the proceedings.  Whereas the specific </w:t>
      </w:r>
      <w:r w:rsidR="008F0C2B">
        <w:rPr>
          <w:rFonts w:ascii="Times New Roman" w:hAnsi="Times New Roman" w:cs="Times New Roman"/>
          <w:bCs/>
          <w:color w:val="000000"/>
        </w:rPr>
        <w:t>averments and allegations of those proceedings are irrelevant to and not a part of this proceeding</w:t>
      </w:r>
      <w:r w:rsidR="00807693">
        <w:rPr>
          <w:rFonts w:ascii="Times New Roman" w:hAnsi="Times New Roman" w:cs="Times New Roman"/>
          <w:bCs/>
          <w:color w:val="000000"/>
        </w:rPr>
        <w:t xml:space="preserve">, </w:t>
      </w:r>
      <w:r w:rsidR="004F435F">
        <w:rPr>
          <w:rFonts w:ascii="Times New Roman" w:hAnsi="Times New Roman" w:cs="Times New Roman"/>
          <w:bCs/>
          <w:color w:val="000000"/>
        </w:rPr>
        <w:t>only referencing the other proceedings is not unreasonable and does not cause any prejudice to Glen Riddle</w:t>
      </w:r>
      <w:r w:rsidR="007C1149">
        <w:rPr>
          <w:rFonts w:ascii="Times New Roman" w:hAnsi="Times New Roman" w:cs="Times New Roman"/>
          <w:bCs/>
          <w:color w:val="000000"/>
        </w:rPr>
        <w:t xml:space="preserve">.  This </w:t>
      </w:r>
      <w:r w:rsidR="005060AF">
        <w:rPr>
          <w:rFonts w:ascii="Times New Roman" w:hAnsi="Times New Roman" w:cs="Times New Roman"/>
          <w:bCs/>
          <w:color w:val="000000"/>
        </w:rPr>
        <w:t>contrasts with</w:t>
      </w:r>
      <w:r w:rsidR="007C1149">
        <w:rPr>
          <w:rFonts w:ascii="Times New Roman" w:hAnsi="Times New Roman" w:cs="Times New Roman"/>
          <w:bCs/>
          <w:color w:val="000000"/>
        </w:rPr>
        <w:t xml:space="preserve"> Glen Riddle’s attachment to its reply brief of an 11-page letter </w:t>
      </w:r>
      <w:r w:rsidR="00640DCE">
        <w:rPr>
          <w:rFonts w:ascii="Times New Roman" w:hAnsi="Times New Roman" w:cs="Times New Roman"/>
          <w:bCs/>
          <w:color w:val="000000"/>
        </w:rPr>
        <w:t xml:space="preserve">that contained significant argument in the other proceeding, and to which Sunoco could not respond to, which would prejudice Sunoco.  As a result, </w:t>
      </w:r>
      <w:r w:rsidR="00064E80">
        <w:rPr>
          <w:rFonts w:ascii="Times New Roman" w:hAnsi="Times New Roman" w:cs="Times New Roman"/>
          <w:bCs/>
          <w:color w:val="000000"/>
        </w:rPr>
        <w:t>Glen Riddle’s motion to strike footnote 10 from Sunoco’s main brief will be denied.</w:t>
      </w:r>
    </w:p>
    <w:p w14:paraId="70CD2BC2" w14:textId="0A14AC4A" w:rsidR="000D6011" w:rsidRDefault="000D6011" w:rsidP="00861356">
      <w:pPr>
        <w:pStyle w:val="ParaTab1"/>
        <w:tabs>
          <w:tab w:val="left" w:pos="2070"/>
        </w:tabs>
        <w:spacing w:line="360" w:lineRule="auto"/>
        <w:rPr>
          <w:rFonts w:ascii="Times New Roman" w:hAnsi="Times New Roman" w:cs="Times New Roman"/>
          <w:bCs/>
          <w:color w:val="000000"/>
        </w:rPr>
      </w:pPr>
    </w:p>
    <w:p w14:paraId="56223B45" w14:textId="6AE41F7C" w:rsidR="000D6011" w:rsidRDefault="008D0595" w:rsidP="00861356">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Sim</w:t>
      </w:r>
      <w:r w:rsidR="004E292B">
        <w:rPr>
          <w:rFonts w:ascii="Times New Roman" w:hAnsi="Times New Roman" w:cs="Times New Roman"/>
          <w:bCs/>
          <w:color w:val="000000"/>
        </w:rPr>
        <w:t>i</w:t>
      </w:r>
      <w:r>
        <w:rPr>
          <w:rFonts w:ascii="Times New Roman" w:hAnsi="Times New Roman" w:cs="Times New Roman"/>
          <w:bCs/>
          <w:color w:val="000000"/>
        </w:rPr>
        <w:t xml:space="preserve">larly, </w:t>
      </w:r>
      <w:r w:rsidR="000D6011">
        <w:rPr>
          <w:rFonts w:ascii="Times New Roman" w:hAnsi="Times New Roman" w:cs="Times New Roman"/>
          <w:bCs/>
          <w:color w:val="000000"/>
        </w:rPr>
        <w:t xml:space="preserve">Glen Riddle’s motion to strike </w:t>
      </w:r>
      <w:r w:rsidR="00577F69">
        <w:rPr>
          <w:rFonts w:ascii="Times New Roman" w:hAnsi="Times New Roman" w:cs="Times New Roman"/>
          <w:bCs/>
          <w:color w:val="000000"/>
        </w:rPr>
        <w:t xml:space="preserve">Appendices A, B and C of Sunoco’s main brief will also be denied. </w:t>
      </w:r>
      <w:r w:rsidR="005060AF">
        <w:rPr>
          <w:rFonts w:ascii="Times New Roman" w:hAnsi="Times New Roman" w:cs="Times New Roman"/>
          <w:bCs/>
          <w:color w:val="000000"/>
        </w:rPr>
        <w:t xml:space="preserve"> </w:t>
      </w:r>
      <w:r w:rsidR="00015C60">
        <w:rPr>
          <w:rFonts w:ascii="Times New Roman" w:hAnsi="Times New Roman" w:cs="Times New Roman"/>
          <w:bCs/>
          <w:color w:val="000000"/>
        </w:rPr>
        <w:t xml:space="preserve">Sunoco is correct that it is common practice before the Commission that proposed findings of fact, conclusions of law and ordering paragraphs </w:t>
      </w:r>
      <w:r w:rsidR="00E76A76">
        <w:rPr>
          <w:rFonts w:ascii="Times New Roman" w:hAnsi="Times New Roman" w:cs="Times New Roman"/>
          <w:bCs/>
          <w:color w:val="000000"/>
        </w:rPr>
        <w:t xml:space="preserve">can be attached to briefs as appendices and not be included within the page limit for the briefs.  </w:t>
      </w:r>
      <w:r w:rsidR="005F7561">
        <w:rPr>
          <w:rFonts w:ascii="Times New Roman" w:hAnsi="Times New Roman" w:cs="Times New Roman"/>
          <w:bCs/>
          <w:color w:val="000000"/>
        </w:rPr>
        <w:t xml:space="preserve">Sunoco is also correct that the proposed findings of fact, conclusions of </w:t>
      </w:r>
      <w:proofErr w:type="gramStart"/>
      <w:r w:rsidR="005F7561">
        <w:rPr>
          <w:rFonts w:ascii="Times New Roman" w:hAnsi="Times New Roman" w:cs="Times New Roman"/>
          <w:bCs/>
          <w:color w:val="000000"/>
        </w:rPr>
        <w:t>law and order</w:t>
      </w:r>
      <w:proofErr w:type="gramEnd"/>
      <w:r w:rsidR="005F7561">
        <w:rPr>
          <w:rFonts w:ascii="Times New Roman" w:hAnsi="Times New Roman" w:cs="Times New Roman"/>
          <w:bCs/>
          <w:color w:val="000000"/>
        </w:rPr>
        <w:t xml:space="preserve"> paragraphs are not </w:t>
      </w:r>
      <w:r w:rsidR="002A168A">
        <w:rPr>
          <w:rFonts w:ascii="Times New Roman" w:hAnsi="Times New Roman" w:cs="Times New Roman"/>
          <w:bCs/>
          <w:color w:val="000000"/>
        </w:rPr>
        <w:t xml:space="preserve">argument but are used to aid the presiding officer when drafting the decision and that Glen Riddle was not prejudiced by Sunoco’s including </w:t>
      </w:r>
      <w:r w:rsidR="00954898">
        <w:rPr>
          <w:rFonts w:ascii="Times New Roman" w:hAnsi="Times New Roman" w:cs="Times New Roman"/>
          <w:bCs/>
          <w:color w:val="000000"/>
        </w:rPr>
        <w:t xml:space="preserve">these as appendices </w:t>
      </w:r>
      <w:r w:rsidR="0011205F">
        <w:rPr>
          <w:rFonts w:ascii="Times New Roman" w:hAnsi="Times New Roman" w:cs="Times New Roman"/>
          <w:bCs/>
          <w:color w:val="000000"/>
        </w:rPr>
        <w:t xml:space="preserve">to the main brief </w:t>
      </w:r>
      <w:r w:rsidR="00954898">
        <w:rPr>
          <w:rFonts w:ascii="Times New Roman" w:hAnsi="Times New Roman" w:cs="Times New Roman"/>
          <w:bCs/>
          <w:color w:val="000000"/>
        </w:rPr>
        <w:t>since Glen Riddle could have responded to them in its reply brief.</w:t>
      </w:r>
      <w:r w:rsidR="00384282">
        <w:rPr>
          <w:rFonts w:ascii="Times New Roman" w:hAnsi="Times New Roman" w:cs="Times New Roman"/>
          <w:bCs/>
          <w:color w:val="000000"/>
        </w:rPr>
        <w:t xml:space="preserve">  Glen Riddle’s motion to strike </w:t>
      </w:r>
      <w:r w:rsidR="009F70BE">
        <w:rPr>
          <w:rFonts w:ascii="Times New Roman" w:hAnsi="Times New Roman" w:cs="Times New Roman"/>
          <w:bCs/>
          <w:color w:val="000000"/>
        </w:rPr>
        <w:t>Appendices A, B and C from Sunoco’s main brief will also be denied.</w:t>
      </w:r>
    </w:p>
    <w:p w14:paraId="2346EED1" w14:textId="73448CEF" w:rsidR="00577F69" w:rsidRDefault="00577F69" w:rsidP="00861356">
      <w:pPr>
        <w:pStyle w:val="ParaTab1"/>
        <w:tabs>
          <w:tab w:val="left" w:pos="2070"/>
        </w:tabs>
        <w:spacing w:line="360" w:lineRule="auto"/>
        <w:rPr>
          <w:rFonts w:ascii="Times New Roman" w:hAnsi="Times New Roman" w:cs="Times New Roman"/>
          <w:bCs/>
          <w:color w:val="000000"/>
        </w:rPr>
      </w:pPr>
    </w:p>
    <w:p w14:paraId="27DF91D4" w14:textId="56E90D6F" w:rsidR="00577F69" w:rsidRDefault="00577F69" w:rsidP="00861356">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Finally, Glen Riddle’s motion to strike </w:t>
      </w:r>
      <w:r w:rsidR="00211A51">
        <w:rPr>
          <w:rFonts w:ascii="Times New Roman" w:hAnsi="Times New Roman" w:cs="Times New Roman"/>
          <w:bCs/>
          <w:color w:val="000000"/>
        </w:rPr>
        <w:t xml:space="preserve">Appendix A of Sunoco’s reply brief will be granted.  </w:t>
      </w:r>
      <w:r w:rsidR="009F70BE">
        <w:rPr>
          <w:rFonts w:ascii="Times New Roman" w:hAnsi="Times New Roman" w:cs="Times New Roman"/>
          <w:bCs/>
          <w:color w:val="000000"/>
        </w:rPr>
        <w:t xml:space="preserve">In this situation, </w:t>
      </w:r>
      <w:r w:rsidR="000F0350">
        <w:rPr>
          <w:rFonts w:ascii="Times New Roman" w:hAnsi="Times New Roman" w:cs="Times New Roman"/>
          <w:bCs/>
          <w:color w:val="000000"/>
        </w:rPr>
        <w:t xml:space="preserve">the extra pages beyond the 60-page limit allowed in the Commission’s regulations and in the </w:t>
      </w:r>
      <w:proofErr w:type="gramStart"/>
      <w:r w:rsidR="000F0350">
        <w:rPr>
          <w:rFonts w:ascii="Times New Roman" w:hAnsi="Times New Roman" w:cs="Times New Roman"/>
          <w:bCs/>
          <w:color w:val="000000"/>
        </w:rPr>
        <w:t>briefing</w:t>
      </w:r>
      <w:proofErr w:type="gramEnd"/>
      <w:r w:rsidR="000F0350">
        <w:rPr>
          <w:rFonts w:ascii="Times New Roman" w:hAnsi="Times New Roman" w:cs="Times New Roman"/>
          <w:bCs/>
          <w:color w:val="000000"/>
        </w:rPr>
        <w:t xml:space="preserve"> order </w:t>
      </w:r>
      <w:r w:rsidR="00314CAD">
        <w:rPr>
          <w:rFonts w:ascii="Times New Roman" w:hAnsi="Times New Roman" w:cs="Times New Roman"/>
          <w:bCs/>
          <w:color w:val="000000"/>
        </w:rPr>
        <w:t>contains significant argument</w:t>
      </w:r>
      <w:r w:rsidR="00A82C57">
        <w:rPr>
          <w:rFonts w:ascii="Times New Roman" w:hAnsi="Times New Roman" w:cs="Times New Roman"/>
          <w:bCs/>
          <w:color w:val="000000"/>
        </w:rPr>
        <w:t xml:space="preserve"> and is not merely an aid to the presiding officer such as the proposed findings of fact, conclusions of law and ordering paragraphs</w:t>
      </w:r>
      <w:r w:rsidR="00EA014C">
        <w:rPr>
          <w:rFonts w:ascii="Times New Roman" w:hAnsi="Times New Roman" w:cs="Times New Roman"/>
          <w:bCs/>
          <w:color w:val="000000"/>
        </w:rPr>
        <w:t xml:space="preserve"> which is commonly included as an appendix outside the page limit.  </w:t>
      </w:r>
      <w:r w:rsidR="00F63523">
        <w:rPr>
          <w:rFonts w:ascii="Times New Roman" w:hAnsi="Times New Roman" w:cs="Times New Roman"/>
          <w:bCs/>
          <w:color w:val="000000"/>
        </w:rPr>
        <w:t>The appendix includes 54 pages of “GRS Assertion/Statement,” “Citation to GRS Brief” and “Contrary Statement/Evidence/Legal Principles.”  This is precisely the type of legal argument</w:t>
      </w:r>
      <w:r w:rsidR="00A85420">
        <w:rPr>
          <w:rFonts w:ascii="Times New Roman" w:hAnsi="Times New Roman" w:cs="Times New Roman"/>
          <w:bCs/>
          <w:color w:val="000000"/>
        </w:rPr>
        <w:t xml:space="preserve"> that must be included </w:t>
      </w:r>
      <w:r w:rsidR="000401CB">
        <w:rPr>
          <w:rFonts w:ascii="Times New Roman" w:hAnsi="Times New Roman" w:cs="Times New Roman"/>
          <w:bCs/>
          <w:color w:val="000000"/>
        </w:rPr>
        <w:t>within the body of the brief.  It is unreasonable to include this additional argument</w:t>
      </w:r>
      <w:r w:rsidR="00DC2116">
        <w:rPr>
          <w:rFonts w:ascii="Times New Roman" w:hAnsi="Times New Roman" w:cs="Times New Roman"/>
          <w:bCs/>
          <w:color w:val="000000"/>
        </w:rPr>
        <w:t xml:space="preserve"> and </w:t>
      </w:r>
      <w:r w:rsidR="00DC2116">
        <w:rPr>
          <w:rFonts w:ascii="Times New Roman" w:hAnsi="Times New Roman" w:cs="Times New Roman"/>
          <w:bCs/>
          <w:color w:val="000000"/>
        </w:rPr>
        <w:lastRenderedPageBreak/>
        <w:t>“contrary statement/evidence/legal principles”</w:t>
      </w:r>
      <w:r w:rsidR="00CF301A">
        <w:rPr>
          <w:rFonts w:ascii="Times New Roman" w:hAnsi="Times New Roman" w:cs="Times New Roman"/>
          <w:bCs/>
          <w:color w:val="000000"/>
        </w:rPr>
        <w:t xml:space="preserve"> beyond the 60-page limi</w:t>
      </w:r>
      <w:r w:rsidR="00721383">
        <w:rPr>
          <w:rFonts w:ascii="Times New Roman" w:hAnsi="Times New Roman" w:cs="Times New Roman"/>
          <w:bCs/>
          <w:color w:val="000000"/>
        </w:rPr>
        <w:t xml:space="preserve">t when all parties are limited to 60 pages in making such arguments.  </w:t>
      </w:r>
      <w:r w:rsidR="00A1089E">
        <w:rPr>
          <w:rFonts w:ascii="Times New Roman" w:hAnsi="Times New Roman" w:cs="Times New Roman"/>
          <w:bCs/>
          <w:color w:val="000000"/>
        </w:rPr>
        <w:t xml:space="preserve">The “contrary statement/evidence/legal principles” must have been </w:t>
      </w:r>
      <w:r w:rsidR="00C32661">
        <w:rPr>
          <w:rFonts w:ascii="Times New Roman" w:hAnsi="Times New Roman" w:cs="Times New Roman"/>
          <w:bCs/>
          <w:color w:val="000000"/>
        </w:rPr>
        <w:t xml:space="preserve">addressed within the body of the reply brief.  Furthermore, by adding this 54-page chart as an appendix to its reply brief, Glen Riddle is prejudiced by its inability to file a meaningful response.  Therefore, </w:t>
      </w:r>
      <w:r w:rsidR="004A1883">
        <w:rPr>
          <w:rFonts w:ascii="Times New Roman" w:hAnsi="Times New Roman" w:cs="Times New Roman"/>
          <w:bCs/>
          <w:color w:val="000000"/>
        </w:rPr>
        <w:t xml:space="preserve">the Appendix A attached to Sunoco’s reply brief is distinguishable from the Appendices A, B and C attached to Sunoco’s main brief </w:t>
      </w:r>
      <w:r w:rsidR="00D6084C">
        <w:rPr>
          <w:rFonts w:ascii="Times New Roman" w:hAnsi="Times New Roman" w:cs="Times New Roman"/>
          <w:bCs/>
          <w:color w:val="000000"/>
        </w:rPr>
        <w:t>and will be stricken</w:t>
      </w:r>
      <w:r w:rsidR="0011205F">
        <w:rPr>
          <w:rFonts w:ascii="Times New Roman" w:hAnsi="Times New Roman" w:cs="Times New Roman"/>
          <w:bCs/>
          <w:color w:val="000000"/>
        </w:rPr>
        <w:t xml:space="preserve"> and will not be considered as part of the decision in this case</w:t>
      </w:r>
      <w:r w:rsidR="00D6084C">
        <w:rPr>
          <w:rFonts w:ascii="Times New Roman" w:hAnsi="Times New Roman" w:cs="Times New Roman"/>
          <w:bCs/>
          <w:color w:val="000000"/>
        </w:rPr>
        <w:t>.</w:t>
      </w:r>
    </w:p>
    <w:p w14:paraId="101F4D2F" w14:textId="792AEC42" w:rsidR="00861356" w:rsidRDefault="00861356" w:rsidP="00861356">
      <w:pPr>
        <w:pStyle w:val="Style"/>
        <w:spacing w:line="360" w:lineRule="auto"/>
        <w:rPr>
          <w:strike/>
        </w:rPr>
      </w:pPr>
    </w:p>
    <w:p w14:paraId="408EF8CB" w14:textId="4D86F1A3" w:rsidR="00FD6057" w:rsidRPr="009B16DA" w:rsidRDefault="009B16DA" w:rsidP="00861356">
      <w:pPr>
        <w:pStyle w:val="Style"/>
        <w:spacing w:line="360" w:lineRule="auto"/>
      </w:pPr>
      <w:r>
        <w:tab/>
      </w:r>
      <w:r>
        <w:tab/>
        <w:t xml:space="preserve">As such, Glen Riddle’s motion to strike </w:t>
      </w:r>
      <w:r w:rsidR="0091262E">
        <w:t xml:space="preserve">certain of Sunoco’s briefing will be granted in part and denied in part.  </w:t>
      </w:r>
      <w:r w:rsidR="00233894">
        <w:t xml:space="preserve">Glen Riddle’s motion </w:t>
      </w:r>
      <w:proofErr w:type="gramStart"/>
      <w:r w:rsidR="00233894">
        <w:t>with regard to</w:t>
      </w:r>
      <w:proofErr w:type="gramEnd"/>
      <w:r w:rsidR="00233894">
        <w:t xml:space="preserve"> Appendix A of Sunoco’s reply brief will be granted and that appendix will be stricken.  Glen Riddle’s motion </w:t>
      </w:r>
      <w:proofErr w:type="gramStart"/>
      <w:r w:rsidR="00233894">
        <w:t>with regard to</w:t>
      </w:r>
      <w:proofErr w:type="gramEnd"/>
      <w:r w:rsidR="00233894">
        <w:t xml:space="preserve"> Appendices A, B and C of </w:t>
      </w:r>
      <w:r w:rsidR="00FD6057">
        <w:t>Sunoco’s main brief, and footnote 10 on page 38 of Sunoco’s main brief, however, will be denied.</w:t>
      </w:r>
    </w:p>
    <w:p w14:paraId="09705B8F" w14:textId="77777777" w:rsidR="00FD6057" w:rsidRDefault="00FD6057" w:rsidP="00861356">
      <w:pPr>
        <w:spacing w:line="360" w:lineRule="auto"/>
        <w:jc w:val="center"/>
        <w:rPr>
          <w:rFonts w:ascii="Times New Roman" w:hAnsi="Times New Roman" w:cs="Times New Roman"/>
          <w:u w:val="single"/>
        </w:rPr>
      </w:pPr>
    </w:p>
    <w:p w14:paraId="51976B17" w14:textId="33240F6B" w:rsidR="00861356" w:rsidRPr="00AC1761" w:rsidRDefault="00861356" w:rsidP="00B349DD">
      <w:pPr>
        <w:spacing w:line="360" w:lineRule="auto"/>
        <w:jc w:val="center"/>
        <w:rPr>
          <w:rFonts w:ascii="Times New Roman" w:hAnsi="Times New Roman" w:cs="Times New Roman"/>
          <w:u w:val="single"/>
        </w:rPr>
      </w:pPr>
      <w:r w:rsidRPr="00AC1761">
        <w:rPr>
          <w:rFonts w:ascii="Times New Roman" w:hAnsi="Times New Roman" w:cs="Times New Roman"/>
          <w:u w:val="single"/>
        </w:rPr>
        <w:t>ORDER</w:t>
      </w:r>
    </w:p>
    <w:p w14:paraId="38F426C6" w14:textId="0AC48B6B" w:rsidR="00861356" w:rsidRDefault="00861356" w:rsidP="00B349DD">
      <w:pPr>
        <w:widowControl w:val="0"/>
        <w:spacing w:line="360" w:lineRule="auto"/>
        <w:ind w:left="360" w:firstLine="360"/>
        <w:jc w:val="both"/>
        <w:rPr>
          <w:rFonts w:ascii="Times New Roman" w:hAnsi="Times New Roman" w:cs="Times New Roman"/>
        </w:rPr>
      </w:pPr>
    </w:p>
    <w:p w14:paraId="31254A42" w14:textId="77777777" w:rsidR="00B349DD" w:rsidRPr="00AC1761" w:rsidRDefault="00B349DD" w:rsidP="00B349DD">
      <w:pPr>
        <w:widowControl w:val="0"/>
        <w:spacing w:line="360" w:lineRule="auto"/>
        <w:ind w:left="360" w:firstLine="360"/>
        <w:jc w:val="both"/>
        <w:rPr>
          <w:rFonts w:ascii="Times New Roman" w:hAnsi="Times New Roman" w:cs="Times New Roman"/>
        </w:rPr>
      </w:pPr>
    </w:p>
    <w:p w14:paraId="09805678" w14:textId="77777777" w:rsidR="00861356" w:rsidRPr="00AC1761" w:rsidRDefault="00861356" w:rsidP="00861356">
      <w:pPr>
        <w:widowControl w:val="0"/>
        <w:ind w:left="1080" w:firstLine="360"/>
        <w:jc w:val="both"/>
        <w:rPr>
          <w:rFonts w:ascii="Times New Roman" w:hAnsi="Times New Roman" w:cs="Times New Roman"/>
        </w:rPr>
      </w:pPr>
      <w:r w:rsidRPr="00AC1761">
        <w:rPr>
          <w:rFonts w:ascii="Times New Roman" w:hAnsi="Times New Roman" w:cs="Times New Roman"/>
        </w:rPr>
        <w:t>THEREFORE,</w:t>
      </w:r>
    </w:p>
    <w:p w14:paraId="1B81F996" w14:textId="77777777" w:rsidR="00861356" w:rsidRPr="00AC1761" w:rsidRDefault="00861356" w:rsidP="00861356">
      <w:pPr>
        <w:widowControl w:val="0"/>
        <w:spacing w:line="360" w:lineRule="auto"/>
        <w:ind w:firstLine="1440"/>
        <w:rPr>
          <w:rFonts w:ascii="Times New Roman" w:hAnsi="Times New Roman" w:cs="Times New Roman"/>
        </w:rPr>
      </w:pPr>
    </w:p>
    <w:p w14:paraId="6450A79D" w14:textId="77777777" w:rsidR="00861356" w:rsidRPr="00AC1761" w:rsidRDefault="00861356" w:rsidP="00861356">
      <w:pPr>
        <w:widowControl w:val="0"/>
        <w:spacing w:line="360" w:lineRule="auto"/>
        <w:ind w:firstLine="1440"/>
        <w:rPr>
          <w:rFonts w:ascii="Times New Roman" w:hAnsi="Times New Roman" w:cs="Times New Roman"/>
        </w:rPr>
      </w:pPr>
      <w:r w:rsidRPr="00AC1761">
        <w:rPr>
          <w:rFonts w:ascii="Times New Roman" w:hAnsi="Times New Roman" w:cs="Times New Roman"/>
        </w:rPr>
        <w:t>IT IS ORDERED:</w:t>
      </w:r>
    </w:p>
    <w:p w14:paraId="053B0DC0" w14:textId="77777777" w:rsidR="00861356" w:rsidRPr="00472029" w:rsidRDefault="00861356" w:rsidP="00861356">
      <w:pPr>
        <w:spacing w:line="360" w:lineRule="auto"/>
        <w:rPr>
          <w:rFonts w:ascii="Times New Roman" w:hAnsi="Times New Roman" w:cs="Times New Roman"/>
        </w:rPr>
      </w:pPr>
    </w:p>
    <w:p w14:paraId="7E0ACDAA" w14:textId="77777777" w:rsidR="00F53C01" w:rsidRDefault="00861356" w:rsidP="00861356">
      <w:pPr>
        <w:numPr>
          <w:ilvl w:val="0"/>
          <w:numId w:val="2"/>
        </w:numPr>
        <w:spacing w:line="360" w:lineRule="auto"/>
        <w:ind w:left="0" w:firstLine="1440"/>
        <w:rPr>
          <w:rFonts w:ascii="Times New Roman" w:hAnsi="Times New Roman" w:cs="Times New Roman"/>
        </w:rPr>
      </w:pPr>
      <w:r w:rsidRPr="00472029">
        <w:rPr>
          <w:rFonts w:ascii="Times New Roman" w:hAnsi="Times New Roman" w:cs="Times New Roman"/>
        </w:rPr>
        <w:t xml:space="preserve">That the motion to strike </w:t>
      </w:r>
      <w:r w:rsidR="009A6D15">
        <w:rPr>
          <w:rFonts w:ascii="Times New Roman" w:hAnsi="Times New Roman" w:cs="Times New Roman"/>
        </w:rPr>
        <w:t xml:space="preserve">certain </w:t>
      </w:r>
      <w:r w:rsidRPr="00472029">
        <w:rPr>
          <w:rFonts w:ascii="Times New Roman" w:hAnsi="Times New Roman" w:cs="Times New Roman"/>
        </w:rPr>
        <w:t xml:space="preserve">portions of </w:t>
      </w:r>
      <w:r w:rsidR="00472029">
        <w:rPr>
          <w:rFonts w:ascii="Times New Roman" w:hAnsi="Times New Roman" w:cs="Times New Roman"/>
        </w:rPr>
        <w:t xml:space="preserve">Sunoco Pipeline, L.P.’s </w:t>
      </w:r>
      <w:r w:rsidR="009A6D15">
        <w:rPr>
          <w:rFonts w:ascii="Times New Roman" w:hAnsi="Times New Roman" w:cs="Times New Roman"/>
        </w:rPr>
        <w:t xml:space="preserve">briefs filed by Glen Riddle Station, L.P. on December 7, </w:t>
      </w:r>
      <w:proofErr w:type="gramStart"/>
      <w:r w:rsidR="009A6D15">
        <w:rPr>
          <w:rFonts w:ascii="Times New Roman" w:hAnsi="Times New Roman" w:cs="Times New Roman"/>
        </w:rPr>
        <w:t>2021</w:t>
      </w:r>
      <w:proofErr w:type="gramEnd"/>
      <w:r w:rsidR="009A6D15">
        <w:rPr>
          <w:rFonts w:ascii="Times New Roman" w:hAnsi="Times New Roman" w:cs="Times New Roman"/>
        </w:rPr>
        <w:t xml:space="preserve"> is hereby </w:t>
      </w:r>
      <w:r w:rsidRPr="00472029">
        <w:rPr>
          <w:rFonts w:ascii="Times New Roman" w:hAnsi="Times New Roman" w:cs="Times New Roman"/>
        </w:rPr>
        <w:t>granted in part and denied in part.</w:t>
      </w:r>
    </w:p>
    <w:p w14:paraId="10EFD960" w14:textId="77777777" w:rsidR="00F53C01" w:rsidRDefault="00F53C01" w:rsidP="00F53C01">
      <w:pPr>
        <w:spacing w:line="360" w:lineRule="auto"/>
        <w:ind w:left="1440"/>
        <w:rPr>
          <w:rFonts w:ascii="Times New Roman" w:hAnsi="Times New Roman" w:cs="Times New Roman"/>
        </w:rPr>
      </w:pPr>
    </w:p>
    <w:p w14:paraId="390528CC" w14:textId="7AD0624A" w:rsidR="00861356" w:rsidRPr="00F53C01" w:rsidRDefault="00861356" w:rsidP="00861356">
      <w:pPr>
        <w:numPr>
          <w:ilvl w:val="0"/>
          <w:numId w:val="2"/>
        </w:numPr>
        <w:spacing w:line="360" w:lineRule="auto"/>
        <w:ind w:left="0" w:firstLine="1440"/>
        <w:rPr>
          <w:rFonts w:ascii="Times New Roman" w:hAnsi="Times New Roman" w:cs="Times New Roman"/>
        </w:rPr>
      </w:pPr>
      <w:r w:rsidRPr="00F53C01">
        <w:rPr>
          <w:rFonts w:ascii="Times New Roman" w:hAnsi="Times New Roman" w:cs="Times New Roman"/>
        </w:rPr>
        <w:t xml:space="preserve">That </w:t>
      </w:r>
      <w:r w:rsidR="00D665DD" w:rsidRPr="00F53C01">
        <w:rPr>
          <w:rFonts w:ascii="Times New Roman" w:hAnsi="Times New Roman" w:cs="Times New Roman"/>
        </w:rPr>
        <w:t xml:space="preserve">Appendix A to Sunoco Pipeline, L.P.’s </w:t>
      </w:r>
      <w:r w:rsidR="00F53C01" w:rsidRPr="00F53C01">
        <w:rPr>
          <w:rFonts w:ascii="Times New Roman" w:hAnsi="Times New Roman" w:cs="Times New Roman"/>
        </w:rPr>
        <w:t xml:space="preserve">reply brief </w:t>
      </w:r>
      <w:r w:rsidR="006B2C7D">
        <w:rPr>
          <w:rFonts w:ascii="Times New Roman" w:hAnsi="Times New Roman" w:cs="Times New Roman"/>
        </w:rPr>
        <w:t xml:space="preserve">filed on October 22, </w:t>
      </w:r>
      <w:proofErr w:type="gramStart"/>
      <w:r w:rsidR="006B2C7D">
        <w:rPr>
          <w:rFonts w:ascii="Times New Roman" w:hAnsi="Times New Roman" w:cs="Times New Roman"/>
        </w:rPr>
        <w:t>2021</w:t>
      </w:r>
      <w:proofErr w:type="gramEnd"/>
      <w:r w:rsidR="006B2C7D">
        <w:rPr>
          <w:rFonts w:ascii="Times New Roman" w:hAnsi="Times New Roman" w:cs="Times New Roman"/>
        </w:rPr>
        <w:t xml:space="preserve"> </w:t>
      </w:r>
      <w:r w:rsidR="00F53C01" w:rsidRPr="00F53C01">
        <w:rPr>
          <w:rFonts w:ascii="Times New Roman" w:hAnsi="Times New Roman" w:cs="Times New Roman"/>
        </w:rPr>
        <w:t>is stricken.</w:t>
      </w:r>
    </w:p>
    <w:p w14:paraId="15FAFC0B" w14:textId="4CF0E549" w:rsidR="00861356" w:rsidRDefault="00861356" w:rsidP="00861356">
      <w:pPr>
        <w:pStyle w:val="ListNumber"/>
        <w:numPr>
          <w:ilvl w:val="0"/>
          <w:numId w:val="0"/>
        </w:numPr>
        <w:spacing w:after="0" w:line="360" w:lineRule="auto"/>
        <w:jc w:val="left"/>
      </w:pPr>
    </w:p>
    <w:p w14:paraId="50991103" w14:textId="77777777" w:rsidR="0060554F" w:rsidRPr="004143B7" w:rsidRDefault="0060554F" w:rsidP="00861356">
      <w:pPr>
        <w:pStyle w:val="ListNumber"/>
        <w:numPr>
          <w:ilvl w:val="0"/>
          <w:numId w:val="0"/>
        </w:numPr>
        <w:spacing w:after="0" w:line="360" w:lineRule="auto"/>
        <w:jc w:val="left"/>
      </w:pPr>
    </w:p>
    <w:p w14:paraId="58A3F4FB" w14:textId="7080456C" w:rsidR="00861356" w:rsidRPr="004143B7" w:rsidRDefault="00861356" w:rsidP="00861356">
      <w:pPr>
        <w:rPr>
          <w:rFonts w:ascii="Times New Roman" w:hAnsi="Times New Roman" w:cs="Times New Roman"/>
          <w:u w:val="single"/>
        </w:rPr>
      </w:pPr>
      <w:r w:rsidRPr="004143B7">
        <w:rPr>
          <w:rFonts w:ascii="Times New Roman" w:hAnsi="Times New Roman" w:cs="Times New Roman"/>
        </w:rPr>
        <w:t>Dated:</w:t>
      </w:r>
      <w:r w:rsidRPr="004143B7">
        <w:rPr>
          <w:rFonts w:ascii="Times New Roman" w:hAnsi="Times New Roman" w:cs="Times New Roman"/>
        </w:rPr>
        <w:tab/>
      </w:r>
      <w:r w:rsidR="00F028A4">
        <w:rPr>
          <w:rFonts w:ascii="Times New Roman" w:hAnsi="Times New Roman" w:cs="Times New Roman"/>
          <w:u w:val="single"/>
        </w:rPr>
        <w:t>December 29, 2021</w:t>
      </w:r>
      <w:r w:rsidRPr="004143B7">
        <w:rPr>
          <w:rFonts w:ascii="Times New Roman" w:hAnsi="Times New Roman" w:cs="Times New Roman"/>
        </w:rPr>
        <w:tab/>
      </w:r>
      <w:r w:rsidRPr="004143B7">
        <w:rPr>
          <w:rFonts w:ascii="Times New Roman" w:hAnsi="Times New Roman" w:cs="Times New Roman"/>
        </w:rPr>
        <w:tab/>
      </w:r>
      <w:r>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u w:val="single"/>
        </w:rPr>
        <w:t xml:space="preserve">______/s/____________________ </w:t>
      </w:r>
    </w:p>
    <w:p w14:paraId="24FA29DC" w14:textId="77777777" w:rsidR="00861356" w:rsidRPr="004143B7" w:rsidRDefault="00861356" w:rsidP="00861356">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Joel H. Cheskis</w:t>
      </w:r>
    </w:p>
    <w:p w14:paraId="2C24AD3F" w14:textId="77777777" w:rsidR="00861356" w:rsidRPr="004143B7" w:rsidRDefault="00861356" w:rsidP="00861356">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Deputy Chief Administrative Law Judge</w:t>
      </w:r>
    </w:p>
    <w:p w14:paraId="161718F0" w14:textId="77777777" w:rsidR="00861356" w:rsidRDefault="00861356" w:rsidP="00861356"/>
    <w:p w14:paraId="0F247ADE" w14:textId="77777777" w:rsidR="00861356" w:rsidRDefault="00861356" w:rsidP="00861356"/>
    <w:p w14:paraId="6B6544C7" w14:textId="77777777" w:rsidR="00B349DD" w:rsidRDefault="00B349DD" w:rsidP="00861356">
      <w:pPr>
        <w:sectPr w:rsidR="00B349DD" w:rsidSect="00B349DD">
          <w:footerReference w:type="default" r:id="rId7"/>
          <w:pgSz w:w="12240" w:h="15840"/>
          <w:pgMar w:top="1296" w:right="1296" w:bottom="1296" w:left="1296" w:header="720" w:footer="720" w:gutter="0"/>
          <w:cols w:space="720"/>
          <w:titlePg/>
          <w:docGrid w:linePitch="360"/>
        </w:sectPr>
      </w:pPr>
    </w:p>
    <w:p w14:paraId="6A35EE91" w14:textId="77777777" w:rsidR="00B349DD" w:rsidRPr="00B349DD" w:rsidRDefault="00B349DD" w:rsidP="00B349DD">
      <w:pPr>
        <w:autoSpaceDE/>
        <w:autoSpaceDN/>
        <w:rPr>
          <w:rFonts w:ascii="Microsoft Sans Serif" w:eastAsia="Microsoft Sans Serif" w:hAnsi="Microsoft Sans Serif" w:cs="Microsoft Sans Serif"/>
          <w:b/>
          <w:szCs w:val="20"/>
          <w:u w:val="single"/>
        </w:rPr>
      </w:pPr>
      <w:r w:rsidRPr="00B349DD">
        <w:rPr>
          <w:rFonts w:ascii="Microsoft Sans Serif" w:eastAsia="Microsoft Sans Serif" w:hAnsi="Microsoft Sans Serif" w:cs="Microsoft Sans Serif"/>
          <w:b/>
          <w:szCs w:val="20"/>
          <w:u w:val="single"/>
        </w:rPr>
        <w:lastRenderedPageBreak/>
        <w:t>C-2020-3023129 - GLEN RIDDLE STATION, LP v. SUNOCO PIPELINE, LP</w:t>
      </w:r>
    </w:p>
    <w:p w14:paraId="320E27E3" w14:textId="77777777" w:rsidR="00B349DD" w:rsidRPr="00B349DD" w:rsidRDefault="00B349DD" w:rsidP="00B349DD">
      <w:pPr>
        <w:autoSpaceDE/>
        <w:autoSpaceDN/>
        <w:rPr>
          <w:rFonts w:ascii="Microsoft Sans Serif" w:eastAsia="Microsoft Sans Serif" w:hAnsi="Microsoft Sans Serif" w:cs="Microsoft Sans Serif"/>
          <w:b/>
          <w:szCs w:val="20"/>
          <w:u w:val="single"/>
        </w:rPr>
      </w:pPr>
    </w:p>
    <w:p w14:paraId="641D08ED" w14:textId="77777777" w:rsidR="00B349DD" w:rsidRPr="00B349DD" w:rsidRDefault="00B349DD" w:rsidP="00B349DD">
      <w:pPr>
        <w:autoSpaceDE/>
        <w:autoSpaceDN/>
        <w:rPr>
          <w:rFonts w:ascii="Microsoft Sans Serif" w:eastAsia="Microsoft Sans Serif" w:hAnsi="Microsoft Sans Serif" w:cs="Microsoft Sans Serif"/>
          <w:b/>
          <w:szCs w:val="20"/>
          <w:u w:val="single"/>
        </w:rPr>
        <w:sectPr w:rsidR="00B349DD" w:rsidRPr="00B349DD" w:rsidSect="00B349DD">
          <w:footerReference w:type="default" r:id="rId8"/>
          <w:pgSz w:w="12240" w:h="15840"/>
          <w:pgMar w:top="1584" w:right="1440" w:bottom="1440" w:left="1440" w:header="720" w:footer="720" w:gutter="0"/>
          <w:cols w:space="720"/>
        </w:sectPr>
      </w:pPr>
    </w:p>
    <w:p w14:paraId="48EC67A7" w14:textId="77777777" w:rsidR="00B349DD" w:rsidRPr="00B349DD" w:rsidRDefault="00B349DD" w:rsidP="00B349DD">
      <w:pPr>
        <w:autoSpaceDE/>
        <w:autoSpaceDN/>
        <w:rPr>
          <w:rFonts w:ascii="Microsoft Sans Serif" w:eastAsia="Microsoft Sans Serif" w:hAnsi="Microsoft Sans Serif" w:cs="Microsoft Sans Serif"/>
          <w:bCs/>
          <w:sz w:val="20"/>
          <w:szCs w:val="20"/>
          <w:u w:val="single"/>
        </w:rPr>
      </w:pPr>
      <w:r w:rsidRPr="00B349DD">
        <w:rPr>
          <w:rFonts w:ascii="Microsoft Sans Serif" w:eastAsia="Microsoft Sans Serif" w:hAnsi="Microsoft Sans Serif" w:cs="Microsoft Sans Serif"/>
          <w:bCs/>
          <w:i/>
          <w:iCs/>
          <w:sz w:val="20"/>
          <w:szCs w:val="20"/>
        </w:rPr>
        <w:t>Revised July 6, 2021</w:t>
      </w:r>
      <w:r w:rsidRPr="00B349DD">
        <w:rPr>
          <w:rFonts w:ascii="Microsoft Sans Serif" w:eastAsia="Microsoft Sans Serif" w:hAnsi="Microsoft Sans Serif" w:cs="Microsoft Sans Serif"/>
          <w:bCs/>
          <w:sz w:val="20"/>
          <w:szCs w:val="20"/>
          <w:u w:val="single"/>
        </w:rPr>
        <w:cr/>
      </w:r>
    </w:p>
    <w:p w14:paraId="30515FAA" w14:textId="77777777" w:rsidR="00B349DD" w:rsidRPr="00B349DD" w:rsidRDefault="00B349DD" w:rsidP="00B349DD">
      <w:pPr>
        <w:autoSpaceDE/>
        <w:autoSpaceDN/>
        <w:rPr>
          <w:rFonts w:ascii="Microsoft Sans Serif" w:eastAsia="Microsoft Sans Serif" w:hAnsi="Microsoft Sans Serif" w:cs="Microsoft Sans Serif"/>
          <w:b/>
          <w:u w:val="single"/>
        </w:rPr>
      </w:pPr>
    </w:p>
    <w:p w14:paraId="3CCFC91C" w14:textId="77777777" w:rsidR="00B349DD" w:rsidRPr="00B349DD" w:rsidRDefault="00B349DD" w:rsidP="00B349DD">
      <w:pPr>
        <w:autoSpaceDE/>
        <w:autoSpaceDN/>
        <w:rPr>
          <w:rFonts w:ascii="Microsoft Sans Serif" w:eastAsia="Microsoft Sans Serif" w:hAnsi="Microsoft Sans Serif" w:cs="Microsoft Sans Serif"/>
          <w:color w:val="0000FF"/>
          <w:u w:val="single"/>
        </w:rPr>
      </w:pPr>
      <w:r w:rsidRPr="00B349DD">
        <w:rPr>
          <w:rFonts w:ascii="Microsoft Sans Serif" w:eastAsia="Microsoft Sans Serif" w:hAnsi="Microsoft Sans Serif" w:cs="Microsoft Sans Serif"/>
        </w:rPr>
        <w:t>SAMUEL W. CORTES ESQUIRE</w:t>
      </w:r>
      <w:r w:rsidRPr="00B349DD">
        <w:rPr>
          <w:rFonts w:ascii="Microsoft Sans Serif" w:eastAsia="Microsoft Sans Serif" w:hAnsi="Microsoft Sans Serif" w:cs="Microsoft Sans Serif"/>
        </w:rPr>
        <w:br/>
        <w:t>ASHLEY BEACH ESQUIRE</w:t>
      </w:r>
      <w:r w:rsidRPr="00B349DD">
        <w:rPr>
          <w:rFonts w:ascii="Microsoft Sans Serif" w:eastAsia="Microsoft Sans Serif" w:hAnsi="Microsoft Sans Serif" w:cs="Microsoft Sans Serif"/>
        </w:rPr>
        <w:cr/>
        <w:t>FOX ROTHSCHILD, LLP</w:t>
      </w:r>
      <w:r w:rsidRPr="00B349DD">
        <w:rPr>
          <w:rFonts w:ascii="Microsoft Sans Serif" w:eastAsia="Microsoft Sans Serif" w:hAnsi="Microsoft Sans Serif" w:cs="Microsoft Sans Serif"/>
        </w:rPr>
        <w:cr/>
        <w:t>747 CONSTITUTION DRIVE</w:t>
      </w:r>
      <w:r w:rsidRPr="00B349DD">
        <w:rPr>
          <w:rFonts w:ascii="Microsoft Sans Serif" w:eastAsia="Microsoft Sans Serif" w:hAnsi="Microsoft Sans Serif" w:cs="Microsoft Sans Serif"/>
        </w:rPr>
        <w:cr/>
        <w:t>SUITE 100</w:t>
      </w:r>
      <w:r w:rsidRPr="00B349DD">
        <w:rPr>
          <w:rFonts w:ascii="Microsoft Sans Serif" w:eastAsia="Microsoft Sans Serif" w:hAnsi="Microsoft Sans Serif" w:cs="Microsoft Sans Serif"/>
        </w:rPr>
        <w:cr/>
        <w:t>EXTON PA  19341</w:t>
      </w:r>
      <w:r w:rsidRPr="00B349DD">
        <w:rPr>
          <w:rFonts w:ascii="Microsoft Sans Serif" w:eastAsia="Microsoft Sans Serif" w:hAnsi="Microsoft Sans Serif" w:cs="Microsoft Sans Serif"/>
        </w:rPr>
        <w:cr/>
      </w:r>
      <w:r w:rsidRPr="00B349DD">
        <w:rPr>
          <w:rFonts w:ascii="Microsoft Sans Serif" w:eastAsia="Microsoft Sans Serif" w:hAnsi="Microsoft Sans Serif" w:cs="Microsoft Sans Serif"/>
          <w:b/>
          <w:bCs/>
        </w:rPr>
        <w:t>610.458.4966</w:t>
      </w:r>
      <w:r w:rsidRPr="00B349DD">
        <w:rPr>
          <w:rFonts w:ascii="Microsoft Sans Serif" w:eastAsia="Microsoft Sans Serif" w:hAnsi="Microsoft Sans Serif" w:cs="Microsoft Sans Serif"/>
          <w:b/>
          <w:bCs/>
        </w:rPr>
        <w:cr/>
        <w:t>610.458.7500</w:t>
      </w:r>
      <w:r w:rsidRPr="00B349DD">
        <w:rPr>
          <w:rFonts w:ascii="Microsoft Sans Serif" w:eastAsia="Microsoft Sans Serif" w:hAnsi="Microsoft Sans Serif" w:cs="Microsoft Sans Serif"/>
        </w:rPr>
        <w:cr/>
      </w:r>
      <w:hyperlink r:id="rId9" w:history="1">
        <w:r w:rsidRPr="00B349DD">
          <w:rPr>
            <w:rFonts w:ascii="Microsoft Sans Serif" w:eastAsia="Microsoft Sans Serif" w:hAnsi="Microsoft Sans Serif" w:cs="Microsoft Sans Serif"/>
            <w:color w:val="0000FF"/>
            <w:u w:val="single"/>
          </w:rPr>
          <w:t>scortes@foxrothschild.com</w:t>
        </w:r>
      </w:hyperlink>
    </w:p>
    <w:p w14:paraId="0A631489" w14:textId="77777777" w:rsidR="00B349DD" w:rsidRPr="00B349DD" w:rsidRDefault="00B349DD" w:rsidP="00B349DD">
      <w:pPr>
        <w:autoSpaceDE/>
        <w:autoSpaceDN/>
        <w:rPr>
          <w:rFonts w:ascii="Microsoft Sans Serif" w:eastAsia="Microsoft Sans Serif" w:hAnsi="Microsoft Sans Serif" w:cs="Microsoft Sans Serif"/>
          <w:u w:val="single"/>
        </w:rPr>
      </w:pPr>
      <w:hyperlink r:id="rId10" w:history="1">
        <w:r w:rsidRPr="00B349DD">
          <w:rPr>
            <w:rFonts w:ascii="Microsoft Sans Serif" w:eastAsia="Microsoft Sans Serif" w:hAnsi="Microsoft Sans Serif" w:cs="Microsoft Sans Serif"/>
            <w:color w:val="0000FF"/>
            <w:u w:val="single"/>
          </w:rPr>
          <w:t>abeach@foxrothschild.com</w:t>
        </w:r>
      </w:hyperlink>
    </w:p>
    <w:p w14:paraId="16178BB0" w14:textId="77777777" w:rsidR="00B349DD" w:rsidRPr="00B349DD" w:rsidRDefault="00B349DD" w:rsidP="00B349DD">
      <w:pPr>
        <w:autoSpaceDE/>
        <w:autoSpaceDN/>
        <w:rPr>
          <w:rFonts w:ascii="Microsoft Sans Serif" w:eastAsia="Microsoft Sans Serif" w:hAnsi="Microsoft Sans Serif" w:cs="Microsoft Sans Serif"/>
          <w:i/>
          <w:iCs/>
          <w:color w:val="0000FF"/>
          <w:u w:val="single"/>
        </w:rPr>
      </w:pPr>
      <w:r w:rsidRPr="00B349DD">
        <w:rPr>
          <w:rFonts w:ascii="Microsoft Sans Serif" w:eastAsia="Microsoft Sans Serif" w:hAnsi="Microsoft Sans Serif" w:cs="Microsoft Sans Serif"/>
        </w:rPr>
        <w:t>Accepts eService</w:t>
      </w:r>
      <w:r w:rsidRPr="00B349DD">
        <w:rPr>
          <w:rFonts w:ascii="Microsoft Sans Serif" w:eastAsia="Microsoft Sans Serif" w:hAnsi="Microsoft Sans Serif" w:cs="Microsoft Sans Serif"/>
        </w:rPr>
        <w:br/>
      </w:r>
      <w:r w:rsidRPr="00B349DD">
        <w:rPr>
          <w:rFonts w:ascii="Microsoft Sans Serif" w:eastAsia="Microsoft Sans Serif" w:hAnsi="Microsoft Sans Serif" w:cs="Microsoft Sans Serif"/>
          <w:i/>
          <w:iCs/>
        </w:rPr>
        <w:t>(Representing Glenn Riddle Station, LP)</w:t>
      </w:r>
    </w:p>
    <w:p w14:paraId="20569018" w14:textId="77777777" w:rsidR="00B349DD" w:rsidRPr="00B349DD" w:rsidRDefault="00B349DD" w:rsidP="00B349DD">
      <w:pPr>
        <w:autoSpaceDE/>
        <w:autoSpaceDN/>
        <w:rPr>
          <w:rFonts w:ascii="Microsoft Sans Serif" w:eastAsia="Microsoft Sans Serif" w:hAnsi="Microsoft Sans Serif" w:cs="Microsoft Sans Serif"/>
          <w:color w:val="0000FF"/>
          <w:u w:val="single"/>
        </w:rPr>
      </w:pPr>
    </w:p>
    <w:p w14:paraId="33E2A231" w14:textId="77777777" w:rsidR="00B349DD" w:rsidRPr="00B349DD" w:rsidRDefault="00B349DD" w:rsidP="00B349DD">
      <w:pPr>
        <w:autoSpaceDE/>
        <w:autoSpaceDN/>
        <w:rPr>
          <w:rFonts w:ascii="Microsoft Sans Serif" w:eastAsia="Microsoft Sans Serif" w:hAnsi="Microsoft Sans Serif" w:cs="Microsoft Sans Serif"/>
          <w:color w:val="0000FF"/>
          <w:u w:val="single"/>
        </w:rPr>
      </w:pPr>
    </w:p>
    <w:p w14:paraId="1874F17E" w14:textId="77777777" w:rsidR="00B349DD" w:rsidRPr="00B349DD" w:rsidRDefault="00B349DD" w:rsidP="00B349DD">
      <w:pPr>
        <w:autoSpaceDE/>
        <w:autoSpaceDN/>
        <w:rPr>
          <w:rFonts w:ascii="Microsoft Sans Serif" w:eastAsia="Microsoft Sans Serif" w:hAnsi="Microsoft Sans Serif" w:cs="Microsoft Sans Serif"/>
          <w:u w:val="single"/>
        </w:rPr>
      </w:pPr>
    </w:p>
    <w:p w14:paraId="59613162" w14:textId="77777777" w:rsidR="00B349DD" w:rsidRPr="00B349DD" w:rsidRDefault="00B349DD" w:rsidP="00B349DD">
      <w:pPr>
        <w:autoSpaceDE/>
        <w:autoSpaceDN/>
        <w:rPr>
          <w:rFonts w:ascii="Microsoft Sans Serif" w:eastAsia="Microsoft Sans Serif" w:hAnsi="Microsoft Sans Serif" w:cs="Microsoft Sans Serif"/>
        </w:rPr>
      </w:pPr>
    </w:p>
    <w:p w14:paraId="00B068CD" w14:textId="77777777" w:rsidR="00B349DD" w:rsidRPr="00B349DD" w:rsidRDefault="00B349DD" w:rsidP="00B349DD">
      <w:pPr>
        <w:autoSpaceDE/>
        <w:autoSpaceDN/>
        <w:rPr>
          <w:rFonts w:ascii="Microsoft Sans Serif" w:eastAsia="Microsoft Sans Serif" w:hAnsi="Microsoft Sans Serif" w:cs="Microsoft Sans Serif"/>
          <w:b/>
          <w:u w:val="single"/>
        </w:rPr>
      </w:pPr>
    </w:p>
    <w:p w14:paraId="0AB13F0B" w14:textId="77777777" w:rsidR="00B349DD" w:rsidRPr="00B349DD" w:rsidRDefault="00B349DD" w:rsidP="00B349DD">
      <w:pPr>
        <w:autoSpaceDE/>
        <w:autoSpaceDN/>
        <w:rPr>
          <w:rFonts w:ascii="Microsoft Sans Serif" w:eastAsia="Microsoft Sans Serif" w:hAnsi="Microsoft Sans Serif" w:cs="Microsoft Sans Serif"/>
          <w:b/>
          <w:u w:val="single"/>
        </w:rPr>
      </w:pPr>
    </w:p>
    <w:p w14:paraId="4CCC2FCF" w14:textId="77777777" w:rsidR="00B349DD" w:rsidRPr="00B349DD" w:rsidRDefault="00B349DD" w:rsidP="00B349DD">
      <w:pPr>
        <w:autoSpaceDE/>
        <w:autoSpaceDN/>
        <w:rPr>
          <w:rFonts w:ascii="Microsoft Sans Serif" w:eastAsia="Microsoft Sans Serif" w:hAnsi="Microsoft Sans Serif" w:cs="Microsoft Sans Serif"/>
          <w:b/>
          <w:u w:val="single"/>
        </w:rPr>
      </w:pPr>
    </w:p>
    <w:p w14:paraId="505300FC" w14:textId="77777777" w:rsidR="00B349DD" w:rsidRPr="00B349DD" w:rsidRDefault="00B349DD" w:rsidP="00B349DD">
      <w:pPr>
        <w:autoSpaceDE/>
        <w:autoSpaceDN/>
        <w:rPr>
          <w:rFonts w:ascii="Microsoft Sans Serif" w:eastAsia="Microsoft Sans Serif" w:hAnsi="Microsoft Sans Serif" w:cs="Microsoft Sans Serif"/>
          <w:b/>
          <w:u w:val="single"/>
        </w:rPr>
      </w:pPr>
    </w:p>
    <w:p w14:paraId="1B59B18B" w14:textId="77777777" w:rsidR="00B349DD" w:rsidRPr="00B349DD" w:rsidRDefault="00B349DD" w:rsidP="00B349DD">
      <w:pPr>
        <w:autoSpaceDE/>
        <w:autoSpaceDN/>
        <w:rPr>
          <w:rFonts w:ascii="Microsoft Sans Serif" w:eastAsia="Microsoft Sans Serif" w:hAnsi="Microsoft Sans Serif" w:cs="Microsoft Sans Serif"/>
          <w:b/>
          <w:u w:val="single"/>
        </w:rPr>
      </w:pPr>
    </w:p>
    <w:p w14:paraId="5AFCEDD9" w14:textId="77777777" w:rsidR="00B349DD" w:rsidRPr="00B349DD" w:rsidRDefault="00B349DD" w:rsidP="00B349DD">
      <w:pPr>
        <w:autoSpaceDE/>
        <w:autoSpaceDN/>
        <w:rPr>
          <w:rFonts w:ascii="Microsoft Sans Serif" w:eastAsia="Microsoft Sans Serif" w:hAnsi="Microsoft Sans Serif" w:cs="Microsoft Sans Serif"/>
          <w:b/>
          <w:u w:val="single"/>
        </w:rPr>
      </w:pPr>
    </w:p>
    <w:p w14:paraId="343D7B32" w14:textId="77777777" w:rsidR="00B349DD" w:rsidRPr="00B349DD" w:rsidRDefault="00B349DD" w:rsidP="00B349DD">
      <w:pPr>
        <w:autoSpaceDE/>
        <w:autoSpaceDN/>
        <w:rPr>
          <w:rFonts w:ascii="Microsoft Sans Serif" w:eastAsia="Microsoft Sans Serif" w:hAnsi="Microsoft Sans Serif" w:cs="Microsoft Sans Serif"/>
          <w:b/>
          <w:u w:val="single"/>
        </w:rPr>
      </w:pPr>
    </w:p>
    <w:p w14:paraId="35ABED14" w14:textId="77777777" w:rsidR="00B349DD" w:rsidRPr="00B349DD" w:rsidRDefault="00B349DD" w:rsidP="00B349DD">
      <w:pPr>
        <w:autoSpaceDE/>
        <w:autoSpaceDN/>
        <w:rPr>
          <w:rFonts w:ascii="Microsoft Sans Serif" w:eastAsia="Microsoft Sans Serif" w:hAnsi="Microsoft Sans Serif" w:cs="Microsoft Sans Serif"/>
          <w:b/>
          <w:u w:val="single"/>
        </w:rPr>
      </w:pPr>
    </w:p>
    <w:p w14:paraId="1FB2EFC9" w14:textId="77777777" w:rsidR="00B349DD" w:rsidRPr="00B349DD" w:rsidRDefault="00B349DD" w:rsidP="00B349DD">
      <w:pPr>
        <w:autoSpaceDE/>
        <w:autoSpaceDN/>
        <w:rPr>
          <w:rFonts w:ascii="Microsoft Sans Serif" w:eastAsia="Microsoft Sans Serif" w:hAnsi="Microsoft Sans Serif" w:cs="Microsoft Sans Serif"/>
        </w:rPr>
      </w:pPr>
    </w:p>
    <w:p w14:paraId="2EA5AB7E" w14:textId="77777777" w:rsidR="00B349DD" w:rsidRPr="00B349DD" w:rsidRDefault="00B349DD" w:rsidP="00B349DD">
      <w:pPr>
        <w:autoSpaceDE/>
        <w:autoSpaceDN/>
        <w:rPr>
          <w:rFonts w:ascii="Microsoft Sans Serif" w:eastAsia="Microsoft Sans Serif" w:hAnsi="Microsoft Sans Serif" w:cs="Microsoft Sans Serif"/>
        </w:rPr>
      </w:pPr>
    </w:p>
    <w:p w14:paraId="24B0C077" w14:textId="77777777" w:rsidR="00B349DD" w:rsidRPr="00B349DD" w:rsidRDefault="00B349DD" w:rsidP="00B349DD">
      <w:pPr>
        <w:autoSpaceDE/>
        <w:autoSpaceDN/>
        <w:rPr>
          <w:rFonts w:ascii="Microsoft Sans Serif" w:eastAsia="Microsoft Sans Serif" w:hAnsi="Microsoft Sans Serif" w:cs="Microsoft Sans Serif"/>
        </w:rPr>
      </w:pPr>
    </w:p>
    <w:p w14:paraId="2BD457D8" w14:textId="77777777" w:rsidR="00B349DD" w:rsidRPr="00B349DD" w:rsidRDefault="00B349DD" w:rsidP="00B349DD">
      <w:pPr>
        <w:autoSpaceDE/>
        <w:autoSpaceDN/>
        <w:rPr>
          <w:rFonts w:ascii="Microsoft Sans Serif" w:eastAsia="Microsoft Sans Serif" w:hAnsi="Microsoft Sans Serif" w:cs="Microsoft Sans Serif"/>
        </w:rPr>
      </w:pPr>
    </w:p>
    <w:p w14:paraId="0C3ABF4E" w14:textId="77777777" w:rsidR="00B349DD" w:rsidRPr="00B349DD" w:rsidRDefault="00B349DD" w:rsidP="00B349DD">
      <w:pPr>
        <w:autoSpaceDE/>
        <w:autoSpaceDN/>
        <w:rPr>
          <w:rFonts w:ascii="Microsoft Sans Serif" w:eastAsia="Microsoft Sans Serif" w:hAnsi="Microsoft Sans Serif" w:cs="Microsoft Sans Serif"/>
        </w:rPr>
        <w:sectPr w:rsidR="00B349DD" w:rsidRPr="00B349DD" w:rsidSect="000C299C">
          <w:type w:val="continuous"/>
          <w:pgSz w:w="12240" w:h="15840"/>
          <w:pgMar w:top="1584" w:right="1440" w:bottom="1440" w:left="1440" w:header="720" w:footer="720" w:gutter="0"/>
          <w:cols w:num="2" w:space="720"/>
        </w:sectPr>
      </w:pPr>
      <w:r w:rsidRPr="00B349DD">
        <w:rPr>
          <w:rFonts w:ascii="Microsoft Sans Serif" w:eastAsia="Microsoft Sans Serif" w:hAnsi="Microsoft Sans Serif" w:cs="Microsoft Sans Serif"/>
        </w:rPr>
        <w:cr/>
      </w:r>
    </w:p>
    <w:p w14:paraId="44C9D1E7" w14:textId="77777777" w:rsidR="00B349DD" w:rsidRPr="00B349DD" w:rsidRDefault="00B349DD" w:rsidP="00B349DD">
      <w:pPr>
        <w:autoSpaceDE/>
        <w:autoSpaceDN/>
        <w:rPr>
          <w:rFonts w:ascii="Microsoft Sans Serif" w:eastAsia="Microsoft Sans Serif" w:hAnsi="Microsoft Sans Serif" w:cs="Microsoft Sans Serif"/>
        </w:rPr>
      </w:pPr>
      <w:r w:rsidRPr="00B349DD">
        <w:rPr>
          <w:rFonts w:ascii="Microsoft Sans Serif" w:eastAsia="Microsoft Sans Serif" w:hAnsi="Microsoft Sans Serif" w:cs="Microsoft Sans Serif"/>
        </w:rPr>
        <w:t>DIANA A. SILVA ESQUIRE</w:t>
      </w:r>
      <w:r w:rsidRPr="00B349DD">
        <w:rPr>
          <w:rFonts w:ascii="Microsoft Sans Serif" w:eastAsia="Microsoft Sans Serif" w:hAnsi="Microsoft Sans Serif" w:cs="Microsoft Sans Serif"/>
        </w:rPr>
        <w:br/>
        <w:t>MANKO, GOLD, KATCHER &amp; FOX, LLP</w:t>
      </w:r>
      <w:r w:rsidRPr="00B349DD">
        <w:rPr>
          <w:rFonts w:ascii="Microsoft Sans Serif" w:eastAsia="Microsoft Sans Serif" w:hAnsi="Microsoft Sans Serif" w:cs="Microsoft Sans Serif"/>
        </w:rPr>
        <w:cr/>
        <w:t>401 CITY AVE</w:t>
      </w:r>
      <w:r w:rsidRPr="00B349DD">
        <w:rPr>
          <w:rFonts w:ascii="Microsoft Sans Serif" w:eastAsia="Microsoft Sans Serif" w:hAnsi="Microsoft Sans Serif" w:cs="Microsoft Sans Serif"/>
        </w:rPr>
        <w:cr/>
        <w:t>SUITE 901</w:t>
      </w:r>
      <w:r w:rsidRPr="00B349DD">
        <w:rPr>
          <w:rFonts w:ascii="Microsoft Sans Serif" w:eastAsia="Microsoft Sans Serif" w:hAnsi="Microsoft Sans Serif" w:cs="Microsoft Sans Serif"/>
        </w:rPr>
        <w:cr/>
        <w:t>BALA CYNWYD PA  19004</w:t>
      </w:r>
      <w:r w:rsidRPr="00B349DD">
        <w:rPr>
          <w:rFonts w:ascii="Microsoft Sans Serif" w:eastAsia="Microsoft Sans Serif" w:hAnsi="Microsoft Sans Serif" w:cs="Microsoft Sans Serif"/>
        </w:rPr>
        <w:cr/>
      </w:r>
      <w:r w:rsidRPr="00B349DD">
        <w:rPr>
          <w:rFonts w:ascii="Microsoft Sans Serif" w:eastAsia="Microsoft Sans Serif" w:hAnsi="Microsoft Sans Serif" w:cs="Microsoft Sans Serif"/>
          <w:b/>
          <w:bCs/>
        </w:rPr>
        <w:t>484.430.2347</w:t>
      </w:r>
      <w:r w:rsidRPr="00B349DD">
        <w:rPr>
          <w:rFonts w:ascii="Microsoft Sans Serif" w:eastAsia="Microsoft Sans Serif" w:hAnsi="Microsoft Sans Serif" w:cs="Microsoft Sans Serif"/>
        </w:rPr>
        <w:cr/>
      </w:r>
      <w:hyperlink r:id="rId11" w:history="1">
        <w:r w:rsidRPr="00B349DD">
          <w:rPr>
            <w:rFonts w:ascii="Microsoft Sans Serif" w:eastAsia="Microsoft Sans Serif" w:hAnsi="Microsoft Sans Serif" w:cs="Microsoft Sans Serif"/>
            <w:color w:val="0000FF"/>
            <w:u w:val="single"/>
          </w:rPr>
          <w:t>dsilva@mankogold.com</w:t>
        </w:r>
      </w:hyperlink>
    </w:p>
    <w:p w14:paraId="0D865819" w14:textId="77777777" w:rsidR="00B349DD" w:rsidRPr="00B349DD" w:rsidRDefault="00B349DD" w:rsidP="00B349DD">
      <w:pPr>
        <w:autoSpaceDE/>
        <w:autoSpaceDN/>
        <w:rPr>
          <w:rFonts w:ascii="Microsoft Sans Serif" w:hAnsi="Microsoft Sans Serif" w:cs="Microsoft Sans Serif"/>
        </w:rPr>
      </w:pPr>
      <w:r w:rsidRPr="00B349DD">
        <w:rPr>
          <w:rFonts w:ascii="Microsoft Sans Serif" w:eastAsia="Microsoft Sans Serif" w:hAnsi="Microsoft Sans Serif" w:cs="Microsoft Sans Serif"/>
        </w:rPr>
        <w:t>Accepts eService</w:t>
      </w:r>
    </w:p>
    <w:p w14:paraId="75EE6E00" w14:textId="77777777" w:rsidR="00B349DD" w:rsidRPr="00B349DD" w:rsidRDefault="00B349DD" w:rsidP="00B349DD">
      <w:pPr>
        <w:autoSpaceDE/>
        <w:autoSpaceDN/>
        <w:rPr>
          <w:rFonts w:ascii="Microsoft Sans Serif" w:eastAsia="Microsoft Sans Serif" w:hAnsi="Microsoft Sans Serif" w:cs="Microsoft Sans Serif"/>
          <w:b/>
          <w:i/>
          <w:iCs/>
          <w:u w:val="single"/>
        </w:rPr>
      </w:pPr>
      <w:r w:rsidRPr="00B349DD">
        <w:rPr>
          <w:rFonts w:ascii="Microsoft Sans Serif" w:eastAsia="Microsoft Sans Serif" w:hAnsi="Microsoft Sans Serif" w:cs="Microsoft Sans Serif"/>
          <w:i/>
          <w:iCs/>
        </w:rPr>
        <w:t>(Representing Sunoco Pipeline, LP)</w:t>
      </w:r>
    </w:p>
    <w:p w14:paraId="56FEFBAC" w14:textId="77777777" w:rsidR="00B349DD" w:rsidRPr="00B349DD" w:rsidRDefault="00B349DD" w:rsidP="00B349DD">
      <w:pPr>
        <w:autoSpaceDE/>
        <w:autoSpaceDN/>
        <w:rPr>
          <w:rFonts w:ascii="Microsoft Sans Serif" w:eastAsia="Microsoft Sans Serif" w:hAnsi="Microsoft Sans Serif" w:cs="Microsoft Sans Serif"/>
        </w:rPr>
      </w:pPr>
    </w:p>
    <w:p w14:paraId="0F09D120" w14:textId="77777777" w:rsidR="00B349DD" w:rsidRPr="00B349DD" w:rsidRDefault="00B349DD" w:rsidP="00B349DD">
      <w:pPr>
        <w:autoSpaceDE/>
        <w:autoSpaceDN/>
        <w:rPr>
          <w:rFonts w:ascii="Microsoft Sans Serif" w:eastAsia="Microsoft Sans Serif" w:hAnsi="Microsoft Sans Serif" w:cs="Microsoft Sans Serif"/>
        </w:rPr>
      </w:pPr>
    </w:p>
    <w:p w14:paraId="06A871B9" w14:textId="77777777" w:rsidR="00B349DD" w:rsidRPr="00B349DD" w:rsidRDefault="00B349DD" w:rsidP="00B349DD">
      <w:pPr>
        <w:autoSpaceDE/>
        <w:autoSpaceDN/>
        <w:rPr>
          <w:rFonts w:ascii="Microsoft Sans Serif" w:eastAsia="Microsoft Sans Serif" w:hAnsi="Microsoft Sans Serif" w:cs="Microsoft Sans Serif"/>
          <w:u w:val="single"/>
        </w:rPr>
      </w:pPr>
      <w:r w:rsidRPr="00B349DD">
        <w:rPr>
          <w:rFonts w:ascii="Microsoft Sans Serif" w:eastAsia="Microsoft Sans Serif" w:hAnsi="Microsoft Sans Serif" w:cs="Microsoft Sans Serif"/>
        </w:rPr>
        <w:t>WHITNEY E. SNYDER ESQUIRE</w:t>
      </w:r>
      <w:r w:rsidRPr="00B349DD">
        <w:rPr>
          <w:rFonts w:ascii="Microsoft Sans Serif" w:eastAsia="Microsoft Sans Serif" w:hAnsi="Microsoft Sans Serif" w:cs="Microsoft Sans Serif"/>
        </w:rPr>
        <w:cr/>
        <w:t xml:space="preserve">THOMAS J. SNISCAK ESQUIRE </w:t>
      </w:r>
      <w:r w:rsidRPr="00B349DD">
        <w:rPr>
          <w:rFonts w:ascii="Microsoft Sans Serif" w:eastAsia="Microsoft Sans Serif" w:hAnsi="Microsoft Sans Serif" w:cs="Microsoft Sans Serif"/>
        </w:rPr>
        <w:br/>
        <w:t xml:space="preserve">BRYCE R. BEARD ESQUIRE </w:t>
      </w:r>
      <w:r w:rsidRPr="00B349DD">
        <w:rPr>
          <w:rFonts w:ascii="Microsoft Sans Serif" w:eastAsia="Microsoft Sans Serif" w:hAnsi="Microsoft Sans Serif" w:cs="Microsoft Sans Serif"/>
        </w:rPr>
        <w:br/>
        <w:t>KEVIN J. MCKEON ESQUIRE</w:t>
      </w:r>
      <w:r w:rsidRPr="00B349DD">
        <w:rPr>
          <w:rFonts w:ascii="Microsoft Sans Serif" w:eastAsia="Microsoft Sans Serif" w:hAnsi="Microsoft Sans Serif" w:cs="Microsoft Sans Serif"/>
        </w:rPr>
        <w:cr/>
        <w:t>HAWKE, MCKEON AND SNISCAK, LLP</w:t>
      </w:r>
      <w:r w:rsidRPr="00B349DD">
        <w:rPr>
          <w:rFonts w:ascii="Microsoft Sans Serif" w:eastAsia="Microsoft Sans Serif" w:hAnsi="Microsoft Sans Serif" w:cs="Microsoft Sans Serif"/>
        </w:rPr>
        <w:cr/>
        <w:t>100 N 10TH STREET</w:t>
      </w:r>
      <w:r w:rsidRPr="00B349DD">
        <w:rPr>
          <w:rFonts w:ascii="Microsoft Sans Serif" w:eastAsia="Microsoft Sans Serif" w:hAnsi="Microsoft Sans Serif" w:cs="Microsoft Sans Serif"/>
        </w:rPr>
        <w:cr/>
        <w:t>HARRISBURG PA  17101</w:t>
      </w:r>
      <w:r w:rsidRPr="00B349DD">
        <w:rPr>
          <w:rFonts w:ascii="Microsoft Sans Serif" w:eastAsia="Microsoft Sans Serif" w:hAnsi="Microsoft Sans Serif" w:cs="Microsoft Sans Serif"/>
        </w:rPr>
        <w:cr/>
      </w:r>
      <w:r w:rsidRPr="00B349DD">
        <w:rPr>
          <w:rFonts w:ascii="Microsoft Sans Serif" w:eastAsia="Microsoft Sans Serif" w:hAnsi="Microsoft Sans Serif" w:cs="Microsoft Sans Serif"/>
          <w:b/>
          <w:bCs/>
        </w:rPr>
        <w:t>717.236.1300</w:t>
      </w:r>
      <w:r w:rsidRPr="00B349DD">
        <w:rPr>
          <w:rFonts w:ascii="Microsoft Sans Serif" w:eastAsia="Microsoft Sans Serif" w:hAnsi="Microsoft Sans Serif" w:cs="Microsoft Sans Serif"/>
          <w:b/>
          <w:bCs/>
        </w:rPr>
        <w:cr/>
      </w:r>
      <w:hyperlink r:id="rId12" w:history="1">
        <w:r w:rsidRPr="00B349DD">
          <w:rPr>
            <w:rFonts w:ascii="Microsoft Sans Serif" w:eastAsia="Microsoft Sans Serif" w:hAnsi="Microsoft Sans Serif" w:cs="Microsoft Sans Serif"/>
            <w:color w:val="0000FF"/>
            <w:u w:val="single"/>
          </w:rPr>
          <w:t>wesnyder@hmslegal.com</w:t>
        </w:r>
      </w:hyperlink>
    </w:p>
    <w:p w14:paraId="071F896C" w14:textId="77777777" w:rsidR="00B349DD" w:rsidRPr="00B349DD" w:rsidRDefault="00B349DD" w:rsidP="00B349DD">
      <w:pPr>
        <w:autoSpaceDE/>
        <w:autoSpaceDN/>
        <w:rPr>
          <w:rFonts w:ascii="Microsoft Sans Serif" w:eastAsia="Microsoft Sans Serif" w:hAnsi="Microsoft Sans Serif" w:cs="Microsoft Sans Serif"/>
          <w:u w:val="single"/>
        </w:rPr>
      </w:pPr>
      <w:hyperlink r:id="rId13" w:history="1">
        <w:r w:rsidRPr="00B349DD">
          <w:rPr>
            <w:rFonts w:ascii="Microsoft Sans Serif" w:eastAsia="Microsoft Sans Serif" w:hAnsi="Microsoft Sans Serif" w:cs="Microsoft Sans Serif"/>
            <w:color w:val="0000FF"/>
            <w:u w:val="single"/>
          </w:rPr>
          <w:t>tjsniscak@hmslegal.com</w:t>
        </w:r>
      </w:hyperlink>
    </w:p>
    <w:p w14:paraId="5FE7A516" w14:textId="77777777" w:rsidR="00B349DD" w:rsidRPr="00B349DD" w:rsidRDefault="00B349DD" w:rsidP="00B349DD">
      <w:pPr>
        <w:autoSpaceDE/>
        <w:autoSpaceDN/>
        <w:rPr>
          <w:rFonts w:ascii="Microsoft Sans Serif" w:eastAsia="Microsoft Sans Serif" w:hAnsi="Microsoft Sans Serif" w:cs="Microsoft Sans Serif"/>
          <w:u w:val="single"/>
        </w:rPr>
      </w:pPr>
      <w:hyperlink r:id="rId14" w:history="1">
        <w:r w:rsidRPr="00B349DD">
          <w:rPr>
            <w:rFonts w:ascii="Microsoft Sans Serif" w:eastAsia="Microsoft Sans Serif" w:hAnsi="Microsoft Sans Serif" w:cs="Microsoft Sans Serif"/>
            <w:color w:val="0000FF"/>
            <w:u w:val="single"/>
          </w:rPr>
          <w:t>brbeard@hmslegal.com</w:t>
        </w:r>
      </w:hyperlink>
    </w:p>
    <w:p w14:paraId="54B52751" w14:textId="77777777" w:rsidR="00B349DD" w:rsidRPr="00B349DD" w:rsidRDefault="00B349DD" w:rsidP="00B349DD">
      <w:pPr>
        <w:autoSpaceDE/>
        <w:autoSpaceDN/>
        <w:rPr>
          <w:rFonts w:ascii="Microsoft Sans Serif" w:eastAsia="Microsoft Sans Serif" w:hAnsi="Microsoft Sans Serif" w:cs="Microsoft Sans Serif"/>
        </w:rPr>
      </w:pPr>
      <w:hyperlink r:id="rId15" w:history="1">
        <w:r w:rsidRPr="00B349DD">
          <w:rPr>
            <w:rFonts w:ascii="Microsoft Sans Serif" w:eastAsia="Microsoft Sans Serif" w:hAnsi="Microsoft Sans Serif" w:cs="Microsoft Sans Serif"/>
            <w:color w:val="0000FF"/>
            <w:u w:val="single"/>
          </w:rPr>
          <w:t>kjmckeon@hmslegal.com</w:t>
        </w:r>
      </w:hyperlink>
    </w:p>
    <w:p w14:paraId="44B21E99" w14:textId="77777777" w:rsidR="00B349DD" w:rsidRPr="00B349DD" w:rsidRDefault="00B349DD" w:rsidP="00B349DD">
      <w:pPr>
        <w:autoSpaceDE/>
        <w:autoSpaceDN/>
        <w:rPr>
          <w:rFonts w:ascii="Microsoft Sans Serif" w:eastAsia="Microsoft Sans Serif" w:hAnsi="Microsoft Sans Serif" w:cs="Microsoft Sans Serif"/>
          <w:b/>
          <w:i/>
          <w:iCs/>
          <w:u w:val="single"/>
        </w:rPr>
      </w:pPr>
      <w:r w:rsidRPr="00B349DD">
        <w:rPr>
          <w:rFonts w:ascii="Microsoft Sans Serif" w:eastAsia="Microsoft Sans Serif" w:hAnsi="Microsoft Sans Serif" w:cs="Microsoft Sans Serif"/>
        </w:rPr>
        <w:t>Accepts eService</w:t>
      </w:r>
      <w:r w:rsidRPr="00B349DD">
        <w:rPr>
          <w:rFonts w:ascii="Microsoft Sans Serif" w:eastAsia="Microsoft Sans Serif" w:hAnsi="Microsoft Sans Serif" w:cs="Microsoft Sans Serif"/>
        </w:rPr>
        <w:br/>
      </w:r>
      <w:r w:rsidRPr="00B349DD">
        <w:rPr>
          <w:rFonts w:ascii="Microsoft Sans Serif" w:eastAsia="Microsoft Sans Serif" w:hAnsi="Microsoft Sans Serif" w:cs="Microsoft Sans Serif"/>
          <w:i/>
          <w:iCs/>
        </w:rPr>
        <w:t>(Representing Sunoco Pipeline, LP)</w:t>
      </w:r>
    </w:p>
    <w:p w14:paraId="004CBB10" w14:textId="77777777" w:rsidR="00B349DD" w:rsidRPr="00B349DD" w:rsidRDefault="00B349DD" w:rsidP="00B349DD">
      <w:pPr>
        <w:autoSpaceDE/>
        <w:autoSpaceDN/>
        <w:rPr>
          <w:rFonts w:ascii="Microsoft Sans Serif" w:hAnsi="Microsoft Sans Serif" w:cs="Microsoft Sans Serif"/>
        </w:rPr>
      </w:pPr>
    </w:p>
    <w:p w14:paraId="058A5BA9" w14:textId="77777777" w:rsidR="00861356" w:rsidRDefault="00861356" w:rsidP="00861356"/>
    <w:sectPr w:rsidR="00861356" w:rsidSect="003D0380">
      <w:type w:val="continuous"/>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33C6E" w14:textId="77777777" w:rsidR="00FB1F46" w:rsidRDefault="00FB1F46">
      <w:r>
        <w:separator/>
      </w:r>
    </w:p>
  </w:endnote>
  <w:endnote w:type="continuationSeparator" w:id="0">
    <w:p w14:paraId="2C3424BF" w14:textId="77777777" w:rsidR="00FB1F46" w:rsidRDefault="00FB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2109" w14:textId="77777777" w:rsidR="00A76645" w:rsidRPr="00C9263E" w:rsidRDefault="0060554F">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E805" w14:textId="6B76BBF7" w:rsidR="00B349DD" w:rsidRPr="00B349DD" w:rsidRDefault="00B349DD" w:rsidP="00B34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7306" w14:textId="77777777" w:rsidR="00FB1F46" w:rsidRDefault="00FB1F46">
      <w:r>
        <w:separator/>
      </w:r>
    </w:p>
  </w:footnote>
  <w:footnote w:type="continuationSeparator" w:id="0">
    <w:p w14:paraId="68FB858F" w14:textId="77777777" w:rsidR="00FB1F46" w:rsidRDefault="00FB1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56"/>
    <w:rsid w:val="00015C60"/>
    <w:rsid w:val="000401CB"/>
    <w:rsid w:val="00064E80"/>
    <w:rsid w:val="000A1C23"/>
    <w:rsid w:val="000D6011"/>
    <w:rsid w:val="000F0350"/>
    <w:rsid w:val="000F6E70"/>
    <w:rsid w:val="0011205F"/>
    <w:rsid w:val="00177661"/>
    <w:rsid w:val="00211A51"/>
    <w:rsid w:val="00233894"/>
    <w:rsid w:val="00282912"/>
    <w:rsid w:val="002A168A"/>
    <w:rsid w:val="002C7D3A"/>
    <w:rsid w:val="002F23E9"/>
    <w:rsid w:val="00314CAD"/>
    <w:rsid w:val="0036325B"/>
    <w:rsid w:val="00384282"/>
    <w:rsid w:val="004414B1"/>
    <w:rsid w:val="00472029"/>
    <w:rsid w:val="00481DC3"/>
    <w:rsid w:val="00491328"/>
    <w:rsid w:val="004A1883"/>
    <w:rsid w:val="004A50FA"/>
    <w:rsid w:val="004E292B"/>
    <w:rsid w:val="004F435F"/>
    <w:rsid w:val="005060AF"/>
    <w:rsid w:val="00543F54"/>
    <w:rsid w:val="00557606"/>
    <w:rsid w:val="00577F69"/>
    <w:rsid w:val="005F7561"/>
    <w:rsid w:val="00604D1F"/>
    <w:rsid w:val="0060554F"/>
    <w:rsid w:val="00640DCE"/>
    <w:rsid w:val="006542B6"/>
    <w:rsid w:val="0067147C"/>
    <w:rsid w:val="006B2C7D"/>
    <w:rsid w:val="006C6B8B"/>
    <w:rsid w:val="00721383"/>
    <w:rsid w:val="00734417"/>
    <w:rsid w:val="007C1149"/>
    <w:rsid w:val="00807693"/>
    <w:rsid w:val="00816452"/>
    <w:rsid w:val="00861356"/>
    <w:rsid w:val="008D0595"/>
    <w:rsid w:val="008E6AA4"/>
    <w:rsid w:val="008F0C2B"/>
    <w:rsid w:val="0091262E"/>
    <w:rsid w:val="00954898"/>
    <w:rsid w:val="00966574"/>
    <w:rsid w:val="009757C8"/>
    <w:rsid w:val="009A6D15"/>
    <w:rsid w:val="009B16DA"/>
    <w:rsid w:val="009F70BE"/>
    <w:rsid w:val="00A0680E"/>
    <w:rsid w:val="00A1089E"/>
    <w:rsid w:val="00A47F47"/>
    <w:rsid w:val="00A5633F"/>
    <w:rsid w:val="00A72B85"/>
    <w:rsid w:val="00A82C57"/>
    <w:rsid w:val="00A85420"/>
    <w:rsid w:val="00B0689F"/>
    <w:rsid w:val="00B2623A"/>
    <w:rsid w:val="00B349DD"/>
    <w:rsid w:val="00B50D49"/>
    <w:rsid w:val="00B72651"/>
    <w:rsid w:val="00B760A0"/>
    <w:rsid w:val="00B93676"/>
    <w:rsid w:val="00B97A9C"/>
    <w:rsid w:val="00BB2739"/>
    <w:rsid w:val="00BB52D3"/>
    <w:rsid w:val="00BF4C10"/>
    <w:rsid w:val="00C23804"/>
    <w:rsid w:val="00C32661"/>
    <w:rsid w:val="00C43978"/>
    <w:rsid w:val="00C55D28"/>
    <w:rsid w:val="00CF301A"/>
    <w:rsid w:val="00D6084C"/>
    <w:rsid w:val="00D665DD"/>
    <w:rsid w:val="00D7200C"/>
    <w:rsid w:val="00D867BC"/>
    <w:rsid w:val="00DB7747"/>
    <w:rsid w:val="00DC2116"/>
    <w:rsid w:val="00DC6904"/>
    <w:rsid w:val="00DF4170"/>
    <w:rsid w:val="00E044BB"/>
    <w:rsid w:val="00E123B3"/>
    <w:rsid w:val="00E42054"/>
    <w:rsid w:val="00E76A76"/>
    <w:rsid w:val="00EA014C"/>
    <w:rsid w:val="00EB1532"/>
    <w:rsid w:val="00F028A4"/>
    <w:rsid w:val="00F0563A"/>
    <w:rsid w:val="00F12CB3"/>
    <w:rsid w:val="00F12DDE"/>
    <w:rsid w:val="00F40BB0"/>
    <w:rsid w:val="00F43417"/>
    <w:rsid w:val="00F53C01"/>
    <w:rsid w:val="00F63523"/>
    <w:rsid w:val="00F86FA7"/>
    <w:rsid w:val="00FB1F46"/>
    <w:rsid w:val="00FD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5918"/>
  <w15:chartTrackingRefBased/>
  <w15:docId w15:val="{BCCB31ED-9D28-49DC-87F0-0F6BD255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35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6135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861356"/>
    <w:pPr>
      <w:tabs>
        <w:tab w:val="center" w:pos="4320"/>
        <w:tab w:val="right" w:pos="8640"/>
      </w:tabs>
    </w:pPr>
  </w:style>
  <w:style w:type="character" w:customStyle="1" w:styleId="FooterChar">
    <w:name w:val="Footer Char"/>
    <w:basedOn w:val="DefaultParagraphFont"/>
    <w:link w:val="Footer"/>
    <w:uiPriority w:val="99"/>
    <w:rsid w:val="00861356"/>
    <w:rPr>
      <w:rFonts w:ascii="CG Times" w:eastAsia="Times New Roman" w:hAnsi="CG Times" w:cs="CG Times"/>
      <w:sz w:val="24"/>
      <w:szCs w:val="24"/>
    </w:rPr>
  </w:style>
  <w:style w:type="paragraph" w:styleId="ListNumber">
    <w:name w:val="List Number"/>
    <w:basedOn w:val="Normal"/>
    <w:qFormat/>
    <w:rsid w:val="00861356"/>
    <w:pPr>
      <w:numPr>
        <w:numId w:val="1"/>
      </w:numPr>
      <w:tabs>
        <w:tab w:val="clear" w:pos="1440"/>
        <w:tab w:val="num" w:pos="360"/>
      </w:tabs>
      <w:autoSpaceDE/>
      <w:autoSpaceDN/>
      <w:spacing w:after="240"/>
      <w:ind w:left="0" w:firstLine="0"/>
      <w:jc w:val="both"/>
    </w:pPr>
    <w:rPr>
      <w:rFonts w:ascii="Times New Roman" w:hAnsi="Times New Roman" w:cs="Times New Roman"/>
    </w:rPr>
  </w:style>
  <w:style w:type="paragraph" w:customStyle="1" w:styleId="Style">
    <w:name w:val="Style"/>
    <w:rsid w:val="008613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49DD"/>
    <w:pPr>
      <w:tabs>
        <w:tab w:val="center" w:pos="4680"/>
        <w:tab w:val="right" w:pos="9360"/>
      </w:tabs>
    </w:pPr>
  </w:style>
  <w:style w:type="character" w:customStyle="1" w:styleId="HeaderChar">
    <w:name w:val="Header Char"/>
    <w:basedOn w:val="DefaultParagraphFont"/>
    <w:link w:val="Header"/>
    <w:uiPriority w:val="99"/>
    <w:rsid w:val="00B349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tjsniscak@hmslega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wesnyder@hmslega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ilva@mankogold.com" TargetMode="External"/><Relationship Id="rId5" Type="http://schemas.openxmlformats.org/officeDocument/2006/relationships/footnotes" Target="footnotes.xml"/><Relationship Id="rId15" Type="http://schemas.openxmlformats.org/officeDocument/2006/relationships/hyperlink" Target="mailto:kjmckeon@hmslegal.com" TargetMode="External"/><Relationship Id="rId10" Type="http://schemas.openxmlformats.org/officeDocument/2006/relationships/hyperlink" Target="mailto:abeach@foxrothschild.com" TargetMode="External"/><Relationship Id="rId4" Type="http://schemas.openxmlformats.org/officeDocument/2006/relationships/webSettings" Target="webSettings.xml"/><Relationship Id="rId9" Type="http://schemas.openxmlformats.org/officeDocument/2006/relationships/hyperlink" Target="mailto:scortes@foxrothschild.com" TargetMode="External"/><Relationship Id="rId14" Type="http://schemas.openxmlformats.org/officeDocument/2006/relationships/hyperlink" Target="mailto:brbeard@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2259</Words>
  <Characters>12877</Characters>
  <Application>Microsoft Office Word</Application>
  <DocSecurity>4</DocSecurity>
  <Lines>107</Lines>
  <Paragraphs>30</Paragraphs>
  <ScaleCrop>false</ScaleCrop>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2021-12-29T15:37:00Z</dcterms:created>
  <dcterms:modified xsi:type="dcterms:W3CDTF">2021-12-29T15:37:00Z</dcterms:modified>
</cp:coreProperties>
</file>