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87"/>
        <w:gridCol w:w="1440"/>
      </w:tblGrid>
      <w:tr w:rsidR="00C74A51" w14:paraId="6B82DF76" w14:textId="77777777">
        <w:trPr>
          <w:trHeight w:val="990"/>
        </w:trPr>
        <w:tc>
          <w:tcPr>
            <w:tcW w:w="1363" w:type="dxa"/>
          </w:tcPr>
          <w:p w14:paraId="54AB210A" w14:textId="0970DBAF" w:rsidR="00C74A51" w:rsidRDefault="00C14A13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6343F19E" wp14:editId="57D7B613">
                  <wp:extent cx="723900" cy="7239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7" w:type="dxa"/>
          </w:tcPr>
          <w:p w14:paraId="441F69A7" w14:textId="77777777" w:rsidR="00C74A51" w:rsidRPr="00AF02D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8"/>
                <w:szCs w:val="8"/>
              </w:rPr>
            </w:pPr>
          </w:p>
          <w:p w14:paraId="04251087" w14:textId="77777777"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OF PENNSYLVANIA</w:t>
            </w:r>
          </w:p>
          <w:p w14:paraId="1CF7AAE4" w14:textId="77777777"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463A7DF" w14:textId="77777777" w:rsidR="00C74A51" w:rsidRPr="00AF02D1" w:rsidRDefault="002F2B8C" w:rsidP="00A61C0A">
            <w:pPr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P.O. BOX 3265</w:t>
            </w:r>
            <w:r w:rsidR="00A61C0A"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r w:rsidR="00C74A51">
              <w:rPr>
                <w:rFonts w:ascii="Arial" w:hAnsi="Arial"/>
                <w:color w:val="000080"/>
                <w:spacing w:val="-3"/>
                <w:sz w:val="26"/>
              </w:rPr>
              <w:t xml:space="preserve">HARRISBURG, PA </w:t>
            </w:r>
            <w:r w:rsidR="00AF4A0F">
              <w:rPr>
                <w:rFonts w:ascii="Arial" w:hAnsi="Arial"/>
                <w:color w:val="000080"/>
                <w:spacing w:val="-3"/>
                <w:sz w:val="26"/>
              </w:rPr>
              <w:t>171</w:t>
            </w:r>
            <w:r w:rsidR="00864070">
              <w:rPr>
                <w:rFonts w:ascii="Arial" w:hAnsi="Arial"/>
                <w:color w:val="000080"/>
                <w:spacing w:val="-3"/>
                <w:sz w:val="26"/>
              </w:rPr>
              <w:t>0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5-3265</w:t>
            </w:r>
          </w:p>
        </w:tc>
        <w:tc>
          <w:tcPr>
            <w:tcW w:w="1440" w:type="dxa"/>
          </w:tcPr>
          <w:p w14:paraId="5E2BF4F2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5760C712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36C1F19B" w14:textId="77777777" w:rsidR="00C74A51" w:rsidRDefault="00C74A5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  <w:p w14:paraId="495E88A5" w14:textId="77777777" w:rsidR="004F32B3" w:rsidRDefault="004F32B3">
            <w:pPr>
              <w:jc w:val="right"/>
              <w:rPr>
                <w:sz w:val="16"/>
                <w:szCs w:val="16"/>
              </w:rPr>
            </w:pPr>
          </w:p>
          <w:p w14:paraId="4AAD0AC4" w14:textId="4BDD2ACA" w:rsidR="003569E8" w:rsidRPr="00170283" w:rsidRDefault="005A24FD" w:rsidP="00284E35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1C167E" w:rsidRPr="001C167E">
              <w:rPr>
                <w:sz w:val="16"/>
                <w:szCs w:val="16"/>
              </w:rPr>
              <w:t>-202</w:t>
            </w:r>
            <w:r>
              <w:rPr>
                <w:sz w:val="16"/>
                <w:szCs w:val="16"/>
              </w:rPr>
              <w:t>1</w:t>
            </w:r>
            <w:r w:rsidR="001C167E" w:rsidRPr="001C167E">
              <w:rPr>
                <w:sz w:val="16"/>
                <w:szCs w:val="16"/>
              </w:rPr>
              <w:t>-30</w:t>
            </w:r>
            <w:r>
              <w:rPr>
                <w:sz w:val="16"/>
                <w:szCs w:val="16"/>
              </w:rPr>
              <w:t>25898</w:t>
            </w:r>
          </w:p>
        </w:tc>
      </w:tr>
    </w:tbl>
    <w:p w14:paraId="16C39F0A" w14:textId="77777777" w:rsidR="00C74A51" w:rsidRDefault="00C74A51">
      <w:pPr>
        <w:rPr>
          <w:sz w:val="24"/>
        </w:rPr>
        <w:sectPr w:rsidR="00C74A51" w:rsidSect="00BF6F03">
          <w:footerReference w:type="even" r:id="rId9"/>
          <w:footerReference w:type="default" r:id="rId10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14:paraId="69B90F22" w14:textId="427F5BAF" w:rsidR="00FA0E37" w:rsidRDefault="00466412" w:rsidP="00BE575E">
      <w:pPr>
        <w:tabs>
          <w:tab w:val="left" w:pos="720"/>
          <w:tab w:val="left" w:pos="1440"/>
          <w:tab w:val="left" w:pos="2160"/>
          <w:tab w:val="left" w:pos="46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January 6, 2022</w:t>
      </w:r>
    </w:p>
    <w:p w14:paraId="5DB48DF2" w14:textId="4AF6441A" w:rsidR="00FA244D" w:rsidRDefault="00F45DB6" w:rsidP="00BE575E">
      <w:pPr>
        <w:tabs>
          <w:tab w:val="left" w:pos="720"/>
          <w:tab w:val="left" w:pos="1440"/>
          <w:tab w:val="left" w:pos="2160"/>
          <w:tab w:val="left" w:pos="4680"/>
        </w:tabs>
        <w:ind w:right="576"/>
        <w:rPr>
          <w:sz w:val="26"/>
          <w:szCs w:val="26"/>
        </w:rPr>
      </w:pPr>
      <w:r>
        <w:rPr>
          <w:sz w:val="26"/>
          <w:szCs w:val="26"/>
        </w:rPr>
        <w:t xml:space="preserve">Nicholas A. </w:t>
      </w:r>
      <w:proofErr w:type="spellStart"/>
      <w:r>
        <w:rPr>
          <w:sz w:val="26"/>
          <w:szCs w:val="26"/>
        </w:rPr>
        <w:t>Stobbe</w:t>
      </w:r>
      <w:proofErr w:type="spellEnd"/>
    </w:p>
    <w:p w14:paraId="72B65CBF" w14:textId="06490D0A" w:rsidR="001C167E" w:rsidRDefault="00414B38" w:rsidP="00BE575E">
      <w:pPr>
        <w:tabs>
          <w:tab w:val="left" w:pos="720"/>
          <w:tab w:val="left" w:pos="1440"/>
          <w:tab w:val="left" w:pos="2160"/>
          <w:tab w:val="left" w:pos="4680"/>
        </w:tabs>
        <w:ind w:right="576"/>
        <w:rPr>
          <w:sz w:val="26"/>
          <w:szCs w:val="26"/>
        </w:rPr>
      </w:pPr>
      <w:r>
        <w:rPr>
          <w:sz w:val="26"/>
          <w:szCs w:val="26"/>
        </w:rPr>
        <w:t>Post &amp; Schell</w:t>
      </w:r>
      <w:r w:rsidR="00EA6D30">
        <w:rPr>
          <w:sz w:val="26"/>
          <w:szCs w:val="26"/>
        </w:rPr>
        <w:t>, P.C.</w:t>
      </w:r>
    </w:p>
    <w:p w14:paraId="7A0B3ECF" w14:textId="695E43AF" w:rsidR="001C167E" w:rsidRDefault="00EC7116" w:rsidP="00BE575E">
      <w:pPr>
        <w:tabs>
          <w:tab w:val="left" w:pos="720"/>
          <w:tab w:val="left" w:pos="1440"/>
          <w:tab w:val="left" w:pos="2160"/>
          <w:tab w:val="left" w:pos="4680"/>
        </w:tabs>
        <w:ind w:right="576"/>
        <w:rPr>
          <w:sz w:val="26"/>
          <w:szCs w:val="26"/>
        </w:rPr>
      </w:pPr>
      <w:r>
        <w:rPr>
          <w:sz w:val="26"/>
          <w:szCs w:val="26"/>
        </w:rPr>
        <w:t>17 North Second Street, 12</w:t>
      </w:r>
      <w:r w:rsidRPr="00EC7116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Floor</w:t>
      </w:r>
    </w:p>
    <w:p w14:paraId="1C758556" w14:textId="71258A00" w:rsidR="001C167E" w:rsidRDefault="001C167E" w:rsidP="00BE575E">
      <w:pPr>
        <w:tabs>
          <w:tab w:val="left" w:pos="720"/>
          <w:tab w:val="left" w:pos="1440"/>
          <w:tab w:val="left" w:pos="2160"/>
          <w:tab w:val="left" w:pos="4680"/>
        </w:tabs>
        <w:ind w:right="576"/>
        <w:rPr>
          <w:sz w:val="26"/>
          <w:szCs w:val="26"/>
        </w:rPr>
      </w:pPr>
      <w:r>
        <w:rPr>
          <w:sz w:val="26"/>
          <w:szCs w:val="26"/>
        </w:rPr>
        <w:t>Harrisburg, PA 1710</w:t>
      </w:r>
      <w:r w:rsidR="005B769F">
        <w:rPr>
          <w:sz w:val="26"/>
          <w:szCs w:val="26"/>
        </w:rPr>
        <w:t>1</w:t>
      </w:r>
      <w:r>
        <w:rPr>
          <w:sz w:val="26"/>
          <w:szCs w:val="26"/>
        </w:rPr>
        <w:t>-</w:t>
      </w:r>
      <w:r w:rsidR="005B769F">
        <w:rPr>
          <w:sz w:val="26"/>
          <w:szCs w:val="26"/>
        </w:rPr>
        <w:t>1601</w:t>
      </w:r>
    </w:p>
    <w:p w14:paraId="6388EAB7" w14:textId="77777777" w:rsidR="00930003" w:rsidRPr="003C56E2" w:rsidRDefault="00930003" w:rsidP="00BE575E">
      <w:pPr>
        <w:tabs>
          <w:tab w:val="left" w:pos="720"/>
          <w:tab w:val="left" w:pos="1440"/>
          <w:tab w:val="left" w:pos="2160"/>
          <w:tab w:val="left" w:pos="4680"/>
        </w:tabs>
        <w:ind w:right="576"/>
        <w:rPr>
          <w:sz w:val="26"/>
          <w:szCs w:val="26"/>
        </w:rPr>
      </w:pPr>
    </w:p>
    <w:p w14:paraId="16A14A58" w14:textId="77777777" w:rsidR="001F2EDC" w:rsidRPr="003C56E2" w:rsidRDefault="001F2EDC" w:rsidP="00BE575E">
      <w:pPr>
        <w:tabs>
          <w:tab w:val="left" w:pos="720"/>
          <w:tab w:val="left" w:pos="1440"/>
          <w:tab w:val="left" w:pos="2160"/>
          <w:tab w:val="left" w:pos="4680"/>
        </w:tabs>
        <w:ind w:right="576"/>
        <w:rPr>
          <w:sz w:val="26"/>
          <w:szCs w:val="26"/>
        </w:rPr>
      </w:pPr>
    </w:p>
    <w:p w14:paraId="44ADDFF8" w14:textId="1374E9EE" w:rsidR="001C167E" w:rsidRPr="00246A04" w:rsidRDefault="00BE575E" w:rsidP="001C167E">
      <w:pPr>
        <w:tabs>
          <w:tab w:val="left" w:pos="720"/>
          <w:tab w:val="left" w:pos="1440"/>
          <w:tab w:val="left" w:pos="2160"/>
          <w:tab w:val="left" w:pos="4680"/>
        </w:tabs>
        <w:ind w:left="1440" w:hanging="1440"/>
        <w:rPr>
          <w:sz w:val="26"/>
          <w:szCs w:val="26"/>
        </w:rPr>
      </w:pPr>
      <w:r w:rsidRPr="001C167E">
        <w:rPr>
          <w:b/>
          <w:bCs/>
          <w:sz w:val="26"/>
          <w:szCs w:val="26"/>
        </w:rPr>
        <w:tab/>
      </w:r>
      <w:r w:rsidR="001C167E" w:rsidRPr="00246A04">
        <w:rPr>
          <w:sz w:val="26"/>
          <w:szCs w:val="26"/>
        </w:rPr>
        <w:t>Re:</w:t>
      </w:r>
      <w:r w:rsidR="001C167E" w:rsidRPr="00246A04">
        <w:rPr>
          <w:sz w:val="26"/>
          <w:szCs w:val="26"/>
        </w:rPr>
        <w:tab/>
        <w:t xml:space="preserve">Petition of </w:t>
      </w:r>
      <w:r w:rsidR="005B769F">
        <w:rPr>
          <w:sz w:val="26"/>
          <w:szCs w:val="26"/>
        </w:rPr>
        <w:t>People Gas Company</w:t>
      </w:r>
      <w:r w:rsidR="001B3222">
        <w:rPr>
          <w:sz w:val="26"/>
          <w:szCs w:val="26"/>
        </w:rPr>
        <w:t xml:space="preserve"> LLC</w:t>
      </w:r>
      <w:r w:rsidR="001C167E" w:rsidRPr="00246A04">
        <w:rPr>
          <w:sz w:val="26"/>
          <w:szCs w:val="26"/>
        </w:rPr>
        <w:t xml:space="preserve"> for </w:t>
      </w:r>
      <w:r w:rsidR="00393E07">
        <w:rPr>
          <w:sz w:val="26"/>
          <w:szCs w:val="26"/>
        </w:rPr>
        <w:t xml:space="preserve">an </w:t>
      </w:r>
      <w:r w:rsidR="001C167E" w:rsidRPr="00246A04">
        <w:rPr>
          <w:sz w:val="26"/>
          <w:szCs w:val="26"/>
        </w:rPr>
        <w:t xml:space="preserve">Extension of Time </w:t>
      </w:r>
      <w:r w:rsidR="005A24FD">
        <w:rPr>
          <w:sz w:val="26"/>
          <w:szCs w:val="26"/>
        </w:rPr>
        <w:t>for filing</w:t>
      </w:r>
      <w:r w:rsidR="001C167E" w:rsidRPr="00246A04">
        <w:rPr>
          <w:sz w:val="26"/>
          <w:szCs w:val="26"/>
        </w:rPr>
        <w:t xml:space="preserve"> </w:t>
      </w:r>
    </w:p>
    <w:p w14:paraId="5D760A4E" w14:textId="76742DB4" w:rsidR="001F2EDC" w:rsidRPr="001C167E" w:rsidRDefault="001C167E" w:rsidP="001C167E">
      <w:pPr>
        <w:tabs>
          <w:tab w:val="left" w:pos="720"/>
          <w:tab w:val="left" w:pos="1440"/>
          <w:tab w:val="left" w:pos="2160"/>
          <w:tab w:val="left" w:pos="4680"/>
        </w:tabs>
        <w:ind w:left="1440" w:hanging="1440"/>
        <w:rPr>
          <w:b/>
          <w:bCs/>
          <w:sz w:val="26"/>
          <w:szCs w:val="26"/>
        </w:rPr>
      </w:pPr>
      <w:r w:rsidRPr="00246A04">
        <w:rPr>
          <w:sz w:val="26"/>
          <w:szCs w:val="26"/>
        </w:rPr>
        <w:tab/>
      </w:r>
      <w:r w:rsidRPr="00246A04">
        <w:rPr>
          <w:sz w:val="26"/>
          <w:szCs w:val="26"/>
        </w:rPr>
        <w:tab/>
      </w:r>
      <w:r w:rsidR="005112AE">
        <w:rPr>
          <w:sz w:val="26"/>
          <w:szCs w:val="26"/>
        </w:rPr>
        <w:t>the</w:t>
      </w:r>
      <w:r w:rsidR="00FB4BD8">
        <w:rPr>
          <w:sz w:val="26"/>
          <w:szCs w:val="26"/>
        </w:rPr>
        <w:t xml:space="preserve"> Petition at </w:t>
      </w:r>
      <w:r w:rsidRPr="00246A04">
        <w:rPr>
          <w:sz w:val="26"/>
          <w:szCs w:val="26"/>
        </w:rPr>
        <w:t xml:space="preserve">Docket </w:t>
      </w:r>
      <w:r w:rsidR="005A24FD">
        <w:rPr>
          <w:sz w:val="26"/>
          <w:szCs w:val="26"/>
        </w:rPr>
        <w:t>No. P</w:t>
      </w:r>
      <w:r w:rsidRPr="00246A04">
        <w:rPr>
          <w:sz w:val="26"/>
          <w:szCs w:val="26"/>
        </w:rPr>
        <w:t>-202</w:t>
      </w:r>
      <w:r w:rsidR="005A24FD">
        <w:rPr>
          <w:sz w:val="26"/>
          <w:szCs w:val="26"/>
        </w:rPr>
        <w:t>1</w:t>
      </w:r>
      <w:r w:rsidRPr="00246A04">
        <w:rPr>
          <w:sz w:val="26"/>
          <w:szCs w:val="26"/>
        </w:rPr>
        <w:t>-30</w:t>
      </w:r>
      <w:r w:rsidR="005A24FD">
        <w:rPr>
          <w:sz w:val="26"/>
          <w:szCs w:val="26"/>
        </w:rPr>
        <w:t>25898</w:t>
      </w:r>
    </w:p>
    <w:p w14:paraId="14762AAE" w14:textId="77777777" w:rsidR="001C167E" w:rsidRDefault="001C167E" w:rsidP="00BE575E">
      <w:pPr>
        <w:tabs>
          <w:tab w:val="left" w:pos="720"/>
          <w:tab w:val="left" w:pos="1440"/>
          <w:tab w:val="left" w:pos="2160"/>
          <w:tab w:val="left" w:pos="4680"/>
        </w:tabs>
        <w:rPr>
          <w:sz w:val="26"/>
          <w:szCs w:val="26"/>
        </w:rPr>
      </w:pPr>
    </w:p>
    <w:p w14:paraId="14500E9C" w14:textId="2FEBCB5B" w:rsidR="00930003" w:rsidRPr="003C56E2" w:rsidRDefault="00930003" w:rsidP="00BE575E">
      <w:pPr>
        <w:tabs>
          <w:tab w:val="left" w:pos="720"/>
          <w:tab w:val="left" w:pos="1440"/>
          <w:tab w:val="left" w:pos="2160"/>
          <w:tab w:val="left" w:pos="4680"/>
        </w:tabs>
        <w:rPr>
          <w:sz w:val="26"/>
          <w:szCs w:val="26"/>
        </w:rPr>
      </w:pPr>
      <w:r w:rsidRPr="003C56E2">
        <w:rPr>
          <w:sz w:val="26"/>
          <w:szCs w:val="26"/>
        </w:rPr>
        <w:t xml:space="preserve">Dear </w:t>
      </w:r>
      <w:r w:rsidR="001C167E">
        <w:rPr>
          <w:sz w:val="26"/>
          <w:szCs w:val="26"/>
        </w:rPr>
        <w:t>M</w:t>
      </w:r>
      <w:r w:rsidR="005A24FD">
        <w:rPr>
          <w:sz w:val="26"/>
          <w:szCs w:val="26"/>
        </w:rPr>
        <w:t>r</w:t>
      </w:r>
      <w:r w:rsidR="001C167E">
        <w:rPr>
          <w:sz w:val="26"/>
          <w:szCs w:val="26"/>
        </w:rPr>
        <w:t xml:space="preserve">. </w:t>
      </w:r>
      <w:r w:rsidR="005A24FD">
        <w:rPr>
          <w:sz w:val="26"/>
          <w:szCs w:val="26"/>
        </w:rPr>
        <w:t>Stobbe</w:t>
      </w:r>
      <w:r w:rsidR="00246A04">
        <w:rPr>
          <w:sz w:val="26"/>
          <w:szCs w:val="26"/>
        </w:rPr>
        <w:t>,</w:t>
      </w:r>
    </w:p>
    <w:p w14:paraId="5E4D2F64" w14:textId="77777777" w:rsidR="00930003" w:rsidRDefault="00930003" w:rsidP="00BE575E">
      <w:pPr>
        <w:tabs>
          <w:tab w:val="left" w:pos="720"/>
          <w:tab w:val="left" w:pos="1440"/>
          <w:tab w:val="left" w:pos="2160"/>
          <w:tab w:val="left" w:pos="4680"/>
        </w:tabs>
        <w:rPr>
          <w:sz w:val="26"/>
          <w:szCs w:val="26"/>
        </w:rPr>
      </w:pPr>
    </w:p>
    <w:p w14:paraId="7620FE8D" w14:textId="1D1646B2" w:rsidR="00A27031" w:rsidRDefault="00A27031" w:rsidP="00701B60">
      <w:pPr>
        <w:tabs>
          <w:tab w:val="left" w:pos="720"/>
          <w:tab w:val="left" w:pos="1440"/>
          <w:tab w:val="left" w:pos="2160"/>
          <w:tab w:val="left" w:pos="4680"/>
        </w:tabs>
        <w:ind w:firstLine="720"/>
        <w:rPr>
          <w:sz w:val="26"/>
          <w:szCs w:val="26"/>
        </w:rPr>
      </w:pPr>
      <w:r w:rsidRPr="00A27031">
        <w:rPr>
          <w:sz w:val="26"/>
          <w:szCs w:val="26"/>
        </w:rPr>
        <w:t xml:space="preserve">On November 18, 2021, the </w:t>
      </w:r>
      <w:r w:rsidR="00B82184">
        <w:rPr>
          <w:sz w:val="26"/>
          <w:szCs w:val="26"/>
        </w:rPr>
        <w:t xml:space="preserve">Pennsylvania Public Utility </w:t>
      </w:r>
      <w:r w:rsidRPr="00A27031">
        <w:rPr>
          <w:sz w:val="26"/>
          <w:szCs w:val="26"/>
        </w:rPr>
        <w:t>Commission</w:t>
      </w:r>
      <w:r w:rsidR="00B82184">
        <w:rPr>
          <w:sz w:val="26"/>
          <w:szCs w:val="26"/>
        </w:rPr>
        <w:t xml:space="preserve"> (Commission)</w:t>
      </w:r>
      <w:r w:rsidRPr="00A27031">
        <w:rPr>
          <w:sz w:val="26"/>
          <w:szCs w:val="26"/>
        </w:rPr>
        <w:t xml:space="preserve"> entered an Opinion and Order (TCJA Order) in the above-captioned proceeding, which, among other things, directed Peoples Gas Company LLC (“Peoples Gas” or the “Company”) to file a Petition to distribute the amortized amount of Excess Accumulated Deferred Income Taxes (EADIT</w:t>
      </w:r>
      <w:r w:rsidR="00C257C4">
        <w:rPr>
          <w:sz w:val="26"/>
          <w:szCs w:val="26"/>
        </w:rPr>
        <w:t>)</w:t>
      </w:r>
      <w:r w:rsidRPr="00A27031">
        <w:rPr>
          <w:sz w:val="26"/>
          <w:szCs w:val="26"/>
        </w:rPr>
        <w:t xml:space="preserve"> with</w:t>
      </w:r>
      <w:r w:rsidR="00701B60">
        <w:rPr>
          <w:sz w:val="26"/>
          <w:szCs w:val="26"/>
        </w:rPr>
        <w:t>in</w:t>
      </w:r>
      <w:r w:rsidRPr="00A27031">
        <w:rPr>
          <w:sz w:val="26"/>
          <w:szCs w:val="26"/>
        </w:rPr>
        <w:t xml:space="preserve"> 60 days</w:t>
      </w:r>
      <w:r w:rsidR="00701B60">
        <w:rPr>
          <w:sz w:val="26"/>
          <w:szCs w:val="26"/>
        </w:rPr>
        <w:t xml:space="preserve"> of the adoption of the TCJA Order</w:t>
      </w:r>
      <w:r w:rsidRPr="00A27031">
        <w:rPr>
          <w:sz w:val="26"/>
          <w:szCs w:val="26"/>
        </w:rPr>
        <w:t>, i.e., by January 17, 202</w:t>
      </w:r>
      <w:r w:rsidR="00B82184">
        <w:rPr>
          <w:sz w:val="26"/>
          <w:szCs w:val="26"/>
        </w:rPr>
        <w:t>2</w:t>
      </w:r>
      <w:r w:rsidRPr="00A27031">
        <w:rPr>
          <w:sz w:val="26"/>
          <w:szCs w:val="26"/>
        </w:rPr>
        <w:t>.</w:t>
      </w:r>
      <w:r w:rsidR="00342E75">
        <w:rPr>
          <w:sz w:val="26"/>
          <w:szCs w:val="26"/>
        </w:rPr>
        <w:t xml:space="preserve">  </w:t>
      </w:r>
    </w:p>
    <w:p w14:paraId="2E3F51A0" w14:textId="4E2B2E9B" w:rsidR="00483068" w:rsidRDefault="00483068" w:rsidP="00701B60">
      <w:pPr>
        <w:tabs>
          <w:tab w:val="left" w:pos="720"/>
          <w:tab w:val="left" w:pos="1440"/>
          <w:tab w:val="left" w:pos="2160"/>
          <w:tab w:val="left" w:pos="4680"/>
        </w:tabs>
        <w:ind w:firstLine="720"/>
        <w:rPr>
          <w:sz w:val="26"/>
          <w:szCs w:val="26"/>
        </w:rPr>
      </w:pPr>
    </w:p>
    <w:p w14:paraId="0A2A30BE" w14:textId="59C873D1" w:rsidR="00F36D40" w:rsidRDefault="00A6629E" w:rsidP="00701B60">
      <w:pPr>
        <w:tabs>
          <w:tab w:val="left" w:pos="720"/>
          <w:tab w:val="left" w:pos="1440"/>
          <w:tab w:val="left" w:pos="2160"/>
          <w:tab w:val="left" w:pos="4680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On December 17, 2021</w:t>
      </w:r>
      <w:r w:rsidR="00FA03FD">
        <w:rPr>
          <w:sz w:val="26"/>
          <w:szCs w:val="26"/>
        </w:rPr>
        <w:t>,</w:t>
      </w:r>
      <w:r w:rsidR="00E00526">
        <w:rPr>
          <w:sz w:val="26"/>
          <w:szCs w:val="26"/>
        </w:rPr>
        <w:t xml:space="preserve"> Peoples Gas </w:t>
      </w:r>
      <w:r w:rsidR="00860DE8">
        <w:rPr>
          <w:sz w:val="26"/>
          <w:szCs w:val="26"/>
        </w:rPr>
        <w:t xml:space="preserve">petitioned the </w:t>
      </w:r>
      <w:r w:rsidR="00881CC5">
        <w:rPr>
          <w:sz w:val="26"/>
          <w:szCs w:val="26"/>
        </w:rPr>
        <w:t>Commission</w:t>
      </w:r>
      <w:r w:rsidR="00860DE8">
        <w:rPr>
          <w:sz w:val="26"/>
          <w:szCs w:val="26"/>
        </w:rPr>
        <w:t xml:space="preserve"> for a 45-day </w:t>
      </w:r>
      <w:r w:rsidR="00A81C36">
        <w:rPr>
          <w:sz w:val="26"/>
          <w:szCs w:val="26"/>
        </w:rPr>
        <w:t>extension of time</w:t>
      </w:r>
      <w:r w:rsidR="00881CC5">
        <w:rPr>
          <w:sz w:val="26"/>
          <w:szCs w:val="26"/>
        </w:rPr>
        <w:t xml:space="preserve"> </w:t>
      </w:r>
      <w:r w:rsidR="00A81C36">
        <w:rPr>
          <w:sz w:val="26"/>
          <w:szCs w:val="26"/>
        </w:rPr>
        <w:t xml:space="preserve">to file </w:t>
      </w:r>
      <w:r w:rsidR="008E2CA0">
        <w:rPr>
          <w:sz w:val="26"/>
          <w:szCs w:val="26"/>
        </w:rPr>
        <w:t>the</w:t>
      </w:r>
      <w:r w:rsidR="00A81C36">
        <w:rPr>
          <w:sz w:val="26"/>
          <w:szCs w:val="26"/>
        </w:rPr>
        <w:t xml:space="preserve"> Pe</w:t>
      </w:r>
      <w:r w:rsidR="00881CC5">
        <w:rPr>
          <w:sz w:val="26"/>
          <w:szCs w:val="26"/>
        </w:rPr>
        <w:t>ti</w:t>
      </w:r>
      <w:r w:rsidR="00A81C36">
        <w:rPr>
          <w:sz w:val="26"/>
          <w:szCs w:val="26"/>
        </w:rPr>
        <w:t>tion</w:t>
      </w:r>
      <w:r w:rsidR="00881CC5">
        <w:rPr>
          <w:sz w:val="26"/>
          <w:szCs w:val="26"/>
        </w:rPr>
        <w:t xml:space="preserve"> </w:t>
      </w:r>
      <w:r w:rsidR="008E2CA0">
        <w:rPr>
          <w:sz w:val="26"/>
          <w:szCs w:val="26"/>
        </w:rPr>
        <w:t xml:space="preserve">(EADIT Petition) </w:t>
      </w:r>
      <w:r w:rsidR="00881CC5">
        <w:rPr>
          <w:sz w:val="26"/>
          <w:szCs w:val="26"/>
        </w:rPr>
        <w:t xml:space="preserve">in accordance with the TCJA Order.  </w:t>
      </w:r>
      <w:r w:rsidR="00670C18">
        <w:rPr>
          <w:sz w:val="26"/>
          <w:szCs w:val="26"/>
        </w:rPr>
        <w:t>The</w:t>
      </w:r>
      <w:r w:rsidR="008E65A5">
        <w:rPr>
          <w:sz w:val="26"/>
          <w:szCs w:val="26"/>
        </w:rPr>
        <w:t xml:space="preserve"> Company states the</w:t>
      </w:r>
      <w:r w:rsidR="00670C18">
        <w:rPr>
          <w:sz w:val="26"/>
          <w:szCs w:val="26"/>
        </w:rPr>
        <w:t xml:space="preserve"> additional time</w:t>
      </w:r>
      <w:r w:rsidR="00060782">
        <w:rPr>
          <w:sz w:val="26"/>
          <w:szCs w:val="26"/>
        </w:rPr>
        <w:t xml:space="preserve"> </w:t>
      </w:r>
      <w:r w:rsidR="00F07210">
        <w:rPr>
          <w:sz w:val="26"/>
          <w:szCs w:val="26"/>
        </w:rPr>
        <w:t xml:space="preserve">is necessary </w:t>
      </w:r>
      <w:r w:rsidR="00060782">
        <w:rPr>
          <w:sz w:val="26"/>
          <w:szCs w:val="26"/>
        </w:rPr>
        <w:t>to</w:t>
      </w:r>
      <w:r w:rsidR="0047708A">
        <w:rPr>
          <w:sz w:val="26"/>
          <w:szCs w:val="26"/>
        </w:rPr>
        <w:t xml:space="preserve"> review Inter</w:t>
      </w:r>
      <w:r w:rsidR="005A5F75">
        <w:rPr>
          <w:sz w:val="26"/>
          <w:szCs w:val="26"/>
        </w:rPr>
        <w:t>nal</w:t>
      </w:r>
      <w:r w:rsidR="0047708A">
        <w:rPr>
          <w:sz w:val="26"/>
          <w:szCs w:val="26"/>
        </w:rPr>
        <w:t xml:space="preserve"> Revenue Service</w:t>
      </w:r>
      <w:r w:rsidR="005A5F75">
        <w:rPr>
          <w:sz w:val="26"/>
          <w:szCs w:val="26"/>
        </w:rPr>
        <w:t xml:space="preserve"> (IRS)</w:t>
      </w:r>
      <w:r w:rsidR="001D21E2">
        <w:rPr>
          <w:sz w:val="26"/>
          <w:szCs w:val="26"/>
        </w:rPr>
        <w:t xml:space="preserve"> normalization requirements</w:t>
      </w:r>
      <w:r w:rsidR="00F07210">
        <w:rPr>
          <w:rStyle w:val="FootnoteReference"/>
          <w:sz w:val="26"/>
          <w:szCs w:val="26"/>
        </w:rPr>
        <w:footnoteReference w:id="1"/>
      </w:r>
      <w:r w:rsidR="00C7335F">
        <w:rPr>
          <w:sz w:val="26"/>
          <w:szCs w:val="26"/>
        </w:rPr>
        <w:t xml:space="preserve"> and </w:t>
      </w:r>
      <w:r w:rsidR="001D21E2">
        <w:rPr>
          <w:sz w:val="26"/>
          <w:szCs w:val="26"/>
        </w:rPr>
        <w:t>prepare</w:t>
      </w:r>
      <w:r w:rsidR="00AC0121">
        <w:rPr>
          <w:sz w:val="26"/>
          <w:szCs w:val="26"/>
        </w:rPr>
        <w:t xml:space="preserve"> the EADIT Petition</w:t>
      </w:r>
      <w:r w:rsidR="00C7335F">
        <w:rPr>
          <w:sz w:val="26"/>
          <w:szCs w:val="26"/>
        </w:rPr>
        <w:t xml:space="preserve"> based upon this review.  </w:t>
      </w:r>
      <w:r w:rsidR="00494600">
        <w:rPr>
          <w:sz w:val="26"/>
          <w:szCs w:val="26"/>
        </w:rPr>
        <w:t>Peoples Gas</w:t>
      </w:r>
      <w:r w:rsidR="001F5397">
        <w:rPr>
          <w:sz w:val="26"/>
          <w:szCs w:val="26"/>
        </w:rPr>
        <w:t xml:space="preserve"> noted that</w:t>
      </w:r>
      <w:r w:rsidR="00237119">
        <w:rPr>
          <w:sz w:val="26"/>
          <w:szCs w:val="26"/>
        </w:rPr>
        <w:t xml:space="preserve"> this process will also be impacted by the</w:t>
      </w:r>
      <w:r w:rsidR="00494600">
        <w:rPr>
          <w:sz w:val="26"/>
          <w:szCs w:val="26"/>
        </w:rPr>
        <w:t xml:space="preserve"> end-of-year closing of </w:t>
      </w:r>
      <w:r w:rsidR="00691FAB">
        <w:rPr>
          <w:sz w:val="26"/>
          <w:szCs w:val="26"/>
        </w:rPr>
        <w:t xml:space="preserve">the Company’s books </w:t>
      </w:r>
      <w:r w:rsidR="00FC4599">
        <w:rPr>
          <w:sz w:val="26"/>
          <w:szCs w:val="26"/>
        </w:rPr>
        <w:t xml:space="preserve">as well as the </w:t>
      </w:r>
      <w:r w:rsidR="00691FAB">
        <w:rPr>
          <w:sz w:val="26"/>
          <w:szCs w:val="26"/>
        </w:rPr>
        <w:t>holiday season</w:t>
      </w:r>
      <w:r w:rsidR="006522F8">
        <w:rPr>
          <w:sz w:val="26"/>
          <w:szCs w:val="26"/>
        </w:rPr>
        <w:t>.</w:t>
      </w:r>
      <w:r w:rsidR="006522F8" w:rsidRPr="006522F8">
        <w:t xml:space="preserve">  </w:t>
      </w:r>
      <w:r w:rsidR="006522F8" w:rsidRPr="006522F8">
        <w:rPr>
          <w:sz w:val="26"/>
          <w:szCs w:val="26"/>
        </w:rPr>
        <w:t>By granting a 45-day extension</w:t>
      </w:r>
      <w:r w:rsidR="00042F5F">
        <w:rPr>
          <w:sz w:val="26"/>
          <w:szCs w:val="26"/>
        </w:rPr>
        <w:t xml:space="preserve"> </w:t>
      </w:r>
      <w:r w:rsidR="006522F8" w:rsidRPr="006522F8">
        <w:rPr>
          <w:sz w:val="26"/>
          <w:szCs w:val="26"/>
        </w:rPr>
        <w:t>Peoples Gas</w:t>
      </w:r>
      <w:r w:rsidR="00B63560">
        <w:rPr>
          <w:sz w:val="26"/>
          <w:szCs w:val="26"/>
        </w:rPr>
        <w:t xml:space="preserve"> avers it</w:t>
      </w:r>
      <w:r w:rsidR="006522F8" w:rsidRPr="006522F8">
        <w:rPr>
          <w:sz w:val="26"/>
          <w:szCs w:val="26"/>
        </w:rPr>
        <w:t xml:space="preserve"> will be better able to assess and analyze the distribution of tax savings associated with EADIT in a way that will comport with normalization standards. </w:t>
      </w:r>
    </w:p>
    <w:p w14:paraId="7CD7BC4F" w14:textId="286E7FBB" w:rsidR="008E65A5" w:rsidRPr="008E65A5" w:rsidRDefault="008E65A5" w:rsidP="00701B60">
      <w:pPr>
        <w:tabs>
          <w:tab w:val="left" w:pos="720"/>
          <w:tab w:val="left" w:pos="1440"/>
          <w:tab w:val="left" w:pos="2160"/>
          <w:tab w:val="left" w:pos="4680"/>
        </w:tabs>
        <w:ind w:firstLine="720"/>
        <w:rPr>
          <w:sz w:val="26"/>
          <w:szCs w:val="26"/>
        </w:rPr>
      </w:pPr>
    </w:p>
    <w:p w14:paraId="02E6ADB2" w14:textId="5946E443" w:rsidR="0094655F" w:rsidRDefault="008E65A5" w:rsidP="00701B60">
      <w:pPr>
        <w:tabs>
          <w:tab w:val="left" w:pos="720"/>
          <w:tab w:val="left" w:pos="1440"/>
          <w:tab w:val="left" w:pos="2160"/>
          <w:tab w:val="left" w:pos="4680"/>
        </w:tabs>
        <w:ind w:firstLine="720"/>
        <w:rPr>
          <w:sz w:val="26"/>
          <w:szCs w:val="26"/>
        </w:rPr>
      </w:pPr>
      <w:r w:rsidRPr="008E65A5">
        <w:rPr>
          <w:sz w:val="26"/>
          <w:szCs w:val="26"/>
        </w:rPr>
        <w:t xml:space="preserve">Based on the justifications provided, </w:t>
      </w:r>
      <w:r w:rsidR="00B82184">
        <w:rPr>
          <w:sz w:val="26"/>
          <w:szCs w:val="26"/>
        </w:rPr>
        <w:t xml:space="preserve">the Commission </w:t>
      </w:r>
      <w:r w:rsidRPr="008E65A5">
        <w:rPr>
          <w:sz w:val="26"/>
          <w:szCs w:val="26"/>
        </w:rPr>
        <w:t>find</w:t>
      </w:r>
      <w:r w:rsidR="00B82184">
        <w:rPr>
          <w:sz w:val="26"/>
          <w:szCs w:val="26"/>
        </w:rPr>
        <w:t>s</w:t>
      </w:r>
      <w:r w:rsidRPr="008E65A5">
        <w:rPr>
          <w:sz w:val="26"/>
          <w:szCs w:val="26"/>
        </w:rPr>
        <w:t xml:space="preserve"> it reasonable to grant the request for an extension of time for </w:t>
      </w:r>
      <w:r>
        <w:rPr>
          <w:sz w:val="26"/>
          <w:szCs w:val="26"/>
        </w:rPr>
        <w:t>Peoples Gas</w:t>
      </w:r>
      <w:r w:rsidRPr="008E65A5">
        <w:rPr>
          <w:sz w:val="26"/>
          <w:szCs w:val="26"/>
        </w:rPr>
        <w:t xml:space="preserve"> to file </w:t>
      </w:r>
      <w:r w:rsidR="00C257C4">
        <w:rPr>
          <w:sz w:val="26"/>
          <w:szCs w:val="26"/>
        </w:rPr>
        <w:t>the EADIT Petition.</w:t>
      </w:r>
      <w:r w:rsidR="0075479D">
        <w:rPr>
          <w:sz w:val="26"/>
          <w:szCs w:val="26"/>
        </w:rPr>
        <w:t xml:space="preserve">  Accordingly, Peoples Gas shall file </w:t>
      </w:r>
      <w:r w:rsidR="00C6185B">
        <w:rPr>
          <w:sz w:val="26"/>
          <w:szCs w:val="26"/>
        </w:rPr>
        <w:t>the EADIT Petition by T</w:t>
      </w:r>
      <w:r w:rsidR="00E625D6">
        <w:rPr>
          <w:sz w:val="26"/>
          <w:szCs w:val="26"/>
        </w:rPr>
        <w:t>hursday</w:t>
      </w:r>
      <w:r w:rsidR="00C6185B">
        <w:rPr>
          <w:sz w:val="26"/>
          <w:szCs w:val="26"/>
        </w:rPr>
        <w:t>, March 3, 2022</w:t>
      </w:r>
      <w:r w:rsidR="00F56343">
        <w:rPr>
          <w:sz w:val="26"/>
          <w:szCs w:val="26"/>
        </w:rPr>
        <w:t>.</w:t>
      </w:r>
      <w:r w:rsidR="00F56343" w:rsidRPr="00F56343">
        <w:rPr>
          <w:sz w:val="26"/>
          <w:szCs w:val="26"/>
        </w:rPr>
        <w:t xml:space="preserve">  </w:t>
      </w:r>
    </w:p>
    <w:p w14:paraId="7B092E22" w14:textId="77777777" w:rsidR="0094655F" w:rsidRDefault="0094655F" w:rsidP="00F56343">
      <w:pPr>
        <w:tabs>
          <w:tab w:val="left" w:pos="720"/>
          <w:tab w:val="left" w:pos="1440"/>
          <w:tab w:val="left" w:pos="2160"/>
          <w:tab w:val="left" w:pos="4680"/>
        </w:tabs>
        <w:rPr>
          <w:sz w:val="26"/>
          <w:szCs w:val="26"/>
        </w:rPr>
      </w:pPr>
    </w:p>
    <w:p w14:paraId="5B7CB588" w14:textId="2B652264" w:rsidR="00220FCC" w:rsidRDefault="00F56343" w:rsidP="00701B60">
      <w:pPr>
        <w:tabs>
          <w:tab w:val="left" w:pos="720"/>
          <w:tab w:val="left" w:pos="1440"/>
          <w:tab w:val="left" w:pos="2160"/>
          <w:tab w:val="left" w:pos="4680"/>
        </w:tabs>
        <w:ind w:firstLine="720"/>
        <w:rPr>
          <w:sz w:val="26"/>
          <w:szCs w:val="26"/>
        </w:rPr>
      </w:pPr>
      <w:r w:rsidRPr="00F56343">
        <w:rPr>
          <w:sz w:val="26"/>
          <w:szCs w:val="26"/>
        </w:rPr>
        <w:t xml:space="preserve">If you need further information or assistance, you may contact </w:t>
      </w:r>
      <w:r>
        <w:rPr>
          <w:sz w:val="26"/>
          <w:szCs w:val="26"/>
        </w:rPr>
        <w:t>Marc Hoffer</w:t>
      </w:r>
      <w:r w:rsidRPr="00F56343">
        <w:rPr>
          <w:sz w:val="26"/>
          <w:szCs w:val="26"/>
        </w:rPr>
        <w:t xml:space="preserve"> at </w:t>
      </w:r>
      <w:hyperlink r:id="rId11" w:history="1">
        <w:r w:rsidRPr="00D90E82">
          <w:rPr>
            <w:rStyle w:val="Hyperlink"/>
            <w:sz w:val="26"/>
            <w:szCs w:val="26"/>
          </w:rPr>
          <w:t>mhoffer@pa.gov</w:t>
        </w:r>
      </w:hyperlink>
      <w:r>
        <w:rPr>
          <w:sz w:val="26"/>
          <w:szCs w:val="26"/>
        </w:rPr>
        <w:t xml:space="preserve"> or</w:t>
      </w:r>
      <w:r w:rsidR="00535C2C">
        <w:rPr>
          <w:sz w:val="26"/>
          <w:szCs w:val="26"/>
        </w:rPr>
        <w:t xml:space="preserve"> James Mullins</w:t>
      </w:r>
      <w:r w:rsidR="00220FCC">
        <w:rPr>
          <w:sz w:val="26"/>
          <w:szCs w:val="26"/>
        </w:rPr>
        <w:t xml:space="preserve"> at </w:t>
      </w:r>
      <w:hyperlink r:id="rId12" w:history="1">
        <w:r w:rsidR="00220FCC" w:rsidRPr="00D90E82">
          <w:rPr>
            <w:rStyle w:val="Hyperlink"/>
            <w:sz w:val="26"/>
            <w:szCs w:val="26"/>
          </w:rPr>
          <w:t>jamullins@pa.gov</w:t>
        </w:r>
      </w:hyperlink>
      <w:r w:rsidR="00220FCC">
        <w:rPr>
          <w:sz w:val="26"/>
          <w:szCs w:val="26"/>
        </w:rPr>
        <w:t>.</w:t>
      </w:r>
    </w:p>
    <w:p w14:paraId="57405F90" w14:textId="7637BC41" w:rsidR="00F56343" w:rsidRPr="00F56343" w:rsidRDefault="00F56343" w:rsidP="00F56343">
      <w:pPr>
        <w:tabs>
          <w:tab w:val="left" w:pos="720"/>
          <w:tab w:val="left" w:pos="1440"/>
          <w:tab w:val="left" w:pos="2160"/>
          <w:tab w:val="left" w:pos="4680"/>
        </w:tabs>
        <w:rPr>
          <w:sz w:val="26"/>
          <w:szCs w:val="26"/>
        </w:rPr>
      </w:pPr>
    </w:p>
    <w:p w14:paraId="4C56DF08" w14:textId="233D8C62" w:rsidR="00552478" w:rsidRPr="00552478" w:rsidRDefault="00552478" w:rsidP="00552478">
      <w:pPr>
        <w:keepNext/>
        <w:tabs>
          <w:tab w:val="left" w:pos="720"/>
          <w:tab w:val="left" w:pos="5040"/>
        </w:tabs>
        <w:rPr>
          <w:sz w:val="26"/>
          <w:szCs w:val="26"/>
        </w:rPr>
      </w:pPr>
    </w:p>
    <w:p w14:paraId="3BB72271" w14:textId="533DF13D" w:rsidR="00552478" w:rsidRPr="00552478" w:rsidRDefault="00466412" w:rsidP="00552478">
      <w:pPr>
        <w:keepNext/>
        <w:tabs>
          <w:tab w:val="left" w:pos="720"/>
          <w:tab w:val="left" w:pos="5040"/>
        </w:tabs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A6E49C" wp14:editId="470170C0">
            <wp:simplePos x="0" y="0"/>
            <wp:positionH relativeFrom="column">
              <wp:posOffset>3162300</wp:posOffset>
            </wp:positionH>
            <wp:positionV relativeFrom="paragraph">
              <wp:posOffset>86360</wp:posOffset>
            </wp:positionV>
            <wp:extent cx="2200275" cy="8382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478" w:rsidRPr="00552478">
        <w:rPr>
          <w:sz w:val="26"/>
          <w:szCs w:val="26"/>
        </w:rPr>
        <w:tab/>
      </w:r>
      <w:r w:rsidR="00552478" w:rsidRPr="00552478">
        <w:rPr>
          <w:sz w:val="26"/>
          <w:szCs w:val="26"/>
        </w:rPr>
        <w:tab/>
        <w:t>Sincerely,</w:t>
      </w:r>
    </w:p>
    <w:p w14:paraId="7BB113D3" w14:textId="77777777" w:rsidR="00552478" w:rsidRPr="00552478" w:rsidRDefault="00552478" w:rsidP="00552478">
      <w:pPr>
        <w:keepNext/>
        <w:tabs>
          <w:tab w:val="left" w:pos="720"/>
          <w:tab w:val="left" w:pos="5040"/>
        </w:tabs>
        <w:rPr>
          <w:sz w:val="26"/>
          <w:szCs w:val="26"/>
        </w:rPr>
      </w:pPr>
    </w:p>
    <w:p w14:paraId="5352907E" w14:textId="77777777" w:rsidR="00552478" w:rsidRPr="00552478" w:rsidRDefault="00552478" w:rsidP="00552478">
      <w:pPr>
        <w:keepNext/>
        <w:rPr>
          <w:sz w:val="26"/>
          <w:szCs w:val="26"/>
        </w:rPr>
      </w:pPr>
    </w:p>
    <w:p w14:paraId="217E21F1" w14:textId="77777777" w:rsidR="00552478" w:rsidRPr="00552478" w:rsidRDefault="00552478" w:rsidP="00552478">
      <w:pPr>
        <w:keepNext/>
        <w:tabs>
          <w:tab w:val="left" w:pos="720"/>
        </w:tabs>
        <w:rPr>
          <w:sz w:val="26"/>
          <w:szCs w:val="26"/>
        </w:rPr>
      </w:pPr>
    </w:p>
    <w:p w14:paraId="7EE8F12A" w14:textId="77777777" w:rsidR="00552478" w:rsidRPr="00552478" w:rsidRDefault="00552478" w:rsidP="00552478">
      <w:pPr>
        <w:keepNext/>
        <w:outlineLvl w:val="0"/>
        <w:rPr>
          <w:sz w:val="26"/>
          <w:szCs w:val="26"/>
        </w:rPr>
      </w:pPr>
      <w:r w:rsidRPr="00552478">
        <w:rPr>
          <w:sz w:val="26"/>
          <w:szCs w:val="26"/>
        </w:rPr>
        <w:tab/>
      </w:r>
      <w:r w:rsidRPr="00552478">
        <w:rPr>
          <w:sz w:val="26"/>
          <w:szCs w:val="26"/>
        </w:rPr>
        <w:tab/>
      </w:r>
      <w:r w:rsidRPr="00552478">
        <w:rPr>
          <w:sz w:val="26"/>
          <w:szCs w:val="26"/>
        </w:rPr>
        <w:tab/>
      </w:r>
      <w:r w:rsidRPr="00552478">
        <w:rPr>
          <w:sz w:val="26"/>
          <w:szCs w:val="26"/>
        </w:rPr>
        <w:tab/>
      </w:r>
      <w:r w:rsidRPr="00552478">
        <w:rPr>
          <w:sz w:val="26"/>
          <w:szCs w:val="26"/>
        </w:rPr>
        <w:tab/>
      </w:r>
      <w:r w:rsidRPr="00552478">
        <w:rPr>
          <w:sz w:val="26"/>
          <w:szCs w:val="26"/>
        </w:rPr>
        <w:tab/>
      </w:r>
      <w:r w:rsidRPr="00552478">
        <w:rPr>
          <w:sz w:val="26"/>
          <w:szCs w:val="26"/>
        </w:rPr>
        <w:tab/>
        <w:t>Rosemary Chiavetta</w:t>
      </w:r>
    </w:p>
    <w:p w14:paraId="4978D790" w14:textId="77777777" w:rsidR="00552478" w:rsidRPr="00552478" w:rsidRDefault="00552478" w:rsidP="00552478">
      <w:pPr>
        <w:tabs>
          <w:tab w:val="left" w:pos="720"/>
          <w:tab w:val="left" w:pos="5040"/>
        </w:tabs>
        <w:rPr>
          <w:sz w:val="26"/>
          <w:szCs w:val="26"/>
        </w:rPr>
      </w:pPr>
      <w:r w:rsidRPr="00552478">
        <w:rPr>
          <w:sz w:val="26"/>
          <w:szCs w:val="26"/>
        </w:rPr>
        <w:tab/>
      </w:r>
      <w:r w:rsidRPr="00552478">
        <w:rPr>
          <w:sz w:val="26"/>
          <w:szCs w:val="26"/>
        </w:rPr>
        <w:tab/>
        <w:t>Secretary</w:t>
      </w:r>
    </w:p>
    <w:p w14:paraId="3BF27A2B" w14:textId="77777777" w:rsidR="00552478" w:rsidRPr="00552478" w:rsidRDefault="00552478" w:rsidP="00552478">
      <w:pPr>
        <w:tabs>
          <w:tab w:val="left" w:pos="720"/>
          <w:tab w:val="left" w:pos="5040"/>
        </w:tabs>
        <w:rPr>
          <w:sz w:val="26"/>
          <w:szCs w:val="26"/>
        </w:rPr>
      </w:pPr>
    </w:p>
    <w:p w14:paraId="604588B4" w14:textId="77777777" w:rsidR="001027CB" w:rsidRDefault="00552478" w:rsidP="001027CB">
      <w:pPr>
        <w:tabs>
          <w:tab w:val="left" w:pos="-720"/>
        </w:tabs>
        <w:rPr>
          <w:sz w:val="26"/>
          <w:szCs w:val="26"/>
        </w:rPr>
      </w:pPr>
      <w:r w:rsidRPr="00552478">
        <w:rPr>
          <w:rFonts w:eastAsia="Calibri"/>
          <w:sz w:val="26"/>
          <w:szCs w:val="26"/>
        </w:rPr>
        <w:t>cc:</w:t>
      </w:r>
      <w:r w:rsidR="00481D58">
        <w:rPr>
          <w:rFonts w:eastAsia="Calibri"/>
          <w:sz w:val="26"/>
          <w:szCs w:val="26"/>
        </w:rPr>
        <w:tab/>
      </w:r>
      <w:r w:rsidR="001027CB">
        <w:rPr>
          <w:sz w:val="26"/>
          <w:szCs w:val="26"/>
        </w:rPr>
        <w:t>Gladys Brown Dutrieuille, Chairman</w:t>
      </w:r>
    </w:p>
    <w:p w14:paraId="669A4D5C" w14:textId="77777777" w:rsidR="00DB0FAE" w:rsidRDefault="001027CB" w:rsidP="00DB0FAE">
      <w:pPr>
        <w:kinsoku w:val="0"/>
        <w:overflowPunct w:val="0"/>
        <w:ind w:firstLine="720"/>
        <w:textAlignment w:val="baseline"/>
        <w:rPr>
          <w:sz w:val="26"/>
          <w:szCs w:val="26"/>
        </w:rPr>
      </w:pPr>
      <w:r>
        <w:rPr>
          <w:sz w:val="26"/>
          <w:szCs w:val="26"/>
        </w:rPr>
        <w:t>John F. Coleman, Jr., Commissioner</w:t>
      </w:r>
    </w:p>
    <w:p w14:paraId="4896B8CF" w14:textId="77777777" w:rsidR="004D0317" w:rsidRDefault="001027CB" w:rsidP="00DB0FAE">
      <w:pPr>
        <w:kinsoku w:val="0"/>
        <w:overflowPunct w:val="0"/>
        <w:ind w:firstLine="720"/>
        <w:textAlignment w:val="baseline"/>
        <w:rPr>
          <w:rFonts w:eastAsia="Calibri"/>
          <w:sz w:val="26"/>
          <w:szCs w:val="26"/>
        </w:rPr>
      </w:pPr>
      <w:r>
        <w:rPr>
          <w:spacing w:val="-2"/>
          <w:sz w:val="26"/>
          <w:szCs w:val="26"/>
        </w:rPr>
        <w:t>Ralph V. Yanora, Commissioner</w:t>
      </w:r>
    </w:p>
    <w:p w14:paraId="593CB6BD" w14:textId="77777777" w:rsidR="004D0317" w:rsidRDefault="005263C0" w:rsidP="00DB0FAE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Seth Mendelson, Executive Director</w:t>
      </w:r>
    </w:p>
    <w:p w14:paraId="093B4CD3" w14:textId="77777777" w:rsidR="005263C0" w:rsidRDefault="005263C0" w:rsidP="00DB0FAE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Renardo Hicks, Chief Counsel</w:t>
      </w:r>
    </w:p>
    <w:p w14:paraId="42FEFE2A" w14:textId="76FCA210" w:rsidR="005263C0" w:rsidRDefault="005263C0" w:rsidP="00DB0FAE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Kriss E. Brown, Deputy Chief Counsel</w:t>
      </w:r>
    </w:p>
    <w:p w14:paraId="235DCA48" w14:textId="77777777" w:rsidR="003168D0" w:rsidRDefault="003168D0" w:rsidP="003168D0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Richard </w:t>
      </w:r>
      <w:proofErr w:type="spellStart"/>
      <w:r>
        <w:rPr>
          <w:rFonts w:eastAsia="Calibri"/>
          <w:sz w:val="26"/>
          <w:szCs w:val="26"/>
        </w:rPr>
        <w:t>Kanaskie</w:t>
      </w:r>
      <w:proofErr w:type="spellEnd"/>
      <w:r>
        <w:rPr>
          <w:rFonts w:eastAsia="Calibri"/>
          <w:sz w:val="26"/>
          <w:szCs w:val="26"/>
        </w:rPr>
        <w:t>, Bureau of Investigation &amp; Enforcement</w:t>
      </w:r>
    </w:p>
    <w:p w14:paraId="6025FDD4" w14:textId="77777777" w:rsidR="003168D0" w:rsidRDefault="003168D0" w:rsidP="003168D0">
      <w:pPr>
        <w:rPr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Patrick M. Cicero, Office of Consumer Advocate, </w:t>
      </w:r>
      <w:hyperlink r:id="rId14" w:history="1">
        <w:r w:rsidRPr="000E355E">
          <w:rPr>
            <w:rStyle w:val="Hyperlink"/>
            <w:sz w:val="26"/>
            <w:szCs w:val="26"/>
          </w:rPr>
          <w:t>consumer@paoca.org</w:t>
        </w:r>
      </w:hyperlink>
    </w:p>
    <w:p w14:paraId="2C878768" w14:textId="77777777" w:rsidR="003168D0" w:rsidRDefault="003168D0" w:rsidP="003168D0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Teresa Reed Wagner, Office of Small Business Advocate, </w:t>
      </w:r>
      <w:hyperlink r:id="rId15" w:history="1">
        <w:r w:rsidRPr="002625E1">
          <w:rPr>
            <w:rStyle w:val="Hyperlink"/>
            <w:sz w:val="26"/>
            <w:szCs w:val="26"/>
          </w:rPr>
          <w:t>terewagne@pa.gov</w:t>
        </w:r>
      </w:hyperlink>
    </w:p>
    <w:p w14:paraId="54E229AF" w14:textId="66626F01" w:rsidR="003168D0" w:rsidRDefault="003168D0" w:rsidP="00DB0FAE">
      <w:pPr>
        <w:rPr>
          <w:rFonts w:eastAsia="Calibri"/>
          <w:sz w:val="26"/>
          <w:szCs w:val="26"/>
        </w:rPr>
      </w:pPr>
    </w:p>
    <w:p w14:paraId="24476663" w14:textId="3F99BE1B" w:rsidR="00C77F29" w:rsidRPr="00907693" w:rsidRDefault="00C77F29" w:rsidP="00DB0FAE">
      <w:pPr>
        <w:ind w:firstLine="720"/>
        <w:rPr>
          <w:sz w:val="26"/>
          <w:szCs w:val="26"/>
        </w:rPr>
      </w:pPr>
    </w:p>
    <w:sectPr w:rsidR="00C77F29" w:rsidRPr="00907693" w:rsidSect="0084218B">
      <w:footerReference w:type="even" r:id="rId16"/>
      <w:footerReference w:type="default" r:id="rId1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BE815" w14:textId="77777777" w:rsidR="00A12305" w:rsidRDefault="00A12305">
      <w:r>
        <w:separator/>
      </w:r>
    </w:p>
  </w:endnote>
  <w:endnote w:type="continuationSeparator" w:id="0">
    <w:p w14:paraId="0A560C42" w14:textId="77777777" w:rsidR="00A12305" w:rsidRDefault="00A1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71B05" w14:textId="77777777" w:rsidR="0075019A" w:rsidRDefault="0075019A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E44272" w14:textId="77777777" w:rsidR="0075019A" w:rsidRDefault="00750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CC8B" w14:textId="77777777" w:rsidR="0075019A" w:rsidRDefault="0075019A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167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D6BF79" w14:textId="77777777" w:rsidR="0075019A" w:rsidRDefault="007501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EE41" w14:textId="77777777" w:rsidR="0075019A" w:rsidRDefault="007501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E1AF1E1" w14:textId="77777777" w:rsidR="0075019A" w:rsidRDefault="0075019A">
    <w:pPr>
      <w:pStyle w:val="Footer"/>
    </w:pPr>
  </w:p>
  <w:p w14:paraId="2ABE1C68" w14:textId="77777777" w:rsidR="0075019A" w:rsidRDefault="0075019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D43F" w14:textId="77777777" w:rsidR="0075019A" w:rsidRDefault="0075019A">
    <w:pPr>
      <w:pStyle w:val="Footer"/>
      <w:framePr w:wrap="around" w:vAnchor="text" w:hAnchor="margin" w:xAlign="center" w:y="1"/>
      <w:rPr>
        <w:rStyle w:val="PageNumber"/>
      </w:rPr>
    </w:pPr>
  </w:p>
  <w:p w14:paraId="781E5E9C" w14:textId="77777777" w:rsidR="0075019A" w:rsidRDefault="00750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475D9" w14:textId="77777777" w:rsidR="00A12305" w:rsidRDefault="00A12305">
      <w:r>
        <w:separator/>
      </w:r>
    </w:p>
  </w:footnote>
  <w:footnote w:type="continuationSeparator" w:id="0">
    <w:p w14:paraId="53037AF8" w14:textId="77777777" w:rsidR="00A12305" w:rsidRDefault="00A12305">
      <w:r>
        <w:continuationSeparator/>
      </w:r>
    </w:p>
  </w:footnote>
  <w:footnote w:id="1">
    <w:p w14:paraId="59EADA6A" w14:textId="5E2601AB" w:rsidR="00F07210" w:rsidRPr="009A4C55" w:rsidRDefault="00F07210">
      <w:pPr>
        <w:pStyle w:val="FootnoteText"/>
        <w:rPr>
          <w:sz w:val="22"/>
          <w:szCs w:val="22"/>
        </w:rPr>
      </w:pPr>
      <w:r w:rsidRPr="009A4C55">
        <w:rPr>
          <w:rStyle w:val="FootnoteReference"/>
          <w:sz w:val="22"/>
          <w:szCs w:val="22"/>
        </w:rPr>
        <w:footnoteRef/>
      </w:r>
      <w:r w:rsidRPr="009A4C55">
        <w:rPr>
          <w:sz w:val="22"/>
          <w:szCs w:val="22"/>
        </w:rPr>
        <w:t xml:space="preserve"> </w:t>
      </w:r>
      <w:r w:rsidR="009A4C55">
        <w:rPr>
          <w:sz w:val="22"/>
          <w:szCs w:val="22"/>
        </w:rPr>
        <w:t xml:space="preserve"> </w:t>
      </w:r>
      <w:r w:rsidR="003438EA" w:rsidRPr="009A4C55">
        <w:rPr>
          <w:sz w:val="22"/>
          <w:szCs w:val="22"/>
        </w:rPr>
        <w:t>On October 22, 2021, the IRS issued a Private Letter Ruling at No. PLR-101961-21 (PLR) in response to an inquiry from another public utility</w:t>
      </w:r>
      <w:r w:rsidR="00E02B5B" w:rsidRPr="009A4C55">
        <w:rPr>
          <w:sz w:val="22"/>
          <w:szCs w:val="22"/>
        </w:rPr>
        <w:t xml:space="preserve">.  </w:t>
      </w:r>
      <w:r w:rsidR="003438EA" w:rsidRPr="009A4C55">
        <w:rPr>
          <w:sz w:val="22"/>
          <w:szCs w:val="22"/>
        </w:rPr>
        <w:t>Through the PLR, the IRS discussed the utility’s accounting methods, including Excess Deferred Income Tax and the appropriate ratemaking treatment thereof, as well as normalization rules and standards.</w:t>
      </w:r>
      <w:r w:rsidR="003F0C45" w:rsidRPr="009A4C55">
        <w:rPr>
          <w:sz w:val="22"/>
          <w:szCs w:val="22"/>
        </w:rPr>
        <w:t xml:space="preserve">  In its EADIT Petition</w:t>
      </w:r>
      <w:r w:rsidR="00B82184">
        <w:rPr>
          <w:sz w:val="22"/>
          <w:szCs w:val="22"/>
        </w:rPr>
        <w:t>,</w:t>
      </w:r>
      <w:r w:rsidR="003F0C45" w:rsidRPr="009A4C55">
        <w:rPr>
          <w:sz w:val="22"/>
          <w:szCs w:val="22"/>
        </w:rPr>
        <w:t xml:space="preserve"> the Company also noted that </w:t>
      </w:r>
      <w:r w:rsidR="004D5660" w:rsidRPr="009A4C55">
        <w:rPr>
          <w:sz w:val="22"/>
          <w:szCs w:val="22"/>
        </w:rPr>
        <w:t>“</w:t>
      </w:r>
      <w:r w:rsidR="00D34106" w:rsidRPr="009A4C55">
        <w:rPr>
          <w:sz w:val="22"/>
          <w:szCs w:val="22"/>
        </w:rPr>
        <w:t>Subsequent to the entry of the Commission’s TCJA Order, Peoples Gas began to undertake an analysis of the tax normalization rules under the Internal Revenue Code and the Internal</w:t>
      </w:r>
      <w:r w:rsidR="004D5660" w:rsidRPr="009A4C55">
        <w:rPr>
          <w:sz w:val="22"/>
          <w:szCs w:val="22"/>
        </w:rPr>
        <w:t xml:space="preserve"> Revenue Service’s regulations. </w:t>
      </w:r>
      <w:r w:rsidR="00D34106" w:rsidRPr="009A4C55">
        <w:rPr>
          <w:sz w:val="22"/>
          <w:szCs w:val="22"/>
        </w:rPr>
        <w:t xml:space="preserve"> </w:t>
      </w:r>
      <w:r w:rsidR="004C0658" w:rsidRPr="009A4C55">
        <w:rPr>
          <w:sz w:val="22"/>
          <w:szCs w:val="22"/>
        </w:rPr>
        <w:t>This review identified a concern that a flowback of EADIT, without corresponding adjustments to depreciation expense and the reserve for accumulated deferred income taxes used in setting rates, would be declared a violation of the tax normalization rules. Such a violation could result in Peoples Gas being prohibited from using accelerated tax depreciation.</w:t>
      </w:r>
      <w:r w:rsidR="001D09FF" w:rsidRPr="009A4C55">
        <w:rPr>
          <w:sz w:val="22"/>
          <w:szCs w:val="22"/>
        </w:rPr>
        <w:t>”</w:t>
      </w:r>
      <w:r w:rsidR="004C0658" w:rsidRPr="009A4C55">
        <w:rPr>
          <w:sz w:val="22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6934D5"/>
    <w:multiLevelType w:val="multilevel"/>
    <w:tmpl w:val="67E64FFE"/>
    <w:lvl w:ilvl="0">
      <w:start w:val="1"/>
      <w:numFmt w:val="decimal"/>
      <w:lvlText w:val="%1."/>
      <w:lvlJc w:val="left"/>
      <w:pPr>
        <w:tabs>
          <w:tab w:val="left" w:pos="1440"/>
        </w:tabs>
        <w:ind w:left="1800"/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F74961"/>
    <w:multiLevelType w:val="hybridMultilevel"/>
    <w:tmpl w:val="C42A1B16"/>
    <w:lvl w:ilvl="0" w:tplc="B118589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FC82785"/>
    <w:multiLevelType w:val="hybridMultilevel"/>
    <w:tmpl w:val="449C9FAC"/>
    <w:lvl w:ilvl="0" w:tplc="F474B1C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C30B7"/>
    <w:multiLevelType w:val="multilevel"/>
    <w:tmpl w:val="13CA69F8"/>
    <w:lvl w:ilvl="0">
      <w:start w:val="8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1F029C"/>
    <w:multiLevelType w:val="hybridMultilevel"/>
    <w:tmpl w:val="9510058C"/>
    <w:lvl w:ilvl="0" w:tplc="F72C192A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12"/>
  </w:num>
  <w:num w:numId="6">
    <w:abstractNumId w:val="4"/>
  </w:num>
  <w:num w:numId="7">
    <w:abstractNumId w:val="13"/>
  </w:num>
  <w:num w:numId="8">
    <w:abstractNumId w:val="11"/>
  </w:num>
  <w:num w:numId="9">
    <w:abstractNumId w:val="0"/>
  </w:num>
  <w:num w:numId="10">
    <w:abstractNumId w:val="10"/>
  </w:num>
  <w:num w:numId="11">
    <w:abstractNumId w:val="3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51"/>
    <w:rsid w:val="00034796"/>
    <w:rsid w:val="00042F5F"/>
    <w:rsid w:val="00056652"/>
    <w:rsid w:val="00060782"/>
    <w:rsid w:val="0006085A"/>
    <w:rsid w:val="00067B3B"/>
    <w:rsid w:val="00067F2B"/>
    <w:rsid w:val="00075539"/>
    <w:rsid w:val="00076B03"/>
    <w:rsid w:val="00076F23"/>
    <w:rsid w:val="00081989"/>
    <w:rsid w:val="000879BA"/>
    <w:rsid w:val="00091504"/>
    <w:rsid w:val="00094150"/>
    <w:rsid w:val="000E4C77"/>
    <w:rsid w:val="001027CB"/>
    <w:rsid w:val="001209F1"/>
    <w:rsid w:val="0012404A"/>
    <w:rsid w:val="00124DD5"/>
    <w:rsid w:val="00133D25"/>
    <w:rsid w:val="00152F72"/>
    <w:rsid w:val="00170283"/>
    <w:rsid w:val="001743D0"/>
    <w:rsid w:val="001974F6"/>
    <w:rsid w:val="001B3222"/>
    <w:rsid w:val="001C167E"/>
    <w:rsid w:val="001D09FF"/>
    <w:rsid w:val="001D21E2"/>
    <w:rsid w:val="001D5DBB"/>
    <w:rsid w:val="001E1BF3"/>
    <w:rsid w:val="001F2EDC"/>
    <w:rsid w:val="001F5397"/>
    <w:rsid w:val="00202276"/>
    <w:rsid w:val="00206F2B"/>
    <w:rsid w:val="00220FCC"/>
    <w:rsid w:val="002229C3"/>
    <w:rsid w:val="00226A2B"/>
    <w:rsid w:val="00235DED"/>
    <w:rsid w:val="002364E4"/>
    <w:rsid w:val="00237119"/>
    <w:rsid w:val="00246A04"/>
    <w:rsid w:val="0025446A"/>
    <w:rsid w:val="0025710E"/>
    <w:rsid w:val="00280E91"/>
    <w:rsid w:val="00284E35"/>
    <w:rsid w:val="00285461"/>
    <w:rsid w:val="002876AA"/>
    <w:rsid w:val="00292374"/>
    <w:rsid w:val="0029471C"/>
    <w:rsid w:val="002A2000"/>
    <w:rsid w:val="002A4F87"/>
    <w:rsid w:val="002A52A0"/>
    <w:rsid w:val="002B51A2"/>
    <w:rsid w:val="002C08FE"/>
    <w:rsid w:val="002E60A5"/>
    <w:rsid w:val="002F0138"/>
    <w:rsid w:val="002F2B8C"/>
    <w:rsid w:val="00303D80"/>
    <w:rsid w:val="00307FF2"/>
    <w:rsid w:val="00313F77"/>
    <w:rsid w:val="0031429F"/>
    <w:rsid w:val="003168D0"/>
    <w:rsid w:val="0032677D"/>
    <w:rsid w:val="00335A29"/>
    <w:rsid w:val="00342E75"/>
    <w:rsid w:val="003438EA"/>
    <w:rsid w:val="00345522"/>
    <w:rsid w:val="00347684"/>
    <w:rsid w:val="00347A10"/>
    <w:rsid w:val="00347CD2"/>
    <w:rsid w:val="003516A6"/>
    <w:rsid w:val="00353111"/>
    <w:rsid w:val="003569E8"/>
    <w:rsid w:val="00366A65"/>
    <w:rsid w:val="00393E07"/>
    <w:rsid w:val="003966D9"/>
    <w:rsid w:val="003B26C3"/>
    <w:rsid w:val="003C102A"/>
    <w:rsid w:val="003C56E2"/>
    <w:rsid w:val="003E4B39"/>
    <w:rsid w:val="003E582C"/>
    <w:rsid w:val="003F0C45"/>
    <w:rsid w:val="00414B38"/>
    <w:rsid w:val="0042140E"/>
    <w:rsid w:val="004246D9"/>
    <w:rsid w:val="004248A8"/>
    <w:rsid w:val="00450CB2"/>
    <w:rsid w:val="00454526"/>
    <w:rsid w:val="00455F78"/>
    <w:rsid w:val="00466412"/>
    <w:rsid w:val="0047708A"/>
    <w:rsid w:val="00481D58"/>
    <w:rsid w:val="00483068"/>
    <w:rsid w:val="00494600"/>
    <w:rsid w:val="004A1767"/>
    <w:rsid w:val="004C0658"/>
    <w:rsid w:val="004D0317"/>
    <w:rsid w:val="004D2698"/>
    <w:rsid w:val="004D5660"/>
    <w:rsid w:val="004F32B3"/>
    <w:rsid w:val="004F5AAA"/>
    <w:rsid w:val="005112AE"/>
    <w:rsid w:val="00513DCA"/>
    <w:rsid w:val="00514EA3"/>
    <w:rsid w:val="0051639C"/>
    <w:rsid w:val="005263C0"/>
    <w:rsid w:val="00526ADA"/>
    <w:rsid w:val="00526F31"/>
    <w:rsid w:val="00530216"/>
    <w:rsid w:val="00535C2C"/>
    <w:rsid w:val="00552478"/>
    <w:rsid w:val="00584C01"/>
    <w:rsid w:val="005A0955"/>
    <w:rsid w:val="005A24FD"/>
    <w:rsid w:val="005A5F75"/>
    <w:rsid w:val="005B3262"/>
    <w:rsid w:val="005B58B7"/>
    <w:rsid w:val="005B769F"/>
    <w:rsid w:val="005C03C4"/>
    <w:rsid w:val="005E25C5"/>
    <w:rsid w:val="005E3690"/>
    <w:rsid w:val="005E4B6E"/>
    <w:rsid w:val="005F3D24"/>
    <w:rsid w:val="006247DE"/>
    <w:rsid w:val="006522F8"/>
    <w:rsid w:val="00670C18"/>
    <w:rsid w:val="00672262"/>
    <w:rsid w:val="006755C0"/>
    <w:rsid w:val="00691FAB"/>
    <w:rsid w:val="006A1D3F"/>
    <w:rsid w:val="006B42CF"/>
    <w:rsid w:val="006C5C47"/>
    <w:rsid w:val="006D6779"/>
    <w:rsid w:val="006E1A84"/>
    <w:rsid w:val="00700501"/>
    <w:rsid w:val="00701B60"/>
    <w:rsid w:val="00701ED5"/>
    <w:rsid w:val="00721FA8"/>
    <w:rsid w:val="00723B9A"/>
    <w:rsid w:val="0073024B"/>
    <w:rsid w:val="0075019A"/>
    <w:rsid w:val="0075479D"/>
    <w:rsid w:val="00756C8B"/>
    <w:rsid w:val="007617B1"/>
    <w:rsid w:val="0077210F"/>
    <w:rsid w:val="00772716"/>
    <w:rsid w:val="00772C92"/>
    <w:rsid w:val="00773F47"/>
    <w:rsid w:val="00774744"/>
    <w:rsid w:val="00794208"/>
    <w:rsid w:val="00794E58"/>
    <w:rsid w:val="007A16AE"/>
    <w:rsid w:val="007C73AC"/>
    <w:rsid w:val="007D28D7"/>
    <w:rsid w:val="007E64B5"/>
    <w:rsid w:val="007F0775"/>
    <w:rsid w:val="007F55F1"/>
    <w:rsid w:val="0080792C"/>
    <w:rsid w:val="00807CAF"/>
    <w:rsid w:val="00826AB4"/>
    <w:rsid w:val="0084218B"/>
    <w:rsid w:val="008476A6"/>
    <w:rsid w:val="00860DE8"/>
    <w:rsid w:val="00864070"/>
    <w:rsid w:val="00881CC5"/>
    <w:rsid w:val="0089421A"/>
    <w:rsid w:val="008A2241"/>
    <w:rsid w:val="008C4D37"/>
    <w:rsid w:val="008E2CA0"/>
    <w:rsid w:val="008E5EA0"/>
    <w:rsid w:val="008E65A5"/>
    <w:rsid w:val="008F78AA"/>
    <w:rsid w:val="00907693"/>
    <w:rsid w:val="00927022"/>
    <w:rsid w:val="00930003"/>
    <w:rsid w:val="0093258F"/>
    <w:rsid w:val="0094655F"/>
    <w:rsid w:val="00984274"/>
    <w:rsid w:val="00985768"/>
    <w:rsid w:val="0099767B"/>
    <w:rsid w:val="009A1144"/>
    <w:rsid w:val="009A4C55"/>
    <w:rsid w:val="009A5A76"/>
    <w:rsid w:val="009B1956"/>
    <w:rsid w:val="009B23D8"/>
    <w:rsid w:val="009B2E39"/>
    <w:rsid w:val="009B36CB"/>
    <w:rsid w:val="009E40EC"/>
    <w:rsid w:val="009E65F6"/>
    <w:rsid w:val="009E7E5D"/>
    <w:rsid w:val="009F5F66"/>
    <w:rsid w:val="00A0792A"/>
    <w:rsid w:val="00A112E1"/>
    <w:rsid w:val="00A12305"/>
    <w:rsid w:val="00A27031"/>
    <w:rsid w:val="00A61C0A"/>
    <w:rsid w:val="00A6629E"/>
    <w:rsid w:val="00A66D1F"/>
    <w:rsid w:val="00A81C36"/>
    <w:rsid w:val="00A82C28"/>
    <w:rsid w:val="00A84699"/>
    <w:rsid w:val="00A851E9"/>
    <w:rsid w:val="00A93FB4"/>
    <w:rsid w:val="00A94535"/>
    <w:rsid w:val="00A955FA"/>
    <w:rsid w:val="00AA0347"/>
    <w:rsid w:val="00AA6F16"/>
    <w:rsid w:val="00AB36A9"/>
    <w:rsid w:val="00AC0121"/>
    <w:rsid w:val="00AD6503"/>
    <w:rsid w:val="00AD77EE"/>
    <w:rsid w:val="00AE2383"/>
    <w:rsid w:val="00AE792C"/>
    <w:rsid w:val="00AF02D1"/>
    <w:rsid w:val="00AF16AC"/>
    <w:rsid w:val="00AF4A0F"/>
    <w:rsid w:val="00AF645A"/>
    <w:rsid w:val="00B00393"/>
    <w:rsid w:val="00B10339"/>
    <w:rsid w:val="00B12277"/>
    <w:rsid w:val="00B31B02"/>
    <w:rsid w:val="00B3551A"/>
    <w:rsid w:val="00B42DCA"/>
    <w:rsid w:val="00B44A1E"/>
    <w:rsid w:val="00B478AC"/>
    <w:rsid w:val="00B578C0"/>
    <w:rsid w:val="00B57C6E"/>
    <w:rsid w:val="00B62D45"/>
    <w:rsid w:val="00B63560"/>
    <w:rsid w:val="00B719AA"/>
    <w:rsid w:val="00B82184"/>
    <w:rsid w:val="00B90665"/>
    <w:rsid w:val="00B97014"/>
    <w:rsid w:val="00BC3A3C"/>
    <w:rsid w:val="00BC7ABE"/>
    <w:rsid w:val="00BD3A5C"/>
    <w:rsid w:val="00BD752E"/>
    <w:rsid w:val="00BE4A72"/>
    <w:rsid w:val="00BE5119"/>
    <w:rsid w:val="00BE575E"/>
    <w:rsid w:val="00BF66A8"/>
    <w:rsid w:val="00BF6D7C"/>
    <w:rsid w:val="00BF6F03"/>
    <w:rsid w:val="00C140D5"/>
    <w:rsid w:val="00C14A13"/>
    <w:rsid w:val="00C17CD5"/>
    <w:rsid w:val="00C257C4"/>
    <w:rsid w:val="00C35E20"/>
    <w:rsid w:val="00C6185B"/>
    <w:rsid w:val="00C7335F"/>
    <w:rsid w:val="00C74A51"/>
    <w:rsid w:val="00C77C13"/>
    <w:rsid w:val="00C77F29"/>
    <w:rsid w:val="00C837E6"/>
    <w:rsid w:val="00C87CA6"/>
    <w:rsid w:val="00C90506"/>
    <w:rsid w:val="00C95F36"/>
    <w:rsid w:val="00C96CF9"/>
    <w:rsid w:val="00CA44B2"/>
    <w:rsid w:val="00CB129D"/>
    <w:rsid w:val="00CB5738"/>
    <w:rsid w:val="00CD42ED"/>
    <w:rsid w:val="00CE2A65"/>
    <w:rsid w:val="00CF047C"/>
    <w:rsid w:val="00D12E31"/>
    <w:rsid w:val="00D34106"/>
    <w:rsid w:val="00D355DB"/>
    <w:rsid w:val="00D36E44"/>
    <w:rsid w:val="00D55E96"/>
    <w:rsid w:val="00D62DA2"/>
    <w:rsid w:val="00D64F9B"/>
    <w:rsid w:val="00DA4D87"/>
    <w:rsid w:val="00DB0FAE"/>
    <w:rsid w:val="00DC35C5"/>
    <w:rsid w:val="00DD1A19"/>
    <w:rsid w:val="00DD7880"/>
    <w:rsid w:val="00DE3C6A"/>
    <w:rsid w:val="00DE4076"/>
    <w:rsid w:val="00E00526"/>
    <w:rsid w:val="00E007F5"/>
    <w:rsid w:val="00E02B5B"/>
    <w:rsid w:val="00E16ACF"/>
    <w:rsid w:val="00E20A5D"/>
    <w:rsid w:val="00E236E3"/>
    <w:rsid w:val="00E26FF2"/>
    <w:rsid w:val="00E349DA"/>
    <w:rsid w:val="00E625D6"/>
    <w:rsid w:val="00E93258"/>
    <w:rsid w:val="00EA6D30"/>
    <w:rsid w:val="00EC0F0A"/>
    <w:rsid w:val="00EC7116"/>
    <w:rsid w:val="00EC71DD"/>
    <w:rsid w:val="00EC7A49"/>
    <w:rsid w:val="00EC7ADB"/>
    <w:rsid w:val="00ED57C8"/>
    <w:rsid w:val="00F03B39"/>
    <w:rsid w:val="00F07210"/>
    <w:rsid w:val="00F11A81"/>
    <w:rsid w:val="00F36D40"/>
    <w:rsid w:val="00F4598D"/>
    <w:rsid w:val="00F45DB6"/>
    <w:rsid w:val="00F56343"/>
    <w:rsid w:val="00F7094C"/>
    <w:rsid w:val="00F82380"/>
    <w:rsid w:val="00F90527"/>
    <w:rsid w:val="00FA03FD"/>
    <w:rsid w:val="00FA0E37"/>
    <w:rsid w:val="00FA244D"/>
    <w:rsid w:val="00FA2FCC"/>
    <w:rsid w:val="00FB3D01"/>
    <w:rsid w:val="00FB4BD8"/>
    <w:rsid w:val="00FC1D6A"/>
    <w:rsid w:val="00FC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22E3F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paragraph" w:styleId="FootnoteText">
    <w:name w:val="footnote text"/>
    <w:basedOn w:val="Normal"/>
    <w:link w:val="FootnoteTextChar"/>
    <w:rsid w:val="001C167E"/>
  </w:style>
  <w:style w:type="character" w:customStyle="1" w:styleId="FootnoteTextChar">
    <w:name w:val="Footnote Text Char"/>
    <w:basedOn w:val="DefaultParagraphFont"/>
    <w:link w:val="FootnoteText"/>
    <w:rsid w:val="001C167E"/>
  </w:style>
  <w:style w:type="character" w:styleId="FootnoteReference">
    <w:name w:val="footnote reference"/>
    <w:rsid w:val="001C167E"/>
    <w:rPr>
      <w:vertAlign w:val="superscript"/>
    </w:rPr>
  </w:style>
  <w:style w:type="paragraph" w:styleId="ListParagraph">
    <w:name w:val="List Paragraph"/>
    <w:basedOn w:val="Normal"/>
    <w:uiPriority w:val="34"/>
    <w:qFormat/>
    <w:rsid w:val="00B10339"/>
    <w:pPr>
      <w:ind w:left="720"/>
    </w:pPr>
  </w:style>
  <w:style w:type="character" w:styleId="Hyperlink">
    <w:name w:val="Hyperlink"/>
    <w:rsid w:val="0055247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52478"/>
    <w:rPr>
      <w:color w:val="605E5C"/>
      <w:shd w:val="clear" w:color="auto" w:fill="E1DFDD"/>
    </w:rPr>
  </w:style>
  <w:style w:type="character" w:styleId="CommentReference">
    <w:name w:val="annotation reference"/>
    <w:rsid w:val="004D03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0317"/>
  </w:style>
  <w:style w:type="character" w:customStyle="1" w:styleId="CommentTextChar">
    <w:name w:val="Comment Text Char"/>
    <w:basedOn w:val="DefaultParagraphFont"/>
    <w:link w:val="CommentText"/>
    <w:rsid w:val="004D0317"/>
  </w:style>
  <w:style w:type="paragraph" w:styleId="CommentSubject">
    <w:name w:val="annotation subject"/>
    <w:basedOn w:val="CommentText"/>
    <w:next w:val="CommentText"/>
    <w:link w:val="CommentSubjectChar"/>
    <w:rsid w:val="004D0317"/>
    <w:rPr>
      <w:b/>
      <w:bCs/>
    </w:rPr>
  </w:style>
  <w:style w:type="character" w:customStyle="1" w:styleId="CommentSubjectChar">
    <w:name w:val="Comment Subject Char"/>
    <w:link w:val="CommentSubject"/>
    <w:rsid w:val="004D0317"/>
    <w:rPr>
      <w:b/>
      <w:bCs/>
    </w:rPr>
  </w:style>
  <w:style w:type="paragraph" w:styleId="Revision">
    <w:name w:val="Revision"/>
    <w:hidden/>
    <w:uiPriority w:val="99"/>
    <w:semiHidden/>
    <w:rsid w:val="00B82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mullins@pa.gov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hoffer@p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erewagne@pa.gov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onsumer@pao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49921-81B2-4567-AB63-1366F042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2200</Characters>
  <Application>Microsoft Office Word</Application>
  <DocSecurity>4</DocSecurity>
  <Lines>18</Lines>
  <Paragraphs>5</Paragraphs>
  <ScaleCrop>false</ScaleCrop>
  <Company/>
  <LinksUpToDate>false</LinksUpToDate>
  <CharactersWithSpaces>2549</CharactersWithSpaces>
  <SharedDoc>false</SharedDoc>
  <HLinks>
    <vt:vector size="12" baseType="variant">
      <vt:variant>
        <vt:i4>3670044</vt:i4>
      </vt:variant>
      <vt:variant>
        <vt:i4>3</vt:i4>
      </vt:variant>
      <vt:variant>
        <vt:i4>0</vt:i4>
      </vt:variant>
      <vt:variant>
        <vt:i4>5</vt:i4>
      </vt:variant>
      <vt:variant>
        <vt:lpwstr>mailto:sbainbridg@pa.gov</vt:lpwstr>
      </vt:variant>
      <vt:variant>
        <vt:lpwstr/>
      </vt:variant>
      <vt:variant>
        <vt:i4>5832809</vt:i4>
      </vt:variant>
      <vt:variant>
        <vt:i4>0</vt:i4>
      </vt:variant>
      <vt:variant>
        <vt:i4>0</vt:i4>
      </vt:variant>
      <vt:variant>
        <vt:i4>5</vt:i4>
      </vt:variant>
      <vt:variant>
        <vt:lpwstr>mailto:adyoung@pa.gov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2022-01-06T16:47:00Z</dcterms:created>
  <dcterms:modified xsi:type="dcterms:W3CDTF">2022-01-06T16:47:00Z</dcterms:modified>
</cp:coreProperties>
</file>