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D1B7" w14:textId="77777777" w:rsidR="00C04960" w:rsidRDefault="00053A4A" w:rsidP="00053A4A">
      <w:pPr>
        <w:spacing w:line="240" w:lineRule="auto"/>
        <w:rPr>
          <w:b/>
        </w:rPr>
      </w:pPr>
      <w:r>
        <w:rPr>
          <w:b/>
        </w:rPr>
        <w:t>BEFORE THE</w:t>
      </w:r>
    </w:p>
    <w:p w14:paraId="416C0637" w14:textId="77777777" w:rsidR="00053A4A" w:rsidRDefault="00053A4A" w:rsidP="00053A4A">
      <w:pPr>
        <w:spacing w:line="240" w:lineRule="auto"/>
        <w:rPr>
          <w:b/>
        </w:rPr>
      </w:pPr>
      <w:r>
        <w:rPr>
          <w:b/>
        </w:rPr>
        <w:t>PENNSYLVANIA PUBLIC UTILITY COMMISSION</w:t>
      </w:r>
    </w:p>
    <w:p w14:paraId="68373050" w14:textId="77777777" w:rsidR="00053A4A" w:rsidRDefault="00053A4A" w:rsidP="00053A4A">
      <w:pPr>
        <w:spacing w:line="240" w:lineRule="auto"/>
        <w:rPr>
          <w:b/>
        </w:rPr>
      </w:pPr>
    </w:p>
    <w:p w14:paraId="28456014" w14:textId="77777777" w:rsidR="00053A4A" w:rsidRDefault="00053A4A" w:rsidP="00053A4A">
      <w:pPr>
        <w:spacing w:line="240" w:lineRule="auto"/>
        <w:rPr>
          <w:b/>
        </w:rPr>
      </w:pPr>
    </w:p>
    <w:p w14:paraId="0883B224" w14:textId="77777777" w:rsidR="00180787" w:rsidRDefault="00180787" w:rsidP="00053A4A">
      <w:pPr>
        <w:spacing w:line="240" w:lineRule="auto"/>
        <w:rPr>
          <w:b/>
        </w:rPr>
      </w:pPr>
    </w:p>
    <w:p w14:paraId="3F55BE82" w14:textId="3F92F2F3" w:rsidR="00053A4A" w:rsidRDefault="004632C0" w:rsidP="00053A4A">
      <w:pPr>
        <w:spacing w:line="240" w:lineRule="auto"/>
        <w:jc w:val="left"/>
      </w:pPr>
      <w:r w:rsidRPr="004632C0">
        <w:t>Fred DeIuliis</w:t>
      </w:r>
      <w:r w:rsidR="00053A4A">
        <w:t xml:space="preserve"> </w:t>
      </w:r>
      <w:r w:rsidR="00053A4A">
        <w:tab/>
      </w:r>
      <w:r w:rsidR="00053A4A">
        <w:tab/>
      </w:r>
      <w:r w:rsidR="00053A4A">
        <w:tab/>
      </w:r>
      <w:r>
        <w:tab/>
      </w:r>
      <w:r w:rsidR="00053A4A">
        <w:tab/>
      </w:r>
      <w:r w:rsidR="00053A4A">
        <w:tab/>
        <w:t>:</w:t>
      </w:r>
    </w:p>
    <w:p w14:paraId="577A5A3E" w14:textId="77777777" w:rsidR="00053A4A" w:rsidRDefault="00053A4A" w:rsidP="00053A4A">
      <w:pPr>
        <w:spacing w:line="240" w:lineRule="auto"/>
        <w:jc w:val="left"/>
      </w:pPr>
      <w:r>
        <w:tab/>
      </w:r>
      <w:r>
        <w:tab/>
      </w:r>
      <w:r>
        <w:tab/>
      </w:r>
      <w:r>
        <w:tab/>
      </w:r>
      <w:r>
        <w:tab/>
      </w:r>
      <w:r>
        <w:tab/>
      </w:r>
      <w:r>
        <w:tab/>
        <w:t>:</w:t>
      </w:r>
    </w:p>
    <w:p w14:paraId="0BE4CE46" w14:textId="5EC073A9" w:rsidR="00053A4A" w:rsidRDefault="00053A4A" w:rsidP="00053A4A">
      <w:pPr>
        <w:spacing w:line="240" w:lineRule="auto"/>
        <w:jc w:val="left"/>
      </w:pPr>
      <w:r>
        <w:tab/>
        <w:t>v.</w:t>
      </w:r>
      <w:r>
        <w:tab/>
      </w:r>
      <w:r>
        <w:tab/>
      </w:r>
      <w:r>
        <w:tab/>
      </w:r>
      <w:r>
        <w:tab/>
      </w:r>
      <w:r>
        <w:tab/>
      </w:r>
      <w:r>
        <w:tab/>
        <w:t>:</w:t>
      </w:r>
      <w:r>
        <w:tab/>
      </w:r>
      <w:r>
        <w:tab/>
      </w:r>
      <w:r w:rsidR="004632C0" w:rsidRPr="004632C0">
        <w:t>C-2021-3026386</w:t>
      </w:r>
    </w:p>
    <w:p w14:paraId="63CA0D6C" w14:textId="77777777" w:rsidR="00053A4A" w:rsidRDefault="00053A4A" w:rsidP="00053A4A">
      <w:pPr>
        <w:spacing w:line="240" w:lineRule="auto"/>
        <w:jc w:val="left"/>
      </w:pPr>
      <w:r>
        <w:tab/>
      </w:r>
      <w:r>
        <w:tab/>
      </w:r>
      <w:r>
        <w:tab/>
      </w:r>
      <w:r>
        <w:tab/>
      </w:r>
      <w:r>
        <w:tab/>
      </w:r>
      <w:r>
        <w:tab/>
      </w:r>
      <w:r>
        <w:tab/>
        <w:t>:</w:t>
      </w:r>
    </w:p>
    <w:p w14:paraId="5971D8B3" w14:textId="281B6F8B" w:rsidR="00053A4A" w:rsidRDefault="004632C0" w:rsidP="00053A4A">
      <w:pPr>
        <w:spacing w:line="240" w:lineRule="auto"/>
        <w:jc w:val="left"/>
      </w:pPr>
      <w:r w:rsidRPr="004632C0">
        <w:t>Duquesne Light Company</w:t>
      </w:r>
      <w:r w:rsidR="001578D4">
        <w:tab/>
      </w:r>
      <w:r w:rsidR="00053A4A">
        <w:tab/>
      </w:r>
      <w:r w:rsidR="00053A4A">
        <w:tab/>
      </w:r>
      <w:r w:rsidR="00053A4A">
        <w:tab/>
        <w:t>:</w:t>
      </w:r>
    </w:p>
    <w:p w14:paraId="7F933D84" w14:textId="77777777" w:rsidR="00053A4A" w:rsidRDefault="00053A4A" w:rsidP="00053A4A">
      <w:pPr>
        <w:spacing w:line="240" w:lineRule="auto"/>
        <w:jc w:val="left"/>
      </w:pPr>
    </w:p>
    <w:p w14:paraId="4EABDFC6" w14:textId="273A6607" w:rsidR="00053A4A" w:rsidRDefault="00053A4A" w:rsidP="00053A4A">
      <w:pPr>
        <w:spacing w:line="240" w:lineRule="auto"/>
        <w:jc w:val="left"/>
      </w:pPr>
    </w:p>
    <w:p w14:paraId="0668E267" w14:textId="77777777" w:rsidR="00BE4564" w:rsidRDefault="00BE4564" w:rsidP="00053A4A">
      <w:pPr>
        <w:spacing w:line="240" w:lineRule="auto"/>
        <w:jc w:val="left"/>
      </w:pPr>
    </w:p>
    <w:p w14:paraId="489CD3EE" w14:textId="77777777" w:rsidR="007F024F" w:rsidRDefault="00DA0D5C" w:rsidP="007F024F">
      <w:pPr>
        <w:spacing w:line="240" w:lineRule="auto"/>
        <w:rPr>
          <w:b/>
          <w:bCs/>
          <w:u w:val="single"/>
        </w:rPr>
      </w:pPr>
      <w:r w:rsidRPr="00DA0D5C">
        <w:rPr>
          <w:b/>
          <w:bCs/>
          <w:u w:val="single"/>
        </w:rPr>
        <w:t>ORDE</w:t>
      </w:r>
      <w:r w:rsidR="009E5747">
        <w:rPr>
          <w:b/>
          <w:bCs/>
          <w:u w:val="single"/>
        </w:rPr>
        <w:t xml:space="preserve">R REOPENING THE RECORD </w:t>
      </w:r>
    </w:p>
    <w:p w14:paraId="747705C6" w14:textId="314F41D2" w:rsidR="00CC1D7C" w:rsidRPr="00DA0D5C" w:rsidRDefault="009E5747" w:rsidP="007F024F">
      <w:pPr>
        <w:spacing w:line="240" w:lineRule="auto"/>
        <w:rPr>
          <w:b/>
          <w:bCs/>
          <w:u w:val="single"/>
        </w:rPr>
      </w:pPr>
      <w:r>
        <w:rPr>
          <w:b/>
          <w:bCs/>
          <w:u w:val="single"/>
        </w:rPr>
        <w:t>TO CORRECT PROCEDURAL ERROR</w:t>
      </w:r>
    </w:p>
    <w:p w14:paraId="5B4EFBE6" w14:textId="798F711C" w:rsidR="000B7724" w:rsidRDefault="000B7724" w:rsidP="00B7149A">
      <w:pPr>
        <w:jc w:val="left"/>
      </w:pPr>
    </w:p>
    <w:p w14:paraId="61308CE8" w14:textId="77777777" w:rsidR="00401729" w:rsidRDefault="008941FA" w:rsidP="008941FA">
      <w:pPr>
        <w:jc w:val="left"/>
      </w:pPr>
      <w:r>
        <w:tab/>
      </w:r>
      <w:r>
        <w:tab/>
      </w:r>
      <w:r w:rsidR="00401729">
        <w:t xml:space="preserve">This Order is issued pursuant to the Commission’s regulation at 52 Pa. Code </w:t>
      </w:r>
    </w:p>
    <w:p w14:paraId="779C9568" w14:textId="1E9A9B9E" w:rsidR="00401729" w:rsidRDefault="00401729" w:rsidP="008941FA">
      <w:pPr>
        <w:jc w:val="left"/>
      </w:pPr>
      <w:r w:rsidRPr="00401729">
        <w:t>§ 5.571</w:t>
      </w:r>
      <w:r>
        <w:t>(d)(1).</w:t>
      </w:r>
    </w:p>
    <w:p w14:paraId="5F0F9109" w14:textId="77777777" w:rsidR="00401729" w:rsidRDefault="00401729" w:rsidP="008941FA">
      <w:pPr>
        <w:jc w:val="left"/>
      </w:pPr>
    </w:p>
    <w:p w14:paraId="04BB273B" w14:textId="2E5B3757" w:rsidR="008941FA" w:rsidRDefault="00401729" w:rsidP="008941FA">
      <w:pPr>
        <w:jc w:val="left"/>
      </w:pPr>
      <w:r>
        <w:tab/>
      </w:r>
      <w:r>
        <w:tab/>
      </w:r>
      <w:r w:rsidR="008941FA">
        <w:t xml:space="preserve">On April 29, 2021, Fred DeIuliis (Complainant) filed a formal Complaint at this docket appealing a determination by the Commission’s BCS at Case No. 3779536.  The Complaint was filed against Duquesne Light Company (DLC).  </w:t>
      </w:r>
    </w:p>
    <w:p w14:paraId="1ADCA368" w14:textId="77777777" w:rsidR="008941FA" w:rsidRDefault="008941FA" w:rsidP="008941FA">
      <w:pPr>
        <w:jc w:val="left"/>
      </w:pPr>
    </w:p>
    <w:p w14:paraId="1D757D43" w14:textId="2EFFFB9B" w:rsidR="008941FA" w:rsidRDefault="008941FA" w:rsidP="008941FA">
      <w:pPr>
        <w:jc w:val="left"/>
      </w:pPr>
      <w:r>
        <w:tab/>
      </w:r>
      <w:r w:rsidR="00D53F97">
        <w:tab/>
      </w:r>
      <w:r>
        <w:t xml:space="preserve">On June 29, 2021, DLC filed an Answer to the Complaint denying any violation of the </w:t>
      </w:r>
      <w:r w:rsidR="00401729">
        <w:t xml:space="preserve">Public Utility </w:t>
      </w:r>
      <w:r>
        <w:t xml:space="preserve">Code </w:t>
      </w:r>
      <w:r w:rsidR="00D53F97">
        <w:t xml:space="preserve">(Code) </w:t>
      </w:r>
      <w:r>
        <w:t xml:space="preserve">or of the regulations of the Commission.  </w:t>
      </w:r>
    </w:p>
    <w:p w14:paraId="3F533AD2" w14:textId="77777777" w:rsidR="008941FA" w:rsidRDefault="008941FA" w:rsidP="008941FA">
      <w:pPr>
        <w:jc w:val="left"/>
      </w:pPr>
    </w:p>
    <w:p w14:paraId="77046F11" w14:textId="7CE2E394" w:rsidR="008941FA" w:rsidRDefault="008941FA" w:rsidP="008941FA">
      <w:pPr>
        <w:jc w:val="left"/>
      </w:pPr>
      <w:r>
        <w:tab/>
      </w:r>
      <w:r>
        <w:tab/>
        <w:t>Also on June 29, 2021, DLC filed Preliminary Objections to the Complaint seeking</w:t>
      </w:r>
      <w:r w:rsidR="00401729">
        <w:t xml:space="preserve">, in part, </w:t>
      </w:r>
      <w:r>
        <w:t xml:space="preserve">to dismiss the portion of the Complaint disputing the Company’s Customer Charge because the Customer Charge is permitted by the Company’s tariff, and does not constitute a violation of Code, regulations or orders of the Commission.  </w:t>
      </w:r>
    </w:p>
    <w:p w14:paraId="0025C4C8" w14:textId="77777777" w:rsidR="008941FA" w:rsidRDefault="008941FA" w:rsidP="008941FA">
      <w:pPr>
        <w:jc w:val="left"/>
      </w:pPr>
    </w:p>
    <w:p w14:paraId="43FAEBD2" w14:textId="77777777" w:rsidR="008941FA" w:rsidRDefault="008941FA" w:rsidP="008941FA">
      <w:pPr>
        <w:jc w:val="left"/>
      </w:pPr>
      <w:r>
        <w:tab/>
      </w:r>
      <w:r>
        <w:tab/>
        <w:t>The Preliminary Objections were duly served on Complainant, properly endorsed with a Notice to Plead.  Complainant did not file an Answer or any other responsive pleading to the Preliminary Objections.</w:t>
      </w:r>
    </w:p>
    <w:p w14:paraId="0C35B5DB" w14:textId="77777777" w:rsidR="008941FA" w:rsidRDefault="008941FA" w:rsidP="008941FA">
      <w:pPr>
        <w:jc w:val="left"/>
      </w:pPr>
    </w:p>
    <w:p w14:paraId="038E36E7" w14:textId="77777777" w:rsidR="008941FA" w:rsidRDefault="008941FA" w:rsidP="008941FA">
      <w:pPr>
        <w:jc w:val="left"/>
      </w:pPr>
      <w:r>
        <w:lastRenderedPageBreak/>
        <w:tab/>
      </w:r>
      <w:r>
        <w:tab/>
        <w:t>On August 12, 2021, the undersigned was assigned to resolve the Preliminary Objections filed by DLC.</w:t>
      </w:r>
    </w:p>
    <w:p w14:paraId="01DCF312" w14:textId="77777777" w:rsidR="008941FA" w:rsidRDefault="008941FA" w:rsidP="008941FA">
      <w:pPr>
        <w:jc w:val="left"/>
      </w:pPr>
    </w:p>
    <w:p w14:paraId="1465A107" w14:textId="77777777" w:rsidR="008941FA" w:rsidRDefault="008941FA" w:rsidP="008941FA">
      <w:pPr>
        <w:jc w:val="left"/>
      </w:pPr>
      <w:r>
        <w:t xml:space="preserve"> </w:t>
      </w:r>
      <w:r>
        <w:tab/>
      </w:r>
      <w:r>
        <w:tab/>
        <w:t>On August 20, 2021, an Order was issued sustaining in part and denying in part the Preliminary Objections so that Complainant’s contention about the unlawfulness of DLC billing him a customer charge was dismissed, but remaining quality of service issues were scheduled for an evidentiary hearing.</w:t>
      </w:r>
    </w:p>
    <w:p w14:paraId="19DF58D2" w14:textId="77777777" w:rsidR="008941FA" w:rsidRDefault="008941FA" w:rsidP="008941FA">
      <w:pPr>
        <w:jc w:val="left"/>
      </w:pPr>
    </w:p>
    <w:p w14:paraId="285F4183" w14:textId="77777777" w:rsidR="008941FA" w:rsidRDefault="008941FA" w:rsidP="008941FA">
      <w:pPr>
        <w:jc w:val="left"/>
      </w:pPr>
      <w:r>
        <w:tab/>
      </w:r>
      <w:r>
        <w:tab/>
        <w:t>On August 30, 2021, a hearing Notice was issued scheduling a telephonic evidentiary hearing for October 19, 2021.</w:t>
      </w:r>
    </w:p>
    <w:p w14:paraId="69611488" w14:textId="77777777" w:rsidR="008941FA" w:rsidRDefault="008941FA" w:rsidP="008941FA">
      <w:pPr>
        <w:jc w:val="left"/>
      </w:pPr>
    </w:p>
    <w:p w14:paraId="0EF32C6C" w14:textId="0FCBB8C9" w:rsidR="00DA0D5C" w:rsidRDefault="008941FA" w:rsidP="008941FA">
      <w:pPr>
        <w:jc w:val="left"/>
      </w:pPr>
      <w:r>
        <w:tab/>
      </w:r>
      <w:r>
        <w:tab/>
        <w:t xml:space="preserve">On October 19, 2021, a telephonic evidentiary hearing took place.  Complainant did not appear.  Emily M. Farah, Esquire, appeared on behalf of DLC.  After waiting for an interval, and as Complainant had still not appeared, Ms. Farah moved to dismiss the Complaint with prejudice </w:t>
      </w:r>
      <w:proofErr w:type="gramStart"/>
      <w:r>
        <w:t>on the basis of</w:t>
      </w:r>
      <w:proofErr w:type="gramEnd"/>
      <w:r>
        <w:t xml:space="preserve"> Complainant’s failure to prosecute.  I took the Motion under advisement and adjourned the hearing.  Complainant has not subsequently contacted </w:t>
      </w:r>
      <w:proofErr w:type="gramStart"/>
      <w:r>
        <w:t>myself</w:t>
      </w:r>
      <w:proofErr w:type="gramEnd"/>
      <w:r>
        <w:t xml:space="preserve"> o</w:t>
      </w:r>
      <w:r w:rsidR="00172D69">
        <w:t xml:space="preserve">r </w:t>
      </w:r>
      <w:r>
        <w:t>the Office of Administrative Law Judge (OALJ) to explain his absence or to request a new hearing.</w:t>
      </w:r>
    </w:p>
    <w:p w14:paraId="450B7987" w14:textId="64420C47" w:rsidR="008941FA" w:rsidRDefault="008941FA" w:rsidP="008941FA">
      <w:pPr>
        <w:jc w:val="left"/>
      </w:pPr>
    </w:p>
    <w:p w14:paraId="54DDF0A2" w14:textId="62602934" w:rsidR="008941FA" w:rsidRDefault="008941FA" w:rsidP="008941FA">
      <w:pPr>
        <w:jc w:val="left"/>
      </w:pPr>
      <w:r>
        <w:tab/>
      </w:r>
      <w:r>
        <w:tab/>
        <w:t xml:space="preserve">In preparing an Initial Decision, however, I noted that through some oversight, Complainant does not appear to have been </w:t>
      </w:r>
      <w:r w:rsidR="0007286C">
        <w:t xml:space="preserve">served with a Prehearing Order which provides additional notice of the hearing schedule in addition to other information.  Given that Complainant is proceeding </w:t>
      </w:r>
      <w:r w:rsidR="0007286C" w:rsidRPr="0007286C">
        <w:rPr>
          <w:i/>
          <w:iCs/>
        </w:rPr>
        <w:t>pro se</w:t>
      </w:r>
      <w:r w:rsidR="0007286C">
        <w:t xml:space="preserve"> (</w:t>
      </w:r>
      <w:proofErr w:type="gramStart"/>
      <w:r w:rsidR="0007286C">
        <w:t>i.e.</w:t>
      </w:r>
      <w:proofErr w:type="gramEnd"/>
      <w:r w:rsidR="0007286C">
        <w:t xml:space="preserve"> without counsel)</w:t>
      </w:r>
      <w:r w:rsidR="00172D69">
        <w:t>, this is, potentially, a significant problem.</w:t>
      </w:r>
      <w:r w:rsidR="009E5747">
        <w:t xml:space="preserve">  To correct this, </w:t>
      </w:r>
      <w:r w:rsidR="00401729">
        <w:t>I will reschedule an evidentiary hearing and issue the appropriate Prehearing Order.</w:t>
      </w:r>
      <w:r w:rsidR="00CC770B">
        <w:t xml:space="preserve">  </w:t>
      </w:r>
      <w:r w:rsidR="00CC770B" w:rsidRPr="00CC770B">
        <w:rPr>
          <w:u w:val="single"/>
        </w:rPr>
        <w:t xml:space="preserve">DLC does not have to refile its hearing exhibits </w:t>
      </w:r>
      <w:proofErr w:type="gramStart"/>
      <w:r w:rsidR="00CC770B" w:rsidRPr="00CC770B">
        <w:rPr>
          <w:u w:val="single"/>
        </w:rPr>
        <w:t>as a result of</w:t>
      </w:r>
      <w:proofErr w:type="gramEnd"/>
      <w:r w:rsidR="00CC770B" w:rsidRPr="00CC770B">
        <w:rPr>
          <w:u w:val="single"/>
        </w:rPr>
        <w:t xml:space="preserve"> this Order</w:t>
      </w:r>
      <w:r w:rsidR="00CC770B">
        <w:t>.</w:t>
      </w:r>
    </w:p>
    <w:p w14:paraId="1E19A707" w14:textId="59298A0A" w:rsidR="00CC770B" w:rsidRDefault="00CC770B" w:rsidP="008941FA">
      <w:pPr>
        <w:jc w:val="left"/>
      </w:pPr>
    </w:p>
    <w:p w14:paraId="29A17AF3" w14:textId="7F0C0BD1" w:rsidR="00CC770B" w:rsidRDefault="00CC770B" w:rsidP="008941FA">
      <w:pPr>
        <w:jc w:val="left"/>
      </w:pPr>
      <w:r>
        <w:tab/>
      </w:r>
      <w:r>
        <w:tab/>
      </w:r>
      <w:r w:rsidR="00D53F97">
        <w:t>However, g</w:t>
      </w:r>
      <w:r>
        <w:t xml:space="preserve">iven the fact that Complainant did have notice of the hearing of October 19, 2021, but did not appear, I </w:t>
      </w:r>
      <w:r w:rsidR="00D53F97">
        <w:t xml:space="preserve">also </w:t>
      </w:r>
      <w:r>
        <w:t xml:space="preserve">ask that he apprise myself and counsel for DLC whether he wishes to prosecute his Complaint at </w:t>
      </w:r>
      <w:r w:rsidR="00D53F97">
        <w:t xml:space="preserve">a telephonic evidentiary </w:t>
      </w:r>
      <w:r>
        <w:t>hearing.</w:t>
      </w:r>
      <w:r w:rsidR="00D53F97">
        <w:t xml:space="preserve">  I may be reached at </w:t>
      </w:r>
      <w:r w:rsidR="00D53F97" w:rsidRPr="00D53F97">
        <w:rPr>
          <w:b/>
          <w:bCs/>
        </w:rPr>
        <w:t>debuckley@pa.gov</w:t>
      </w:r>
      <w:r w:rsidR="00D53F97">
        <w:t>.</w:t>
      </w:r>
    </w:p>
    <w:p w14:paraId="4D8AF307" w14:textId="669A3087" w:rsidR="00CC770B" w:rsidRDefault="00CC770B" w:rsidP="008941FA">
      <w:pPr>
        <w:jc w:val="left"/>
      </w:pPr>
    </w:p>
    <w:p w14:paraId="444494D7" w14:textId="43AA3EE9" w:rsidR="00CC770B" w:rsidRDefault="00CC770B" w:rsidP="008941FA">
      <w:pPr>
        <w:jc w:val="left"/>
      </w:pPr>
      <w:r>
        <w:lastRenderedPageBreak/>
        <w:tab/>
      </w:r>
      <w:r>
        <w:tab/>
        <w:t>THEREFORE,</w:t>
      </w:r>
    </w:p>
    <w:p w14:paraId="753C4709" w14:textId="247E0EAB" w:rsidR="00CC770B" w:rsidRDefault="00CC770B" w:rsidP="008941FA">
      <w:pPr>
        <w:jc w:val="left"/>
      </w:pPr>
    </w:p>
    <w:p w14:paraId="13058D44" w14:textId="5DDD4DD2" w:rsidR="00CC770B" w:rsidRDefault="00CC770B" w:rsidP="008941FA">
      <w:pPr>
        <w:jc w:val="left"/>
      </w:pPr>
      <w:r>
        <w:tab/>
      </w:r>
      <w:r>
        <w:tab/>
        <w:t>IT IS ORDERED:</w:t>
      </w:r>
    </w:p>
    <w:p w14:paraId="0DFF6129" w14:textId="193F1CA4" w:rsidR="00CC770B" w:rsidRDefault="00CC770B" w:rsidP="008941FA">
      <w:pPr>
        <w:jc w:val="left"/>
      </w:pPr>
    </w:p>
    <w:p w14:paraId="253A82A4" w14:textId="38E688F2" w:rsidR="00CC770B" w:rsidRDefault="00CC770B" w:rsidP="008941FA">
      <w:pPr>
        <w:jc w:val="left"/>
      </w:pPr>
      <w:r>
        <w:tab/>
      </w:r>
      <w:r>
        <w:tab/>
        <w:t>1.</w:t>
      </w:r>
      <w:r>
        <w:tab/>
        <w:t>That the record in this matter is reopened.</w:t>
      </w:r>
    </w:p>
    <w:p w14:paraId="7F208A65" w14:textId="1E6A46C5" w:rsidR="00CC770B" w:rsidRDefault="00CC770B" w:rsidP="008941FA">
      <w:pPr>
        <w:jc w:val="left"/>
      </w:pPr>
    </w:p>
    <w:p w14:paraId="6E29B3A1" w14:textId="4F1D29CE" w:rsidR="00CC770B" w:rsidRDefault="00CC770B" w:rsidP="008941FA">
      <w:pPr>
        <w:jc w:val="left"/>
      </w:pPr>
      <w:r>
        <w:tab/>
      </w:r>
      <w:r>
        <w:tab/>
        <w:t>2.</w:t>
      </w:r>
      <w:r>
        <w:tab/>
      </w:r>
      <w:r w:rsidR="00E16AC6">
        <w:t>That Complainant advise me and counsel for DLC as soon as possible whether he still wishes to prosecute his Complaint at a telephonic evidentiary hearing.</w:t>
      </w:r>
    </w:p>
    <w:p w14:paraId="2CD9B44E" w14:textId="36E6E077" w:rsidR="00E16AC6" w:rsidRDefault="00E16AC6" w:rsidP="008941FA">
      <w:pPr>
        <w:jc w:val="left"/>
      </w:pPr>
    </w:p>
    <w:p w14:paraId="523DFDAF" w14:textId="5EB1413A" w:rsidR="00E16AC6" w:rsidRDefault="00E16AC6" w:rsidP="008941FA">
      <w:pPr>
        <w:jc w:val="left"/>
      </w:pPr>
      <w:r>
        <w:tab/>
      </w:r>
      <w:r>
        <w:tab/>
        <w:t>3.</w:t>
      </w:r>
      <w:r>
        <w:tab/>
        <w:t>That the evidentiary hearing in this matter be rescheduled.</w:t>
      </w:r>
    </w:p>
    <w:p w14:paraId="19989AB0" w14:textId="0E730CE9" w:rsidR="00172D69" w:rsidRDefault="00172D69" w:rsidP="008941FA">
      <w:pPr>
        <w:jc w:val="left"/>
      </w:pPr>
    </w:p>
    <w:p w14:paraId="490E741F" w14:textId="77777777" w:rsidR="00DA0D5C" w:rsidRDefault="00DA0D5C" w:rsidP="00B7149A">
      <w:pPr>
        <w:jc w:val="left"/>
      </w:pPr>
    </w:p>
    <w:p w14:paraId="6AE67D8B" w14:textId="045FC2B7" w:rsidR="00B7149A" w:rsidRPr="000B7724" w:rsidRDefault="00B7149A" w:rsidP="00B7149A">
      <w:pPr>
        <w:spacing w:line="240" w:lineRule="auto"/>
        <w:contextualSpacing/>
        <w:jc w:val="left"/>
      </w:pPr>
      <w:r>
        <w:t>Dated:</w:t>
      </w:r>
      <w:r>
        <w:tab/>
      </w:r>
      <w:r w:rsidR="00DA0D5C">
        <w:rPr>
          <w:color w:val="000000" w:themeColor="text1"/>
          <w:u w:val="single"/>
        </w:rPr>
        <w:t>January 6</w:t>
      </w:r>
      <w:r w:rsidR="00397CCB">
        <w:rPr>
          <w:color w:val="000000" w:themeColor="text1"/>
          <w:u w:val="single"/>
        </w:rPr>
        <w:t>, 20</w:t>
      </w:r>
      <w:r w:rsidR="006E722A">
        <w:rPr>
          <w:color w:val="000000" w:themeColor="text1"/>
          <w:u w:val="single"/>
        </w:rPr>
        <w:t>2</w:t>
      </w:r>
      <w:r w:rsidR="00DA0D5C">
        <w:rPr>
          <w:color w:val="000000" w:themeColor="text1"/>
          <w:u w:val="single"/>
        </w:rPr>
        <w:t>2</w:t>
      </w:r>
      <w:r w:rsidRPr="007C12D9">
        <w:tab/>
      </w:r>
      <w:r w:rsidR="006E722A">
        <w:tab/>
      </w:r>
      <w:r w:rsidRPr="007C12D9">
        <w:tab/>
      </w:r>
      <w:r w:rsidRPr="007C12D9">
        <w:tab/>
      </w:r>
      <w:r w:rsidRPr="000B7724">
        <w:rPr>
          <w:u w:val="single"/>
        </w:rPr>
        <w:t>____</w:t>
      </w:r>
      <w:r w:rsidR="000B7724" w:rsidRPr="000B7724">
        <w:rPr>
          <w:u w:val="single"/>
        </w:rPr>
        <w:tab/>
      </w:r>
      <w:r w:rsidRPr="000B7724">
        <w:rPr>
          <w:u w:val="single"/>
        </w:rPr>
        <w:t>/s/__________________________</w:t>
      </w:r>
    </w:p>
    <w:p w14:paraId="276B3336" w14:textId="77777777" w:rsidR="00B7149A" w:rsidRPr="000B7724" w:rsidRDefault="00B7149A" w:rsidP="00B7149A">
      <w:pPr>
        <w:spacing w:line="240" w:lineRule="auto"/>
        <w:contextualSpacing/>
        <w:jc w:val="left"/>
      </w:pPr>
      <w:r w:rsidRPr="000B7724">
        <w:tab/>
      </w:r>
      <w:r w:rsidRPr="000B7724">
        <w:tab/>
      </w:r>
      <w:r w:rsidRPr="000B7724">
        <w:tab/>
      </w:r>
      <w:r w:rsidRPr="000B7724">
        <w:tab/>
      </w:r>
      <w:r w:rsidRPr="000B7724">
        <w:tab/>
      </w:r>
      <w:r w:rsidRPr="000B7724">
        <w:tab/>
      </w:r>
      <w:r w:rsidRPr="000B7724">
        <w:tab/>
      </w:r>
      <w:r w:rsidR="00397CCB" w:rsidRPr="000B7724">
        <w:t>Dennis J. Buckley</w:t>
      </w:r>
    </w:p>
    <w:p w14:paraId="2EA31C99" w14:textId="65BC7431" w:rsidR="00B7149A" w:rsidRDefault="00B7149A" w:rsidP="00B32BE2">
      <w:pPr>
        <w:spacing w:line="240" w:lineRule="auto"/>
        <w:contextualSpacing/>
        <w:jc w:val="left"/>
      </w:pPr>
      <w:r w:rsidRPr="000B7724">
        <w:tab/>
      </w:r>
      <w:r w:rsidRPr="000B7724">
        <w:tab/>
      </w:r>
      <w:r w:rsidRPr="000B7724">
        <w:tab/>
      </w:r>
      <w:r w:rsidRPr="000B7724">
        <w:tab/>
      </w:r>
      <w:r w:rsidRPr="000B7724">
        <w:tab/>
      </w:r>
      <w:r w:rsidRPr="000B7724">
        <w:tab/>
      </w:r>
      <w:r w:rsidRPr="000B7724">
        <w:tab/>
        <w:t>Administrative Law Judge</w:t>
      </w:r>
    </w:p>
    <w:p w14:paraId="173D4E5A" w14:textId="77777777" w:rsidR="00E401C3" w:rsidRDefault="00E401C3" w:rsidP="00B32BE2">
      <w:pPr>
        <w:spacing w:line="240" w:lineRule="auto"/>
        <w:contextualSpacing/>
        <w:jc w:val="left"/>
        <w:sectPr w:rsidR="00E401C3" w:rsidSect="00B7149A">
          <w:footerReference w:type="default" r:id="rId7"/>
          <w:pgSz w:w="12240" w:h="15840"/>
          <w:pgMar w:top="1440" w:right="1440" w:bottom="1440" w:left="1440" w:header="720" w:footer="720" w:gutter="0"/>
          <w:cols w:space="720"/>
          <w:titlePg/>
          <w:docGrid w:linePitch="360"/>
        </w:sectPr>
      </w:pPr>
    </w:p>
    <w:p w14:paraId="3808BE77" w14:textId="37C38210" w:rsidR="00E401C3" w:rsidRDefault="00E401C3" w:rsidP="00E401C3">
      <w:pPr>
        <w:spacing w:line="240" w:lineRule="auto"/>
        <w:jc w:val="left"/>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C-2021-3026386 - FRED DEIU</w:t>
      </w:r>
      <w:r w:rsidR="00E16AC6">
        <w:rPr>
          <w:rFonts w:ascii="Microsoft Sans Serif" w:eastAsia="Microsoft Sans Serif" w:hAnsi="Microsoft Sans Serif" w:cs="Microsoft Sans Serif"/>
          <w:b/>
          <w:u w:val="single"/>
        </w:rPr>
        <w:t>LII</w:t>
      </w:r>
      <w:r>
        <w:rPr>
          <w:rFonts w:ascii="Microsoft Sans Serif" w:eastAsia="Microsoft Sans Serif" w:hAnsi="Microsoft Sans Serif" w:cs="Microsoft Sans Serif"/>
          <w:b/>
          <w:u w:val="single"/>
        </w:rPr>
        <w:t>S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FRED DEIULIIS</w:t>
      </w:r>
      <w:r>
        <w:rPr>
          <w:rFonts w:ascii="Microsoft Sans Serif" w:eastAsia="Microsoft Sans Serif" w:hAnsi="Microsoft Sans Serif" w:cs="Microsoft Sans Serif"/>
        </w:rPr>
        <w:cr/>
        <w:t>3605 DAWSON STREET</w:t>
      </w:r>
      <w:r>
        <w:rPr>
          <w:rFonts w:ascii="Microsoft Sans Serif" w:eastAsia="Microsoft Sans Serif" w:hAnsi="Microsoft Sans Serif" w:cs="Microsoft Sans Serif"/>
        </w:rPr>
        <w:cr/>
        <w:t>PITTSBURGH PA  15213</w:t>
      </w:r>
      <w:r>
        <w:rPr>
          <w:rFonts w:ascii="Microsoft Sans Serif" w:eastAsia="Microsoft Sans Serif" w:hAnsi="Microsoft Sans Serif" w:cs="Microsoft Sans Serif"/>
        </w:rPr>
        <w:cr/>
      </w:r>
      <w:r w:rsidRPr="00DD6B32">
        <w:rPr>
          <w:rFonts w:ascii="Microsoft Sans Serif" w:eastAsia="Microsoft Sans Serif" w:hAnsi="Microsoft Sans Serif" w:cs="Microsoft Sans Serif"/>
          <w:b/>
          <w:bCs/>
        </w:rPr>
        <w:t>412.683.4438</w:t>
      </w:r>
      <w:r w:rsidRPr="00DD6B32">
        <w:rPr>
          <w:rFonts w:ascii="Microsoft Sans Serif" w:eastAsia="Microsoft Sans Serif" w:hAnsi="Microsoft Sans Serif" w:cs="Microsoft Sans Serif"/>
          <w:b/>
          <w:bCs/>
        </w:rPr>
        <w:cr/>
      </w:r>
      <w:r>
        <w:rPr>
          <w:rFonts w:ascii="Microsoft Sans Serif" w:eastAsia="Microsoft Sans Serif" w:hAnsi="Microsoft Sans Serif" w:cs="Microsoft Sans Serif"/>
        </w:rPr>
        <w:t>JOSEPHDEIULIIS@COMCAST.NET</w:t>
      </w:r>
      <w:r>
        <w:rPr>
          <w:rFonts w:ascii="Microsoft Sans Serif" w:eastAsia="Microsoft Sans Serif" w:hAnsi="Microsoft Sans Serif" w:cs="Microsoft Sans Serif"/>
        </w:rPr>
        <w:cr/>
      </w:r>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DD6B32">
        <w:rPr>
          <w:rFonts w:ascii="Microsoft Sans Serif" w:eastAsia="Microsoft Sans Serif" w:hAnsi="Microsoft Sans Serif" w:cs="Microsoft Sans Serif"/>
          <w:b/>
          <w:bCs/>
        </w:rPr>
        <w:t>412.393.6431</w:t>
      </w:r>
      <w:r w:rsidRPr="00DD6B32">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53C123A5" w14:textId="2BD466B6" w:rsidR="007F024F" w:rsidRDefault="007F024F" w:rsidP="00E401C3">
      <w:pPr>
        <w:spacing w:line="240" w:lineRule="auto"/>
        <w:jc w:val="left"/>
        <w:rPr>
          <w:rFonts w:ascii="Microsoft Sans Serif" w:eastAsia="Microsoft Sans Serif" w:hAnsi="Microsoft Sans Serif" w:cs="Microsoft Sans Serif"/>
        </w:rPr>
      </w:pPr>
      <w:r>
        <w:rPr>
          <w:rFonts w:ascii="Microsoft Sans Serif" w:eastAsia="Microsoft Sans Serif" w:hAnsi="Microsoft Sans Serif" w:cs="Microsoft Sans Serif"/>
        </w:rPr>
        <w:t>EFARAH@DUQLIGHT.COM</w:t>
      </w:r>
    </w:p>
    <w:p w14:paraId="427F9DEB" w14:textId="77777777" w:rsidR="00E401C3" w:rsidRDefault="00E401C3" w:rsidP="00E401C3">
      <w:pPr>
        <w:spacing w:line="240" w:lineRule="auto"/>
        <w:jc w:val="left"/>
      </w:pPr>
    </w:p>
    <w:p w14:paraId="09C269CD" w14:textId="71FD233A" w:rsidR="00E401C3" w:rsidRPr="000B7724" w:rsidRDefault="00E401C3" w:rsidP="00E401C3">
      <w:pPr>
        <w:spacing w:line="240" w:lineRule="auto"/>
        <w:contextualSpacing/>
        <w:jc w:val="both"/>
      </w:pPr>
    </w:p>
    <w:sectPr w:rsidR="00E401C3" w:rsidRPr="000B77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AFCD" w14:textId="77777777" w:rsidR="00D04E08" w:rsidRDefault="00D04E08" w:rsidP="00B7149A">
      <w:pPr>
        <w:spacing w:line="240" w:lineRule="auto"/>
      </w:pPr>
      <w:r>
        <w:separator/>
      </w:r>
    </w:p>
  </w:endnote>
  <w:endnote w:type="continuationSeparator" w:id="0">
    <w:p w14:paraId="7392FC42" w14:textId="77777777" w:rsidR="00D04E08" w:rsidRDefault="00D04E08" w:rsidP="00B71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260967"/>
      <w:docPartObj>
        <w:docPartGallery w:val="Page Numbers (Bottom of Page)"/>
        <w:docPartUnique/>
      </w:docPartObj>
    </w:sdtPr>
    <w:sdtEndPr>
      <w:rPr>
        <w:noProof/>
      </w:rPr>
    </w:sdtEndPr>
    <w:sdtContent>
      <w:p w14:paraId="1773668D" w14:textId="77777777" w:rsidR="00B7149A" w:rsidRDefault="00B7149A">
        <w:pPr>
          <w:pStyle w:val="Footer"/>
        </w:pPr>
        <w:r w:rsidRPr="00180787">
          <w:rPr>
            <w:sz w:val="20"/>
            <w:szCs w:val="20"/>
          </w:rPr>
          <w:fldChar w:fldCharType="begin"/>
        </w:r>
        <w:r w:rsidRPr="00180787">
          <w:rPr>
            <w:sz w:val="20"/>
            <w:szCs w:val="20"/>
          </w:rPr>
          <w:instrText xml:space="preserve"> PAGE   \* MERGEFORMAT </w:instrText>
        </w:r>
        <w:r w:rsidRPr="00180787">
          <w:rPr>
            <w:sz w:val="20"/>
            <w:szCs w:val="20"/>
          </w:rPr>
          <w:fldChar w:fldCharType="separate"/>
        </w:r>
        <w:r w:rsidR="00A715B0">
          <w:rPr>
            <w:noProof/>
            <w:sz w:val="20"/>
            <w:szCs w:val="20"/>
          </w:rPr>
          <w:t>8</w:t>
        </w:r>
        <w:r w:rsidRPr="0018078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BA5C" w14:textId="4A236482" w:rsidR="00E401C3" w:rsidRDefault="00E40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D7A99" w14:textId="77777777" w:rsidR="00D04E08" w:rsidRDefault="00D04E08" w:rsidP="00E401C3">
      <w:pPr>
        <w:spacing w:line="240" w:lineRule="auto"/>
        <w:jc w:val="both"/>
      </w:pPr>
      <w:r>
        <w:separator/>
      </w:r>
    </w:p>
  </w:footnote>
  <w:footnote w:type="continuationSeparator" w:id="0">
    <w:p w14:paraId="0FB80876" w14:textId="77777777" w:rsidR="00D04E08" w:rsidRDefault="00D04E08" w:rsidP="00B7149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A4A"/>
    <w:rsid w:val="00001E3A"/>
    <w:rsid w:val="00001EF6"/>
    <w:rsid w:val="000028EA"/>
    <w:rsid w:val="00003D11"/>
    <w:rsid w:val="00004AA3"/>
    <w:rsid w:val="00005558"/>
    <w:rsid w:val="000079FE"/>
    <w:rsid w:val="00012104"/>
    <w:rsid w:val="00012655"/>
    <w:rsid w:val="0001305A"/>
    <w:rsid w:val="00014634"/>
    <w:rsid w:val="00016E55"/>
    <w:rsid w:val="0002023D"/>
    <w:rsid w:val="00020760"/>
    <w:rsid w:val="0002105C"/>
    <w:rsid w:val="0002110E"/>
    <w:rsid w:val="00022B3F"/>
    <w:rsid w:val="00025D7A"/>
    <w:rsid w:val="000304BF"/>
    <w:rsid w:val="00032379"/>
    <w:rsid w:val="0003306B"/>
    <w:rsid w:val="00033303"/>
    <w:rsid w:val="000338CD"/>
    <w:rsid w:val="00033944"/>
    <w:rsid w:val="00035BB8"/>
    <w:rsid w:val="000372C5"/>
    <w:rsid w:val="00037484"/>
    <w:rsid w:val="000377F5"/>
    <w:rsid w:val="00037E0F"/>
    <w:rsid w:val="00040EB6"/>
    <w:rsid w:val="00044B8B"/>
    <w:rsid w:val="00044FC0"/>
    <w:rsid w:val="0004643F"/>
    <w:rsid w:val="000466BF"/>
    <w:rsid w:val="00046714"/>
    <w:rsid w:val="00046940"/>
    <w:rsid w:val="00046D8D"/>
    <w:rsid w:val="000478E2"/>
    <w:rsid w:val="00053A4A"/>
    <w:rsid w:val="000541C0"/>
    <w:rsid w:val="0005423F"/>
    <w:rsid w:val="00055078"/>
    <w:rsid w:val="00055CC5"/>
    <w:rsid w:val="000576ED"/>
    <w:rsid w:val="000605B6"/>
    <w:rsid w:val="00061278"/>
    <w:rsid w:val="000634EB"/>
    <w:rsid w:val="00063801"/>
    <w:rsid w:val="00065F34"/>
    <w:rsid w:val="0006752D"/>
    <w:rsid w:val="000676B2"/>
    <w:rsid w:val="00067CBC"/>
    <w:rsid w:val="00070AA1"/>
    <w:rsid w:val="00071A36"/>
    <w:rsid w:val="00072595"/>
    <w:rsid w:val="0007286C"/>
    <w:rsid w:val="00072D46"/>
    <w:rsid w:val="00073BE1"/>
    <w:rsid w:val="00074065"/>
    <w:rsid w:val="00076092"/>
    <w:rsid w:val="000779CB"/>
    <w:rsid w:val="0008059D"/>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47D"/>
    <w:rsid w:val="000A4551"/>
    <w:rsid w:val="000A4E7A"/>
    <w:rsid w:val="000A5DEA"/>
    <w:rsid w:val="000A652E"/>
    <w:rsid w:val="000A770B"/>
    <w:rsid w:val="000B1BFC"/>
    <w:rsid w:val="000B2D0C"/>
    <w:rsid w:val="000B339A"/>
    <w:rsid w:val="000B7111"/>
    <w:rsid w:val="000B7724"/>
    <w:rsid w:val="000C0311"/>
    <w:rsid w:val="000C2090"/>
    <w:rsid w:val="000C2696"/>
    <w:rsid w:val="000C2A2B"/>
    <w:rsid w:val="000C34F3"/>
    <w:rsid w:val="000C4163"/>
    <w:rsid w:val="000C5976"/>
    <w:rsid w:val="000C6B6E"/>
    <w:rsid w:val="000C6EF0"/>
    <w:rsid w:val="000C7A4F"/>
    <w:rsid w:val="000D29BA"/>
    <w:rsid w:val="000D3E49"/>
    <w:rsid w:val="000D5763"/>
    <w:rsid w:val="000E28D6"/>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8D4"/>
    <w:rsid w:val="00157E46"/>
    <w:rsid w:val="001627EF"/>
    <w:rsid w:val="00162A12"/>
    <w:rsid w:val="00162D2F"/>
    <w:rsid w:val="0016332A"/>
    <w:rsid w:val="0016435F"/>
    <w:rsid w:val="0016521D"/>
    <w:rsid w:val="00165754"/>
    <w:rsid w:val="001658B2"/>
    <w:rsid w:val="00170FE6"/>
    <w:rsid w:val="00171416"/>
    <w:rsid w:val="00172857"/>
    <w:rsid w:val="00172B0B"/>
    <w:rsid w:val="00172D69"/>
    <w:rsid w:val="00172E8C"/>
    <w:rsid w:val="00173570"/>
    <w:rsid w:val="00173C70"/>
    <w:rsid w:val="00174F7E"/>
    <w:rsid w:val="0017580D"/>
    <w:rsid w:val="00175F76"/>
    <w:rsid w:val="00176C44"/>
    <w:rsid w:val="00180787"/>
    <w:rsid w:val="00181AB1"/>
    <w:rsid w:val="00183A14"/>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1EA5"/>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694D"/>
    <w:rsid w:val="001E76FD"/>
    <w:rsid w:val="001E79A7"/>
    <w:rsid w:val="001F0835"/>
    <w:rsid w:val="001F09A7"/>
    <w:rsid w:val="001F1049"/>
    <w:rsid w:val="001F1139"/>
    <w:rsid w:val="001F30FE"/>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4A"/>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5B2"/>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0E1D"/>
    <w:rsid w:val="002A1522"/>
    <w:rsid w:val="002A17F4"/>
    <w:rsid w:val="002A4E7E"/>
    <w:rsid w:val="002A5F4D"/>
    <w:rsid w:val="002A70E9"/>
    <w:rsid w:val="002A7A0A"/>
    <w:rsid w:val="002B0D61"/>
    <w:rsid w:val="002B2AF4"/>
    <w:rsid w:val="002B3170"/>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E7E19"/>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9AE"/>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2A1"/>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66A1"/>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97CCB"/>
    <w:rsid w:val="003A0B9C"/>
    <w:rsid w:val="003A0E5A"/>
    <w:rsid w:val="003A0F8D"/>
    <w:rsid w:val="003A5E83"/>
    <w:rsid w:val="003A645E"/>
    <w:rsid w:val="003A6A5F"/>
    <w:rsid w:val="003A7581"/>
    <w:rsid w:val="003B2E77"/>
    <w:rsid w:val="003B3FDD"/>
    <w:rsid w:val="003B4D40"/>
    <w:rsid w:val="003B5D19"/>
    <w:rsid w:val="003B5F50"/>
    <w:rsid w:val="003B610B"/>
    <w:rsid w:val="003C34F1"/>
    <w:rsid w:val="003C47E8"/>
    <w:rsid w:val="003C5102"/>
    <w:rsid w:val="003C5586"/>
    <w:rsid w:val="003C610C"/>
    <w:rsid w:val="003C6962"/>
    <w:rsid w:val="003C6F65"/>
    <w:rsid w:val="003D1F46"/>
    <w:rsid w:val="003D41CF"/>
    <w:rsid w:val="003D5045"/>
    <w:rsid w:val="003D7962"/>
    <w:rsid w:val="003E1442"/>
    <w:rsid w:val="003E2B14"/>
    <w:rsid w:val="003E2FDE"/>
    <w:rsid w:val="003E447A"/>
    <w:rsid w:val="003E5240"/>
    <w:rsid w:val="003E7E85"/>
    <w:rsid w:val="003F01A7"/>
    <w:rsid w:val="003F02E3"/>
    <w:rsid w:val="003F2E62"/>
    <w:rsid w:val="003F3925"/>
    <w:rsid w:val="003F425B"/>
    <w:rsid w:val="00401386"/>
    <w:rsid w:val="00401729"/>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739"/>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2C0"/>
    <w:rsid w:val="00464B18"/>
    <w:rsid w:val="00465D71"/>
    <w:rsid w:val="00466D15"/>
    <w:rsid w:val="0047070D"/>
    <w:rsid w:val="00477A71"/>
    <w:rsid w:val="00480F9A"/>
    <w:rsid w:val="00481269"/>
    <w:rsid w:val="004839FC"/>
    <w:rsid w:val="00483C70"/>
    <w:rsid w:val="00484589"/>
    <w:rsid w:val="00484B88"/>
    <w:rsid w:val="00484BCE"/>
    <w:rsid w:val="00487E8F"/>
    <w:rsid w:val="00491F39"/>
    <w:rsid w:val="00492E2C"/>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0F55"/>
    <w:rsid w:val="004D14F0"/>
    <w:rsid w:val="004D1505"/>
    <w:rsid w:val="004D17DF"/>
    <w:rsid w:val="004D190C"/>
    <w:rsid w:val="004D38F8"/>
    <w:rsid w:val="004D4A68"/>
    <w:rsid w:val="004D5646"/>
    <w:rsid w:val="004D6D13"/>
    <w:rsid w:val="004D6DCE"/>
    <w:rsid w:val="004D7CC2"/>
    <w:rsid w:val="004E1B61"/>
    <w:rsid w:val="004E1FD5"/>
    <w:rsid w:val="004E23ED"/>
    <w:rsid w:val="004E429F"/>
    <w:rsid w:val="004E60E4"/>
    <w:rsid w:val="004F160A"/>
    <w:rsid w:val="004F2F62"/>
    <w:rsid w:val="004F37CB"/>
    <w:rsid w:val="004F45CA"/>
    <w:rsid w:val="004F5216"/>
    <w:rsid w:val="004F616B"/>
    <w:rsid w:val="004F64E4"/>
    <w:rsid w:val="004F6813"/>
    <w:rsid w:val="00500A53"/>
    <w:rsid w:val="00503634"/>
    <w:rsid w:val="00504F92"/>
    <w:rsid w:val="00505551"/>
    <w:rsid w:val="005078B3"/>
    <w:rsid w:val="00510A28"/>
    <w:rsid w:val="00511C54"/>
    <w:rsid w:val="0051292E"/>
    <w:rsid w:val="00512BD2"/>
    <w:rsid w:val="00516207"/>
    <w:rsid w:val="00516360"/>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564"/>
    <w:rsid w:val="00541C1D"/>
    <w:rsid w:val="005449AC"/>
    <w:rsid w:val="00544A16"/>
    <w:rsid w:val="005472EC"/>
    <w:rsid w:val="00547C82"/>
    <w:rsid w:val="0055122B"/>
    <w:rsid w:val="00552915"/>
    <w:rsid w:val="005534BD"/>
    <w:rsid w:val="005555C0"/>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A7DD7"/>
    <w:rsid w:val="005B3D45"/>
    <w:rsid w:val="005B78C4"/>
    <w:rsid w:val="005C373B"/>
    <w:rsid w:val="005C3DD2"/>
    <w:rsid w:val="005C4AAA"/>
    <w:rsid w:val="005C610A"/>
    <w:rsid w:val="005D1442"/>
    <w:rsid w:val="005D1922"/>
    <w:rsid w:val="005D2788"/>
    <w:rsid w:val="005D4281"/>
    <w:rsid w:val="005D4AB3"/>
    <w:rsid w:val="005D6E32"/>
    <w:rsid w:val="005D6FAE"/>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347A"/>
    <w:rsid w:val="00664A57"/>
    <w:rsid w:val="00664C73"/>
    <w:rsid w:val="00671583"/>
    <w:rsid w:val="00671999"/>
    <w:rsid w:val="006764EA"/>
    <w:rsid w:val="00677DDE"/>
    <w:rsid w:val="00680B65"/>
    <w:rsid w:val="00681287"/>
    <w:rsid w:val="006815A6"/>
    <w:rsid w:val="00681D11"/>
    <w:rsid w:val="00681FD9"/>
    <w:rsid w:val="0068285E"/>
    <w:rsid w:val="00684EF6"/>
    <w:rsid w:val="006856E2"/>
    <w:rsid w:val="00690E46"/>
    <w:rsid w:val="00693743"/>
    <w:rsid w:val="00693995"/>
    <w:rsid w:val="00693C61"/>
    <w:rsid w:val="00695397"/>
    <w:rsid w:val="0069562F"/>
    <w:rsid w:val="006A1212"/>
    <w:rsid w:val="006A177A"/>
    <w:rsid w:val="006A1A5D"/>
    <w:rsid w:val="006A3267"/>
    <w:rsid w:val="006A3E98"/>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32D"/>
    <w:rsid w:val="006E1753"/>
    <w:rsid w:val="006E3BF0"/>
    <w:rsid w:val="006E4E29"/>
    <w:rsid w:val="006E5D2E"/>
    <w:rsid w:val="006E670A"/>
    <w:rsid w:val="006E722A"/>
    <w:rsid w:val="006E7C63"/>
    <w:rsid w:val="006E7F54"/>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6C6D"/>
    <w:rsid w:val="0074239D"/>
    <w:rsid w:val="00742CE1"/>
    <w:rsid w:val="0074372C"/>
    <w:rsid w:val="00744C7C"/>
    <w:rsid w:val="00745862"/>
    <w:rsid w:val="00746657"/>
    <w:rsid w:val="0074687F"/>
    <w:rsid w:val="00746973"/>
    <w:rsid w:val="00747C4D"/>
    <w:rsid w:val="00751055"/>
    <w:rsid w:val="007517A4"/>
    <w:rsid w:val="00752C54"/>
    <w:rsid w:val="0075585E"/>
    <w:rsid w:val="00755A77"/>
    <w:rsid w:val="007571F4"/>
    <w:rsid w:val="007631D1"/>
    <w:rsid w:val="007635AC"/>
    <w:rsid w:val="00764D4F"/>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1D"/>
    <w:rsid w:val="007B33F8"/>
    <w:rsid w:val="007B3B6F"/>
    <w:rsid w:val="007B3F3D"/>
    <w:rsid w:val="007B413B"/>
    <w:rsid w:val="007B4C88"/>
    <w:rsid w:val="007B4FD7"/>
    <w:rsid w:val="007B5461"/>
    <w:rsid w:val="007B6474"/>
    <w:rsid w:val="007B7F0F"/>
    <w:rsid w:val="007C19EC"/>
    <w:rsid w:val="007C342D"/>
    <w:rsid w:val="007C3C7F"/>
    <w:rsid w:val="007C43EF"/>
    <w:rsid w:val="007C51EB"/>
    <w:rsid w:val="007C60E2"/>
    <w:rsid w:val="007C7435"/>
    <w:rsid w:val="007D158A"/>
    <w:rsid w:val="007D5B1C"/>
    <w:rsid w:val="007D6D87"/>
    <w:rsid w:val="007D6FD6"/>
    <w:rsid w:val="007E0ADA"/>
    <w:rsid w:val="007E15CF"/>
    <w:rsid w:val="007E1DB4"/>
    <w:rsid w:val="007E5866"/>
    <w:rsid w:val="007F024F"/>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41FA"/>
    <w:rsid w:val="0089667B"/>
    <w:rsid w:val="0089728F"/>
    <w:rsid w:val="008A0874"/>
    <w:rsid w:val="008A0FF6"/>
    <w:rsid w:val="008A28F5"/>
    <w:rsid w:val="008A51AD"/>
    <w:rsid w:val="008B2982"/>
    <w:rsid w:val="008B2F05"/>
    <w:rsid w:val="008B456E"/>
    <w:rsid w:val="008B51B9"/>
    <w:rsid w:val="008B5BC6"/>
    <w:rsid w:val="008B6119"/>
    <w:rsid w:val="008B62FA"/>
    <w:rsid w:val="008B6441"/>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87BA7"/>
    <w:rsid w:val="00990892"/>
    <w:rsid w:val="00997443"/>
    <w:rsid w:val="009A1BA1"/>
    <w:rsid w:val="009A2A81"/>
    <w:rsid w:val="009A2AFB"/>
    <w:rsid w:val="009A2DE2"/>
    <w:rsid w:val="009A3B62"/>
    <w:rsid w:val="009A3ED4"/>
    <w:rsid w:val="009A56EE"/>
    <w:rsid w:val="009A5C47"/>
    <w:rsid w:val="009A68E7"/>
    <w:rsid w:val="009A6BC5"/>
    <w:rsid w:val="009B0164"/>
    <w:rsid w:val="009B0804"/>
    <w:rsid w:val="009B2B90"/>
    <w:rsid w:val="009B3452"/>
    <w:rsid w:val="009B4A92"/>
    <w:rsid w:val="009B4B7B"/>
    <w:rsid w:val="009B4CB6"/>
    <w:rsid w:val="009B66C0"/>
    <w:rsid w:val="009B72A1"/>
    <w:rsid w:val="009B74A5"/>
    <w:rsid w:val="009B7D9A"/>
    <w:rsid w:val="009C0E90"/>
    <w:rsid w:val="009C24F9"/>
    <w:rsid w:val="009C638A"/>
    <w:rsid w:val="009D3AAC"/>
    <w:rsid w:val="009D5B63"/>
    <w:rsid w:val="009D6C48"/>
    <w:rsid w:val="009E1679"/>
    <w:rsid w:val="009E1BE9"/>
    <w:rsid w:val="009E2348"/>
    <w:rsid w:val="009E239E"/>
    <w:rsid w:val="009E271D"/>
    <w:rsid w:val="009E362F"/>
    <w:rsid w:val="009E38F0"/>
    <w:rsid w:val="009E40DF"/>
    <w:rsid w:val="009E5747"/>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2561"/>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1B"/>
    <w:rsid w:val="00A64C8D"/>
    <w:rsid w:val="00A6721B"/>
    <w:rsid w:val="00A70355"/>
    <w:rsid w:val="00A7046F"/>
    <w:rsid w:val="00A715B0"/>
    <w:rsid w:val="00A71E4D"/>
    <w:rsid w:val="00A73547"/>
    <w:rsid w:val="00A73D17"/>
    <w:rsid w:val="00A73D4F"/>
    <w:rsid w:val="00A74128"/>
    <w:rsid w:val="00A7538D"/>
    <w:rsid w:val="00A75DD6"/>
    <w:rsid w:val="00A7618B"/>
    <w:rsid w:val="00A7646D"/>
    <w:rsid w:val="00A7671E"/>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6CA1"/>
    <w:rsid w:val="00B17521"/>
    <w:rsid w:val="00B17683"/>
    <w:rsid w:val="00B20FAA"/>
    <w:rsid w:val="00B21806"/>
    <w:rsid w:val="00B21CD8"/>
    <w:rsid w:val="00B21FBA"/>
    <w:rsid w:val="00B23036"/>
    <w:rsid w:val="00B23264"/>
    <w:rsid w:val="00B2793E"/>
    <w:rsid w:val="00B3022C"/>
    <w:rsid w:val="00B32ABD"/>
    <w:rsid w:val="00B32BE2"/>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149A"/>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4C63"/>
    <w:rsid w:val="00BA5CEA"/>
    <w:rsid w:val="00BA690D"/>
    <w:rsid w:val="00BA7612"/>
    <w:rsid w:val="00BA76A8"/>
    <w:rsid w:val="00BB1D36"/>
    <w:rsid w:val="00BB3631"/>
    <w:rsid w:val="00BB3FF6"/>
    <w:rsid w:val="00BB5630"/>
    <w:rsid w:val="00BB6BE1"/>
    <w:rsid w:val="00BC11FE"/>
    <w:rsid w:val="00BC392E"/>
    <w:rsid w:val="00BC60A6"/>
    <w:rsid w:val="00BC62E0"/>
    <w:rsid w:val="00BC6FBF"/>
    <w:rsid w:val="00BD00D9"/>
    <w:rsid w:val="00BD1886"/>
    <w:rsid w:val="00BD23E3"/>
    <w:rsid w:val="00BD40BC"/>
    <w:rsid w:val="00BD6234"/>
    <w:rsid w:val="00BE0437"/>
    <w:rsid w:val="00BE04F6"/>
    <w:rsid w:val="00BE107D"/>
    <w:rsid w:val="00BE2C43"/>
    <w:rsid w:val="00BE2D6C"/>
    <w:rsid w:val="00BE4564"/>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1A83"/>
    <w:rsid w:val="00C613E2"/>
    <w:rsid w:val="00C621E3"/>
    <w:rsid w:val="00C6430C"/>
    <w:rsid w:val="00C64E24"/>
    <w:rsid w:val="00C65047"/>
    <w:rsid w:val="00C653CC"/>
    <w:rsid w:val="00C665D4"/>
    <w:rsid w:val="00C67E56"/>
    <w:rsid w:val="00C72CBF"/>
    <w:rsid w:val="00C73CE1"/>
    <w:rsid w:val="00C74775"/>
    <w:rsid w:val="00C76F9B"/>
    <w:rsid w:val="00C77064"/>
    <w:rsid w:val="00C80AB6"/>
    <w:rsid w:val="00C824FE"/>
    <w:rsid w:val="00C833D6"/>
    <w:rsid w:val="00C84CDE"/>
    <w:rsid w:val="00C8762A"/>
    <w:rsid w:val="00C9050E"/>
    <w:rsid w:val="00C9216F"/>
    <w:rsid w:val="00C9296F"/>
    <w:rsid w:val="00C9306D"/>
    <w:rsid w:val="00C93320"/>
    <w:rsid w:val="00C95318"/>
    <w:rsid w:val="00C95A99"/>
    <w:rsid w:val="00C96B98"/>
    <w:rsid w:val="00C96F6B"/>
    <w:rsid w:val="00C97ED3"/>
    <w:rsid w:val="00CA043D"/>
    <w:rsid w:val="00CA069B"/>
    <w:rsid w:val="00CA09C4"/>
    <w:rsid w:val="00CA27F9"/>
    <w:rsid w:val="00CA28AD"/>
    <w:rsid w:val="00CA42CA"/>
    <w:rsid w:val="00CA4F28"/>
    <w:rsid w:val="00CA7388"/>
    <w:rsid w:val="00CA78AC"/>
    <w:rsid w:val="00CB067C"/>
    <w:rsid w:val="00CB15CA"/>
    <w:rsid w:val="00CB26B3"/>
    <w:rsid w:val="00CB3B7D"/>
    <w:rsid w:val="00CB4DC8"/>
    <w:rsid w:val="00CB51F5"/>
    <w:rsid w:val="00CB687E"/>
    <w:rsid w:val="00CC0250"/>
    <w:rsid w:val="00CC074E"/>
    <w:rsid w:val="00CC1659"/>
    <w:rsid w:val="00CC1D7C"/>
    <w:rsid w:val="00CC3092"/>
    <w:rsid w:val="00CC30C3"/>
    <w:rsid w:val="00CC363A"/>
    <w:rsid w:val="00CC3D4E"/>
    <w:rsid w:val="00CC4003"/>
    <w:rsid w:val="00CC74BD"/>
    <w:rsid w:val="00CC770B"/>
    <w:rsid w:val="00CD0768"/>
    <w:rsid w:val="00CD3CC4"/>
    <w:rsid w:val="00CD788F"/>
    <w:rsid w:val="00CE0354"/>
    <w:rsid w:val="00CE047D"/>
    <w:rsid w:val="00CE1017"/>
    <w:rsid w:val="00CE358A"/>
    <w:rsid w:val="00CE373E"/>
    <w:rsid w:val="00CE43AF"/>
    <w:rsid w:val="00CE577D"/>
    <w:rsid w:val="00CE665D"/>
    <w:rsid w:val="00CE6758"/>
    <w:rsid w:val="00CE7731"/>
    <w:rsid w:val="00CF096F"/>
    <w:rsid w:val="00CF1226"/>
    <w:rsid w:val="00CF28E4"/>
    <w:rsid w:val="00CF329F"/>
    <w:rsid w:val="00CF4439"/>
    <w:rsid w:val="00CF6106"/>
    <w:rsid w:val="00CF6A79"/>
    <w:rsid w:val="00CF73D7"/>
    <w:rsid w:val="00D00AAE"/>
    <w:rsid w:val="00D02D5A"/>
    <w:rsid w:val="00D03B9D"/>
    <w:rsid w:val="00D0498A"/>
    <w:rsid w:val="00D04E08"/>
    <w:rsid w:val="00D065E6"/>
    <w:rsid w:val="00D06F2D"/>
    <w:rsid w:val="00D10589"/>
    <w:rsid w:val="00D10843"/>
    <w:rsid w:val="00D114B8"/>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5DCB"/>
    <w:rsid w:val="00D360DF"/>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3F97"/>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12F"/>
    <w:rsid w:val="00DA0625"/>
    <w:rsid w:val="00DA0D5C"/>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06C62"/>
    <w:rsid w:val="00E101A9"/>
    <w:rsid w:val="00E12954"/>
    <w:rsid w:val="00E12A2F"/>
    <w:rsid w:val="00E12D9F"/>
    <w:rsid w:val="00E12FAE"/>
    <w:rsid w:val="00E13468"/>
    <w:rsid w:val="00E16346"/>
    <w:rsid w:val="00E1638A"/>
    <w:rsid w:val="00E16AC6"/>
    <w:rsid w:val="00E24543"/>
    <w:rsid w:val="00E2457B"/>
    <w:rsid w:val="00E247DE"/>
    <w:rsid w:val="00E257AB"/>
    <w:rsid w:val="00E3212A"/>
    <w:rsid w:val="00E32221"/>
    <w:rsid w:val="00E32512"/>
    <w:rsid w:val="00E333C7"/>
    <w:rsid w:val="00E3374E"/>
    <w:rsid w:val="00E33A7F"/>
    <w:rsid w:val="00E33F2B"/>
    <w:rsid w:val="00E34A79"/>
    <w:rsid w:val="00E376F7"/>
    <w:rsid w:val="00E401C3"/>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E6738"/>
    <w:rsid w:val="00EF0333"/>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5EEB"/>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4360"/>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7F2"/>
    <w:rsid w:val="00FA4D12"/>
    <w:rsid w:val="00FA5031"/>
    <w:rsid w:val="00FA56FF"/>
    <w:rsid w:val="00FB106B"/>
    <w:rsid w:val="00FB4326"/>
    <w:rsid w:val="00FB4C6F"/>
    <w:rsid w:val="00FB588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57D3"/>
  <w15:docId w15:val="{BB09D8CA-D8A1-4F6B-A97E-50451DC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49A"/>
    <w:pPr>
      <w:tabs>
        <w:tab w:val="center" w:pos="4680"/>
        <w:tab w:val="right" w:pos="9360"/>
      </w:tabs>
      <w:spacing w:line="240" w:lineRule="auto"/>
    </w:pPr>
  </w:style>
  <w:style w:type="character" w:customStyle="1" w:styleId="HeaderChar">
    <w:name w:val="Header Char"/>
    <w:basedOn w:val="DefaultParagraphFont"/>
    <w:link w:val="Header"/>
    <w:uiPriority w:val="99"/>
    <w:rsid w:val="00B7149A"/>
  </w:style>
  <w:style w:type="paragraph" w:styleId="Footer">
    <w:name w:val="footer"/>
    <w:basedOn w:val="Normal"/>
    <w:link w:val="FooterChar"/>
    <w:uiPriority w:val="99"/>
    <w:unhideWhenUsed/>
    <w:rsid w:val="00B7149A"/>
    <w:pPr>
      <w:tabs>
        <w:tab w:val="center" w:pos="4680"/>
        <w:tab w:val="right" w:pos="9360"/>
      </w:tabs>
      <w:spacing w:line="240" w:lineRule="auto"/>
    </w:pPr>
  </w:style>
  <w:style w:type="character" w:customStyle="1" w:styleId="FooterChar">
    <w:name w:val="Footer Char"/>
    <w:basedOn w:val="DefaultParagraphFont"/>
    <w:link w:val="Footer"/>
    <w:uiPriority w:val="99"/>
    <w:rsid w:val="00B7149A"/>
  </w:style>
  <w:style w:type="character" w:styleId="CommentReference">
    <w:name w:val="annotation reference"/>
    <w:basedOn w:val="DefaultParagraphFont"/>
    <w:uiPriority w:val="99"/>
    <w:semiHidden/>
    <w:unhideWhenUsed/>
    <w:rsid w:val="005D4AB3"/>
    <w:rPr>
      <w:sz w:val="16"/>
      <w:szCs w:val="16"/>
    </w:rPr>
  </w:style>
  <w:style w:type="paragraph" w:styleId="CommentText">
    <w:name w:val="annotation text"/>
    <w:basedOn w:val="Normal"/>
    <w:link w:val="CommentTextChar"/>
    <w:uiPriority w:val="99"/>
    <w:semiHidden/>
    <w:unhideWhenUsed/>
    <w:rsid w:val="005D4AB3"/>
    <w:pPr>
      <w:spacing w:line="240" w:lineRule="auto"/>
    </w:pPr>
    <w:rPr>
      <w:sz w:val="20"/>
      <w:szCs w:val="20"/>
    </w:rPr>
  </w:style>
  <w:style w:type="character" w:customStyle="1" w:styleId="CommentTextChar">
    <w:name w:val="Comment Text Char"/>
    <w:basedOn w:val="DefaultParagraphFont"/>
    <w:link w:val="CommentText"/>
    <w:uiPriority w:val="99"/>
    <w:semiHidden/>
    <w:rsid w:val="005D4AB3"/>
    <w:rPr>
      <w:sz w:val="20"/>
      <w:szCs w:val="20"/>
    </w:rPr>
  </w:style>
  <w:style w:type="paragraph" w:styleId="CommentSubject">
    <w:name w:val="annotation subject"/>
    <w:basedOn w:val="CommentText"/>
    <w:next w:val="CommentText"/>
    <w:link w:val="CommentSubjectChar"/>
    <w:uiPriority w:val="99"/>
    <w:semiHidden/>
    <w:unhideWhenUsed/>
    <w:rsid w:val="005D4AB3"/>
    <w:rPr>
      <w:b/>
      <w:bCs/>
    </w:rPr>
  </w:style>
  <w:style w:type="character" w:customStyle="1" w:styleId="CommentSubjectChar">
    <w:name w:val="Comment Subject Char"/>
    <w:basedOn w:val="CommentTextChar"/>
    <w:link w:val="CommentSubject"/>
    <w:uiPriority w:val="99"/>
    <w:semiHidden/>
    <w:rsid w:val="005D4AB3"/>
    <w:rPr>
      <w:b/>
      <w:bCs/>
      <w:sz w:val="20"/>
      <w:szCs w:val="20"/>
    </w:rPr>
  </w:style>
  <w:style w:type="paragraph" w:styleId="BalloonText">
    <w:name w:val="Balloon Text"/>
    <w:basedOn w:val="Normal"/>
    <w:link w:val="BalloonTextChar"/>
    <w:uiPriority w:val="99"/>
    <w:semiHidden/>
    <w:unhideWhenUsed/>
    <w:rsid w:val="005D4A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AB3"/>
    <w:rPr>
      <w:rFonts w:ascii="Segoe UI" w:hAnsi="Segoe UI" w:cs="Segoe UI"/>
      <w:sz w:val="18"/>
      <w:szCs w:val="18"/>
    </w:rPr>
  </w:style>
  <w:style w:type="paragraph" w:styleId="Revision">
    <w:name w:val="Revision"/>
    <w:hidden/>
    <w:uiPriority w:val="99"/>
    <w:semiHidden/>
    <w:rsid w:val="004D7CC2"/>
    <w:pPr>
      <w:spacing w:line="240" w:lineRule="auto"/>
      <w:jc w:val="left"/>
    </w:pPr>
  </w:style>
  <w:style w:type="paragraph" w:styleId="FootnoteText">
    <w:name w:val="footnote text"/>
    <w:basedOn w:val="Normal"/>
    <w:link w:val="FootnoteTextChar"/>
    <w:uiPriority w:val="99"/>
    <w:semiHidden/>
    <w:unhideWhenUsed/>
    <w:rsid w:val="00444739"/>
    <w:pPr>
      <w:spacing w:line="240" w:lineRule="auto"/>
    </w:pPr>
    <w:rPr>
      <w:sz w:val="20"/>
      <w:szCs w:val="20"/>
    </w:rPr>
  </w:style>
  <w:style w:type="character" w:customStyle="1" w:styleId="FootnoteTextChar">
    <w:name w:val="Footnote Text Char"/>
    <w:basedOn w:val="DefaultParagraphFont"/>
    <w:link w:val="FootnoteText"/>
    <w:uiPriority w:val="99"/>
    <w:semiHidden/>
    <w:rsid w:val="00444739"/>
    <w:rPr>
      <w:sz w:val="20"/>
      <w:szCs w:val="20"/>
    </w:rPr>
  </w:style>
  <w:style w:type="character" w:styleId="FootnoteReference">
    <w:name w:val="footnote reference"/>
    <w:basedOn w:val="DefaultParagraphFont"/>
    <w:uiPriority w:val="99"/>
    <w:semiHidden/>
    <w:unhideWhenUsed/>
    <w:rsid w:val="004447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70AA-934D-41B8-863E-6BA79BF4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573</Words>
  <Characters>3267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dcterms:created xsi:type="dcterms:W3CDTF">2022-01-06T16:52:00Z</dcterms:created>
  <dcterms:modified xsi:type="dcterms:W3CDTF">2022-01-06T16:52:00Z</dcterms:modified>
</cp:coreProperties>
</file>