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518076C" w14:textId="77777777" w:rsidR="00D01C75" w:rsidRDefault="00D01C75" w:rsidP="00D01C7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65E1A8FA" w14:textId="77777777" w:rsidR="00D01C75" w:rsidRDefault="00D01C75" w:rsidP="00D01C75">
            <w:pPr>
              <w:jc w:val="right"/>
              <w:rPr>
                <w:sz w:val="16"/>
                <w:szCs w:val="16"/>
              </w:rPr>
            </w:pPr>
          </w:p>
          <w:p w14:paraId="1D1C6A7F" w14:textId="55F99B54" w:rsidR="00D01C75" w:rsidRDefault="00C31050" w:rsidP="00D01C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Docket No.</w:t>
            </w:r>
            <w:r w:rsidR="00D01C75">
              <w:rPr>
                <w:sz w:val="16"/>
                <w:szCs w:val="16"/>
              </w:rPr>
              <w:t xml:space="preserve"> </w:t>
            </w:r>
          </w:p>
          <w:p w14:paraId="599D714F" w14:textId="6271FB5F" w:rsidR="003569E8" w:rsidRPr="000E3958" w:rsidRDefault="00B74D3B" w:rsidP="00D01C7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P-2011-2241542</w:t>
            </w:r>
            <w:r w:rsidR="00D01C75">
              <w:rPr>
                <w:sz w:val="16"/>
                <w:szCs w:val="16"/>
              </w:rPr>
              <w:t xml:space="preserve">     </w:t>
            </w: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34AA626" w14:textId="71993FD2" w:rsidR="004B2B7C" w:rsidRPr="004B2B7C" w:rsidRDefault="000D1076" w:rsidP="000D1076">
      <w:pPr>
        <w:tabs>
          <w:tab w:val="left" w:pos="720"/>
          <w:tab w:val="left" w:pos="1440"/>
          <w:tab w:val="left" w:pos="2160"/>
          <w:tab w:val="left" w:pos="4680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January 6, 2022</w:t>
      </w:r>
    </w:p>
    <w:p w14:paraId="11D4FFA3" w14:textId="77777777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jc w:val="center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60CD0" w14:paraId="2C42AB4D" w14:textId="77777777" w:rsidTr="00450DC7">
        <w:tc>
          <w:tcPr>
            <w:tcW w:w="4675" w:type="dxa"/>
          </w:tcPr>
          <w:p w14:paraId="77AD69CD" w14:textId="77777777" w:rsidR="00F60CD0" w:rsidRPr="004B2B7C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Lance J.M. Steinhart, Esq. </w:t>
            </w:r>
          </w:p>
          <w:p w14:paraId="52C0E804" w14:textId="77777777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Lance J.M. Steinhart, P.C.</w:t>
            </w:r>
          </w:p>
          <w:p w14:paraId="2B27AC47" w14:textId="77777777" w:rsidR="00C3105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1725 Windward Concourse</w:t>
            </w:r>
          </w:p>
          <w:p w14:paraId="4D91B5BF" w14:textId="6EC25481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Suite 150</w:t>
            </w:r>
          </w:p>
          <w:p w14:paraId="69F6477C" w14:textId="77777777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Alpharetta, GA  30005</w:t>
            </w:r>
          </w:p>
          <w:p w14:paraId="0BD57161" w14:textId="51F6A821" w:rsidR="00F60CD0" w:rsidRPr="00F302C0" w:rsidRDefault="000D1076" w:rsidP="004B2B7C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bCs/>
                <w:sz w:val="26"/>
                <w:szCs w:val="26"/>
              </w:rPr>
            </w:pPr>
            <w:hyperlink r:id="rId13" w:history="1">
              <w:r w:rsidR="00F01822" w:rsidRPr="00F730BA">
                <w:rPr>
                  <w:rStyle w:val="Hyperlink"/>
                  <w:bCs/>
                  <w:sz w:val="26"/>
                  <w:szCs w:val="26"/>
                </w:rPr>
                <w:t>lsteinhart@telecomcounsel.com</w:t>
              </w:r>
            </w:hyperlink>
            <w:r w:rsidR="00F01822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</w:tcPr>
          <w:p w14:paraId="683689DD" w14:textId="77777777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Tony S. Lee, Esq.</w:t>
            </w:r>
          </w:p>
          <w:p w14:paraId="0F53DF4B" w14:textId="77777777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Seth L. Williams, Esq.</w:t>
            </w:r>
          </w:p>
          <w:p w14:paraId="1FAA0B54" w14:textId="77777777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Fletcher, Heald and Hildreth</w:t>
            </w:r>
          </w:p>
          <w:p w14:paraId="59814924" w14:textId="77777777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 North 17t Street, Suite 1100</w:t>
            </w:r>
          </w:p>
          <w:p w14:paraId="4FDFC9B0" w14:textId="77777777" w:rsidR="00F60CD0" w:rsidRDefault="00F60CD0" w:rsidP="00F60CD0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Arlington, VA  22209 </w:t>
            </w:r>
          </w:p>
          <w:p w14:paraId="49DBA8D7" w14:textId="77777777" w:rsidR="00F60CD0" w:rsidRDefault="000D1076" w:rsidP="004B2B7C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bCs/>
                <w:sz w:val="26"/>
                <w:szCs w:val="26"/>
              </w:rPr>
            </w:pPr>
            <w:hyperlink r:id="rId14" w:history="1">
              <w:r w:rsidR="00F01822" w:rsidRPr="00F730BA">
                <w:rPr>
                  <w:rStyle w:val="Hyperlink"/>
                  <w:bCs/>
                  <w:sz w:val="26"/>
                  <w:szCs w:val="26"/>
                </w:rPr>
                <w:t>lee@fhhlaw.com</w:t>
              </w:r>
            </w:hyperlink>
            <w:r w:rsidR="00F01822">
              <w:rPr>
                <w:bCs/>
                <w:sz w:val="26"/>
                <w:szCs w:val="26"/>
              </w:rPr>
              <w:t xml:space="preserve"> </w:t>
            </w:r>
          </w:p>
          <w:p w14:paraId="166B44FF" w14:textId="228E164D" w:rsidR="00F01822" w:rsidRPr="00F01822" w:rsidRDefault="000D1076" w:rsidP="004B2B7C">
            <w:pPr>
              <w:tabs>
                <w:tab w:val="left" w:pos="720"/>
                <w:tab w:val="left" w:pos="1440"/>
                <w:tab w:val="left" w:pos="2160"/>
                <w:tab w:val="left" w:pos="4680"/>
              </w:tabs>
              <w:ind w:right="576"/>
              <w:rPr>
                <w:bCs/>
                <w:sz w:val="26"/>
                <w:szCs w:val="26"/>
              </w:rPr>
            </w:pPr>
            <w:hyperlink r:id="rId15" w:history="1">
              <w:r w:rsidR="00DE233B" w:rsidRPr="00F730BA">
                <w:rPr>
                  <w:rStyle w:val="Hyperlink"/>
                  <w:bCs/>
                  <w:sz w:val="26"/>
                  <w:szCs w:val="26"/>
                </w:rPr>
                <w:t>williams@fhhlaw.com</w:t>
              </w:r>
            </w:hyperlink>
            <w:r w:rsidR="00DE233B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14:paraId="12965797" w14:textId="77777777" w:rsidR="000D18F7" w:rsidRDefault="000D18F7" w:rsidP="004B2B7C">
      <w:pPr>
        <w:tabs>
          <w:tab w:val="left" w:pos="720"/>
          <w:tab w:val="left" w:pos="1440"/>
          <w:tab w:val="left" w:pos="2160"/>
          <w:tab w:val="left" w:pos="4680"/>
        </w:tabs>
        <w:ind w:right="576"/>
        <w:rPr>
          <w:sz w:val="26"/>
          <w:szCs w:val="26"/>
        </w:rPr>
      </w:pPr>
    </w:p>
    <w:p w14:paraId="2A59B752" w14:textId="652E6632" w:rsidR="004B2B7C" w:rsidRPr="004B2B7C" w:rsidRDefault="004B2B7C" w:rsidP="00262DD7">
      <w:pPr>
        <w:tabs>
          <w:tab w:val="left" w:pos="720"/>
          <w:tab w:val="left" w:pos="1440"/>
          <w:tab w:val="left" w:pos="2160"/>
          <w:tab w:val="left" w:pos="4680"/>
        </w:tabs>
        <w:ind w:left="1440" w:hanging="1440"/>
        <w:rPr>
          <w:sz w:val="26"/>
          <w:szCs w:val="26"/>
        </w:rPr>
      </w:pPr>
      <w:r w:rsidRPr="004B2B7C">
        <w:rPr>
          <w:sz w:val="26"/>
          <w:szCs w:val="26"/>
        </w:rPr>
        <w:tab/>
        <w:t>Re:</w:t>
      </w:r>
      <w:r w:rsidRPr="004B2B7C">
        <w:rPr>
          <w:sz w:val="26"/>
          <w:szCs w:val="26"/>
        </w:rPr>
        <w:tab/>
      </w:r>
      <w:r w:rsidR="00262DD7">
        <w:rPr>
          <w:sz w:val="26"/>
          <w:szCs w:val="26"/>
        </w:rPr>
        <w:t>Joint Petition to Renew ETC filed by TA</w:t>
      </w:r>
      <w:r w:rsidR="002C22CE">
        <w:rPr>
          <w:sz w:val="26"/>
          <w:szCs w:val="26"/>
        </w:rPr>
        <w:t>G</w:t>
      </w:r>
      <w:r w:rsidR="00262DD7">
        <w:rPr>
          <w:sz w:val="26"/>
          <w:szCs w:val="26"/>
        </w:rPr>
        <w:t xml:space="preserve"> Mobile LLC, TAG Mobile Bankruptcy Sale Entity, LLC, and </w:t>
      </w:r>
      <w:proofErr w:type="spellStart"/>
      <w:r w:rsidR="00262DD7">
        <w:rPr>
          <w:sz w:val="26"/>
          <w:szCs w:val="26"/>
        </w:rPr>
        <w:t>Softel</w:t>
      </w:r>
      <w:proofErr w:type="spellEnd"/>
      <w:r w:rsidR="00262DD7">
        <w:rPr>
          <w:sz w:val="26"/>
          <w:szCs w:val="26"/>
        </w:rPr>
        <w:t xml:space="preserve"> Holdings, LLC </w:t>
      </w:r>
    </w:p>
    <w:p w14:paraId="4EDA854D" w14:textId="0D59E561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ind w:left="1440" w:hanging="540"/>
        <w:rPr>
          <w:sz w:val="26"/>
          <w:szCs w:val="26"/>
        </w:rPr>
      </w:pPr>
      <w:r w:rsidRPr="004B2B7C">
        <w:rPr>
          <w:sz w:val="26"/>
          <w:szCs w:val="26"/>
        </w:rPr>
        <w:tab/>
        <w:t xml:space="preserve">Docket No.  </w:t>
      </w:r>
      <w:r w:rsidR="00262DD7">
        <w:rPr>
          <w:sz w:val="26"/>
          <w:szCs w:val="26"/>
        </w:rPr>
        <w:t>P-2011-2241542</w:t>
      </w:r>
    </w:p>
    <w:p w14:paraId="3038C3E0" w14:textId="77777777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</w:p>
    <w:p w14:paraId="0CBF273E" w14:textId="6AC43E51" w:rsid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  <w:r w:rsidRPr="004B2B7C">
        <w:rPr>
          <w:sz w:val="26"/>
          <w:szCs w:val="26"/>
        </w:rPr>
        <w:t xml:space="preserve">Dear </w:t>
      </w:r>
      <w:proofErr w:type="spellStart"/>
      <w:r w:rsidR="00262DD7">
        <w:rPr>
          <w:sz w:val="26"/>
          <w:szCs w:val="26"/>
        </w:rPr>
        <w:t>M</w:t>
      </w:r>
      <w:r w:rsidR="00840714">
        <w:rPr>
          <w:sz w:val="26"/>
          <w:szCs w:val="26"/>
        </w:rPr>
        <w:t>e</w:t>
      </w:r>
      <w:r w:rsidR="00262DD7">
        <w:rPr>
          <w:sz w:val="26"/>
          <w:szCs w:val="26"/>
        </w:rPr>
        <w:t>ssrs</w:t>
      </w:r>
      <w:proofErr w:type="spellEnd"/>
      <w:r w:rsidR="00262DD7">
        <w:rPr>
          <w:sz w:val="26"/>
          <w:szCs w:val="26"/>
        </w:rPr>
        <w:t xml:space="preserve"> Steinhart, Lee and Williams</w:t>
      </w:r>
      <w:r w:rsidRPr="004B2B7C">
        <w:rPr>
          <w:sz w:val="26"/>
          <w:szCs w:val="26"/>
        </w:rPr>
        <w:t>:</w:t>
      </w:r>
    </w:p>
    <w:p w14:paraId="0357DEB6" w14:textId="5D07AAD5" w:rsidR="00262DD7" w:rsidRDefault="00262DD7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</w:p>
    <w:p w14:paraId="5D79CF6A" w14:textId="6841117A" w:rsidR="003003DB" w:rsidRDefault="00262DD7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This is to inform you that the Pennsylvania Public Utility Commission has received your Joint Petition </w:t>
      </w:r>
      <w:r w:rsidR="00BE7CE2">
        <w:rPr>
          <w:sz w:val="26"/>
          <w:szCs w:val="26"/>
        </w:rPr>
        <w:t xml:space="preserve">which was filed on December 15, 2021, </w:t>
      </w:r>
      <w:r>
        <w:rPr>
          <w:sz w:val="26"/>
          <w:szCs w:val="26"/>
        </w:rPr>
        <w:t xml:space="preserve">to renew ETC designation in </w:t>
      </w:r>
      <w:r w:rsidR="0026549B">
        <w:rPr>
          <w:sz w:val="26"/>
          <w:szCs w:val="26"/>
        </w:rPr>
        <w:t>l</w:t>
      </w:r>
      <w:r>
        <w:rPr>
          <w:sz w:val="26"/>
          <w:szCs w:val="26"/>
        </w:rPr>
        <w:t xml:space="preserve">ight of </w:t>
      </w:r>
      <w:r w:rsidR="00EE0157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transfer of control </w:t>
      </w:r>
      <w:r w:rsidR="0026549B">
        <w:rPr>
          <w:sz w:val="26"/>
          <w:szCs w:val="26"/>
        </w:rPr>
        <w:t>o</w:t>
      </w:r>
      <w:r>
        <w:rPr>
          <w:sz w:val="26"/>
          <w:szCs w:val="26"/>
        </w:rPr>
        <w:t>f</w:t>
      </w:r>
      <w:r w:rsidR="002654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TAG Mobile, LLC to </w:t>
      </w:r>
      <w:proofErr w:type="spellStart"/>
      <w:r>
        <w:rPr>
          <w:sz w:val="26"/>
          <w:szCs w:val="26"/>
        </w:rPr>
        <w:t>Softel</w:t>
      </w:r>
      <w:proofErr w:type="spellEnd"/>
      <w:r>
        <w:rPr>
          <w:sz w:val="26"/>
          <w:szCs w:val="26"/>
        </w:rPr>
        <w:t xml:space="preserve"> Holdings, LLC.</w:t>
      </w:r>
      <w:r w:rsidR="0026549B">
        <w:rPr>
          <w:sz w:val="26"/>
          <w:szCs w:val="26"/>
        </w:rPr>
        <w:t xml:space="preserve">  We acknowledge that Petitioner requested an expedited review in order to comply with Bankruptcy Court deadlines.  </w:t>
      </w:r>
    </w:p>
    <w:p w14:paraId="7C7B9468" w14:textId="77777777" w:rsidR="003003DB" w:rsidRDefault="003003DB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</w:p>
    <w:p w14:paraId="1C513836" w14:textId="016BEDF5" w:rsidR="004B2B7C" w:rsidRPr="004B2B7C" w:rsidRDefault="003003DB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994B0D">
        <w:rPr>
          <w:sz w:val="26"/>
          <w:szCs w:val="26"/>
        </w:rPr>
        <w:t xml:space="preserve">We find that the </w:t>
      </w:r>
      <w:r w:rsidR="00F60CD0">
        <w:rPr>
          <w:sz w:val="26"/>
          <w:szCs w:val="26"/>
        </w:rPr>
        <w:t xml:space="preserve">instant </w:t>
      </w:r>
      <w:r w:rsidR="00994B0D">
        <w:rPr>
          <w:sz w:val="26"/>
          <w:szCs w:val="26"/>
        </w:rPr>
        <w:t xml:space="preserve">Petition was filed prematurely and direct that it be refiled after the conclusion of the bankruptcy proceeding.  </w:t>
      </w:r>
      <w:r>
        <w:rPr>
          <w:sz w:val="26"/>
          <w:szCs w:val="26"/>
        </w:rPr>
        <w:t>Based upon the information presented</w:t>
      </w:r>
      <w:r w:rsidR="00EE0157">
        <w:rPr>
          <w:sz w:val="26"/>
          <w:szCs w:val="26"/>
        </w:rPr>
        <w:t xml:space="preserve"> in the </w:t>
      </w:r>
      <w:r w:rsidR="001F0AE6">
        <w:rPr>
          <w:sz w:val="26"/>
          <w:szCs w:val="26"/>
        </w:rPr>
        <w:t>Petition</w:t>
      </w:r>
      <w:r>
        <w:rPr>
          <w:sz w:val="26"/>
          <w:szCs w:val="26"/>
        </w:rPr>
        <w:t xml:space="preserve">, more information </w:t>
      </w:r>
      <w:r w:rsidR="00994B0D">
        <w:rPr>
          <w:sz w:val="26"/>
          <w:szCs w:val="26"/>
        </w:rPr>
        <w:t xml:space="preserve">will be </w:t>
      </w:r>
      <w:r>
        <w:rPr>
          <w:sz w:val="26"/>
          <w:szCs w:val="26"/>
        </w:rPr>
        <w:t xml:space="preserve">needed </w:t>
      </w:r>
      <w:r w:rsidR="001F0AE6">
        <w:rPr>
          <w:sz w:val="26"/>
          <w:szCs w:val="26"/>
        </w:rPr>
        <w:t xml:space="preserve">detailing how </w:t>
      </w:r>
      <w:proofErr w:type="spellStart"/>
      <w:r w:rsidR="001F0AE6">
        <w:rPr>
          <w:sz w:val="26"/>
          <w:szCs w:val="26"/>
        </w:rPr>
        <w:t>Softel</w:t>
      </w:r>
      <w:proofErr w:type="spellEnd"/>
      <w:r w:rsidR="001F0AE6">
        <w:rPr>
          <w:sz w:val="26"/>
          <w:szCs w:val="26"/>
        </w:rPr>
        <w:t xml:space="preserve"> will comply with federal and state Lifeline requirements, including information that </w:t>
      </w:r>
      <w:r w:rsidR="00F02941">
        <w:rPr>
          <w:sz w:val="26"/>
          <w:szCs w:val="26"/>
        </w:rPr>
        <w:t xml:space="preserve">details </w:t>
      </w:r>
      <w:proofErr w:type="spellStart"/>
      <w:r w:rsidR="004E0B95">
        <w:rPr>
          <w:sz w:val="26"/>
          <w:szCs w:val="26"/>
        </w:rPr>
        <w:t>Softel’s</w:t>
      </w:r>
      <w:proofErr w:type="spellEnd"/>
      <w:r w:rsidR="004E0B95">
        <w:rPr>
          <w:sz w:val="26"/>
          <w:szCs w:val="26"/>
        </w:rPr>
        <w:t xml:space="preserve"> </w:t>
      </w:r>
      <w:r w:rsidR="00F02941">
        <w:rPr>
          <w:sz w:val="26"/>
          <w:szCs w:val="26"/>
        </w:rPr>
        <w:t xml:space="preserve">technical, financial </w:t>
      </w:r>
      <w:r w:rsidR="00EE0157">
        <w:rPr>
          <w:sz w:val="26"/>
          <w:szCs w:val="26"/>
        </w:rPr>
        <w:t xml:space="preserve">and managerial </w:t>
      </w:r>
      <w:r w:rsidR="00F02941">
        <w:rPr>
          <w:sz w:val="26"/>
          <w:szCs w:val="26"/>
        </w:rPr>
        <w:t xml:space="preserve">fitness to operate as an ETC in Pennsylvania.  </w:t>
      </w:r>
      <w:r w:rsidR="00994B0D">
        <w:rPr>
          <w:sz w:val="26"/>
          <w:szCs w:val="26"/>
        </w:rPr>
        <w:t xml:space="preserve">Accordingly, </w:t>
      </w:r>
      <w:r w:rsidR="00F02941">
        <w:rPr>
          <w:sz w:val="26"/>
          <w:szCs w:val="26"/>
        </w:rPr>
        <w:t>we direct that TAG Mobile file monthly status reports at P-2011-2241542 to inform the Commission of the status of the</w:t>
      </w:r>
      <w:r w:rsidR="00EE0157">
        <w:rPr>
          <w:sz w:val="26"/>
          <w:szCs w:val="26"/>
        </w:rPr>
        <w:t xml:space="preserve"> </w:t>
      </w:r>
      <w:r w:rsidR="00F02941">
        <w:rPr>
          <w:sz w:val="26"/>
          <w:szCs w:val="26"/>
        </w:rPr>
        <w:t>Bankrup</w:t>
      </w:r>
      <w:r w:rsidR="00EE0157">
        <w:rPr>
          <w:sz w:val="26"/>
          <w:szCs w:val="26"/>
        </w:rPr>
        <w:t>t</w:t>
      </w:r>
      <w:r w:rsidR="00F02941">
        <w:rPr>
          <w:sz w:val="26"/>
          <w:szCs w:val="26"/>
        </w:rPr>
        <w:t>cy</w:t>
      </w:r>
      <w:r w:rsidR="00EE0157">
        <w:rPr>
          <w:sz w:val="26"/>
          <w:szCs w:val="26"/>
        </w:rPr>
        <w:t xml:space="preserve"> </w:t>
      </w:r>
      <w:r w:rsidR="00F02941">
        <w:rPr>
          <w:sz w:val="26"/>
          <w:szCs w:val="26"/>
        </w:rPr>
        <w:t>proceeding</w:t>
      </w:r>
      <w:r w:rsidR="00994B0D" w:rsidRPr="00994B0D">
        <w:rPr>
          <w:sz w:val="26"/>
          <w:szCs w:val="26"/>
        </w:rPr>
        <w:t xml:space="preserve"> and </w:t>
      </w:r>
      <w:r w:rsidR="00994B0D">
        <w:rPr>
          <w:sz w:val="26"/>
          <w:szCs w:val="26"/>
        </w:rPr>
        <w:t>at the completion of the bankruptcy proceeding the Joint Applica</w:t>
      </w:r>
      <w:r w:rsidR="00783B53">
        <w:rPr>
          <w:sz w:val="26"/>
          <w:szCs w:val="26"/>
        </w:rPr>
        <w:t>n</w:t>
      </w:r>
      <w:r w:rsidR="00994B0D">
        <w:rPr>
          <w:sz w:val="26"/>
          <w:szCs w:val="26"/>
        </w:rPr>
        <w:t>t</w:t>
      </w:r>
      <w:r w:rsidR="00783B53">
        <w:rPr>
          <w:sz w:val="26"/>
          <w:szCs w:val="26"/>
        </w:rPr>
        <w:t>s</w:t>
      </w:r>
      <w:r w:rsidR="00994B0D">
        <w:rPr>
          <w:sz w:val="26"/>
          <w:szCs w:val="26"/>
        </w:rPr>
        <w:t xml:space="preserve"> </w:t>
      </w:r>
      <w:r w:rsidR="00F60CD0">
        <w:rPr>
          <w:sz w:val="26"/>
          <w:szCs w:val="26"/>
        </w:rPr>
        <w:t xml:space="preserve">should </w:t>
      </w:r>
      <w:r w:rsidR="00994B0D" w:rsidRPr="00994B0D">
        <w:rPr>
          <w:sz w:val="26"/>
          <w:szCs w:val="26"/>
        </w:rPr>
        <w:t xml:space="preserve">file </w:t>
      </w:r>
      <w:r w:rsidR="00F60CD0">
        <w:rPr>
          <w:sz w:val="26"/>
          <w:szCs w:val="26"/>
        </w:rPr>
        <w:t xml:space="preserve">a </w:t>
      </w:r>
      <w:r w:rsidR="00994B0D">
        <w:rPr>
          <w:sz w:val="26"/>
          <w:szCs w:val="26"/>
        </w:rPr>
        <w:t>new Petition</w:t>
      </w:r>
      <w:r w:rsidR="00994B0D" w:rsidRPr="00994B0D">
        <w:rPr>
          <w:sz w:val="26"/>
          <w:szCs w:val="26"/>
        </w:rPr>
        <w:t xml:space="preserve"> to renew </w:t>
      </w:r>
      <w:r w:rsidR="00994B0D">
        <w:rPr>
          <w:sz w:val="26"/>
          <w:szCs w:val="26"/>
        </w:rPr>
        <w:t xml:space="preserve">an </w:t>
      </w:r>
      <w:r w:rsidR="00994B0D" w:rsidRPr="00994B0D">
        <w:rPr>
          <w:sz w:val="26"/>
          <w:szCs w:val="26"/>
        </w:rPr>
        <w:t xml:space="preserve">ETC designation in light of the transfer of control of TAG Mobile, LLC to </w:t>
      </w:r>
      <w:proofErr w:type="spellStart"/>
      <w:r w:rsidR="00994B0D" w:rsidRPr="00994B0D">
        <w:rPr>
          <w:sz w:val="26"/>
          <w:szCs w:val="26"/>
        </w:rPr>
        <w:t>Softel</w:t>
      </w:r>
      <w:proofErr w:type="spellEnd"/>
      <w:r w:rsidR="00994B0D" w:rsidRPr="00994B0D">
        <w:rPr>
          <w:sz w:val="26"/>
          <w:szCs w:val="26"/>
        </w:rPr>
        <w:t xml:space="preserve"> Holdings, LLC</w:t>
      </w:r>
      <w:r w:rsidR="00994B0D">
        <w:rPr>
          <w:sz w:val="26"/>
          <w:szCs w:val="26"/>
        </w:rPr>
        <w:t xml:space="preserve"> </w:t>
      </w:r>
      <w:r w:rsidR="00F02941">
        <w:rPr>
          <w:sz w:val="26"/>
          <w:szCs w:val="26"/>
        </w:rPr>
        <w:t xml:space="preserve">.   </w:t>
      </w:r>
    </w:p>
    <w:p w14:paraId="72E63C6A" w14:textId="779255FC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</w:p>
    <w:p w14:paraId="05A8B5AF" w14:textId="283CE338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autoSpaceDE w:val="0"/>
        <w:autoSpaceDN w:val="0"/>
        <w:adjustRightInd w:val="0"/>
        <w:rPr>
          <w:sz w:val="26"/>
          <w:szCs w:val="26"/>
        </w:rPr>
      </w:pPr>
      <w:r w:rsidRPr="004B2B7C">
        <w:rPr>
          <w:sz w:val="26"/>
          <w:szCs w:val="26"/>
        </w:rPr>
        <w:tab/>
        <w:t>Please direct any questions to</w:t>
      </w:r>
      <w:r w:rsidR="00EE0157">
        <w:rPr>
          <w:sz w:val="26"/>
          <w:szCs w:val="26"/>
        </w:rPr>
        <w:t xml:space="preserve"> Rhonda L. </w:t>
      </w:r>
      <w:proofErr w:type="spellStart"/>
      <w:r w:rsidR="00EE0157">
        <w:rPr>
          <w:sz w:val="26"/>
          <w:szCs w:val="26"/>
        </w:rPr>
        <w:t>Daviston</w:t>
      </w:r>
      <w:proofErr w:type="spellEnd"/>
      <w:r w:rsidR="00EE0157">
        <w:rPr>
          <w:sz w:val="26"/>
          <w:szCs w:val="26"/>
        </w:rPr>
        <w:t xml:space="preserve">, </w:t>
      </w:r>
      <w:r w:rsidRPr="004B2B7C">
        <w:rPr>
          <w:sz w:val="26"/>
          <w:szCs w:val="26"/>
        </w:rPr>
        <w:t>Assistant Counsel, Law Bureau, at (717) 787</w:t>
      </w:r>
      <w:r w:rsidRPr="004B2B7C">
        <w:rPr>
          <w:sz w:val="26"/>
          <w:szCs w:val="26"/>
        </w:rPr>
        <w:noBreakHyphen/>
      </w:r>
      <w:r w:rsidR="00EE0157">
        <w:rPr>
          <w:sz w:val="26"/>
          <w:szCs w:val="26"/>
        </w:rPr>
        <w:t>6166</w:t>
      </w:r>
      <w:r w:rsidRPr="004B2B7C">
        <w:rPr>
          <w:sz w:val="26"/>
          <w:szCs w:val="26"/>
        </w:rPr>
        <w:t>.</w:t>
      </w:r>
    </w:p>
    <w:p w14:paraId="344EA1C3" w14:textId="43F98A86" w:rsidR="004B2B7C" w:rsidRPr="004B2B7C" w:rsidRDefault="000D1076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9BA0E4" wp14:editId="76256508">
            <wp:simplePos x="0" y="0"/>
            <wp:positionH relativeFrom="column">
              <wp:posOffset>2962275</wp:posOffset>
            </wp:positionH>
            <wp:positionV relativeFrom="paragraph">
              <wp:posOffset>153670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08F9B" w14:textId="09ABDFFE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  <w:r w:rsidRPr="004B2B7C">
        <w:rPr>
          <w:sz w:val="26"/>
          <w:szCs w:val="26"/>
        </w:rPr>
        <w:tab/>
      </w:r>
      <w:r w:rsidRPr="004B2B7C">
        <w:rPr>
          <w:sz w:val="26"/>
          <w:szCs w:val="26"/>
        </w:rPr>
        <w:tab/>
      </w:r>
      <w:r w:rsidRPr="004B2B7C">
        <w:rPr>
          <w:sz w:val="26"/>
          <w:szCs w:val="26"/>
        </w:rPr>
        <w:tab/>
      </w:r>
      <w:r w:rsidRPr="004B2B7C">
        <w:rPr>
          <w:sz w:val="26"/>
          <w:szCs w:val="26"/>
        </w:rPr>
        <w:tab/>
        <w:t>Sincerely,</w:t>
      </w:r>
    </w:p>
    <w:p w14:paraId="75B1F802" w14:textId="77777777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</w:p>
    <w:p w14:paraId="4784689A" w14:textId="77777777" w:rsidR="004B2B7C" w:rsidRPr="004B2B7C" w:rsidRDefault="004B2B7C" w:rsidP="004B2B7C">
      <w:pPr>
        <w:tabs>
          <w:tab w:val="left" w:pos="720"/>
          <w:tab w:val="left" w:pos="1440"/>
          <w:tab w:val="left" w:pos="2160"/>
          <w:tab w:val="left" w:pos="4680"/>
        </w:tabs>
        <w:rPr>
          <w:sz w:val="26"/>
          <w:szCs w:val="26"/>
        </w:rPr>
      </w:pPr>
    </w:p>
    <w:p w14:paraId="4A57C662" w14:textId="77777777" w:rsidR="004B2B7C" w:rsidRPr="004B2B7C" w:rsidRDefault="004B2B7C" w:rsidP="004B2B7C">
      <w:pPr>
        <w:keepNext/>
        <w:tabs>
          <w:tab w:val="left" w:pos="720"/>
          <w:tab w:val="left" w:pos="1440"/>
          <w:tab w:val="left" w:pos="2160"/>
          <w:tab w:val="left" w:pos="4680"/>
        </w:tabs>
        <w:outlineLvl w:val="0"/>
        <w:rPr>
          <w:sz w:val="26"/>
          <w:szCs w:val="26"/>
        </w:rPr>
      </w:pPr>
      <w:r w:rsidRPr="004B2B7C">
        <w:rPr>
          <w:sz w:val="26"/>
          <w:szCs w:val="26"/>
        </w:rPr>
        <w:tab/>
      </w:r>
      <w:r w:rsidRPr="004B2B7C">
        <w:rPr>
          <w:sz w:val="26"/>
          <w:szCs w:val="26"/>
        </w:rPr>
        <w:tab/>
      </w:r>
      <w:r w:rsidRPr="004B2B7C">
        <w:rPr>
          <w:sz w:val="26"/>
          <w:szCs w:val="26"/>
        </w:rPr>
        <w:tab/>
      </w:r>
      <w:r w:rsidRPr="004B2B7C">
        <w:rPr>
          <w:sz w:val="26"/>
          <w:szCs w:val="26"/>
        </w:rPr>
        <w:tab/>
        <w:t>Rosemary Chiavetta</w:t>
      </w:r>
    </w:p>
    <w:p w14:paraId="1E8BBB79" w14:textId="66FC735A" w:rsidR="001E1BF3" w:rsidRPr="00A35F64" w:rsidRDefault="004B2B7C" w:rsidP="00900881">
      <w:pPr>
        <w:jc w:val="center"/>
        <w:rPr>
          <w:color w:val="000066"/>
          <w:sz w:val="26"/>
          <w:szCs w:val="26"/>
        </w:rPr>
      </w:pPr>
      <w:r w:rsidRPr="004B2B7C">
        <w:rPr>
          <w:sz w:val="26"/>
          <w:szCs w:val="26"/>
        </w:rPr>
        <w:tab/>
      </w:r>
      <w:r w:rsidR="00F60CD0">
        <w:rPr>
          <w:sz w:val="26"/>
          <w:szCs w:val="26"/>
        </w:rPr>
        <w:t xml:space="preserve">    </w:t>
      </w:r>
      <w:r w:rsidRPr="004B2B7C">
        <w:rPr>
          <w:sz w:val="26"/>
          <w:szCs w:val="26"/>
        </w:rPr>
        <w:t>Secretary</w:t>
      </w:r>
    </w:p>
    <w:sectPr w:rsidR="001E1BF3" w:rsidRPr="00A35F64" w:rsidSect="0084218B">
      <w:footerReference w:type="even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B835" w14:textId="77777777" w:rsidR="00F44277" w:rsidRDefault="00F44277">
      <w:r>
        <w:separator/>
      </w:r>
    </w:p>
  </w:endnote>
  <w:endnote w:type="continuationSeparator" w:id="0">
    <w:p w14:paraId="50F0B309" w14:textId="77777777" w:rsidR="00F44277" w:rsidRDefault="00F4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7417" w14:textId="77777777" w:rsidR="0075019A" w:rsidRDefault="005F5A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96063" w14:textId="77777777" w:rsidR="0075019A" w:rsidRDefault="000D10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4733" w14:textId="77777777" w:rsidR="0075019A" w:rsidRDefault="000D1076">
    <w:pPr>
      <w:pStyle w:val="Footer"/>
      <w:framePr w:wrap="around" w:vAnchor="text" w:hAnchor="margin" w:xAlign="center" w:y="1"/>
      <w:rPr>
        <w:rStyle w:val="PageNumber"/>
      </w:rPr>
    </w:pPr>
  </w:p>
  <w:p w14:paraId="5F1361F1" w14:textId="77777777" w:rsidR="0075019A" w:rsidRDefault="000D1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3ED3" w14:textId="77777777" w:rsidR="00F44277" w:rsidRDefault="00F44277">
      <w:r>
        <w:separator/>
      </w:r>
    </w:p>
  </w:footnote>
  <w:footnote w:type="continuationSeparator" w:id="0">
    <w:p w14:paraId="321ED408" w14:textId="77777777" w:rsidR="00F44277" w:rsidRDefault="00F4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D1076"/>
    <w:rsid w:val="000D18F7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1F0AE6"/>
    <w:rsid w:val="002229C3"/>
    <w:rsid w:val="0022598F"/>
    <w:rsid w:val="00262DD7"/>
    <w:rsid w:val="0026549B"/>
    <w:rsid w:val="00272AC3"/>
    <w:rsid w:val="0029471C"/>
    <w:rsid w:val="002A6DAF"/>
    <w:rsid w:val="002C22CE"/>
    <w:rsid w:val="002E0E41"/>
    <w:rsid w:val="002E4A14"/>
    <w:rsid w:val="002F0138"/>
    <w:rsid w:val="002F2A55"/>
    <w:rsid w:val="002F55B1"/>
    <w:rsid w:val="003003DB"/>
    <w:rsid w:val="003074C3"/>
    <w:rsid w:val="00340F5E"/>
    <w:rsid w:val="003569E8"/>
    <w:rsid w:val="00372134"/>
    <w:rsid w:val="00385CA5"/>
    <w:rsid w:val="004001C2"/>
    <w:rsid w:val="00450DC7"/>
    <w:rsid w:val="00474D6A"/>
    <w:rsid w:val="004B2B7C"/>
    <w:rsid w:val="004C090E"/>
    <w:rsid w:val="004C4A5A"/>
    <w:rsid w:val="004D2698"/>
    <w:rsid w:val="004D57EC"/>
    <w:rsid w:val="004E0B95"/>
    <w:rsid w:val="0051639C"/>
    <w:rsid w:val="005E25C5"/>
    <w:rsid w:val="005F5AD4"/>
    <w:rsid w:val="00602685"/>
    <w:rsid w:val="006439A8"/>
    <w:rsid w:val="006755C0"/>
    <w:rsid w:val="00685561"/>
    <w:rsid w:val="0071154F"/>
    <w:rsid w:val="0071271A"/>
    <w:rsid w:val="00715F36"/>
    <w:rsid w:val="00717C2B"/>
    <w:rsid w:val="007617B1"/>
    <w:rsid w:val="00783B53"/>
    <w:rsid w:val="00794CF5"/>
    <w:rsid w:val="007A69A2"/>
    <w:rsid w:val="007C085F"/>
    <w:rsid w:val="007F7263"/>
    <w:rsid w:val="0081537D"/>
    <w:rsid w:val="00840714"/>
    <w:rsid w:val="008750DB"/>
    <w:rsid w:val="0088179E"/>
    <w:rsid w:val="00900881"/>
    <w:rsid w:val="00934FA1"/>
    <w:rsid w:val="00937AC0"/>
    <w:rsid w:val="009833D1"/>
    <w:rsid w:val="00994B0D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37E4"/>
    <w:rsid w:val="00B64EDB"/>
    <w:rsid w:val="00B659CF"/>
    <w:rsid w:val="00B74D3B"/>
    <w:rsid w:val="00B75046"/>
    <w:rsid w:val="00BE47D7"/>
    <w:rsid w:val="00BE4A72"/>
    <w:rsid w:val="00BE5119"/>
    <w:rsid w:val="00BE6D93"/>
    <w:rsid w:val="00BE7CE2"/>
    <w:rsid w:val="00C31050"/>
    <w:rsid w:val="00C52055"/>
    <w:rsid w:val="00C64ED9"/>
    <w:rsid w:val="00C74A51"/>
    <w:rsid w:val="00C77F29"/>
    <w:rsid w:val="00C90506"/>
    <w:rsid w:val="00C91484"/>
    <w:rsid w:val="00CB5738"/>
    <w:rsid w:val="00CF047C"/>
    <w:rsid w:val="00CF290E"/>
    <w:rsid w:val="00D01C75"/>
    <w:rsid w:val="00D2288A"/>
    <w:rsid w:val="00D24C04"/>
    <w:rsid w:val="00D365AD"/>
    <w:rsid w:val="00D4351D"/>
    <w:rsid w:val="00D725FE"/>
    <w:rsid w:val="00D901A3"/>
    <w:rsid w:val="00DD678C"/>
    <w:rsid w:val="00DE233B"/>
    <w:rsid w:val="00DE3F29"/>
    <w:rsid w:val="00DE5397"/>
    <w:rsid w:val="00E16700"/>
    <w:rsid w:val="00E24D3E"/>
    <w:rsid w:val="00E349DA"/>
    <w:rsid w:val="00E429EA"/>
    <w:rsid w:val="00EB4DF4"/>
    <w:rsid w:val="00EE0157"/>
    <w:rsid w:val="00EF5F20"/>
    <w:rsid w:val="00F001A3"/>
    <w:rsid w:val="00F01822"/>
    <w:rsid w:val="00F02941"/>
    <w:rsid w:val="00F302C0"/>
    <w:rsid w:val="00F44277"/>
    <w:rsid w:val="00F60CD0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customStyle="1" w:styleId="FooterChar">
    <w:name w:val="Footer Char"/>
    <w:basedOn w:val="DefaultParagraphFont"/>
    <w:link w:val="Footer"/>
    <w:rsid w:val="004B2B7C"/>
  </w:style>
  <w:style w:type="paragraph" w:styleId="Revision">
    <w:name w:val="Revision"/>
    <w:hidden/>
    <w:uiPriority w:val="99"/>
    <w:semiHidden/>
    <w:rsid w:val="00994B0D"/>
  </w:style>
  <w:style w:type="table" w:styleId="TableGrid">
    <w:name w:val="Table Grid"/>
    <w:basedOn w:val="TableNormal"/>
    <w:rsid w:val="00F6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018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teinhart@telecomcounsel.com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williams@fhhlaw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ee@fhh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2022-01-06T20:44:00Z</dcterms:created>
  <dcterms:modified xsi:type="dcterms:W3CDTF">2022-01-06T20:44:00Z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