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5A51B" w14:textId="77777777" w:rsidR="00995C74" w:rsidRPr="004006D5" w:rsidRDefault="00995C74" w:rsidP="00995C74">
      <w:pPr>
        <w:tabs>
          <w:tab w:val="left" w:pos="360"/>
        </w:tabs>
        <w:spacing w:after="0" w:line="240" w:lineRule="auto"/>
        <w:ind w:left="420"/>
        <w:jc w:val="center"/>
        <w:rPr>
          <w:rFonts w:eastAsia="SimSun" w:cs="Times New Roman"/>
          <w:b/>
          <w:szCs w:val="20"/>
        </w:rPr>
      </w:pPr>
      <w:r w:rsidRPr="004006D5">
        <w:rPr>
          <w:rFonts w:eastAsia="SimSun" w:cs="Times New Roman"/>
          <w:b/>
          <w:szCs w:val="20"/>
        </w:rPr>
        <w:t>BEFORE THE</w:t>
      </w:r>
    </w:p>
    <w:p w14:paraId="24BBCCD6" w14:textId="77777777" w:rsidR="00995C74" w:rsidRPr="004006D5" w:rsidRDefault="00995C74" w:rsidP="00995C74">
      <w:pPr>
        <w:tabs>
          <w:tab w:val="left" w:pos="360"/>
        </w:tabs>
        <w:spacing w:after="0" w:line="240" w:lineRule="auto"/>
        <w:jc w:val="center"/>
        <w:rPr>
          <w:rFonts w:eastAsia="SimSun" w:cs="Times New Roman"/>
          <w:b/>
          <w:szCs w:val="20"/>
        </w:rPr>
      </w:pPr>
      <w:r w:rsidRPr="004006D5">
        <w:rPr>
          <w:rFonts w:eastAsia="SimSun" w:cs="Times New Roman"/>
          <w:b/>
          <w:szCs w:val="20"/>
        </w:rPr>
        <w:t>PENNSYLVANIA PUBLIC UTILITY COMMISSION</w:t>
      </w:r>
    </w:p>
    <w:p w14:paraId="53ADE0EB" w14:textId="77777777" w:rsidR="00995C74" w:rsidRPr="004006D5" w:rsidRDefault="00995C74" w:rsidP="00995C74">
      <w:pPr>
        <w:tabs>
          <w:tab w:val="left" w:pos="360"/>
        </w:tabs>
        <w:spacing w:after="0" w:line="240" w:lineRule="auto"/>
        <w:jc w:val="both"/>
        <w:rPr>
          <w:rFonts w:eastAsia="SimSun" w:cs="Times New Roman"/>
          <w:b/>
          <w:szCs w:val="20"/>
        </w:rPr>
      </w:pPr>
    </w:p>
    <w:p w14:paraId="509A7388" w14:textId="77777777" w:rsidR="00995C74" w:rsidRPr="004006D5" w:rsidRDefault="00995C74" w:rsidP="00995C74">
      <w:pPr>
        <w:tabs>
          <w:tab w:val="left" w:pos="360"/>
        </w:tabs>
        <w:spacing w:after="0" w:line="240" w:lineRule="auto"/>
        <w:jc w:val="both"/>
        <w:rPr>
          <w:rFonts w:eastAsia="SimSun" w:cs="Times New Roman"/>
          <w:b/>
          <w:szCs w:val="20"/>
        </w:rPr>
      </w:pPr>
    </w:p>
    <w:p w14:paraId="504F1247" w14:textId="77777777" w:rsidR="00995C74" w:rsidRPr="004006D5" w:rsidRDefault="00995C74" w:rsidP="00995C74">
      <w:pPr>
        <w:tabs>
          <w:tab w:val="left" w:pos="360"/>
        </w:tabs>
        <w:spacing w:after="0" w:line="240" w:lineRule="auto"/>
        <w:jc w:val="both"/>
        <w:rPr>
          <w:rFonts w:eastAsia="SimSun" w:cs="Times New Roman"/>
          <w:b/>
          <w:szCs w:val="20"/>
        </w:rPr>
      </w:pPr>
    </w:p>
    <w:p w14:paraId="047D20E3" w14:textId="46383661" w:rsidR="00995C74" w:rsidRPr="00995C74" w:rsidRDefault="00995C74" w:rsidP="00995C74">
      <w:pPr>
        <w:tabs>
          <w:tab w:val="left" w:pos="360"/>
        </w:tabs>
        <w:spacing w:after="0" w:line="240" w:lineRule="auto"/>
        <w:jc w:val="both"/>
        <w:rPr>
          <w:rFonts w:eastAsia="SimSun" w:cs="Times New Roman"/>
          <w:szCs w:val="20"/>
        </w:rPr>
      </w:pPr>
      <w:r w:rsidRPr="00995C74">
        <w:rPr>
          <w:rFonts w:eastAsia="SimSun" w:cs="Times New Roman"/>
          <w:szCs w:val="20"/>
        </w:rPr>
        <w:t>Candice Achenbach</w:t>
      </w:r>
      <w:r w:rsidRPr="00995C74">
        <w:rPr>
          <w:rFonts w:eastAsia="SimSun" w:cs="Times New Roman"/>
          <w:szCs w:val="20"/>
        </w:rPr>
        <w:tab/>
      </w:r>
      <w:r w:rsidRPr="00995C74">
        <w:rPr>
          <w:rFonts w:eastAsia="SimSun" w:cs="Times New Roman"/>
          <w:szCs w:val="20"/>
        </w:rPr>
        <w:tab/>
      </w:r>
      <w:r w:rsidRPr="00995C74">
        <w:rPr>
          <w:rFonts w:eastAsia="SimSun" w:cs="Times New Roman"/>
          <w:szCs w:val="20"/>
        </w:rPr>
        <w:tab/>
      </w:r>
      <w:r w:rsidRPr="00995C74">
        <w:rPr>
          <w:rFonts w:eastAsia="SimSun" w:cs="Times New Roman"/>
          <w:szCs w:val="20"/>
        </w:rPr>
        <w:tab/>
      </w:r>
      <w:r w:rsidRPr="00995C74">
        <w:rPr>
          <w:rFonts w:eastAsia="SimSun" w:cs="Times New Roman"/>
          <w:szCs w:val="20"/>
        </w:rPr>
        <w:tab/>
        <w:t>:</w:t>
      </w:r>
    </w:p>
    <w:p w14:paraId="4F6357F1" w14:textId="77777777" w:rsidR="00995C74" w:rsidRPr="00995C74" w:rsidRDefault="00995C74" w:rsidP="00995C74">
      <w:pPr>
        <w:tabs>
          <w:tab w:val="left" w:pos="360"/>
        </w:tabs>
        <w:spacing w:after="0" w:line="240" w:lineRule="auto"/>
        <w:jc w:val="both"/>
        <w:rPr>
          <w:rFonts w:eastAsia="SimSun" w:cs="Times New Roman"/>
          <w:szCs w:val="20"/>
        </w:rPr>
      </w:pPr>
      <w:r w:rsidRPr="00995C74">
        <w:rPr>
          <w:rFonts w:eastAsia="SimSun" w:cs="Times New Roman"/>
          <w:szCs w:val="20"/>
        </w:rPr>
        <w:tab/>
      </w:r>
      <w:r w:rsidRPr="00995C74">
        <w:rPr>
          <w:rFonts w:eastAsia="SimSun" w:cs="Times New Roman"/>
          <w:szCs w:val="20"/>
        </w:rPr>
        <w:tab/>
      </w:r>
      <w:r w:rsidRPr="00995C74">
        <w:rPr>
          <w:rFonts w:eastAsia="SimSun" w:cs="Times New Roman"/>
          <w:szCs w:val="20"/>
        </w:rPr>
        <w:tab/>
      </w:r>
      <w:r w:rsidRPr="00995C74">
        <w:rPr>
          <w:rFonts w:eastAsia="SimSun" w:cs="Times New Roman"/>
          <w:szCs w:val="20"/>
        </w:rPr>
        <w:tab/>
      </w:r>
      <w:r w:rsidRPr="00995C74">
        <w:rPr>
          <w:rFonts w:eastAsia="SimSun" w:cs="Times New Roman"/>
          <w:szCs w:val="20"/>
        </w:rPr>
        <w:tab/>
      </w:r>
      <w:r w:rsidRPr="00995C74">
        <w:rPr>
          <w:rFonts w:eastAsia="SimSun" w:cs="Times New Roman"/>
          <w:szCs w:val="20"/>
        </w:rPr>
        <w:tab/>
      </w:r>
      <w:r w:rsidRPr="00995C74">
        <w:rPr>
          <w:rFonts w:eastAsia="SimSun" w:cs="Times New Roman"/>
          <w:szCs w:val="20"/>
        </w:rPr>
        <w:tab/>
      </w:r>
      <w:r w:rsidRPr="00995C74">
        <w:rPr>
          <w:rFonts w:eastAsia="SimSun" w:cs="Times New Roman"/>
          <w:szCs w:val="20"/>
        </w:rPr>
        <w:tab/>
        <w:t>:</w:t>
      </w:r>
    </w:p>
    <w:p w14:paraId="31318A39" w14:textId="0FED7106" w:rsidR="00995C74" w:rsidRPr="00995C74" w:rsidRDefault="00995C74" w:rsidP="00995C74">
      <w:pPr>
        <w:tabs>
          <w:tab w:val="left" w:pos="360"/>
          <w:tab w:val="left" w:pos="720"/>
        </w:tabs>
        <w:spacing w:after="0" w:line="240" w:lineRule="auto"/>
        <w:jc w:val="both"/>
        <w:rPr>
          <w:rFonts w:eastAsia="SimSun" w:cs="Times New Roman"/>
          <w:szCs w:val="20"/>
        </w:rPr>
      </w:pPr>
      <w:r w:rsidRPr="00995C74">
        <w:rPr>
          <w:rFonts w:eastAsia="SimSun" w:cs="Times New Roman"/>
          <w:szCs w:val="20"/>
        </w:rPr>
        <w:tab/>
      </w:r>
      <w:r w:rsidRPr="00995C74">
        <w:rPr>
          <w:rFonts w:eastAsia="SimSun" w:cs="Times New Roman"/>
          <w:szCs w:val="20"/>
        </w:rPr>
        <w:tab/>
        <w:t>v.</w:t>
      </w:r>
      <w:r w:rsidRPr="00995C74">
        <w:rPr>
          <w:rFonts w:eastAsia="SimSun" w:cs="Times New Roman"/>
          <w:szCs w:val="20"/>
        </w:rPr>
        <w:tab/>
      </w:r>
      <w:r w:rsidRPr="00995C74">
        <w:rPr>
          <w:rFonts w:eastAsia="SimSun" w:cs="Times New Roman"/>
          <w:szCs w:val="20"/>
        </w:rPr>
        <w:tab/>
      </w:r>
      <w:r w:rsidRPr="00995C74">
        <w:rPr>
          <w:rFonts w:eastAsia="SimSun" w:cs="Times New Roman"/>
          <w:szCs w:val="20"/>
        </w:rPr>
        <w:tab/>
      </w:r>
      <w:r w:rsidRPr="00995C74">
        <w:rPr>
          <w:rFonts w:eastAsia="SimSun" w:cs="Times New Roman"/>
          <w:szCs w:val="20"/>
        </w:rPr>
        <w:tab/>
      </w:r>
      <w:r w:rsidRPr="00995C74">
        <w:rPr>
          <w:rFonts w:eastAsia="SimSun" w:cs="Times New Roman"/>
          <w:szCs w:val="20"/>
        </w:rPr>
        <w:tab/>
      </w:r>
      <w:r w:rsidRPr="00995C74">
        <w:rPr>
          <w:rFonts w:eastAsia="SimSun" w:cs="Times New Roman"/>
          <w:szCs w:val="20"/>
        </w:rPr>
        <w:tab/>
        <w:t>:</w:t>
      </w:r>
      <w:r w:rsidRPr="00995C74">
        <w:rPr>
          <w:rFonts w:eastAsia="SimSun" w:cs="Times New Roman"/>
          <w:szCs w:val="20"/>
        </w:rPr>
        <w:tab/>
      </w:r>
      <w:r w:rsidRPr="00995C74">
        <w:rPr>
          <w:rFonts w:eastAsia="SimSun" w:cs="Times New Roman"/>
          <w:szCs w:val="20"/>
        </w:rPr>
        <w:tab/>
        <w:t>C-2021-3029559</w:t>
      </w:r>
    </w:p>
    <w:p w14:paraId="54908618" w14:textId="77777777" w:rsidR="00995C74" w:rsidRPr="00995C74" w:rsidRDefault="00995C74" w:rsidP="00995C74">
      <w:pPr>
        <w:tabs>
          <w:tab w:val="left" w:pos="360"/>
        </w:tabs>
        <w:spacing w:after="0" w:line="240" w:lineRule="auto"/>
        <w:jc w:val="both"/>
        <w:rPr>
          <w:rFonts w:eastAsia="SimSun" w:cs="Times New Roman"/>
          <w:szCs w:val="20"/>
        </w:rPr>
      </w:pPr>
      <w:r w:rsidRPr="00995C74">
        <w:rPr>
          <w:rFonts w:eastAsia="SimSun" w:cs="Times New Roman"/>
          <w:szCs w:val="20"/>
        </w:rPr>
        <w:tab/>
      </w:r>
      <w:r w:rsidRPr="00995C74">
        <w:rPr>
          <w:rFonts w:eastAsia="SimSun" w:cs="Times New Roman"/>
          <w:szCs w:val="20"/>
        </w:rPr>
        <w:tab/>
      </w:r>
      <w:r w:rsidRPr="00995C74">
        <w:rPr>
          <w:rFonts w:eastAsia="SimSun" w:cs="Times New Roman"/>
          <w:szCs w:val="20"/>
        </w:rPr>
        <w:tab/>
      </w:r>
      <w:r w:rsidRPr="00995C74">
        <w:rPr>
          <w:rFonts w:eastAsia="SimSun" w:cs="Times New Roman"/>
          <w:szCs w:val="20"/>
        </w:rPr>
        <w:tab/>
      </w:r>
      <w:r w:rsidRPr="00995C74">
        <w:rPr>
          <w:rFonts w:eastAsia="SimSun" w:cs="Times New Roman"/>
          <w:szCs w:val="20"/>
        </w:rPr>
        <w:tab/>
      </w:r>
      <w:r w:rsidRPr="00995C74">
        <w:rPr>
          <w:rFonts w:eastAsia="SimSun" w:cs="Times New Roman"/>
          <w:szCs w:val="20"/>
        </w:rPr>
        <w:tab/>
      </w:r>
      <w:r w:rsidRPr="00995C74">
        <w:rPr>
          <w:rFonts w:eastAsia="SimSun" w:cs="Times New Roman"/>
          <w:szCs w:val="20"/>
        </w:rPr>
        <w:tab/>
      </w:r>
      <w:r w:rsidRPr="00995C74">
        <w:rPr>
          <w:rFonts w:eastAsia="SimSun" w:cs="Times New Roman"/>
          <w:szCs w:val="20"/>
        </w:rPr>
        <w:tab/>
        <w:t>:</w:t>
      </w:r>
    </w:p>
    <w:p w14:paraId="47753B4F" w14:textId="131FAAD2" w:rsidR="00995C74" w:rsidRPr="00995C74" w:rsidRDefault="00995C74" w:rsidP="00995C74">
      <w:pPr>
        <w:tabs>
          <w:tab w:val="left" w:pos="360"/>
        </w:tabs>
        <w:spacing w:after="0" w:line="240" w:lineRule="auto"/>
        <w:jc w:val="both"/>
        <w:rPr>
          <w:rFonts w:eastAsia="SimSun" w:cs="Times New Roman"/>
          <w:szCs w:val="20"/>
        </w:rPr>
      </w:pPr>
      <w:r w:rsidRPr="00995C74">
        <w:rPr>
          <w:rFonts w:eastAsia="SimSun" w:cs="Times New Roman"/>
          <w:szCs w:val="20"/>
        </w:rPr>
        <w:t>Columbia Gas of Pennsylvania Inc.</w:t>
      </w:r>
      <w:r w:rsidRPr="00995C74">
        <w:rPr>
          <w:rFonts w:eastAsia="SimSun" w:cs="Times New Roman"/>
          <w:szCs w:val="20"/>
        </w:rPr>
        <w:tab/>
      </w:r>
      <w:r w:rsidRPr="00995C74">
        <w:rPr>
          <w:rFonts w:eastAsia="SimSun" w:cs="Times New Roman"/>
          <w:szCs w:val="20"/>
        </w:rPr>
        <w:tab/>
      </w:r>
      <w:r w:rsidRPr="00995C74">
        <w:rPr>
          <w:rFonts w:eastAsia="SimSun" w:cs="Times New Roman"/>
          <w:szCs w:val="20"/>
        </w:rPr>
        <w:tab/>
        <w:t>:</w:t>
      </w:r>
    </w:p>
    <w:p w14:paraId="04B78F5C" w14:textId="602F6EEE" w:rsidR="00792796" w:rsidRPr="00995C74" w:rsidRDefault="00792796" w:rsidP="00995C74">
      <w:pPr>
        <w:spacing w:after="0" w:line="240" w:lineRule="auto"/>
      </w:pPr>
    </w:p>
    <w:p w14:paraId="16BF82EB" w14:textId="4C0E3EC6" w:rsidR="00995C74" w:rsidRDefault="00995C74" w:rsidP="00995C74">
      <w:pPr>
        <w:spacing w:after="0" w:line="240" w:lineRule="auto"/>
      </w:pPr>
    </w:p>
    <w:p w14:paraId="598AFDC2" w14:textId="77777777" w:rsidR="00995C74" w:rsidRDefault="00995C74" w:rsidP="00995C74">
      <w:pPr>
        <w:spacing w:after="0" w:line="240" w:lineRule="auto"/>
      </w:pPr>
    </w:p>
    <w:p w14:paraId="40507163" w14:textId="528CE634" w:rsidR="00FD1D90" w:rsidRPr="00107654" w:rsidRDefault="00107654" w:rsidP="00995C74">
      <w:pPr>
        <w:spacing w:after="0" w:line="240" w:lineRule="auto"/>
        <w:jc w:val="center"/>
        <w:rPr>
          <w:b/>
          <w:bCs/>
        </w:rPr>
      </w:pPr>
      <w:r w:rsidRPr="00107654">
        <w:rPr>
          <w:b/>
          <w:bCs/>
        </w:rPr>
        <w:t>INTERIM ORDER</w:t>
      </w:r>
    </w:p>
    <w:p w14:paraId="0268489D" w14:textId="32AAFDE1" w:rsidR="00107654" w:rsidRPr="00107654" w:rsidRDefault="00107654" w:rsidP="00995C74">
      <w:pPr>
        <w:spacing w:after="0" w:line="240" w:lineRule="auto"/>
        <w:jc w:val="center"/>
        <w:rPr>
          <w:u w:val="single"/>
        </w:rPr>
      </w:pPr>
      <w:r w:rsidRPr="00107654">
        <w:rPr>
          <w:b/>
          <w:bCs/>
          <w:u w:val="single"/>
        </w:rPr>
        <w:t>DISMISSING PRELIMINARY OBJECTIONS</w:t>
      </w:r>
    </w:p>
    <w:p w14:paraId="41821FBE" w14:textId="3808895A" w:rsidR="00FD1D90" w:rsidRDefault="00FD1D90" w:rsidP="00995C74">
      <w:pPr>
        <w:spacing w:after="0"/>
      </w:pPr>
    </w:p>
    <w:p w14:paraId="3A8A068E" w14:textId="7B109289" w:rsidR="00FD1D90" w:rsidRDefault="00FD1D90" w:rsidP="00995C74">
      <w:pPr>
        <w:spacing w:after="0"/>
      </w:pPr>
      <w:r>
        <w:tab/>
      </w:r>
      <w:r>
        <w:tab/>
        <w:t>On November 15, 2021, Candice Achenbach filed a formal complaint against Columbia Ga</w:t>
      </w:r>
      <w:r w:rsidR="004670C1">
        <w:t>s of Pennsylvania, Inc. (</w:t>
      </w:r>
      <w:r w:rsidR="00107654">
        <w:t>Columbia</w:t>
      </w:r>
      <w:r w:rsidR="004670C1">
        <w:t>)</w:t>
      </w:r>
      <w:r w:rsidR="00995C74">
        <w:t xml:space="preserve">.  </w:t>
      </w:r>
      <w:r>
        <w:t xml:space="preserve">In her </w:t>
      </w:r>
      <w:r w:rsidR="00995C74">
        <w:t>C</w:t>
      </w:r>
      <w:r>
        <w:t xml:space="preserve">omplaint, she stated that Columbia is threatening to shut off her service.  She explained that Columbia notified her that the gas meter needed to be relocated as part of a gas main replacement project. </w:t>
      </w:r>
      <w:r w:rsidR="00995C74">
        <w:t xml:space="preserve"> </w:t>
      </w:r>
      <w:r>
        <w:t>She states that Columbia initially told her that the meter could be moved to a suitable location on the side of the building, but later</w:t>
      </w:r>
      <w:r w:rsidR="004670C1">
        <w:t xml:space="preserve"> refused to do so.  She also states that Columbia did not provide her with sufficient</w:t>
      </w:r>
      <w:r w:rsidR="00E7267A">
        <w:t xml:space="preserve"> time</w:t>
      </w:r>
      <w:r w:rsidR="004670C1">
        <w:t xml:space="preserve"> to convert to electric service for heating</w:t>
      </w:r>
      <w:r w:rsidR="00E7267A">
        <w:t>,</w:t>
      </w:r>
      <w:r w:rsidR="004670C1">
        <w:t xml:space="preserve"> before terminating her gas service.</w:t>
      </w:r>
    </w:p>
    <w:p w14:paraId="6AE632B6" w14:textId="1C347052" w:rsidR="004670C1" w:rsidRDefault="004670C1" w:rsidP="00995C74">
      <w:pPr>
        <w:spacing w:after="0"/>
      </w:pPr>
    </w:p>
    <w:p w14:paraId="22C5CB8A" w14:textId="4F7FD6EC" w:rsidR="004670C1" w:rsidRDefault="004670C1" w:rsidP="00995C74">
      <w:pPr>
        <w:spacing w:after="0"/>
      </w:pPr>
      <w:r>
        <w:tab/>
      </w:r>
      <w:r>
        <w:tab/>
        <w:t xml:space="preserve">Columbia filed an answer and preliminary objections on December 7, 2021.  Columbia admitted that an infrastructure improvement project required the relocation of Ms. Achenbach’s meter.  Columbia denied that it told Ms. </w:t>
      </w:r>
      <w:r w:rsidR="00763CD0">
        <w:t>Achenbach</w:t>
      </w:r>
      <w:r>
        <w:t xml:space="preserve"> that</w:t>
      </w:r>
      <w:r w:rsidR="003075AA">
        <w:t xml:space="preserve"> the meter could be relocated to the side of her house. Columbia also stated that Ms. </w:t>
      </w:r>
      <w:r w:rsidR="00763CD0">
        <w:t>Achenbach</w:t>
      </w:r>
      <w:r w:rsidR="003075AA">
        <w:t xml:space="preserve"> had notice of the project since May 2021 and that a further delay to permit her to convert to electric heat is not warranted.</w:t>
      </w:r>
    </w:p>
    <w:p w14:paraId="4F1E7581" w14:textId="5E8EB8FE" w:rsidR="003075AA" w:rsidRDefault="003075AA" w:rsidP="00995C74">
      <w:pPr>
        <w:spacing w:after="0"/>
      </w:pPr>
    </w:p>
    <w:p w14:paraId="245BCE07" w14:textId="2C9FF0DE" w:rsidR="003075AA" w:rsidRDefault="003075AA" w:rsidP="00995C74">
      <w:pPr>
        <w:spacing w:after="0"/>
      </w:pPr>
      <w:r>
        <w:tab/>
      </w:r>
      <w:r>
        <w:tab/>
        <w:t xml:space="preserve">Columbia also filed preliminary objections which seek to dismiss the </w:t>
      </w:r>
      <w:r w:rsidR="00E7267A">
        <w:t>C</w:t>
      </w:r>
      <w:r>
        <w:t>omplaint.   The preliminary objections included a notice to plead which told Ms. Achenbach that she had ten days in which to file an answer.  Ms. Achenbach did not file an answer.  Therefore I will decide the preliminary objections.</w:t>
      </w:r>
    </w:p>
    <w:p w14:paraId="2341EF8F" w14:textId="338FFF5E" w:rsidR="003075AA" w:rsidRDefault="003075AA" w:rsidP="00995C74">
      <w:pPr>
        <w:spacing w:after="0"/>
      </w:pPr>
    </w:p>
    <w:p w14:paraId="71BF491A" w14:textId="77777777" w:rsidR="003075AA" w:rsidRDefault="003075AA" w:rsidP="00995C74">
      <w:pPr>
        <w:spacing w:after="0"/>
      </w:pPr>
      <w:r>
        <w:lastRenderedPageBreak/>
        <w:tab/>
      </w:r>
      <w:r>
        <w:tab/>
        <w:t>Preliminary objections are permitted under Commission regulations.</w:t>
      </w:r>
      <w:r>
        <w:rPr>
          <w:rStyle w:val="FootnoteReference"/>
        </w:rPr>
        <w:footnoteReference w:id="1"/>
      </w:r>
      <w:r>
        <w:t xml:space="preserve">  Preliminary objection practice before the Commission is similar to Pennsylvania civil practice respecting preliminary objections.</w:t>
      </w:r>
      <w:r>
        <w:rPr>
          <w:rStyle w:val="FootnoteReference"/>
        </w:rPr>
        <w:footnoteReference w:id="2"/>
      </w:r>
      <w:r>
        <w:t xml:space="preserve"> </w:t>
      </w:r>
    </w:p>
    <w:p w14:paraId="52646FF7" w14:textId="77777777" w:rsidR="003075AA" w:rsidRDefault="003075AA" w:rsidP="00995C74">
      <w:pPr>
        <w:spacing w:after="0"/>
      </w:pPr>
    </w:p>
    <w:p w14:paraId="72284AF1" w14:textId="77777777" w:rsidR="003075AA" w:rsidRDefault="003075AA" w:rsidP="00995C74">
      <w:pPr>
        <w:spacing w:after="0"/>
      </w:pPr>
      <w:r>
        <w:tab/>
      </w:r>
      <w:r>
        <w:tab/>
        <w:t>Commission regulations</w:t>
      </w:r>
      <w:r>
        <w:rPr>
          <w:rStyle w:val="FootnoteReference"/>
        </w:rPr>
        <w:footnoteReference w:id="3"/>
      </w:r>
      <w:r>
        <w:t xml:space="preserve"> provide:</w:t>
      </w:r>
    </w:p>
    <w:p w14:paraId="0ECFF531" w14:textId="77777777" w:rsidR="003075AA" w:rsidRDefault="003075AA" w:rsidP="003075AA">
      <w:pPr>
        <w:pStyle w:val="Quote"/>
        <w:spacing w:after="0"/>
      </w:pPr>
    </w:p>
    <w:p w14:paraId="5AFE132B" w14:textId="77777777" w:rsidR="003075AA" w:rsidRDefault="003075AA" w:rsidP="003075AA">
      <w:pPr>
        <w:pStyle w:val="Quote"/>
        <w:spacing w:after="0"/>
        <w:ind w:left="1440" w:right="1440"/>
      </w:pPr>
      <w:r>
        <w:t>(a)</w:t>
      </w:r>
      <w:r>
        <w:tab/>
        <w:t>Grounds.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14:paraId="60324591" w14:textId="77777777" w:rsidR="003075AA" w:rsidRDefault="003075AA" w:rsidP="003075AA">
      <w:pPr>
        <w:pStyle w:val="Quote"/>
        <w:spacing w:after="0"/>
        <w:ind w:left="1440" w:right="1440"/>
      </w:pPr>
    </w:p>
    <w:p w14:paraId="03A3A991" w14:textId="77777777" w:rsidR="003075AA" w:rsidRDefault="003075AA" w:rsidP="003075AA">
      <w:pPr>
        <w:pStyle w:val="Quote"/>
        <w:spacing w:after="0"/>
        <w:ind w:left="1440" w:right="1440"/>
      </w:pPr>
      <w:r>
        <w:tab/>
        <w:t>(1)</w:t>
      </w:r>
      <w:r>
        <w:tab/>
        <w:t>Lack of Commission jurisdiction or improper service of the pleading initiating the proceeding.</w:t>
      </w:r>
      <w:r>
        <w:br/>
      </w:r>
    </w:p>
    <w:p w14:paraId="38ACC3A4" w14:textId="77777777" w:rsidR="003075AA" w:rsidRDefault="003075AA" w:rsidP="003075AA">
      <w:pPr>
        <w:pStyle w:val="Quote"/>
        <w:spacing w:after="0"/>
        <w:ind w:left="1440" w:right="1440"/>
      </w:pPr>
      <w:r>
        <w:tab/>
        <w:t>(2)</w:t>
      </w:r>
      <w:r>
        <w:tab/>
        <w:t>Failure of a pleading to conform to this chapter or the inclusion of scandalous or impertinent matter.</w:t>
      </w:r>
      <w:r>
        <w:br/>
      </w:r>
    </w:p>
    <w:p w14:paraId="56DA4B9C" w14:textId="77777777" w:rsidR="003075AA" w:rsidRDefault="003075AA" w:rsidP="003075AA">
      <w:pPr>
        <w:pStyle w:val="Quote"/>
        <w:spacing w:after="0"/>
        <w:ind w:left="1440" w:right="1440"/>
      </w:pPr>
      <w:r>
        <w:tab/>
        <w:t>(3)</w:t>
      </w:r>
      <w:r>
        <w:tab/>
        <w:t>Insufficient specificity of a pleading.</w:t>
      </w:r>
      <w:r>
        <w:br/>
      </w:r>
    </w:p>
    <w:p w14:paraId="0F938222" w14:textId="77777777" w:rsidR="003075AA" w:rsidRDefault="003075AA" w:rsidP="003075AA">
      <w:pPr>
        <w:pStyle w:val="Quote"/>
        <w:spacing w:after="0"/>
        <w:ind w:left="1440" w:right="1440"/>
      </w:pPr>
      <w:r>
        <w:tab/>
        <w:t>(4)</w:t>
      </w:r>
      <w:r>
        <w:tab/>
        <w:t>Legal insufficiency of a pleading.</w:t>
      </w:r>
      <w:r>
        <w:br/>
      </w:r>
    </w:p>
    <w:p w14:paraId="28F3F964" w14:textId="77777777" w:rsidR="003075AA" w:rsidRDefault="003075AA" w:rsidP="003075AA">
      <w:pPr>
        <w:pStyle w:val="Quote"/>
        <w:spacing w:after="0"/>
        <w:ind w:left="1440" w:right="1440"/>
      </w:pPr>
      <w:r>
        <w:tab/>
        <w:t>(5)</w:t>
      </w:r>
      <w:r>
        <w:tab/>
        <w:t>Lack of capacity to sue, nonjoinder of a necessary party or misjoinder of a cause of action.</w:t>
      </w:r>
      <w:r>
        <w:br/>
      </w:r>
    </w:p>
    <w:p w14:paraId="32B33D28" w14:textId="77777777" w:rsidR="003075AA" w:rsidRDefault="003075AA" w:rsidP="003075AA">
      <w:pPr>
        <w:pStyle w:val="Quote"/>
        <w:spacing w:after="0"/>
        <w:ind w:left="1440" w:right="1440"/>
      </w:pPr>
      <w:r>
        <w:tab/>
        <w:t>(6)</w:t>
      </w:r>
      <w:r>
        <w:tab/>
        <w:t>Pendency of a prior proceeding or agreement for alternative dispute resolution.</w:t>
      </w:r>
    </w:p>
    <w:p w14:paraId="213DFA7B" w14:textId="77777777" w:rsidR="003075AA" w:rsidRPr="00153608" w:rsidRDefault="003075AA" w:rsidP="00995C74">
      <w:pPr>
        <w:spacing w:after="0"/>
      </w:pPr>
    </w:p>
    <w:p w14:paraId="61BEF714" w14:textId="00675AC7" w:rsidR="003075AA" w:rsidRDefault="003075AA" w:rsidP="00995C74">
      <w:pPr>
        <w:spacing w:after="0"/>
      </w:pPr>
      <w:r>
        <w:tab/>
      </w:r>
      <w:r>
        <w:tab/>
        <w:t xml:space="preserve">In deciding the preliminary objections, the Commission must determine whether, based on factual </w:t>
      </w:r>
      <w:r w:rsidR="00185CFB">
        <w:t>statements of the complainant</w:t>
      </w:r>
      <w:r>
        <w:t>, recovery or relief is possible.</w:t>
      </w:r>
      <w:r>
        <w:rPr>
          <w:rStyle w:val="FootnoteReference"/>
        </w:rPr>
        <w:footnoteReference w:id="4"/>
      </w:r>
      <w:r>
        <w:t xml:space="preserve">  Any doubt must be resolved in favor of the non-moving party by refusing to sustain the preliminary objections.</w:t>
      </w:r>
      <w:r>
        <w:rPr>
          <w:rStyle w:val="FootnoteReference"/>
        </w:rPr>
        <w:footnoteReference w:id="5"/>
      </w:r>
      <w:r>
        <w:t xml:space="preserve">  All of the non-moving party’s averments in the complaint must be viewed as true for purposes of deciding the preliminary objections, and only those facts specifically admitted may be considered against the non-moving party.</w:t>
      </w:r>
      <w:r>
        <w:rPr>
          <w:rStyle w:val="FootnoteReference"/>
        </w:rPr>
        <w:footnoteReference w:id="6"/>
      </w:r>
      <w:r>
        <w:t xml:space="preserve"> </w:t>
      </w:r>
    </w:p>
    <w:p w14:paraId="18123AFE" w14:textId="0E6DECAF" w:rsidR="00185CFB" w:rsidRDefault="00185CFB" w:rsidP="00995C74">
      <w:pPr>
        <w:spacing w:after="0"/>
      </w:pPr>
    </w:p>
    <w:p w14:paraId="15CD68FF" w14:textId="7991B9AF" w:rsidR="00185CFB" w:rsidRDefault="00185CFB" w:rsidP="00995C74">
      <w:pPr>
        <w:spacing w:after="0"/>
      </w:pPr>
      <w:r>
        <w:tab/>
      </w:r>
      <w:r>
        <w:tab/>
        <w:t xml:space="preserve">Columbia’s preliminary objections will be dismissed.  Ms. </w:t>
      </w:r>
      <w:r w:rsidR="00763CD0">
        <w:t>Achenbach</w:t>
      </w:r>
      <w:r>
        <w:t xml:space="preserve">’s </w:t>
      </w:r>
      <w:r w:rsidR="00E7267A">
        <w:t>C</w:t>
      </w:r>
      <w:r>
        <w:t xml:space="preserve">omplaint clearly raises a customer service issue beyond simply the relocation of the meter.  </w:t>
      </w:r>
      <w:r w:rsidR="00BB0ECC">
        <w:br/>
      </w:r>
    </w:p>
    <w:p w14:paraId="2A1D9F38" w14:textId="5AC89B13" w:rsidR="00185CFB" w:rsidRDefault="00185CFB" w:rsidP="00995C74">
      <w:pPr>
        <w:spacing w:after="0"/>
      </w:pPr>
      <w:r>
        <w:tab/>
      </w:r>
      <w:r>
        <w:tab/>
        <w:t xml:space="preserve">Columbia argues that Ms. </w:t>
      </w:r>
      <w:r w:rsidR="00763CD0">
        <w:t>Achenbach</w:t>
      </w:r>
      <w:r>
        <w:t xml:space="preserve">’s </w:t>
      </w:r>
      <w:r w:rsidR="00E7267A">
        <w:t>C</w:t>
      </w:r>
      <w:r>
        <w:t xml:space="preserve">omplaint must be dismissed because Columbia’s tariff requires Ms. </w:t>
      </w:r>
      <w:r w:rsidR="00763CD0">
        <w:t>Achenbach</w:t>
      </w:r>
      <w:r>
        <w:t xml:space="preserve">’s meter to be relocated.  According to Columbia, its Commission-approved tariff gives Columbia the absolute discretion to determine the appropriate location of a gas meter.  </w:t>
      </w:r>
    </w:p>
    <w:p w14:paraId="27F8AE57" w14:textId="0A44F495" w:rsidR="00185CFB" w:rsidRDefault="00185CFB" w:rsidP="00995C74">
      <w:pPr>
        <w:spacing w:after="0"/>
      </w:pPr>
    </w:p>
    <w:p w14:paraId="12BDC6A5" w14:textId="56C53136" w:rsidR="005C1DC9" w:rsidRDefault="00185CFB" w:rsidP="00995C74">
      <w:pPr>
        <w:spacing w:after="0"/>
      </w:pPr>
      <w:r>
        <w:tab/>
      </w:r>
      <w:r>
        <w:tab/>
      </w:r>
      <w:r w:rsidR="005C1DC9">
        <w:t xml:space="preserve">Ms. </w:t>
      </w:r>
      <w:r w:rsidR="00763CD0">
        <w:t>Achenbach</w:t>
      </w:r>
      <w:r w:rsidR="005C1DC9">
        <w:t xml:space="preserve">’s raises issues in her </w:t>
      </w:r>
      <w:r w:rsidR="00E7267A">
        <w:t>C</w:t>
      </w:r>
      <w:r w:rsidR="005C1DC9">
        <w:t xml:space="preserve">omplaint which are more than the location of her gas meter. </w:t>
      </w:r>
      <w:r w:rsidR="00E3597D">
        <w:t xml:space="preserve"> If Ms. </w:t>
      </w:r>
      <w:r w:rsidR="00763CD0">
        <w:t>Achenbach</w:t>
      </w:r>
      <w:r w:rsidR="00E3597D">
        <w:t>’s statements are true, I must consider whether Columbia violated Section 1501 of the Public Utility Code</w:t>
      </w:r>
      <w:r w:rsidR="0003613C">
        <w:rPr>
          <w:rStyle w:val="FootnoteReference"/>
        </w:rPr>
        <w:footnoteReference w:id="7"/>
      </w:r>
      <w:r w:rsidR="00E3597D">
        <w:t xml:space="preserve"> by failing to provide reasonable and adequate customer service</w:t>
      </w:r>
      <w:r w:rsidR="00C970E1">
        <w:t xml:space="preserve">. </w:t>
      </w:r>
      <w:r w:rsidR="00E7267A">
        <w:t xml:space="preserve"> </w:t>
      </w:r>
      <w:r w:rsidR="00C970E1">
        <w:t xml:space="preserve">Ms. </w:t>
      </w:r>
      <w:r w:rsidR="00763CD0">
        <w:t>Achenbach</w:t>
      </w:r>
      <w:r w:rsidR="005C1DC9">
        <w:t xml:space="preserve"> states that Columbia told her that the meter could be placed on the side of the house.  Columbia denies this allegation.  Ms. </w:t>
      </w:r>
      <w:r w:rsidR="00763CD0">
        <w:t>Achenbach</w:t>
      </w:r>
      <w:r w:rsidR="005C1DC9">
        <w:t xml:space="preserve"> also states that Columbia did not provide her with enough time to switch to electricity for heating and instead threatened to abandon service to her and her tenants.  In its answer, Columbia denies that Ms.</w:t>
      </w:r>
      <w:r w:rsidR="0096424D">
        <w:t> </w:t>
      </w:r>
      <w:r w:rsidR="00763CD0">
        <w:t>Achenbach</w:t>
      </w:r>
      <w:r w:rsidR="005C1DC9">
        <w:t xml:space="preserve"> had insufficient time to convert to electricity service.  </w:t>
      </w:r>
      <w:r w:rsidR="00E3597D">
        <w:t xml:space="preserve">Therefore, at the very least, there are factual disputes that must be resolved at hearing.  </w:t>
      </w:r>
    </w:p>
    <w:p w14:paraId="4E4FED04" w14:textId="6B448AA4" w:rsidR="00E3597D" w:rsidRDefault="00E3597D" w:rsidP="00995C74">
      <w:pPr>
        <w:spacing w:after="0"/>
      </w:pPr>
    </w:p>
    <w:p w14:paraId="67FD6E11" w14:textId="77777777" w:rsidR="00A95D2A" w:rsidRDefault="00E3597D" w:rsidP="00995C74">
      <w:pPr>
        <w:spacing w:after="0"/>
      </w:pPr>
      <w:r>
        <w:tab/>
      </w:r>
      <w:r>
        <w:tab/>
        <w:t>Columbia adds numerous factual allegations</w:t>
      </w:r>
      <w:r w:rsidR="00C970E1">
        <w:t xml:space="preserve"> in both its answer and</w:t>
      </w:r>
      <w:r>
        <w:t xml:space="preserve"> in its preliminary objections</w:t>
      </w:r>
      <w:r w:rsidR="00C970E1">
        <w:t>.  In resolving a preliminary objection, the facts raised in the complaint are presumed to be true.</w:t>
      </w:r>
      <w:r w:rsidR="009A2B20">
        <w:rPr>
          <w:rStyle w:val="FootnoteReference"/>
        </w:rPr>
        <w:footnoteReference w:id="8"/>
      </w:r>
      <w:r w:rsidR="00C970E1">
        <w:t xml:space="preserve">  It is not appropriate to consider additional facts that are provided by the </w:t>
      </w:r>
    </w:p>
    <w:p w14:paraId="0E9E2D3A" w14:textId="77777777" w:rsidR="00A95D2A" w:rsidRDefault="00A95D2A" w:rsidP="00995C74">
      <w:pPr>
        <w:spacing w:after="0"/>
      </w:pPr>
    </w:p>
    <w:p w14:paraId="32569B16" w14:textId="6539C497" w:rsidR="009A2B20" w:rsidRDefault="00C970E1" w:rsidP="00995C74">
      <w:pPr>
        <w:spacing w:after="0"/>
      </w:pPr>
      <w:r>
        <w:t>utility “by way of background” in either the utility’s answer or in its preliminary objections.</w:t>
      </w:r>
      <w:r w:rsidR="009A2B20">
        <w:rPr>
          <w:rStyle w:val="FootnoteReference"/>
        </w:rPr>
        <w:footnoteReference w:id="9"/>
      </w:r>
    </w:p>
    <w:p w14:paraId="7437B4E0" w14:textId="77777777" w:rsidR="00A95D2A" w:rsidRDefault="00A95D2A" w:rsidP="00995C74">
      <w:pPr>
        <w:spacing w:after="0"/>
      </w:pPr>
    </w:p>
    <w:p w14:paraId="2D9DEC8A" w14:textId="3813F8A7" w:rsidR="003B3910" w:rsidRDefault="003B3910" w:rsidP="0096424D">
      <w:pPr>
        <w:spacing w:after="0"/>
        <w:ind w:firstLine="1440"/>
      </w:pPr>
      <w:r>
        <w:t>THEREFORE,</w:t>
      </w:r>
    </w:p>
    <w:p w14:paraId="7136F4E8" w14:textId="645E6B1B" w:rsidR="003B3910" w:rsidRDefault="003B3910" w:rsidP="00995C74">
      <w:pPr>
        <w:spacing w:after="0"/>
      </w:pPr>
    </w:p>
    <w:p w14:paraId="153FCA58" w14:textId="676C34BA" w:rsidR="003B3910" w:rsidRDefault="003B3910" w:rsidP="0096424D">
      <w:pPr>
        <w:spacing w:after="0"/>
        <w:ind w:firstLine="1440"/>
      </w:pPr>
      <w:r>
        <w:t>IT IS ORDERED:</w:t>
      </w:r>
    </w:p>
    <w:p w14:paraId="3D2FA248" w14:textId="77777777" w:rsidR="0096424D" w:rsidRDefault="0096424D" w:rsidP="0096424D">
      <w:pPr>
        <w:spacing w:after="0"/>
        <w:ind w:firstLine="1440"/>
      </w:pPr>
    </w:p>
    <w:p w14:paraId="50BEB6BF" w14:textId="6204D038" w:rsidR="003B3910" w:rsidRDefault="003B3910" w:rsidP="00995C74">
      <w:pPr>
        <w:spacing w:after="0"/>
      </w:pPr>
      <w:r>
        <w:tab/>
      </w:r>
      <w:r>
        <w:tab/>
      </w:r>
      <w:r w:rsidR="00B935D2">
        <w:t>1.</w:t>
      </w:r>
      <w:r w:rsidR="00B935D2">
        <w:tab/>
      </w:r>
      <w:r>
        <w:t>That the preliminary objections file</w:t>
      </w:r>
      <w:r w:rsidR="00B935D2">
        <w:t>d by Columbia Gas of Pennsylvania, Inc. in the above-captioned matter are dismissed.</w:t>
      </w:r>
    </w:p>
    <w:p w14:paraId="6DB4D227" w14:textId="4CEF0BE4" w:rsidR="00B935D2" w:rsidRDefault="00B935D2" w:rsidP="00995C74">
      <w:pPr>
        <w:spacing w:after="0"/>
      </w:pPr>
    </w:p>
    <w:p w14:paraId="09A80F0F" w14:textId="05A58C36" w:rsidR="00B935D2" w:rsidRDefault="00B935D2" w:rsidP="00995C74">
      <w:pPr>
        <w:spacing w:after="0"/>
      </w:pPr>
      <w:r>
        <w:tab/>
      </w:r>
      <w:r>
        <w:tab/>
        <w:t>2.</w:t>
      </w:r>
      <w:r>
        <w:tab/>
        <w:t xml:space="preserve">That this </w:t>
      </w:r>
      <w:r w:rsidR="0096424D">
        <w:t>C</w:t>
      </w:r>
      <w:r>
        <w:t xml:space="preserve">omplaint will be set for hearing on </w:t>
      </w:r>
      <w:r w:rsidR="00637EC7">
        <w:t>Thursday, February 24, 2022.</w:t>
      </w:r>
    </w:p>
    <w:p w14:paraId="49404A79" w14:textId="4275DAF3" w:rsidR="00637EC7" w:rsidRDefault="00637EC7" w:rsidP="00995C74">
      <w:pPr>
        <w:spacing w:after="0"/>
      </w:pPr>
    </w:p>
    <w:p w14:paraId="3E5D71B2" w14:textId="3934D668" w:rsidR="00637EC7" w:rsidRDefault="00637EC7" w:rsidP="00995C74">
      <w:pPr>
        <w:spacing w:after="0"/>
      </w:pPr>
      <w:r>
        <w:tab/>
      </w:r>
      <w:r>
        <w:tab/>
        <w:t>3.</w:t>
      </w:r>
      <w:r>
        <w:tab/>
        <w:t xml:space="preserve">That a prehearing order shall be issues which </w:t>
      </w:r>
      <w:r w:rsidR="001F5A39">
        <w:t>includes important procedural guidance for the conduct of the hearing.  Both parties should read these instructions carefully.</w:t>
      </w:r>
    </w:p>
    <w:p w14:paraId="6CB851EF" w14:textId="77777777" w:rsidR="009A2B20" w:rsidRDefault="009A2B20" w:rsidP="00995C74">
      <w:pPr>
        <w:spacing w:after="0"/>
      </w:pPr>
    </w:p>
    <w:p w14:paraId="36447864" w14:textId="2B38F671" w:rsidR="003075AA" w:rsidRDefault="003075AA" w:rsidP="00995C74">
      <w:pPr>
        <w:spacing w:after="0"/>
      </w:pPr>
    </w:p>
    <w:p w14:paraId="0BD2F23D" w14:textId="4CE36223" w:rsidR="00995C74" w:rsidRPr="00445CCC" w:rsidRDefault="00995C74" w:rsidP="00995C74">
      <w:pPr>
        <w:tabs>
          <w:tab w:val="left" w:pos="360"/>
        </w:tabs>
        <w:spacing w:after="0" w:line="240" w:lineRule="auto"/>
        <w:jc w:val="both"/>
        <w:rPr>
          <w:rFonts w:eastAsia="SimSun" w:cs="Times New Roman"/>
          <w:szCs w:val="20"/>
        </w:rPr>
      </w:pPr>
      <w:r w:rsidRPr="00445CCC">
        <w:rPr>
          <w:rFonts w:eastAsia="SimSun" w:cs="Times New Roman"/>
          <w:szCs w:val="20"/>
        </w:rPr>
        <w:t xml:space="preserve">Date:  </w:t>
      </w:r>
      <w:r>
        <w:rPr>
          <w:rFonts w:eastAsia="SimSun" w:cs="Times New Roman"/>
          <w:szCs w:val="20"/>
          <w:u w:val="single"/>
        </w:rPr>
        <w:t>January</w:t>
      </w:r>
      <w:r w:rsidRPr="00445CCC">
        <w:rPr>
          <w:rFonts w:eastAsia="SimSun" w:cs="Times New Roman"/>
          <w:szCs w:val="20"/>
          <w:u w:val="single"/>
        </w:rPr>
        <w:t xml:space="preserve"> </w:t>
      </w:r>
      <w:r>
        <w:rPr>
          <w:rFonts w:eastAsia="SimSun" w:cs="Times New Roman"/>
          <w:szCs w:val="20"/>
          <w:u w:val="single"/>
        </w:rPr>
        <w:t>1</w:t>
      </w:r>
      <w:r>
        <w:rPr>
          <w:rFonts w:eastAsia="SimSun" w:cs="Times New Roman"/>
          <w:szCs w:val="20"/>
          <w:u w:val="single"/>
        </w:rPr>
        <w:t>0</w:t>
      </w:r>
      <w:r w:rsidRPr="00445CCC">
        <w:rPr>
          <w:rFonts w:eastAsia="SimSun" w:cs="Times New Roman"/>
          <w:szCs w:val="20"/>
          <w:u w:val="single"/>
        </w:rPr>
        <w:t>,</w:t>
      </w:r>
      <w:r>
        <w:rPr>
          <w:rFonts w:eastAsia="SimSun" w:cs="Times New Roman"/>
          <w:szCs w:val="20"/>
          <w:u w:val="single"/>
        </w:rPr>
        <w:t xml:space="preserve"> </w:t>
      </w:r>
      <w:r w:rsidRPr="00445CCC">
        <w:rPr>
          <w:rFonts w:eastAsia="SimSun" w:cs="Times New Roman"/>
          <w:szCs w:val="20"/>
          <w:u w:val="single"/>
        </w:rPr>
        <w:t>202</w:t>
      </w:r>
      <w:r>
        <w:rPr>
          <w:rFonts w:eastAsia="SimSun" w:cs="Times New Roman"/>
          <w:szCs w:val="20"/>
          <w:u w:val="single"/>
        </w:rPr>
        <w:t>2</w:t>
      </w:r>
      <w:r w:rsidRPr="00445CCC">
        <w:rPr>
          <w:rFonts w:eastAsia="SimSun" w:cs="Times New Roman"/>
          <w:szCs w:val="20"/>
        </w:rPr>
        <w:t xml:space="preserve">  </w:t>
      </w:r>
      <w:r w:rsidRPr="00445CCC">
        <w:rPr>
          <w:rFonts w:eastAsia="SimSun" w:cs="Times New Roman"/>
          <w:szCs w:val="20"/>
        </w:rPr>
        <w:tab/>
      </w:r>
      <w:r w:rsidRPr="00445CCC">
        <w:rPr>
          <w:rFonts w:eastAsia="SimSun" w:cs="Times New Roman"/>
          <w:szCs w:val="20"/>
        </w:rPr>
        <w:tab/>
      </w:r>
      <w:r w:rsidRPr="00445CCC">
        <w:rPr>
          <w:rFonts w:eastAsia="SimSun" w:cs="Times New Roman"/>
          <w:szCs w:val="20"/>
        </w:rPr>
        <w:tab/>
      </w:r>
      <w:r w:rsidRPr="00445CCC">
        <w:rPr>
          <w:rFonts w:eastAsia="SimSun" w:cs="Times New Roman"/>
          <w:szCs w:val="20"/>
        </w:rPr>
        <w:tab/>
      </w:r>
      <w:r w:rsidRPr="00445CCC">
        <w:rPr>
          <w:rFonts w:eastAsia="SimSun" w:cs="Times New Roman"/>
          <w:szCs w:val="20"/>
          <w:u w:val="single"/>
        </w:rPr>
        <w:t>_____________/s/_________________</w:t>
      </w:r>
    </w:p>
    <w:p w14:paraId="36A3CFA6" w14:textId="77777777" w:rsidR="00995C74" w:rsidRPr="00445CCC" w:rsidRDefault="00995C74" w:rsidP="00995C74">
      <w:pPr>
        <w:tabs>
          <w:tab w:val="left" w:pos="360"/>
        </w:tabs>
        <w:spacing w:after="0" w:line="240" w:lineRule="auto"/>
        <w:jc w:val="both"/>
        <w:rPr>
          <w:rFonts w:eastAsia="SimSun" w:cs="Times New Roman"/>
          <w:szCs w:val="20"/>
        </w:rPr>
      </w:pPr>
      <w:r w:rsidRPr="00445CCC">
        <w:rPr>
          <w:rFonts w:eastAsia="SimSun" w:cs="Times New Roman"/>
          <w:szCs w:val="20"/>
        </w:rPr>
        <w:tab/>
      </w:r>
      <w:r w:rsidRPr="00445CCC">
        <w:rPr>
          <w:rFonts w:eastAsia="SimSun" w:cs="Times New Roman"/>
          <w:szCs w:val="20"/>
        </w:rPr>
        <w:tab/>
      </w:r>
      <w:r w:rsidRPr="00445CCC">
        <w:rPr>
          <w:rFonts w:eastAsia="SimSun" w:cs="Times New Roman"/>
          <w:szCs w:val="20"/>
        </w:rPr>
        <w:tab/>
      </w:r>
      <w:r w:rsidRPr="00445CCC">
        <w:rPr>
          <w:rFonts w:eastAsia="SimSun" w:cs="Times New Roman"/>
          <w:szCs w:val="20"/>
        </w:rPr>
        <w:tab/>
      </w:r>
      <w:r w:rsidRPr="00445CCC">
        <w:rPr>
          <w:rFonts w:eastAsia="SimSun" w:cs="Times New Roman"/>
          <w:szCs w:val="20"/>
        </w:rPr>
        <w:tab/>
      </w:r>
      <w:r w:rsidRPr="00445CCC">
        <w:rPr>
          <w:rFonts w:eastAsia="SimSun" w:cs="Times New Roman"/>
          <w:szCs w:val="20"/>
        </w:rPr>
        <w:tab/>
      </w:r>
      <w:r w:rsidRPr="00445CCC">
        <w:rPr>
          <w:rFonts w:eastAsia="SimSun" w:cs="Times New Roman"/>
          <w:szCs w:val="20"/>
        </w:rPr>
        <w:tab/>
      </w:r>
      <w:r w:rsidRPr="00445CCC">
        <w:rPr>
          <w:rFonts w:eastAsia="SimSun" w:cs="Times New Roman"/>
          <w:szCs w:val="20"/>
        </w:rPr>
        <w:tab/>
        <w:t>Mary D. Long</w:t>
      </w:r>
    </w:p>
    <w:p w14:paraId="4838C99A" w14:textId="77777777" w:rsidR="00A95D2A" w:rsidRDefault="00995C74" w:rsidP="00995C74">
      <w:pPr>
        <w:tabs>
          <w:tab w:val="left" w:pos="360"/>
        </w:tabs>
        <w:spacing w:after="0" w:line="240" w:lineRule="auto"/>
        <w:jc w:val="both"/>
        <w:rPr>
          <w:rFonts w:eastAsia="SimSun" w:cs="Times New Roman"/>
          <w:szCs w:val="20"/>
        </w:rPr>
        <w:sectPr w:rsidR="00A95D2A" w:rsidSect="00107654">
          <w:footerReference w:type="default" r:id="rId7"/>
          <w:pgSz w:w="12240" w:h="15840"/>
          <w:pgMar w:top="1440" w:right="1440" w:bottom="1440" w:left="1440" w:header="720" w:footer="720" w:gutter="0"/>
          <w:cols w:space="720"/>
          <w:titlePg/>
          <w:docGrid w:linePitch="360"/>
        </w:sectPr>
      </w:pPr>
      <w:r w:rsidRPr="00445CCC">
        <w:rPr>
          <w:rFonts w:eastAsia="SimSun" w:cs="Times New Roman"/>
          <w:szCs w:val="20"/>
        </w:rPr>
        <w:tab/>
      </w:r>
      <w:r w:rsidRPr="00445CCC">
        <w:rPr>
          <w:rFonts w:eastAsia="SimSun" w:cs="Times New Roman"/>
          <w:szCs w:val="20"/>
        </w:rPr>
        <w:tab/>
      </w:r>
      <w:r w:rsidRPr="00445CCC">
        <w:rPr>
          <w:rFonts w:eastAsia="SimSun" w:cs="Times New Roman"/>
          <w:szCs w:val="20"/>
        </w:rPr>
        <w:tab/>
      </w:r>
      <w:r w:rsidRPr="00445CCC">
        <w:rPr>
          <w:rFonts w:eastAsia="SimSun" w:cs="Times New Roman"/>
          <w:szCs w:val="20"/>
        </w:rPr>
        <w:tab/>
      </w:r>
      <w:r w:rsidRPr="00445CCC">
        <w:rPr>
          <w:rFonts w:eastAsia="SimSun" w:cs="Times New Roman"/>
          <w:szCs w:val="20"/>
        </w:rPr>
        <w:tab/>
      </w:r>
      <w:r w:rsidRPr="00445CCC">
        <w:rPr>
          <w:rFonts w:eastAsia="SimSun" w:cs="Times New Roman"/>
          <w:szCs w:val="20"/>
        </w:rPr>
        <w:tab/>
      </w:r>
      <w:r w:rsidRPr="00445CCC">
        <w:rPr>
          <w:rFonts w:eastAsia="SimSun" w:cs="Times New Roman"/>
          <w:szCs w:val="20"/>
        </w:rPr>
        <w:tab/>
      </w:r>
      <w:r w:rsidRPr="00445CCC">
        <w:rPr>
          <w:rFonts w:eastAsia="SimSun" w:cs="Times New Roman"/>
          <w:szCs w:val="20"/>
        </w:rPr>
        <w:tab/>
        <w:t>Administrative Law Judge</w:t>
      </w:r>
    </w:p>
    <w:p w14:paraId="387D72BB" w14:textId="77777777" w:rsidR="00A95D2A" w:rsidRPr="00A95D2A" w:rsidRDefault="00A95D2A" w:rsidP="00A95D2A">
      <w:pPr>
        <w:spacing w:line="259" w:lineRule="auto"/>
        <w:rPr>
          <w:rFonts w:ascii="Calibri" w:eastAsia="Times New Roman" w:hAnsi="Calibri" w:cs="Times New Roman"/>
          <w:sz w:val="22"/>
        </w:rPr>
      </w:pPr>
      <w:r w:rsidRPr="00A95D2A">
        <w:rPr>
          <w:rFonts w:ascii="Microsoft Sans Serif" w:eastAsia="Microsoft Sans Serif" w:hAnsi="Microsoft Sans Serif" w:cs="Microsoft Sans Serif"/>
          <w:b/>
          <w:u w:val="single"/>
        </w:rPr>
        <w:t>C-2021-3029559 - CANDICE ACHENBACH v. COLUMBIA GAS OF PENNSYLVANIA INC</w:t>
      </w:r>
      <w:r w:rsidRPr="00A95D2A">
        <w:rPr>
          <w:rFonts w:ascii="Microsoft Sans Serif" w:eastAsia="Microsoft Sans Serif" w:hAnsi="Microsoft Sans Serif" w:cs="Microsoft Sans Serif"/>
          <w:b/>
          <w:u w:val="single"/>
        </w:rPr>
        <w:cr/>
      </w:r>
      <w:r w:rsidRPr="00A95D2A">
        <w:rPr>
          <w:rFonts w:ascii="Microsoft Sans Serif" w:eastAsia="Microsoft Sans Serif" w:hAnsi="Microsoft Sans Serif" w:cs="Microsoft Sans Serif"/>
          <w:b/>
          <w:u w:val="single"/>
        </w:rPr>
        <w:cr/>
      </w:r>
      <w:r w:rsidRPr="00A95D2A">
        <w:rPr>
          <w:rFonts w:ascii="Microsoft Sans Serif" w:eastAsia="Microsoft Sans Serif" w:hAnsi="Microsoft Sans Serif" w:cs="Microsoft Sans Serif"/>
        </w:rPr>
        <w:t>CANDICE ACHENBACH</w:t>
      </w:r>
      <w:r w:rsidRPr="00A95D2A">
        <w:rPr>
          <w:rFonts w:ascii="Microsoft Sans Serif" w:eastAsia="Microsoft Sans Serif" w:hAnsi="Microsoft Sans Serif" w:cs="Microsoft Sans Serif"/>
        </w:rPr>
        <w:cr/>
        <w:t>216 STAMM AVENUE APT 2</w:t>
      </w:r>
      <w:r w:rsidRPr="00A95D2A">
        <w:rPr>
          <w:rFonts w:ascii="Microsoft Sans Serif" w:eastAsia="Microsoft Sans Serif" w:hAnsi="Microsoft Sans Serif" w:cs="Microsoft Sans Serif"/>
        </w:rPr>
        <w:cr/>
        <w:t>PITTSBURGH PA  15210</w:t>
      </w:r>
      <w:r w:rsidRPr="00A95D2A">
        <w:rPr>
          <w:rFonts w:ascii="Microsoft Sans Serif" w:eastAsia="Microsoft Sans Serif" w:hAnsi="Microsoft Sans Serif" w:cs="Microsoft Sans Serif"/>
        </w:rPr>
        <w:cr/>
      </w:r>
      <w:r w:rsidRPr="00A95D2A">
        <w:rPr>
          <w:rFonts w:ascii="Microsoft Sans Serif" w:eastAsia="Microsoft Sans Serif" w:hAnsi="Microsoft Sans Serif" w:cs="Microsoft Sans Serif"/>
          <w:b/>
          <w:bCs/>
        </w:rPr>
        <w:t>707.205.7698</w:t>
      </w:r>
      <w:r w:rsidRPr="00A95D2A">
        <w:rPr>
          <w:rFonts w:ascii="Microsoft Sans Serif" w:eastAsia="Microsoft Sans Serif" w:hAnsi="Microsoft Sans Serif" w:cs="Microsoft Sans Serif"/>
        </w:rPr>
        <w:cr/>
        <w:t>candice@susschen.com</w:t>
      </w:r>
      <w:r w:rsidRPr="00A95D2A">
        <w:rPr>
          <w:rFonts w:ascii="Microsoft Sans Serif" w:eastAsia="Microsoft Sans Serif" w:hAnsi="Microsoft Sans Serif" w:cs="Microsoft Sans Serif"/>
        </w:rPr>
        <w:cr/>
        <w:t xml:space="preserve">Accepts eService </w:t>
      </w:r>
      <w:r w:rsidRPr="00A95D2A">
        <w:rPr>
          <w:rFonts w:ascii="Microsoft Sans Serif" w:eastAsia="Microsoft Sans Serif" w:hAnsi="Microsoft Sans Serif" w:cs="Microsoft Sans Serif"/>
        </w:rPr>
        <w:cr/>
      </w:r>
      <w:r w:rsidRPr="00A95D2A">
        <w:rPr>
          <w:rFonts w:ascii="Microsoft Sans Serif" w:eastAsia="Microsoft Sans Serif" w:hAnsi="Microsoft Sans Serif" w:cs="Microsoft Sans Serif"/>
        </w:rPr>
        <w:cr/>
        <w:t>AMY E HIRAKIS ESQUIRE</w:t>
      </w:r>
      <w:r w:rsidRPr="00A95D2A">
        <w:rPr>
          <w:rFonts w:ascii="Microsoft Sans Serif" w:eastAsia="Microsoft Sans Serif" w:hAnsi="Microsoft Sans Serif" w:cs="Microsoft Sans Serif"/>
        </w:rPr>
        <w:br/>
        <w:t xml:space="preserve">NISOURCE CORPORATE SERVICES COMPANY </w:t>
      </w:r>
      <w:r w:rsidRPr="00A95D2A">
        <w:rPr>
          <w:rFonts w:ascii="Microsoft Sans Serif" w:eastAsia="Microsoft Sans Serif" w:hAnsi="Microsoft Sans Serif" w:cs="Microsoft Sans Serif"/>
        </w:rPr>
        <w:cr/>
        <w:t>800 NORTH 3RD STREET SUITE 204</w:t>
      </w:r>
      <w:r w:rsidRPr="00A95D2A">
        <w:rPr>
          <w:rFonts w:ascii="Microsoft Sans Serif" w:eastAsia="Microsoft Sans Serif" w:hAnsi="Microsoft Sans Serif" w:cs="Microsoft Sans Serif"/>
        </w:rPr>
        <w:cr/>
        <w:t xml:space="preserve">HARRISBURG PA 17102 </w:t>
      </w:r>
      <w:r w:rsidRPr="00A95D2A">
        <w:rPr>
          <w:rFonts w:ascii="Microsoft Sans Serif" w:eastAsia="Microsoft Sans Serif" w:hAnsi="Microsoft Sans Serif" w:cs="Microsoft Sans Serif"/>
        </w:rPr>
        <w:cr/>
      </w:r>
      <w:r w:rsidRPr="00A95D2A">
        <w:rPr>
          <w:rFonts w:ascii="Microsoft Sans Serif" w:eastAsia="Microsoft Sans Serif" w:hAnsi="Microsoft Sans Serif" w:cs="Microsoft Sans Serif"/>
          <w:b/>
          <w:bCs/>
        </w:rPr>
        <w:t>717.233.1351</w:t>
      </w:r>
      <w:r w:rsidRPr="00A95D2A">
        <w:rPr>
          <w:rFonts w:ascii="Microsoft Sans Serif" w:eastAsia="Microsoft Sans Serif" w:hAnsi="Microsoft Sans Serif" w:cs="Microsoft Sans Serif"/>
          <w:b/>
          <w:bCs/>
        </w:rPr>
        <w:cr/>
      </w:r>
      <w:r w:rsidRPr="00A95D2A">
        <w:rPr>
          <w:rFonts w:ascii="Microsoft Sans Serif" w:eastAsia="Microsoft Sans Serif" w:hAnsi="Microsoft Sans Serif" w:cs="Microsoft Sans Serif"/>
        </w:rPr>
        <w:t>ahirakis@nisource.com</w:t>
      </w:r>
      <w:r w:rsidRPr="00A95D2A">
        <w:rPr>
          <w:rFonts w:ascii="Microsoft Sans Serif" w:eastAsia="Microsoft Sans Serif" w:hAnsi="Microsoft Sans Serif" w:cs="Microsoft Sans Serif"/>
        </w:rPr>
        <w:cr/>
        <w:t>Accepts eService</w:t>
      </w:r>
      <w:r w:rsidRPr="00A95D2A">
        <w:rPr>
          <w:rFonts w:ascii="Microsoft Sans Serif" w:eastAsia="Microsoft Sans Serif" w:hAnsi="Microsoft Sans Serif" w:cs="Microsoft Sans Serif"/>
        </w:rPr>
        <w:br/>
      </w:r>
      <w:r w:rsidRPr="00A95D2A">
        <w:rPr>
          <w:rFonts w:ascii="Microsoft Sans Serif" w:eastAsia="Microsoft Sans Serif" w:hAnsi="Microsoft Sans Serif" w:cs="Microsoft Sans Serif"/>
          <w:i/>
          <w:iCs/>
        </w:rPr>
        <w:t>Representing Columbia Gas of Pennsylvania, Inc</w:t>
      </w:r>
      <w:r w:rsidRPr="00A95D2A">
        <w:rPr>
          <w:rFonts w:ascii="Microsoft Sans Serif" w:eastAsia="Microsoft Sans Serif" w:hAnsi="Microsoft Sans Serif" w:cs="Microsoft Sans Serif"/>
        </w:rPr>
        <w:cr/>
      </w:r>
    </w:p>
    <w:p w14:paraId="4561E3B4" w14:textId="77777777" w:rsidR="00995C74" w:rsidRPr="00445CCC" w:rsidRDefault="00995C74" w:rsidP="00995C74">
      <w:pPr>
        <w:tabs>
          <w:tab w:val="left" w:pos="360"/>
        </w:tabs>
        <w:spacing w:after="0" w:line="240" w:lineRule="auto"/>
        <w:jc w:val="both"/>
        <w:rPr>
          <w:rFonts w:eastAsia="SimSun" w:cs="Times New Roman"/>
          <w:szCs w:val="20"/>
        </w:rPr>
      </w:pPr>
    </w:p>
    <w:p w14:paraId="43530F36" w14:textId="77777777" w:rsidR="00995C74" w:rsidRDefault="00995C74" w:rsidP="00995C74">
      <w:pPr>
        <w:spacing w:after="0"/>
      </w:pPr>
    </w:p>
    <w:sectPr w:rsidR="00995C74" w:rsidSect="0010765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D4D95" w14:textId="77777777" w:rsidR="004A50EF" w:rsidRDefault="004A50EF" w:rsidP="003075AA">
      <w:pPr>
        <w:spacing w:after="0" w:line="240" w:lineRule="auto"/>
      </w:pPr>
      <w:r>
        <w:separator/>
      </w:r>
    </w:p>
  </w:endnote>
  <w:endnote w:type="continuationSeparator" w:id="0">
    <w:p w14:paraId="369106EC" w14:textId="77777777" w:rsidR="004A50EF" w:rsidRDefault="004A50EF" w:rsidP="0030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0186693"/>
      <w:docPartObj>
        <w:docPartGallery w:val="Page Numbers (Bottom of Page)"/>
        <w:docPartUnique/>
      </w:docPartObj>
    </w:sdtPr>
    <w:sdtEndPr>
      <w:rPr>
        <w:noProof/>
      </w:rPr>
    </w:sdtEndPr>
    <w:sdtContent>
      <w:p w14:paraId="42794DA5" w14:textId="3DFBC35B" w:rsidR="00107654" w:rsidRDefault="00107654">
        <w:pPr>
          <w:pStyle w:val="Footer"/>
          <w:jc w:val="center"/>
        </w:pPr>
        <w:r w:rsidRPr="00995C74">
          <w:rPr>
            <w:sz w:val="20"/>
            <w:szCs w:val="20"/>
          </w:rPr>
          <w:fldChar w:fldCharType="begin"/>
        </w:r>
        <w:r w:rsidRPr="00995C74">
          <w:rPr>
            <w:sz w:val="20"/>
            <w:szCs w:val="20"/>
          </w:rPr>
          <w:instrText xml:space="preserve"> PAGE   \* MERGEFORMAT </w:instrText>
        </w:r>
        <w:r w:rsidRPr="00995C74">
          <w:rPr>
            <w:sz w:val="20"/>
            <w:szCs w:val="20"/>
          </w:rPr>
          <w:fldChar w:fldCharType="separate"/>
        </w:r>
        <w:r w:rsidRPr="00995C74">
          <w:rPr>
            <w:noProof/>
            <w:sz w:val="20"/>
            <w:szCs w:val="20"/>
          </w:rPr>
          <w:t>2</w:t>
        </w:r>
        <w:r w:rsidRPr="00995C74">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607A9" w14:textId="77777777" w:rsidR="004A50EF" w:rsidRDefault="004A50EF" w:rsidP="003075AA">
      <w:pPr>
        <w:spacing w:after="0" w:line="240" w:lineRule="auto"/>
      </w:pPr>
      <w:r>
        <w:separator/>
      </w:r>
    </w:p>
  </w:footnote>
  <w:footnote w:type="continuationSeparator" w:id="0">
    <w:p w14:paraId="6210C04C" w14:textId="77777777" w:rsidR="004A50EF" w:rsidRDefault="004A50EF" w:rsidP="003075AA">
      <w:pPr>
        <w:spacing w:after="0" w:line="240" w:lineRule="auto"/>
      </w:pPr>
      <w:r>
        <w:continuationSeparator/>
      </w:r>
    </w:p>
  </w:footnote>
  <w:footnote w:id="1">
    <w:p w14:paraId="7619B585" w14:textId="7262BC5A" w:rsidR="003075AA" w:rsidRDefault="003075AA" w:rsidP="00E7267A">
      <w:pPr>
        <w:pStyle w:val="FootnoteText"/>
        <w:spacing w:after="0"/>
        <w:ind w:firstLine="720"/>
      </w:pPr>
      <w:r>
        <w:rPr>
          <w:rStyle w:val="FootnoteReference"/>
        </w:rPr>
        <w:footnoteRef/>
      </w:r>
      <w:r>
        <w:t xml:space="preserve"> </w:t>
      </w:r>
      <w:r>
        <w:tab/>
        <w:t>52 Pa.Code § 5.101.</w:t>
      </w:r>
    </w:p>
    <w:p w14:paraId="50E0BA96" w14:textId="77777777" w:rsidR="00E7267A" w:rsidRDefault="00E7267A" w:rsidP="00E7267A">
      <w:pPr>
        <w:pStyle w:val="FootnoteText"/>
        <w:spacing w:after="0"/>
        <w:ind w:firstLine="720"/>
      </w:pPr>
    </w:p>
  </w:footnote>
  <w:footnote w:id="2">
    <w:p w14:paraId="5355A7CD" w14:textId="5862E9ED" w:rsidR="003075AA" w:rsidRDefault="003075AA" w:rsidP="00E7267A">
      <w:pPr>
        <w:pStyle w:val="FootnoteText"/>
        <w:spacing w:after="0"/>
        <w:ind w:firstLine="720"/>
      </w:pPr>
      <w:r>
        <w:rPr>
          <w:rStyle w:val="FootnoteReference"/>
        </w:rPr>
        <w:footnoteRef/>
      </w:r>
      <w:r>
        <w:t xml:space="preserve"> </w:t>
      </w:r>
      <w:r>
        <w:tab/>
      </w:r>
      <w:r w:rsidRPr="000E2B4C">
        <w:rPr>
          <w:i/>
        </w:rPr>
        <w:t>Equitable Small Transportation Intervenors v. Equitable Gas Company</w:t>
      </w:r>
      <w:r>
        <w:t xml:space="preserve">, 1994 Pa. PUC LEXIS 69, Docket No. C-00935435 (July 18, 1994).  </w:t>
      </w:r>
    </w:p>
    <w:p w14:paraId="65B51657" w14:textId="77777777" w:rsidR="00E7267A" w:rsidRDefault="00E7267A" w:rsidP="00E7267A">
      <w:pPr>
        <w:pStyle w:val="FootnoteText"/>
        <w:spacing w:after="0"/>
        <w:ind w:firstLine="720"/>
      </w:pPr>
    </w:p>
  </w:footnote>
  <w:footnote w:id="3">
    <w:p w14:paraId="18134050" w14:textId="6F27015D" w:rsidR="003075AA" w:rsidRDefault="003075AA" w:rsidP="00E7267A">
      <w:pPr>
        <w:pStyle w:val="FootnoteText"/>
        <w:spacing w:after="0"/>
        <w:ind w:firstLine="720"/>
      </w:pPr>
      <w:r>
        <w:rPr>
          <w:rStyle w:val="FootnoteReference"/>
        </w:rPr>
        <w:footnoteRef/>
      </w:r>
      <w:r>
        <w:t xml:space="preserve"> </w:t>
      </w:r>
      <w:r>
        <w:tab/>
        <w:t>52 Pa.Code § 5.101(a).</w:t>
      </w:r>
    </w:p>
    <w:p w14:paraId="466C2CFE" w14:textId="77777777" w:rsidR="00E7267A" w:rsidRDefault="00E7267A" w:rsidP="00E7267A">
      <w:pPr>
        <w:pStyle w:val="FootnoteText"/>
        <w:spacing w:after="0"/>
        <w:ind w:firstLine="720"/>
      </w:pPr>
    </w:p>
  </w:footnote>
  <w:footnote w:id="4">
    <w:p w14:paraId="3596F290" w14:textId="3F06EECE" w:rsidR="003075AA" w:rsidRDefault="003075AA" w:rsidP="00E7267A">
      <w:pPr>
        <w:pStyle w:val="FootnoteText"/>
        <w:spacing w:after="0"/>
        <w:ind w:firstLine="720"/>
      </w:pPr>
      <w:r>
        <w:rPr>
          <w:rStyle w:val="FootnoteReference"/>
        </w:rPr>
        <w:footnoteRef/>
      </w:r>
      <w:r>
        <w:t xml:space="preserve"> </w:t>
      </w:r>
      <w:r>
        <w:tab/>
      </w:r>
      <w:r w:rsidRPr="00AB2BD8">
        <w:rPr>
          <w:i/>
        </w:rPr>
        <w:t>Dept. of Auditor General, et al v. SERS, et al</w:t>
      </w:r>
      <w:r w:rsidRPr="00AB2BD8">
        <w:t>.,</w:t>
      </w:r>
      <w:r>
        <w:t xml:space="preserve"> 836 A.2d 1053, 1064 (Pa. Cmwlth. 2003); </w:t>
      </w:r>
      <w:r w:rsidRPr="00B908F9">
        <w:rPr>
          <w:i/>
        </w:rPr>
        <w:t>P.J.S. v. Pa. State Ethics Comm’n</w:t>
      </w:r>
      <w:r>
        <w:t>, 669 A.2d 1105 (Pa. Cmwlth. 1996).</w:t>
      </w:r>
    </w:p>
    <w:p w14:paraId="08042935" w14:textId="77777777" w:rsidR="00E7267A" w:rsidRDefault="00E7267A" w:rsidP="00E7267A">
      <w:pPr>
        <w:pStyle w:val="FootnoteText"/>
        <w:spacing w:after="0"/>
        <w:ind w:firstLine="720"/>
      </w:pPr>
    </w:p>
  </w:footnote>
  <w:footnote w:id="5">
    <w:p w14:paraId="7AE44C4F" w14:textId="77777777" w:rsidR="003075AA" w:rsidRDefault="003075AA" w:rsidP="00E7267A">
      <w:pPr>
        <w:pStyle w:val="FootnoteText"/>
        <w:spacing w:after="0"/>
        <w:ind w:firstLine="720"/>
      </w:pPr>
      <w:r>
        <w:rPr>
          <w:rStyle w:val="FootnoteReference"/>
        </w:rPr>
        <w:footnoteRef/>
      </w:r>
      <w:r>
        <w:t xml:space="preserve"> </w:t>
      </w:r>
      <w:r>
        <w:tab/>
      </w:r>
      <w:r w:rsidRPr="00B908F9">
        <w:rPr>
          <w:i/>
        </w:rPr>
        <w:t>Boyd v. Ward</w:t>
      </w:r>
      <w:r>
        <w:t xml:space="preserve">, 802 A.2d 705 (Pa. Cmwlth. 2002).  </w:t>
      </w:r>
    </w:p>
  </w:footnote>
  <w:footnote w:id="6">
    <w:p w14:paraId="23507646" w14:textId="5CC08023" w:rsidR="003075AA" w:rsidRDefault="003075AA" w:rsidP="0096424D">
      <w:pPr>
        <w:pStyle w:val="FootnoteText"/>
        <w:spacing w:after="0"/>
        <w:ind w:firstLine="720"/>
      </w:pPr>
      <w:r>
        <w:rPr>
          <w:rStyle w:val="FootnoteReference"/>
        </w:rPr>
        <w:footnoteRef/>
      </w:r>
      <w:r>
        <w:t xml:space="preserve"> </w:t>
      </w:r>
      <w:r>
        <w:tab/>
      </w:r>
      <w:r w:rsidRPr="009D663E">
        <w:rPr>
          <w:i/>
          <w:iCs/>
        </w:rPr>
        <w:t>Ridge v. State Employees’ Retirement Board</w:t>
      </w:r>
      <w:r>
        <w:t xml:space="preserve">, 690 A.2d 1312 (Pa. Cmwlth. 1997).  </w:t>
      </w:r>
    </w:p>
    <w:p w14:paraId="6000B33A" w14:textId="77777777" w:rsidR="0096424D" w:rsidRDefault="0096424D" w:rsidP="0096424D">
      <w:pPr>
        <w:pStyle w:val="FootnoteText"/>
        <w:spacing w:after="0"/>
        <w:ind w:firstLine="720"/>
      </w:pPr>
    </w:p>
  </w:footnote>
  <w:footnote w:id="7">
    <w:p w14:paraId="14E20A28" w14:textId="15E8A338" w:rsidR="0003613C" w:rsidRDefault="0003613C" w:rsidP="0096424D">
      <w:pPr>
        <w:pStyle w:val="FootnoteText"/>
        <w:spacing w:after="0"/>
        <w:ind w:firstLine="720"/>
      </w:pPr>
      <w:r>
        <w:rPr>
          <w:rStyle w:val="FootnoteReference"/>
        </w:rPr>
        <w:footnoteRef/>
      </w:r>
      <w:r>
        <w:t xml:space="preserve"> </w:t>
      </w:r>
      <w:r>
        <w:tab/>
        <w:t xml:space="preserve">66 Pa. C.S. </w:t>
      </w:r>
      <w:r>
        <w:rPr>
          <w:rFonts w:cs="Times New Roman"/>
        </w:rPr>
        <w:t>§</w:t>
      </w:r>
      <w:r>
        <w:t xml:space="preserve"> 1501.  </w:t>
      </w:r>
    </w:p>
    <w:p w14:paraId="18CA6B72" w14:textId="77777777" w:rsidR="0096424D" w:rsidRDefault="0096424D" w:rsidP="0096424D">
      <w:pPr>
        <w:pStyle w:val="FootnoteText"/>
        <w:spacing w:after="0"/>
        <w:ind w:firstLine="720"/>
      </w:pPr>
    </w:p>
  </w:footnote>
  <w:footnote w:id="8">
    <w:p w14:paraId="2978483D" w14:textId="1E9D7BFE" w:rsidR="009A2B20" w:rsidRDefault="009A2B20" w:rsidP="0096424D">
      <w:pPr>
        <w:pStyle w:val="FootnoteText"/>
        <w:spacing w:after="0"/>
        <w:ind w:firstLine="720"/>
      </w:pPr>
      <w:r>
        <w:rPr>
          <w:rStyle w:val="FootnoteReference"/>
        </w:rPr>
        <w:footnoteRef/>
      </w:r>
      <w:r>
        <w:t xml:space="preserve"> </w:t>
      </w:r>
      <w:r>
        <w:tab/>
      </w:r>
      <w:r w:rsidRPr="009A2B20">
        <w:rPr>
          <w:i/>
          <w:iCs/>
        </w:rPr>
        <w:t>E.g.,</w:t>
      </w:r>
      <w:r>
        <w:t xml:space="preserve"> </w:t>
      </w:r>
      <w:r w:rsidRPr="009D663E">
        <w:rPr>
          <w:i/>
          <w:iCs/>
        </w:rPr>
        <w:t>Ridge v. State Employees’ Retirement Board</w:t>
      </w:r>
      <w:r>
        <w:t>, 690 A.2d 1312 (Pa. Cmwlth. 1997)</w:t>
      </w:r>
      <w:r w:rsidR="0096424D">
        <w:t>.</w:t>
      </w:r>
    </w:p>
    <w:p w14:paraId="1AAA8329" w14:textId="77777777" w:rsidR="0096424D" w:rsidRDefault="0096424D" w:rsidP="0096424D">
      <w:pPr>
        <w:pStyle w:val="FootnoteText"/>
        <w:spacing w:after="0"/>
        <w:ind w:firstLine="720"/>
      </w:pPr>
    </w:p>
  </w:footnote>
  <w:footnote w:id="9">
    <w:p w14:paraId="62AB80C1" w14:textId="15800D58" w:rsidR="009A2B20" w:rsidRDefault="009A2B20" w:rsidP="0096424D">
      <w:pPr>
        <w:pStyle w:val="FootnoteText"/>
        <w:spacing w:after="0"/>
        <w:ind w:firstLine="720"/>
      </w:pPr>
      <w:r>
        <w:rPr>
          <w:rStyle w:val="FootnoteReference"/>
        </w:rPr>
        <w:footnoteRef/>
      </w:r>
      <w:r>
        <w:t xml:space="preserve"> </w:t>
      </w:r>
      <w:r>
        <w:tab/>
      </w:r>
      <w:r w:rsidR="00410724" w:rsidRPr="00410724">
        <w:t>I would also observe that the Commission is reluctant to dismiss the complaint of a self-represented complainant without a hearing</w:t>
      </w:r>
      <w:r w:rsidR="00DE379A">
        <w:t xml:space="preserve">. </w:t>
      </w:r>
      <w:r w:rsidRPr="009A2B20">
        <w:rPr>
          <w:i/>
          <w:iCs/>
        </w:rPr>
        <w:t>Carlock v. The United Telephone Company of Pennsylvania</w:t>
      </w:r>
      <w:r w:rsidRPr="009A2B20">
        <w:t>, Docket No. F 00163617 (Order entered July 14, 1993)</w:t>
      </w:r>
      <w:r>
        <w:t xml:space="preserve">; </w:t>
      </w:r>
      <w:r>
        <w:rPr>
          <w:i/>
        </w:rPr>
        <w:t>Richmond v. PECO Energy Company,</w:t>
      </w:r>
      <w:r>
        <w:t xml:space="preserve"> Docket No. F-2010-2187305 (Opinion and Order entered December 7, 2011).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9"/>
  </w:num>
  <w:num w:numId="2">
    <w:abstractNumId w:val="20"/>
  </w:num>
  <w:num w:numId="3">
    <w:abstractNumId w:val="27"/>
  </w:num>
  <w:num w:numId="4">
    <w:abstractNumId w:val="31"/>
  </w:num>
  <w:num w:numId="5">
    <w:abstractNumId w:val="11"/>
  </w:num>
  <w:num w:numId="6">
    <w:abstractNumId w:val="8"/>
  </w:num>
  <w:num w:numId="7">
    <w:abstractNumId w:val="6"/>
  </w:num>
  <w:num w:numId="8">
    <w:abstractNumId w:val="30"/>
  </w:num>
  <w:num w:numId="9">
    <w:abstractNumId w:val="3"/>
  </w:num>
  <w:num w:numId="10">
    <w:abstractNumId w:val="22"/>
  </w:num>
  <w:num w:numId="11">
    <w:abstractNumId w:val="26"/>
  </w:num>
  <w:num w:numId="12">
    <w:abstractNumId w:val="16"/>
  </w:num>
  <w:num w:numId="13">
    <w:abstractNumId w:val="23"/>
  </w:num>
  <w:num w:numId="14">
    <w:abstractNumId w:val="28"/>
  </w:num>
  <w:num w:numId="15">
    <w:abstractNumId w:val="0"/>
  </w:num>
  <w:num w:numId="16">
    <w:abstractNumId w:val="21"/>
  </w:num>
  <w:num w:numId="17">
    <w:abstractNumId w:val="21"/>
  </w:num>
  <w:num w:numId="18">
    <w:abstractNumId w:val="10"/>
  </w:num>
  <w:num w:numId="19">
    <w:abstractNumId w:val="17"/>
  </w:num>
  <w:num w:numId="20">
    <w:abstractNumId w:val="32"/>
  </w:num>
  <w:num w:numId="21">
    <w:abstractNumId w:val="14"/>
  </w:num>
  <w:num w:numId="22">
    <w:abstractNumId w:val="5"/>
  </w:num>
  <w:num w:numId="23">
    <w:abstractNumId w:val="15"/>
  </w:num>
  <w:num w:numId="24">
    <w:abstractNumId w:val="35"/>
  </w:num>
  <w:num w:numId="25">
    <w:abstractNumId w:val="1"/>
  </w:num>
  <w:num w:numId="26">
    <w:abstractNumId w:val="7"/>
  </w:num>
  <w:num w:numId="27">
    <w:abstractNumId w:val="25"/>
  </w:num>
  <w:num w:numId="28">
    <w:abstractNumId w:val="13"/>
  </w:num>
  <w:num w:numId="29">
    <w:abstractNumId w:val="9"/>
  </w:num>
  <w:num w:numId="30">
    <w:abstractNumId w:val="19"/>
  </w:num>
  <w:num w:numId="31">
    <w:abstractNumId w:val="33"/>
  </w:num>
  <w:num w:numId="32">
    <w:abstractNumId w:val="34"/>
  </w:num>
  <w:num w:numId="33">
    <w:abstractNumId w:val="24"/>
  </w:num>
  <w:num w:numId="34">
    <w:abstractNumId w:val="4"/>
  </w:num>
  <w:num w:numId="35">
    <w:abstractNumId w:val="18"/>
  </w:num>
  <w:num w:numId="36">
    <w:abstractNumId w:val="2"/>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D90"/>
    <w:rsid w:val="00004C37"/>
    <w:rsid w:val="000066B3"/>
    <w:rsid w:val="0003613C"/>
    <w:rsid w:val="00066D87"/>
    <w:rsid w:val="00083973"/>
    <w:rsid w:val="000E3EDE"/>
    <w:rsid w:val="00107654"/>
    <w:rsid w:val="00107E82"/>
    <w:rsid w:val="00185CFB"/>
    <w:rsid w:val="001A21B6"/>
    <w:rsid w:val="001B1CBA"/>
    <w:rsid w:val="001D2AF7"/>
    <w:rsid w:val="001F5A39"/>
    <w:rsid w:val="00207743"/>
    <w:rsid w:val="00213167"/>
    <w:rsid w:val="002512F9"/>
    <w:rsid w:val="00267405"/>
    <w:rsid w:val="002F13F2"/>
    <w:rsid w:val="003075AA"/>
    <w:rsid w:val="003145FA"/>
    <w:rsid w:val="0036606B"/>
    <w:rsid w:val="00367A41"/>
    <w:rsid w:val="00393C92"/>
    <w:rsid w:val="003A1A41"/>
    <w:rsid w:val="003A3E09"/>
    <w:rsid w:val="003B3910"/>
    <w:rsid w:val="00410724"/>
    <w:rsid w:val="00417566"/>
    <w:rsid w:val="004670C1"/>
    <w:rsid w:val="004A50EF"/>
    <w:rsid w:val="004D523C"/>
    <w:rsid w:val="005A1C17"/>
    <w:rsid w:val="005A2ABA"/>
    <w:rsid w:val="005C1DC9"/>
    <w:rsid w:val="005D180A"/>
    <w:rsid w:val="005E7B69"/>
    <w:rsid w:val="00613EA9"/>
    <w:rsid w:val="0061775F"/>
    <w:rsid w:val="00637EC7"/>
    <w:rsid w:val="00696C0D"/>
    <w:rsid w:val="006C6A0D"/>
    <w:rsid w:val="006F0329"/>
    <w:rsid w:val="00700807"/>
    <w:rsid w:val="00712E58"/>
    <w:rsid w:val="007407AC"/>
    <w:rsid w:val="00755D72"/>
    <w:rsid w:val="00763CD0"/>
    <w:rsid w:val="00792796"/>
    <w:rsid w:val="00796B64"/>
    <w:rsid w:val="007E6779"/>
    <w:rsid w:val="00820B4C"/>
    <w:rsid w:val="0083239D"/>
    <w:rsid w:val="008529D2"/>
    <w:rsid w:val="0088105E"/>
    <w:rsid w:val="00917DCA"/>
    <w:rsid w:val="00926DE3"/>
    <w:rsid w:val="0096424D"/>
    <w:rsid w:val="00995C74"/>
    <w:rsid w:val="009A2B20"/>
    <w:rsid w:val="009C7C72"/>
    <w:rsid w:val="00A47096"/>
    <w:rsid w:val="00A95D2A"/>
    <w:rsid w:val="00AA2EC5"/>
    <w:rsid w:val="00AB4C73"/>
    <w:rsid w:val="00AD27C0"/>
    <w:rsid w:val="00AE6F47"/>
    <w:rsid w:val="00B91E47"/>
    <w:rsid w:val="00B935D2"/>
    <w:rsid w:val="00BB0ECC"/>
    <w:rsid w:val="00BC6B21"/>
    <w:rsid w:val="00C04D8A"/>
    <w:rsid w:val="00C65884"/>
    <w:rsid w:val="00C87E57"/>
    <w:rsid w:val="00C970E1"/>
    <w:rsid w:val="00CF6143"/>
    <w:rsid w:val="00D14843"/>
    <w:rsid w:val="00DD5C37"/>
    <w:rsid w:val="00DE379A"/>
    <w:rsid w:val="00DF35D9"/>
    <w:rsid w:val="00E3597D"/>
    <w:rsid w:val="00E4239A"/>
    <w:rsid w:val="00E7267A"/>
    <w:rsid w:val="00EB027A"/>
    <w:rsid w:val="00EC1CBA"/>
    <w:rsid w:val="00EE7801"/>
    <w:rsid w:val="00F11A19"/>
    <w:rsid w:val="00F16554"/>
    <w:rsid w:val="00F544E1"/>
    <w:rsid w:val="00FD1D90"/>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D5D0F"/>
  <w15:chartTrackingRefBased/>
  <w15:docId w15:val="{9CBBF68E-4E36-4220-A814-650AFDB1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884"/>
    <w:pPr>
      <w:spacing w:after="160"/>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autoRedefine/>
    <w:uiPriority w:val="34"/>
    <w:qFormat/>
    <w:rsid w:val="00613EA9"/>
    <w:pPr>
      <w:ind w:firstLine="1440"/>
    </w:pPr>
  </w:style>
  <w:style w:type="paragraph" w:styleId="FootnoteText">
    <w:name w:val="footnote text"/>
    <w:aliases w:val="Car"/>
    <w:basedOn w:val="Normal"/>
    <w:link w:val="FootnoteTextChar"/>
    <w:autoRedefine/>
    <w:uiPriority w:val="99"/>
    <w:qFormat/>
    <w:rsid w:val="00C04D8A"/>
    <w:pPr>
      <w:spacing w:line="240" w:lineRule="auto"/>
    </w:pPr>
    <w:rPr>
      <w:rFonts w:eastAsia="Times New Roman"/>
      <w:sz w:val="20"/>
    </w:rPr>
  </w:style>
  <w:style w:type="character" w:customStyle="1" w:styleId="FootnoteTextChar">
    <w:name w:val="Footnote Text Char"/>
    <w:aliases w:val="Car Char"/>
    <w:basedOn w:val="DefaultParagraphFont"/>
    <w:link w:val="FootnoteText"/>
    <w:uiPriority w:val="99"/>
    <w:rsid w:val="00C04D8A"/>
    <w:rPr>
      <w:rFonts w:eastAsia="Times New Roman"/>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unhideWhenUsed/>
    <w:rsid w:val="003075AA"/>
    <w:rPr>
      <w:rFonts w:ascii="Times New Roman" w:hAnsi="Times New Roman"/>
      <w:vertAlign w:val="superscript"/>
    </w:rPr>
  </w:style>
  <w:style w:type="paragraph" w:styleId="Quote">
    <w:name w:val="Quote"/>
    <w:basedOn w:val="Normal"/>
    <w:next w:val="Normal"/>
    <w:link w:val="QuoteChar"/>
    <w:uiPriority w:val="29"/>
    <w:qFormat/>
    <w:rsid w:val="003075AA"/>
    <w:pPr>
      <w:spacing w:after="120" w:line="240" w:lineRule="auto"/>
    </w:pPr>
    <w:rPr>
      <w:rFonts w:eastAsia="Times New Roman" w:cs="Times New Roman"/>
      <w:iCs/>
      <w:color w:val="000000" w:themeColor="text1"/>
      <w:szCs w:val="20"/>
    </w:rPr>
  </w:style>
  <w:style w:type="character" w:customStyle="1" w:styleId="QuoteChar">
    <w:name w:val="Quote Char"/>
    <w:basedOn w:val="DefaultParagraphFont"/>
    <w:link w:val="Quote"/>
    <w:uiPriority w:val="29"/>
    <w:rsid w:val="003075AA"/>
    <w:rPr>
      <w:rFonts w:eastAsia="Times New Roman"/>
      <w:iCs/>
      <w:color w:val="000000" w:themeColor="text1"/>
    </w:rPr>
  </w:style>
  <w:style w:type="paragraph" w:styleId="Header">
    <w:name w:val="header"/>
    <w:basedOn w:val="Normal"/>
    <w:link w:val="HeaderChar"/>
    <w:uiPriority w:val="99"/>
    <w:unhideWhenUsed/>
    <w:rsid w:val="001076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654"/>
    <w:rPr>
      <w:rFonts w:cstheme="minorBidi"/>
      <w:szCs w:val="22"/>
    </w:rPr>
  </w:style>
  <w:style w:type="paragraph" w:styleId="Footer">
    <w:name w:val="footer"/>
    <w:basedOn w:val="Normal"/>
    <w:link w:val="FooterChar"/>
    <w:uiPriority w:val="99"/>
    <w:unhideWhenUsed/>
    <w:rsid w:val="001076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654"/>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857</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Miskanic, Nicholas</cp:lastModifiedBy>
  <cp:revision>3</cp:revision>
  <dcterms:created xsi:type="dcterms:W3CDTF">2022-01-10T14:38:00Z</dcterms:created>
  <dcterms:modified xsi:type="dcterms:W3CDTF">2022-01-10T14:40:00Z</dcterms:modified>
</cp:coreProperties>
</file>