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AE00" w14:textId="0645DA3A" w:rsidR="00D730D7" w:rsidRPr="00133783" w:rsidRDefault="00D730D7" w:rsidP="00133783">
      <w:pPr>
        <w:pStyle w:val="Title"/>
        <w:tabs>
          <w:tab w:val="clear" w:pos="360"/>
          <w:tab w:val="left" w:pos="0"/>
        </w:tabs>
        <w:spacing w:line="240" w:lineRule="auto"/>
        <w:rPr>
          <w:szCs w:val="24"/>
        </w:rPr>
      </w:pPr>
      <w:r w:rsidRPr="00133783">
        <w:rPr>
          <w:szCs w:val="24"/>
        </w:rPr>
        <w:t>BEFORE THE</w:t>
      </w:r>
    </w:p>
    <w:p w14:paraId="056AE283" w14:textId="77777777" w:rsidR="00D730D7" w:rsidRPr="00133783" w:rsidRDefault="00D730D7" w:rsidP="00133783">
      <w:pPr>
        <w:tabs>
          <w:tab w:val="left" w:pos="0"/>
        </w:tabs>
        <w:spacing w:line="240" w:lineRule="auto"/>
        <w:jc w:val="center"/>
        <w:rPr>
          <w:b/>
          <w:sz w:val="24"/>
          <w:szCs w:val="24"/>
        </w:rPr>
      </w:pPr>
      <w:r w:rsidRPr="00133783">
        <w:rPr>
          <w:b/>
          <w:sz w:val="24"/>
          <w:szCs w:val="24"/>
        </w:rPr>
        <w:t>PENNSYLVANIA PUBLIC UTILITY COMMISSION</w:t>
      </w:r>
    </w:p>
    <w:p w14:paraId="70806B04" w14:textId="77777777" w:rsidR="00D730D7" w:rsidRPr="00133783" w:rsidRDefault="00D730D7" w:rsidP="00133783">
      <w:pPr>
        <w:tabs>
          <w:tab w:val="left" w:pos="0"/>
        </w:tabs>
        <w:spacing w:line="240" w:lineRule="auto"/>
        <w:jc w:val="both"/>
        <w:rPr>
          <w:b/>
          <w:sz w:val="24"/>
          <w:szCs w:val="24"/>
        </w:rPr>
      </w:pPr>
    </w:p>
    <w:p w14:paraId="099677D6" w14:textId="77777777" w:rsidR="00D730D7" w:rsidRPr="00133783" w:rsidRDefault="00D730D7" w:rsidP="00133783">
      <w:pPr>
        <w:tabs>
          <w:tab w:val="left" w:pos="0"/>
        </w:tabs>
        <w:spacing w:line="240" w:lineRule="auto"/>
        <w:jc w:val="both"/>
        <w:rPr>
          <w:b/>
          <w:sz w:val="24"/>
          <w:szCs w:val="24"/>
        </w:rPr>
      </w:pPr>
    </w:p>
    <w:p w14:paraId="6C7FF820" w14:textId="77777777" w:rsidR="00D730D7" w:rsidRPr="00133783" w:rsidRDefault="00D730D7" w:rsidP="00133783">
      <w:pPr>
        <w:tabs>
          <w:tab w:val="left" w:pos="0"/>
        </w:tabs>
        <w:spacing w:line="240" w:lineRule="auto"/>
        <w:jc w:val="both"/>
        <w:rPr>
          <w:b/>
          <w:sz w:val="24"/>
          <w:szCs w:val="24"/>
        </w:rPr>
      </w:pPr>
    </w:p>
    <w:p w14:paraId="045EC3FD" w14:textId="1486890B" w:rsidR="00D730D7" w:rsidRPr="00133783" w:rsidRDefault="00561532" w:rsidP="00133783">
      <w:pPr>
        <w:tabs>
          <w:tab w:val="left" w:pos="0"/>
        </w:tabs>
        <w:spacing w:line="240" w:lineRule="auto"/>
        <w:jc w:val="both"/>
        <w:rPr>
          <w:b/>
          <w:sz w:val="24"/>
          <w:szCs w:val="24"/>
        </w:rPr>
      </w:pPr>
      <w:r w:rsidRPr="00133783">
        <w:rPr>
          <w:sz w:val="24"/>
          <w:szCs w:val="24"/>
        </w:rPr>
        <w:t>Heather Cigrand</w:t>
      </w:r>
      <w:r w:rsidRPr="00133783">
        <w:rPr>
          <w:sz w:val="24"/>
          <w:szCs w:val="24"/>
        </w:rPr>
        <w:tab/>
      </w:r>
      <w:r w:rsidR="007E6192" w:rsidRPr="00133783">
        <w:rPr>
          <w:sz w:val="24"/>
          <w:szCs w:val="24"/>
        </w:rPr>
        <w:tab/>
      </w:r>
      <w:r w:rsidR="00D730D7" w:rsidRPr="00133783">
        <w:rPr>
          <w:sz w:val="24"/>
          <w:szCs w:val="24"/>
        </w:rPr>
        <w:tab/>
      </w:r>
      <w:r w:rsidR="00D730D7" w:rsidRPr="00133783">
        <w:rPr>
          <w:sz w:val="24"/>
          <w:szCs w:val="24"/>
        </w:rPr>
        <w:tab/>
      </w:r>
      <w:r w:rsidR="00D730D7" w:rsidRPr="00133783">
        <w:rPr>
          <w:sz w:val="24"/>
          <w:szCs w:val="24"/>
        </w:rPr>
        <w:tab/>
        <w:t>:</w:t>
      </w:r>
    </w:p>
    <w:p w14:paraId="429164CD" w14:textId="08442837" w:rsidR="00D730D7" w:rsidRPr="00133783" w:rsidRDefault="00D730D7" w:rsidP="00133783">
      <w:pPr>
        <w:tabs>
          <w:tab w:val="left" w:pos="0"/>
        </w:tabs>
        <w:spacing w:line="240" w:lineRule="auto"/>
        <w:jc w:val="both"/>
        <w:rPr>
          <w:sz w:val="24"/>
          <w:szCs w:val="24"/>
        </w:rPr>
      </w:pPr>
      <w:r w:rsidRPr="00133783">
        <w:rPr>
          <w:b/>
          <w:sz w:val="24"/>
          <w:szCs w:val="24"/>
        </w:rPr>
        <w:tab/>
      </w:r>
      <w:r w:rsidRPr="00133783">
        <w:rPr>
          <w:b/>
          <w:sz w:val="24"/>
          <w:szCs w:val="24"/>
        </w:rPr>
        <w:tab/>
      </w:r>
      <w:r w:rsidRPr="00133783">
        <w:rPr>
          <w:b/>
          <w:sz w:val="24"/>
          <w:szCs w:val="24"/>
        </w:rPr>
        <w:tab/>
      </w:r>
      <w:r w:rsidRPr="00133783">
        <w:rPr>
          <w:b/>
          <w:sz w:val="24"/>
          <w:szCs w:val="24"/>
        </w:rPr>
        <w:tab/>
      </w:r>
      <w:r w:rsidRPr="00133783">
        <w:rPr>
          <w:b/>
          <w:sz w:val="24"/>
          <w:szCs w:val="24"/>
        </w:rPr>
        <w:tab/>
      </w:r>
      <w:r w:rsidRPr="00133783">
        <w:rPr>
          <w:b/>
          <w:sz w:val="24"/>
          <w:szCs w:val="24"/>
        </w:rPr>
        <w:tab/>
      </w:r>
      <w:r w:rsidRPr="00133783">
        <w:rPr>
          <w:b/>
          <w:sz w:val="24"/>
          <w:szCs w:val="24"/>
        </w:rPr>
        <w:tab/>
      </w:r>
      <w:r w:rsidRPr="00133783">
        <w:rPr>
          <w:sz w:val="24"/>
          <w:szCs w:val="24"/>
        </w:rPr>
        <w:t>:</w:t>
      </w:r>
    </w:p>
    <w:p w14:paraId="5ED4E689" w14:textId="30A37EEE" w:rsidR="00D730D7" w:rsidRPr="00133783" w:rsidRDefault="00D730D7" w:rsidP="00133783">
      <w:pPr>
        <w:tabs>
          <w:tab w:val="left" w:pos="0"/>
        </w:tabs>
        <w:spacing w:line="240" w:lineRule="auto"/>
        <w:jc w:val="both"/>
        <w:rPr>
          <w:sz w:val="24"/>
          <w:szCs w:val="24"/>
        </w:rPr>
      </w:pPr>
      <w:r w:rsidRPr="00133783">
        <w:rPr>
          <w:sz w:val="24"/>
          <w:szCs w:val="24"/>
        </w:rPr>
        <w:tab/>
        <w:t>v.</w:t>
      </w:r>
      <w:r w:rsidRPr="00133783">
        <w:rPr>
          <w:sz w:val="24"/>
          <w:szCs w:val="24"/>
        </w:rPr>
        <w:tab/>
      </w:r>
      <w:r w:rsidRPr="00133783">
        <w:rPr>
          <w:sz w:val="24"/>
          <w:szCs w:val="24"/>
        </w:rPr>
        <w:tab/>
      </w:r>
      <w:r w:rsidRPr="00133783">
        <w:rPr>
          <w:sz w:val="24"/>
          <w:szCs w:val="24"/>
        </w:rPr>
        <w:tab/>
      </w:r>
      <w:r w:rsidRPr="00133783">
        <w:rPr>
          <w:sz w:val="24"/>
          <w:szCs w:val="24"/>
        </w:rPr>
        <w:tab/>
      </w:r>
      <w:r w:rsidRPr="00133783">
        <w:rPr>
          <w:sz w:val="24"/>
          <w:szCs w:val="24"/>
        </w:rPr>
        <w:tab/>
      </w:r>
      <w:r w:rsidRPr="00133783">
        <w:rPr>
          <w:sz w:val="24"/>
          <w:szCs w:val="24"/>
        </w:rPr>
        <w:tab/>
        <w:t>:</w:t>
      </w:r>
      <w:r w:rsidRPr="00133783">
        <w:rPr>
          <w:b/>
          <w:sz w:val="24"/>
          <w:szCs w:val="24"/>
        </w:rPr>
        <w:tab/>
      </w:r>
      <w:r w:rsidRPr="00133783">
        <w:rPr>
          <w:b/>
          <w:sz w:val="24"/>
          <w:szCs w:val="24"/>
        </w:rPr>
        <w:tab/>
      </w:r>
      <w:r w:rsidR="00561532" w:rsidRPr="00133783">
        <w:rPr>
          <w:bCs/>
          <w:sz w:val="24"/>
          <w:szCs w:val="24"/>
        </w:rPr>
        <w:t>F</w:t>
      </w:r>
      <w:r w:rsidRPr="00133783">
        <w:rPr>
          <w:sz w:val="24"/>
          <w:szCs w:val="24"/>
        </w:rPr>
        <w:t>-20</w:t>
      </w:r>
      <w:r w:rsidR="00561532" w:rsidRPr="00133783">
        <w:rPr>
          <w:sz w:val="24"/>
          <w:szCs w:val="24"/>
        </w:rPr>
        <w:t>21</w:t>
      </w:r>
      <w:r w:rsidRPr="00133783">
        <w:rPr>
          <w:sz w:val="24"/>
          <w:szCs w:val="24"/>
        </w:rPr>
        <w:t>-</w:t>
      </w:r>
      <w:r w:rsidR="00561532" w:rsidRPr="00133783">
        <w:rPr>
          <w:sz w:val="24"/>
          <w:szCs w:val="24"/>
        </w:rPr>
        <w:t>3028359</w:t>
      </w:r>
    </w:p>
    <w:p w14:paraId="289CFC59" w14:textId="77777777" w:rsidR="00D730D7" w:rsidRPr="00133783" w:rsidRDefault="00D730D7" w:rsidP="00133783">
      <w:pPr>
        <w:tabs>
          <w:tab w:val="left" w:pos="0"/>
        </w:tabs>
        <w:spacing w:line="240" w:lineRule="auto"/>
        <w:jc w:val="both"/>
        <w:rPr>
          <w:sz w:val="24"/>
          <w:szCs w:val="24"/>
        </w:rPr>
      </w:pPr>
      <w:r w:rsidRPr="00133783">
        <w:rPr>
          <w:sz w:val="24"/>
          <w:szCs w:val="24"/>
        </w:rPr>
        <w:tab/>
      </w:r>
      <w:r w:rsidRPr="00133783">
        <w:rPr>
          <w:sz w:val="24"/>
          <w:szCs w:val="24"/>
        </w:rPr>
        <w:tab/>
      </w:r>
      <w:r w:rsidRPr="00133783">
        <w:rPr>
          <w:sz w:val="24"/>
          <w:szCs w:val="24"/>
        </w:rPr>
        <w:tab/>
      </w:r>
      <w:r w:rsidRPr="00133783">
        <w:rPr>
          <w:sz w:val="24"/>
          <w:szCs w:val="24"/>
        </w:rPr>
        <w:tab/>
      </w:r>
      <w:r w:rsidRPr="00133783">
        <w:rPr>
          <w:sz w:val="24"/>
          <w:szCs w:val="24"/>
        </w:rPr>
        <w:tab/>
      </w:r>
      <w:r w:rsidRPr="00133783">
        <w:rPr>
          <w:sz w:val="24"/>
          <w:szCs w:val="24"/>
        </w:rPr>
        <w:tab/>
      </w:r>
      <w:r w:rsidRPr="00133783">
        <w:rPr>
          <w:sz w:val="24"/>
          <w:szCs w:val="24"/>
        </w:rPr>
        <w:tab/>
        <w:t>:</w:t>
      </w:r>
    </w:p>
    <w:p w14:paraId="2989AF5C" w14:textId="57FC6B35" w:rsidR="00D730D7" w:rsidRPr="00133783" w:rsidRDefault="00561532" w:rsidP="00133783">
      <w:pPr>
        <w:tabs>
          <w:tab w:val="left" w:pos="0"/>
        </w:tabs>
        <w:spacing w:line="240" w:lineRule="auto"/>
        <w:jc w:val="both"/>
        <w:rPr>
          <w:sz w:val="24"/>
          <w:szCs w:val="24"/>
        </w:rPr>
      </w:pPr>
      <w:r w:rsidRPr="00133783">
        <w:rPr>
          <w:sz w:val="24"/>
          <w:szCs w:val="24"/>
        </w:rPr>
        <w:t>Duquesne Light Company</w:t>
      </w:r>
      <w:r w:rsidRPr="00133783">
        <w:rPr>
          <w:sz w:val="24"/>
          <w:szCs w:val="24"/>
        </w:rPr>
        <w:tab/>
      </w:r>
      <w:r w:rsidR="007E6192" w:rsidRPr="00133783">
        <w:rPr>
          <w:sz w:val="24"/>
          <w:szCs w:val="24"/>
        </w:rPr>
        <w:tab/>
      </w:r>
      <w:r w:rsidR="007E6192" w:rsidRPr="00133783">
        <w:rPr>
          <w:sz w:val="24"/>
          <w:szCs w:val="24"/>
        </w:rPr>
        <w:tab/>
      </w:r>
      <w:r w:rsidR="00D730D7" w:rsidRPr="00133783">
        <w:rPr>
          <w:sz w:val="24"/>
          <w:szCs w:val="24"/>
        </w:rPr>
        <w:t xml:space="preserve"> </w:t>
      </w:r>
      <w:r w:rsidR="00D730D7" w:rsidRPr="00133783">
        <w:rPr>
          <w:sz w:val="24"/>
          <w:szCs w:val="24"/>
        </w:rPr>
        <w:tab/>
        <w:t>:</w:t>
      </w:r>
    </w:p>
    <w:p w14:paraId="22192BC6" w14:textId="77777777" w:rsidR="00D730D7" w:rsidRPr="00133783" w:rsidRDefault="00D730D7" w:rsidP="00133783">
      <w:pPr>
        <w:tabs>
          <w:tab w:val="left" w:pos="0"/>
        </w:tabs>
        <w:spacing w:line="240" w:lineRule="auto"/>
        <w:jc w:val="both"/>
        <w:rPr>
          <w:sz w:val="24"/>
          <w:szCs w:val="24"/>
        </w:rPr>
      </w:pPr>
    </w:p>
    <w:p w14:paraId="3AB10C1E" w14:textId="77777777" w:rsidR="00D730D7" w:rsidRPr="00133783" w:rsidRDefault="00D730D7" w:rsidP="00133783">
      <w:pPr>
        <w:tabs>
          <w:tab w:val="left" w:pos="0"/>
        </w:tabs>
        <w:spacing w:line="240" w:lineRule="auto"/>
        <w:jc w:val="both"/>
        <w:rPr>
          <w:b/>
          <w:sz w:val="24"/>
          <w:szCs w:val="24"/>
        </w:rPr>
      </w:pPr>
    </w:p>
    <w:p w14:paraId="428CC686" w14:textId="77777777" w:rsidR="00D730D7" w:rsidRPr="00133783" w:rsidRDefault="00D730D7" w:rsidP="00133783">
      <w:pPr>
        <w:tabs>
          <w:tab w:val="left" w:pos="-720"/>
        </w:tabs>
        <w:suppressAutoHyphens/>
        <w:spacing w:line="240" w:lineRule="auto"/>
        <w:rPr>
          <w:spacing w:val="-3"/>
          <w:sz w:val="24"/>
          <w:szCs w:val="24"/>
        </w:rPr>
      </w:pPr>
    </w:p>
    <w:p w14:paraId="6C78157E" w14:textId="77777777" w:rsidR="00545793" w:rsidRPr="00133783" w:rsidRDefault="00545793" w:rsidP="00133783">
      <w:pPr>
        <w:spacing w:line="240" w:lineRule="auto"/>
        <w:jc w:val="center"/>
        <w:outlineLvl w:val="0"/>
        <w:rPr>
          <w:b/>
          <w:bCs/>
          <w:sz w:val="24"/>
          <w:szCs w:val="24"/>
        </w:rPr>
      </w:pPr>
      <w:r w:rsidRPr="00133783">
        <w:rPr>
          <w:b/>
          <w:bCs/>
          <w:sz w:val="24"/>
          <w:szCs w:val="24"/>
        </w:rPr>
        <w:t>FIRST INTERIM ORDER</w:t>
      </w:r>
    </w:p>
    <w:p w14:paraId="1FE1B76F" w14:textId="77777777" w:rsidR="00E602C3" w:rsidRDefault="00197BCE" w:rsidP="00133783">
      <w:pPr>
        <w:spacing w:line="240" w:lineRule="auto"/>
        <w:jc w:val="center"/>
        <w:outlineLvl w:val="0"/>
        <w:rPr>
          <w:b/>
          <w:bCs/>
          <w:sz w:val="24"/>
          <w:szCs w:val="24"/>
        </w:rPr>
      </w:pPr>
      <w:r w:rsidRPr="00133783">
        <w:rPr>
          <w:b/>
          <w:bCs/>
          <w:sz w:val="24"/>
          <w:szCs w:val="24"/>
        </w:rPr>
        <w:t xml:space="preserve">GRANTING </w:t>
      </w:r>
      <w:r w:rsidR="0003217B" w:rsidRPr="00133783">
        <w:rPr>
          <w:b/>
          <w:bCs/>
          <w:sz w:val="24"/>
          <w:szCs w:val="24"/>
        </w:rPr>
        <w:t xml:space="preserve">IN PART </w:t>
      </w:r>
      <w:r w:rsidR="000735D4" w:rsidRPr="00133783">
        <w:rPr>
          <w:b/>
          <w:bCs/>
          <w:sz w:val="24"/>
          <w:szCs w:val="24"/>
        </w:rPr>
        <w:t xml:space="preserve">RESPONDENT’S MOTION FOR </w:t>
      </w:r>
    </w:p>
    <w:p w14:paraId="06CA82DF" w14:textId="77777777" w:rsidR="00E602C3" w:rsidRPr="00E602C3" w:rsidRDefault="00197BCE" w:rsidP="00133783">
      <w:pPr>
        <w:spacing w:line="240" w:lineRule="auto"/>
        <w:jc w:val="center"/>
        <w:outlineLvl w:val="0"/>
        <w:rPr>
          <w:b/>
          <w:bCs/>
          <w:sz w:val="24"/>
          <w:szCs w:val="24"/>
        </w:rPr>
      </w:pPr>
      <w:r w:rsidRPr="00E602C3">
        <w:rPr>
          <w:b/>
          <w:bCs/>
          <w:sz w:val="24"/>
          <w:szCs w:val="24"/>
        </w:rPr>
        <w:t>JUDGMENT ON THE PLEADINGS</w:t>
      </w:r>
      <w:r w:rsidR="0034359B" w:rsidRPr="00E602C3">
        <w:rPr>
          <w:b/>
          <w:bCs/>
          <w:sz w:val="24"/>
          <w:szCs w:val="24"/>
        </w:rPr>
        <w:t xml:space="preserve"> AND</w:t>
      </w:r>
      <w:r w:rsidR="000735D4" w:rsidRPr="00E602C3">
        <w:rPr>
          <w:b/>
          <w:bCs/>
          <w:sz w:val="24"/>
          <w:szCs w:val="24"/>
        </w:rPr>
        <w:t xml:space="preserve"> </w:t>
      </w:r>
      <w:r w:rsidR="005B1B83" w:rsidRPr="00E602C3">
        <w:rPr>
          <w:b/>
          <w:bCs/>
          <w:sz w:val="24"/>
          <w:szCs w:val="24"/>
        </w:rPr>
        <w:t>D</w:t>
      </w:r>
      <w:r w:rsidR="0034359B" w:rsidRPr="00E602C3">
        <w:rPr>
          <w:b/>
          <w:bCs/>
          <w:sz w:val="24"/>
          <w:szCs w:val="24"/>
        </w:rPr>
        <w:t>ENYING</w:t>
      </w:r>
      <w:r w:rsidR="009912E0" w:rsidRPr="00E602C3">
        <w:rPr>
          <w:b/>
          <w:bCs/>
          <w:sz w:val="24"/>
          <w:szCs w:val="24"/>
        </w:rPr>
        <w:t xml:space="preserve"> </w:t>
      </w:r>
    </w:p>
    <w:p w14:paraId="2DA8C8BD" w14:textId="3146DE4A" w:rsidR="00D730D7" w:rsidRPr="00133783" w:rsidRDefault="00197BCE" w:rsidP="00133783">
      <w:pPr>
        <w:spacing w:line="240" w:lineRule="auto"/>
        <w:jc w:val="center"/>
        <w:outlineLvl w:val="0"/>
        <w:rPr>
          <w:b/>
          <w:bCs/>
          <w:sz w:val="24"/>
          <w:szCs w:val="24"/>
          <w:u w:val="single"/>
        </w:rPr>
      </w:pPr>
      <w:r w:rsidRPr="00133783">
        <w:rPr>
          <w:b/>
          <w:bCs/>
          <w:sz w:val="24"/>
          <w:szCs w:val="24"/>
          <w:u w:val="single"/>
        </w:rPr>
        <w:t>RESPONDENT’S REQUEST FOR DISMISSAL OF THE COMPLAINT</w:t>
      </w:r>
    </w:p>
    <w:p w14:paraId="4E4F9469" w14:textId="77777777" w:rsidR="00253433" w:rsidRPr="00133783" w:rsidRDefault="00253433" w:rsidP="00253433">
      <w:pPr>
        <w:jc w:val="center"/>
        <w:rPr>
          <w:bCs/>
          <w:sz w:val="24"/>
          <w:szCs w:val="24"/>
          <w:u w:val="single"/>
        </w:rPr>
      </w:pPr>
    </w:p>
    <w:p w14:paraId="742F7874" w14:textId="443478FC" w:rsidR="00D730D7" w:rsidRPr="00133783" w:rsidRDefault="00253433" w:rsidP="00253433">
      <w:pPr>
        <w:jc w:val="center"/>
        <w:rPr>
          <w:bCs/>
          <w:sz w:val="24"/>
          <w:szCs w:val="24"/>
          <w:u w:val="single"/>
        </w:rPr>
      </w:pPr>
      <w:r w:rsidRPr="00133783">
        <w:rPr>
          <w:bCs/>
          <w:sz w:val="24"/>
          <w:szCs w:val="24"/>
          <w:u w:val="single"/>
        </w:rPr>
        <w:t>PROCEDURAL BACKGROUND</w:t>
      </w:r>
    </w:p>
    <w:p w14:paraId="5C2CFB9E" w14:textId="77777777" w:rsidR="007C1673" w:rsidRPr="00133783" w:rsidRDefault="007C1673">
      <w:pPr>
        <w:rPr>
          <w:sz w:val="24"/>
          <w:szCs w:val="24"/>
        </w:rPr>
      </w:pPr>
    </w:p>
    <w:p w14:paraId="4A3BA3A0" w14:textId="77A94528" w:rsidR="00D3361E" w:rsidRPr="00133783" w:rsidRDefault="00550D4B">
      <w:pPr>
        <w:rPr>
          <w:sz w:val="24"/>
          <w:szCs w:val="24"/>
        </w:rPr>
      </w:pPr>
      <w:r w:rsidRPr="00133783">
        <w:rPr>
          <w:sz w:val="24"/>
          <w:szCs w:val="24"/>
        </w:rPr>
        <w:tab/>
      </w:r>
      <w:r w:rsidR="00AD0BA9" w:rsidRPr="00133783">
        <w:rPr>
          <w:sz w:val="24"/>
          <w:szCs w:val="24"/>
        </w:rPr>
        <w:tab/>
      </w:r>
      <w:r w:rsidR="00320DE8" w:rsidRPr="00133783">
        <w:rPr>
          <w:sz w:val="24"/>
          <w:szCs w:val="24"/>
        </w:rPr>
        <w:t xml:space="preserve">On </w:t>
      </w:r>
      <w:r w:rsidR="007E7C64" w:rsidRPr="00133783">
        <w:rPr>
          <w:sz w:val="24"/>
          <w:szCs w:val="24"/>
        </w:rPr>
        <w:t>August 6</w:t>
      </w:r>
      <w:r w:rsidR="00561532" w:rsidRPr="00133783">
        <w:rPr>
          <w:sz w:val="24"/>
          <w:szCs w:val="24"/>
        </w:rPr>
        <w:t>,</w:t>
      </w:r>
      <w:r w:rsidR="00320DE8" w:rsidRPr="00133783">
        <w:rPr>
          <w:sz w:val="24"/>
          <w:szCs w:val="24"/>
        </w:rPr>
        <w:t xml:space="preserve"> 20</w:t>
      </w:r>
      <w:r w:rsidR="00561532" w:rsidRPr="00133783">
        <w:rPr>
          <w:sz w:val="24"/>
          <w:szCs w:val="24"/>
        </w:rPr>
        <w:t>21</w:t>
      </w:r>
      <w:r w:rsidR="00320DE8" w:rsidRPr="00133783">
        <w:rPr>
          <w:sz w:val="24"/>
          <w:szCs w:val="24"/>
        </w:rPr>
        <w:t xml:space="preserve">, </w:t>
      </w:r>
      <w:r w:rsidR="00C0015D" w:rsidRPr="00133783">
        <w:rPr>
          <w:sz w:val="24"/>
          <w:szCs w:val="24"/>
        </w:rPr>
        <w:t xml:space="preserve">Complainant </w:t>
      </w:r>
      <w:r w:rsidR="00561532" w:rsidRPr="00133783">
        <w:rPr>
          <w:sz w:val="24"/>
          <w:szCs w:val="24"/>
        </w:rPr>
        <w:t>Heather Cigrand</w:t>
      </w:r>
      <w:r w:rsidRPr="00133783">
        <w:rPr>
          <w:sz w:val="24"/>
          <w:szCs w:val="24"/>
        </w:rPr>
        <w:t xml:space="preserve"> (</w:t>
      </w:r>
      <w:r w:rsidR="00561532" w:rsidRPr="00133783">
        <w:rPr>
          <w:sz w:val="24"/>
          <w:szCs w:val="24"/>
        </w:rPr>
        <w:t xml:space="preserve">Complainant or </w:t>
      </w:r>
      <w:r w:rsidRPr="00133783">
        <w:rPr>
          <w:sz w:val="24"/>
          <w:szCs w:val="24"/>
        </w:rPr>
        <w:t>M</w:t>
      </w:r>
      <w:r w:rsidR="00561532" w:rsidRPr="00133783">
        <w:rPr>
          <w:sz w:val="24"/>
          <w:szCs w:val="24"/>
        </w:rPr>
        <w:t>s</w:t>
      </w:r>
      <w:r w:rsidRPr="00133783">
        <w:rPr>
          <w:sz w:val="24"/>
          <w:szCs w:val="24"/>
        </w:rPr>
        <w:t xml:space="preserve">. </w:t>
      </w:r>
      <w:r w:rsidR="00561532" w:rsidRPr="00133783">
        <w:rPr>
          <w:sz w:val="24"/>
          <w:szCs w:val="24"/>
        </w:rPr>
        <w:t>Cigrand</w:t>
      </w:r>
      <w:r w:rsidRPr="00133783">
        <w:rPr>
          <w:sz w:val="24"/>
          <w:szCs w:val="24"/>
        </w:rPr>
        <w:t xml:space="preserve">) filed a Formal Complaint with the Pennsylvania Public Utility Commission (Commission) against </w:t>
      </w:r>
      <w:r w:rsidR="000F13ED" w:rsidRPr="00133783">
        <w:rPr>
          <w:sz w:val="24"/>
          <w:szCs w:val="24"/>
        </w:rPr>
        <w:t xml:space="preserve">Respondent </w:t>
      </w:r>
      <w:r w:rsidR="00561532" w:rsidRPr="00133783">
        <w:rPr>
          <w:sz w:val="24"/>
          <w:szCs w:val="24"/>
        </w:rPr>
        <w:t xml:space="preserve">Duquesne Light Company. </w:t>
      </w:r>
      <w:r w:rsidR="003141D6" w:rsidRPr="00133783">
        <w:rPr>
          <w:sz w:val="24"/>
          <w:szCs w:val="24"/>
        </w:rPr>
        <w:t xml:space="preserve"> </w:t>
      </w:r>
      <w:r w:rsidRPr="00133783">
        <w:rPr>
          <w:sz w:val="24"/>
          <w:szCs w:val="24"/>
        </w:rPr>
        <w:t>(Respondent</w:t>
      </w:r>
      <w:r w:rsidR="00C0015D" w:rsidRPr="00133783">
        <w:rPr>
          <w:sz w:val="24"/>
          <w:szCs w:val="24"/>
        </w:rPr>
        <w:t xml:space="preserve"> or</w:t>
      </w:r>
      <w:r w:rsidRPr="00133783">
        <w:rPr>
          <w:sz w:val="24"/>
          <w:szCs w:val="24"/>
        </w:rPr>
        <w:t xml:space="preserve"> </w:t>
      </w:r>
      <w:r w:rsidR="00561532" w:rsidRPr="00133783">
        <w:rPr>
          <w:sz w:val="24"/>
          <w:szCs w:val="24"/>
        </w:rPr>
        <w:t>Duquesne Light</w:t>
      </w:r>
      <w:r w:rsidR="00320DE8" w:rsidRPr="00133783">
        <w:rPr>
          <w:sz w:val="24"/>
          <w:szCs w:val="24"/>
        </w:rPr>
        <w:t>)</w:t>
      </w:r>
      <w:r w:rsidR="00A006F1" w:rsidRPr="00133783">
        <w:rPr>
          <w:sz w:val="24"/>
          <w:szCs w:val="24"/>
        </w:rPr>
        <w:t xml:space="preserve">.  </w:t>
      </w:r>
      <w:r w:rsidR="000F13ED" w:rsidRPr="00133783">
        <w:rPr>
          <w:sz w:val="24"/>
          <w:szCs w:val="24"/>
        </w:rPr>
        <w:t>M</w:t>
      </w:r>
      <w:r w:rsidR="00561532" w:rsidRPr="00133783">
        <w:rPr>
          <w:sz w:val="24"/>
          <w:szCs w:val="24"/>
        </w:rPr>
        <w:t>s</w:t>
      </w:r>
      <w:r w:rsidR="000F13ED" w:rsidRPr="00133783">
        <w:rPr>
          <w:sz w:val="24"/>
          <w:szCs w:val="24"/>
        </w:rPr>
        <w:t xml:space="preserve">. </w:t>
      </w:r>
      <w:r w:rsidR="00464CA3" w:rsidRPr="00133783">
        <w:rPr>
          <w:sz w:val="24"/>
          <w:szCs w:val="24"/>
        </w:rPr>
        <w:t xml:space="preserve">Cigrand </w:t>
      </w:r>
      <w:r w:rsidR="000F13ED" w:rsidRPr="00133783">
        <w:rPr>
          <w:sz w:val="24"/>
          <w:szCs w:val="24"/>
        </w:rPr>
        <w:t>allege</w:t>
      </w:r>
      <w:r w:rsidR="008A60C8" w:rsidRPr="00133783">
        <w:rPr>
          <w:sz w:val="24"/>
          <w:szCs w:val="24"/>
        </w:rPr>
        <w:t>s</w:t>
      </w:r>
      <w:r w:rsidR="000F13ED" w:rsidRPr="00133783">
        <w:rPr>
          <w:sz w:val="24"/>
          <w:szCs w:val="24"/>
        </w:rPr>
        <w:t xml:space="preserve"> </w:t>
      </w:r>
      <w:r w:rsidR="00C57120" w:rsidRPr="00133783">
        <w:rPr>
          <w:sz w:val="24"/>
          <w:szCs w:val="24"/>
        </w:rPr>
        <w:t>the</w:t>
      </w:r>
      <w:r w:rsidR="00B20F48" w:rsidRPr="00133783">
        <w:rPr>
          <w:sz w:val="24"/>
          <w:szCs w:val="24"/>
        </w:rPr>
        <w:t xml:space="preserve">re </w:t>
      </w:r>
      <w:r w:rsidR="00622B3C" w:rsidRPr="00133783">
        <w:rPr>
          <w:sz w:val="24"/>
          <w:szCs w:val="24"/>
        </w:rPr>
        <w:t>are</w:t>
      </w:r>
      <w:r w:rsidR="00B20F48" w:rsidRPr="00133783">
        <w:rPr>
          <w:sz w:val="24"/>
          <w:szCs w:val="24"/>
        </w:rPr>
        <w:t xml:space="preserve"> incorrect charges on her </w:t>
      </w:r>
      <w:r w:rsidR="00C57120" w:rsidRPr="00133783">
        <w:rPr>
          <w:sz w:val="24"/>
          <w:szCs w:val="24"/>
        </w:rPr>
        <w:t>bill</w:t>
      </w:r>
      <w:r w:rsidR="00B20F48" w:rsidRPr="00133783">
        <w:rPr>
          <w:sz w:val="24"/>
          <w:szCs w:val="24"/>
        </w:rPr>
        <w:t xml:space="preserve">, resulting from </w:t>
      </w:r>
      <w:r w:rsidR="009A77DD" w:rsidRPr="00133783">
        <w:rPr>
          <w:sz w:val="24"/>
          <w:szCs w:val="24"/>
        </w:rPr>
        <w:t xml:space="preserve">Duquesne Light </w:t>
      </w:r>
      <w:r w:rsidR="00852E4D" w:rsidRPr="00133783">
        <w:rPr>
          <w:sz w:val="24"/>
          <w:szCs w:val="24"/>
        </w:rPr>
        <w:t xml:space="preserve">placing her </w:t>
      </w:r>
      <w:r w:rsidR="001B4CA5" w:rsidRPr="00133783">
        <w:rPr>
          <w:sz w:val="24"/>
          <w:szCs w:val="24"/>
        </w:rPr>
        <w:t xml:space="preserve">two </w:t>
      </w:r>
      <w:r w:rsidR="00852E4D" w:rsidRPr="00133783">
        <w:rPr>
          <w:sz w:val="24"/>
          <w:szCs w:val="24"/>
        </w:rPr>
        <w:t>tenants’ bill</w:t>
      </w:r>
      <w:r w:rsidR="00C57120" w:rsidRPr="00133783">
        <w:rPr>
          <w:sz w:val="24"/>
          <w:szCs w:val="24"/>
        </w:rPr>
        <w:t xml:space="preserve">s </w:t>
      </w:r>
      <w:r w:rsidR="00852E4D" w:rsidRPr="00133783">
        <w:rPr>
          <w:sz w:val="24"/>
          <w:szCs w:val="24"/>
        </w:rPr>
        <w:t>in her name.</w:t>
      </w:r>
      <w:r w:rsidR="00DC6781" w:rsidRPr="00133783">
        <w:rPr>
          <w:sz w:val="24"/>
          <w:szCs w:val="24"/>
        </w:rPr>
        <w:t xml:space="preserve"> </w:t>
      </w:r>
      <w:r w:rsidR="00852E4D" w:rsidRPr="00133783">
        <w:rPr>
          <w:sz w:val="24"/>
          <w:szCs w:val="24"/>
        </w:rPr>
        <w:t xml:space="preserve"> </w:t>
      </w:r>
      <w:r w:rsidR="001B4CA5" w:rsidRPr="00133783">
        <w:rPr>
          <w:sz w:val="24"/>
          <w:szCs w:val="24"/>
        </w:rPr>
        <w:t>On</w:t>
      </w:r>
      <w:r w:rsidR="00DC6781" w:rsidRPr="00133783">
        <w:rPr>
          <w:sz w:val="24"/>
          <w:szCs w:val="24"/>
        </w:rPr>
        <w:t>e</w:t>
      </w:r>
      <w:r w:rsidR="001B4CA5" w:rsidRPr="00133783">
        <w:rPr>
          <w:sz w:val="24"/>
          <w:szCs w:val="24"/>
        </w:rPr>
        <w:t xml:space="preserve"> bill </w:t>
      </w:r>
      <w:r w:rsidR="008A60C8" w:rsidRPr="00133783">
        <w:rPr>
          <w:sz w:val="24"/>
          <w:szCs w:val="24"/>
        </w:rPr>
        <w:t>is</w:t>
      </w:r>
      <w:r w:rsidR="001B4CA5" w:rsidRPr="00133783">
        <w:rPr>
          <w:sz w:val="24"/>
          <w:szCs w:val="24"/>
        </w:rPr>
        <w:t xml:space="preserve"> for $</w:t>
      </w:r>
      <w:r w:rsidR="00A048C8" w:rsidRPr="00133783">
        <w:rPr>
          <w:sz w:val="24"/>
          <w:szCs w:val="24"/>
        </w:rPr>
        <w:t>7</w:t>
      </w:r>
      <w:r w:rsidR="00180006" w:rsidRPr="00133783">
        <w:rPr>
          <w:sz w:val="24"/>
          <w:szCs w:val="24"/>
        </w:rPr>
        <w:t>,</w:t>
      </w:r>
      <w:r w:rsidR="00B92AF5" w:rsidRPr="00133783">
        <w:rPr>
          <w:sz w:val="24"/>
          <w:szCs w:val="24"/>
        </w:rPr>
        <w:t xml:space="preserve">489.35, and the other bill </w:t>
      </w:r>
      <w:r w:rsidR="008A60C8" w:rsidRPr="00133783">
        <w:rPr>
          <w:sz w:val="24"/>
          <w:szCs w:val="24"/>
        </w:rPr>
        <w:t>is</w:t>
      </w:r>
      <w:r w:rsidR="00B92AF5" w:rsidRPr="00133783">
        <w:rPr>
          <w:sz w:val="24"/>
          <w:szCs w:val="24"/>
        </w:rPr>
        <w:t xml:space="preserve"> for </w:t>
      </w:r>
      <w:r w:rsidR="00140E39" w:rsidRPr="00133783">
        <w:rPr>
          <w:sz w:val="24"/>
          <w:szCs w:val="24"/>
        </w:rPr>
        <w:t xml:space="preserve">$392.56.  According to Ms. Cigrand, </w:t>
      </w:r>
      <w:r w:rsidR="00601955" w:rsidRPr="00133783">
        <w:rPr>
          <w:sz w:val="24"/>
          <w:szCs w:val="24"/>
        </w:rPr>
        <w:t>th</w:t>
      </w:r>
      <w:r w:rsidR="000603D8" w:rsidRPr="00133783">
        <w:rPr>
          <w:sz w:val="24"/>
          <w:szCs w:val="24"/>
        </w:rPr>
        <w:t>e</w:t>
      </w:r>
      <w:r w:rsidR="00601955" w:rsidRPr="00133783">
        <w:rPr>
          <w:sz w:val="24"/>
          <w:szCs w:val="24"/>
        </w:rPr>
        <w:t xml:space="preserve">re </w:t>
      </w:r>
      <w:r w:rsidR="00180006" w:rsidRPr="00133783">
        <w:rPr>
          <w:sz w:val="24"/>
          <w:szCs w:val="24"/>
        </w:rPr>
        <w:t>are</w:t>
      </w:r>
      <w:r w:rsidR="00601955" w:rsidRPr="00133783">
        <w:rPr>
          <w:sz w:val="24"/>
          <w:szCs w:val="24"/>
        </w:rPr>
        <w:t xml:space="preserve"> </w:t>
      </w:r>
      <w:r w:rsidR="000603D8" w:rsidRPr="00133783">
        <w:rPr>
          <w:sz w:val="24"/>
          <w:szCs w:val="24"/>
        </w:rPr>
        <w:t xml:space="preserve">two boxes (meters) </w:t>
      </w:r>
      <w:r w:rsidR="002532F5" w:rsidRPr="00133783">
        <w:rPr>
          <w:sz w:val="24"/>
          <w:szCs w:val="24"/>
        </w:rPr>
        <w:t>at her duplex</w:t>
      </w:r>
      <w:r w:rsidR="007F63C1" w:rsidRPr="00133783">
        <w:rPr>
          <w:sz w:val="24"/>
          <w:szCs w:val="24"/>
        </w:rPr>
        <w:t xml:space="preserve"> — </w:t>
      </w:r>
      <w:r w:rsidR="00FE2327" w:rsidRPr="00133783">
        <w:rPr>
          <w:sz w:val="24"/>
          <w:szCs w:val="24"/>
        </w:rPr>
        <w:t xml:space="preserve">a separate meter for each unit. </w:t>
      </w:r>
      <w:r w:rsidR="009D61AF" w:rsidRPr="00133783">
        <w:rPr>
          <w:sz w:val="24"/>
          <w:szCs w:val="24"/>
        </w:rPr>
        <w:t xml:space="preserve"> </w:t>
      </w:r>
      <w:r w:rsidR="00FE2327" w:rsidRPr="00133783">
        <w:rPr>
          <w:sz w:val="24"/>
          <w:szCs w:val="24"/>
        </w:rPr>
        <w:t>She further allege</w:t>
      </w:r>
      <w:r w:rsidR="00A9109B" w:rsidRPr="00133783">
        <w:rPr>
          <w:sz w:val="24"/>
          <w:szCs w:val="24"/>
        </w:rPr>
        <w:t>s</w:t>
      </w:r>
      <w:r w:rsidR="00FE2327" w:rsidRPr="00133783">
        <w:rPr>
          <w:sz w:val="24"/>
          <w:szCs w:val="24"/>
        </w:rPr>
        <w:t xml:space="preserve"> that Duquesne Light never notified her of any electric utility issue at her duplex</w:t>
      </w:r>
      <w:r w:rsidR="00240C64" w:rsidRPr="00133783">
        <w:rPr>
          <w:sz w:val="24"/>
          <w:szCs w:val="24"/>
        </w:rPr>
        <w:t xml:space="preserve"> </w:t>
      </w:r>
      <w:r w:rsidR="003F3A46" w:rsidRPr="00133783">
        <w:rPr>
          <w:sz w:val="24"/>
          <w:szCs w:val="24"/>
        </w:rPr>
        <w:t xml:space="preserve">until </w:t>
      </w:r>
      <w:r w:rsidR="00B4056D" w:rsidRPr="00133783">
        <w:rPr>
          <w:sz w:val="24"/>
          <w:szCs w:val="24"/>
        </w:rPr>
        <w:t>April 2021</w:t>
      </w:r>
      <w:r w:rsidR="00ED2DDF" w:rsidRPr="00133783">
        <w:rPr>
          <w:sz w:val="24"/>
          <w:szCs w:val="24"/>
        </w:rPr>
        <w:t xml:space="preserve">. </w:t>
      </w:r>
      <w:r w:rsidR="00903806">
        <w:rPr>
          <w:sz w:val="24"/>
          <w:szCs w:val="24"/>
        </w:rPr>
        <w:t xml:space="preserve"> </w:t>
      </w:r>
      <w:r w:rsidR="00ED2DDF" w:rsidRPr="00133783">
        <w:rPr>
          <w:sz w:val="24"/>
          <w:szCs w:val="24"/>
        </w:rPr>
        <w:t xml:space="preserve">This is </w:t>
      </w:r>
      <w:r w:rsidR="00B4056D" w:rsidRPr="00133783">
        <w:rPr>
          <w:sz w:val="24"/>
          <w:szCs w:val="24"/>
        </w:rPr>
        <w:t xml:space="preserve">when </w:t>
      </w:r>
      <w:r w:rsidR="00BE4760" w:rsidRPr="00133783">
        <w:rPr>
          <w:sz w:val="24"/>
          <w:szCs w:val="24"/>
        </w:rPr>
        <w:t xml:space="preserve">she </w:t>
      </w:r>
      <w:r w:rsidR="00524384" w:rsidRPr="00133783">
        <w:rPr>
          <w:sz w:val="24"/>
          <w:szCs w:val="24"/>
        </w:rPr>
        <w:t>alleges,</w:t>
      </w:r>
      <w:r w:rsidR="00BE4760" w:rsidRPr="00133783">
        <w:rPr>
          <w:sz w:val="24"/>
          <w:szCs w:val="24"/>
        </w:rPr>
        <w:t xml:space="preserve"> </w:t>
      </w:r>
      <w:r w:rsidR="00402C1B" w:rsidRPr="00133783">
        <w:rPr>
          <w:sz w:val="24"/>
          <w:szCs w:val="24"/>
        </w:rPr>
        <w:t xml:space="preserve">she received a bill that </w:t>
      </w:r>
      <w:r w:rsidR="00301780" w:rsidRPr="00133783">
        <w:rPr>
          <w:sz w:val="24"/>
          <w:szCs w:val="24"/>
        </w:rPr>
        <w:t>was</w:t>
      </w:r>
      <w:r w:rsidR="00B4056D" w:rsidRPr="00133783">
        <w:rPr>
          <w:sz w:val="24"/>
          <w:szCs w:val="24"/>
        </w:rPr>
        <w:t xml:space="preserve"> </w:t>
      </w:r>
      <w:r w:rsidR="00402C1B" w:rsidRPr="00133783">
        <w:rPr>
          <w:sz w:val="24"/>
          <w:szCs w:val="24"/>
        </w:rPr>
        <w:t xml:space="preserve">sent to an address </w:t>
      </w:r>
      <w:r w:rsidR="00301780" w:rsidRPr="00133783">
        <w:rPr>
          <w:sz w:val="24"/>
          <w:szCs w:val="24"/>
        </w:rPr>
        <w:t xml:space="preserve">where she </w:t>
      </w:r>
      <w:r w:rsidR="00AF3E58" w:rsidRPr="00133783">
        <w:rPr>
          <w:sz w:val="24"/>
          <w:szCs w:val="24"/>
        </w:rPr>
        <w:t xml:space="preserve">had not lived at for </w:t>
      </w:r>
      <w:r w:rsidR="00301780" w:rsidRPr="00133783">
        <w:rPr>
          <w:sz w:val="24"/>
          <w:szCs w:val="24"/>
        </w:rPr>
        <w:t xml:space="preserve">five years. </w:t>
      </w:r>
      <w:r w:rsidR="004D2A92" w:rsidRPr="00133783">
        <w:rPr>
          <w:sz w:val="24"/>
          <w:szCs w:val="24"/>
        </w:rPr>
        <w:t xml:space="preserve"> </w:t>
      </w:r>
      <w:r w:rsidR="00EF73D7" w:rsidRPr="00133783">
        <w:rPr>
          <w:sz w:val="24"/>
          <w:szCs w:val="24"/>
        </w:rPr>
        <w:t>Ms. Cigrand also allege</w:t>
      </w:r>
      <w:r w:rsidR="00BE4760" w:rsidRPr="00133783">
        <w:rPr>
          <w:sz w:val="24"/>
          <w:szCs w:val="24"/>
        </w:rPr>
        <w:t>s</w:t>
      </w:r>
      <w:r w:rsidR="00EF73D7" w:rsidRPr="00133783">
        <w:rPr>
          <w:sz w:val="24"/>
          <w:szCs w:val="24"/>
        </w:rPr>
        <w:t xml:space="preserve"> </w:t>
      </w:r>
      <w:r w:rsidR="00842016" w:rsidRPr="00133783">
        <w:rPr>
          <w:sz w:val="24"/>
          <w:szCs w:val="24"/>
        </w:rPr>
        <w:t>s</w:t>
      </w:r>
      <w:r w:rsidR="00D14CCC" w:rsidRPr="00133783">
        <w:rPr>
          <w:sz w:val="24"/>
          <w:szCs w:val="24"/>
        </w:rPr>
        <w:t xml:space="preserve">he called </w:t>
      </w:r>
      <w:r w:rsidR="00140E39" w:rsidRPr="00133783">
        <w:rPr>
          <w:sz w:val="24"/>
          <w:szCs w:val="24"/>
        </w:rPr>
        <w:t xml:space="preserve">Duquesne Light </w:t>
      </w:r>
      <w:r w:rsidR="00E4692F" w:rsidRPr="00133783">
        <w:rPr>
          <w:sz w:val="24"/>
          <w:szCs w:val="24"/>
        </w:rPr>
        <w:t xml:space="preserve">about the bill, but </w:t>
      </w:r>
      <w:r w:rsidR="00D3361E" w:rsidRPr="00133783">
        <w:rPr>
          <w:sz w:val="24"/>
          <w:szCs w:val="24"/>
        </w:rPr>
        <w:t>no one could explain w</w:t>
      </w:r>
      <w:r w:rsidR="009E6375" w:rsidRPr="00133783">
        <w:rPr>
          <w:sz w:val="24"/>
          <w:szCs w:val="24"/>
        </w:rPr>
        <w:t>hy the bill was so high for one month</w:t>
      </w:r>
      <w:r w:rsidR="00D3361E" w:rsidRPr="00133783">
        <w:rPr>
          <w:sz w:val="24"/>
          <w:szCs w:val="24"/>
        </w:rPr>
        <w:t>.</w:t>
      </w:r>
      <w:r w:rsidR="002C2BCC" w:rsidRPr="00133783">
        <w:rPr>
          <w:sz w:val="24"/>
          <w:szCs w:val="24"/>
        </w:rPr>
        <w:t xml:space="preserve"> </w:t>
      </w:r>
      <w:r w:rsidR="00D3361E" w:rsidRPr="00133783">
        <w:rPr>
          <w:sz w:val="24"/>
          <w:szCs w:val="24"/>
        </w:rPr>
        <w:t xml:space="preserve"> </w:t>
      </w:r>
      <w:r w:rsidR="00556262" w:rsidRPr="00133783">
        <w:rPr>
          <w:sz w:val="24"/>
          <w:szCs w:val="24"/>
        </w:rPr>
        <w:t>Ms. Cigrand asserts that s</w:t>
      </w:r>
      <w:r w:rsidR="00D3361E" w:rsidRPr="00133783">
        <w:rPr>
          <w:sz w:val="24"/>
          <w:szCs w:val="24"/>
        </w:rPr>
        <w:t>he w</w:t>
      </w:r>
      <w:r w:rsidR="004D2A92" w:rsidRPr="00133783">
        <w:rPr>
          <w:sz w:val="24"/>
          <w:szCs w:val="24"/>
        </w:rPr>
        <w:t>a</w:t>
      </w:r>
      <w:r w:rsidR="00D3361E" w:rsidRPr="00133783">
        <w:rPr>
          <w:sz w:val="24"/>
          <w:szCs w:val="24"/>
        </w:rPr>
        <w:t xml:space="preserve">s told a supervisor would call her about the bill; however, a supervisor never called her back. </w:t>
      </w:r>
    </w:p>
    <w:p w14:paraId="20450663" w14:textId="77777777" w:rsidR="00AE6A35" w:rsidRPr="00133783" w:rsidRDefault="00AE6A35">
      <w:pPr>
        <w:rPr>
          <w:sz w:val="24"/>
          <w:szCs w:val="24"/>
        </w:rPr>
      </w:pPr>
    </w:p>
    <w:p w14:paraId="40F87383" w14:textId="08F74035" w:rsidR="00A33B78" w:rsidRPr="00133783" w:rsidRDefault="00E92492" w:rsidP="00697078">
      <w:pPr>
        <w:ind w:firstLine="1440"/>
        <w:rPr>
          <w:sz w:val="24"/>
          <w:szCs w:val="24"/>
        </w:rPr>
      </w:pPr>
      <w:r w:rsidRPr="00133783">
        <w:rPr>
          <w:sz w:val="24"/>
          <w:szCs w:val="24"/>
        </w:rPr>
        <w:t xml:space="preserve">According to </w:t>
      </w:r>
      <w:r w:rsidR="00AE6A35" w:rsidRPr="00133783">
        <w:rPr>
          <w:sz w:val="24"/>
          <w:szCs w:val="24"/>
        </w:rPr>
        <w:t>Ms. Cigrand</w:t>
      </w:r>
      <w:r w:rsidRPr="00133783">
        <w:rPr>
          <w:sz w:val="24"/>
          <w:szCs w:val="24"/>
        </w:rPr>
        <w:t>, her down</w:t>
      </w:r>
      <w:r w:rsidR="00411BEB" w:rsidRPr="00133783">
        <w:rPr>
          <w:sz w:val="24"/>
          <w:szCs w:val="24"/>
        </w:rPr>
        <w:t>stairs tenant complained to her that the upstairs tenant’s</w:t>
      </w:r>
      <w:r w:rsidR="001E59F7" w:rsidRPr="00133783">
        <w:rPr>
          <w:sz w:val="24"/>
          <w:szCs w:val="24"/>
        </w:rPr>
        <w:t xml:space="preserve"> </w:t>
      </w:r>
      <w:r w:rsidR="001779AA" w:rsidRPr="00133783">
        <w:rPr>
          <w:sz w:val="24"/>
          <w:szCs w:val="24"/>
        </w:rPr>
        <w:t>electric was shut off</w:t>
      </w:r>
      <w:r w:rsidR="003429C6" w:rsidRPr="00133783">
        <w:rPr>
          <w:sz w:val="24"/>
          <w:szCs w:val="24"/>
        </w:rPr>
        <w:t xml:space="preserve">, so the upstairs tenant had </w:t>
      </w:r>
      <w:r w:rsidR="00654FB3" w:rsidRPr="00133783">
        <w:rPr>
          <w:sz w:val="24"/>
          <w:szCs w:val="24"/>
        </w:rPr>
        <w:t xml:space="preserve">run multiple </w:t>
      </w:r>
      <w:r w:rsidR="00F6006D" w:rsidRPr="00133783">
        <w:rPr>
          <w:sz w:val="24"/>
          <w:szCs w:val="24"/>
        </w:rPr>
        <w:t>extension cords to the basement</w:t>
      </w:r>
      <w:r w:rsidR="00456BA7" w:rsidRPr="00133783">
        <w:rPr>
          <w:sz w:val="24"/>
          <w:szCs w:val="24"/>
        </w:rPr>
        <w:t xml:space="preserve"> thereby stealing the downstairs tenant’s electricity.  </w:t>
      </w:r>
      <w:r w:rsidR="00E465DE" w:rsidRPr="00133783">
        <w:rPr>
          <w:sz w:val="24"/>
          <w:szCs w:val="24"/>
        </w:rPr>
        <w:t xml:space="preserve">Ms. Cigrand further </w:t>
      </w:r>
      <w:r w:rsidR="00AE6A35" w:rsidRPr="00133783">
        <w:rPr>
          <w:sz w:val="24"/>
          <w:szCs w:val="24"/>
        </w:rPr>
        <w:t>a</w:t>
      </w:r>
      <w:r w:rsidR="00E465DE" w:rsidRPr="00133783">
        <w:rPr>
          <w:sz w:val="24"/>
          <w:szCs w:val="24"/>
        </w:rPr>
        <w:t>llege</w:t>
      </w:r>
      <w:r w:rsidR="00DB215E" w:rsidRPr="00133783">
        <w:rPr>
          <w:sz w:val="24"/>
          <w:szCs w:val="24"/>
        </w:rPr>
        <w:t>s</w:t>
      </w:r>
      <w:r w:rsidR="00E465DE" w:rsidRPr="00133783">
        <w:rPr>
          <w:sz w:val="24"/>
          <w:szCs w:val="24"/>
        </w:rPr>
        <w:t xml:space="preserve"> that an electrician informed her that it looked like the meters had been tampered with.  </w:t>
      </w:r>
      <w:r w:rsidR="009A1F75" w:rsidRPr="00133783">
        <w:rPr>
          <w:sz w:val="24"/>
          <w:szCs w:val="24"/>
        </w:rPr>
        <w:t xml:space="preserve">Ms. </w:t>
      </w:r>
      <w:r w:rsidR="009A1F75" w:rsidRPr="00133783">
        <w:rPr>
          <w:sz w:val="24"/>
          <w:szCs w:val="24"/>
        </w:rPr>
        <w:lastRenderedPageBreak/>
        <w:t>Cigrand a</w:t>
      </w:r>
      <w:r w:rsidR="00AE6A35" w:rsidRPr="00133783">
        <w:rPr>
          <w:sz w:val="24"/>
          <w:szCs w:val="24"/>
        </w:rPr>
        <w:t>ssert</w:t>
      </w:r>
      <w:r w:rsidR="00DB215E" w:rsidRPr="00133783">
        <w:rPr>
          <w:sz w:val="24"/>
          <w:szCs w:val="24"/>
        </w:rPr>
        <w:t>s</w:t>
      </w:r>
      <w:r w:rsidR="00AE6A35" w:rsidRPr="00133783">
        <w:rPr>
          <w:sz w:val="24"/>
          <w:szCs w:val="24"/>
        </w:rPr>
        <w:t xml:space="preserve"> </w:t>
      </w:r>
      <w:r w:rsidR="000C4FB2" w:rsidRPr="00133783">
        <w:rPr>
          <w:sz w:val="24"/>
          <w:szCs w:val="24"/>
        </w:rPr>
        <w:t xml:space="preserve">she would have </w:t>
      </w:r>
      <w:r w:rsidR="00F34DFC" w:rsidRPr="00133783">
        <w:rPr>
          <w:sz w:val="24"/>
          <w:szCs w:val="24"/>
        </w:rPr>
        <w:t xml:space="preserve">immediately fixed any </w:t>
      </w:r>
      <w:r w:rsidR="009A1F75" w:rsidRPr="00133783">
        <w:rPr>
          <w:sz w:val="24"/>
          <w:szCs w:val="24"/>
        </w:rPr>
        <w:t xml:space="preserve">electric </w:t>
      </w:r>
      <w:r w:rsidR="00F34DFC" w:rsidRPr="00133783">
        <w:rPr>
          <w:sz w:val="24"/>
          <w:szCs w:val="24"/>
        </w:rPr>
        <w:t>issue</w:t>
      </w:r>
      <w:r w:rsidR="00842016" w:rsidRPr="00133783">
        <w:rPr>
          <w:sz w:val="24"/>
          <w:szCs w:val="24"/>
        </w:rPr>
        <w:t xml:space="preserve"> </w:t>
      </w:r>
      <w:r w:rsidR="00676B0F" w:rsidRPr="00133783">
        <w:rPr>
          <w:sz w:val="24"/>
          <w:szCs w:val="24"/>
        </w:rPr>
        <w:t>if</w:t>
      </w:r>
      <w:r w:rsidR="00512C26" w:rsidRPr="00133783">
        <w:rPr>
          <w:sz w:val="24"/>
          <w:szCs w:val="24"/>
        </w:rPr>
        <w:t xml:space="preserve"> she</w:t>
      </w:r>
      <w:r w:rsidR="00F34DFC" w:rsidRPr="00133783">
        <w:rPr>
          <w:sz w:val="24"/>
          <w:szCs w:val="24"/>
        </w:rPr>
        <w:t xml:space="preserve"> </w:t>
      </w:r>
      <w:r w:rsidR="00676B0F" w:rsidRPr="00133783">
        <w:rPr>
          <w:sz w:val="24"/>
          <w:szCs w:val="24"/>
        </w:rPr>
        <w:t xml:space="preserve">had </w:t>
      </w:r>
      <w:r w:rsidR="00F34DFC" w:rsidRPr="00133783">
        <w:rPr>
          <w:sz w:val="24"/>
          <w:szCs w:val="24"/>
        </w:rPr>
        <w:t xml:space="preserve">been notified earlier. </w:t>
      </w:r>
      <w:r w:rsidR="00505BA2" w:rsidRPr="00133783">
        <w:rPr>
          <w:sz w:val="24"/>
          <w:szCs w:val="24"/>
        </w:rPr>
        <w:t xml:space="preserve"> </w:t>
      </w:r>
      <w:r w:rsidR="00402873" w:rsidRPr="00133783">
        <w:rPr>
          <w:sz w:val="24"/>
          <w:szCs w:val="24"/>
        </w:rPr>
        <w:t xml:space="preserve">Ms. </w:t>
      </w:r>
      <w:r w:rsidR="009A1F75" w:rsidRPr="00133783">
        <w:rPr>
          <w:sz w:val="24"/>
          <w:szCs w:val="24"/>
        </w:rPr>
        <w:t xml:space="preserve">Cigrand contends she </w:t>
      </w:r>
      <w:r w:rsidR="004B33D1" w:rsidRPr="00133783">
        <w:rPr>
          <w:sz w:val="24"/>
          <w:szCs w:val="24"/>
        </w:rPr>
        <w:t>is a single mom and cannot afford to pay the bill.</w:t>
      </w:r>
      <w:r w:rsidR="0007279E" w:rsidRPr="00133783">
        <w:rPr>
          <w:sz w:val="24"/>
          <w:szCs w:val="24"/>
        </w:rPr>
        <w:t xml:space="preserve">  </w:t>
      </w:r>
    </w:p>
    <w:p w14:paraId="06199CA5" w14:textId="77777777" w:rsidR="00A33B78" w:rsidRPr="00133783" w:rsidRDefault="00A33B78" w:rsidP="0007279E">
      <w:pPr>
        <w:rPr>
          <w:sz w:val="24"/>
          <w:szCs w:val="24"/>
        </w:rPr>
      </w:pPr>
    </w:p>
    <w:p w14:paraId="00C37515" w14:textId="167448CD" w:rsidR="00EE2ED3" w:rsidRPr="00133783" w:rsidRDefault="00EE2ED3" w:rsidP="00A33B78">
      <w:pPr>
        <w:ind w:firstLine="1440"/>
        <w:rPr>
          <w:sz w:val="24"/>
          <w:szCs w:val="24"/>
        </w:rPr>
      </w:pPr>
      <w:r w:rsidRPr="00133783">
        <w:rPr>
          <w:sz w:val="24"/>
          <w:szCs w:val="24"/>
        </w:rPr>
        <w:t>For relief, Complainant “would like the foreign wiring issue corrected and the b</w:t>
      </w:r>
      <w:r w:rsidR="008E0C0D" w:rsidRPr="00133783">
        <w:rPr>
          <w:sz w:val="24"/>
          <w:szCs w:val="24"/>
        </w:rPr>
        <w:t>alance due transferred into tenants’ names.”</w:t>
      </w:r>
      <w:r w:rsidR="002C41DB" w:rsidRPr="00133783">
        <w:rPr>
          <w:sz w:val="24"/>
          <w:szCs w:val="24"/>
        </w:rPr>
        <w:t xml:space="preserve">  Complaint ¶ 5.</w:t>
      </w:r>
    </w:p>
    <w:p w14:paraId="7D171882" w14:textId="77777777" w:rsidR="00EE2ED3" w:rsidRPr="00133783" w:rsidRDefault="00EE2ED3" w:rsidP="000D2404">
      <w:pPr>
        <w:ind w:firstLine="1440"/>
        <w:rPr>
          <w:sz w:val="24"/>
          <w:szCs w:val="24"/>
        </w:rPr>
      </w:pPr>
    </w:p>
    <w:p w14:paraId="5FCC3FE5" w14:textId="0C9A95F7" w:rsidR="00EB3B8C" w:rsidRPr="00133783" w:rsidRDefault="009064FC">
      <w:pPr>
        <w:rPr>
          <w:color w:val="000000"/>
          <w:spacing w:val="2"/>
          <w:sz w:val="24"/>
          <w:szCs w:val="24"/>
        </w:rPr>
      </w:pPr>
      <w:r w:rsidRPr="00133783">
        <w:rPr>
          <w:sz w:val="24"/>
          <w:szCs w:val="24"/>
        </w:rPr>
        <w:tab/>
      </w:r>
      <w:r w:rsidRPr="00133783">
        <w:rPr>
          <w:sz w:val="24"/>
          <w:szCs w:val="24"/>
        </w:rPr>
        <w:tab/>
      </w:r>
      <w:r w:rsidR="0068338F" w:rsidRPr="00133783">
        <w:rPr>
          <w:sz w:val="24"/>
          <w:szCs w:val="24"/>
        </w:rPr>
        <w:t>On September 28, 2021</w:t>
      </w:r>
      <w:r w:rsidR="0052397B" w:rsidRPr="00133783">
        <w:rPr>
          <w:sz w:val="24"/>
          <w:szCs w:val="24"/>
        </w:rPr>
        <w:t xml:space="preserve">, </w:t>
      </w:r>
      <w:r w:rsidR="005178F8" w:rsidRPr="00133783">
        <w:rPr>
          <w:sz w:val="24"/>
          <w:szCs w:val="24"/>
        </w:rPr>
        <w:t>Duquesne Light</w:t>
      </w:r>
      <w:r w:rsidR="00BB2455" w:rsidRPr="00133783">
        <w:rPr>
          <w:sz w:val="24"/>
          <w:szCs w:val="24"/>
        </w:rPr>
        <w:t xml:space="preserve"> filed an Answer </w:t>
      </w:r>
      <w:r w:rsidR="005178F8" w:rsidRPr="00133783">
        <w:rPr>
          <w:sz w:val="24"/>
          <w:szCs w:val="24"/>
        </w:rPr>
        <w:t>and New Matter</w:t>
      </w:r>
      <w:r w:rsidR="0052397B" w:rsidRPr="00133783">
        <w:rPr>
          <w:sz w:val="24"/>
          <w:szCs w:val="24"/>
        </w:rPr>
        <w:t xml:space="preserve"> toge</w:t>
      </w:r>
      <w:r w:rsidR="00DE6C15" w:rsidRPr="00133783">
        <w:rPr>
          <w:sz w:val="24"/>
          <w:szCs w:val="24"/>
        </w:rPr>
        <w:t>t</w:t>
      </w:r>
      <w:r w:rsidR="0052397B" w:rsidRPr="00133783">
        <w:rPr>
          <w:sz w:val="24"/>
          <w:szCs w:val="24"/>
        </w:rPr>
        <w:t xml:space="preserve">her with </w:t>
      </w:r>
      <w:r w:rsidR="00826E56" w:rsidRPr="00133783">
        <w:rPr>
          <w:sz w:val="24"/>
          <w:szCs w:val="24"/>
        </w:rPr>
        <w:t xml:space="preserve">Notice to Plead to New Matter within </w:t>
      </w:r>
      <w:r w:rsidR="0052397B" w:rsidRPr="00133783">
        <w:rPr>
          <w:sz w:val="24"/>
          <w:szCs w:val="24"/>
        </w:rPr>
        <w:t>twenty</w:t>
      </w:r>
      <w:r w:rsidR="00826E56" w:rsidRPr="00133783">
        <w:rPr>
          <w:sz w:val="24"/>
          <w:szCs w:val="24"/>
        </w:rPr>
        <w:t xml:space="preserve"> </w:t>
      </w:r>
      <w:r w:rsidR="0052397B" w:rsidRPr="00133783">
        <w:rPr>
          <w:sz w:val="24"/>
          <w:szCs w:val="24"/>
        </w:rPr>
        <w:t>day</w:t>
      </w:r>
      <w:r w:rsidR="00826E56" w:rsidRPr="00133783">
        <w:rPr>
          <w:sz w:val="24"/>
          <w:szCs w:val="24"/>
        </w:rPr>
        <w:t>s of service</w:t>
      </w:r>
      <w:r w:rsidR="00B46D70" w:rsidRPr="00133783">
        <w:rPr>
          <w:sz w:val="24"/>
          <w:szCs w:val="24"/>
        </w:rPr>
        <w:t>.</w:t>
      </w:r>
      <w:r w:rsidR="008C0DBE" w:rsidRPr="00133783">
        <w:rPr>
          <w:sz w:val="24"/>
          <w:szCs w:val="24"/>
        </w:rPr>
        <w:t xml:space="preserve"> </w:t>
      </w:r>
      <w:r w:rsidR="00DE6C15" w:rsidRPr="00133783">
        <w:rPr>
          <w:sz w:val="24"/>
          <w:szCs w:val="24"/>
        </w:rPr>
        <w:t xml:space="preserve"> </w:t>
      </w:r>
      <w:r w:rsidR="00CF1774" w:rsidRPr="00133783">
        <w:rPr>
          <w:sz w:val="24"/>
          <w:szCs w:val="24"/>
        </w:rPr>
        <w:t xml:space="preserve">“Duquesne Light maintains that the Complainant is responsible for tenants’ account balances that accrued at </w:t>
      </w:r>
      <w:bookmarkStart w:id="0" w:name="_Hlk92707504"/>
      <w:r w:rsidR="00CF1774" w:rsidRPr="00133783">
        <w:rPr>
          <w:sz w:val="24"/>
          <w:szCs w:val="24"/>
        </w:rPr>
        <w:t>516 Cavitt Avenue, Trafford, PA 15085</w:t>
      </w:r>
      <w:bookmarkEnd w:id="0"/>
      <w:r w:rsidR="00CF1774" w:rsidRPr="00133783">
        <w:rPr>
          <w:sz w:val="24"/>
          <w:szCs w:val="24"/>
        </w:rPr>
        <w:t xml:space="preserve"> (the “Property”) because of the presence of foreign load</w:t>
      </w:r>
      <w:r w:rsidR="002C08C5" w:rsidRPr="00133783">
        <w:rPr>
          <w:sz w:val="24"/>
          <w:szCs w:val="24"/>
        </w:rPr>
        <w:t xml:space="preserve"> [footnote omitted]</w:t>
      </w:r>
      <w:r w:rsidR="00CF1774" w:rsidRPr="00133783">
        <w:rPr>
          <w:sz w:val="24"/>
          <w:szCs w:val="24"/>
        </w:rPr>
        <w:t xml:space="preserve"> in accordance with Act 54 of 1993 (“Act 54”), codified in relevant part at 66</w:t>
      </w:r>
      <w:r w:rsidR="00697078">
        <w:rPr>
          <w:sz w:val="24"/>
          <w:szCs w:val="24"/>
        </w:rPr>
        <w:t> </w:t>
      </w:r>
      <w:r w:rsidR="00CF1774" w:rsidRPr="00133783">
        <w:rPr>
          <w:sz w:val="24"/>
          <w:szCs w:val="24"/>
        </w:rPr>
        <w:t>Pa.C.S.A. § 1529.1(b).</w:t>
      </w:r>
      <w:r w:rsidR="00EF652C" w:rsidRPr="00133783">
        <w:rPr>
          <w:sz w:val="24"/>
          <w:szCs w:val="24"/>
        </w:rPr>
        <w:t xml:space="preserve">” </w:t>
      </w:r>
      <w:r w:rsidR="00697078">
        <w:rPr>
          <w:sz w:val="24"/>
          <w:szCs w:val="24"/>
        </w:rPr>
        <w:t xml:space="preserve"> </w:t>
      </w:r>
      <w:r w:rsidR="00EF652C" w:rsidRPr="00133783">
        <w:rPr>
          <w:sz w:val="24"/>
          <w:szCs w:val="24"/>
        </w:rPr>
        <w:t xml:space="preserve">Answer ¶ 4. </w:t>
      </w:r>
      <w:r w:rsidR="00BB03F6" w:rsidRPr="00133783">
        <w:rPr>
          <w:sz w:val="24"/>
          <w:szCs w:val="24"/>
        </w:rPr>
        <w:t xml:space="preserve"> </w:t>
      </w:r>
      <w:r w:rsidR="00862679" w:rsidRPr="00133783">
        <w:rPr>
          <w:sz w:val="24"/>
          <w:szCs w:val="24"/>
        </w:rPr>
        <w:t>Duquesne Light alleges</w:t>
      </w:r>
      <w:r w:rsidR="004C2B68" w:rsidRPr="00133783">
        <w:rPr>
          <w:sz w:val="24"/>
          <w:szCs w:val="24"/>
        </w:rPr>
        <w:t xml:space="preserve"> that its meter technician visited the Property </w:t>
      </w:r>
      <w:r w:rsidR="007B0232" w:rsidRPr="00133783">
        <w:rPr>
          <w:sz w:val="24"/>
          <w:szCs w:val="24"/>
        </w:rPr>
        <w:t xml:space="preserve">(or service location) </w:t>
      </w:r>
      <w:r w:rsidR="005A2530" w:rsidRPr="00133783">
        <w:rPr>
          <w:sz w:val="24"/>
          <w:szCs w:val="24"/>
        </w:rPr>
        <w:t xml:space="preserve">on March 31, 2021, to </w:t>
      </w:r>
      <w:r w:rsidR="004C2B68" w:rsidRPr="00133783">
        <w:rPr>
          <w:sz w:val="24"/>
          <w:szCs w:val="24"/>
        </w:rPr>
        <w:t xml:space="preserve">investigate a </w:t>
      </w:r>
      <w:r w:rsidR="005A2530" w:rsidRPr="00133783">
        <w:rPr>
          <w:sz w:val="24"/>
          <w:szCs w:val="24"/>
        </w:rPr>
        <w:t xml:space="preserve">high bill allegation. </w:t>
      </w:r>
      <w:r w:rsidR="00E65234" w:rsidRPr="00133783">
        <w:rPr>
          <w:sz w:val="24"/>
          <w:szCs w:val="24"/>
        </w:rPr>
        <w:t xml:space="preserve"> According to Duquesne Light</w:t>
      </w:r>
      <w:r w:rsidR="0083207E" w:rsidRPr="00133783">
        <w:rPr>
          <w:sz w:val="24"/>
          <w:szCs w:val="24"/>
        </w:rPr>
        <w:t>, the meter technician confirmed the presence of a foreign load</w:t>
      </w:r>
      <w:r w:rsidR="009E2591" w:rsidRPr="00133783">
        <w:rPr>
          <w:sz w:val="24"/>
          <w:szCs w:val="24"/>
        </w:rPr>
        <w:t xml:space="preserve"> at the service location</w:t>
      </w:r>
      <w:r w:rsidR="0083207E" w:rsidRPr="00133783">
        <w:rPr>
          <w:sz w:val="24"/>
          <w:szCs w:val="24"/>
        </w:rPr>
        <w:t xml:space="preserve">, meaning the meter servicing the tenants’ units were </w:t>
      </w:r>
      <w:r w:rsidR="00280C34" w:rsidRPr="00133783">
        <w:rPr>
          <w:sz w:val="24"/>
          <w:szCs w:val="24"/>
        </w:rPr>
        <w:t>r</w:t>
      </w:r>
      <w:r w:rsidR="0083207E" w:rsidRPr="00133783">
        <w:rPr>
          <w:sz w:val="24"/>
          <w:szCs w:val="24"/>
        </w:rPr>
        <w:t>egistering electricity usage outside of their</w:t>
      </w:r>
      <w:r w:rsidR="00F743D4" w:rsidRPr="00133783">
        <w:rPr>
          <w:sz w:val="24"/>
          <w:szCs w:val="24"/>
        </w:rPr>
        <w:t xml:space="preserve"> </w:t>
      </w:r>
      <w:r w:rsidR="00280C34" w:rsidRPr="00133783">
        <w:rPr>
          <w:sz w:val="24"/>
          <w:szCs w:val="24"/>
        </w:rPr>
        <w:t>respective residential units.</w:t>
      </w:r>
      <w:r w:rsidR="00F743D4" w:rsidRPr="00133783">
        <w:rPr>
          <w:sz w:val="24"/>
          <w:szCs w:val="24"/>
        </w:rPr>
        <w:t xml:space="preserve"> </w:t>
      </w:r>
      <w:r w:rsidR="00CE040D" w:rsidRPr="00133783">
        <w:rPr>
          <w:sz w:val="24"/>
          <w:szCs w:val="24"/>
        </w:rPr>
        <w:t xml:space="preserve"> </w:t>
      </w:r>
      <w:r w:rsidR="00147751" w:rsidRPr="00133783">
        <w:rPr>
          <w:sz w:val="24"/>
          <w:szCs w:val="24"/>
        </w:rPr>
        <w:t>“</w:t>
      </w:r>
      <w:r w:rsidR="00CE040D" w:rsidRPr="00133783">
        <w:rPr>
          <w:color w:val="000000"/>
          <w:sz w:val="24"/>
          <w:szCs w:val="24"/>
        </w:rPr>
        <w:t xml:space="preserve">In accordance with Act 54, Duquesne Light listed service for Floor #1 and Floor #2 in the name of the Property owner </w:t>
      </w:r>
      <w:r w:rsidR="00BD72EA" w:rsidRPr="00133783">
        <w:rPr>
          <w:color w:val="000000"/>
          <w:sz w:val="24"/>
          <w:szCs w:val="24"/>
        </w:rPr>
        <w:t>[</w:t>
      </w:r>
      <w:r w:rsidR="00CE040D" w:rsidRPr="00133783">
        <w:rPr>
          <w:color w:val="000000"/>
          <w:sz w:val="24"/>
          <w:szCs w:val="24"/>
        </w:rPr>
        <w:t>Complainant</w:t>
      </w:r>
      <w:r w:rsidR="00BD72EA" w:rsidRPr="00133783">
        <w:rPr>
          <w:color w:val="000000"/>
          <w:sz w:val="24"/>
          <w:szCs w:val="24"/>
        </w:rPr>
        <w:t>]</w:t>
      </w:r>
      <w:r w:rsidR="00CE040D" w:rsidRPr="00133783">
        <w:rPr>
          <w:color w:val="000000"/>
          <w:sz w:val="24"/>
          <w:szCs w:val="24"/>
        </w:rPr>
        <w:t xml:space="preserve"> and transferred the tenants’ account balances that accrued at the Property to the Complainant</w:t>
      </w:r>
      <w:r w:rsidR="00A74752" w:rsidRPr="00133783">
        <w:rPr>
          <w:color w:val="000000"/>
          <w:sz w:val="24"/>
          <w:szCs w:val="24"/>
        </w:rPr>
        <w:t>.</w:t>
      </w:r>
      <w:r w:rsidR="00147751" w:rsidRPr="00133783">
        <w:rPr>
          <w:color w:val="000000"/>
          <w:sz w:val="24"/>
          <w:szCs w:val="24"/>
        </w:rPr>
        <w:t>”</w:t>
      </w:r>
      <w:r w:rsidR="008044BA" w:rsidRPr="00133783">
        <w:rPr>
          <w:color w:val="000000"/>
          <w:sz w:val="24"/>
          <w:szCs w:val="24"/>
        </w:rPr>
        <w:t xml:space="preserve"> </w:t>
      </w:r>
      <w:r w:rsidR="00112F46" w:rsidRPr="00133783">
        <w:rPr>
          <w:color w:val="000000"/>
          <w:sz w:val="24"/>
          <w:szCs w:val="24"/>
        </w:rPr>
        <w:t xml:space="preserve"> </w:t>
      </w:r>
      <w:r w:rsidR="00147751" w:rsidRPr="00133783">
        <w:rPr>
          <w:i/>
          <w:iCs/>
          <w:color w:val="000000"/>
          <w:sz w:val="24"/>
          <w:szCs w:val="24"/>
        </w:rPr>
        <w:t>Id.</w:t>
      </w:r>
      <w:r w:rsidR="008044BA" w:rsidRPr="00133783">
        <w:rPr>
          <w:i/>
          <w:iCs/>
          <w:color w:val="000000"/>
          <w:sz w:val="24"/>
          <w:szCs w:val="24"/>
        </w:rPr>
        <w:t xml:space="preserve"> </w:t>
      </w:r>
      <w:r w:rsidR="00A74752" w:rsidRPr="00133783">
        <w:rPr>
          <w:color w:val="000000"/>
          <w:sz w:val="24"/>
          <w:szCs w:val="24"/>
        </w:rPr>
        <w:t xml:space="preserve"> Duquesne Light argues</w:t>
      </w:r>
      <w:r w:rsidR="001F07A1" w:rsidRPr="00133783">
        <w:rPr>
          <w:color w:val="000000"/>
          <w:sz w:val="24"/>
          <w:szCs w:val="24"/>
        </w:rPr>
        <w:t xml:space="preserve"> it properly </w:t>
      </w:r>
      <w:r w:rsidR="008044BA" w:rsidRPr="00133783">
        <w:rPr>
          <w:color w:val="000000"/>
          <w:spacing w:val="2"/>
          <w:sz w:val="24"/>
          <w:szCs w:val="24"/>
        </w:rPr>
        <w:t>listed service for Floor #1 and Floor #2 in the Property owner’s name and transferred the tenants’ account balances that accrued at the Property to the Complainant in compliance with Act 54.</w:t>
      </w:r>
      <w:r w:rsidR="004A0741" w:rsidRPr="00133783">
        <w:rPr>
          <w:color w:val="000000"/>
          <w:spacing w:val="2"/>
          <w:sz w:val="24"/>
          <w:szCs w:val="24"/>
        </w:rPr>
        <w:t xml:space="preserve">  </w:t>
      </w:r>
      <w:r w:rsidR="00951110" w:rsidRPr="00133783">
        <w:rPr>
          <w:color w:val="000000"/>
          <w:spacing w:val="2"/>
          <w:sz w:val="24"/>
          <w:szCs w:val="24"/>
        </w:rPr>
        <w:t>Duquesne Light alleges it issued</w:t>
      </w:r>
      <w:r w:rsidR="00F60C94" w:rsidRPr="00133783">
        <w:rPr>
          <w:color w:val="000000"/>
          <w:spacing w:val="2"/>
          <w:sz w:val="24"/>
          <w:szCs w:val="24"/>
        </w:rPr>
        <w:t xml:space="preserve"> a notice and utility report </w:t>
      </w:r>
      <w:r w:rsidR="00AC3759" w:rsidRPr="00133783">
        <w:rPr>
          <w:color w:val="000000"/>
          <w:spacing w:val="2"/>
          <w:sz w:val="24"/>
          <w:szCs w:val="24"/>
        </w:rPr>
        <w:t xml:space="preserve">to </w:t>
      </w:r>
      <w:r w:rsidR="00F60C94" w:rsidRPr="00133783">
        <w:rPr>
          <w:color w:val="000000"/>
          <w:spacing w:val="2"/>
          <w:sz w:val="24"/>
          <w:szCs w:val="24"/>
        </w:rPr>
        <w:t>the Complain</w:t>
      </w:r>
      <w:r w:rsidR="00AC3759" w:rsidRPr="00133783">
        <w:rPr>
          <w:color w:val="000000"/>
          <w:spacing w:val="2"/>
          <w:sz w:val="24"/>
          <w:szCs w:val="24"/>
        </w:rPr>
        <w:t>an</w:t>
      </w:r>
      <w:r w:rsidR="00F60C94" w:rsidRPr="00133783">
        <w:rPr>
          <w:color w:val="000000"/>
          <w:spacing w:val="2"/>
          <w:sz w:val="24"/>
          <w:szCs w:val="24"/>
        </w:rPr>
        <w:t>t on April 5,</w:t>
      </w:r>
      <w:r w:rsidR="008A73B6" w:rsidRPr="00133783">
        <w:rPr>
          <w:color w:val="000000"/>
          <w:spacing w:val="2"/>
          <w:sz w:val="24"/>
          <w:szCs w:val="24"/>
        </w:rPr>
        <w:t xml:space="preserve"> </w:t>
      </w:r>
      <w:r w:rsidR="00F60C94" w:rsidRPr="00133783">
        <w:rPr>
          <w:color w:val="000000"/>
          <w:spacing w:val="2"/>
          <w:sz w:val="24"/>
          <w:szCs w:val="24"/>
        </w:rPr>
        <w:t>2021</w:t>
      </w:r>
      <w:r w:rsidR="00AC3759" w:rsidRPr="00133783">
        <w:rPr>
          <w:color w:val="000000"/>
          <w:spacing w:val="2"/>
          <w:sz w:val="24"/>
          <w:szCs w:val="24"/>
        </w:rPr>
        <w:t>,</w:t>
      </w:r>
      <w:r w:rsidR="005E2AAF" w:rsidRPr="00133783">
        <w:rPr>
          <w:color w:val="000000"/>
          <w:spacing w:val="2"/>
          <w:sz w:val="24"/>
          <w:szCs w:val="24"/>
        </w:rPr>
        <w:t xml:space="preserve"> regarding the foreign wiring.  </w:t>
      </w:r>
      <w:r w:rsidR="004A0741" w:rsidRPr="00133783">
        <w:rPr>
          <w:color w:val="000000"/>
          <w:spacing w:val="2"/>
          <w:sz w:val="24"/>
          <w:szCs w:val="24"/>
        </w:rPr>
        <w:t>Duque</w:t>
      </w:r>
      <w:r w:rsidR="00BA70EC" w:rsidRPr="00133783">
        <w:rPr>
          <w:color w:val="000000"/>
          <w:spacing w:val="2"/>
          <w:sz w:val="24"/>
          <w:szCs w:val="24"/>
        </w:rPr>
        <w:t xml:space="preserve">sne Light asserts Complainant will </w:t>
      </w:r>
      <w:r w:rsidR="002E0132" w:rsidRPr="00133783">
        <w:rPr>
          <w:color w:val="000000"/>
          <w:spacing w:val="2"/>
          <w:sz w:val="24"/>
          <w:szCs w:val="24"/>
        </w:rPr>
        <w:t>be responsible for the electric charges at the Property until the foreign wiring is corrected.</w:t>
      </w:r>
    </w:p>
    <w:p w14:paraId="294CFC8D" w14:textId="77777777" w:rsidR="002E0132" w:rsidRPr="00133783" w:rsidRDefault="002E0132">
      <w:pPr>
        <w:rPr>
          <w:sz w:val="24"/>
          <w:szCs w:val="24"/>
        </w:rPr>
      </w:pPr>
    </w:p>
    <w:p w14:paraId="13B7BD78" w14:textId="719BCBB7" w:rsidR="006652EB" w:rsidRPr="00133783" w:rsidRDefault="001205C3" w:rsidP="00697078">
      <w:pPr>
        <w:spacing w:line="240" w:lineRule="auto"/>
        <w:rPr>
          <w:sz w:val="24"/>
          <w:szCs w:val="24"/>
        </w:rPr>
      </w:pPr>
      <w:r w:rsidRPr="00133783">
        <w:rPr>
          <w:sz w:val="24"/>
          <w:szCs w:val="24"/>
        </w:rPr>
        <w:tab/>
      </w:r>
      <w:r w:rsidRPr="00133783">
        <w:rPr>
          <w:sz w:val="24"/>
          <w:szCs w:val="24"/>
        </w:rPr>
        <w:tab/>
        <w:t>In New Matter, Duquesne Light averred in relevant part as follows:</w:t>
      </w:r>
    </w:p>
    <w:p w14:paraId="00E33128" w14:textId="26E180CF" w:rsidR="001205C3" w:rsidRPr="00133783" w:rsidRDefault="001205C3" w:rsidP="00697078">
      <w:pPr>
        <w:spacing w:line="240" w:lineRule="auto"/>
        <w:rPr>
          <w:sz w:val="24"/>
          <w:szCs w:val="24"/>
        </w:rPr>
      </w:pPr>
    </w:p>
    <w:p w14:paraId="721AB9D5" w14:textId="74C65173" w:rsidR="004C534C" w:rsidRPr="00133783" w:rsidRDefault="004C534C" w:rsidP="00697078">
      <w:pPr>
        <w:spacing w:line="240" w:lineRule="auto"/>
        <w:ind w:left="1440" w:right="720"/>
        <w:rPr>
          <w:sz w:val="24"/>
          <w:szCs w:val="24"/>
        </w:rPr>
      </w:pPr>
      <w:r w:rsidRPr="00133783">
        <w:rPr>
          <w:sz w:val="24"/>
          <w:szCs w:val="24"/>
        </w:rPr>
        <w:t>11.</w:t>
      </w:r>
      <w:r w:rsidRPr="00133783">
        <w:rPr>
          <w:sz w:val="24"/>
          <w:szCs w:val="24"/>
        </w:rPr>
        <w:tab/>
        <w:t xml:space="preserve">It is well established that Act 54 and corresponding case law require a utility company to transfer one or more residential tenants’ account balances to the owner of a premises when foreign load is discovered. </w:t>
      </w:r>
      <w:r w:rsidRPr="00133783">
        <w:rPr>
          <w:i/>
          <w:iCs/>
          <w:sz w:val="24"/>
          <w:szCs w:val="24"/>
        </w:rPr>
        <w:t>Ace Check Cashing, Inc. v. Philadelphia Gas Works</w:t>
      </w:r>
      <w:r w:rsidRPr="00133783">
        <w:rPr>
          <w:sz w:val="24"/>
          <w:szCs w:val="24"/>
        </w:rPr>
        <w:t>, Docket No. C-2008-2056428 (May 21, 2010).</w:t>
      </w:r>
    </w:p>
    <w:p w14:paraId="772F9CFD" w14:textId="77777777" w:rsidR="00940163" w:rsidRPr="00133783" w:rsidRDefault="00940163" w:rsidP="00F7257A">
      <w:pPr>
        <w:spacing w:line="240" w:lineRule="auto"/>
        <w:ind w:left="1440" w:right="720"/>
        <w:rPr>
          <w:sz w:val="24"/>
          <w:szCs w:val="24"/>
        </w:rPr>
      </w:pPr>
    </w:p>
    <w:p w14:paraId="06582215" w14:textId="0EFDD978" w:rsidR="004C534C" w:rsidRPr="00133783" w:rsidRDefault="004C534C" w:rsidP="00F7257A">
      <w:pPr>
        <w:spacing w:line="240" w:lineRule="auto"/>
        <w:ind w:left="1440" w:right="720"/>
        <w:rPr>
          <w:sz w:val="24"/>
          <w:szCs w:val="24"/>
        </w:rPr>
      </w:pPr>
      <w:r w:rsidRPr="00133783">
        <w:rPr>
          <w:sz w:val="24"/>
          <w:szCs w:val="24"/>
        </w:rPr>
        <w:lastRenderedPageBreak/>
        <w:t>12.</w:t>
      </w:r>
      <w:r w:rsidRPr="00133783">
        <w:rPr>
          <w:sz w:val="24"/>
          <w:szCs w:val="24"/>
        </w:rPr>
        <w:tab/>
        <w:t xml:space="preserve">“Foreign load” refers to billing a tenant for electric service not related to that tenant. </w:t>
      </w:r>
      <w:r w:rsidRPr="00133783">
        <w:rPr>
          <w:i/>
          <w:iCs/>
          <w:sz w:val="24"/>
          <w:szCs w:val="24"/>
        </w:rPr>
        <w:t>Santos v. Metropolitan Edison Co.,</w:t>
      </w:r>
      <w:r w:rsidRPr="00133783">
        <w:rPr>
          <w:sz w:val="24"/>
          <w:szCs w:val="24"/>
        </w:rPr>
        <w:t xml:space="preserve"> Docket No. C-00967757 (Aug. 7, 1997). Foreign load exists when a tenant’s meter registers usage load from electric usage outside of that tenant’s dwelling, such as hallway lighting or communal laundry room appliances. </w:t>
      </w:r>
      <w:r w:rsidRPr="00133783">
        <w:rPr>
          <w:i/>
          <w:iCs/>
          <w:sz w:val="24"/>
          <w:szCs w:val="24"/>
        </w:rPr>
        <w:t>Kopf v. PECO Energy Co.,</w:t>
      </w:r>
      <w:r w:rsidRPr="00133783">
        <w:rPr>
          <w:sz w:val="24"/>
          <w:szCs w:val="24"/>
        </w:rPr>
        <w:t xml:space="preserve"> Docket No. C-2012-2332993, 2013 WL 3070745, (June 13, 2013).</w:t>
      </w:r>
    </w:p>
    <w:p w14:paraId="3B8C8C63" w14:textId="19F289DC" w:rsidR="003D4E28" w:rsidRPr="00133783" w:rsidRDefault="003D4E28" w:rsidP="00F7257A">
      <w:pPr>
        <w:spacing w:line="240" w:lineRule="auto"/>
        <w:ind w:left="1440" w:right="720"/>
        <w:rPr>
          <w:sz w:val="24"/>
          <w:szCs w:val="24"/>
        </w:rPr>
      </w:pPr>
    </w:p>
    <w:p w14:paraId="7E204349" w14:textId="34269640" w:rsidR="004C534C" w:rsidRPr="00133783" w:rsidRDefault="004C534C" w:rsidP="00F7257A">
      <w:pPr>
        <w:spacing w:line="240" w:lineRule="auto"/>
        <w:ind w:left="1440" w:right="720"/>
        <w:rPr>
          <w:sz w:val="24"/>
          <w:szCs w:val="24"/>
        </w:rPr>
      </w:pPr>
      <w:r w:rsidRPr="00133783">
        <w:rPr>
          <w:sz w:val="24"/>
          <w:szCs w:val="24"/>
        </w:rPr>
        <w:t>13.</w:t>
      </w:r>
      <w:r w:rsidRPr="00133783">
        <w:rPr>
          <w:sz w:val="24"/>
          <w:szCs w:val="24"/>
        </w:rPr>
        <w:tab/>
        <w:t xml:space="preserve">Complainant is the owner of the Property. </w:t>
      </w:r>
      <w:r w:rsidR="009C205B" w:rsidRPr="00133783">
        <w:rPr>
          <w:sz w:val="24"/>
          <w:szCs w:val="24"/>
        </w:rPr>
        <w:t>[reference omitted].</w:t>
      </w:r>
    </w:p>
    <w:p w14:paraId="475EE87F" w14:textId="77777777" w:rsidR="00800EBE" w:rsidRPr="00133783" w:rsidRDefault="00800EBE" w:rsidP="00F7257A">
      <w:pPr>
        <w:spacing w:line="240" w:lineRule="auto"/>
        <w:ind w:left="1440" w:right="720"/>
        <w:rPr>
          <w:sz w:val="24"/>
          <w:szCs w:val="24"/>
        </w:rPr>
      </w:pPr>
    </w:p>
    <w:p w14:paraId="36C2488C" w14:textId="16E7643A" w:rsidR="004C534C" w:rsidRPr="00133783" w:rsidRDefault="004C534C" w:rsidP="00F7257A">
      <w:pPr>
        <w:spacing w:line="240" w:lineRule="auto"/>
        <w:ind w:left="1440" w:right="720"/>
        <w:rPr>
          <w:sz w:val="24"/>
          <w:szCs w:val="24"/>
        </w:rPr>
      </w:pPr>
      <w:r w:rsidRPr="00133783">
        <w:rPr>
          <w:sz w:val="24"/>
          <w:szCs w:val="24"/>
        </w:rPr>
        <w:t>14.</w:t>
      </w:r>
      <w:r w:rsidRPr="00133783">
        <w:rPr>
          <w:sz w:val="24"/>
          <w:szCs w:val="24"/>
        </w:rPr>
        <w:tab/>
        <w:t xml:space="preserve">On or about March 31, 2021, Duquesne Light discovered foreign load registering on the meters connected to the residential units from the communal basement area. </w:t>
      </w:r>
      <w:r w:rsidR="006102CB" w:rsidRPr="00133783">
        <w:rPr>
          <w:sz w:val="24"/>
          <w:szCs w:val="24"/>
        </w:rPr>
        <w:t xml:space="preserve"> </w:t>
      </w:r>
      <w:r w:rsidR="00800EBE" w:rsidRPr="00133783">
        <w:rPr>
          <w:sz w:val="24"/>
          <w:szCs w:val="24"/>
        </w:rPr>
        <w:t>[reference omitted]</w:t>
      </w:r>
      <w:r w:rsidR="00CE35F4" w:rsidRPr="00133783">
        <w:rPr>
          <w:sz w:val="24"/>
          <w:szCs w:val="24"/>
        </w:rPr>
        <w:t>.</w:t>
      </w:r>
    </w:p>
    <w:p w14:paraId="6B6C6E9F" w14:textId="77777777" w:rsidR="00CE35F4" w:rsidRPr="00133783" w:rsidRDefault="00CE35F4" w:rsidP="00F7257A">
      <w:pPr>
        <w:spacing w:line="240" w:lineRule="auto"/>
        <w:ind w:left="1440" w:right="720"/>
        <w:rPr>
          <w:sz w:val="24"/>
          <w:szCs w:val="24"/>
        </w:rPr>
      </w:pPr>
    </w:p>
    <w:p w14:paraId="5665F49B" w14:textId="39DCC7F1" w:rsidR="004C534C" w:rsidRPr="00133783" w:rsidRDefault="004C534C" w:rsidP="00F7257A">
      <w:pPr>
        <w:spacing w:line="240" w:lineRule="auto"/>
        <w:ind w:left="1440" w:right="720"/>
        <w:rPr>
          <w:sz w:val="24"/>
          <w:szCs w:val="24"/>
        </w:rPr>
      </w:pPr>
      <w:r w:rsidRPr="00133783">
        <w:rPr>
          <w:sz w:val="24"/>
          <w:szCs w:val="24"/>
        </w:rPr>
        <w:t>15.</w:t>
      </w:r>
      <w:r w:rsidRPr="00133783">
        <w:rPr>
          <w:sz w:val="24"/>
          <w:szCs w:val="24"/>
        </w:rPr>
        <w:tab/>
        <w:t xml:space="preserve">Therefore, pursuant to 66 Pa.C.S.A. § 1529.1(b), Duquesne Light transferred the affected tenants’ account balances that accrued at the Property to the Complainant. </w:t>
      </w:r>
      <w:r w:rsidR="00800EBE" w:rsidRPr="00133783">
        <w:rPr>
          <w:sz w:val="24"/>
          <w:szCs w:val="24"/>
        </w:rPr>
        <w:t>[reference omitted]</w:t>
      </w:r>
      <w:r w:rsidRPr="00133783">
        <w:rPr>
          <w:sz w:val="24"/>
          <w:szCs w:val="24"/>
        </w:rPr>
        <w:t>.</w:t>
      </w:r>
    </w:p>
    <w:p w14:paraId="65EF3DE4" w14:textId="77777777" w:rsidR="00CE35F4" w:rsidRPr="00133783" w:rsidRDefault="00CE35F4" w:rsidP="00F7257A">
      <w:pPr>
        <w:spacing w:line="240" w:lineRule="auto"/>
        <w:ind w:left="1440" w:right="720"/>
        <w:rPr>
          <w:sz w:val="24"/>
          <w:szCs w:val="24"/>
        </w:rPr>
      </w:pPr>
    </w:p>
    <w:p w14:paraId="2065BEAB" w14:textId="26264FC3" w:rsidR="004C534C" w:rsidRPr="00133783" w:rsidRDefault="004C534C" w:rsidP="00F7257A">
      <w:pPr>
        <w:spacing w:line="240" w:lineRule="auto"/>
        <w:ind w:left="1440" w:right="720"/>
        <w:rPr>
          <w:sz w:val="24"/>
          <w:szCs w:val="24"/>
        </w:rPr>
      </w:pPr>
      <w:r w:rsidRPr="00133783">
        <w:rPr>
          <w:sz w:val="24"/>
          <w:szCs w:val="24"/>
        </w:rPr>
        <w:t>16.</w:t>
      </w:r>
      <w:r w:rsidRPr="00133783">
        <w:rPr>
          <w:sz w:val="24"/>
          <w:szCs w:val="24"/>
        </w:rPr>
        <w:tab/>
        <w:t xml:space="preserve">Complainant is responsible for her residential tenants account balances that accrued at the Property prior to the correction of the foreign load. 66 Pa.C.S.A. § 1529.1(b); </w:t>
      </w:r>
      <w:r w:rsidRPr="00133783">
        <w:rPr>
          <w:i/>
          <w:iCs/>
          <w:sz w:val="24"/>
          <w:szCs w:val="24"/>
        </w:rPr>
        <w:t>Ace Check Cashing,</w:t>
      </w:r>
      <w:r w:rsidRPr="00133783">
        <w:rPr>
          <w:sz w:val="24"/>
          <w:szCs w:val="24"/>
        </w:rPr>
        <w:t xml:space="preserve"> p.8.</w:t>
      </w:r>
    </w:p>
    <w:p w14:paraId="26CEAFF4" w14:textId="77777777" w:rsidR="00CE35F4" w:rsidRPr="00133783" w:rsidRDefault="00CE35F4" w:rsidP="00F7257A">
      <w:pPr>
        <w:spacing w:line="240" w:lineRule="auto"/>
        <w:ind w:left="1440" w:right="720"/>
        <w:rPr>
          <w:sz w:val="24"/>
          <w:szCs w:val="24"/>
        </w:rPr>
      </w:pPr>
    </w:p>
    <w:p w14:paraId="0AC01A89" w14:textId="0E7C68E4" w:rsidR="00C16660" w:rsidRPr="00133783" w:rsidRDefault="00C16660" w:rsidP="00F7257A">
      <w:pPr>
        <w:spacing w:line="240" w:lineRule="auto"/>
        <w:ind w:left="1440" w:right="720"/>
        <w:rPr>
          <w:sz w:val="24"/>
          <w:szCs w:val="24"/>
        </w:rPr>
      </w:pPr>
      <w:r w:rsidRPr="00133783">
        <w:rPr>
          <w:sz w:val="24"/>
          <w:szCs w:val="24"/>
        </w:rPr>
        <w:t>. . . .</w:t>
      </w:r>
    </w:p>
    <w:p w14:paraId="55D0AB2C" w14:textId="77777777" w:rsidR="00C16660" w:rsidRPr="00133783" w:rsidRDefault="00C16660" w:rsidP="00F7257A">
      <w:pPr>
        <w:spacing w:line="240" w:lineRule="auto"/>
        <w:ind w:left="1440" w:right="720"/>
        <w:rPr>
          <w:sz w:val="24"/>
          <w:szCs w:val="24"/>
        </w:rPr>
      </w:pPr>
    </w:p>
    <w:p w14:paraId="34173E4C" w14:textId="41B1B40F" w:rsidR="001205C3" w:rsidRPr="00133783" w:rsidRDefault="004C534C" w:rsidP="00F7257A">
      <w:pPr>
        <w:spacing w:line="240" w:lineRule="auto"/>
        <w:ind w:left="1440" w:right="720"/>
        <w:rPr>
          <w:sz w:val="24"/>
          <w:szCs w:val="24"/>
        </w:rPr>
      </w:pPr>
      <w:r w:rsidRPr="00133783">
        <w:rPr>
          <w:sz w:val="24"/>
          <w:szCs w:val="24"/>
        </w:rPr>
        <w:t>19.</w:t>
      </w:r>
      <w:r w:rsidRPr="00133783">
        <w:rPr>
          <w:sz w:val="24"/>
          <w:szCs w:val="24"/>
        </w:rPr>
        <w:tab/>
        <w:t>In light of the foregoing, Complainant remains responsible for the Floor #1 and Floor #2 balances that accrued at the Property prior to discovering the foreign load and remains responsible for the balances that accrue at Floor #1 and Floor #2 until the foreign load is corrected.</w:t>
      </w:r>
    </w:p>
    <w:p w14:paraId="5955787E" w14:textId="3EFC59D5" w:rsidR="00D06DBD" w:rsidRPr="00133783" w:rsidRDefault="00D06DBD" w:rsidP="00F7257A">
      <w:pPr>
        <w:spacing w:line="240" w:lineRule="auto"/>
        <w:ind w:left="1440" w:right="720"/>
        <w:rPr>
          <w:sz w:val="24"/>
          <w:szCs w:val="24"/>
        </w:rPr>
      </w:pPr>
    </w:p>
    <w:p w14:paraId="720F14F8" w14:textId="77777777" w:rsidR="00D06DBD" w:rsidRPr="00133783" w:rsidRDefault="00D06DBD" w:rsidP="00D06DBD">
      <w:pPr>
        <w:spacing w:line="240" w:lineRule="auto"/>
        <w:ind w:left="1440" w:hanging="1440"/>
        <w:rPr>
          <w:sz w:val="24"/>
          <w:szCs w:val="24"/>
        </w:rPr>
      </w:pPr>
    </w:p>
    <w:p w14:paraId="0731A240" w14:textId="5CE8B647" w:rsidR="00540F55" w:rsidRPr="00133783" w:rsidRDefault="006652EB">
      <w:pPr>
        <w:rPr>
          <w:sz w:val="24"/>
          <w:szCs w:val="24"/>
        </w:rPr>
      </w:pPr>
      <w:r w:rsidRPr="00133783">
        <w:rPr>
          <w:sz w:val="24"/>
          <w:szCs w:val="24"/>
        </w:rPr>
        <w:tab/>
      </w:r>
      <w:r w:rsidRPr="00133783">
        <w:rPr>
          <w:sz w:val="24"/>
          <w:szCs w:val="24"/>
        </w:rPr>
        <w:tab/>
      </w:r>
      <w:r w:rsidR="00F92C2D" w:rsidRPr="00133783">
        <w:rPr>
          <w:sz w:val="24"/>
          <w:szCs w:val="24"/>
        </w:rPr>
        <w:t>For relief, Re</w:t>
      </w:r>
      <w:r w:rsidR="00540F55" w:rsidRPr="00133783">
        <w:rPr>
          <w:sz w:val="24"/>
          <w:szCs w:val="24"/>
        </w:rPr>
        <w:t>s</w:t>
      </w:r>
      <w:r w:rsidR="00F92C2D" w:rsidRPr="00133783">
        <w:rPr>
          <w:sz w:val="24"/>
          <w:szCs w:val="24"/>
        </w:rPr>
        <w:t>pondent request</w:t>
      </w:r>
      <w:r w:rsidR="004B373F" w:rsidRPr="00133783">
        <w:rPr>
          <w:sz w:val="24"/>
          <w:szCs w:val="24"/>
        </w:rPr>
        <w:t>s</w:t>
      </w:r>
      <w:r w:rsidR="00F92C2D" w:rsidRPr="00133783">
        <w:rPr>
          <w:sz w:val="24"/>
          <w:szCs w:val="24"/>
        </w:rPr>
        <w:t xml:space="preserve"> </w:t>
      </w:r>
      <w:r w:rsidR="00540F55" w:rsidRPr="00133783">
        <w:rPr>
          <w:sz w:val="24"/>
          <w:szCs w:val="24"/>
        </w:rPr>
        <w:t>judgment in its favor and dismissal of the Complaint with prejudice.</w:t>
      </w:r>
    </w:p>
    <w:p w14:paraId="695CCA6A" w14:textId="77777777" w:rsidR="00540F55" w:rsidRPr="00133783" w:rsidRDefault="00540F55">
      <w:pPr>
        <w:rPr>
          <w:sz w:val="24"/>
          <w:szCs w:val="24"/>
        </w:rPr>
      </w:pPr>
    </w:p>
    <w:p w14:paraId="4335E0A7" w14:textId="38CBC2D1" w:rsidR="009E7437" w:rsidRPr="00133783" w:rsidRDefault="000D636B" w:rsidP="009E7437">
      <w:pPr>
        <w:ind w:firstLine="1440"/>
        <w:rPr>
          <w:rFonts w:eastAsiaTheme="minorHAnsi"/>
          <w:sz w:val="24"/>
          <w:szCs w:val="24"/>
        </w:rPr>
      </w:pPr>
      <w:r w:rsidRPr="00133783">
        <w:rPr>
          <w:sz w:val="24"/>
          <w:szCs w:val="24"/>
        </w:rPr>
        <w:t>Complainant did not file a re</w:t>
      </w:r>
      <w:r w:rsidR="006D7E03" w:rsidRPr="00133783">
        <w:rPr>
          <w:sz w:val="24"/>
          <w:szCs w:val="24"/>
        </w:rPr>
        <w:t>ply to Respondent’s New Matter</w:t>
      </w:r>
      <w:r w:rsidR="003B0756" w:rsidRPr="00133783">
        <w:rPr>
          <w:sz w:val="24"/>
          <w:szCs w:val="24"/>
        </w:rPr>
        <w:t xml:space="preserve"> as</w:t>
      </w:r>
      <w:r w:rsidR="003B0756" w:rsidRPr="00133783">
        <w:rPr>
          <w:bCs/>
          <w:sz w:val="24"/>
          <w:szCs w:val="24"/>
        </w:rPr>
        <w:t xml:space="preserve"> provided for under the Commission’s regulations.</w:t>
      </w:r>
      <w:r w:rsidR="003B0756" w:rsidRPr="00133783">
        <w:rPr>
          <w:rStyle w:val="FootnoteReference"/>
          <w:sz w:val="24"/>
          <w:szCs w:val="24"/>
        </w:rPr>
        <w:footnoteReference w:id="1"/>
      </w:r>
      <w:r w:rsidR="003B0756" w:rsidRPr="00133783">
        <w:rPr>
          <w:rFonts w:eastAsiaTheme="minorHAnsi"/>
          <w:sz w:val="24"/>
          <w:szCs w:val="24"/>
        </w:rPr>
        <w:t xml:space="preserve"> </w:t>
      </w:r>
    </w:p>
    <w:p w14:paraId="71E61713" w14:textId="77777777" w:rsidR="00E47178" w:rsidRPr="00133783" w:rsidRDefault="00E47178" w:rsidP="009E7437">
      <w:pPr>
        <w:ind w:firstLine="1440"/>
        <w:rPr>
          <w:color w:val="333333"/>
          <w:sz w:val="24"/>
          <w:szCs w:val="24"/>
        </w:rPr>
      </w:pPr>
    </w:p>
    <w:p w14:paraId="35AEBF36" w14:textId="0BEA567C" w:rsidR="00285D7E" w:rsidRPr="00133783" w:rsidRDefault="00285D7E" w:rsidP="0068338F">
      <w:pPr>
        <w:ind w:firstLine="1530"/>
        <w:rPr>
          <w:sz w:val="24"/>
          <w:szCs w:val="24"/>
        </w:rPr>
      </w:pPr>
      <w:r w:rsidRPr="00133783">
        <w:rPr>
          <w:sz w:val="24"/>
          <w:szCs w:val="24"/>
        </w:rPr>
        <w:lastRenderedPageBreak/>
        <w:t>On October 20, 2021, an Interim Order Setting Conference Between Parties was electronically issued which directed the Parties to the Commission’s Mediation Unit to attempt a resolution of the dispute.  Mediation did not achieve resolution of the dispute.</w:t>
      </w:r>
    </w:p>
    <w:p w14:paraId="15DDAA5A" w14:textId="77777777" w:rsidR="008728ED" w:rsidRPr="00133783" w:rsidRDefault="008728ED" w:rsidP="009E7437">
      <w:pPr>
        <w:ind w:firstLine="1440"/>
        <w:rPr>
          <w:color w:val="333333"/>
          <w:sz w:val="24"/>
          <w:szCs w:val="24"/>
        </w:rPr>
      </w:pPr>
    </w:p>
    <w:p w14:paraId="23186FB5" w14:textId="23D5B6C6" w:rsidR="00F62538" w:rsidRPr="00133783" w:rsidRDefault="00545AD7" w:rsidP="00697078">
      <w:pPr>
        <w:ind w:firstLine="1440"/>
        <w:rPr>
          <w:color w:val="333333"/>
          <w:sz w:val="24"/>
          <w:szCs w:val="24"/>
        </w:rPr>
      </w:pPr>
      <w:r w:rsidRPr="00133783">
        <w:rPr>
          <w:color w:val="333333"/>
          <w:sz w:val="24"/>
          <w:szCs w:val="24"/>
        </w:rPr>
        <w:t>On November 19, 2021, Respondent filed a Motion for Judgment on the Pleadings</w:t>
      </w:r>
      <w:r w:rsidR="00783B39" w:rsidRPr="00133783">
        <w:rPr>
          <w:color w:val="333333"/>
          <w:sz w:val="24"/>
          <w:szCs w:val="24"/>
        </w:rPr>
        <w:t xml:space="preserve"> (Motion)</w:t>
      </w:r>
      <w:r w:rsidRPr="00133783">
        <w:rPr>
          <w:color w:val="333333"/>
          <w:sz w:val="24"/>
          <w:szCs w:val="24"/>
        </w:rPr>
        <w:t xml:space="preserve">.  </w:t>
      </w:r>
      <w:r w:rsidR="00092C1D" w:rsidRPr="00133783">
        <w:rPr>
          <w:color w:val="333333"/>
          <w:sz w:val="24"/>
          <w:szCs w:val="24"/>
        </w:rPr>
        <w:t xml:space="preserve">Respondent’s Motion </w:t>
      </w:r>
      <w:r w:rsidR="000E4748" w:rsidRPr="00133783">
        <w:rPr>
          <w:color w:val="333333"/>
          <w:sz w:val="24"/>
          <w:szCs w:val="24"/>
        </w:rPr>
        <w:t>reiterated the averments of its New Matter</w:t>
      </w:r>
      <w:r w:rsidR="009A3869" w:rsidRPr="00133783">
        <w:rPr>
          <w:color w:val="333333"/>
          <w:sz w:val="24"/>
          <w:szCs w:val="24"/>
        </w:rPr>
        <w:t xml:space="preserve"> and added that </w:t>
      </w:r>
      <w:r w:rsidR="00991E3C" w:rsidRPr="00133783">
        <w:rPr>
          <w:color w:val="333333"/>
          <w:sz w:val="24"/>
          <w:szCs w:val="24"/>
        </w:rPr>
        <w:t>neither Complain</w:t>
      </w:r>
      <w:r w:rsidR="00926A98" w:rsidRPr="00133783">
        <w:rPr>
          <w:color w:val="333333"/>
          <w:sz w:val="24"/>
          <w:szCs w:val="24"/>
        </w:rPr>
        <w:t>an</w:t>
      </w:r>
      <w:r w:rsidR="00991E3C" w:rsidRPr="00133783">
        <w:rPr>
          <w:color w:val="333333"/>
          <w:sz w:val="24"/>
          <w:szCs w:val="24"/>
        </w:rPr>
        <w:t>t nor her counsel had filed a</w:t>
      </w:r>
      <w:r w:rsidR="006252BB" w:rsidRPr="00133783">
        <w:rPr>
          <w:color w:val="333333"/>
          <w:sz w:val="24"/>
          <w:szCs w:val="24"/>
        </w:rPr>
        <w:t xml:space="preserve"> response to Duquesne Light’s New Matter.  </w:t>
      </w:r>
      <w:r w:rsidR="00993632" w:rsidRPr="00133783">
        <w:rPr>
          <w:color w:val="333333"/>
          <w:sz w:val="24"/>
          <w:szCs w:val="24"/>
        </w:rPr>
        <w:t>Accordingl</w:t>
      </w:r>
      <w:r w:rsidR="00D71950" w:rsidRPr="00133783">
        <w:rPr>
          <w:color w:val="333333"/>
          <w:sz w:val="24"/>
          <w:szCs w:val="24"/>
        </w:rPr>
        <w:t>y, Respondent argue</w:t>
      </w:r>
      <w:r w:rsidR="001C23E4" w:rsidRPr="00133783">
        <w:rPr>
          <w:color w:val="333333"/>
          <w:sz w:val="24"/>
          <w:szCs w:val="24"/>
        </w:rPr>
        <w:t>s</w:t>
      </w:r>
      <w:r w:rsidR="00D71950" w:rsidRPr="00133783">
        <w:rPr>
          <w:color w:val="333333"/>
          <w:sz w:val="24"/>
          <w:szCs w:val="24"/>
        </w:rPr>
        <w:t xml:space="preserve"> that the Commission may find th</w:t>
      </w:r>
      <w:r w:rsidR="00877547" w:rsidRPr="00133783">
        <w:rPr>
          <w:color w:val="333333"/>
          <w:sz w:val="24"/>
          <w:szCs w:val="24"/>
        </w:rPr>
        <w:t xml:space="preserve">at the Complainant had admitted the </w:t>
      </w:r>
      <w:r w:rsidR="00512133" w:rsidRPr="00133783">
        <w:rPr>
          <w:color w:val="333333"/>
          <w:sz w:val="24"/>
          <w:szCs w:val="24"/>
        </w:rPr>
        <w:t>relevant fact</w:t>
      </w:r>
      <w:r w:rsidR="005439AE" w:rsidRPr="00133783">
        <w:rPr>
          <w:color w:val="333333"/>
          <w:sz w:val="24"/>
          <w:szCs w:val="24"/>
        </w:rPr>
        <w:t>s</w:t>
      </w:r>
      <w:r w:rsidR="00512133" w:rsidRPr="00133783">
        <w:rPr>
          <w:color w:val="333333"/>
          <w:sz w:val="24"/>
          <w:szCs w:val="24"/>
        </w:rPr>
        <w:t xml:space="preserve"> alleged in </w:t>
      </w:r>
      <w:r w:rsidR="00426578" w:rsidRPr="00133783">
        <w:rPr>
          <w:color w:val="333333"/>
          <w:sz w:val="24"/>
          <w:szCs w:val="24"/>
        </w:rPr>
        <w:t xml:space="preserve">the </w:t>
      </w:r>
      <w:r w:rsidR="00D71950" w:rsidRPr="00133783">
        <w:rPr>
          <w:color w:val="333333"/>
          <w:sz w:val="24"/>
          <w:szCs w:val="24"/>
        </w:rPr>
        <w:t>New Matter</w:t>
      </w:r>
      <w:r w:rsidR="0033101C" w:rsidRPr="00133783">
        <w:rPr>
          <w:color w:val="333333"/>
          <w:sz w:val="24"/>
          <w:szCs w:val="24"/>
        </w:rPr>
        <w:t>.</w:t>
      </w:r>
      <w:r w:rsidR="00DE4273" w:rsidRPr="00133783">
        <w:rPr>
          <w:rStyle w:val="FootnoteReference"/>
          <w:color w:val="333333"/>
          <w:sz w:val="24"/>
          <w:szCs w:val="24"/>
        </w:rPr>
        <w:footnoteReference w:id="2"/>
      </w:r>
    </w:p>
    <w:p w14:paraId="1F6543D4" w14:textId="0AE7E393" w:rsidR="00935BD6" w:rsidRPr="00133783" w:rsidRDefault="00935BD6" w:rsidP="009E7437">
      <w:pPr>
        <w:ind w:firstLine="1440"/>
        <w:rPr>
          <w:color w:val="333333"/>
          <w:sz w:val="24"/>
          <w:szCs w:val="24"/>
        </w:rPr>
      </w:pPr>
    </w:p>
    <w:p w14:paraId="03C18451" w14:textId="28889142" w:rsidR="00E47178" w:rsidRPr="00133783" w:rsidRDefault="00E47178" w:rsidP="00A73DF6">
      <w:pPr>
        <w:ind w:firstLine="1440"/>
        <w:rPr>
          <w:sz w:val="24"/>
          <w:szCs w:val="24"/>
        </w:rPr>
      </w:pPr>
      <w:r w:rsidRPr="00133783">
        <w:rPr>
          <w:sz w:val="24"/>
          <w:szCs w:val="24"/>
        </w:rPr>
        <w:t xml:space="preserve">On November 19, 2021, the Commission notified the parties that this case was assigned to the undersigned for a telephonic hearing </w:t>
      </w:r>
      <w:r w:rsidR="00A73DF6" w:rsidRPr="00133783">
        <w:rPr>
          <w:sz w:val="24"/>
          <w:szCs w:val="24"/>
        </w:rPr>
        <w:t xml:space="preserve">from </w:t>
      </w:r>
      <w:r w:rsidRPr="00133783">
        <w:rPr>
          <w:sz w:val="24"/>
          <w:szCs w:val="24"/>
        </w:rPr>
        <w:t>Pittsburgh on January 4, 2022, at 10:00 a</w:t>
      </w:r>
      <w:r w:rsidR="005A082A" w:rsidRPr="00133783">
        <w:rPr>
          <w:sz w:val="24"/>
          <w:szCs w:val="24"/>
        </w:rPr>
        <w:t>.m.</w:t>
      </w:r>
      <w:r w:rsidR="005A082A" w:rsidRPr="00133783">
        <w:rPr>
          <w:rStyle w:val="FootnoteReference"/>
          <w:sz w:val="24"/>
          <w:szCs w:val="24"/>
        </w:rPr>
        <w:footnoteReference w:id="3"/>
      </w:r>
      <w:r w:rsidR="00AD3385" w:rsidRPr="00133783">
        <w:rPr>
          <w:sz w:val="24"/>
          <w:szCs w:val="24"/>
        </w:rPr>
        <w:t xml:space="preserve"> </w:t>
      </w:r>
      <w:r w:rsidR="00697078">
        <w:rPr>
          <w:sz w:val="24"/>
          <w:szCs w:val="24"/>
        </w:rPr>
        <w:t xml:space="preserve"> </w:t>
      </w:r>
      <w:r w:rsidRPr="00133783">
        <w:rPr>
          <w:sz w:val="24"/>
          <w:szCs w:val="24"/>
        </w:rPr>
        <w:t>On November 23, 2021, a Prehearing Order was served upon the parties informing them about the procedural rules for the hearing.</w:t>
      </w:r>
      <w:r w:rsidR="0081019D" w:rsidRPr="00133783">
        <w:rPr>
          <w:sz w:val="24"/>
          <w:szCs w:val="24"/>
        </w:rPr>
        <w:t xml:space="preserve">  </w:t>
      </w:r>
    </w:p>
    <w:p w14:paraId="31FDB9AB" w14:textId="77777777" w:rsidR="00E47178" w:rsidRPr="00133783" w:rsidRDefault="00E47178" w:rsidP="00E47178">
      <w:pPr>
        <w:rPr>
          <w:sz w:val="24"/>
          <w:szCs w:val="24"/>
        </w:rPr>
      </w:pPr>
    </w:p>
    <w:p w14:paraId="7D1243C8" w14:textId="4397A190" w:rsidR="00935BD6" w:rsidRPr="00133783" w:rsidRDefault="00935BD6" w:rsidP="009E7437">
      <w:pPr>
        <w:ind w:firstLine="1440"/>
        <w:rPr>
          <w:bCs/>
          <w:i/>
          <w:iCs/>
          <w:sz w:val="24"/>
          <w:szCs w:val="24"/>
        </w:rPr>
      </w:pPr>
      <w:r w:rsidRPr="00133783">
        <w:rPr>
          <w:color w:val="333333"/>
          <w:sz w:val="24"/>
          <w:szCs w:val="24"/>
        </w:rPr>
        <w:t xml:space="preserve">On December 9, 2021, Complainant, through her counsel, filed </w:t>
      </w:r>
      <w:r w:rsidR="00623DCA" w:rsidRPr="00133783">
        <w:rPr>
          <w:color w:val="333333"/>
          <w:sz w:val="24"/>
          <w:szCs w:val="24"/>
        </w:rPr>
        <w:t>an Answer to the Motion for Judgment</w:t>
      </w:r>
      <w:r w:rsidR="002E384E" w:rsidRPr="00133783">
        <w:rPr>
          <w:color w:val="333333"/>
          <w:sz w:val="24"/>
          <w:szCs w:val="24"/>
        </w:rPr>
        <w:t xml:space="preserve"> </w:t>
      </w:r>
      <w:r w:rsidR="003B2DBC" w:rsidRPr="00133783">
        <w:rPr>
          <w:color w:val="333333"/>
          <w:sz w:val="24"/>
          <w:szCs w:val="24"/>
        </w:rPr>
        <w:t xml:space="preserve">on the Pleadings </w:t>
      </w:r>
      <w:r w:rsidR="002E384E" w:rsidRPr="00133783">
        <w:rPr>
          <w:color w:val="333333"/>
          <w:sz w:val="24"/>
          <w:szCs w:val="24"/>
        </w:rPr>
        <w:t xml:space="preserve">and </w:t>
      </w:r>
      <w:r w:rsidR="00396A40" w:rsidRPr="00133783">
        <w:rPr>
          <w:color w:val="333333"/>
          <w:sz w:val="24"/>
          <w:szCs w:val="24"/>
        </w:rPr>
        <w:t>averred in relevant part as f</w:t>
      </w:r>
      <w:r w:rsidR="00F24C8F" w:rsidRPr="00133783">
        <w:rPr>
          <w:sz w:val="24"/>
          <w:szCs w:val="24"/>
        </w:rPr>
        <w:t>ollows:</w:t>
      </w:r>
    </w:p>
    <w:p w14:paraId="3AED02AC" w14:textId="77777777" w:rsidR="00572BC9" w:rsidRPr="00133783" w:rsidRDefault="00572BC9" w:rsidP="00572BC9">
      <w:pPr>
        <w:spacing w:line="240" w:lineRule="auto"/>
        <w:ind w:firstLine="1440"/>
        <w:rPr>
          <w:rFonts w:eastAsiaTheme="minorHAnsi"/>
          <w:sz w:val="24"/>
          <w:szCs w:val="24"/>
        </w:rPr>
      </w:pPr>
    </w:p>
    <w:p w14:paraId="433BD773" w14:textId="38A7CDD6" w:rsidR="003B0756" w:rsidRPr="00133783" w:rsidRDefault="00572BC9" w:rsidP="00572BC9">
      <w:pPr>
        <w:spacing w:line="240" w:lineRule="auto"/>
        <w:ind w:left="1440" w:right="720"/>
        <w:rPr>
          <w:rFonts w:eastAsiaTheme="minorHAnsi"/>
          <w:sz w:val="24"/>
          <w:szCs w:val="24"/>
        </w:rPr>
      </w:pPr>
      <w:r w:rsidRPr="00133783">
        <w:rPr>
          <w:rFonts w:eastAsiaTheme="minorHAnsi"/>
          <w:sz w:val="24"/>
          <w:szCs w:val="24"/>
        </w:rPr>
        <w:t>1.</w:t>
      </w:r>
      <w:r w:rsidRPr="00133783">
        <w:rPr>
          <w:rFonts w:eastAsiaTheme="minorHAnsi"/>
          <w:sz w:val="24"/>
          <w:szCs w:val="24"/>
        </w:rPr>
        <w:tab/>
        <w:t>Complainant is not requesting a complete waiver of the electric charges that accrued at Floor # 1 and Floor #2. Complainant's position is the transfer of the entire balance from Floor # 2 of $7,479.07 into Owner's name under 66 Pa.C.S.A. 1529.1(b) is improper. The purpose of 66 Pa.C.S.A. 1529.1(b) is to ensure the owner of rental property fixes any foreign wiring issue by transferring a tenant's balance into the owner's name until the issue is fixed. The law cannot and should not be used as a way for tenant to evade enormous overdue bills or for the utility company to easily collect overdue bills they inexplicably allowed to remain unpaid without shut off notices, notice to owner, or termination of service. The application of the law the Respondent is requesting produces an absurd result.</w:t>
      </w:r>
    </w:p>
    <w:p w14:paraId="368765A9" w14:textId="0353D851" w:rsidR="00572BC9" w:rsidRPr="00133783" w:rsidRDefault="00572BC9" w:rsidP="00572BC9">
      <w:pPr>
        <w:spacing w:line="240" w:lineRule="auto"/>
        <w:ind w:left="1440" w:right="720"/>
        <w:rPr>
          <w:rFonts w:eastAsiaTheme="minorHAnsi"/>
          <w:sz w:val="24"/>
          <w:szCs w:val="24"/>
        </w:rPr>
      </w:pPr>
    </w:p>
    <w:p w14:paraId="1E5B830E" w14:textId="2D43C925" w:rsidR="00572BC9" w:rsidRPr="00133783" w:rsidRDefault="00AA00EF" w:rsidP="00390BB3">
      <w:pPr>
        <w:spacing w:line="240" w:lineRule="auto"/>
        <w:ind w:left="1440" w:right="720"/>
        <w:rPr>
          <w:rFonts w:eastAsiaTheme="minorHAnsi"/>
          <w:sz w:val="24"/>
          <w:szCs w:val="24"/>
        </w:rPr>
      </w:pPr>
      <w:r w:rsidRPr="00133783">
        <w:rPr>
          <w:rFonts w:eastAsiaTheme="minorHAnsi"/>
          <w:sz w:val="24"/>
          <w:szCs w:val="24"/>
        </w:rPr>
        <w:lastRenderedPageBreak/>
        <w:t>2.</w:t>
      </w:r>
      <w:r w:rsidRPr="00133783">
        <w:rPr>
          <w:rFonts w:eastAsiaTheme="minorHAnsi"/>
          <w:sz w:val="24"/>
          <w:szCs w:val="24"/>
        </w:rPr>
        <w:tab/>
        <w:t>While Complainant does not dispute the fact she owns the property or that Respondent discovered foreign wiring registering on the meters, there remains material issues of fact in dispute. Complainant disputes receiving proper and timely notification. Complainant also disputes whether the amount of the bill transferred from the tenant into her name was proper.</w:t>
      </w:r>
    </w:p>
    <w:p w14:paraId="12FFE805" w14:textId="7E74BD76" w:rsidR="007826B8" w:rsidRPr="00133783" w:rsidRDefault="007826B8" w:rsidP="00390BB3">
      <w:pPr>
        <w:spacing w:line="240" w:lineRule="auto"/>
        <w:ind w:left="1440" w:right="720"/>
        <w:rPr>
          <w:rFonts w:eastAsiaTheme="minorHAnsi"/>
          <w:sz w:val="24"/>
          <w:szCs w:val="24"/>
        </w:rPr>
      </w:pPr>
    </w:p>
    <w:p w14:paraId="5F955A2A" w14:textId="3F7A4486" w:rsidR="007826B8" w:rsidRPr="00133783" w:rsidRDefault="007826B8" w:rsidP="00133783">
      <w:pPr>
        <w:ind w:left="1440" w:right="720" w:hanging="1440"/>
        <w:rPr>
          <w:rFonts w:eastAsiaTheme="minorHAnsi"/>
          <w:sz w:val="24"/>
          <w:szCs w:val="24"/>
        </w:rPr>
      </w:pPr>
      <w:r w:rsidRPr="00133783">
        <w:rPr>
          <w:rFonts w:eastAsiaTheme="minorHAnsi"/>
          <w:sz w:val="24"/>
          <w:szCs w:val="24"/>
        </w:rPr>
        <w:t>Answer to New Matter ¶¶ 1-2.</w:t>
      </w:r>
    </w:p>
    <w:p w14:paraId="52587DFB" w14:textId="77777777" w:rsidR="00E42716" w:rsidRPr="00133783" w:rsidRDefault="00E42716" w:rsidP="00133783">
      <w:pPr>
        <w:tabs>
          <w:tab w:val="left" w:pos="1440"/>
        </w:tabs>
        <w:ind w:left="720" w:right="432"/>
        <w:textAlignment w:val="baseline"/>
        <w:rPr>
          <w:rFonts w:eastAsiaTheme="minorHAnsi"/>
          <w:sz w:val="24"/>
          <w:szCs w:val="24"/>
        </w:rPr>
      </w:pPr>
    </w:p>
    <w:p w14:paraId="79779EF3" w14:textId="2EBD0B18" w:rsidR="00EF0AEF" w:rsidRPr="00133783" w:rsidRDefault="00365C2A" w:rsidP="00697078">
      <w:pPr>
        <w:ind w:firstLine="1426"/>
        <w:textAlignment w:val="baseline"/>
        <w:rPr>
          <w:rFonts w:eastAsia="PMingLiU"/>
          <w:sz w:val="24"/>
          <w:szCs w:val="24"/>
        </w:rPr>
      </w:pPr>
      <w:r w:rsidRPr="00133783">
        <w:rPr>
          <w:rFonts w:eastAsiaTheme="minorHAnsi"/>
          <w:sz w:val="24"/>
          <w:szCs w:val="24"/>
        </w:rPr>
        <w:t xml:space="preserve">In relevant part, </w:t>
      </w:r>
      <w:r w:rsidR="00E47945" w:rsidRPr="00133783">
        <w:rPr>
          <w:rFonts w:eastAsiaTheme="minorHAnsi"/>
          <w:sz w:val="24"/>
          <w:szCs w:val="24"/>
        </w:rPr>
        <w:t xml:space="preserve">Complainant </w:t>
      </w:r>
      <w:r w:rsidR="00450B67" w:rsidRPr="00133783">
        <w:rPr>
          <w:rFonts w:eastAsiaTheme="minorHAnsi"/>
          <w:sz w:val="24"/>
          <w:szCs w:val="24"/>
        </w:rPr>
        <w:t>admit</w:t>
      </w:r>
      <w:r w:rsidR="00C3254B" w:rsidRPr="00133783">
        <w:rPr>
          <w:rFonts w:eastAsiaTheme="minorHAnsi"/>
          <w:sz w:val="24"/>
          <w:szCs w:val="24"/>
        </w:rPr>
        <w:t>s</w:t>
      </w:r>
      <w:r w:rsidR="00450B67" w:rsidRPr="00133783">
        <w:rPr>
          <w:rFonts w:eastAsiaTheme="minorHAnsi"/>
          <w:sz w:val="24"/>
          <w:szCs w:val="24"/>
        </w:rPr>
        <w:t xml:space="preserve"> </w:t>
      </w:r>
      <w:r w:rsidR="003C03D7" w:rsidRPr="00133783">
        <w:rPr>
          <w:rFonts w:eastAsiaTheme="minorHAnsi"/>
          <w:sz w:val="24"/>
          <w:szCs w:val="24"/>
        </w:rPr>
        <w:t xml:space="preserve">1) </w:t>
      </w:r>
      <w:r w:rsidR="008868C5" w:rsidRPr="00133783">
        <w:rPr>
          <w:rFonts w:eastAsiaTheme="minorHAnsi"/>
          <w:sz w:val="24"/>
          <w:szCs w:val="24"/>
        </w:rPr>
        <w:t xml:space="preserve">she </w:t>
      </w:r>
      <w:r w:rsidR="003A2B6E" w:rsidRPr="00133783">
        <w:rPr>
          <w:color w:val="000000"/>
          <w:sz w:val="24"/>
          <w:szCs w:val="24"/>
        </w:rPr>
        <w:t xml:space="preserve">is the owner of the Property and </w:t>
      </w:r>
      <w:r w:rsidR="003C03D7" w:rsidRPr="00133783">
        <w:rPr>
          <w:color w:val="000000"/>
          <w:sz w:val="24"/>
          <w:szCs w:val="24"/>
        </w:rPr>
        <w:t xml:space="preserve">2) </w:t>
      </w:r>
      <w:r w:rsidR="008868C5" w:rsidRPr="00133783">
        <w:rPr>
          <w:color w:val="000000"/>
          <w:sz w:val="24"/>
          <w:szCs w:val="24"/>
        </w:rPr>
        <w:t>o</w:t>
      </w:r>
      <w:r w:rsidR="003A2B6E" w:rsidRPr="00133783">
        <w:rPr>
          <w:color w:val="000000"/>
          <w:sz w:val="24"/>
          <w:szCs w:val="24"/>
        </w:rPr>
        <w:t>n or about March 31, 2021, Duquesne Light discovered foreign load registering on the meters connected to the residential units from the communal basement area.</w:t>
      </w:r>
      <w:r w:rsidR="008868C5" w:rsidRPr="00133783">
        <w:rPr>
          <w:color w:val="000000"/>
          <w:sz w:val="24"/>
          <w:szCs w:val="24"/>
        </w:rPr>
        <w:t xml:space="preserve">  </w:t>
      </w:r>
      <w:r w:rsidR="008868C5" w:rsidRPr="00133783">
        <w:rPr>
          <w:i/>
          <w:iCs/>
          <w:color w:val="000000"/>
          <w:sz w:val="24"/>
          <w:szCs w:val="24"/>
        </w:rPr>
        <w:t>Id</w:t>
      </w:r>
      <w:r w:rsidR="00370873" w:rsidRPr="00133783">
        <w:rPr>
          <w:i/>
          <w:iCs/>
          <w:color w:val="000000"/>
          <w:sz w:val="24"/>
          <w:szCs w:val="24"/>
        </w:rPr>
        <w:t>.</w:t>
      </w:r>
      <w:r w:rsidR="00370873" w:rsidRPr="00133783">
        <w:rPr>
          <w:color w:val="000000"/>
          <w:sz w:val="24"/>
          <w:szCs w:val="24"/>
        </w:rPr>
        <w:t xml:space="preserve"> </w:t>
      </w:r>
      <w:r w:rsidR="00370873" w:rsidRPr="00133783">
        <w:rPr>
          <w:rFonts w:eastAsiaTheme="minorHAnsi"/>
          <w:sz w:val="24"/>
          <w:szCs w:val="24"/>
        </w:rPr>
        <w:t>¶</w:t>
      </w:r>
      <w:r w:rsidR="00D67F9C" w:rsidRPr="00133783">
        <w:rPr>
          <w:rFonts w:eastAsiaTheme="minorHAnsi"/>
          <w:sz w:val="24"/>
          <w:szCs w:val="24"/>
        </w:rPr>
        <w:t>¶</w:t>
      </w:r>
      <w:r w:rsidR="00370873" w:rsidRPr="00133783">
        <w:rPr>
          <w:rFonts w:eastAsiaTheme="minorHAnsi"/>
          <w:sz w:val="24"/>
          <w:szCs w:val="24"/>
        </w:rPr>
        <w:t xml:space="preserve"> </w:t>
      </w:r>
      <w:r w:rsidR="00D67F9C" w:rsidRPr="00133783">
        <w:rPr>
          <w:rFonts w:eastAsiaTheme="minorHAnsi"/>
          <w:sz w:val="24"/>
          <w:szCs w:val="24"/>
        </w:rPr>
        <w:t xml:space="preserve">2, </w:t>
      </w:r>
      <w:r w:rsidR="00370873" w:rsidRPr="00133783">
        <w:rPr>
          <w:rFonts w:eastAsiaTheme="minorHAnsi"/>
          <w:sz w:val="24"/>
          <w:szCs w:val="24"/>
        </w:rPr>
        <w:t>9.</w:t>
      </w:r>
      <w:r w:rsidR="002072D4" w:rsidRPr="00133783">
        <w:rPr>
          <w:rFonts w:eastAsiaTheme="minorHAnsi"/>
          <w:sz w:val="24"/>
          <w:szCs w:val="24"/>
        </w:rPr>
        <w:t xml:space="preserve">  However, Complainant assert</w:t>
      </w:r>
      <w:r w:rsidR="00C3254B" w:rsidRPr="00133783">
        <w:rPr>
          <w:rFonts w:eastAsiaTheme="minorHAnsi"/>
          <w:sz w:val="24"/>
          <w:szCs w:val="24"/>
        </w:rPr>
        <w:t>s</w:t>
      </w:r>
      <w:r w:rsidR="002072D4" w:rsidRPr="00133783">
        <w:rPr>
          <w:rFonts w:eastAsiaTheme="minorHAnsi"/>
          <w:sz w:val="24"/>
          <w:szCs w:val="24"/>
        </w:rPr>
        <w:t xml:space="preserve"> that she was never </w:t>
      </w:r>
      <w:r w:rsidR="0012759A" w:rsidRPr="00133783">
        <w:rPr>
          <w:rFonts w:eastAsiaTheme="minorHAnsi"/>
          <w:sz w:val="24"/>
          <w:szCs w:val="24"/>
        </w:rPr>
        <w:t>notified of any failure to pay the utility, yet Respondent allowed the amount to go unpaid in the amount of $7,479.07.</w:t>
      </w:r>
      <w:r w:rsidR="00BC7857" w:rsidRPr="00133783">
        <w:rPr>
          <w:rFonts w:eastAsiaTheme="minorHAnsi"/>
          <w:sz w:val="24"/>
          <w:szCs w:val="24"/>
        </w:rPr>
        <w:t xml:space="preserve">  </w:t>
      </w:r>
      <w:r w:rsidR="00BC7857" w:rsidRPr="00133783">
        <w:rPr>
          <w:rFonts w:eastAsiaTheme="minorHAnsi"/>
          <w:i/>
          <w:iCs/>
          <w:sz w:val="24"/>
          <w:szCs w:val="24"/>
        </w:rPr>
        <w:t>Id.</w:t>
      </w:r>
      <w:r w:rsidR="00BC7857" w:rsidRPr="00133783">
        <w:rPr>
          <w:rFonts w:eastAsiaTheme="minorHAnsi"/>
          <w:sz w:val="24"/>
          <w:szCs w:val="24"/>
        </w:rPr>
        <w:t xml:space="preserve">  </w:t>
      </w:r>
      <w:r w:rsidR="0082741F" w:rsidRPr="00133783">
        <w:rPr>
          <w:rFonts w:eastAsiaTheme="minorHAnsi"/>
          <w:sz w:val="24"/>
          <w:szCs w:val="24"/>
        </w:rPr>
        <w:t xml:space="preserve">¶ </w:t>
      </w:r>
      <w:r w:rsidR="00BC7857" w:rsidRPr="00133783">
        <w:rPr>
          <w:rFonts w:eastAsiaTheme="minorHAnsi"/>
          <w:sz w:val="24"/>
          <w:szCs w:val="24"/>
        </w:rPr>
        <w:t>17.</w:t>
      </w:r>
      <w:r w:rsidR="00D56353" w:rsidRPr="00133783">
        <w:rPr>
          <w:rFonts w:eastAsiaTheme="minorHAnsi"/>
          <w:sz w:val="24"/>
          <w:szCs w:val="24"/>
        </w:rPr>
        <w:t xml:space="preserve">  Complainant contends </w:t>
      </w:r>
      <w:r w:rsidR="00CC5D92" w:rsidRPr="00133783">
        <w:rPr>
          <w:rFonts w:eastAsiaTheme="minorHAnsi"/>
          <w:sz w:val="24"/>
          <w:szCs w:val="24"/>
        </w:rPr>
        <w:t>there are issues of fact in dispute.</w:t>
      </w:r>
      <w:r w:rsidR="00F90207" w:rsidRPr="00133783">
        <w:rPr>
          <w:rFonts w:eastAsiaTheme="minorHAnsi"/>
          <w:sz w:val="24"/>
          <w:szCs w:val="24"/>
        </w:rPr>
        <w:t xml:space="preserve"> </w:t>
      </w:r>
      <w:r w:rsidR="00697078">
        <w:rPr>
          <w:rFonts w:eastAsiaTheme="minorHAnsi"/>
          <w:sz w:val="24"/>
          <w:szCs w:val="24"/>
        </w:rPr>
        <w:t xml:space="preserve"> </w:t>
      </w:r>
      <w:r w:rsidR="00EF0AEF" w:rsidRPr="00133783">
        <w:rPr>
          <w:rFonts w:eastAsiaTheme="minorHAnsi"/>
          <w:sz w:val="24"/>
          <w:szCs w:val="24"/>
        </w:rPr>
        <w:t>“</w:t>
      </w:r>
      <w:r w:rsidR="00EF0AEF" w:rsidRPr="00133783">
        <w:rPr>
          <w:color w:val="000000"/>
          <w:spacing w:val="-2"/>
          <w:sz w:val="24"/>
          <w:szCs w:val="24"/>
        </w:rPr>
        <w:t>Complainant disputes receiving proper and timely notification</w:t>
      </w:r>
      <w:r w:rsidR="00E7299C" w:rsidRPr="00133783">
        <w:rPr>
          <w:color w:val="000000"/>
          <w:spacing w:val="-2"/>
          <w:sz w:val="24"/>
          <w:szCs w:val="24"/>
        </w:rPr>
        <w:t xml:space="preserve">.  </w:t>
      </w:r>
      <w:r w:rsidR="00264374" w:rsidRPr="00133783">
        <w:rPr>
          <w:color w:val="000000"/>
          <w:spacing w:val="-2"/>
          <w:sz w:val="24"/>
          <w:szCs w:val="24"/>
        </w:rPr>
        <w:t>“</w:t>
      </w:r>
      <w:r w:rsidR="00E7299C" w:rsidRPr="00133783">
        <w:rPr>
          <w:color w:val="000000"/>
          <w:spacing w:val="-2"/>
          <w:sz w:val="24"/>
          <w:szCs w:val="24"/>
        </w:rPr>
        <w:t xml:space="preserve">Complainant also disputes whether the amount of the </w:t>
      </w:r>
      <w:r w:rsidR="00264374" w:rsidRPr="00133783">
        <w:rPr>
          <w:color w:val="000000"/>
          <w:spacing w:val="-2"/>
          <w:sz w:val="24"/>
          <w:szCs w:val="24"/>
        </w:rPr>
        <w:t xml:space="preserve">bill </w:t>
      </w:r>
      <w:r w:rsidR="00E7299C" w:rsidRPr="00133783">
        <w:rPr>
          <w:color w:val="000000"/>
          <w:spacing w:val="-2"/>
          <w:sz w:val="24"/>
          <w:szCs w:val="24"/>
        </w:rPr>
        <w:t>transferred from the tenant</w:t>
      </w:r>
      <w:r w:rsidR="00C17CF1" w:rsidRPr="00133783">
        <w:rPr>
          <w:color w:val="000000"/>
          <w:spacing w:val="-2"/>
          <w:sz w:val="24"/>
          <w:szCs w:val="24"/>
        </w:rPr>
        <w:t xml:space="preserve"> into her name was proper</w:t>
      </w:r>
      <w:r w:rsidR="00EF0AEF" w:rsidRPr="00133783">
        <w:rPr>
          <w:color w:val="000000"/>
          <w:spacing w:val="-2"/>
          <w:sz w:val="24"/>
          <w:szCs w:val="24"/>
        </w:rPr>
        <w:t>.</w:t>
      </w:r>
      <w:r w:rsidR="00D71CBE" w:rsidRPr="00133783">
        <w:rPr>
          <w:color w:val="000000"/>
          <w:spacing w:val="-2"/>
          <w:sz w:val="24"/>
          <w:szCs w:val="24"/>
        </w:rPr>
        <w:t xml:space="preserve">”  </w:t>
      </w:r>
      <w:r w:rsidR="0082741F" w:rsidRPr="00133783">
        <w:rPr>
          <w:i/>
          <w:iCs/>
          <w:color w:val="000000"/>
          <w:spacing w:val="-2"/>
          <w:sz w:val="24"/>
          <w:szCs w:val="24"/>
        </w:rPr>
        <w:t>Id.</w:t>
      </w:r>
      <w:r w:rsidR="0082741F" w:rsidRPr="00133783">
        <w:rPr>
          <w:color w:val="000000"/>
          <w:spacing w:val="-2"/>
          <w:sz w:val="24"/>
          <w:szCs w:val="24"/>
        </w:rPr>
        <w:t xml:space="preserve"> </w:t>
      </w:r>
      <w:r w:rsidR="0082741F" w:rsidRPr="00133783">
        <w:rPr>
          <w:rFonts w:eastAsia="PMingLiU"/>
          <w:sz w:val="24"/>
          <w:szCs w:val="24"/>
        </w:rPr>
        <w:t>¶</w:t>
      </w:r>
      <w:r w:rsidR="00F15A7F" w:rsidRPr="00133783">
        <w:rPr>
          <w:rFonts w:eastAsia="PMingLiU"/>
          <w:sz w:val="24"/>
          <w:szCs w:val="24"/>
        </w:rPr>
        <w:t xml:space="preserve"> </w:t>
      </w:r>
      <w:r w:rsidR="00D57C52" w:rsidRPr="00133783">
        <w:rPr>
          <w:rFonts w:eastAsia="PMingLiU"/>
          <w:sz w:val="24"/>
          <w:szCs w:val="24"/>
        </w:rPr>
        <w:t>2.</w:t>
      </w:r>
    </w:p>
    <w:p w14:paraId="60FC3491" w14:textId="77777777" w:rsidR="00790FDD" w:rsidRPr="00133783" w:rsidRDefault="00790FDD" w:rsidP="00133783">
      <w:pPr>
        <w:rPr>
          <w:sz w:val="24"/>
          <w:szCs w:val="24"/>
        </w:rPr>
      </w:pPr>
    </w:p>
    <w:p w14:paraId="27303FF1" w14:textId="77777777" w:rsidR="007C1673" w:rsidRPr="00133783" w:rsidRDefault="007C1673" w:rsidP="00133783">
      <w:pPr>
        <w:jc w:val="center"/>
        <w:rPr>
          <w:sz w:val="24"/>
          <w:szCs w:val="24"/>
        </w:rPr>
      </w:pPr>
      <w:r w:rsidRPr="00133783">
        <w:rPr>
          <w:sz w:val="24"/>
          <w:szCs w:val="24"/>
          <w:u w:val="single"/>
        </w:rPr>
        <w:t>DISCUSSION</w:t>
      </w:r>
    </w:p>
    <w:p w14:paraId="55F20F4B" w14:textId="174583BF" w:rsidR="006E2C1C" w:rsidRPr="00133783" w:rsidRDefault="006E2C1C" w:rsidP="00133783">
      <w:pPr>
        <w:jc w:val="both"/>
        <w:rPr>
          <w:sz w:val="24"/>
          <w:szCs w:val="24"/>
          <w:u w:val="single"/>
        </w:rPr>
      </w:pPr>
    </w:p>
    <w:p w14:paraId="60DBFAA5" w14:textId="2F027971" w:rsidR="00E7437B" w:rsidRPr="00133783" w:rsidRDefault="00E7437B" w:rsidP="00133783">
      <w:pPr>
        <w:rPr>
          <w:sz w:val="24"/>
          <w:szCs w:val="24"/>
          <w:u w:val="single"/>
        </w:rPr>
      </w:pPr>
      <w:r w:rsidRPr="00133783">
        <w:rPr>
          <w:sz w:val="24"/>
          <w:szCs w:val="24"/>
          <w:u w:val="single"/>
        </w:rPr>
        <w:t>Legal Standards</w:t>
      </w:r>
    </w:p>
    <w:p w14:paraId="5F565AC8" w14:textId="77777777" w:rsidR="00E7437B" w:rsidRPr="00133783" w:rsidRDefault="00E7437B" w:rsidP="00133783">
      <w:pPr>
        <w:jc w:val="both"/>
        <w:rPr>
          <w:sz w:val="24"/>
          <w:szCs w:val="24"/>
          <w:u w:val="single"/>
        </w:rPr>
      </w:pPr>
    </w:p>
    <w:p w14:paraId="0111D287" w14:textId="33B47727" w:rsidR="007C1673" w:rsidRPr="00133783" w:rsidRDefault="003D673F" w:rsidP="00133783">
      <w:pPr>
        <w:ind w:left="720" w:firstLine="720"/>
        <w:jc w:val="both"/>
        <w:rPr>
          <w:sz w:val="24"/>
          <w:szCs w:val="24"/>
          <w:u w:val="single"/>
        </w:rPr>
      </w:pPr>
      <w:r w:rsidRPr="00133783">
        <w:rPr>
          <w:sz w:val="24"/>
          <w:szCs w:val="24"/>
          <w:u w:val="single"/>
        </w:rPr>
        <w:t xml:space="preserve">Grounds for </w:t>
      </w:r>
      <w:r w:rsidR="006E2C1C" w:rsidRPr="00133783">
        <w:rPr>
          <w:sz w:val="24"/>
          <w:szCs w:val="24"/>
          <w:u w:val="single"/>
        </w:rPr>
        <w:t>Judgment o</w:t>
      </w:r>
      <w:r w:rsidR="00B82403" w:rsidRPr="00133783">
        <w:rPr>
          <w:sz w:val="24"/>
          <w:szCs w:val="24"/>
          <w:u w:val="single"/>
        </w:rPr>
        <w:t>n</w:t>
      </w:r>
      <w:r w:rsidR="006E2C1C" w:rsidRPr="00133783">
        <w:rPr>
          <w:sz w:val="24"/>
          <w:szCs w:val="24"/>
          <w:u w:val="single"/>
        </w:rPr>
        <w:t xml:space="preserve"> the Pleadings</w:t>
      </w:r>
    </w:p>
    <w:p w14:paraId="0B22EEA8" w14:textId="69A77657" w:rsidR="00E0489C" w:rsidRPr="00133783" w:rsidRDefault="00E0489C" w:rsidP="00133783">
      <w:pPr>
        <w:rPr>
          <w:sz w:val="24"/>
          <w:szCs w:val="24"/>
        </w:rPr>
      </w:pPr>
    </w:p>
    <w:p w14:paraId="6B5B8FE8" w14:textId="77777777" w:rsidR="006B77B9" w:rsidRPr="00133783" w:rsidRDefault="006B77B9" w:rsidP="00133783">
      <w:pPr>
        <w:ind w:left="720" w:firstLine="720"/>
        <w:rPr>
          <w:sz w:val="24"/>
          <w:szCs w:val="24"/>
        </w:rPr>
      </w:pPr>
      <w:r w:rsidRPr="00133783">
        <w:rPr>
          <w:sz w:val="24"/>
          <w:szCs w:val="24"/>
        </w:rPr>
        <w:t xml:space="preserve">The Commission’s Rules of Administrative Practice and Procedure, </w:t>
      </w:r>
      <w:bookmarkStart w:id="1" w:name="_Hlk92706273"/>
      <w:r w:rsidRPr="00133783">
        <w:rPr>
          <w:sz w:val="24"/>
          <w:szCs w:val="24"/>
        </w:rPr>
        <w:t xml:space="preserve">52 Pa.Code </w:t>
      </w:r>
    </w:p>
    <w:p w14:paraId="32AC9A0A" w14:textId="6D1BDED9" w:rsidR="006B77B9" w:rsidRPr="00133783" w:rsidRDefault="006B77B9" w:rsidP="00133783">
      <w:pPr>
        <w:rPr>
          <w:sz w:val="24"/>
          <w:szCs w:val="24"/>
        </w:rPr>
      </w:pPr>
      <w:r w:rsidRPr="00133783">
        <w:rPr>
          <w:sz w:val="24"/>
          <w:szCs w:val="24"/>
        </w:rPr>
        <w:t>§§ 1.1–5.633</w:t>
      </w:r>
      <w:bookmarkEnd w:id="1"/>
      <w:r w:rsidR="003921E6" w:rsidRPr="00133783">
        <w:rPr>
          <w:sz w:val="24"/>
          <w:szCs w:val="24"/>
        </w:rPr>
        <w:t xml:space="preserve"> (Regulations)</w:t>
      </w:r>
      <w:r w:rsidRPr="00133783">
        <w:rPr>
          <w:sz w:val="24"/>
          <w:szCs w:val="24"/>
        </w:rPr>
        <w:t>, provid</w:t>
      </w:r>
      <w:r w:rsidR="00F079F9" w:rsidRPr="00133783">
        <w:rPr>
          <w:sz w:val="24"/>
          <w:szCs w:val="24"/>
        </w:rPr>
        <w:t>ing</w:t>
      </w:r>
      <w:r w:rsidRPr="00133783">
        <w:rPr>
          <w:sz w:val="24"/>
          <w:szCs w:val="24"/>
        </w:rPr>
        <w:t xml:space="preserve"> for summary judgment and judgment on the pleadings, in relevant part, state as follows:</w:t>
      </w:r>
    </w:p>
    <w:p w14:paraId="229E34B2" w14:textId="77777777" w:rsidR="006B77B9" w:rsidRPr="00133783" w:rsidRDefault="006B77B9" w:rsidP="006B77B9">
      <w:pPr>
        <w:autoSpaceDE w:val="0"/>
        <w:autoSpaceDN w:val="0"/>
        <w:adjustRightInd w:val="0"/>
        <w:ind w:left="1440" w:right="1440"/>
        <w:rPr>
          <w:b/>
          <w:sz w:val="24"/>
          <w:szCs w:val="24"/>
        </w:rPr>
      </w:pPr>
    </w:p>
    <w:p w14:paraId="2A5859F2" w14:textId="77777777" w:rsidR="006B77B9" w:rsidRPr="00133783" w:rsidRDefault="006B77B9" w:rsidP="006B77B9">
      <w:pPr>
        <w:autoSpaceDE w:val="0"/>
        <w:autoSpaceDN w:val="0"/>
        <w:adjustRightInd w:val="0"/>
        <w:ind w:left="1440" w:right="1440"/>
        <w:rPr>
          <w:b/>
          <w:sz w:val="24"/>
          <w:szCs w:val="24"/>
        </w:rPr>
      </w:pPr>
      <w:r w:rsidRPr="00133783">
        <w:rPr>
          <w:b/>
          <w:sz w:val="24"/>
          <w:szCs w:val="24"/>
        </w:rPr>
        <w:t>§ 5.102.  Motions for summary judgment and judgment on the pleadings.</w:t>
      </w:r>
    </w:p>
    <w:p w14:paraId="1A7F651E" w14:textId="77777777" w:rsidR="006B77B9" w:rsidRPr="00133783" w:rsidRDefault="006B77B9" w:rsidP="006B77B9">
      <w:pPr>
        <w:autoSpaceDE w:val="0"/>
        <w:autoSpaceDN w:val="0"/>
        <w:adjustRightInd w:val="0"/>
        <w:ind w:left="1440" w:right="1440"/>
        <w:rPr>
          <w:iCs/>
          <w:sz w:val="24"/>
          <w:szCs w:val="24"/>
        </w:rPr>
      </w:pPr>
    </w:p>
    <w:p w14:paraId="2456FF53" w14:textId="77777777" w:rsidR="006B77B9" w:rsidRPr="00133783" w:rsidRDefault="006B77B9" w:rsidP="00C0125D">
      <w:pPr>
        <w:autoSpaceDE w:val="0"/>
        <w:autoSpaceDN w:val="0"/>
        <w:adjustRightInd w:val="0"/>
        <w:spacing w:line="240" w:lineRule="auto"/>
        <w:ind w:left="1440" w:right="1440"/>
        <w:rPr>
          <w:sz w:val="24"/>
          <w:szCs w:val="24"/>
        </w:rPr>
      </w:pPr>
      <w:r w:rsidRPr="00133783">
        <w:rPr>
          <w:iCs/>
          <w:sz w:val="24"/>
          <w:szCs w:val="24"/>
        </w:rPr>
        <w:t>(a)</w:t>
      </w:r>
      <w:r w:rsidRPr="00133783">
        <w:rPr>
          <w:iCs/>
          <w:sz w:val="24"/>
          <w:szCs w:val="24"/>
        </w:rPr>
        <w:tab/>
        <w:t>Ge</w:t>
      </w:r>
      <w:r w:rsidRPr="00133783">
        <w:rPr>
          <w:i/>
          <w:iCs/>
          <w:sz w:val="24"/>
          <w:szCs w:val="24"/>
        </w:rPr>
        <w:t>nerally.</w:t>
      </w:r>
      <w:r w:rsidRPr="00133783">
        <w:rPr>
          <w:iCs/>
          <w:sz w:val="24"/>
          <w:szCs w:val="24"/>
        </w:rPr>
        <w:t xml:space="preserve">  </w:t>
      </w:r>
      <w:r w:rsidRPr="00133783">
        <w:rPr>
          <w:sz w:val="24"/>
          <w:szCs w:val="24"/>
        </w:rPr>
        <w:t>After the pleadings are closed, but within a time so that the hearing is not delayed, a party may move for judgment on the pleadings or summary judgment.  . . . .</w:t>
      </w:r>
    </w:p>
    <w:p w14:paraId="35233C78" w14:textId="77777777" w:rsidR="006B77B9" w:rsidRPr="00133783" w:rsidRDefault="006B77B9" w:rsidP="00C0125D">
      <w:pPr>
        <w:autoSpaceDE w:val="0"/>
        <w:autoSpaceDN w:val="0"/>
        <w:adjustRightInd w:val="0"/>
        <w:spacing w:line="240" w:lineRule="auto"/>
        <w:ind w:left="1440" w:right="1440"/>
        <w:rPr>
          <w:sz w:val="24"/>
          <w:szCs w:val="24"/>
        </w:rPr>
      </w:pPr>
      <w:r w:rsidRPr="00133783">
        <w:rPr>
          <w:sz w:val="24"/>
          <w:szCs w:val="24"/>
        </w:rPr>
        <w:lastRenderedPageBreak/>
        <w:t>. . . .</w:t>
      </w:r>
    </w:p>
    <w:p w14:paraId="23D3881C" w14:textId="77777777" w:rsidR="006B77B9" w:rsidRPr="00133783" w:rsidRDefault="006B77B9" w:rsidP="00C0125D">
      <w:pPr>
        <w:tabs>
          <w:tab w:val="left" w:pos="204"/>
        </w:tabs>
        <w:autoSpaceDE w:val="0"/>
        <w:autoSpaceDN w:val="0"/>
        <w:adjustRightInd w:val="0"/>
        <w:spacing w:line="240" w:lineRule="auto"/>
        <w:ind w:left="1440" w:right="1440"/>
        <w:rPr>
          <w:sz w:val="24"/>
          <w:szCs w:val="24"/>
        </w:rPr>
      </w:pPr>
    </w:p>
    <w:p w14:paraId="05195CB6" w14:textId="77777777" w:rsidR="006B77B9" w:rsidRPr="00133783" w:rsidRDefault="006B77B9" w:rsidP="00C0125D">
      <w:pPr>
        <w:tabs>
          <w:tab w:val="left" w:pos="204"/>
        </w:tabs>
        <w:autoSpaceDE w:val="0"/>
        <w:autoSpaceDN w:val="0"/>
        <w:adjustRightInd w:val="0"/>
        <w:spacing w:line="240" w:lineRule="auto"/>
        <w:ind w:left="1440" w:right="1440"/>
        <w:rPr>
          <w:iCs/>
          <w:sz w:val="24"/>
          <w:szCs w:val="24"/>
        </w:rPr>
      </w:pPr>
      <w:r w:rsidRPr="00133783">
        <w:rPr>
          <w:sz w:val="24"/>
          <w:szCs w:val="24"/>
        </w:rPr>
        <w:t>(d)</w:t>
      </w:r>
      <w:r w:rsidRPr="00133783">
        <w:rPr>
          <w:sz w:val="24"/>
          <w:szCs w:val="24"/>
        </w:rPr>
        <w:tab/>
      </w:r>
      <w:r w:rsidRPr="00133783">
        <w:rPr>
          <w:i/>
          <w:iCs/>
          <w:sz w:val="24"/>
          <w:szCs w:val="24"/>
        </w:rPr>
        <w:t>Decisions on motions.</w:t>
      </w:r>
    </w:p>
    <w:p w14:paraId="390670FC" w14:textId="77777777" w:rsidR="006B77B9" w:rsidRPr="00133783" w:rsidRDefault="006B77B9" w:rsidP="00C0125D">
      <w:pPr>
        <w:tabs>
          <w:tab w:val="left" w:pos="204"/>
        </w:tabs>
        <w:autoSpaceDE w:val="0"/>
        <w:autoSpaceDN w:val="0"/>
        <w:adjustRightInd w:val="0"/>
        <w:spacing w:line="240" w:lineRule="auto"/>
        <w:ind w:left="1440" w:right="1440"/>
        <w:rPr>
          <w:iCs/>
          <w:sz w:val="24"/>
          <w:szCs w:val="24"/>
        </w:rPr>
      </w:pPr>
    </w:p>
    <w:p w14:paraId="4729363C" w14:textId="6A8F62F9" w:rsidR="006B77B9" w:rsidRPr="00133783" w:rsidRDefault="006B77B9" w:rsidP="00C0125D">
      <w:pPr>
        <w:tabs>
          <w:tab w:val="left" w:pos="204"/>
        </w:tabs>
        <w:autoSpaceDE w:val="0"/>
        <w:autoSpaceDN w:val="0"/>
        <w:adjustRightInd w:val="0"/>
        <w:spacing w:line="240" w:lineRule="auto"/>
        <w:ind w:left="1440" w:right="1440"/>
        <w:rPr>
          <w:iCs/>
          <w:sz w:val="24"/>
          <w:szCs w:val="24"/>
        </w:rPr>
      </w:pPr>
      <w:r w:rsidRPr="00133783">
        <w:rPr>
          <w:iCs/>
          <w:sz w:val="24"/>
          <w:szCs w:val="24"/>
        </w:rPr>
        <w:t>(1)</w:t>
      </w:r>
      <w:r w:rsidRPr="00133783">
        <w:rPr>
          <w:iCs/>
          <w:sz w:val="24"/>
          <w:szCs w:val="24"/>
        </w:rPr>
        <w:tab/>
      </w:r>
      <w:r w:rsidRPr="00133783">
        <w:rPr>
          <w:i/>
          <w:iCs/>
          <w:sz w:val="24"/>
          <w:szCs w:val="24"/>
        </w:rPr>
        <w:t>Standard for grant or denial on all counts.</w:t>
      </w:r>
      <w:r w:rsidRPr="00133783">
        <w:rPr>
          <w:iCs/>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19D4E664" w14:textId="77777777" w:rsidR="00EF4D2E" w:rsidRPr="00133783" w:rsidRDefault="00EF4D2E" w:rsidP="00C0125D">
      <w:pPr>
        <w:tabs>
          <w:tab w:val="left" w:pos="204"/>
        </w:tabs>
        <w:autoSpaceDE w:val="0"/>
        <w:autoSpaceDN w:val="0"/>
        <w:adjustRightInd w:val="0"/>
        <w:spacing w:line="240" w:lineRule="auto"/>
        <w:ind w:left="1440" w:right="1440"/>
        <w:rPr>
          <w:sz w:val="24"/>
          <w:szCs w:val="24"/>
        </w:rPr>
      </w:pPr>
    </w:p>
    <w:p w14:paraId="44439664" w14:textId="001105B0" w:rsidR="006B77B9" w:rsidRPr="00133783" w:rsidRDefault="006B77B9" w:rsidP="006B77B9">
      <w:pPr>
        <w:tabs>
          <w:tab w:val="left" w:pos="0"/>
        </w:tabs>
        <w:spacing w:line="233" w:lineRule="auto"/>
        <w:rPr>
          <w:sz w:val="24"/>
          <w:szCs w:val="24"/>
        </w:rPr>
      </w:pPr>
      <w:r w:rsidRPr="00133783">
        <w:rPr>
          <w:sz w:val="24"/>
          <w:szCs w:val="24"/>
        </w:rPr>
        <w:t>52 Pa.Code § 5.102</w:t>
      </w:r>
      <w:r w:rsidR="000D7CAD" w:rsidRPr="00133783">
        <w:rPr>
          <w:sz w:val="24"/>
          <w:szCs w:val="24"/>
        </w:rPr>
        <w:t>.</w:t>
      </w:r>
    </w:p>
    <w:p w14:paraId="2EBE0B93" w14:textId="77777777" w:rsidR="00C0125D" w:rsidRPr="00133783" w:rsidRDefault="00C0125D" w:rsidP="006B77B9">
      <w:pPr>
        <w:ind w:firstLine="1440"/>
        <w:rPr>
          <w:sz w:val="24"/>
          <w:szCs w:val="24"/>
        </w:rPr>
      </w:pPr>
    </w:p>
    <w:p w14:paraId="6FED47E0" w14:textId="49AA8BB2" w:rsidR="006B77B9" w:rsidRPr="00133783" w:rsidRDefault="006B77B9" w:rsidP="00133783">
      <w:pPr>
        <w:ind w:firstLine="1440"/>
        <w:rPr>
          <w:sz w:val="24"/>
          <w:szCs w:val="24"/>
        </w:rPr>
      </w:pPr>
      <w:r w:rsidRPr="00133783">
        <w:rPr>
          <w:sz w:val="24"/>
          <w:szCs w:val="24"/>
        </w:rPr>
        <w:t xml:space="preserve">The standard for granting both motions is the same.  The presiding officer will grant a preliminary motion if the record shows that there is no genuine issue as to a material fact and that the moving party is entitled to judgment as a matter of law.  </w:t>
      </w:r>
      <w:r w:rsidRPr="00133783">
        <w:rPr>
          <w:i/>
          <w:iCs/>
          <w:sz w:val="24"/>
          <w:szCs w:val="24"/>
        </w:rPr>
        <w:t>Id.</w:t>
      </w:r>
      <w:r w:rsidRPr="00133783">
        <w:rPr>
          <w:sz w:val="24"/>
          <w:szCs w:val="24"/>
        </w:rPr>
        <w:t xml:space="preserve"> § 5.102(d)(1).</w:t>
      </w:r>
    </w:p>
    <w:p w14:paraId="7CEB5C80" w14:textId="77777777" w:rsidR="006B77B9" w:rsidRPr="00133783" w:rsidRDefault="006B77B9" w:rsidP="00133783">
      <w:pPr>
        <w:autoSpaceDE w:val="0"/>
        <w:autoSpaceDN w:val="0"/>
        <w:rPr>
          <w:sz w:val="24"/>
          <w:szCs w:val="24"/>
        </w:rPr>
      </w:pPr>
    </w:p>
    <w:p w14:paraId="6C488BB7" w14:textId="77777777" w:rsidR="006B77B9" w:rsidRPr="00133783" w:rsidRDefault="006B77B9" w:rsidP="00133783">
      <w:pPr>
        <w:autoSpaceDE w:val="0"/>
        <w:autoSpaceDN w:val="0"/>
        <w:rPr>
          <w:sz w:val="24"/>
          <w:szCs w:val="24"/>
        </w:rPr>
      </w:pPr>
      <w:r w:rsidRPr="00133783">
        <w:rPr>
          <w:sz w:val="24"/>
          <w:szCs w:val="24"/>
        </w:rPr>
        <w:tab/>
      </w:r>
      <w:r w:rsidRPr="00133783">
        <w:rPr>
          <w:sz w:val="24"/>
          <w:szCs w:val="24"/>
        </w:rPr>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133783">
        <w:rPr>
          <w:i/>
          <w:sz w:val="24"/>
          <w:szCs w:val="24"/>
        </w:rPr>
        <w:t>First Mortgage Co. of Pennsylvania v. McCall</w:t>
      </w:r>
      <w:r w:rsidRPr="00133783">
        <w:rPr>
          <w:sz w:val="24"/>
          <w:szCs w:val="24"/>
        </w:rPr>
        <w:t xml:space="preserve">, 459 A.2d 406 (Pa.Super. 1983); </w:t>
      </w:r>
      <w:r w:rsidRPr="00133783">
        <w:rPr>
          <w:i/>
          <w:sz w:val="24"/>
          <w:szCs w:val="24"/>
        </w:rPr>
        <w:t>Mertz v. Lakatos</w:t>
      </w:r>
      <w:r w:rsidRPr="00133783">
        <w:rPr>
          <w:sz w:val="24"/>
          <w:szCs w:val="24"/>
        </w:rPr>
        <w:t xml:space="preserve">, 381 A.2d 497 (Pa.Cmwlth. 1976).  All doubts as to the existence of a genuine issue of material fact must be resolved against the moving party.  </w:t>
      </w:r>
      <w:r w:rsidRPr="00133783">
        <w:rPr>
          <w:i/>
          <w:sz w:val="24"/>
          <w:szCs w:val="24"/>
        </w:rPr>
        <w:t>Thomson Coal Company v. Pike Coal Company,</w:t>
      </w:r>
      <w:r w:rsidRPr="00133783">
        <w:rPr>
          <w:sz w:val="24"/>
          <w:szCs w:val="24"/>
        </w:rPr>
        <w:t xml:space="preserve"> 412 A.2d 466 (Pa. 1979).  Judgment will be granted only where the right to relief is clear and free from doubt.</w:t>
      </w:r>
    </w:p>
    <w:p w14:paraId="3624D701" w14:textId="77777777" w:rsidR="006B77B9" w:rsidRPr="00133783" w:rsidRDefault="006B77B9" w:rsidP="00133783">
      <w:pPr>
        <w:autoSpaceDE w:val="0"/>
        <w:autoSpaceDN w:val="0"/>
        <w:rPr>
          <w:sz w:val="24"/>
          <w:szCs w:val="24"/>
        </w:rPr>
      </w:pPr>
    </w:p>
    <w:p w14:paraId="3E590E04" w14:textId="44625516" w:rsidR="006B77B9" w:rsidRPr="00133783" w:rsidRDefault="006B77B9" w:rsidP="00133783">
      <w:pPr>
        <w:autoSpaceDE w:val="0"/>
        <w:autoSpaceDN w:val="0"/>
        <w:rPr>
          <w:sz w:val="24"/>
          <w:szCs w:val="24"/>
        </w:rPr>
      </w:pPr>
      <w:r w:rsidRPr="00133783">
        <w:rPr>
          <w:sz w:val="24"/>
          <w:szCs w:val="24"/>
        </w:rPr>
        <w:tab/>
      </w:r>
      <w:r w:rsidRPr="00133783">
        <w:rPr>
          <w:sz w:val="24"/>
          <w:szCs w:val="24"/>
        </w:rPr>
        <w:tab/>
        <w:t xml:space="preserve">The Commission has interpreted Section 5.102 of its Regulations in conformity with Rule 1035 (now Rule 1035.1) of the Pennsylvania Rules of Civil Procedure.  </w:t>
      </w:r>
      <w:r w:rsidRPr="00133783">
        <w:rPr>
          <w:i/>
          <w:sz w:val="24"/>
          <w:szCs w:val="24"/>
        </w:rPr>
        <w:t>South River Power Partners, L.P. v. West Penn Power Company,</w:t>
      </w:r>
      <w:r w:rsidRPr="00133783">
        <w:rPr>
          <w:sz w:val="24"/>
          <w:szCs w:val="24"/>
        </w:rPr>
        <w:t xml:space="preserve"> Docket No. C-00935287 (Order entered November 6, 1996).  Accordingly, a non-moving party may not rest upon mere allegations or denials of the </w:t>
      </w:r>
      <w:r w:rsidR="0057772C" w:rsidRPr="00133783">
        <w:rPr>
          <w:sz w:val="24"/>
          <w:szCs w:val="24"/>
        </w:rPr>
        <w:t>pleadings but</w:t>
      </w:r>
      <w:r w:rsidRPr="00133783">
        <w:rPr>
          <w:sz w:val="24"/>
          <w:szCs w:val="24"/>
        </w:rPr>
        <w:t xml:space="preserve"> must submit some materials to establish that a genuine issue of material fact exists.  Pa.R.C.P. No. 1035.3; </w:t>
      </w:r>
      <w:r w:rsidRPr="00133783">
        <w:rPr>
          <w:i/>
          <w:sz w:val="24"/>
          <w:szCs w:val="24"/>
        </w:rPr>
        <w:t>Stover v. The United Telephone Co. of Pennsylvania</w:t>
      </w:r>
      <w:r w:rsidRPr="00133783">
        <w:rPr>
          <w:sz w:val="24"/>
          <w:szCs w:val="24"/>
        </w:rPr>
        <w:t xml:space="preserve">, Docket No. C-00923833 (Order entered July 21, 1992); see also </w:t>
      </w:r>
      <w:r w:rsidRPr="00133783">
        <w:rPr>
          <w:i/>
          <w:sz w:val="24"/>
          <w:szCs w:val="24"/>
        </w:rPr>
        <w:t>Nicastro v. Cuyler,</w:t>
      </w:r>
      <w:r w:rsidRPr="00133783">
        <w:rPr>
          <w:sz w:val="24"/>
          <w:szCs w:val="24"/>
        </w:rPr>
        <w:t xml:space="preserve"> 467 A.2d </w:t>
      </w:r>
      <w:r w:rsidRPr="00133783">
        <w:rPr>
          <w:sz w:val="24"/>
          <w:szCs w:val="24"/>
        </w:rPr>
        <w:lastRenderedPageBreak/>
        <w:t xml:space="preserve">1218 (Pa.Cmwlth. 1983); </w:t>
      </w:r>
      <w:r w:rsidRPr="00133783">
        <w:rPr>
          <w:i/>
          <w:sz w:val="24"/>
          <w:szCs w:val="24"/>
        </w:rPr>
        <w:t>Pennsylvania Gas &amp; Water Co. v. Nenna &amp; Frain, Inc.,</w:t>
      </w:r>
      <w:r w:rsidRPr="00133783">
        <w:rPr>
          <w:sz w:val="24"/>
          <w:szCs w:val="24"/>
        </w:rPr>
        <w:t xml:space="preserve"> 467 A.2d 330 (Pa.Super. 1983); </w:t>
      </w:r>
      <w:r w:rsidRPr="00133783">
        <w:rPr>
          <w:i/>
          <w:sz w:val="24"/>
          <w:szCs w:val="24"/>
        </w:rPr>
        <w:t>Geriot v. Council of Borough of Darby</w:t>
      </w:r>
      <w:r w:rsidRPr="00133783">
        <w:rPr>
          <w:sz w:val="24"/>
          <w:szCs w:val="24"/>
        </w:rPr>
        <w:t>, 457 A.2d 202 (Pa.Cmwlth. 1983).</w:t>
      </w:r>
    </w:p>
    <w:p w14:paraId="344CC203" w14:textId="77777777" w:rsidR="00022B72" w:rsidRDefault="00022B72" w:rsidP="00022B72">
      <w:pPr>
        <w:widowControl w:val="0"/>
        <w:rPr>
          <w:sz w:val="24"/>
          <w:szCs w:val="24"/>
        </w:rPr>
      </w:pPr>
    </w:p>
    <w:p w14:paraId="06A47BBB" w14:textId="201DDA4F" w:rsidR="00C3236E" w:rsidRPr="00133783" w:rsidRDefault="005771D1" w:rsidP="00022B72">
      <w:pPr>
        <w:widowControl w:val="0"/>
        <w:rPr>
          <w:sz w:val="24"/>
          <w:szCs w:val="24"/>
          <w:u w:val="single"/>
        </w:rPr>
      </w:pPr>
      <w:r w:rsidRPr="00133783">
        <w:rPr>
          <w:sz w:val="24"/>
          <w:szCs w:val="24"/>
          <w:u w:val="single"/>
        </w:rPr>
        <w:t>Foreign Loads</w:t>
      </w:r>
    </w:p>
    <w:p w14:paraId="70DE03F7" w14:textId="77777777" w:rsidR="00C3236E" w:rsidRPr="00133783" w:rsidRDefault="00C3236E" w:rsidP="00133783">
      <w:pPr>
        <w:widowControl w:val="0"/>
        <w:ind w:left="720" w:firstLine="720"/>
        <w:rPr>
          <w:sz w:val="24"/>
          <w:szCs w:val="24"/>
          <w:u w:val="single"/>
        </w:rPr>
      </w:pPr>
    </w:p>
    <w:p w14:paraId="00BE882A" w14:textId="4394AE26" w:rsidR="005771D1" w:rsidRPr="00133783" w:rsidRDefault="005771D1" w:rsidP="00133783">
      <w:pPr>
        <w:widowControl w:val="0"/>
        <w:ind w:firstLine="1440"/>
        <w:rPr>
          <w:sz w:val="24"/>
          <w:szCs w:val="24"/>
        </w:rPr>
      </w:pPr>
      <w:r w:rsidRPr="00133783">
        <w:rPr>
          <w:sz w:val="24"/>
          <w:szCs w:val="24"/>
        </w:rPr>
        <w:t xml:space="preserve">The statutory provisions </w:t>
      </w:r>
      <w:r w:rsidR="009C76B2" w:rsidRPr="00133783">
        <w:rPr>
          <w:sz w:val="24"/>
          <w:szCs w:val="24"/>
        </w:rPr>
        <w:t xml:space="preserve">of the Public Utility Code (Code) </w:t>
      </w:r>
      <w:r w:rsidRPr="00133783">
        <w:rPr>
          <w:sz w:val="24"/>
          <w:szCs w:val="24"/>
        </w:rPr>
        <w:t>addressing an owner</w:t>
      </w:r>
      <w:r w:rsidR="004021F2" w:rsidRPr="00133783">
        <w:rPr>
          <w:sz w:val="24"/>
          <w:szCs w:val="24"/>
        </w:rPr>
        <w:t>’</w:t>
      </w:r>
      <w:r w:rsidRPr="00133783">
        <w:rPr>
          <w:sz w:val="24"/>
          <w:szCs w:val="24"/>
        </w:rPr>
        <w:t xml:space="preserve">s duty concerning foreign load connected to a rental unit are set forth in Section 1529.1 of the Code, 66 Pa.C.S. § 1529.1, and state as follows:  </w:t>
      </w:r>
    </w:p>
    <w:p w14:paraId="7B25C792" w14:textId="77777777" w:rsidR="005771D1" w:rsidRPr="00133783" w:rsidRDefault="005771D1" w:rsidP="005771D1">
      <w:pPr>
        <w:ind w:firstLine="1440"/>
        <w:rPr>
          <w:sz w:val="24"/>
          <w:szCs w:val="24"/>
        </w:rPr>
      </w:pPr>
    </w:p>
    <w:p w14:paraId="73661E44" w14:textId="77777777" w:rsidR="005771D1" w:rsidRPr="00133783" w:rsidRDefault="005771D1" w:rsidP="005771D1">
      <w:pPr>
        <w:adjustRightInd w:val="0"/>
        <w:ind w:left="1440" w:right="1440"/>
        <w:rPr>
          <w:b/>
          <w:bCs/>
          <w:color w:val="000000"/>
          <w:sz w:val="24"/>
          <w:szCs w:val="24"/>
        </w:rPr>
      </w:pPr>
      <w:r w:rsidRPr="00133783">
        <w:rPr>
          <w:b/>
          <w:bCs/>
          <w:color w:val="000000"/>
          <w:sz w:val="24"/>
          <w:szCs w:val="24"/>
        </w:rPr>
        <w:t>§ 1529.1.  Duty of owners of rental property.</w:t>
      </w:r>
    </w:p>
    <w:p w14:paraId="2FA4006E" w14:textId="77777777" w:rsidR="005771D1" w:rsidRPr="00133783" w:rsidRDefault="005771D1" w:rsidP="00BF7FC3">
      <w:pPr>
        <w:adjustRightInd w:val="0"/>
        <w:spacing w:line="240" w:lineRule="auto"/>
        <w:ind w:left="1440" w:right="1440"/>
        <w:rPr>
          <w:b/>
          <w:bCs/>
          <w:color w:val="000000"/>
          <w:sz w:val="24"/>
          <w:szCs w:val="24"/>
        </w:rPr>
      </w:pPr>
    </w:p>
    <w:p w14:paraId="41B13AD3" w14:textId="77777777" w:rsidR="005771D1" w:rsidRPr="00133783" w:rsidRDefault="005771D1" w:rsidP="00BF7FC3">
      <w:pPr>
        <w:adjustRightInd w:val="0"/>
        <w:spacing w:line="240" w:lineRule="auto"/>
        <w:ind w:left="1440" w:right="1440" w:firstLine="720"/>
        <w:rPr>
          <w:color w:val="000000"/>
          <w:sz w:val="24"/>
          <w:szCs w:val="24"/>
        </w:rPr>
      </w:pPr>
      <w:r w:rsidRPr="00133783">
        <w:rPr>
          <w:b/>
          <w:bCs/>
          <w:color w:val="000000"/>
          <w:sz w:val="24"/>
          <w:szCs w:val="24"/>
        </w:rPr>
        <w:t>(a)  Notice to public utility.—</w:t>
      </w:r>
      <w:r w:rsidRPr="00133783">
        <w:rPr>
          <w:color w:val="000000"/>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14:paraId="472A99B4" w14:textId="77777777" w:rsidR="005771D1" w:rsidRPr="00133783" w:rsidRDefault="005771D1" w:rsidP="00BF7FC3">
      <w:pPr>
        <w:adjustRightInd w:val="0"/>
        <w:spacing w:line="240" w:lineRule="auto"/>
        <w:ind w:left="1440" w:right="1440"/>
        <w:rPr>
          <w:b/>
          <w:bCs/>
          <w:color w:val="000000"/>
          <w:sz w:val="24"/>
          <w:szCs w:val="24"/>
        </w:rPr>
      </w:pPr>
    </w:p>
    <w:p w14:paraId="48575B31" w14:textId="3552D7E8" w:rsidR="005771D1" w:rsidRPr="00133783" w:rsidRDefault="005771D1" w:rsidP="00BF7FC3">
      <w:pPr>
        <w:spacing w:line="240" w:lineRule="auto"/>
        <w:ind w:left="1440" w:right="1440" w:firstLine="720"/>
        <w:rPr>
          <w:color w:val="000000"/>
          <w:sz w:val="24"/>
          <w:szCs w:val="24"/>
        </w:rPr>
      </w:pPr>
      <w:r w:rsidRPr="00133783">
        <w:rPr>
          <w:b/>
          <w:bCs/>
          <w:color w:val="000000"/>
          <w:sz w:val="24"/>
          <w:szCs w:val="24"/>
        </w:rPr>
        <w:t>(b)  History of account.—</w:t>
      </w:r>
      <w:r w:rsidRPr="00133783">
        <w:rPr>
          <w:color w:val="000000"/>
          <w:sz w:val="24"/>
          <w:szCs w:val="24"/>
        </w:rPr>
        <w:t xml:space="preserve">Upon receipt of the notice provided in this section, </w:t>
      </w:r>
      <w:r w:rsidR="00BD510A" w:rsidRPr="00133783">
        <w:rPr>
          <w:color w:val="000000"/>
          <w:sz w:val="24"/>
          <w:szCs w:val="24"/>
        </w:rPr>
        <w:t>if the . . .</w:t>
      </w:r>
      <w:r w:rsidRPr="00133783">
        <w:rPr>
          <w:color w:val="000000"/>
          <w:sz w:val="24"/>
          <w:szCs w:val="24"/>
        </w:rPr>
        <w:t xml:space="preserve"> residential building contains one or more dwelling </w:t>
      </w:r>
      <w:bookmarkStart w:id="4" w:name="SDU_2"/>
      <w:bookmarkEnd w:id="4"/>
      <w:r w:rsidRPr="00133783">
        <w:rPr>
          <w:color w:val="000000"/>
          <w:sz w:val="24"/>
          <w:szCs w:val="24"/>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14:paraId="5A52479B" w14:textId="77777777" w:rsidR="005771D1" w:rsidRPr="00133783" w:rsidRDefault="005771D1" w:rsidP="00BF7FC3">
      <w:pPr>
        <w:tabs>
          <w:tab w:val="left" w:pos="3300"/>
        </w:tabs>
        <w:spacing w:line="240" w:lineRule="auto"/>
        <w:ind w:left="1440" w:right="1440"/>
        <w:rPr>
          <w:b/>
          <w:bCs/>
          <w:color w:val="000000"/>
          <w:sz w:val="24"/>
          <w:szCs w:val="24"/>
        </w:rPr>
      </w:pPr>
      <w:r w:rsidRPr="00133783">
        <w:rPr>
          <w:b/>
          <w:bCs/>
          <w:color w:val="000000"/>
          <w:sz w:val="24"/>
          <w:szCs w:val="24"/>
        </w:rPr>
        <w:tab/>
      </w:r>
    </w:p>
    <w:p w14:paraId="2191F93A" w14:textId="77777777" w:rsidR="005771D1" w:rsidRPr="00133783" w:rsidRDefault="005771D1" w:rsidP="00BF7FC3">
      <w:pPr>
        <w:spacing w:line="240" w:lineRule="auto"/>
        <w:ind w:left="1440" w:right="1440" w:firstLine="720"/>
        <w:rPr>
          <w:color w:val="000000"/>
          <w:sz w:val="24"/>
          <w:szCs w:val="24"/>
        </w:rPr>
      </w:pPr>
      <w:r w:rsidRPr="00133783">
        <w:rPr>
          <w:b/>
          <w:bCs/>
          <w:color w:val="000000"/>
          <w:sz w:val="24"/>
          <w:szCs w:val="24"/>
        </w:rPr>
        <w:t>(c)  Failure to give notice.—</w:t>
      </w:r>
      <w:r w:rsidRPr="00133783">
        <w:rPr>
          <w:color w:val="000000"/>
          <w:sz w:val="24"/>
          <w:szCs w:val="24"/>
        </w:rPr>
        <w:t>Any owner of a residential building or mobile home park failing to notify affected public utilities as required by this section shall nonetheless be responsible for payment of the utility services as if the required notice had been given.</w:t>
      </w:r>
    </w:p>
    <w:p w14:paraId="7812D978" w14:textId="77777777" w:rsidR="005771D1" w:rsidRPr="00133783" w:rsidRDefault="005771D1" w:rsidP="005771D1">
      <w:pPr>
        <w:ind w:left="1440" w:right="1440" w:firstLine="720"/>
        <w:rPr>
          <w:rFonts w:eastAsia="Calibri"/>
          <w:sz w:val="24"/>
          <w:szCs w:val="24"/>
        </w:rPr>
      </w:pPr>
    </w:p>
    <w:p w14:paraId="53F69C71" w14:textId="14263526" w:rsidR="00863AFF" w:rsidRDefault="005771D1" w:rsidP="009D4F59">
      <w:pPr>
        <w:rPr>
          <w:sz w:val="24"/>
          <w:szCs w:val="24"/>
        </w:rPr>
      </w:pPr>
      <w:r w:rsidRPr="00133783">
        <w:rPr>
          <w:sz w:val="24"/>
          <w:szCs w:val="24"/>
        </w:rPr>
        <w:t xml:space="preserve">“This statutory provision provides that the owner of a rental property is responsible for the payment of all utility services provided to the property when the usage of several tenants is recorded on one meter, regardless of whether or not the owner has notified the utility providing </w:t>
      </w:r>
      <w:r w:rsidRPr="00133783">
        <w:rPr>
          <w:sz w:val="24"/>
          <w:szCs w:val="24"/>
        </w:rPr>
        <w:lastRenderedPageBreak/>
        <w:t xml:space="preserve">the service.”  </w:t>
      </w:r>
      <w:r w:rsidRPr="00133783">
        <w:rPr>
          <w:i/>
          <w:sz w:val="24"/>
          <w:szCs w:val="24"/>
        </w:rPr>
        <w:t>George Kopf, Jr. v. PECO Energy Company,</w:t>
      </w:r>
      <w:r w:rsidRPr="00133783">
        <w:rPr>
          <w:sz w:val="24"/>
          <w:szCs w:val="24"/>
        </w:rPr>
        <w:t xml:space="preserve"> Docket No. C-2012-2332992 (Opinion and Order entered June 13, 2013).</w:t>
      </w:r>
    </w:p>
    <w:p w14:paraId="18D1BC3D" w14:textId="77777777" w:rsidR="00022B72" w:rsidRPr="00133783" w:rsidRDefault="00022B72" w:rsidP="009D4F59">
      <w:pPr>
        <w:rPr>
          <w:sz w:val="24"/>
          <w:szCs w:val="24"/>
        </w:rPr>
      </w:pPr>
    </w:p>
    <w:p w14:paraId="40E363E4" w14:textId="3390C587" w:rsidR="006D098E" w:rsidRPr="00133783" w:rsidRDefault="00582581" w:rsidP="009D4F59">
      <w:pPr>
        <w:rPr>
          <w:sz w:val="24"/>
          <w:szCs w:val="24"/>
          <w:u w:val="single"/>
        </w:rPr>
      </w:pPr>
      <w:r w:rsidRPr="00133783">
        <w:rPr>
          <w:sz w:val="24"/>
          <w:szCs w:val="24"/>
          <w:u w:val="single"/>
        </w:rPr>
        <w:t>Analysis</w:t>
      </w:r>
    </w:p>
    <w:p w14:paraId="41EA8719" w14:textId="77777777" w:rsidR="00863AFF" w:rsidRPr="00133783" w:rsidRDefault="00863AFF" w:rsidP="00ED0037">
      <w:pPr>
        <w:widowControl w:val="0"/>
        <w:rPr>
          <w:sz w:val="24"/>
          <w:szCs w:val="24"/>
        </w:rPr>
      </w:pPr>
    </w:p>
    <w:p w14:paraId="11D240FE" w14:textId="36DC7112" w:rsidR="00D90A7C" w:rsidRPr="00133783" w:rsidRDefault="00F94345" w:rsidP="00ED0037">
      <w:pPr>
        <w:widowControl w:val="0"/>
        <w:rPr>
          <w:sz w:val="24"/>
          <w:szCs w:val="24"/>
        </w:rPr>
      </w:pPr>
      <w:r w:rsidRPr="00133783">
        <w:rPr>
          <w:sz w:val="24"/>
          <w:szCs w:val="24"/>
        </w:rPr>
        <w:tab/>
      </w:r>
      <w:r w:rsidRPr="00133783">
        <w:rPr>
          <w:sz w:val="24"/>
          <w:szCs w:val="24"/>
        </w:rPr>
        <w:tab/>
      </w:r>
      <w:r w:rsidR="00441341" w:rsidRPr="00133783">
        <w:rPr>
          <w:sz w:val="24"/>
          <w:szCs w:val="24"/>
        </w:rPr>
        <w:t xml:space="preserve">In the present case, Ms. </w:t>
      </w:r>
      <w:r w:rsidR="00F828B3" w:rsidRPr="00133783">
        <w:rPr>
          <w:sz w:val="24"/>
          <w:szCs w:val="24"/>
        </w:rPr>
        <w:t>Cigrand</w:t>
      </w:r>
      <w:r w:rsidR="00D90A7C" w:rsidRPr="00133783">
        <w:rPr>
          <w:sz w:val="24"/>
          <w:szCs w:val="24"/>
        </w:rPr>
        <w:t xml:space="preserve"> allege</w:t>
      </w:r>
      <w:r w:rsidR="00AD4EA6" w:rsidRPr="00133783">
        <w:rPr>
          <w:sz w:val="24"/>
          <w:szCs w:val="24"/>
        </w:rPr>
        <w:t>s</w:t>
      </w:r>
      <w:r w:rsidR="00D90A7C" w:rsidRPr="00133783">
        <w:rPr>
          <w:sz w:val="24"/>
          <w:szCs w:val="24"/>
        </w:rPr>
        <w:t xml:space="preserve"> there </w:t>
      </w:r>
      <w:r w:rsidR="00AD4EA6" w:rsidRPr="00133783">
        <w:rPr>
          <w:sz w:val="24"/>
          <w:szCs w:val="24"/>
        </w:rPr>
        <w:t>are</w:t>
      </w:r>
      <w:r w:rsidR="00D90A7C" w:rsidRPr="00133783">
        <w:rPr>
          <w:sz w:val="24"/>
          <w:szCs w:val="24"/>
        </w:rPr>
        <w:t xml:space="preserve"> incorrect charges on her bill, resulting from Duquesne Light placing her two tenants’ bills in her name.  One bill </w:t>
      </w:r>
      <w:r w:rsidR="00466570" w:rsidRPr="00133783">
        <w:rPr>
          <w:sz w:val="24"/>
          <w:szCs w:val="24"/>
        </w:rPr>
        <w:t>is for $</w:t>
      </w:r>
      <w:r w:rsidR="00D90A7C" w:rsidRPr="00133783">
        <w:rPr>
          <w:sz w:val="24"/>
          <w:szCs w:val="24"/>
        </w:rPr>
        <w:t>7</w:t>
      </w:r>
      <w:r w:rsidR="00FD0E50" w:rsidRPr="00133783">
        <w:rPr>
          <w:sz w:val="24"/>
          <w:szCs w:val="24"/>
        </w:rPr>
        <w:t>,</w:t>
      </w:r>
      <w:r w:rsidR="00D90A7C" w:rsidRPr="00133783">
        <w:rPr>
          <w:sz w:val="24"/>
          <w:szCs w:val="24"/>
        </w:rPr>
        <w:t xml:space="preserve">489.35, and the other bill </w:t>
      </w:r>
      <w:r w:rsidR="00A16A85" w:rsidRPr="00133783">
        <w:rPr>
          <w:sz w:val="24"/>
          <w:szCs w:val="24"/>
        </w:rPr>
        <w:t>totals</w:t>
      </w:r>
      <w:r w:rsidR="00D90A7C" w:rsidRPr="00133783">
        <w:rPr>
          <w:sz w:val="24"/>
          <w:szCs w:val="24"/>
        </w:rPr>
        <w:t xml:space="preserve"> $392.56.  </w:t>
      </w:r>
      <w:r w:rsidR="00C36FCA" w:rsidRPr="00133783">
        <w:rPr>
          <w:sz w:val="24"/>
          <w:szCs w:val="24"/>
        </w:rPr>
        <w:t xml:space="preserve">Ms. Cigrand maintains </w:t>
      </w:r>
      <w:r w:rsidR="00D90A7C" w:rsidRPr="00133783">
        <w:rPr>
          <w:sz w:val="24"/>
          <w:szCs w:val="24"/>
        </w:rPr>
        <w:t xml:space="preserve">Duquesne Light never notified her of any electric utility issue at her duplex until April 2021, when she received a bill that was sent to an address where she had not lived at for five years.  </w:t>
      </w:r>
      <w:r w:rsidR="00640D61" w:rsidRPr="00133783">
        <w:rPr>
          <w:sz w:val="24"/>
          <w:szCs w:val="24"/>
        </w:rPr>
        <w:t>Her Complaint also ra</w:t>
      </w:r>
      <w:r w:rsidR="00E31FFB" w:rsidRPr="00133783">
        <w:rPr>
          <w:sz w:val="24"/>
          <w:szCs w:val="24"/>
        </w:rPr>
        <w:t xml:space="preserve">ises a customer service issue because </w:t>
      </w:r>
      <w:r w:rsidR="00D90A7C" w:rsidRPr="00133783">
        <w:rPr>
          <w:sz w:val="24"/>
          <w:szCs w:val="24"/>
        </w:rPr>
        <w:t>Ms. Cigrand allege</w:t>
      </w:r>
      <w:r w:rsidR="00E31FFB" w:rsidRPr="00133783">
        <w:rPr>
          <w:sz w:val="24"/>
          <w:szCs w:val="24"/>
        </w:rPr>
        <w:t xml:space="preserve">s </w:t>
      </w:r>
      <w:r w:rsidR="00D90A7C" w:rsidRPr="00133783">
        <w:rPr>
          <w:sz w:val="24"/>
          <w:szCs w:val="24"/>
        </w:rPr>
        <w:t xml:space="preserve">no one </w:t>
      </w:r>
      <w:r w:rsidR="00837308" w:rsidRPr="00133783">
        <w:rPr>
          <w:sz w:val="24"/>
          <w:szCs w:val="24"/>
        </w:rPr>
        <w:t xml:space="preserve">at Duquesne Light </w:t>
      </w:r>
      <w:r w:rsidR="00D90A7C" w:rsidRPr="00133783">
        <w:rPr>
          <w:sz w:val="24"/>
          <w:szCs w:val="24"/>
        </w:rPr>
        <w:t xml:space="preserve">could explain why the bill was so high for one month. </w:t>
      </w:r>
      <w:r w:rsidR="00A40616" w:rsidRPr="00133783">
        <w:rPr>
          <w:sz w:val="24"/>
          <w:szCs w:val="24"/>
        </w:rPr>
        <w:t xml:space="preserve"> </w:t>
      </w:r>
      <w:r w:rsidR="00FB5D79" w:rsidRPr="00133783">
        <w:rPr>
          <w:sz w:val="24"/>
          <w:szCs w:val="24"/>
        </w:rPr>
        <w:t>According to Ms. Cigrand, s</w:t>
      </w:r>
      <w:r w:rsidR="00D90A7C" w:rsidRPr="00133783">
        <w:rPr>
          <w:sz w:val="24"/>
          <w:szCs w:val="24"/>
        </w:rPr>
        <w:t xml:space="preserve">he was told a supervisor would call her about the bill; however, a supervisor never called her back. </w:t>
      </w:r>
    </w:p>
    <w:p w14:paraId="47222273" w14:textId="4A141402" w:rsidR="00D90A7C" w:rsidRPr="00133783" w:rsidRDefault="00D90A7C" w:rsidP="00441341">
      <w:pPr>
        <w:ind w:left="720" w:firstLine="720"/>
        <w:rPr>
          <w:sz w:val="24"/>
          <w:szCs w:val="24"/>
        </w:rPr>
      </w:pPr>
    </w:p>
    <w:p w14:paraId="56C655B1" w14:textId="33232265" w:rsidR="00D90A7C" w:rsidRPr="00133783" w:rsidRDefault="001A30A4" w:rsidP="00E036AE">
      <w:pPr>
        <w:ind w:firstLine="1440"/>
        <w:rPr>
          <w:sz w:val="24"/>
          <w:szCs w:val="24"/>
        </w:rPr>
      </w:pPr>
      <w:r w:rsidRPr="00133783">
        <w:rPr>
          <w:sz w:val="24"/>
          <w:szCs w:val="24"/>
        </w:rPr>
        <w:t>Duquesne Light contends it is entitled to judgment on the pleadings</w:t>
      </w:r>
      <w:r w:rsidR="003A7503" w:rsidRPr="00133783">
        <w:rPr>
          <w:sz w:val="24"/>
          <w:szCs w:val="24"/>
        </w:rPr>
        <w:t xml:space="preserve"> </w:t>
      </w:r>
      <w:r w:rsidR="00B6434C" w:rsidRPr="00133783">
        <w:rPr>
          <w:sz w:val="24"/>
          <w:szCs w:val="24"/>
        </w:rPr>
        <w:t>based upon the averments set forth in</w:t>
      </w:r>
      <w:r w:rsidR="00CE632E" w:rsidRPr="00133783">
        <w:rPr>
          <w:sz w:val="24"/>
          <w:szCs w:val="24"/>
        </w:rPr>
        <w:t xml:space="preserve"> its New Matter as </w:t>
      </w:r>
      <w:r w:rsidR="003A7503" w:rsidRPr="00133783">
        <w:rPr>
          <w:sz w:val="24"/>
          <w:szCs w:val="24"/>
        </w:rPr>
        <w:t>follows:</w:t>
      </w:r>
    </w:p>
    <w:p w14:paraId="39B4C639" w14:textId="67253D6A" w:rsidR="003A7503" w:rsidRPr="00133783" w:rsidRDefault="003A7503" w:rsidP="00441341">
      <w:pPr>
        <w:ind w:left="720" w:firstLine="720"/>
        <w:rPr>
          <w:sz w:val="24"/>
          <w:szCs w:val="24"/>
        </w:rPr>
      </w:pPr>
    </w:p>
    <w:p w14:paraId="5C6A23B2" w14:textId="11598A66" w:rsidR="00CD5191" w:rsidRPr="00133783" w:rsidRDefault="003A7503" w:rsidP="00863AFF">
      <w:pPr>
        <w:spacing w:line="240" w:lineRule="auto"/>
        <w:ind w:left="1440"/>
        <w:rPr>
          <w:sz w:val="24"/>
          <w:szCs w:val="24"/>
        </w:rPr>
      </w:pPr>
      <w:r w:rsidRPr="00133783">
        <w:rPr>
          <w:sz w:val="24"/>
          <w:szCs w:val="24"/>
        </w:rPr>
        <w:t>1)</w:t>
      </w:r>
      <w:r w:rsidRPr="00133783">
        <w:rPr>
          <w:sz w:val="24"/>
          <w:szCs w:val="24"/>
        </w:rPr>
        <w:tab/>
      </w:r>
      <w:r w:rsidR="00926A64" w:rsidRPr="00133783">
        <w:rPr>
          <w:sz w:val="24"/>
          <w:szCs w:val="24"/>
        </w:rPr>
        <w:t>Ms. Cigrand is the owner of the Property at 516 Cavitt Avenue, Trafford, PA 15085</w:t>
      </w:r>
      <w:r w:rsidR="000C5CAF" w:rsidRPr="00133783">
        <w:rPr>
          <w:sz w:val="24"/>
          <w:szCs w:val="24"/>
        </w:rPr>
        <w:t>, which consists of two rental units.</w:t>
      </w:r>
      <w:r w:rsidR="00100281" w:rsidRPr="00133783">
        <w:rPr>
          <w:sz w:val="24"/>
          <w:szCs w:val="24"/>
        </w:rPr>
        <w:t xml:space="preserve">  </w:t>
      </w:r>
      <w:r w:rsidR="00100281" w:rsidRPr="00133783">
        <w:rPr>
          <w:rFonts w:eastAsia="Calibri"/>
          <w:sz w:val="24"/>
          <w:szCs w:val="24"/>
        </w:rPr>
        <w:t>New Matter ¶ 1</w:t>
      </w:r>
      <w:r w:rsidR="005E4CBE" w:rsidRPr="00133783">
        <w:rPr>
          <w:rFonts w:eastAsia="Calibri"/>
          <w:sz w:val="24"/>
          <w:szCs w:val="24"/>
        </w:rPr>
        <w:t>3</w:t>
      </w:r>
      <w:r w:rsidR="00100281" w:rsidRPr="00133783">
        <w:rPr>
          <w:rFonts w:eastAsia="Calibri"/>
          <w:sz w:val="24"/>
          <w:szCs w:val="24"/>
        </w:rPr>
        <w:t>.</w:t>
      </w:r>
    </w:p>
    <w:p w14:paraId="7DCB5759" w14:textId="7CE2FF65" w:rsidR="009030E9" w:rsidRPr="00133783" w:rsidRDefault="009030E9" w:rsidP="00863AFF">
      <w:pPr>
        <w:spacing w:line="240" w:lineRule="auto"/>
        <w:ind w:left="720" w:firstLine="720"/>
        <w:rPr>
          <w:sz w:val="24"/>
          <w:szCs w:val="24"/>
        </w:rPr>
      </w:pPr>
    </w:p>
    <w:p w14:paraId="2B6CAE85" w14:textId="6598691F" w:rsidR="009030E9" w:rsidRPr="00133783" w:rsidRDefault="009030E9" w:rsidP="00863AFF">
      <w:pPr>
        <w:autoSpaceDE w:val="0"/>
        <w:autoSpaceDN w:val="0"/>
        <w:adjustRightInd w:val="0"/>
        <w:spacing w:line="240" w:lineRule="auto"/>
        <w:ind w:left="1440"/>
        <w:rPr>
          <w:sz w:val="24"/>
          <w:szCs w:val="24"/>
        </w:rPr>
      </w:pPr>
      <w:r w:rsidRPr="00133783">
        <w:rPr>
          <w:sz w:val="24"/>
          <w:szCs w:val="24"/>
        </w:rPr>
        <w:t>2)</w:t>
      </w:r>
      <w:r w:rsidRPr="00133783">
        <w:rPr>
          <w:sz w:val="24"/>
          <w:szCs w:val="24"/>
        </w:rPr>
        <w:tab/>
      </w:r>
      <w:r w:rsidRPr="00133783">
        <w:rPr>
          <w:rFonts w:eastAsia="Calibri"/>
          <w:sz w:val="24"/>
          <w:szCs w:val="24"/>
        </w:rPr>
        <w:t>“Foreign load” refers to billing a tenant for electric service not related to that</w:t>
      </w:r>
      <w:r w:rsidR="00604F5D" w:rsidRPr="00133783">
        <w:rPr>
          <w:rFonts w:eastAsia="Calibri"/>
          <w:sz w:val="24"/>
          <w:szCs w:val="24"/>
        </w:rPr>
        <w:t xml:space="preserve"> </w:t>
      </w:r>
      <w:r w:rsidRPr="00133783">
        <w:rPr>
          <w:rFonts w:eastAsia="Calibri"/>
          <w:sz w:val="24"/>
          <w:szCs w:val="24"/>
        </w:rPr>
        <w:t xml:space="preserve">tenant. </w:t>
      </w:r>
      <w:r w:rsidRPr="00133783">
        <w:rPr>
          <w:rFonts w:eastAsia="Calibri"/>
          <w:i/>
          <w:iCs/>
          <w:sz w:val="24"/>
          <w:szCs w:val="24"/>
        </w:rPr>
        <w:t>Santos v. Metropolitan Edison Co.,</w:t>
      </w:r>
      <w:r w:rsidRPr="00133783">
        <w:rPr>
          <w:rFonts w:eastAsia="Calibri"/>
          <w:sz w:val="24"/>
          <w:szCs w:val="24"/>
        </w:rPr>
        <w:t xml:space="preserve"> Docket No. C-00967757 (Aug. 7, 1997). </w:t>
      </w:r>
      <w:r w:rsidR="00693148" w:rsidRPr="00133783">
        <w:rPr>
          <w:rFonts w:eastAsia="Calibri"/>
          <w:sz w:val="24"/>
          <w:szCs w:val="24"/>
        </w:rPr>
        <w:t xml:space="preserve"> </w:t>
      </w:r>
      <w:bookmarkStart w:id="7" w:name="_Hlk92704349"/>
      <w:r w:rsidRPr="00133783">
        <w:rPr>
          <w:rFonts w:eastAsia="Calibri"/>
          <w:sz w:val="24"/>
          <w:szCs w:val="24"/>
        </w:rPr>
        <w:t>Foreign</w:t>
      </w:r>
      <w:r w:rsidR="00F82DE1" w:rsidRPr="00133783">
        <w:rPr>
          <w:rFonts w:eastAsia="Calibri"/>
          <w:sz w:val="24"/>
          <w:szCs w:val="24"/>
        </w:rPr>
        <w:t xml:space="preserve"> </w:t>
      </w:r>
      <w:r w:rsidRPr="00133783">
        <w:rPr>
          <w:rFonts w:eastAsia="Calibri"/>
          <w:sz w:val="24"/>
          <w:szCs w:val="24"/>
        </w:rPr>
        <w:t>load exists when a tenant’s meter registers usage load from electric usage outside of that tenant’s</w:t>
      </w:r>
      <w:r w:rsidR="00664741" w:rsidRPr="00133783">
        <w:rPr>
          <w:rFonts w:eastAsia="Calibri"/>
          <w:sz w:val="24"/>
          <w:szCs w:val="24"/>
        </w:rPr>
        <w:t xml:space="preserve"> </w:t>
      </w:r>
      <w:r w:rsidRPr="00133783">
        <w:rPr>
          <w:rFonts w:eastAsia="Calibri"/>
          <w:sz w:val="24"/>
          <w:szCs w:val="24"/>
        </w:rPr>
        <w:t>dwelling, such as hallway lighting or communal laundry room appliances.</w:t>
      </w:r>
      <w:r w:rsidRPr="00133783">
        <w:rPr>
          <w:rFonts w:eastAsia="Calibri"/>
          <w:i/>
          <w:iCs/>
          <w:sz w:val="24"/>
          <w:szCs w:val="24"/>
        </w:rPr>
        <w:t xml:space="preserve"> Kopf v. PECO</w:t>
      </w:r>
      <w:r w:rsidR="00664741" w:rsidRPr="00133783">
        <w:rPr>
          <w:rFonts w:eastAsia="Calibri"/>
          <w:i/>
          <w:iCs/>
          <w:sz w:val="24"/>
          <w:szCs w:val="24"/>
        </w:rPr>
        <w:t xml:space="preserve"> </w:t>
      </w:r>
      <w:r w:rsidRPr="00133783">
        <w:rPr>
          <w:rFonts w:eastAsia="Calibri"/>
          <w:i/>
          <w:iCs/>
          <w:sz w:val="24"/>
          <w:szCs w:val="24"/>
        </w:rPr>
        <w:t xml:space="preserve">Energy Co., </w:t>
      </w:r>
      <w:r w:rsidRPr="00133783">
        <w:rPr>
          <w:rFonts w:eastAsia="Calibri"/>
          <w:sz w:val="24"/>
          <w:szCs w:val="24"/>
        </w:rPr>
        <w:t>Docket No. C-2012-2332993, 2013 WL 3070745, (June 13, 2013).</w:t>
      </w:r>
      <w:r w:rsidR="006A5B8B" w:rsidRPr="00133783">
        <w:rPr>
          <w:rFonts w:eastAsia="Calibri"/>
          <w:sz w:val="24"/>
          <w:szCs w:val="24"/>
        </w:rPr>
        <w:t xml:space="preserve">  </w:t>
      </w:r>
      <w:bookmarkStart w:id="8" w:name="_Hlk92717984"/>
      <w:r w:rsidR="006A5B8B" w:rsidRPr="00133783">
        <w:rPr>
          <w:rFonts w:eastAsia="Calibri"/>
          <w:sz w:val="24"/>
          <w:szCs w:val="24"/>
        </w:rPr>
        <w:t>New Matter ¶</w:t>
      </w:r>
      <w:bookmarkEnd w:id="8"/>
      <w:r w:rsidR="006A5B8B" w:rsidRPr="00133783">
        <w:rPr>
          <w:rFonts w:eastAsia="Calibri"/>
          <w:sz w:val="24"/>
          <w:szCs w:val="24"/>
        </w:rPr>
        <w:t xml:space="preserve"> </w:t>
      </w:r>
      <w:r w:rsidR="00100281" w:rsidRPr="00133783">
        <w:rPr>
          <w:rFonts w:eastAsia="Calibri"/>
          <w:sz w:val="24"/>
          <w:szCs w:val="24"/>
        </w:rPr>
        <w:t>12.</w:t>
      </w:r>
    </w:p>
    <w:p w14:paraId="0126FAA2" w14:textId="4F69BCD1" w:rsidR="000C5CAF" w:rsidRPr="00133783" w:rsidRDefault="000C5CAF" w:rsidP="00863AFF">
      <w:pPr>
        <w:spacing w:line="240" w:lineRule="auto"/>
        <w:ind w:left="720" w:firstLine="720"/>
        <w:rPr>
          <w:sz w:val="24"/>
          <w:szCs w:val="24"/>
        </w:rPr>
      </w:pPr>
    </w:p>
    <w:bookmarkEnd w:id="7"/>
    <w:p w14:paraId="0BA0B680" w14:textId="5B7D3E1F" w:rsidR="00F1763E" w:rsidRPr="00133783" w:rsidRDefault="00FD5BFB" w:rsidP="00863AFF">
      <w:pPr>
        <w:spacing w:line="240" w:lineRule="auto"/>
        <w:ind w:left="1440"/>
        <w:rPr>
          <w:sz w:val="24"/>
          <w:szCs w:val="24"/>
        </w:rPr>
      </w:pPr>
      <w:r w:rsidRPr="00133783">
        <w:rPr>
          <w:sz w:val="24"/>
          <w:szCs w:val="24"/>
        </w:rPr>
        <w:t>3</w:t>
      </w:r>
      <w:r w:rsidR="000C5CAF" w:rsidRPr="00133783">
        <w:rPr>
          <w:sz w:val="24"/>
          <w:szCs w:val="24"/>
        </w:rPr>
        <w:t>)</w:t>
      </w:r>
      <w:r w:rsidR="000C5CAF" w:rsidRPr="00133783">
        <w:rPr>
          <w:sz w:val="24"/>
          <w:szCs w:val="24"/>
        </w:rPr>
        <w:tab/>
      </w:r>
      <w:r w:rsidR="003A7503" w:rsidRPr="00133783">
        <w:rPr>
          <w:sz w:val="24"/>
          <w:szCs w:val="24"/>
        </w:rPr>
        <w:t>On or about March 31, 2021</w:t>
      </w:r>
      <w:r w:rsidR="000C5CAF" w:rsidRPr="00133783">
        <w:rPr>
          <w:sz w:val="24"/>
          <w:szCs w:val="24"/>
        </w:rPr>
        <w:t xml:space="preserve">, </w:t>
      </w:r>
      <w:r w:rsidR="00081AF4" w:rsidRPr="00133783">
        <w:rPr>
          <w:sz w:val="24"/>
          <w:szCs w:val="24"/>
        </w:rPr>
        <w:t xml:space="preserve">Duquesne Light discovered a foreign load registering on </w:t>
      </w:r>
      <w:r w:rsidR="00F1763E" w:rsidRPr="00133783">
        <w:rPr>
          <w:sz w:val="24"/>
          <w:szCs w:val="24"/>
        </w:rPr>
        <w:t xml:space="preserve">the electric </w:t>
      </w:r>
      <w:r w:rsidR="00081AF4" w:rsidRPr="00133783">
        <w:rPr>
          <w:sz w:val="24"/>
          <w:szCs w:val="24"/>
        </w:rPr>
        <w:t>meters connected t</w:t>
      </w:r>
      <w:r w:rsidR="005F75F4" w:rsidRPr="00133783">
        <w:rPr>
          <w:sz w:val="24"/>
          <w:szCs w:val="24"/>
        </w:rPr>
        <w:t>o</w:t>
      </w:r>
      <w:r w:rsidR="00081AF4" w:rsidRPr="00133783">
        <w:rPr>
          <w:sz w:val="24"/>
          <w:szCs w:val="24"/>
        </w:rPr>
        <w:t xml:space="preserve"> the two rental units.</w:t>
      </w:r>
      <w:r w:rsidR="005E4CBE" w:rsidRPr="00133783">
        <w:rPr>
          <w:sz w:val="24"/>
          <w:szCs w:val="24"/>
        </w:rPr>
        <w:t xml:space="preserve">  </w:t>
      </w:r>
      <w:r w:rsidR="005E4CBE" w:rsidRPr="00133783">
        <w:rPr>
          <w:rFonts w:eastAsia="Calibri"/>
          <w:sz w:val="24"/>
          <w:szCs w:val="24"/>
        </w:rPr>
        <w:t>New Matter ¶ 14.</w:t>
      </w:r>
    </w:p>
    <w:p w14:paraId="4FE12F0D" w14:textId="0CD6E8A2" w:rsidR="001D1460" w:rsidRPr="00133783" w:rsidRDefault="001D1460" w:rsidP="00863AFF">
      <w:pPr>
        <w:spacing w:line="240" w:lineRule="auto"/>
        <w:ind w:left="720" w:firstLine="720"/>
        <w:rPr>
          <w:sz w:val="24"/>
          <w:szCs w:val="24"/>
        </w:rPr>
      </w:pPr>
    </w:p>
    <w:p w14:paraId="2BA73956" w14:textId="3DC9A16A" w:rsidR="001D1460" w:rsidRPr="00133783" w:rsidRDefault="00FD5BFB" w:rsidP="00863AFF">
      <w:pPr>
        <w:autoSpaceDE w:val="0"/>
        <w:autoSpaceDN w:val="0"/>
        <w:adjustRightInd w:val="0"/>
        <w:spacing w:line="240" w:lineRule="auto"/>
        <w:ind w:left="1440"/>
        <w:rPr>
          <w:sz w:val="24"/>
          <w:szCs w:val="24"/>
        </w:rPr>
      </w:pPr>
      <w:r w:rsidRPr="00133783">
        <w:rPr>
          <w:sz w:val="24"/>
          <w:szCs w:val="24"/>
        </w:rPr>
        <w:t>4</w:t>
      </w:r>
      <w:r w:rsidR="001D1460" w:rsidRPr="00133783">
        <w:rPr>
          <w:sz w:val="24"/>
          <w:szCs w:val="24"/>
        </w:rPr>
        <w:t>)</w:t>
      </w:r>
      <w:r w:rsidR="001D1460" w:rsidRPr="00133783">
        <w:rPr>
          <w:sz w:val="24"/>
          <w:szCs w:val="24"/>
        </w:rPr>
        <w:tab/>
      </w:r>
      <w:r w:rsidR="001700CF" w:rsidRPr="00133783">
        <w:rPr>
          <w:sz w:val="24"/>
          <w:szCs w:val="24"/>
        </w:rPr>
        <w:t>Under the Code</w:t>
      </w:r>
      <w:r w:rsidR="00071C15" w:rsidRPr="00133783">
        <w:rPr>
          <w:sz w:val="24"/>
          <w:szCs w:val="24"/>
        </w:rPr>
        <w:t xml:space="preserve">, </w:t>
      </w:r>
      <w:r w:rsidR="001D1460" w:rsidRPr="00133783">
        <w:rPr>
          <w:rFonts w:eastAsia="Calibri"/>
          <w:sz w:val="24"/>
          <w:szCs w:val="24"/>
        </w:rPr>
        <w:t>66</w:t>
      </w:r>
      <w:r w:rsidR="008248E5" w:rsidRPr="00133783">
        <w:rPr>
          <w:rFonts w:eastAsia="Calibri"/>
          <w:sz w:val="24"/>
          <w:szCs w:val="24"/>
        </w:rPr>
        <w:t xml:space="preserve"> </w:t>
      </w:r>
      <w:r w:rsidR="001D1460" w:rsidRPr="00133783">
        <w:rPr>
          <w:rFonts w:eastAsia="Calibri"/>
          <w:sz w:val="24"/>
          <w:szCs w:val="24"/>
        </w:rPr>
        <w:t>Pa.C.S.A. § 1529.1(b)</w:t>
      </w:r>
      <w:r w:rsidR="008248E5" w:rsidRPr="00133783">
        <w:rPr>
          <w:rFonts w:eastAsia="Calibri"/>
          <w:sz w:val="24"/>
          <w:szCs w:val="24"/>
        </w:rPr>
        <w:t xml:space="preserve">, </w:t>
      </w:r>
      <w:r w:rsidR="00981136" w:rsidRPr="00133783">
        <w:rPr>
          <w:rFonts w:eastAsia="Calibri"/>
          <w:sz w:val="24"/>
          <w:szCs w:val="24"/>
        </w:rPr>
        <w:t>the owner of property that has a foreign load is responsible for the tenants’ electric account balances</w:t>
      </w:r>
      <w:r w:rsidR="00300F22" w:rsidRPr="00133783">
        <w:rPr>
          <w:rFonts w:eastAsia="Calibri"/>
          <w:sz w:val="24"/>
          <w:szCs w:val="24"/>
        </w:rPr>
        <w:t xml:space="preserve"> at the time the foreign load is discovered.</w:t>
      </w:r>
      <w:r w:rsidR="00AF2094" w:rsidRPr="00133783">
        <w:rPr>
          <w:rFonts w:eastAsia="Calibri"/>
          <w:sz w:val="24"/>
          <w:szCs w:val="24"/>
        </w:rPr>
        <w:t xml:space="preserve">  New Matter ¶ 1</w:t>
      </w:r>
      <w:r w:rsidR="00212C81" w:rsidRPr="00133783">
        <w:rPr>
          <w:rFonts w:eastAsia="Calibri"/>
          <w:sz w:val="24"/>
          <w:szCs w:val="24"/>
        </w:rPr>
        <w:t>6</w:t>
      </w:r>
      <w:r w:rsidR="00AF2094" w:rsidRPr="00133783">
        <w:rPr>
          <w:rFonts w:eastAsia="Calibri"/>
          <w:sz w:val="24"/>
          <w:szCs w:val="24"/>
        </w:rPr>
        <w:t>.</w:t>
      </w:r>
    </w:p>
    <w:p w14:paraId="45ADE97B" w14:textId="7DA26C34" w:rsidR="00F1763E" w:rsidRPr="00133783" w:rsidRDefault="00F1763E" w:rsidP="00863AFF">
      <w:pPr>
        <w:spacing w:line="240" w:lineRule="auto"/>
        <w:ind w:left="720" w:firstLine="720"/>
        <w:rPr>
          <w:sz w:val="24"/>
          <w:szCs w:val="24"/>
        </w:rPr>
      </w:pPr>
    </w:p>
    <w:p w14:paraId="780AA12F" w14:textId="1CFC2378" w:rsidR="000411C2" w:rsidRPr="00133783" w:rsidRDefault="000411C2" w:rsidP="00863AFF">
      <w:pPr>
        <w:autoSpaceDE w:val="0"/>
        <w:autoSpaceDN w:val="0"/>
        <w:adjustRightInd w:val="0"/>
        <w:spacing w:line="240" w:lineRule="auto"/>
        <w:ind w:left="720" w:firstLine="720"/>
        <w:rPr>
          <w:rFonts w:eastAsia="Calibri"/>
          <w:sz w:val="24"/>
          <w:szCs w:val="24"/>
        </w:rPr>
      </w:pPr>
      <w:r w:rsidRPr="00133783">
        <w:rPr>
          <w:sz w:val="24"/>
          <w:szCs w:val="24"/>
        </w:rPr>
        <w:t>5)</w:t>
      </w:r>
      <w:r w:rsidRPr="00133783">
        <w:rPr>
          <w:sz w:val="24"/>
          <w:szCs w:val="24"/>
        </w:rPr>
        <w:tab/>
        <w:t>P</w:t>
      </w:r>
      <w:r w:rsidRPr="00133783">
        <w:rPr>
          <w:rFonts w:eastAsia="Calibri"/>
          <w:sz w:val="24"/>
          <w:szCs w:val="24"/>
        </w:rPr>
        <w:t>ursuant to 66 Pa.C.S.A. § 1529.1(b), Duquesne Light transferred the</w:t>
      </w:r>
    </w:p>
    <w:p w14:paraId="5B1E096A" w14:textId="3CC47EA8" w:rsidR="00A84DFC" w:rsidRPr="00133783" w:rsidRDefault="000411C2" w:rsidP="00863AFF">
      <w:pPr>
        <w:spacing w:line="240" w:lineRule="auto"/>
        <w:ind w:left="720" w:firstLine="720"/>
        <w:rPr>
          <w:rFonts w:eastAsia="Calibri"/>
          <w:sz w:val="24"/>
          <w:szCs w:val="24"/>
        </w:rPr>
      </w:pPr>
      <w:r w:rsidRPr="00133783">
        <w:rPr>
          <w:rFonts w:eastAsia="Calibri"/>
          <w:sz w:val="24"/>
          <w:szCs w:val="24"/>
        </w:rPr>
        <w:t xml:space="preserve">affected tenants’ account balances that accrued at the Property to </w:t>
      </w:r>
      <w:r w:rsidR="00C62950" w:rsidRPr="00133783">
        <w:rPr>
          <w:rFonts w:eastAsia="Calibri"/>
          <w:sz w:val="24"/>
          <w:szCs w:val="24"/>
        </w:rPr>
        <w:t>Ms. Cigrand.</w:t>
      </w:r>
    </w:p>
    <w:p w14:paraId="32DD862F" w14:textId="0906B779" w:rsidR="00084826" w:rsidRPr="00133783" w:rsidRDefault="00534582" w:rsidP="00022B72">
      <w:pPr>
        <w:spacing w:line="240" w:lineRule="auto"/>
        <w:ind w:left="720" w:firstLine="720"/>
        <w:rPr>
          <w:rFonts w:eastAsia="Calibri"/>
          <w:sz w:val="24"/>
          <w:szCs w:val="24"/>
        </w:rPr>
      </w:pPr>
      <w:r w:rsidRPr="00133783">
        <w:rPr>
          <w:rFonts w:eastAsia="Calibri"/>
          <w:sz w:val="24"/>
          <w:szCs w:val="24"/>
        </w:rPr>
        <w:t>New Matter ¶ 15.</w:t>
      </w:r>
    </w:p>
    <w:p w14:paraId="57B413FE" w14:textId="61FBEC30" w:rsidR="00084826" w:rsidRPr="00133783" w:rsidRDefault="00084826" w:rsidP="00863AFF">
      <w:pPr>
        <w:autoSpaceDE w:val="0"/>
        <w:autoSpaceDN w:val="0"/>
        <w:adjustRightInd w:val="0"/>
        <w:spacing w:line="240" w:lineRule="auto"/>
        <w:ind w:left="1440"/>
        <w:rPr>
          <w:rFonts w:eastAsia="Calibri"/>
          <w:sz w:val="24"/>
          <w:szCs w:val="24"/>
        </w:rPr>
      </w:pPr>
      <w:r w:rsidRPr="00133783">
        <w:rPr>
          <w:rFonts w:eastAsia="Calibri"/>
          <w:sz w:val="24"/>
          <w:szCs w:val="24"/>
        </w:rPr>
        <w:lastRenderedPageBreak/>
        <w:t>6)</w:t>
      </w:r>
      <w:r w:rsidRPr="00133783">
        <w:rPr>
          <w:rFonts w:eastAsia="Calibri"/>
          <w:sz w:val="24"/>
          <w:szCs w:val="24"/>
        </w:rPr>
        <w:tab/>
      </w:r>
      <w:r w:rsidR="00161855" w:rsidRPr="00133783">
        <w:rPr>
          <w:rFonts w:eastAsia="Calibri"/>
          <w:sz w:val="24"/>
          <w:szCs w:val="24"/>
        </w:rPr>
        <w:t>The property owner remains responsible for the tenants’ arrearages associated</w:t>
      </w:r>
      <w:r w:rsidR="005A1A31" w:rsidRPr="00133783">
        <w:rPr>
          <w:rFonts w:eastAsia="Calibri"/>
          <w:sz w:val="24"/>
          <w:szCs w:val="24"/>
        </w:rPr>
        <w:t xml:space="preserve"> </w:t>
      </w:r>
      <w:r w:rsidR="00161855" w:rsidRPr="00133783">
        <w:rPr>
          <w:rFonts w:eastAsia="Calibri"/>
          <w:sz w:val="24"/>
          <w:szCs w:val="24"/>
        </w:rPr>
        <w:t xml:space="preserve">with the address where the foreign load was discovered. </w:t>
      </w:r>
      <w:bookmarkStart w:id="9" w:name="_Hlk92385450"/>
      <w:r w:rsidR="00161855" w:rsidRPr="00133783">
        <w:rPr>
          <w:rFonts w:eastAsia="Calibri"/>
          <w:i/>
          <w:iCs/>
          <w:sz w:val="24"/>
          <w:szCs w:val="24"/>
        </w:rPr>
        <w:t>McSorley</w:t>
      </w:r>
      <w:bookmarkEnd w:id="9"/>
      <w:r w:rsidR="00161855" w:rsidRPr="00133783">
        <w:rPr>
          <w:rFonts w:eastAsia="Calibri"/>
          <w:i/>
          <w:iCs/>
          <w:sz w:val="24"/>
          <w:szCs w:val="24"/>
        </w:rPr>
        <w:t xml:space="preserve"> v. PECO Energy Co.,</w:t>
      </w:r>
      <w:r w:rsidR="00161855" w:rsidRPr="00133783">
        <w:rPr>
          <w:rFonts w:eastAsia="Calibri"/>
          <w:sz w:val="24"/>
          <w:szCs w:val="24"/>
        </w:rPr>
        <w:t xml:space="preserve"> Docket</w:t>
      </w:r>
      <w:r w:rsidR="005A1A31" w:rsidRPr="00133783">
        <w:rPr>
          <w:rFonts w:eastAsia="Calibri"/>
          <w:sz w:val="24"/>
          <w:szCs w:val="24"/>
        </w:rPr>
        <w:t xml:space="preserve"> </w:t>
      </w:r>
      <w:r w:rsidR="00161855" w:rsidRPr="00133783">
        <w:rPr>
          <w:rFonts w:eastAsia="Calibri"/>
          <w:sz w:val="24"/>
          <w:szCs w:val="24"/>
        </w:rPr>
        <w:t>No. C-2016-2565864, (</w:t>
      </w:r>
      <w:r w:rsidR="005A1A31" w:rsidRPr="00133783">
        <w:rPr>
          <w:rFonts w:eastAsia="Calibri"/>
          <w:sz w:val="24"/>
          <w:szCs w:val="24"/>
        </w:rPr>
        <w:t>Opinion and Order entered</w:t>
      </w:r>
      <w:r w:rsidR="005D4F59" w:rsidRPr="00133783">
        <w:rPr>
          <w:rFonts w:eastAsia="Calibri"/>
          <w:sz w:val="24"/>
          <w:szCs w:val="24"/>
        </w:rPr>
        <w:t xml:space="preserve"> </w:t>
      </w:r>
      <w:r w:rsidR="00161855" w:rsidRPr="00133783">
        <w:rPr>
          <w:rFonts w:eastAsia="Calibri"/>
          <w:sz w:val="24"/>
          <w:szCs w:val="24"/>
        </w:rPr>
        <w:t>Oct</w:t>
      </w:r>
      <w:r w:rsidR="00E6601C" w:rsidRPr="00133783">
        <w:rPr>
          <w:rFonts w:eastAsia="Calibri"/>
          <w:sz w:val="24"/>
          <w:szCs w:val="24"/>
        </w:rPr>
        <w:t>ober</w:t>
      </w:r>
      <w:r w:rsidR="00161855" w:rsidRPr="00133783">
        <w:rPr>
          <w:rFonts w:eastAsia="Calibri"/>
          <w:sz w:val="24"/>
          <w:szCs w:val="24"/>
        </w:rPr>
        <w:t xml:space="preserve"> 5, 2017)</w:t>
      </w:r>
      <w:r w:rsidR="00194C60" w:rsidRPr="00133783">
        <w:rPr>
          <w:rFonts w:eastAsia="Calibri"/>
          <w:sz w:val="24"/>
          <w:szCs w:val="24"/>
        </w:rPr>
        <w:t xml:space="preserve"> </w:t>
      </w:r>
      <w:r w:rsidR="003F63F8" w:rsidRPr="00133783">
        <w:rPr>
          <w:rFonts w:eastAsia="Calibri"/>
          <w:sz w:val="24"/>
          <w:szCs w:val="24"/>
        </w:rPr>
        <w:t>(</w:t>
      </w:r>
      <w:r w:rsidR="003F63F8" w:rsidRPr="00133783">
        <w:rPr>
          <w:rFonts w:eastAsia="Calibri"/>
          <w:i/>
          <w:iCs/>
          <w:sz w:val="24"/>
          <w:szCs w:val="24"/>
        </w:rPr>
        <w:t>McSorley</w:t>
      </w:r>
      <w:r w:rsidR="003F63F8" w:rsidRPr="00133783">
        <w:rPr>
          <w:rFonts w:eastAsia="Calibri"/>
          <w:sz w:val="24"/>
          <w:szCs w:val="24"/>
        </w:rPr>
        <w:t>)</w:t>
      </w:r>
      <w:r w:rsidR="00161855" w:rsidRPr="00133783">
        <w:rPr>
          <w:rFonts w:eastAsia="Calibri"/>
          <w:sz w:val="24"/>
          <w:szCs w:val="24"/>
        </w:rPr>
        <w:t>.</w:t>
      </w:r>
      <w:r w:rsidR="00F80F2E" w:rsidRPr="00133783">
        <w:rPr>
          <w:rFonts w:eastAsia="Calibri"/>
          <w:sz w:val="24"/>
          <w:szCs w:val="24"/>
        </w:rPr>
        <w:t xml:space="preserve">  New Matter ¶ 18.</w:t>
      </w:r>
    </w:p>
    <w:p w14:paraId="3002ED84" w14:textId="7B5EA7FB" w:rsidR="00250855" w:rsidRPr="00133783" w:rsidRDefault="00250855" w:rsidP="00664741">
      <w:pPr>
        <w:autoSpaceDE w:val="0"/>
        <w:autoSpaceDN w:val="0"/>
        <w:adjustRightInd w:val="0"/>
        <w:ind w:left="1440"/>
        <w:rPr>
          <w:rFonts w:eastAsia="Calibri"/>
          <w:sz w:val="24"/>
          <w:szCs w:val="24"/>
        </w:rPr>
      </w:pPr>
    </w:p>
    <w:p w14:paraId="795F4FE0" w14:textId="37AB259F" w:rsidR="00250855" w:rsidRPr="00133783" w:rsidRDefault="00250855" w:rsidP="00912E70">
      <w:pPr>
        <w:autoSpaceDE w:val="0"/>
        <w:autoSpaceDN w:val="0"/>
        <w:adjustRightInd w:val="0"/>
        <w:ind w:firstLine="1440"/>
        <w:rPr>
          <w:sz w:val="24"/>
          <w:szCs w:val="24"/>
        </w:rPr>
      </w:pPr>
      <w:r w:rsidRPr="00133783">
        <w:rPr>
          <w:rFonts w:eastAsia="Calibri"/>
          <w:sz w:val="24"/>
          <w:szCs w:val="24"/>
        </w:rPr>
        <w:t xml:space="preserve">Duquesne Light argues in its Motion that Ms. Cigrand did not file a reply </w:t>
      </w:r>
      <w:r w:rsidR="004C114A" w:rsidRPr="00133783">
        <w:rPr>
          <w:rFonts w:eastAsia="Calibri"/>
          <w:sz w:val="24"/>
          <w:szCs w:val="24"/>
        </w:rPr>
        <w:t>to New Matter.  Therefore</w:t>
      </w:r>
      <w:r w:rsidR="003D2E39" w:rsidRPr="00133783">
        <w:rPr>
          <w:rFonts w:eastAsia="Calibri"/>
          <w:sz w:val="24"/>
          <w:szCs w:val="24"/>
        </w:rPr>
        <w:t xml:space="preserve">, </w:t>
      </w:r>
      <w:r w:rsidR="004C114A" w:rsidRPr="00133783">
        <w:rPr>
          <w:rFonts w:eastAsia="Calibri"/>
          <w:sz w:val="24"/>
          <w:szCs w:val="24"/>
        </w:rPr>
        <w:t>under</w:t>
      </w:r>
      <w:r w:rsidR="003211FA" w:rsidRPr="00133783">
        <w:rPr>
          <w:sz w:val="24"/>
          <w:szCs w:val="24"/>
        </w:rPr>
        <w:t xml:space="preserve"> the Commission’s procedural rules, </w:t>
      </w:r>
      <w:r w:rsidR="00AF3CE1" w:rsidRPr="00133783">
        <w:rPr>
          <w:sz w:val="24"/>
          <w:szCs w:val="24"/>
        </w:rPr>
        <w:t>her failure to re</w:t>
      </w:r>
      <w:r w:rsidR="003211FA" w:rsidRPr="00133783">
        <w:rPr>
          <w:sz w:val="24"/>
          <w:szCs w:val="24"/>
        </w:rPr>
        <w:t xml:space="preserve">ply to </w:t>
      </w:r>
      <w:r w:rsidR="005A0791" w:rsidRPr="00133783">
        <w:rPr>
          <w:sz w:val="24"/>
          <w:szCs w:val="24"/>
        </w:rPr>
        <w:t>the N</w:t>
      </w:r>
      <w:r w:rsidR="003211FA" w:rsidRPr="00133783">
        <w:rPr>
          <w:sz w:val="24"/>
          <w:szCs w:val="24"/>
        </w:rPr>
        <w:t xml:space="preserve">ew </w:t>
      </w:r>
      <w:r w:rsidR="005A0791" w:rsidRPr="00133783">
        <w:rPr>
          <w:sz w:val="24"/>
          <w:szCs w:val="24"/>
        </w:rPr>
        <w:t>M</w:t>
      </w:r>
      <w:r w:rsidR="003211FA" w:rsidRPr="00133783">
        <w:rPr>
          <w:sz w:val="24"/>
          <w:szCs w:val="24"/>
        </w:rPr>
        <w:t xml:space="preserve">atter may be deemed </w:t>
      </w:r>
      <w:r w:rsidR="00B5795A" w:rsidRPr="00133783">
        <w:rPr>
          <w:sz w:val="24"/>
          <w:szCs w:val="24"/>
        </w:rPr>
        <w:t xml:space="preserve">an admission to Duquesne Light’s averments stated in the New Matter. </w:t>
      </w:r>
      <w:r w:rsidR="00912E70" w:rsidRPr="00133783">
        <w:rPr>
          <w:i/>
          <w:iCs/>
          <w:sz w:val="24"/>
          <w:szCs w:val="24"/>
        </w:rPr>
        <w:t xml:space="preserve"> See</w:t>
      </w:r>
      <w:r w:rsidR="003211FA" w:rsidRPr="00133783">
        <w:rPr>
          <w:sz w:val="24"/>
          <w:szCs w:val="24"/>
        </w:rPr>
        <w:t xml:space="preserve"> 52 Pa.Code § 5.63(b).  </w:t>
      </w:r>
      <w:r w:rsidR="005A52DD" w:rsidRPr="00133783">
        <w:rPr>
          <w:sz w:val="24"/>
          <w:szCs w:val="24"/>
        </w:rPr>
        <w:t xml:space="preserve">Duquesne Light’s argument is now moot because Ms. Cigrand filed an </w:t>
      </w:r>
      <w:r w:rsidR="00D12E15" w:rsidRPr="00133783">
        <w:rPr>
          <w:sz w:val="24"/>
          <w:szCs w:val="24"/>
        </w:rPr>
        <w:t xml:space="preserve">Answer to the Motion </w:t>
      </w:r>
      <w:r w:rsidR="009D4270" w:rsidRPr="00133783">
        <w:rPr>
          <w:sz w:val="24"/>
          <w:szCs w:val="24"/>
        </w:rPr>
        <w:t xml:space="preserve">which tacitly </w:t>
      </w:r>
      <w:r w:rsidR="00D12E15" w:rsidRPr="00133783">
        <w:rPr>
          <w:sz w:val="24"/>
          <w:szCs w:val="24"/>
        </w:rPr>
        <w:t>admit</w:t>
      </w:r>
      <w:r w:rsidR="00956F5F" w:rsidRPr="00133783">
        <w:rPr>
          <w:sz w:val="24"/>
          <w:szCs w:val="24"/>
        </w:rPr>
        <w:t xml:space="preserve">s in part </w:t>
      </w:r>
      <w:r w:rsidR="00D12E15" w:rsidRPr="00133783">
        <w:rPr>
          <w:sz w:val="24"/>
          <w:szCs w:val="24"/>
        </w:rPr>
        <w:t>the relevant facts set forth in the New Matter.</w:t>
      </w:r>
      <w:r w:rsidR="009C2783" w:rsidRPr="00133783">
        <w:rPr>
          <w:sz w:val="24"/>
          <w:szCs w:val="24"/>
        </w:rPr>
        <w:t xml:space="preserve">  </w:t>
      </w:r>
      <w:r w:rsidR="009C2783" w:rsidRPr="00133783">
        <w:rPr>
          <w:i/>
          <w:iCs/>
          <w:sz w:val="24"/>
          <w:szCs w:val="24"/>
        </w:rPr>
        <w:t>See</w:t>
      </w:r>
      <w:r w:rsidR="00823497" w:rsidRPr="00133783">
        <w:rPr>
          <w:sz w:val="24"/>
          <w:szCs w:val="24"/>
        </w:rPr>
        <w:t xml:space="preserve"> Complainant’s Answer to the Motion </w:t>
      </w:r>
      <w:r w:rsidR="000F08FE" w:rsidRPr="00133783">
        <w:rPr>
          <w:sz w:val="24"/>
          <w:szCs w:val="24"/>
        </w:rPr>
        <w:t>¶ 2.</w:t>
      </w:r>
    </w:p>
    <w:p w14:paraId="55ECC86E" w14:textId="77D20EA8" w:rsidR="00D12E15" w:rsidRPr="00133783" w:rsidRDefault="00D12E15" w:rsidP="00912E70">
      <w:pPr>
        <w:autoSpaceDE w:val="0"/>
        <w:autoSpaceDN w:val="0"/>
        <w:adjustRightInd w:val="0"/>
        <w:ind w:firstLine="1440"/>
        <w:rPr>
          <w:sz w:val="24"/>
          <w:szCs w:val="24"/>
        </w:rPr>
      </w:pPr>
    </w:p>
    <w:p w14:paraId="5089360C" w14:textId="66B98E36" w:rsidR="00D12E15" w:rsidRPr="00133783" w:rsidRDefault="00BD6FB1" w:rsidP="00912E70">
      <w:pPr>
        <w:autoSpaceDE w:val="0"/>
        <w:autoSpaceDN w:val="0"/>
        <w:adjustRightInd w:val="0"/>
        <w:ind w:firstLine="1440"/>
        <w:rPr>
          <w:i/>
          <w:iCs/>
          <w:sz w:val="24"/>
          <w:szCs w:val="24"/>
        </w:rPr>
      </w:pPr>
      <w:r w:rsidRPr="00133783">
        <w:rPr>
          <w:sz w:val="24"/>
          <w:szCs w:val="24"/>
        </w:rPr>
        <w:t xml:space="preserve">Complainant does not dispute the fact </w:t>
      </w:r>
      <w:r w:rsidR="00E62D23" w:rsidRPr="00133783">
        <w:rPr>
          <w:sz w:val="24"/>
          <w:szCs w:val="24"/>
        </w:rPr>
        <w:t xml:space="preserve">that </w:t>
      </w:r>
      <w:r w:rsidRPr="00133783">
        <w:rPr>
          <w:sz w:val="24"/>
          <w:szCs w:val="24"/>
        </w:rPr>
        <w:t xml:space="preserve">she owns the property or that Respondent discovered a foreign wiring registering on the meters.  </w:t>
      </w:r>
      <w:r w:rsidR="00245E70" w:rsidRPr="00133783">
        <w:rPr>
          <w:i/>
          <w:iCs/>
          <w:sz w:val="24"/>
          <w:szCs w:val="24"/>
        </w:rPr>
        <w:t>Id.</w:t>
      </w:r>
      <w:r w:rsidR="00245E70" w:rsidRPr="00133783">
        <w:rPr>
          <w:sz w:val="24"/>
          <w:szCs w:val="24"/>
        </w:rPr>
        <w:t xml:space="preserve">  </w:t>
      </w:r>
      <w:r w:rsidR="0038102D" w:rsidRPr="00133783">
        <w:rPr>
          <w:sz w:val="24"/>
          <w:szCs w:val="24"/>
        </w:rPr>
        <w:t xml:space="preserve">Rather Complainant disputes receiving proper and timely notification of the foreign load, and she </w:t>
      </w:r>
      <w:r w:rsidR="006A567C" w:rsidRPr="00133783">
        <w:rPr>
          <w:sz w:val="24"/>
          <w:szCs w:val="24"/>
        </w:rPr>
        <w:t>disputes the amount of the bill transferred from the ten</w:t>
      </w:r>
      <w:r w:rsidR="00245E70" w:rsidRPr="00133783">
        <w:rPr>
          <w:sz w:val="24"/>
          <w:szCs w:val="24"/>
        </w:rPr>
        <w:t>an</w:t>
      </w:r>
      <w:r w:rsidR="006A567C" w:rsidRPr="00133783">
        <w:rPr>
          <w:sz w:val="24"/>
          <w:szCs w:val="24"/>
        </w:rPr>
        <w:t xml:space="preserve">t into her name. </w:t>
      </w:r>
      <w:r w:rsidR="00D87AD3" w:rsidRPr="00133783">
        <w:rPr>
          <w:i/>
          <w:iCs/>
          <w:sz w:val="24"/>
          <w:szCs w:val="24"/>
        </w:rPr>
        <w:t xml:space="preserve"> Id.</w:t>
      </w:r>
    </w:p>
    <w:p w14:paraId="1AB1FB01" w14:textId="2F8613AF" w:rsidR="003A7503" w:rsidRPr="00133783" w:rsidRDefault="003A7503" w:rsidP="000411C2">
      <w:pPr>
        <w:ind w:left="720" w:firstLine="720"/>
        <w:rPr>
          <w:sz w:val="24"/>
          <w:szCs w:val="24"/>
        </w:rPr>
      </w:pPr>
      <w:r w:rsidRPr="00133783">
        <w:rPr>
          <w:sz w:val="24"/>
          <w:szCs w:val="24"/>
        </w:rPr>
        <w:t xml:space="preserve"> </w:t>
      </w:r>
    </w:p>
    <w:p w14:paraId="2443C5C4" w14:textId="0BECD438" w:rsidR="00F176D4" w:rsidRPr="00133783" w:rsidRDefault="00C227D7" w:rsidP="00BC6E5A">
      <w:pPr>
        <w:ind w:firstLine="1440"/>
        <w:rPr>
          <w:rFonts w:eastAsia="Calibri"/>
          <w:sz w:val="24"/>
          <w:szCs w:val="24"/>
        </w:rPr>
      </w:pPr>
      <w:r w:rsidRPr="00133783">
        <w:rPr>
          <w:sz w:val="24"/>
          <w:szCs w:val="24"/>
        </w:rPr>
        <w:t xml:space="preserve">Complainant’s admission that there is a foreign load at the property </w:t>
      </w:r>
      <w:r w:rsidR="005623A4" w:rsidRPr="00133783">
        <w:rPr>
          <w:sz w:val="24"/>
          <w:szCs w:val="24"/>
        </w:rPr>
        <w:t xml:space="preserve">which she owns </w:t>
      </w:r>
      <w:r w:rsidRPr="00133783">
        <w:rPr>
          <w:sz w:val="24"/>
          <w:szCs w:val="24"/>
        </w:rPr>
        <w:t xml:space="preserve">warrants the granting of the Motion </w:t>
      </w:r>
      <w:r w:rsidR="003B0406" w:rsidRPr="00133783">
        <w:rPr>
          <w:sz w:val="24"/>
          <w:szCs w:val="24"/>
        </w:rPr>
        <w:t>on the issue of the foreign load and the transfer of he</w:t>
      </w:r>
      <w:r w:rsidR="005623A4" w:rsidRPr="00133783">
        <w:rPr>
          <w:sz w:val="24"/>
          <w:szCs w:val="24"/>
        </w:rPr>
        <w:t>r</w:t>
      </w:r>
      <w:r w:rsidR="003B0406" w:rsidRPr="00133783">
        <w:rPr>
          <w:sz w:val="24"/>
          <w:szCs w:val="24"/>
        </w:rPr>
        <w:t xml:space="preserve"> tenants’ accounts into her name. </w:t>
      </w:r>
      <w:r w:rsidR="00022B72">
        <w:rPr>
          <w:sz w:val="24"/>
          <w:szCs w:val="24"/>
        </w:rPr>
        <w:t xml:space="preserve"> </w:t>
      </w:r>
      <w:r w:rsidR="00222731" w:rsidRPr="00133783">
        <w:rPr>
          <w:sz w:val="24"/>
          <w:szCs w:val="24"/>
        </w:rPr>
        <w:t xml:space="preserve">In </w:t>
      </w:r>
      <w:r w:rsidR="00D04703" w:rsidRPr="00133783">
        <w:rPr>
          <w:rFonts w:eastAsia="Calibri"/>
          <w:i/>
          <w:iCs/>
          <w:sz w:val="24"/>
          <w:szCs w:val="24"/>
        </w:rPr>
        <w:t>McSorley</w:t>
      </w:r>
      <w:r w:rsidR="00D04703" w:rsidRPr="00133783">
        <w:rPr>
          <w:sz w:val="24"/>
          <w:szCs w:val="24"/>
        </w:rPr>
        <w:t xml:space="preserve"> cited above</w:t>
      </w:r>
      <w:r w:rsidR="00222731" w:rsidRPr="00133783">
        <w:rPr>
          <w:sz w:val="24"/>
          <w:szCs w:val="24"/>
        </w:rPr>
        <w:t xml:space="preserve">, the Commission explained the mandates of </w:t>
      </w:r>
      <w:bookmarkStart w:id="10" w:name="_Hlk92385728"/>
      <w:r w:rsidR="00222731" w:rsidRPr="00133783">
        <w:rPr>
          <w:sz w:val="24"/>
          <w:szCs w:val="24"/>
        </w:rPr>
        <w:t xml:space="preserve">Section </w:t>
      </w:r>
      <w:r w:rsidR="00222731" w:rsidRPr="00133783">
        <w:rPr>
          <w:rFonts w:eastAsia="Calibri"/>
          <w:sz w:val="24"/>
          <w:szCs w:val="24"/>
        </w:rPr>
        <w:t>66 Pa.C.S.A. § 1529.1(b)</w:t>
      </w:r>
      <w:r w:rsidR="00011036" w:rsidRPr="00133783">
        <w:rPr>
          <w:rFonts w:eastAsia="Calibri"/>
          <w:sz w:val="24"/>
          <w:szCs w:val="24"/>
        </w:rPr>
        <w:t xml:space="preserve"> </w:t>
      </w:r>
      <w:bookmarkEnd w:id="10"/>
      <w:r w:rsidR="00011036" w:rsidRPr="00133783">
        <w:rPr>
          <w:rFonts w:eastAsia="Calibri"/>
          <w:sz w:val="24"/>
          <w:szCs w:val="24"/>
        </w:rPr>
        <w:t>as follows:</w:t>
      </w:r>
    </w:p>
    <w:p w14:paraId="3B94B470" w14:textId="703E0C51" w:rsidR="00011036" w:rsidRPr="00133783" w:rsidRDefault="00011036" w:rsidP="00C652C3">
      <w:pPr>
        <w:ind w:left="1440" w:right="720"/>
        <w:rPr>
          <w:sz w:val="24"/>
          <w:szCs w:val="24"/>
        </w:rPr>
      </w:pPr>
    </w:p>
    <w:p w14:paraId="176B6149" w14:textId="5645AD8E" w:rsidR="00C652C3" w:rsidRPr="00133783" w:rsidRDefault="004847BE" w:rsidP="003E097F">
      <w:pPr>
        <w:spacing w:line="240" w:lineRule="auto"/>
        <w:ind w:left="1440" w:right="720"/>
        <w:rPr>
          <w:sz w:val="24"/>
          <w:szCs w:val="24"/>
        </w:rPr>
      </w:pPr>
      <w:r w:rsidRPr="00133783">
        <w:rPr>
          <w:sz w:val="24"/>
          <w:szCs w:val="24"/>
        </w:rPr>
        <w:t>[W]</w:t>
      </w:r>
      <w:r w:rsidR="00C652C3" w:rsidRPr="00133783">
        <w:rPr>
          <w:sz w:val="24"/>
          <w:szCs w:val="24"/>
        </w:rPr>
        <w:t>e have determined that well-established precedent “holds the property owner financially responsible for a tenant’s entire account, once foreign load is verified on the tenant’s service</w:t>
      </w:r>
      <w:r w:rsidR="00C652C3" w:rsidRPr="00133783">
        <w:rPr>
          <w:i/>
          <w:iCs/>
          <w:sz w:val="24"/>
          <w:szCs w:val="24"/>
        </w:rPr>
        <w:t>.”  Ace Check Cashing</w:t>
      </w:r>
      <w:r w:rsidR="00C652C3" w:rsidRPr="00133783">
        <w:rPr>
          <w:sz w:val="24"/>
          <w:szCs w:val="24"/>
        </w:rPr>
        <w:t xml:space="preserve">, </w:t>
      </w:r>
      <w:r w:rsidR="00C652C3" w:rsidRPr="00133783">
        <w:rPr>
          <w:i/>
          <w:iCs/>
          <w:sz w:val="24"/>
          <w:szCs w:val="24"/>
        </w:rPr>
        <w:t>supra,</w:t>
      </w:r>
      <w:r w:rsidR="00C652C3" w:rsidRPr="00133783">
        <w:rPr>
          <w:sz w:val="24"/>
          <w:szCs w:val="24"/>
        </w:rPr>
        <w:t xml:space="preserve"> at 6; see also, </w:t>
      </w:r>
      <w:r w:rsidR="00C652C3" w:rsidRPr="00133783">
        <w:rPr>
          <w:i/>
          <w:iCs/>
          <w:sz w:val="24"/>
          <w:szCs w:val="24"/>
        </w:rPr>
        <w:t>Santos, supra</w:t>
      </w:r>
      <w:r w:rsidR="00C652C3" w:rsidRPr="00133783">
        <w:rPr>
          <w:sz w:val="24"/>
          <w:szCs w:val="24"/>
        </w:rPr>
        <w:t xml:space="preserve">.  We explained our foreign load policy in detail in </w:t>
      </w:r>
      <w:r w:rsidR="00C652C3" w:rsidRPr="00133783">
        <w:rPr>
          <w:i/>
          <w:iCs/>
          <w:sz w:val="24"/>
          <w:szCs w:val="24"/>
        </w:rPr>
        <w:t>Ace Check Cashing</w:t>
      </w:r>
      <w:r w:rsidR="00C652C3" w:rsidRPr="00133783">
        <w:rPr>
          <w:sz w:val="24"/>
          <w:szCs w:val="24"/>
        </w:rPr>
        <w:t xml:space="preserve">.  Specifically, we concluded that upon discovering foreign load, the utility must list the account, including any arrearages, in the landlord’s name and the landlord must assume the responsibility of paying the utility bills at the service address until the foreign load is corrected.  After the foreign load is corrected by the landlord and verified by the utility, the utility is to place the account back into the tenant’s name.  </w:t>
      </w:r>
      <w:r w:rsidR="00C652C3" w:rsidRPr="00133783">
        <w:rPr>
          <w:i/>
          <w:iCs/>
          <w:sz w:val="24"/>
          <w:szCs w:val="24"/>
        </w:rPr>
        <w:t>Id.</w:t>
      </w:r>
      <w:r w:rsidR="00C652C3" w:rsidRPr="00133783">
        <w:rPr>
          <w:sz w:val="24"/>
          <w:szCs w:val="24"/>
        </w:rPr>
        <w:t xml:space="preserve"> at 7.  However, the landlord remains responsible for any arrearages on the tenant’s account.  </w:t>
      </w:r>
      <w:r w:rsidR="00C652C3" w:rsidRPr="00133783">
        <w:rPr>
          <w:i/>
          <w:iCs/>
          <w:sz w:val="24"/>
          <w:szCs w:val="24"/>
        </w:rPr>
        <w:t>Id.</w:t>
      </w:r>
      <w:r w:rsidR="00C652C3" w:rsidRPr="00133783">
        <w:rPr>
          <w:sz w:val="24"/>
          <w:szCs w:val="24"/>
        </w:rPr>
        <w:t xml:space="preserve"> at 7-8.  This rule applies even if the amount of usage attributable to foreign load is considered </w:t>
      </w:r>
      <w:r w:rsidR="00C652C3" w:rsidRPr="00133783">
        <w:rPr>
          <w:i/>
          <w:iCs/>
          <w:sz w:val="24"/>
          <w:szCs w:val="24"/>
        </w:rPr>
        <w:t>de minimis</w:t>
      </w:r>
      <w:r w:rsidR="00C652C3" w:rsidRPr="00133783">
        <w:rPr>
          <w:sz w:val="24"/>
          <w:szCs w:val="24"/>
        </w:rPr>
        <w:t>.</w:t>
      </w:r>
    </w:p>
    <w:p w14:paraId="4A200211" w14:textId="48FC2C14" w:rsidR="003E097F" w:rsidRPr="00133783" w:rsidRDefault="003E097F" w:rsidP="003E097F">
      <w:pPr>
        <w:spacing w:line="240" w:lineRule="auto"/>
        <w:ind w:left="1440" w:right="720"/>
        <w:rPr>
          <w:sz w:val="24"/>
          <w:szCs w:val="24"/>
        </w:rPr>
      </w:pPr>
    </w:p>
    <w:p w14:paraId="0D33D64F" w14:textId="54B54C47" w:rsidR="003E097F" w:rsidRPr="00133783" w:rsidRDefault="00D04703" w:rsidP="00D04703">
      <w:pPr>
        <w:spacing w:line="240" w:lineRule="auto"/>
        <w:ind w:right="720"/>
        <w:rPr>
          <w:rFonts w:eastAsia="Calibri"/>
          <w:sz w:val="24"/>
          <w:szCs w:val="24"/>
        </w:rPr>
      </w:pPr>
      <w:r w:rsidRPr="00133783">
        <w:rPr>
          <w:rFonts w:eastAsia="Calibri"/>
          <w:i/>
          <w:iCs/>
          <w:sz w:val="24"/>
          <w:szCs w:val="24"/>
        </w:rPr>
        <w:t>McSorley</w:t>
      </w:r>
      <w:r w:rsidRPr="00133783">
        <w:rPr>
          <w:rFonts w:eastAsia="Calibri"/>
          <w:sz w:val="24"/>
          <w:szCs w:val="24"/>
        </w:rPr>
        <w:t xml:space="preserve"> at </w:t>
      </w:r>
      <w:r w:rsidR="00626E9E" w:rsidRPr="00133783">
        <w:rPr>
          <w:rFonts w:eastAsia="Calibri"/>
          <w:sz w:val="24"/>
          <w:szCs w:val="24"/>
        </w:rPr>
        <w:t>9-10.</w:t>
      </w:r>
    </w:p>
    <w:p w14:paraId="5D39D016" w14:textId="1787C4F7" w:rsidR="005C47E9" w:rsidRPr="00133783" w:rsidRDefault="005C47E9" w:rsidP="0044798D">
      <w:pPr>
        <w:rPr>
          <w:rFonts w:eastAsia="Calibri"/>
          <w:sz w:val="24"/>
          <w:szCs w:val="24"/>
        </w:rPr>
      </w:pPr>
      <w:r w:rsidRPr="00133783">
        <w:rPr>
          <w:sz w:val="24"/>
          <w:szCs w:val="24"/>
        </w:rPr>
        <w:lastRenderedPageBreak/>
        <w:tab/>
      </w:r>
      <w:r w:rsidRPr="00133783">
        <w:rPr>
          <w:sz w:val="24"/>
          <w:szCs w:val="24"/>
        </w:rPr>
        <w:tab/>
        <w:t xml:space="preserve">Accordingly in the ordering paragraphs below, </w:t>
      </w:r>
      <w:r w:rsidR="00F53315" w:rsidRPr="00133783">
        <w:rPr>
          <w:sz w:val="24"/>
          <w:szCs w:val="24"/>
        </w:rPr>
        <w:t xml:space="preserve">Duquesne Light’s Motion will be granted to the extent </w:t>
      </w:r>
      <w:r w:rsidR="00DA2060" w:rsidRPr="00133783">
        <w:rPr>
          <w:sz w:val="24"/>
          <w:szCs w:val="24"/>
        </w:rPr>
        <w:t xml:space="preserve">that </w:t>
      </w:r>
      <w:r w:rsidR="00A806F7" w:rsidRPr="00133783">
        <w:rPr>
          <w:sz w:val="24"/>
          <w:szCs w:val="24"/>
        </w:rPr>
        <w:t xml:space="preserve">Duquesne Light complied with the mandates of Section </w:t>
      </w:r>
      <w:r w:rsidR="00A806F7" w:rsidRPr="00133783">
        <w:rPr>
          <w:rFonts w:eastAsia="Calibri"/>
          <w:sz w:val="24"/>
          <w:szCs w:val="24"/>
        </w:rPr>
        <w:t>66 Pa.C.S.A. §</w:t>
      </w:r>
      <w:r w:rsidR="00022B72">
        <w:rPr>
          <w:rFonts w:eastAsia="Calibri"/>
          <w:sz w:val="24"/>
          <w:szCs w:val="24"/>
        </w:rPr>
        <w:t> </w:t>
      </w:r>
      <w:r w:rsidR="00A806F7" w:rsidRPr="00133783">
        <w:rPr>
          <w:rFonts w:eastAsia="Calibri"/>
          <w:sz w:val="24"/>
          <w:szCs w:val="24"/>
        </w:rPr>
        <w:t>1529.1(b)</w:t>
      </w:r>
      <w:r w:rsidR="003571C3" w:rsidRPr="00133783">
        <w:rPr>
          <w:rFonts w:eastAsia="Calibri"/>
          <w:sz w:val="24"/>
          <w:szCs w:val="24"/>
        </w:rPr>
        <w:t xml:space="preserve"> in transferring the accounts of Complainant’s tenants to her name </w:t>
      </w:r>
      <w:r w:rsidR="00C22AFB" w:rsidRPr="00133783">
        <w:rPr>
          <w:rFonts w:eastAsia="Calibri"/>
          <w:sz w:val="24"/>
          <w:szCs w:val="24"/>
        </w:rPr>
        <w:t>upon discovering a foreign load at the Property.</w:t>
      </w:r>
    </w:p>
    <w:p w14:paraId="69CBB831" w14:textId="47661015" w:rsidR="00C22AFB" w:rsidRPr="00133783" w:rsidRDefault="00C22AFB" w:rsidP="0044798D">
      <w:pPr>
        <w:rPr>
          <w:rFonts w:eastAsia="Calibri"/>
          <w:sz w:val="24"/>
          <w:szCs w:val="24"/>
        </w:rPr>
      </w:pPr>
    </w:p>
    <w:p w14:paraId="7388293B" w14:textId="3B7AF4C6" w:rsidR="00B6040C" w:rsidRPr="00133783" w:rsidRDefault="00B6040C" w:rsidP="0044798D">
      <w:pPr>
        <w:ind w:left="1440" w:right="720" w:hanging="1440"/>
        <w:rPr>
          <w:sz w:val="24"/>
          <w:szCs w:val="24"/>
          <w:u w:val="single"/>
        </w:rPr>
      </w:pPr>
      <w:r w:rsidRPr="00133783">
        <w:rPr>
          <w:sz w:val="24"/>
          <w:szCs w:val="24"/>
          <w:u w:val="single"/>
        </w:rPr>
        <w:t>Reasonable Service</w:t>
      </w:r>
    </w:p>
    <w:p w14:paraId="770D2139" w14:textId="42FCF4AF" w:rsidR="00596CB2" w:rsidRPr="00133783" w:rsidRDefault="00596CB2" w:rsidP="0044798D">
      <w:pPr>
        <w:ind w:left="1440" w:right="720" w:hanging="1440"/>
        <w:rPr>
          <w:sz w:val="24"/>
          <w:szCs w:val="24"/>
          <w:u w:val="single"/>
        </w:rPr>
      </w:pPr>
    </w:p>
    <w:p w14:paraId="55A7BDD7" w14:textId="6A44F7E6" w:rsidR="00E61610" w:rsidRPr="00133783" w:rsidRDefault="00987156" w:rsidP="0044798D">
      <w:pPr>
        <w:ind w:firstLine="1440"/>
        <w:rPr>
          <w:sz w:val="24"/>
          <w:szCs w:val="24"/>
        </w:rPr>
      </w:pPr>
      <w:r w:rsidRPr="00133783">
        <w:rPr>
          <w:sz w:val="24"/>
          <w:szCs w:val="24"/>
        </w:rPr>
        <w:t xml:space="preserve">The granting </w:t>
      </w:r>
      <w:r w:rsidR="00950F71" w:rsidRPr="00133783">
        <w:rPr>
          <w:sz w:val="24"/>
          <w:szCs w:val="24"/>
        </w:rPr>
        <w:t xml:space="preserve">of </w:t>
      </w:r>
      <w:r w:rsidRPr="00133783">
        <w:rPr>
          <w:sz w:val="24"/>
          <w:szCs w:val="24"/>
        </w:rPr>
        <w:t xml:space="preserve">Duquesne </w:t>
      </w:r>
      <w:r w:rsidR="00E32983" w:rsidRPr="00133783">
        <w:rPr>
          <w:sz w:val="24"/>
          <w:szCs w:val="24"/>
        </w:rPr>
        <w:t xml:space="preserve">Motion </w:t>
      </w:r>
      <w:r w:rsidR="004A1878" w:rsidRPr="00133783">
        <w:rPr>
          <w:sz w:val="24"/>
          <w:szCs w:val="24"/>
        </w:rPr>
        <w:t xml:space="preserve">on the issue of foreign load does </w:t>
      </w:r>
      <w:r w:rsidR="00F00259" w:rsidRPr="00133783">
        <w:rPr>
          <w:sz w:val="24"/>
          <w:szCs w:val="24"/>
        </w:rPr>
        <w:t>not end the discussion.</w:t>
      </w:r>
      <w:r w:rsidR="00930C65" w:rsidRPr="00133783">
        <w:rPr>
          <w:sz w:val="24"/>
          <w:szCs w:val="24"/>
        </w:rPr>
        <w:t xml:space="preserve"> </w:t>
      </w:r>
      <w:r w:rsidR="00B3734D" w:rsidRPr="00133783">
        <w:rPr>
          <w:sz w:val="24"/>
          <w:szCs w:val="24"/>
        </w:rPr>
        <w:t xml:space="preserve"> </w:t>
      </w:r>
      <w:r w:rsidR="00E61610" w:rsidRPr="00133783">
        <w:rPr>
          <w:sz w:val="24"/>
          <w:szCs w:val="24"/>
        </w:rPr>
        <w:t xml:space="preserve">Section 1501 of the Code, 66 Pa. C.S.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Section 102 of the Code, 66 Pa. C.S. §102: </w:t>
      </w:r>
    </w:p>
    <w:p w14:paraId="26803DE2" w14:textId="77777777" w:rsidR="00F00259" w:rsidRPr="00133783" w:rsidRDefault="00F00259" w:rsidP="00F00259">
      <w:pPr>
        <w:ind w:firstLine="1440"/>
        <w:jc w:val="both"/>
        <w:rPr>
          <w:sz w:val="24"/>
          <w:szCs w:val="24"/>
        </w:rPr>
      </w:pPr>
    </w:p>
    <w:p w14:paraId="58D099C2" w14:textId="77777777" w:rsidR="00115E03" w:rsidRPr="00133783" w:rsidRDefault="00115E03" w:rsidP="007540AC">
      <w:pPr>
        <w:spacing w:line="240" w:lineRule="auto"/>
        <w:ind w:left="1440" w:right="720"/>
        <w:contextualSpacing/>
        <w:jc w:val="both"/>
        <w:rPr>
          <w:sz w:val="24"/>
          <w:szCs w:val="24"/>
        </w:rPr>
      </w:pPr>
      <w:r w:rsidRPr="00133783">
        <w:rPr>
          <w:sz w:val="24"/>
          <w:szCs w:val="24"/>
        </w:rPr>
        <w:t xml:space="preserve">“Service.”  Used in its broadest and most inclusive sense, includes </w:t>
      </w:r>
      <w:r w:rsidRPr="00133783">
        <w:rPr>
          <w:i/>
          <w:iCs/>
          <w:sz w:val="24"/>
          <w:szCs w:val="24"/>
        </w:rPr>
        <w:t>any and all acts done, rendered, or performed</w:t>
      </w:r>
      <w:r w:rsidRPr="00133783">
        <w:rPr>
          <w:sz w:val="24"/>
          <w:szCs w:val="24"/>
        </w:rPr>
        <w:t>, and any and all things furnished or supplied, and any and all facilities used, furnished, or supplied by public utilities … in the performance of their duties under this part to their patrons, employees, other public utilities, and the public…</w:t>
      </w:r>
    </w:p>
    <w:p w14:paraId="7692BDCE" w14:textId="77777777" w:rsidR="001C28C6" w:rsidRPr="00133783" w:rsidRDefault="001C28C6" w:rsidP="001C28C6">
      <w:pPr>
        <w:rPr>
          <w:sz w:val="24"/>
          <w:szCs w:val="24"/>
        </w:rPr>
      </w:pPr>
    </w:p>
    <w:p w14:paraId="76887EE5" w14:textId="3640512B" w:rsidR="001C28C6" w:rsidRPr="00133783" w:rsidRDefault="001C28C6" w:rsidP="001C28C6">
      <w:pPr>
        <w:rPr>
          <w:sz w:val="24"/>
          <w:szCs w:val="24"/>
        </w:rPr>
      </w:pPr>
      <w:r w:rsidRPr="00133783">
        <w:rPr>
          <w:sz w:val="24"/>
          <w:szCs w:val="24"/>
        </w:rPr>
        <w:t>(</w:t>
      </w:r>
      <w:r w:rsidR="00176C3E" w:rsidRPr="00133783">
        <w:rPr>
          <w:sz w:val="24"/>
          <w:szCs w:val="24"/>
        </w:rPr>
        <w:t>Emphasis</w:t>
      </w:r>
      <w:r w:rsidRPr="00133783">
        <w:rPr>
          <w:sz w:val="24"/>
          <w:szCs w:val="24"/>
        </w:rPr>
        <w:t xml:space="preserve"> added).  A utility’s “service” is not merely confined to the distribution of utility</w:t>
      </w:r>
    </w:p>
    <w:p w14:paraId="6D790928" w14:textId="77777777" w:rsidR="001C28C6" w:rsidRPr="00133783" w:rsidRDefault="001C28C6" w:rsidP="001C28C6">
      <w:pPr>
        <w:rPr>
          <w:sz w:val="24"/>
          <w:szCs w:val="24"/>
        </w:rPr>
      </w:pPr>
      <w:r w:rsidRPr="00133783">
        <w:rPr>
          <w:sz w:val="24"/>
          <w:szCs w:val="24"/>
        </w:rPr>
        <w:t xml:space="preserve"> service, but also includes “any and all acts” related to that function.  </w:t>
      </w:r>
      <w:r w:rsidRPr="00133783">
        <w:rPr>
          <w:i/>
          <w:sz w:val="24"/>
          <w:szCs w:val="24"/>
        </w:rPr>
        <w:t>West Penn Power Co. v. Pa. Pub. Util. Comm’n</w:t>
      </w:r>
      <w:r w:rsidRPr="00133783">
        <w:rPr>
          <w:sz w:val="24"/>
          <w:szCs w:val="24"/>
        </w:rPr>
        <w:t xml:space="preserve">, 578 A.2d 75 (Pa.Cmwlth. 1990).  </w:t>
      </w:r>
    </w:p>
    <w:p w14:paraId="57612802" w14:textId="77777777" w:rsidR="001C28C6" w:rsidRPr="00133783" w:rsidRDefault="001C28C6" w:rsidP="001C28C6">
      <w:pPr>
        <w:rPr>
          <w:sz w:val="24"/>
          <w:szCs w:val="24"/>
        </w:rPr>
      </w:pPr>
    </w:p>
    <w:p w14:paraId="4548C4E5" w14:textId="77777777" w:rsidR="001C28C6" w:rsidRPr="00133783" w:rsidRDefault="001C28C6" w:rsidP="00467A04">
      <w:pPr>
        <w:spacing w:line="240" w:lineRule="auto"/>
        <w:rPr>
          <w:sz w:val="24"/>
          <w:szCs w:val="24"/>
        </w:rPr>
      </w:pPr>
      <w:r w:rsidRPr="00133783">
        <w:rPr>
          <w:sz w:val="24"/>
          <w:szCs w:val="24"/>
        </w:rPr>
        <w:tab/>
      </w:r>
      <w:r w:rsidRPr="00133783">
        <w:rPr>
          <w:sz w:val="24"/>
          <w:szCs w:val="24"/>
        </w:rPr>
        <w:tab/>
        <w:t>The Pennsylvania courts have ruled as follows:</w:t>
      </w:r>
    </w:p>
    <w:p w14:paraId="13B65BD0" w14:textId="77777777" w:rsidR="001C28C6" w:rsidRPr="00133783" w:rsidRDefault="001C28C6" w:rsidP="0044798D">
      <w:pPr>
        <w:spacing w:line="240" w:lineRule="auto"/>
        <w:ind w:left="1440" w:right="1080" w:hanging="1440"/>
        <w:rPr>
          <w:sz w:val="24"/>
          <w:szCs w:val="24"/>
        </w:rPr>
      </w:pPr>
    </w:p>
    <w:p w14:paraId="55ECED23" w14:textId="77777777" w:rsidR="001C28C6" w:rsidRPr="00133783" w:rsidRDefault="001C28C6" w:rsidP="0044798D">
      <w:pPr>
        <w:spacing w:line="240" w:lineRule="auto"/>
        <w:ind w:left="1440" w:right="1080" w:hanging="1440"/>
        <w:rPr>
          <w:sz w:val="24"/>
          <w:szCs w:val="24"/>
        </w:rPr>
      </w:pPr>
      <w:r w:rsidRPr="00133783">
        <w:rPr>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7D5248DA" w14:textId="2F4AB715" w:rsidR="001C28C6" w:rsidRPr="00133783" w:rsidRDefault="001C28C6" w:rsidP="001C28C6">
      <w:pPr>
        <w:ind w:left="1440" w:right="1080" w:hanging="1440"/>
        <w:rPr>
          <w:iCs/>
          <w:sz w:val="24"/>
          <w:szCs w:val="24"/>
        </w:rPr>
      </w:pPr>
    </w:p>
    <w:p w14:paraId="58C1DE09" w14:textId="77777777" w:rsidR="001C28C6" w:rsidRPr="00133783" w:rsidRDefault="001C28C6" w:rsidP="001C28C6">
      <w:pPr>
        <w:rPr>
          <w:sz w:val="24"/>
          <w:szCs w:val="24"/>
        </w:rPr>
      </w:pPr>
      <w:r w:rsidRPr="00133783">
        <w:rPr>
          <w:i/>
          <w:sz w:val="24"/>
          <w:szCs w:val="24"/>
        </w:rPr>
        <w:t>DiSanto v. Dauphin Consolidated Water Supply Company</w:t>
      </w:r>
      <w:r w:rsidRPr="00133783">
        <w:rPr>
          <w:sz w:val="24"/>
          <w:szCs w:val="24"/>
        </w:rPr>
        <w:t>, 291 Pa.Super. 440, 436 A.2d 197 (1981).</w:t>
      </w:r>
    </w:p>
    <w:p w14:paraId="206FEF70" w14:textId="77777777" w:rsidR="001C28C6" w:rsidRPr="00133783" w:rsidRDefault="001C28C6" w:rsidP="001C28C6">
      <w:pPr>
        <w:rPr>
          <w:sz w:val="24"/>
          <w:szCs w:val="24"/>
        </w:rPr>
      </w:pPr>
    </w:p>
    <w:p w14:paraId="72F9E82D" w14:textId="76417CFA" w:rsidR="00B73DDB" w:rsidRPr="00133783" w:rsidRDefault="00344AA8" w:rsidP="0055424A">
      <w:pPr>
        <w:rPr>
          <w:sz w:val="24"/>
          <w:szCs w:val="24"/>
        </w:rPr>
      </w:pPr>
      <w:r w:rsidRPr="00133783">
        <w:rPr>
          <w:sz w:val="24"/>
          <w:szCs w:val="24"/>
        </w:rPr>
        <w:lastRenderedPageBreak/>
        <w:tab/>
      </w:r>
      <w:r w:rsidRPr="00133783">
        <w:rPr>
          <w:sz w:val="24"/>
          <w:szCs w:val="24"/>
        </w:rPr>
        <w:tab/>
      </w:r>
      <w:r w:rsidR="00AC5980" w:rsidRPr="00133783">
        <w:rPr>
          <w:sz w:val="24"/>
          <w:szCs w:val="24"/>
        </w:rPr>
        <w:t>In the present case</w:t>
      </w:r>
      <w:r w:rsidR="0007272D" w:rsidRPr="00133783">
        <w:rPr>
          <w:sz w:val="24"/>
          <w:szCs w:val="24"/>
        </w:rPr>
        <w:t>,</w:t>
      </w:r>
      <w:r w:rsidR="00AC5980" w:rsidRPr="00133783">
        <w:rPr>
          <w:sz w:val="24"/>
          <w:szCs w:val="24"/>
        </w:rPr>
        <w:t xml:space="preserve"> service includes </w:t>
      </w:r>
      <w:r w:rsidR="00497C0F" w:rsidRPr="00133783">
        <w:rPr>
          <w:sz w:val="24"/>
          <w:szCs w:val="24"/>
        </w:rPr>
        <w:t xml:space="preserve">accuracy in the amount of the bills transferred to Ms. Cigrand and customer service.  </w:t>
      </w:r>
      <w:r w:rsidR="002F0DFC" w:rsidRPr="00133783">
        <w:rPr>
          <w:sz w:val="24"/>
          <w:szCs w:val="24"/>
        </w:rPr>
        <w:t xml:space="preserve">A careful reading of the Complaint </w:t>
      </w:r>
      <w:r w:rsidR="00AB3F35" w:rsidRPr="00133783">
        <w:rPr>
          <w:sz w:val="24"/>
          <w:szCs w:val="24"/>
        </w:rPr>
        <w:t>suggests that Ms.</w:t>
      </w:r>
      <w:r w:rsidR="00022B72">
        <w:rPr>
          <w:sz w:val="24"/>
          <w:szCs w:val="24"/>
        </w:rPr>
        <w:t> </w:t>
      </w:r>
      <w:r w:rsidR="00AB3F35" w:rsidRPr="00133783">
        <w:rPr>
          <w:sz w:val="24"/>
          <w:szCs w:val="24"/>
        </w:rPr>
        <w:t>Cigrand is also raising reasonable service issue</w:t>
      </w:r>
      <w:r w:rsidR="00FA6BDE" w:rsidRPr="00133783">
        <w:rPr>
          <w:sz w:val="24"/>
          <w:szCs w:val="24"/>
        </w:rPr>
        <w:t>s</w:t>
      </w:r>
      <w:r w:rsidR="00AB3F35" w:rsidRPr="00133783">
        <w:rPr>
          <w:sz w:val="24"/>
          <w:szCs w:val="24"/>
        </w:rPr>
        <w:t xml:space="preserve">. </w:t>
      </w:r>
      <w:r w:rsidR="00895F9E" w:rsidRPr="00133783">
        <w:rPr>
          <w:sz w:val="24"/>
          <w:szCs w:val="24"/>
        </w:rPr>
        <w:t xml:space="preserve"> </w:t>
      </w:r>
      <w:r w:rsidR="004917B4" w:rsidRPr="00133783">
        <w:rPr>
          <w:sz w:val="24"/>
          <w:szCs w:val="24"/>
        </w:rPr>
        <w:t>Ms. Cigrand a</w:t>
      </w:r>
      <w:r w:rsidR="00B50FED" w:rsidRPr="00133783">
        <w:rPr>
          <w:sz w:val="24"/>
          <w:szCs w:val="24"/>
        </w:rPr>
        <w:t xml:space="preserve">lleges, </w:t>
      </w:r>
      <w:r w:rsidR="00895F9E" w:rsidRPr="00133783">
        <w:rPr>
          <w:sz w:val="24"/>
          <w:szCs w:val="24"/>
        </w:rPr>
        <w:t>“</w:t>
      </w:r>
      <w:r w:rsidR="00B50FED" w:rsidRPr="00133783">
        <w:rPr>
          <w:sz w:val="24"/>
          <w:szCs w:val="24"/>
        </w:rPr>
        <w:t xml:space="preserve">I was not notified of any issues.”  </w:t>
      </w:r>
      <w:r w:rsidR="00B50FED" w:rsidRPr="00133783">
        <w:rPr>
          <w:i/>
          <w:iCs/>
          <w:sz w:val="24"/>
          <w:szCs w:val="24"/>
        </w:rPr>
        <w:t xml:space="preserve">See </w:t>
      </w:r>
      <w:r w:rsidR="00B50FED" w:rsidRPr="00133783">
        <w:rPr>
          <w:sz w:val="24"/>
          <w:szCs w:val="24"/>
        </w:rPr>
        <w:t xml:space="preserve">Complaint, Attachment ¶ 4.  </w:t>
      </w:r>
      <w:r w:rsidR="0055424A" w:rsidRPr="00133783">
        <w:rPr>
          <w:sz w:val="24"/>
          <w:szCs w:val="24"/>
        </w:rPr>
        <w:t>Ms. Cigrand allege</w:t>
      </w:r>
      <w:r w:rsidR="00C61E5F" w:rsidRPr="00133783">
        <w:rPr>
          <w:sz w:val="24"/>
          <w:szCs w:val="24"/>
        </w:rPr>
        <w:t>s</w:t>
      </w:r>
      <w:r w:rsidR="0055424A" w:rsidRPr="00133783">
        <w:rPr>
          <w:sz w:val="24"/>
          <w:szCs w:val="24"/>
        </w:rPr>
        <w:t xml:space="preserve"> when she called Duquesne Light about the bill no one could explain why the bill was so high for one month.</w:t>
      </w:r>
      <w:r w:rsidR="001C0AFA" w:rsidRPr="00133783">
        <w:rPr>
          <w:sz w:val="24"/>
          <w:szCs w:val="24"/>
        </w:rPr>
        <w:t xml:space="preserve"> </w:t>
      </w:r>
      <w:r w:rsidR="0055424A" w:rsidRPr="00133783">
        <w:rPr>
          <w:sz w:val="24"/>
          <w:szCs w:val="24"/>
        </w:rPr>
        <w:t xml:space="preserve"> </w:t>
      </w:r>
      <w:bookmarkStart w:id="11" w:name="_Hlk92460029"/>
      <w:r w:rsidR="00432B89" w:rsidRPr="00133783">
        <w:rPr>
          <w:i/>
          <w:iCs/>
          <w:sz w:val="24"/>
          <w:szCs w:val="24"/>
        </w:rPr>
        <w:t>Id.</w:t>
      </w:r>
      <w:bookmarkEnd w:id="11"/>
      <w:r w:rsidR="009151A5" w:rsidRPr="00133783">
        <w:rPr>
          <w:sz w:val="24"/>
          <w:szCs w:val="24"/>
        </w:rPr>
        <w:t xml:space="preserve">  </w:t>
      </w:r>
      <w:r w:rsidR="0055424A" w:rsidRPr="00133783">
        <w:rPr>
          <w:sz w:val="24"/>
          <w:szCs w:val="24"/>
        </w:rPr>
        <w:t xml:space="preserve">She was told a supervisor would call her about the bill; however, a supervisor never called her back. </w:t>
      </w:r>
      <w:r w:rsidR="0099235E" w:rsidRPr="00133783">
        <w:rPr>
          <w:sz w:val="24"/>
          <w:szCs w:val="24"/>
        </w:rPr>
        <w:t xml:space="preserve"> </w:t>
      </w:r>
      <w:r w:rsidR="009151A5" w:rsidRPr="00133783">
        <w:rPr>
          <w:i/>
          <w:iCs/>
          <w:sz w:val="24"/>
          <w:szCs w:val="24"/>
        </w:rPr>
        <w:t>Id.</w:t>
      </w:r>
      <w:r w:rsidR="000F79EC" w:rsidRPr="00133783">
        <w:rPr>
          <w:sz w:val="24"/>
          <w:szCs w:val="24"/>
        </w:rPr>
        <w:t xml:space="preserve">  </w:t>
      </w:r>
      <w:r w:rsidR="00A849A3" w:rsidRPr="00133783">
        <w:rPr>
          <w:sz w:val="24"/>
          <w:szCs w:val="24"/>
        </w:rPr>
        <w:t xml:space="preserve">Apparently, </w:t>
      </w:r>
      <w:r w:rsidR="0099235E" w:rsidRPr="00133783">
        <w:rPr>
          <w:sz w:val="24"/>
          <w:szCs w:val="24"/>
        </w:rPr>
        <w:t>Ms. Cigran</w:t>
      </w:r>
      <w:r w:rsidR="00A849A3" w:rsidRPr="00133783">
        <w:rPr>
          <w:sz w:val="24"/>
          <w:szCs w:val="24"/>
        </w:rPr>
        <w:t xml:space="preserve">d’s is challenging </w:t>
      </w:r>
      <w:r w:rsidR="00673FDA" w:rsidRPr="00133783">
        <w:rPr>
          <w:sz w:val="24"/>
          <w:szCs w:val="24"/>
        </w:rPr>
        <w:t xml:space="preserve">Duquesne’s customer service and </w:t>
      </w:r>
      <w:r w:rsidR="00A849A3" w:rsidRPr="00133783">
        <w:rPr>
          <w:sz w:val="24"/>
          <w:szCs w:val="24"/>
        </w:rPr>
        <w:t>the accuracy of the amount of the bill</w:t>
      </w:r>
      <w:r w:rsidR="00836776" w:rsidRPr="00133783">
        <w:rPr>
          <w:sz w:val="24"/>
          <w:szCs w:val="24"/>
        </w:rPr>
        <w:t>s</w:t>
      </w:r>
      <w:r w:rsidR="00A57F8B" w:rsidRPr="00133783">
        <w:rPr>
          <w:sz w:val="24"/>
          <w:szCs w:val="24"/>
        </w:rPr>
        <w:t xml:space="preserve">.  </w:t>
      </w:r>
      <w:r w:rsidR="002219FF" w:rsidRPr="00133783">
        <w:rPr>
          <w:sz w:val="24"/>
          <w:szCs w:val="24"/>
        </w:rPr>
        <w:t xml:space="preserve">While Ms. Cigrand remains responsible </w:t>
      </w:r>
      <w:r w:rsidR="001B143B" w:rsidRPr="00133783">
        <w:rPr>
          <w:sz w:val="24"/>
          <w:szCs w:val="24"/>
        </w:rPr>
        <w:t>for</w:t>
      </w:r>
      <w:r w:rsidR="00F935A9" w:rsidRPr="00133783">
        <w:rPr>
          <w:sz w:val="24"/>
          <w:szCs w:val="24"/>
        </w:rPr>
        <w:t xml:space="preserve"> the tenants’ bills as determined by the evidence, </w:t>
      </w:r>
      <w:r w:rsidR="00324EA9" w:rsidRPr="00133783">
        <w:rPr>
          <w:sz w:val="24"/>
          <w:szCs w:val="24"/>
        </w:rPr>
        <w:t>there</w:t>
      </w:r>
      <w:r w:rsidR="009A5F1D" w:rsidRPr="00133783">
        <w:rPr>
          <w:sz w:val="24"/>
          <w:szCs w:val="24"/>
        </w:rPr>
        <w:t xml:space="preserve"> are</w:t>
      </w:r>
      <w:r w:rsidR="00324EA9" w:rsidRPr="00133783">
        <w:rPr>
          <w:sz w:val="24"/>
          <w:szCs w:val="24"/>
        </w:rPr>
        <w:t xml:space="preserve"> </w:t>
      </w:r>
      <w:r w:rsidR="0090220C" w:rsidRPr="00133783">
        <w:rPr>
          <w:sz w:val="24"/>
          <w:szCs w:val="24"/>
        </w:rPr>
        <w:t xml:space="preserve">material </w:t>
      </w:r>
      <w:r w:rsidR="00062749" w:rsidRPr="00133783">
        <w:rPr>
          <w:sz w:val="24"/>
          <w:szCs w:val="24"/>
        </w:rPr>
        <w:t>question</w:t>
      </w:r>
      <w:r w:rsidR="00A57F8B" w:rsidRPr="00133783">
        <w:rPr>
          <w:sz w:val="24"/>
          <w:szCs w:val="24"/>
        </w:rPr>
        <w:t>s</w:t>
      </w:r>
      <w:r w:rsidR="00062749" w:rsidRPr="00133783">
        <w:rPr>
          <w:sz w:val="24"/>
          <w:szCs w:val="24"/>
        </w:rPr>
        <w:t xml:space="preserve"> of fact that cannot be resolved on a preliminary mo</w:t>
      </w:r>
      <w:r w:rsidR="00DC3084" w:rsidRPr="00133783">
        <w:rPr>
          <w:sz w:val="24"/>
          <w:szCs w:val="24"/>
        </w:rPr>
        <w:t xml:space="preserve">tion.  </w:t>
      </w:r>
    </w:p>
    <w:p w14:paraId="3D298A98" w14:textId="77777777" w:rsidR="00B73DDB" w:rsidRPr="00133783" w:rsidRDefault="00B73DDB" w:rsidP="0055424A">
      <w:pPr>
        <w:rPr>
          <w:sz w:val="24"/>
          <w:szCs w:val="24"/>
        </w:rPr>
      </w:pPr>
    </w:p>
    <w:p w14:paraId="67AAE504" w14:textId="2370BF8A" w:rsidR="00B73DDB" w:rsidRPr="00133783" w:rsidRDefault="00B73DDB" w:rsidP="0055424A">
      <w:pPr>
        <w:rPr>
          <w:sz w:val="24"/>
          <w:szCs w:val="24"/>
          <w:u w:val="single"/>
        </w:rPr>
      </w:pPr>
      <w:r w:rsidRPr="00133783">
        <w:rPr>
          <w:sz w:val="24"/>
          <w:szCs w:val="24"/>
          <w:u w:val="single"/>
        </w:rPr>
        <w:t>Duquesne Light’s Dismissal Request</w:t>
      </w:r>
    </w:p>
    <w:p w14:paraId="7F6F4118" w14:textId="77777777" w:rsidR="00B73DDB" w:rsidRPr="00133783" w:rsidRDefault="00B73DDB" w:rsidP="0055424A">
      <w:pPr>
        <w:rPr>
          <w:sz w:val="24"/>
          <w:szCs w:val="24"/>
        </w:rPr>
      </w:pPr>
    </w:p>
    <w:p w14:paraId="76DA4A1B" w14:textId="77777777" w:rsidR="00133783" w:rsidRDefault="00924EC3" w:rsidP="00324EA9">
      <w:pPr>
        <w:ind w:firstLine="1440"/>
        <w:rPr>
          <w:sz w:val="24"/>
          <w:szCs w:val="24"/>
        </w:rPr>
      </w:pPr>
      <w:r w:rsidRPr="00133783">
        <w:rPr>
          <w:sz w:val="24"/>
          <w:szCs w:val="24"/>
        </w:rPr>
        <w:t xml:space="preserve">For the reasons explained above, </w:t>
      </w:r>
      <w:r w:rsidR="00F4409A" w:rsidRPr="00133783">
        <w:rPr>
          <w:sz w:val="24"/>
          <w:szCs w:val="24"/>
        </w:rPr>
        <w:t xml:space="preserve">Duquesne Light’s request to dismiss the Complaint in its entirety must be denied. </w:t>
      </w:r>
      <w:r w:rsidR="001E2129" w:rsidRPr="00133783">
        <w:rPr>
          <w:sz w:val="24"/>
          <w:szCs w:val="24"/>
        </w:rPr>
        <w:t xml:space="preserve">There are questions of fact concerning </w:t>
      </w:r>
      <w:r w:rsidR="00A176F4" w:rsidRPr="00133783">
        <w:rPr>
          <w:sz w:val="24"/>
          <w:szCs w:val="24"/>
        </w:rPr>
        <w:t>Duquesne Light</w:t>
      </w:r>
      <w:r w:rsidR="001E2129" w:rsidRPr="00133783">
        <w:rPr>
          <w:sz w:val="24"/>
          <w:szCs w:val="24"/>
        </w:rPr>
        <w:t xml:space="preserve">’s compliance with the reasonable service requirements of Section 1501 of the Code.  While the ultimate determination of facts will guide the outcome of the case, a factual </w:t>
      </w:r>
      <w:r w:rsidR="001E2129" w:rsidRPr="00133783">
        <w:rPr>
          <w:i/>
          <w:sz w:val="24"/>
          <w:szCs w:val="24"/>
        </w:rPr>
        <w:t>dispute</w:t>
      </w:r>
      <w:r w:rsidR="001E2129" w:rsidRPr="00133783">
        <w:rPr>
          <w:sz w:val="24"/>
          <w:szCs w:val="24"/>
        </w:rPr>
        <w:t xml:space="preserve"> will prevent the grant of a preliminary </w:t>
      </w:r>
      <w:r w:rsidR="00C966C9" w:rsidRPr="00133783">
        <w:rPr>
          <w:sz w:val="24"/>
          <w:szCs w:val="24"/>
        </w:rPr>
        <w:t>m</w:t>
      </w:r>
      <w:r w:rsidR="001E2129" w:rsidRPr="00133783">
        <w:rPr>
          <w:sz w:val="24"/>
          <w:szCs w:val="24"/>
        </w:rPr>
        <w:t xml:space="preserve">otion to </w:t>
      </w:r>
      <w:r w:rsidR="00C966C9" w:rsidRPr="00133783">
        <w:rPr>
          <w:sz w:val="24"/>
          <w:szCs w:val="24"/>
        </w:rPr>
        <w:t>d</w:t>
      </w:r>
      <w:r w:rsidR="001E2129" w:rsidRPr="00133783">
        <w:rPr>
          <w:sz w:val="24"/>
          <w:szCs w:val="24"/>
        </w:rPr>
        <w:t>ismiss the case in its entirety.  Any doubt must be assumed in favor of the nonmoving Party.</w:t>
      </w:r>
      <w:r w:rsidR="00E024DC" w:rsidRPr="00133783">
        <w:rPr>
          <w:sz w:val="24"/>
          <w:szCs w:val="24"/>
        </w:rPr>
        <w:t xml:space="preserve">  </w:t>
      </w:r>
      <w:r w:rsidR="00086E92" w:rsidRPr="00133783">
        <w:rPr>
          <w:sz w:val="24"/>
          <w:szCs w:val="24"/>
        </w:rPr>
        <w:t>Accordingly</w:t>
      </w:r>
      <w:r w:rsidR="00441680" w:rsidRPr="00133783">
        <w:rPr>
          <w:sz w:val="24"/>
          <w:szCs w:val="24"/>
        </w:rPr>
        <w:t>,</w:t>
      </w:r>
      <w:r w:rsidR="00086E92" w:rsidRPr="00133783">
        <w:rPr>
          <w:sz w:val="24"/>
          <w:szCs w:val="24"/>
        </w:rPr>
        <w:t xml:space="preserve"> th</w:t>
      </w:r>
      <w:r w:rsidR="00324EA9" w:rsidRPr="00133783">
        <w:rPr>
          <w:sz w:val="24"/>
          <w:szCs w:val="24"/>
        </w:rPr>
        <w:t>is</w:t>
      </w:r>
      <w:r w:rsidR="00086E92" w:rsidRPr="00133783">
        <w:rPr>
          <w:sz w:val="24"/>
          <w:szCs w:val="24"/>
        </w:rPr>
        <w:t xml:space="preserve"> case will proceed to hearing on </w:t>
      </w:r>
      <w:r w:rsidR="00C62A4A" w:rsidRPr="00133783">
        <w:rPr>
          <w:sz w:val="24"/>
          <w:szCs w:val="24"/>
        </w:rPr>
        <w:t xml:space="preserve">any </w:t>
      </w:r>
      <w:r w:rsidR="001755D7" w:rsidRPr="00133783">
        <w:rPr>
          <w:sz w:val="24"/>
          <w:szCs w:val="24"/>
        </w:rPr>
        <w:t xml:space="preserve">unresolved reasonable service </w:t>
      </w:r>
      <w:r w:rsidR="00EA0127" w:rsidRPr="00133783">
        <w:rPr>
          <w:sz w:val="24"/>
          <w:szCs w:val="24"/>
        </w:rPr>
        <w:t>issue</w:t>
      </w:r>
      <w:r w:rsidR="0099235E" w:rsidRPr="00133783">
        <w:rPr>
          <w:sz w:val="24"/>
          <w:szCs w:val="24"/>
        </w:rPr>
        <w:t>s</w:t>
      </w:r>
      <w:r w:rsidR="001755D7" w:rsidRPr="00133783">
        <w:rPr>
          <w:sz w:val="24"/>
          <w:szCs w:val="24"/>
        </w:rPr>
        <w:t>.</w:t>
      </w:r>
    </w:p>
    <w:p w14:paraId="2782C10C" w14:textId="77777777" w:rsidR="00133783" w:rsidRDefault="00133783" w:rsidP="00324EA9">
      <w:pPr>
        <w:ind w:firstLine="1440"/>
        <w:rPr>
          <w:sz w:val="24"/>
          <w:szCs w:val="24"/>
        </w:rPr>
      </w:pPr>
    </w:p>
    <w:p w14:paraId="61322998" w14:textId="2F59EA6A" w:rsidR="005E5434" w:rsidRPr="00133783" w:rsidRDefault="005E5434" w:rsidP="00324EA9">
      <w:pPr>
        <w:ind w:firstLine="1440"/>
        <w:rPr>
          <w:sz w:val="24"/>
          <w:szCs w:val="24"/>
        </w:rPr>
      </w:pPr>
      <w:r w:rsidRPr="00133783">
        <w:rPr>
          <w:sz w:val="24"/>
          <w:szCs w:val="24"/>
        </w:rPr>
        <w:t xml:space="preserve">If Complainant’s allegations are proven by a preponderance of evidence at a hearing, the allegations may well constitute a violation of the reasonable and adequate service requirements of Section 1501 of the Code.  </w:t>
      </w:r>
      <w:r w:rsidRPr="00133783">
        <w:rPr>
          <w:i/>
          <w:iCs/>
          <w:sz w:val="24"/>
          <w:szCs w:val="24"/>
        </w:rPr>
        <w:t xml:space="preserve">Honey Brook Water Co. v. Pa. Pub. Util. Comm’n, </w:t>
      </w:r>
      <w:r w:rsidRPr="00133783">
        <w:rPr>
          <w:sz w:val="24"/>
          <w:szCs w:val="24"/>
        </w:rPr>
        <w:t xml:space="preserve">167 Pa.Cmwlth. 140, 647 A.2d 653 (1994), app. denied, 540 Pa. 587, 655 A.2d 518 (1995).  Furthermore, </w:t>
      </w:r>
      <w:r w:rsidR="00F070C7" w:rsidRPr="00133783">
        <w:rPr>
          <w:sz w:val="24"/>
          <w:szCs w:val="24"/>
        </w:rPr>
        <w:t>Duquesne Light</w:t>
      </w:r>
      <w:r w:rsidRPr="00133783">
        <w:rPr>
          <w:sz w:val="24"/>
          <w:szCs w:val="24"/>
        </w:rPr>
        <w:t xml:space="preserve"> may ultimately face a civil penalty and/or an order to take remedial action, in the event Complainant prevails in establishing inadequate service on </w:t>
      </w:r>
      <w:r w:rsidR="001775FA" w:rsidRPr="00133783">
        <w:rPr>
          <w:sz w:val="24"/>
          <w:szCs w:val="24"/>
        </w:rPr>
        <w:t>Duquesne Light</w:t>
      </w:r>
      <w:r w:rsidRPr="00133783">
        <w:rPr>
          <w:sz w:val="24"/>
          <w:szCs w:val="24"/>
        </w:rPr>
        <w:t>’s part.</w:t>
      </w:r>
    </w:p>
    <w:p w14:paraId="5C729425" w14:textId="77777777" w:rsidR="005E5434" w:rsidRPr="00133783" w:rsidRDefault="005E5434" w:rsidP="005E5434">
      <w:pPr>
        <w:rPr>
          <w:sz w:val="24"/>
          <w:szCs w:val="24"/>
        </w:rPr>
      </w:pPr>
    </w:p>
    <w:p w14:paraId="3CF66CC0" w14:textId="60170CBF" w:rsidR="005E5434" w:rsidRPr="00133783" w:rsidRDefault="005E5434" w:rsidP="005E5434">
      <w:pPr>
        <w:rPr>
          <w:sz w:val="24"/>
          <w:szCs w:val="24"/>
        </w:rPr>
      </w:pPr>
      <w:r w:rsidRPr="00133783">
        <w:rPr>
          <w:sz w:val="24"/>
          <w:szCs w:val="24"/>
        </w:rPr>
        <w:tab/>
      </w:r>
      <w:r w:rsidRPr="00133783">
        <w:rPr>
          <w:sz w:val="24"/>
          <w:szCs w:val="24"/>
        </w:rPr>
        <w:tab/>
        <w:t xml:space="preserve">Complainant is cautioned that </w:t>
      </w:r>
      <w:r w:rsidR="001775FA" w:rsidRPr="00133783">
        <w:rPr>
          <w:sz w:val="24"/>
          <w:szCs w:val="24"/>
        </w:rPr>
        <w:t>Duquesne Light</w:t>
      </w:r>
      <w:r w:rsidRPr="00133783">
        <w:rPr>
          <w:sz w:val="24"/>
          <w:szCs w:val="24"/>
        </w:rPr>
        <w:t xml:space="preserve">’s </w:t>
      </w:r>
      <w:r w:rsidR="001C0654" w:rsidRPr="00133783">
        <w:rPr>
          <w:sz w:val="24"/>
          <w:szCs w:val="24"/>
        </w:rPr>
        <w:t xml:space="preserve">request to </w:t>
      </w:r>
      <w:r w:rsidRPr="00133783">
        <w:rPr>
          <w:sz w:val="24"/>
          <w:szCs w:val="24"/>
        </w:rPr>
        <w:t xml:space="preserve">for </w:t>
      </w:r>
      <w:r w:rsidR="001C0654" w:rsidRPr="00133783">
        <w:rPr>
          <w:sz w:val="24"/>
          <w:szCs w:val="24"/>
        </w:rPr>
        <w:t>d</w:t>
      </w:r>
      <w:r w:rsidRPr="00133783">
        <w:rPr>
          <w:sz w:val="24"/>
          <w:szCs w:val="24"/>
        </w:rPr>
        <w:t xml:space="preserve">ismissal of the Complaint in its entirety is denied on purely procedural grounds and does not, in any way, give </w:t>
      </w:r>
      <w:r w:rsidRPr="00133783">
        <w:rPr>
          <w:sz w:val="24"/>
          <w:szCs w:val="24"/>
        </w:rPr>
        <w:lastRenderedPageBreak/>
        <w:t xml:space="preserve">credence to either the substance of the Complaint or to the likelihood of Complainant’s success on the merits.  </w:t>
      </w:r>
    </w:p>
    <w:p w14:paraId="54B6CB2E" w14:textId="77777777" w:rsidR="005E5434" w:rsidRPr="00133783" w:rsidRDefault="005E5434" w:rsidP="005E5434">
      <w:pPr>
        <w:rPr>
          <w:sz w:val="24"/>
          <w:szCs w:val="24"/>
        </w:rPr>
      </w:pPr>
    </w:p>
    <w:p w14:paraId="039D7DDB" w14:textId="21622FCC" w:rsidR="005E5434" w:rsidRPr="00133783" w:rsidRDefault="005E5434" w:rsidP="005E5434">
      <w:pPr>
        <w:rPr>
          <w:sz w:val="24"/>
          <w:szCs w:val="24"/>
        </w:rPr>
      </w:pPr>
      <w:r w:rsidRPr="00133783">
        <w:rPr>
          <w:sz w:val="24"/>
          <w:szCs w:val="24"/>
        </w:rPr>
        <w:tab/>
      </w:r>
      <w:r w:rsidRPr="00133783">
        <w:rPr>
          <w:sz w:val="24"/>
          <w:szCs w:val="24"/>
        </w:rPr>
        <w:tab/>
        <w:t xml:space="preserve">A complainant has the burden of showing that the named utility is responsible or accountable for the problem described in the complaint </w:t>
      </w:r>
      <w:r w:rsidR="001C0654" w:rsidRPr="00133783">
        <w:rPr>
          <w:sz w:val="24"/>
          <w:szCs w:val="24"/>
        </w:rPr>
        <w:t>to</w:t>
      </w:r>
      <w:r w:rsidRPr="00133783">
        <w:rPr>
          <w:sz w:val="24"/>
          <w:szCs w:val="24"/>
        </w:rPr>
        <w:t xml:space="preserve"> prevail</w:t>
      </w:r>
      <w:r w:rsidR="009906A9" w:rsidRPr="00133783">
        <w:rPr>
          <w:sz w:val="24"/>
          <w:szCs w:val="24"/>
        </w:rPr>
        <w:t xml:space="preserve"> on the merits of the case</w:t>
      </w:r>
      <w:r w:rsidRPr="00133783">
        <w:rPr>
          <w:sz w:val="24"/>
          <w:szCs w:val="24"/>
        </w:rPr>
        <w:t xml:space="preserve">.  </w:t>
      </w:r>
      <w:r w:rsidRPr="00133783">
        <w:rPr>
          <w:i/>
          <w:iCs/>
          <w:sz w:val="24"/>
          <w:szCs w:val="24"/>
        </w:rPr>
        <w:t>Patterson v. Bell Telephone Company of Pennsylvania</w:t>
      </w:r>
      <w:r w:rsidRPr="00133783">
        <w:rPr>
          <w:sz w:val="24"/>
          <w:szCs w:val="24"/>
        </w:rPr>
        <w:t xml:space="preserve">, 72 Pa. PUC 196 (1990); </w:t>
      </w:r>
      <w:r w:rsidRPr="00133783">
        <w:rPr>
          <w:i/>
          <w:iCs/>
          <w:sz w:val="24"/>
          <w:szCs w:val="24"/>
        </w:rPr>
        <w:t>Feinstein v. Philadelphia Suburban Water Company</w:t>
      </w:r>
      <w:r w:rsidRPr="00133783">
        <w:rPr>
          <w:sz w:val="24"/>
          <w:szCs w:val="24"/>
        </w:rPr>
        <w:t xml:space="preserve">, 50 Pa. PUC 300 (1976).  This must be shown by a preponderance of the evidence.  </w:t>
      </w:r>
      <w:r w:rsidRPr="00133783">
        <w:rPr>
          <w:i/>
          <w:iCs/>
          <w:sz w:val="24"/>
          <w:szCs w:val="24"/>
        </w:rPr>
        <w:t>Samuel J. Lansberry, Inc. v. Pa. Pub. Util. Comm’n</w:t>
      </w:r>
      <w:r w:rsidRPr="00133783">
        <w:rPr>
          <w:sz w:val="24"/>
          <w:szCs w:val="24"/>
        </w:rPr>
        <w:t xml:space="preserve">, 578 A.2d 600 (1990), </w:t>
      </w:r>
      <w:r w:rsidRPr="00133783">
        <w:rPr>
          <w:i/>
          <w:iCs/>
          <w:sz w:val="24"/>
          <w:szCs w:val="24"/>
        </w:rPr>
        <w:t>alloc. den.,</w:t>
      </w:r>
      <w:r w:rsidRPr="00133783">
        <w:rPr>
          <w:sz w:val="24"/>
          <w:szCs w:val="24"/>
        </w:rPr>
        <w:t xml:space="preserve"> 602 A.2d 863 (1992).  That is, by presenting evidence more convincing, by even the smallest amount, than that presented by the other party.  </w:t>
      </w:r>
      <w:r w:rsidRPr="00133783">
        <w:rPr>
          <w:i/>
          <w:iCs/>
          <w:sz w:val="24"/>
          <w:szCs w:val="24"/>
        </w:rPr>
        <w:t>Se-Ling Hosiery v. Marqulies,</w:t>
      </w:r>
      <w:r w:rsidRPr="00133783">
        <w:rPr>
          <w:sz w:val="24"/>
          <w:szCs w:val="24"/>
        </w:rPr>
        <w:t xml:space="preserve"> 70 A.2d 854 (1950).  </w:t>
      </w:r>
    </w:p>
    <w:p w14:paraId="4BF1DB60" w14:textId="77777777" w:rsidR="005E5434" w:rsidRPr="00133783" w:rsidRDefault="005E5434" w:rsidP="005E5434">
      <w:pPr>
        <w:rPr>
          <w:sz w:val="24"/>
          <w:szCs w:val="24"/>
        </w:rPr>
      </w:pPr>
    </w:p>
    <w:p w14:paraId="1879E125" w14:textId="195C37F8" w:rsidR="005E5434" w:rsidRPr="00133783" w:rsidRDefault="005E5434" w:rsidP="005E5434">
      <w:pPr>
        <w:rPr>
          <w:sz w:val="24"/>
          <w:szCs w:val="24"/>
        </w:rPr>
      </w:pPr>
      <w:r w:rsidRPr="00133783">
        <w:rPr>
          <w:sz w:val="24"/>
          <w:szCs w:val="24"/>
        </w:rPr>
        <w:tab/>
      </w:r>
      <w:r w:rsidRPr="00133783">
        <w:rPr>
          <w:sz w:val="24"/>
          <w:szCs w:val="24"/>
        </w:rPr>
        <w:tab/>
        <w:t>The utility company’s offense must be a violation of the Code, the Commission’s regulations, or an outstanding order of the Commission.  66 Pa.C.S. § 701.  Complainant is responsible for proving that the utility has acted improperly, by providing testimony and documentary evidence, such as expert reports, photographs</w:t>
      </w:r>
      <w:r w:rsidR="00A625AC" w:rsidRPr="00133783">
        <w:rPr>
          <w:sz w:val="24"/>
          <w:szCs w:val="24"/>
        </w:rPr>
        <w:t>,</w:t>
      </w:r>
      <w:r w:rsidRPr="00133783">
        <w:rPr>
          <w:sz w:val="24"/>
          <w:szCs w:val="24"/>
        </w:rPr>
        <w:t xml:space="preserve"> and any other relevant materials necessary to support that finding, and that the Commission has the jurisdiction to provide the remedy.</w:t>
      </w:r>
    </w:p>
    <w:p w14:paraId="16BF182B" w14:textId="77777777" w:rsidR="005E5434" w:rsidRPr="00133783" w:rsidRDefault="005E5434" w:rsidP="005E5434">
      <w:pPr>
        <w:rPr>
          <w:sz w:val="24"/>
          <w:szCs w:val="24"/>
        </w:rPr>
      </w:pPr>
    </w:p>
    <w:p w14:paraId="3C0EE74A" w14:textId="286C512D" w:rsidR="005E5434" w:rsidRPr="00133783" w:rsidRDefault="005E5434" w:rsidP="005E5434">
      <w:pPr>
        <w:jc w:val="center"/>
        <w:rPr>
          <w:sz w:val="24"/>
          <w:szCs w:val="24"/>
          <w:u w:val="single"/>
        </w:rPr>
      </w:pPr>
      <w:r w:rsidRPr="00133783">
        <w:rPr>
          <w:sz w:val="24"/>
          <w:szCs w:val="24"/>
          <w:u w:val="single"/>
        </w:rPr>
        <w:t>CONCLUSIONS OF LAW</w:t>
      </w:r>
    </w:p>
    <w:p w14:paraId="22CBC82B" w14:textId="77777777" w:rsidR="005E5434" w:rsidRPr="00133783" w:rsidRDefault="005E5434" w:rsidP="005E5434">
      <w:pPr>
        <w:rPr>
          <w:sz w:val="24"/>
          <w:szCs w:val="24"/>
        </w:rPr>
      </w:pPr>
    </w:p>
    <w:p w14:paraId="7ECADBA1" w14:textId="77777777" w:rsidR="005E5434" w:rsidRPr="00133783" w:rsidRDefault="005E5434" w:rsidP="005E5434">
      <w:pPr>
        <w:rPr>
          <w:sz w:val="24"/>
          <w:szCs w:val="24"/>
        </w:rPr>
      </w:pPr>
      <w:r w:rsidRPr="00133783">
        <w:rPr>
          <w:sz w:val="24"/>
          <w:szCs w:val="24"/>
        </w:rPr>
        <w:tab/>
      </w:r>
      <w:r w:rsidRPr="00133783">
        <w:rPr>
          <w:sz w:val="24"/>
          <w:szCs w:val="24"/>
        </w:rPr>
        <w:tab/>
        <w:t>1.</w:t>
      </w:r>
      <w:r w:rsidRPr="00133783">
        <w:rPr>
          <w:sz w:val="24"/>
          <w:szCs w:val="24"/>
        </w:rPr>
        <w:tab/>
        <w:t xml:space="preserve">The Commission’s Rules of Administrative Practice and Procedure permit </w:t>
      </w:r>
    </w:p>
    <w:p w14:paraId="4758B0AA" w14:textId="46348750" w:rsidR="005E5434" w:rsidRPr="00133783" w:rsidRDefault="005E5434" w:rsidP="00D34FB6">
      <w:pPr>
        <w:rPr>
          <w:sz w:val="24"/>
          <w:szCs w:val="24"/>
        </w:rPr>
      </w:pPr>
      <w:r w:rsidRPr="00133783">
        <w:rPr>
          <w:sz w:val="24"/>
          <w:szCs w:val="24"/>
        </w:rPr>
        <w:t xml:space="preserve">the filing of </w:t>
      </w:r>
      <w:r w:rsidR="00DE56E8" w:rsidRPr="00133783">
        <w:rPr>
          <w:sz w:val="24"/>
          <w:szCs w:val="24"/>
        </w:rPr>
        <w:t>motion for judgment on the pleadings</w:t>
      </w:r>
      <w:r w:rsidRPr="00133783">
        <w:rPr>
          <w:sz w:val="24"/>
          <w:szCs w:val="24"/>
        </w:rPr>
        <w:t>.</w:t>
      </w:r>
      <w:r w:rsidR="00883DB1" w:rsidRPr="00133783">
        <w:rPr>
          <w:sz w:val="24"/>
          <w:szCs w:val="24"/>
        </w:rPr>
        <w:t xml:space="preserve"> 52 Pa.Code § </w:t>
      </w:r>
      <w:r w:rsidR="00D34FB6" w:rsidRPr="00133783">
        <w:rPr>
          <w:sz w:val="24"/>
          <w:szCs w:val="24"/>
        </w:rPr>
        <w:t>102.</w:t>
      </w:r>
    </w:p>
    <w:p w14:paraId="60C8EC71" w14:textId="17239C92" w:rsidR="00252AF2" w:rsidRPr="00133783" w:rsidRDefault="00252AF2" w:rsidP="005E5434">
      <w:pPr>
        <w:rPr>
          <w:sz w:val="24"/>
          <w:szCs w:val="24"/>
        </w:rPr>
      </w:pPr>
    </w:p>
    <w:p w14:paraId="41955591" w14:textId="77777777" w:rsidR="00022B72" w:rsidRDefault="00252AF2" w:rsidP="00252AF2">
      <w:pPr>
        <w:autoSpaceDE w:val="0"/>
        <w:autoSpaceDN w:val="0"/>
        <w:adjustRightInd w:val="0"/>
        <w:ind w:firstLine="1440"/>
        <w:rPr>
          <w:rFonts w:eastAsia="Calibri"/>
          <w:sz w:val="24"/>
          <w:szCs w:val="24"/>
        </w:rPr>
      </w:pPr>
      <w:r w:rsidRPr="00133783">
        <w:rPr>
          <w:sz w:val="24"/>
          <w:szCs w:val="24"/>
        </w:rPr>
        <w:t>2.</w:t>
      </w:r>
      <w:r w:rsidRPr="00133783">
        <w:rPr>
          <w:sz w:val="24"/>
          <w:szCs w:val="24"/>
        </w:rPr>
        <w:tab/>
        <w:t>A f</w:t>
      </w:r>
      <w:r w:rsidRPr="00133783">
        <w:rPr>
          <w:rFonts w:eastAsia="Calibri"/>
          <w:sz w:val="24"/>
          <w:szCs w:val="24"/>
        </w:rPr>
        <w:t xml:space="preserve">oreign load exists when a tenant’s meter </w:t>
      </w:r>
      <w:r w:rsidR="00122DC8" w:rsidRPr="00133783">
        <w:rPr>
          <w:rFonts w:eastAsia="Calibri"/>
          <w:sz w:val="24"/>
          <w:szCs w:val="24"/>
        </w:rPr>
        <w:t xml:space="preserve">at the service location </w:t>
      </w:r>
      <w:r w:rsidRPr="00133783">
        <w:rPr>
          <w:rFonts w:eastAsia="Calibri"/>
          <w:sz w:val="24"/>
          <w:szCs w:val="24"/>
        </w:rPr>
        <w:t>registers usage load from electric usage outside of that tenant’s dwelling, such as hallway lighting or communal laundry room appliances.</w:t>
      </w:r>
      <w:r w:rsidRPr="00133783">
        <w:rPr>
          <w:rFonts w:eastAsia="Calibri"/>
          <w:i/>
          <w:iCs/>
          <w:sz w:val="24"/>
          <w:szCs w:val="24"/>
        </w:rPr>
        <w:t xml:space="preserve"> Kopf v. PECO Energy Co., </w:t>
      </w:r>
      <w:r w:rsidRPr="00133783">
        <w:rPr>
          <w:rFonts w:eastAsia="Calibri"/>
          <w:sz w:val="24"/>
          <w:szCs w:val="24"/>
        </w:rPr>
        <w:t xml:space="preserve">Docket No. </w:t>
      </w:r>
    </w:p>
    <w:p w14:paraId="6E5BE866" w14:textId="3E46EA3F" w:rsidR="00252AF2" w:rsidRPr="00133783" w:rsidRDefault="00252AF2" w:rsidP="00022B72">
      <w:pPr>
        <w:autoSpaceDE w:val="0"/>
        <w:autoSpaceDN w:val="0"/>
        <w:adjustRightInd w:val="0"/>
        <w:rPr>
          <w:sz w:val="24"/>
          <w:szCs w:val="24"/>
        </w:rPr>
      </w:pPr>
      <w:r w:rsidRPr="00133783">
        <w:rPr>
          <w:rFonts w:eastAsia="Calibri"/>
          <w:sz w:val="24"/>
          <w:szCs w:val="24"/>
        </w:rPr>
        <w:t>C-2012-2332993, 2013 WL 3070745, (June 13, 2013).</w:t>
      </w:r>
    </w:p>
    <w:p w14:paraId="56EF7F20" w14:textId="77777777" w:rsidR="00252AF2" w:rsidRPr="00133783" w:rsidRDefault="00252AF2" w:rsidP="00252AF2">
      <w:pPr>
        <w:ind w:left="720" w:firstLine="720"/>
        <w:rPr>
          <w:sz w:val="24"/>
          <w:szCs w:val="24"/>
        </w:rPr>
      </w:pPr>
    </w:p>
    <w:p w14:paraId="22A3D43F" w14:textId="3091DF3E" w:rsidR="006357C9" w:rsidRPr="00133783" w:rsidRDefault="00791ABD" w:rsidP="00324378">
      <w:pPr>
        <w:ind w:firstLine="1440"/>
        <w:rPr>
          <w:sz w:val="24"/>
          <w:szCs w:val="24"/>
        </w:rPr>
      </w:pPr>
      <w:r w:rsidRPr="00133783">
        <w:rPr>
          <w:sz w:val="24"/>
          <w:szCs w:val="24"/>
        </w:rPr>
        <w:lastRenderedPageBreak/>
        <w:t>3.</w:t>
      </w:r>
      <w:r w:rsidRPr="00133783">
        <w:rPr>
          <w:sz w:val="24"/>
          <w:szCs w:val="24"/>
        </w:rPr>
        <w:tab/>
        <w:t xml:space="preserve">Upon discovering a foreign load at a service location, the utility is required to </w:t>
      </w:r>
      <w:r w:rsidR="00A64458" w:rsidRPr="00133783">
        <w:rPr>
          <w:sz w:val="24"/>
          <w:szCs w:val="24"/>
        </w:rPr>
        <w:t xml:space="preserve">transfer the affected tenant’s account </w:t>
      </w:r>
      <w:r w:rsidR="00533014" w:rsidRPr="00133783">
        <w:rPr>
          <w:sz w:val="24"/>
          <w:szCs w:val="24"/>
        </w:rPr>
        <w:t xml:space="preserve">balance </w:t>
      </w:r>
      <w:r w:rsidR="00A64458" w:rsidRPr="00133783">
        <w:rPr>
          <w:sz w:val="24"/>
          <w:szCs w:val="24"/>
        </w:rPr>
        <w:t xml:space="preserve">to the owner of </w:t>
      </w:r>
      <w:r w:rsidR="005672E9" w:rsidRPr="00133783">
        <w:rPr>
          <w:sz w:val="24"/>
          <w:szCs w:val="24"/>
        </w:rPr>
        <w:t xml:space="preserve">service location. </w:t>
      </w:r>
      <w:r w:rsidRPr="00133783">
        <w:rPr>
          <w:rFonts w:eastAsia="Calibri"/>
          <w:sz w:val="24"/>
          <w:szCs w:val="24"/>
        </w:rPr>
        <w:t>66</w:t>
      </w:r>
      <w:r w:rsidR="00022B72">
        <w:rPr>
          <w:rFonts w:eastAsia="Calibri"/>
          <w:sz w:val="24"/>
          <w:szCs w:val="24"/>
        </w:rPr>
        <w:t> </w:t>
      </w:r>
      <w:r w:rsidRPr="00133783">
        <w:rPr>
          <w:rFonts w:eastAsia="Calibri"/>
          <w:sz w:val="24"/>
          <w:szCs w:val="24"/>
        </w:rPr>
        <w:t>Pa.C.S.A. § 1529.1(b)</w:t>
      </w:r>
      <w:r w:rsidR="001B62F5" w:rsidRPr="00133783">
        <w:rPr>
          <w:rFonts w:eastAsia="Calibri"/>
          <w:sz w:val="24"/>
          <w:szCs w:val="24"/>
        </w:rPr>
        <w:t>.</w:t>
      </w:r>
    </w:p>
    <w:p w14:paraId="021244C4" w14:textId="77777777" w:rsidR="006357C9" w:rsidRPr="00133783" w:rsidRDefault="006357C9" w:rsidP="006357C9">
      <w:pPr>
        <w:ind w:left="720" w:firstLine="720"/>
        <w:rPr>
          <w:sz w:val="24"/>
          <w:szCs w:val="24"/>
        </w:rPr>
      </w:pPr>
    </w:p>
    <w:p w14:paraId="60F2321D" w14:textId="71E22B51" w:rsidR="006357C9" w:rsidRPr="00133783" w:rsidRDefault="006357C9" w:rsidP="004522A6">
      <w:pPr>
        <w:autoSpaceDE w:val="0"/>
        <w:autoSpaceDN w:val="0"/>
        <w:adjustRightInd w:val="0"/>
        <w:ind w:firstLine="1440"/>
        <w:rPr>
          <w:rFonts w:eastAsia="Calibri"/>
          <w:sz w:val="24"/>
          <w:szCs w:val="24"/>
        </w:rPr>
      </w:pPr>
      <w:r w:rsidRPr="00133783">
        <w:rPr>
          <w:sz w:val="24"/>
          <w:szCs w:val="24"/>
        </w:rPr>
        <w:t>4</w:t>
      </w:r>
      <w:r w:rsidR="00D34FB6" w:rsidRPr="00133783">
        <w:rPr>
          <w:sz w:val="24"/>
          <w:szCs w:val="24"/>
        </w:rPr>
        <w:t>.</w:t>
      </w:r>
      <w:r w:rsidRPr="00133783">
        <w:rPr>
          <w:sz w:val="24"/>
          <w:szCs w:val="24"/>
        </w:rPr>
        <w:tab/>
      </w:r>
      <w:r w:rsidR="003020C3" w:rsidRPr="00133783">
        <w:rPr>
          <w:sz w:val="24"/>
          <w:szCs w:val="24"/>
        </w:rPr>
        <w:t>T</w:t>
      </w:r>
      <w:r w:rsidRPr="00133783">
        <w:rPr>
          <w:rFonts w:eastAsia="Calibri"/>
          <w:sz w:val="24"/>
          <w:szCs w:val="24"/>
        </w:rPr>
        <w:t>he owner of property that has a foreign load is responsible for the tenant</w:t>
      </w:r>
      <w:r w:rsidR="004522A6" w:rsidRPr="00133783">
        <w:rPr>
          <w:rFonts w:eastAsia="Calibri"/>
          <w:sz w:val="24"/>
          <w:szCs w:val="24"/>
        </w:rPr>
        <w:t>’</w:t>
      </w:r>
      <w:r w:rsidRPr="00133783">
        <w:rPr>
          <w:rFonts w:eastAsia="Calibri"/>
          <w:sz w:val="24"/>
          <w:szCs w:val="24"/>
        </w:rPr>
        <w:t>s electric account balance at the time the foreign load is discovered.</w:t>
      </w:r>
      <w:r w:rsidR="003020C3" w:rsidRPr="00133783">
        <w:rPr>
          <w:rFonts w:eastAsia="Calibri"/>
          <w:sz w:val="24"/>
          <w:szCs w:val="24"/>
        </w:rPr>
        <w:t xml:space="preserve">  66 Pa.C.S.A. §</w:t>
      </w:r>
      <w:r w:rsidR="00022B72">
        <w:rPr>
          <w:rFonts w:eastAsia="Calibri"/>
          <w:sz w:val="24"/>
          <w:szCs w:val="24"/>
        </w:rPr>
        <w:t> </w:t>
      </w:r>
      <w:r w:rsidR="003020C3" w:rsidRPr="00133783">
        <w:rPr>
          <w:rFonts w:eastAsia="Calibri"/>
          <w:sz w:val="24"/>
          <w:szCs w:val="24"/>
        </w:rPr>
        <w:t>1529.1(b)</w:t>
      </w:r>
      <w:r w:rsidR="00D100ED" w:rsidRPr="00133783">
        <w:rPr>
          <w:rFonts w:eastAsia="Calibri"/>
          <w:sz w:val="24"/>
          <w:szCs w:val="24"/>
        </w:rPr>
        <w:t xml:space="preserve">; </w:t>
      </w:r>
      <w:r w:rsidRPr="00133783">
        <w:rPr>
          <w:rFonts w:eastAsia="Calibri"/>
          <w:i/>
          <w:iCs/>
          <w:sz w:val="24"/>
          <w:szCs w:val="24"/>
        </w:rPr>
        <w:t>McSorley v. PECO Energy Co.,</w:t>
      </w:r>
      <w:r w:rsidRPr="00133783">
        <w:rPr>
          <w:rFonts w:eastAsia="Calibri"/>
          <w:sz w:val="24"/>
          <w:szCs w:val="24"/>
        </w:rPr>
        <w:t xml:space="preserve"> Docket No. C-2016-2565864, (Opinion and Order entered October 5, 2017) (</w:t>
      </w:r>
      <w:r w:rsidRPr="00133783">
        <w:rPr>
          <w:rFonts w:eastAsia="Calibri"/>
          <w:i/>
          <w:iCs/>
          <w:sz w:val="24"/>
          <w:szCs w:val="24"/>
        </w:rPr>
        <w:t>McSorley</w:t>
      </w:r>
      <w:r w:rsidRPr="00133783">
        <w:rPr>
          <w:rFonts w:eastAsia="Calibri"/>
          <w:sz w:val="24"/>
          <w:szCs w:val="24"/>
        </w:rPr>
        <w:t>).</w:t>
      </w:r>
    </w:p>
    <w:p w14:paraId="4C3A47A2" w14:textId="4679782C" w:rsidR="00252AF2" w:rsidRPr="00133783" w:rsidRDefault="00252AF2" w:rsidP="005E5434">
      <w:pPr>
        <w:rPr>
          <w:sz w:val="24"/>
          <w:szCs w:val="24"/>
        </w:rPr>
      </w:pPr>
    </w:p>
    <w:p w14:paraId="6C3CEE16" w14:textId="08B33DE0" w:rsidR="00683E59" w:rsidRPr="00133783" w:rsidRDefault="00683E59" w:rsidP="00683E59">
      <w:pPr>
        <w:rPr>
          <w:sz w:val="24"/>
          <w:szCs w:val="24"/>
        </w:rPr>
      </w:pPr>
      <w:r w:rsidRPr="00133783">
        <w:rPr>
          <w:sz w:val="24"/>
          <w:szCs w:val="24"/>
        </w:rPr>
        <w:tab/>
      </w:r>
      <w:r w:rsidRPr="00133783">
        <w:rPr>
          <w:sz w:val="24"/>
          <w:szCs w:val="24"/>
        </w:rPr>
        <w:tab/>
      </w:r>
      <w:r w:rsidR="00022B72">
        <w:rPr>
          <w:sz w:val="24"/>
          <w:szCs w:val="24"/>
        </w:rPr>
        <w:t>5</w:t>
      </w:r>
      <w:r w:rsidRPr="00133783">
        <w:rPr>
          <w:sz w:val="24"/>
          <w:szCs w:val="24"/>
        </w:rPr>
        <w:t>.</w:t>
      </w:r>
      <w:r w:rsidRPr="00133783">
        <w:rPr>
          <w:sz w:val="24"/>
          <w:szCs w:val="24"/>
        </w:rPr>
        <w:tab/>
      </w:r>
      <w:r w:rsidR="005916CE" w:rsidRPr="00133783">
        <w:rPr>
          <w:sz w:val="24"/>
          <w:szCs w:val="24"/>
        </w:rPr>
        <w:t>A</w:t>
      </w:r>
      <w:r w:rsidRPr="00133783">
        <w:rPr>
          <w:sz w:val="24"/>
          <w:szCs w:val="24"/>
        </w:rPr>
        <w:t xml:space="preserve"> public utility is </w:t>
      </w:r>
      <w:r w:rsidR="005916CE" w:rsidRPr="00133783">
        <w:rPr>
          <w:sz w:val="24"/>
          <w:szCs w:val="24"/>
        </w:rPr>
        <w:t>required</w:t>
      </w:r>
      <w:r w:rsidR="009D68F3">
        <w:rPr>
          <w:sz w:val="24"/>
          <w:szCs w:val="24"/>
        </w:rPr>
        <w:t xml:space="preserve"> to</w:t>
      </w:r>
      <w:r w:rsidR="005916CE" w:rsidRPr="00133783">
        <w:rPr>
          <w:sz w:val="24"/>
          <w:szCs w:val="24"/>
        </w:rPr>
        <w:t xml:space="preserve"> </w:t>
      </w:r>
      <w:r w:rsidRPr="00133783">
        <w:rPr>
          <w:sz w:val="24"/>
          <w:szCs w:val="24"/>
        </w:rPr>
        <w:t>provid</w:t>
      </w:r>
      <w:r w:rsidR="005916CE" w:rsidRPr="00133783">
        <w:rPr>
          <w:sz w:val="24"/>
          <w:szCs w:val="24"/>
        </w:rPr>
        <w:t>e</w:t>
      </w:r>
      <w:r w:rsidRPr="00133783">
        <w:rPr>
          <w:sz w:val="24"/>
          <w:szCs w:val="24"/>
        </w:rPr>
        <w:t xml:space="preserve"> safe, adequate, and reasonable service</w:t>
      </w:r>
      <w:r w:rsidR="005916CE" w:rsidRPr="00133783">
        <w:rPr>
          <w:sz w:val="24"/>
          <w:szCs w:val="24"/>
        </w:rPr>
        <w:t xml:space="preserve"> to it</w:t>
      </w:r>
      <w:r w:rsidR="009D68F3">
        <w:rPr>
          <w:sz w:val="24"/>
          <w:szCs w:val="24"/>
        </w:rPr>
        <w:t>s</w:t>
      </w:r>
      <w:r w:rsidR="005916CE" w:rsidRPr="00133783">
        <w:rPr>
          <w:sz w:val="24"/>
          <w:szCs w:val="24"/>
        </w:rPr>
        <w:t xml:space="preserve"> customers</w:t>
      </w:r>
      <w:r w:rsidRPr="00133783">
        <w:rPr>
          <w:sz w:val="24"/>
          <w:szCs w:val="24"/>
        </w:rPr>
        <w:t xml:space="preserve">.  </w:t>
      </w:r>
      <w:r w:rsidR="00C148D4" w:rsidRPr="00133783">
        <w:rPr>
          <w:sz w:val="24"/>
          <w:szCs w:val="24"/>
        </w:rPr>
        <w:t>66 Pa. C.S. §1501.</w:t>
      </w:r>
    </w:p>
    <w:p w14:paraId="49EE04B1" w14:textId="77777777" w:rsidR="005E5434" w:rsidRPr="00133783" w:rsidRDefault="005E5434" w:rsidP="005E5434">
      <w:pPr>
        <w:rPr>
          <w:sz w:val="24"/>
          <w:szCs w:val="24"/>
        </w:rPr>
      </w:pPr>
    </w:p>
    <w:p w14:paraId="527D6114" w14:textId="7AF6EB4F" w:rsidR="0002615A" w:rsidRPr="00133783" w:rsidRDefault="005E5434" w:rsidP="0002615A">
      <w:pPr>
        <w:rPr>
          <w:sz w:val="24"/>
          <w:szCs w:val="24"/>
        </w:rPr>
      </w:pPr>
      <w:r w:rsidRPr="00133783">
        <w:rPr>
          <w:sz w:val="24"/>
          <w:szCs w:val="24"/>
        </w:rPr>
        <w:tab/>
      </w:r>
      <w:r w:rsidRPr="00133783">
        <w:rPr>
          <w:sz w:val="24"/>
          <w:szCs w:val="24"/>
        </w:rPr>
        <w:tab/>
      </w:r>
      <w:r w:rsidR="00022B72">
        <w:rPr>
          <w:sz w:val="24"/>
          <w:szCs w:val="24"/>
        </w:rPr>
        <w:t>6</w:t>
      </w:r>
      <w:r w:rsidRPr="00133783">
        <w:rPr>
          <w:sz w:val="24"/>
          <w:szCs w:val="24"/>
        </w:rPr>
        <w:t>.</w:t>
      </w:r>
      <w:r w:rsidRPr="00133783">
        <w:rPr>
          <w:sz w:val="24"/>
          <w:szCs w:val="24"/>
        </w:rPr>
        <w:tab/>
        <w:t>The Commission is empowered to determine whether a public utility is providing safe, adequate</w:t>
      </w:r>
      <w:r w:rsidR="00DE56E8" w:rsidRPr="00133783">
        <w:rPr>
          <w:sz w:val="24"/>
          <w:szCs w:val="24"/>
        </w:rPr>
        <w:t>,</w:t>
      </w:r>
      <w:r w:rsidRPr="00133783">
        <w:rPr>
          <w:sz w:val="24"/>
          <w:szCs w:val="24"/>
        </w:rPr>
        <w:t xml:space="preserve"> and reasonable service.</w:t>
      </w:r>
      <w:r w:rsidR="0002615A" w:rsidRPr="00133783">
        <w:rPr>
          <w:sz w:val="24"/>
          <w:szCs w:val="24"/>
        </w:rPr>
        <w:t xml:space="preserve">  </w:t>
      </w:r>
      <w:r w:rsidR="0002615A" w:rsidRPr="00133783">
        <w:rPr>
          <w:i/>
          <w:sz w:val="24"/>
          <w:szCs w:val="24"/>
        </w:rPr>
        <w:t>West Penn Power Co. v. Pa. Pub. Util. Comm’n</w:t>
      </w:r>
      <w:r w:rsidR="0002615A" w:rsidRPr="00133783">
        <w:rPr>
          <w:sz w:val="24"/>
          <w:szCs w:val="24"/>
        </w:rPr>
        <w:t xml:space="preserve">, 578 A.2d 75 (Pa.Cmwlth. 1990).  </w:t>
      </w:r>
    </w:p>
    <w:p w14:paraId="4B36E513" w14:textId="2F02180E" w:rsidR="005E5434" w:rsidRPr="00133783" w:rsidRDefault="005E5434" w:rsidP="005E5434">
      <w:pPr>
        <w:rPr>
          <w:sz w:val="24"/>
          <w:szCs w:val="24"/>
        </w:rPr>
      </w:pPr>
    </w:p>
    <w:p w14:paraId="67F01D7B" w14:textId="334AEC0A" w:rsidR="005E5434" w:rsidRPr="00133783" w:rsidRDefault="005E5434" w:rsidP="00D34FB6">
      <w:pPr>
        <w:jc w:val="center"/>
        <w:rPr>
          <w:sz w:val="24"/>
          <w:szCs w:val="24"/>
          <w:u w:val="single"/>
        </w:rPr>
      </w:pPr>
      <w:r w:rsidRPr="00133783">
        <w:rPr>
          <w:sz w:val="24"/>
          <w:szCs w:val="24"/>
          <w:u w:val="single"/>
        </w:rPr>
        <w:t>ORDER</w:t>
      </w:r>
    </w:p>
    <w:p w14:paraId="01A7DB31" w14:textId="3553AF7B" w:rsidR="005E5434" w:rsidRDefault="005E5434" w:rsidP="005E5434">
      <w:pPr>
        <w:rPr>
          <w:sz w:val="24"/>
          <w:szCs w:val="24"/>
        </w:rPr>
      </w:pPr>
    </w:p>
    <w:p w14:paraId="667FDBF8" w14:textId="77777777" w:rsidR="00022B72" w:rsidRPr="00133783" w:rsidRDefault="00022B72" w:rsidP="005E5434">
      <w:pPr>
        <w:rPr>
          <w:sz w:val="24"/>
          <w:szCs w:val="24"/>
        </w:rPr>
      </w:pPr>
    </w:p>
    <w:p w14:paraId="0ABD58FC" w14:textId="77777777" w:rsidR="005E5434" w:rsidRPr="00133783" w:rsidRDefault="005E5434" w:rsidP="005E5434">
      <w:pPr>
        <w:rPr>
          <w:sz w:val="24"/>
          <w:szCs w:val="24"/>
        </w:rPr>
      </w:pPr>
      <w:r w:rsidRPr="00133783">
        <w:rPr>
          <w:sz w:val="24"/>
          <w:szCs w:val="24"/>
        </w:rPr>
        <w:tab/>
      </w:r>
      <w:r w:rsidRPr="00133783">
        <w:rPr>
          <w:sz w:val="24"/>
          <w:szCs w:val="24"/>
        </w:rPr>
        <w:tab/>
        <w:t>THEREFORE,</w:t>
      </w:r>
    </w:p>
    <w:p w14:paraId="1D0B78E1" w14:textId="77777777" w:rsidR="005E5434" w:rsidRPr="00133783" w:rsidRDefault="005E5434" w:rsidP="005E5434">
      <w:pPr>
        <w:rPr>
          <w:sz w:val="24"/>
          <w:szCs w:val="24"/>
        </w:rPr>
      </w:pPr>
    </w:p>
    <w:p w14:paraId="5C2909D8" w14:textId="77777777" w:rsidR="005E5434" w:rsidRPr="00133783" w:rsidRDefault="005E5434" w:rsidP="005E5434">
      <w:pPr>
        <w:rPr>
          <w:sz w:val="24"/>
          <w:szCs w:val="24"/>
        </w:rPr>
      </w:pPr>
      <w:r w:rsidRPr="00133783">
        <w:rPr>
          <w:sz w:val="24"/>
          <w:szCs w:val="24"/>
        </w:rPr>
        <w:tab/>
      </w:r>
      <w:r w:rsidRPr="00133783">
        <w:rPr>
          <w:sz w:val="24"/>
          <w:szCs w:val="24"/>
        </w:rPr>
        <w:tab/>
        <w:t>IT IS ORDERED:</w:t>
      </w:r>
    </w:p>
    <w:p w14:paraId="2D6B8B35" w14:textId="77777777" w:rsidR="005E5434" w:rsidRPr="00133783" w:rsidRDefault="005E5434" w:rsidP="005E5434">
      <w:pPr>
        <w:rPr>
          <w:sz w:val="24"/>
          <w:szCs w:val="24"/>
        </w:rPr>
      </w:pPr>
    </w:p>
    <w:p w14:paraId="11C8496C" w14:textId="710B8477" w:rsidR="005E5434" w:rsidRPr="00133783" w:rsidRDefault="005E5434" w:rsidP="005E5434">
      <w:pPr>
        <w:rPr>
          <w:sz w:val="24"/>
          <w:szCs w:val="24"/>
        </w:rPr>
      </w:pPr>
      <w:r w:rsidRPr="00133783">
        <w:rPr>
          <w:sz w:val="24"/>
          <w:szCs w:val="24"/>
        </w:rPr>
        <w:tab/>
      </w:r>
      <w:r w:rsidRPr="00133783">
        <w:rPr>
          <w:sz w:val="24"/>
          <w:szCs w:val="24"/>
        </w:rPr>
        <w:tab/>
        <w:t>1.</w:t>
      </w:r>
      <w:r w:rsidRPr="00133783">
        <w:rPr>
          <w:sz w:val="24"/>
          <w:szCs w:val="24"/>
        </w:rPr>
        <w:tab/>
        <w:t xml:space="preserve">That </w:t>
      </w:r>
      <w:r w:rsidR="00552189" w:rsidRPr="00133783">
        <w:rPr>
          <w:sz w:val="24"/>
          <w:szCs w:val="24"/>
        </w:rPr>
        <w:t xml:space="preserve">Duquesne Light Company’s Motion for Judgment on the Pleading </w:t>
      </w:r>
      <w:r w:rsidR="005741D1" w:rsidRPr="00133783">
        <w:rPr>
          <w:sz w:val="24"/>
          <w:szCs w:val="24"/>
        </w:rPr>
        <w:t xml:space="preserve">is granted to the extent that the pleadings </w:t>
      </w:r>
      <w:r w:rsidR="008935AE" w:rsidRPr="00133783">
        <w:rPr>
          <w:sz w:val="24"/>
          <w:szCs w:val="24"/>
        </w:rPr>
        <w:t xml:space="preserve">establish there is a foreign load at the service </w:t>
      </w:r>
      <w:r w:rsidR="00B1288B" w:rsidRPr="00133783">
        <w:rPr>
          <w:sz w:val="24"/>
          <w:szCs w:val="24"/>
        </w:rPr>
        <w:t>location, 516 Cavitt Avenue, Trafford, PA 15085</w:t>
      </w:r>
      <w:r w:rsidR="00120FC7" w:rsidRPr="00133783">
        <w:rPr>
          <w:sz w:val="24"/>
          <w:szCs w:val="24"/>
        </w:rPr>
        <w:t xml:space="preserve">, </w:t>
      </w:r>
      <w:r w:rsidR="005F5A33" w:rsidRPr="00133783">
        <w:rPr>
          <w:sz w:val="24"/>
          <w:szCs w:val="24"/>
        </w:rPr>
        <w:t xml:space="preserve">and Duquesne Light was required by statute to </w:t>
      </w:r>
      <w:r w:rsidR="003C18FA" w:rsidRPr="00133783">
        <w:rPr>
          <w:sz w:val="24"/>
          <w:szCs w:val="24"/>
        </w:rPr>
        <w:t xml:space="preserve">transfer the accounts for the tenants at the </w:t>
      </w:r>
      <w:r w:rsidR="003C43CE" w:rsidRPr="00133783">
        <w:rPr>
          <w:sz w:val="24"/>
          <w:szCs w:val="24"/>
        </w:rPr>
        <w:t>service location to Complain</w:t>
      </w:r>
      <w:r w:rsidR="00120FC7" w:rsidRPr="00133783">
        <w:rPr>
          <w:sz w:val="24"/>
          <w:szCs w:val="24"/>
        </w:rPr>
        <w:t>an</w:t>
      </w:r>
      <w:r w:rsidR="003C43CE" w:rsidRPr="00133783">
        <w:rPr>
          <w:sz w:val="24"/>
          <w:szCs w:val="24"/>
        </w:rPr>
        <w:t>t Heather Cigrand as the owner of the property.</w:t>
      </w:r>
      <w:r w:rsidR="008935AE" w:rsidRPr="00133783">
        <w:rPr>
          <w:sz w:val="24"/>
          <w:szCs w:val="24"/>
        </w:rPr>
        <w:t xml:space="preserve"> </w:t>
      </w:r>
    </w:p>
    <w:p w14:paraId="4BB56D8E" w14:textId="77777777" w:rsidR="005E5434" w:rsidRPr="00133783" w:rsidRDefault="005E5434" w:rsidP="005E5434">
      <w:pPr>
        <w:rPr>
          <w:sz w:val="24"/>
          <w:szCs w:val="24"/>
        </w:rPr>
      </w:pPr>
    </w:p>
    <w:p w14:paraId="2C92C4A4" w14:textId="77777777" w:rsidR="00022B72" w:rsidRDefault="005E5434" w:rsidP="005E5434">
      <w:pPr>
        <w:rPr>
          <w:sz w:val="24"/>
          <w:szCs w:val="24"/>
        </w:rPr>
      </w:pPr>
      <w:r w:rsidRPr="00133783">
        <w:rPr>
          <w:sz w:val="24"/>
          <w:szCs w:val="24"/>
        </w:rPr>
        <w:tab/>
      </w:r>
      <w:r w:rsidRPr="00133783">
        <w:rPr>
          <w:sz w:val="24"/>
          <w:szCs w:val="24"/>
        </w:rPr>
        <w:tab/>
        <w:t>2.</w:t>
      </w:r>
      <w:r w:rsidRPr="00133783">
        <w:rPr>
          <w:sz w:val="24"/>
          <w:szCs w:val="24"/>
        </w:rPr>
        <w:tab/>
        <w:t xml:space="preserve">That </w:t>
      </w:r>
      <w:r w:rsidR="003F06E9" w:rsidRPr="00133783">
        <w:rPr>
          <w:sz w:val="24"/>
          <w:szCs w:val="24"/>
        </w:rPr>
        <w:t>Duquesne Light</w:t>
      </w:r>
      <w:r w:rsidRPr="00133783">
        <w:rPr>
          <w:sz w:val="24"/>
          <w:szCs w:val="24"/>
        </w:rPr>
        <w:t xml:space="preserve"> Company’s request to dismiss the Complaint filed by </w:t>
      </w:r>
      <w:r w:rsidR="008F50E3" w:rsidRPr="00133783">
        <w:rPr>
          <w:sz w:val="24"/>
          <w:szCs w:val="24"/>
        </w:rPr>
        <w:t xml:space="preserve">Complainant </w:t>
      </w:r>
      <w:r w:rsidR="00E72EC9" w:rsidRPr="00133783">
        <w:rPr>
          <w:sz w:val="24"/>
          <w:szCs w:val="24"/>
        </w:rPr>
        <w:t xml:space="preserve">Heather Cigrand </w:t>
      </w:r>
      <w:r w:rsidRPr="00133783">
        <w:rPr>
          <w:sz w:val="24"/>
          <w:szCs w:val="24"/>
        </w:rPr>
        <w:t xml:space="preserve">against </w:t>
      </w:r>
      <w:r w:rsidR="00E72EC9" w:rsidRPr="00133783">
        <w:rPr>
          <w:sz w:val="24"/>
          <w:szCs w:val="24"/>
        </w:rPr>
        <w:t xml:space="preserve">Duquesne Light </w:t>
      </w:r>
      <w:r w:rsidRPr="00133783">
        <w:rPr>
          <w:sz w:val="24"/>
          <w:szCs w:val="24"/>
        </w:rPr>
        <w:t xml:space="preserve">Company at Docket No. </w:t>
      </w:r>
    </w:p>
    <w:p w14:paraId="0E00E1F9" w14:textId="402E1E8F" w:rsidR="005E5434" w:rsidRPr="00133783" w:rsidRDefault="00481E35" w:rsidP="005E5434">
      <w:pPr>
        <w:rPr>
          <w:sz w:val="24"/>
          <w:szCs w:val="24"/>
        </w:rPr>
      </w:pPr>
      <w:r w:rsidRPr="00481E35">
        <w:rPr>
          <w:sz w:val="24"/>
          <w:szCs w:val="24"/>
        </w:rPr>
        <w:lastRenderedPageBreak/>
        <w:t>F-2021-3028359</w:t>
      </w:r>
      <w:r>
        <w:rPr>
          <w:sz w:val="24"/>
          <w:szCs w:val="24"/>
        </w:rPr>
        <w:t xml:space="preserve"> </w:t>
      </w:r>
      <w:r w:rsidR="005E5434" w:rsidRPr="00133783">
        <w:rPr>
          <w:sz w:val="24"/>
          <w:szCs w:val="24"/>
        </w:rPr>
        <w:t xml:space="preserve">is denied with respect to Complainant’s allegations concerning reasonableness of service.  </w:t>
      </w:r>
    </w:p>
    <w:p w14:paraId="52E9D311" w14:textId="77777777" w:rsidR="005E5434" w:rsidRPr="00133783" w:rsidRDefault="005E5434" w:rsidP="005E5434">
      <w:pPr>
        <w:rPr>
          <w:sz w:val="24"/>
          <w:szCs w:val="24"/>
        </w:rPr>
      </w:pPr>
    </w:p>
    <w:p w14:paraId="6F530332" w14:textId="7A6DF3A1" w:rsidR="005E5434" w:rsidRPr="00133783" w:rsidRDefault="005E5434" w:rsidP="005E5434">
      <w:pPr>
        <w:rPr>
          <w:sz w:val="24"/>
          <w:szCs w:val="24"/>
        </w:rPr>
      </w:pPr>
      <w:r w:rsidRPr="00133783">
        <w:rPr>
          <w:sz w:val="24"/>
          <w:szCs w:val="24"/>
        </w:rPr>
        <w:tab/>
      </w:r>
      <w:r w:rsidR="0015272F" w:rsidRPr="00133783">
        <w:rPr>
          <w:sz w:val="24"/>
          <w:szCs w:val="24"/>
        </w:rPr>
        <w:tab/>
      </w:r>
      <w:r w:rsidR="00CC02E8" w:rsidRPr="00133783">
        <w:rPr>
          <w:sz w:val="24"/>
          <w:szCs w:val="24"/>
        </w:rPr>
        <w:t>3</w:t>
      </w:r>
      <w:r w:rsidRPr="00133783">
        <w:rPr>
          <w:sz w:val="24"/>
          <w:szCs w:val="24"/>
        </w:rPr>
        <w:t>.</w:t>
      </w:r>
      <w:r w:rsidRPr="00133783">
        <w:rPr>
          <w:sz w:val="24"/>
          <w:szCs w:val="24"/>
        </w:rPr>
        <w:tab/>
        <w:t xml:space="preserve">That consistent with the reasoning in this Order, this case shall be scheduled for hearing </w:t>
      </w:r>
      <w:r w:rsidR="00CC02E8" w:rsidRPr="00133783">
        <w:rPr>
          <w:sz w:val="24"/>
          <w:szCs w:val="24"/>
        </w:rPr>
        <w:t xml:space="preserve">on the issue of reasonableness of service </w:t>
      </w:r>
      <w:r w:rsidRPr="00133783">
        <w:rPr>
          <w:sz w:val="24"/>
          <w:szCs w:val="24"/>
        </w:rPr>
        <w:t xml:space="preserve">and the Parties so notified in writing.  </w:t>
      </w:r>
    </w:p>
    <w:p w14:paraId="5EAE9511" w14:textId="3CA64C9A" w:rsidR="005E5434" w:rsidRPr="00133783" w:rsidRDefault="0015272F" w:rsidP="005E5434">
      <w:pPr>
        <w:rPr>
          <w:sz w:val="24"/>
          <w:szCs w:val="24"/>
        </w:rPr>
      </w:pPr>
      <w:r w:rsidRPr="00133783">
        <w:rPr>
          <w:noProof/>
          <w:sz w:val="24"/>
          <w:szCs w:val="24"/>
        </w:rPr>
        <w:drawing>
          <wp:anchor distT="0" distB="0" distL="114300" distR="114300" simplePos="0" relativeHeight="251657216" behindDoc="1" locked="0" layoutInCell="1" allowOverlap="1" wp14:anchorId="5AE945D3" wp14:editId="04014476">
            <wp:simplePos x="0" y="0"/>
            <wp:positionH relativeFrom="column">
              <wp:posOffset>2842260</wp:posOffset>
            </wp:positionH>
            <wp:positionV relativeFrom="paragraph">
              <wp:posOffset>249472</wp:posOffset>
            </wp:positionV>
            <wp:extent cx="2820670" cy="1056005"/>
            <wp:effectExtent l="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670" cy="1056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98969" w14:textId="095D33E7" w:rsidR="005E5434" w:rsidRPr="00133783" w:rsidRDefault="005E5434" w:rsidP="005E5434">
      <w:pPr>
        <w:rPr>
          <w:sz w:val="24"/>
          <w:szCs w:val="24"/>
        </w:rPr>
      </w:pPr>
    </w:p>
    <w:p w14:paraId="0C0C40CD" w14:textId="35E58A57" w:rsidR="00431AE2" w:rsidRPr="00133783" w:rsidRDefault="005E5434" w:rsidP="0015272F">
      <w:pPr>
        <w:rPr>
          <w:sz w:val="24"/>
          <w:szCs w:val="24"/>
        </w:rPr>
      </w:pPr>
      <w:r w:rsidRPr="00133783">
        <w:rPr>
          <w:sz w:val="24"/>
          <w:szCs w:val="24"/>
        </w:rPr>
        <w:t xml:space="preserve">Date:  </w:t>
      </w:r>
      <w:r w:rsidRPr="00467A04">
        <w:rPr>
          <w:sz w:val="24"/>
          <w:szCs w:val="24"/>
          <w:u w:val="single"/>
        </w:rPr>
        <w:t xml:space="preserve">January </w:t>
      </w:r>
      <w:r w:rsidR="00EB7ABC" w:rsidRPr="00467A04">
        <w:rPr>
          <w:sz w:val="24"/>
          <w:szCs w:val="24"/>
          <w:u w:val="single"/>
        </w:rPr>
        <w:t>1</w:t>
      </w:r>
      <w:r w:rsidR="002B4F0B">
        <w:rPr>
          <w:sz w:val="24"/>
          <w:szCs w:val="24"/>
          <w:u w:val="single"/>
        </w:rPr>
        <w:t>1</w:t>
      </w:r>
      <w:r w:rsidRPr="00467A04">
        <w:rPr>
          <w:sz w:val="24"/>
          <w:szCs w:val="24"/>
          <w:u w:val="single"/>
        </w:rPr>
        <w:t>, 202</w:t>
      </w:r>
      <w:r w:rsidR="00EB7ABC" w:rsidRPr="00467A04">
        <w:rPr>
          <w:sz w:val="24"/>
          <w:szCs w:val="24"/>
          <w:u w:val="single"/>
        </w:rPr>
        <w:t>2</w:t>
      </w:r>
    </w:p>
    <w:p w14:paraId="4D1EB803" w14:textId="5226FC35" w:rsidR="00431AE2" w:rsidRDefault="00431AE2" w:rsidP="00BF7A13">
      <w:pPr>
        <w:ind w:left="720"/>
        <w:rPr>
          <w:sz w:val="24"/>
          <w:szCs w:val="24"/>
        </w:rPr>
      </w:pPr>
    </w:p>
    <w:p w14:paraId="47CCE3A8" w14:textId="77777777" w:rsidR="003A7B62" w:rsidRDefault="003A7B62" w:rsidP="003A7B62">
      <w:pPr>
        <w:ind w:left="720"/>
        <w:rPr>
          <w:sz w:val="24"/>
          <w:szCs w:val="24"/>
        </w:rPr>
      </w:pPr>
    </w:p>
    <w:p w14:paraId="1CF30A36" w14:textId="77777777" w:rsidR="003A7B62" w:rsidRDefault="003A7B62" w:rsidP="003A7B62">
      <w:pPr>
        <w:ind w:left="720"/>
        <w:rPr>
          <w:sz w:val="24"/>
          <w:szCs w:val="24"/>
        </w:rPr>
      </w:pPr>
    </w:p>
    <w:p w14:paraId="7C6100AD" w14:textId="1A467B40" w:rsidR="003A7B62" w:rsidRDefault="003A7B62" w:rsidP="003A7B62">
      <w:pPr>
        <w:rPr>
          <w:sz w:val="24"/>
          <w:szCs w:val="24"/>
        </w:rPr>
        <w:sectPr w:rsidR="003A7B62" w:rsidSect="00467A04">
          <w:footerReference w:type="default" r:id="rId9"/>
          <w:type w:val="continuous"/>
          <w:pgSz w:w="12240" w:h="15840" w:code="1"/>
          <w:pgMar w:top="1440" w:right="1440" w:bottom="1440" w:left="1440" w:header="720" w:footer="720" w:gutter="0"/>
          <w:cols w:space="720"/>
          <w:titlePg/>
          <w:docGrid w:linePitch="360"/>
        </w:sectPr>
      </w:pPr>
    </w:p>
    <w:p w14:paraId="23ABF4D8" w14:textId="215A520E" w:rsidR="003A7B62" w:rsidRPr="003A7B62" w:rsidRDefault="003A7B62" w:rsidP="003A7B62">
      <w:pPr>
        <w:spacing w:after="160" w:line="259" w:lineRule="auto"/>
        <w:rPr>
          <w:rFonts w:ascii="Microsoft Sans Serif" w:eastAsia="Microsoft Sans Serif" w:hAnsi="Microsoft Sans Serif" w:cs="Microsoft Sans Serif"/>
          <w:sz w:val="24"/>
          <w:szCs w:val="22"/>
        </w:rPr>
      </w:pPr>
      <w:r w:rsidRPr="003A7B62">
        <w:rPr>
          <w:rFonts w:ascii="Microsoft Sans Serif" w:eastAsia="Microsoft Sans Serif" w:hAnsi="Microsoft Sans Serif" w:cs="Microsoft Sans Serif"/>
          <w:b/>
          <w:sz w:val="24"/>
          <w:szCs w:val="22"/>
          <w:u w:val="single"/>
        </w:rPr>
        <w:lastRenderedPageBreak/>
        <w:t>F-2021-3028359 - HEATHER CIGRAND v. DUQUESNE LIGHT COMPANY</w:t>
      </w:r>
      <w:r w:rsidRPr="003A7B62">
        <w:rPr>
          <w:rFonts w:ascii="Microsoft Sans Serif" w:eastAsia="Microsoft Sans Serif" w:hAnsi="Microsoft Sans Serif" w:cs="Microsoft Sans Serif"/>
          <w:b/>
          <w:sz w:val="24"/>
          <w:szCs w:val="22"/>
          <w:u w:val="single"/>
        </w:rPr>
        <w:cr/>
      </w:r>
      <w:r w:rsidRPr="003A7B62">
        <w:rPr>
          <w:rFonts w:ascii="Microsoft Sans Serif" w:eastAsia="Microsoft Sans Serif" w:hAnsi="Microsoft Sans Serif" w:cs="Microsoft Sans Serif"/>
          <w:b/>
          <w:sz w:val="24"/>
          <w:szCs w:val="22"/>
          <w:u w:val="single"/>
        </w:rPr>
        <w:cr/>
      </w:r>
      <w:r w:rsidRPr="003A7B62">
        <w:rPr>
          <w:rFonts w:ascii="Microsoft Sans Serif" w:eastAsia="Microsoft Sans Serif" w:hAnsi="Microsoft Sans Serif" w:cs="Microsoft Sans Serif"/>
          <w:sz w:val="24"/>
          <w:szCs w:val="22"/>
        </w:rPr>
        <w:t>HEATHER CIGRAND</w:t>
      </w:r>
      <w:r w:rsidRPr="003A7B62">
        <w:rPr>
          <w:rFonts w:ascii="Microsoft Sans Serif" w:eastAsia="Microsoft Sans Serif" w:hAnsi="Microsoft Sans Serif" w:cs="Microsoft Sans Serif"/>
          <w:sz w:val="24"/>
          <w:szCs w:val="22"/>
        </w:rPr>
        <w:cr/>
        <w:t>643 MEADOWBROOK ROAD</w:t>
      </w:r>
      <w:r w:rsidRPr="003A7B62">
        <w:rPr>
          <w:rFonts w:ascii="Microsoft Sans Serif" w:eastAsia="Microsoft Sans Serif" w:hAnsi="Microsoft Sans Serif" w:cs="Microsoft Sans Serif"/>
          <w:sz w:val="24"/>
          <w:szCs w:val="22"/>
        </w:rPr>
        <w:cr/>
        <w:t>TRAFFORD PA  15085</w:t>
      </w:r>
      <w:r w:rsidRPr="003A7B62">
        <w:rPr>
          <w:rFonts w:ascii="Microsoft Sans Serif" w:eastAsia="Microsoft Sans Serif" w:hAnsi="Microsoft Sans Serif" w:cs="Microsoft Sans Serif"/>
          <w:sz w:val="24"/>
          <w:szCs w:val="22"/>
        </w:rPr>
        <w:cr/>
      </w:r>
      <w:r w:rsidRPr="003A7B62">
        <w:rPr>
          <w:rFonts w:ascii="Microsoft Sans Serif" w:eastAsia="Microsoft Sans Serif" w:hAnsi="Microsoft Sans Serif" w:cs="Microsoft Sans Serif"/>
          <w:b/>
          <w:bCs/>
          <w:sz w:val="24"/>
          <w:szCs w:val="22"/>
        </w:rPr>
        <w:t>412.537.1337</w:t>
      </w:r>
      <w:r w:rsidRPr="003A7B62">
        <w:rPr>
          <w:rFonts w:ascii="Microsoft Sans Serif" w:eastAsia="Microsoft Sans Serif" w:hAnsi="Microsoft Sans Serif" w:cs="Microsoft Sans Serif"/>
          <w:b/>
          <w:bCs/>
          <w:sz w:val="24"/>
          <w:szCs w:val="22"/>
        </w:rPr>
        <w:cr/>
      </w:r>
      <w:r w:rsidRPr="003A7B62">
        <w:rPr>
          <w:rFonts w:ascii="Microsoft Sans Serif" w:eastAsia="Microsoft Sans Serif" w:hAnsi="Microsoft Sans Serif" w:cs="Microsoft Sans Serif"/>
          <w:sz w:val="24"/>
          <w:szCs w:val="22"/>
        </w:rPr>
        <w:t>HCIGRAND@STEELCITYDENTAL.NET</w:t>
      </w:r>
      <w:r w:rsidRPr="003A7B62">
        <w:rPr>
          <w:rFonts w:ascii="Microsoft Sans Serif" w:eastAsia="Microsoft Sans Serif" w:hAnsi="Microsoft Sans Serif" w:cs="Microsoft Sans Serif"/>
          <w:sz w:val="24"/>
          <w:szCs w:val="22"/>
        </w:rPr>
        <w:cr/>
      </w:r>
      <w:r w:rsidRPr="003A7B62">
        <w:rPr>
          <w:rFonts w:ascii="Microsoft Sans Serif" w:eastAsia="Microsoft Sans Serif" w:hAnsi="Microsoft Sans Serif" w:cs="Microsoft Sans Serif"/>
          <w:sz w:val="24"/>
          <w:szCs w:val="22"/>
        </w:rPr>
        <w:cr/>
        <w:t>CHRIS SKOVIRA</w:t>
      </w:r>
      <w:r w:rsidRPr="003A7B62">
        <w:rPr>
          <w:rFonts w:ascii="Microsoft Sans Serif" w:eastAsia="Microsoft Sans Serif" w:hAnsi="Microsoft Sans Serif" w:cs="Microsoft Sans Serif"/>
          <w:sz w:val="24"/>
          <w:szCs w:val="22"/>
        </w:rPr>
        <w:cr/>
        <w:t>AVOLIO LAW GROUP</w:t>
      </w:r>
      <w:r w:rsidRPr="003A7B62">
        <w:rPr>
          <w:rFonts w:ascii="Microsoft Sans Serif" w:eastAsia="Microsoft Sans Serif" w:hAnsi="Microsoft Sans Serif" w:cs="Microsoft Sans Serif"/>
          <w:sz w:val="24"/>
          <w:szCs w:val="22"/>
        </w:rPr>
        <w:cr/>
        <w:t>117 N MAIN ST</w:t>
      </w:r>
      <w:r w:rsidRPr="003A7B62">
        <w:rPr>
          <w:rFonts w:ascii="Microsoft Sans Serif" w:eastAsia="Microsoft Sans Serif" w:hAnsi="Microsoft Sans Serif" w:cs="Microsoft Sans Serif"/>
          <w:sz w:val="24"/>
          <w:szCs w:val="22"/>
        </w:rPr>
        <w:cr/>
        <w:t>GREENSBURG PA  15601</w:t>
      </w:r>
      <w:r w:rsidRPr="003A7B62">
        <w:rPr>
          <w:rFonts w:ascii="Microsoft Sans Serif" w:eastAsia="Microsoft Sans Serif" w:hAnsi="Microsoft Sans Serif" w:cs="Microsoft Sans Serif"/>
          <w:sz w:val="24"/>
          <w:szCs w:val="22"/>
        </w:rPr>
        <w:cr/>
      </w:r>
      <w:r w:rsidRPr="003A7B62">
        <w:rPr>
          <w:rFonts w:ascii="Microsoft Sans Serif" w:eastAsia="Microsoft Sans Serif" w:hAnsi="Microsoft Sans Serif" w:cs="Microsoft Sans Serif"/>
          <w:b/>
          <w:bCs/>
          <w:sz w:val="24"/>
          <w:szCs w:val="22"/>
        </w:rPr>
        <w:t>724.834.1002</w:t>
      </w:r>
      <w:r w:rsidRPr="003A7B62">
        <w:rPr>
          <w:rFonts w:ascii="Microsoft Sans Serif" w:eastAsia="Microsoft Sans Serif" w:hAnsi="Microsoft Sans Serif" w:cs="Microsoft Sans Serif"/>
          <w:b/>
          <w:bCs/>
          <w:sz w:val="24"/>
          <w:szCs w:val="22"/>
        </w:rPr>
        <w:cr/>
      </w:r>
      <w:r w:rsidRPr="003A7B62">
        <w:rPr>
          <w:rFonts w:ascii="Microsoft Sans Serif" w:eastAsia="Microsoft Sans Serif" w:hAnsi="Microsoft Sans Serif" w:cs="Microsoft Sans Serif"/>
          <w:sz w:val="24"/>
          <w:szCs w:val="22"/>
        </w:rPr>
        <w:t xml:space="preserve">Accepts </w:t>
      </w:r>
      <w:r w:rsidR="009D68F3" w:rsidRPr="003A7B62">
        <w:rPr>
          <w:rFonts w:ascii="Microsoft Sans Serif" w:eastAsia="Microsoft Sans Serif" w:hAnsi="Microsoft Sans Serif" w:cs="Microsoft Sans Serif"/>
          <w:sz w:val="24"/>
          <w:szCs w:val="22"/>
        </w:rPr>
        <w:t>eService</w:t>
      </w:r>
    </w:p>
    <w:p w14:paraId="16DCCF93" w14:textId="6F7CC8A9" w:rsidR="003A7B62" w:rsidRPr="003A7B62" w:rsidRDefault="003A7B62" w:rsidP="003A7B62">
      <w:pPr>
        <w:spacing w:after="160" w:line="259" w:lineRule="auto"/>
        <w:rPr>
          <w:rFonts w:asciiTheme="minorHAnsi" w:eastAsiaTheme="minorEastAsia" w:hAnsiTheme="minorHAnsi" w:cstheme="minorBidi"/>
          <w:sz w:val="22"/>
          <w:szCs w:val="22"/>
        </w:rPr>
      </w:pPr>
      <w:r w:rsidRPr="003A7B62">
        <w:rPr>
          <w:rFonts w:ascii="Microsoft Sans Serif" w:eastAsia="Microsoft Sans Serif" w:hAnsi="Microsoft Sans Serif" w:cs="Microsoft Sans Serif"/>
          <w:sz w:val="24"/>
          <w:szCs w:val="22"/>
        </w:rPr>
        <w:cr/>
        <w:t>EMILY M FARAH COUNSEL</w:t>
      </w:r>
      <w:r w:rsidRPr="003A7B62">
        <w:rPr>
          <w:rFonts w:ascii="Microsoft Sans Serif" w:eastAsia="Microsoft Sans Serif" w:hAnsi="Microsoft Sans Serif" w:cs="Microsoft Sans Serif"/>
          <w:sz w:val="24"/>
          <w:szCs w:val="22"/>
        </w:rPr>
        <w:cr/>
        <w:t>DUQUESNE LIGHT COMPANY</w:t>
      </w:r>
      <w:r w:rsidRPr="003A7B62">
        <w:rPr>
          <w:rFonts w:ascii="Microsoft Sans Serif" w:eastAsia="Microsoft Sans Serif" w:hAnsi="Microsoft Sans Serif" w:cs="Microsoft Sans Serif"/>
          <w:sz w:val="24"/>
          <w:szCs w:val="22"/>
        </w:rPr>
        <w:cr/>
        <w:t>411 Seventh Avenue</w:t>
      </w:r>
      <w:r w:rsidRPr="003A7B62">
        <w:rPr>
          <w:rFonts w:ascii="Microsoft Sans Serif" w:eastAsia="Microsoft Sans Serif" w:hAnsi="Microsoft Sans Serif" w:cs="Microsoft Sans Serif"/>
          <w:sz w:val="24"/>
          <w:szCs w:val="22"/>
        </w:rPr>
        <w:cr/>
        <w:t>PITTSBURGH PA  15219</w:t>
      </w:r>
      <w:r w:rsidRPr="003A7B62">
        <w:rPr>
          <w:rFonts w:ascii="Microsoft Sans Serif" w:eastAsia="Microsoft Sans Serif" w:hAnsi="Microsoft Sans Serif" w:cs="Microsoft Sans Serif"/>
          <w:sz w:val="24"/>
          <w:szCs w:val="22"/>
        </w:rPr>
        <w:cr/>
      </w:r>
      <w:r w:rsidRPr="003A7B62">
        <w:rPr>
          <w:rFonts w:ascii="Microsoft Sans Serif" w:eastAsia="Microsoft Sans Serif" w:hAnsi="Microsoft Sans Serif" w:cs="Microsoft Sans Serif"/>
          <w:b/>
          <w:bCs/>
          <w:sz w:val="24"/>
          <w:szCs w:val="22"/>
        </w:rPr>
        <w:t>412.393.6431</w:t>
      </w:r>
      <w:r w:rsidRPr="003A7B62">
        <w:rPr>
          <w:rFonts w:ascii="Microsoft Sans Serif" w:eastAsia="Microsoft Sans Serif" w:hAnsi="Microsoft Sans Serif" w:cs="Microsoft Sans Serif"/>
          <w:b/>
          <w:bCs/>
          <w:sz w:val="24"/>
          <w:szCs w:val="22"/>
        </w:rPr>
        <w:cr/>
      </w:r>
      <w:r w:rsidRPr="003A7B62">
        <w:rPr>
          <w:rFonts w:ascii="Microsoft Sans Serif" w:eastAsia="Microsoft Sans Serif" w:hAnsi="Microsoft Sans Serif" w:cs="Microsoft Sans Serif"/>
          <w:sz w:val="24"/>
          <w:szCs w:val="22"/>
        </w:rPr>
        <w:t xml:space="preserve">Accepts </w:t>
      </w:r>
      <w:r w:rsidR="009D68F3" w:rsidRPr="003A7B62">
        <w:rPr>
          <w:rFonts w:ascii="Microsoft Sans Serif" w:eastAsia="Microsoft Sans Serif" w:hAnsi="Microsoft Sans Serif" w:cs="Microsoft Sans Serif"/>
          <w:sz w:val="24"/>
          <w:szCs w:val="22"/>
        </w:rPr>
        <w:t>eService</w:t>
      </w:r>
    </w:p>
    <w:p w14:paraId="3013EA5C" w14:textId="77777777" w:rsidR="003A7B62" w:rsidRPr="003A7B62" w:rsidRDefault="003A7B62" w:rsidP="003A7B62">
      <w:pPr>
        <w:spacing w:after="160" w:line="259" w:lineRule="auto"/>
        <w:rPr>
          <w:rFonts w:asciiTheme="minorHAnsi" w:eastAsiaTheme="minorEastAsia" w:hAnsiTheme="minorHAnsi" w:cstheme="minorBidi"/>
          <w:sz w:val="22"/>
          <w:szCs w:val="22"/>
        </w:rPr>
      </w:pPr>
    </w:p>
    <w:p w14:paraId="7522EA9E" w14:textId="5833A7D6" w:rsidR="003A7B62" w:rsidRPr="003A7B62" w:rsidRDefault="003A7B62" w:rsidP="003A7B62">
      <w:pPr>
        <w:rPr>
          <w:sz w:val="24"/>
          <w:szCs w:val="24"/>
        </w:rPr>
      </w:pPr>
    </w:p>
    <w:sectPr w:rsidR="003A7B62" w:rsidRPr="003A7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5384" w14:textId="77777777" w:rsidR="002E5FBB" w:rsidRDefault="002E5FBB" w:rsidP="00586306">
      <w:pPr>
        <w:spacing w:line="240" w:lineRule="auto"/>
      </w:pPr>
      <w:r>
        <w:separator/>
      </w:r>
    </w:p>
  </w:endnote>
  <w:endnote w:type="continuationSeparator" w:id="0">
    <w:p w14:paraId="5759D8F2" w14:textId="77777777" w:rsidR="002E5FBB" w:rsidRDefault="002E5FBB" w:rsidP="00586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76873819"/>
      <w:docPartObj>
        <w:docPartGallery w:val="Page Numbers (Bottom of Page)"/>
        <w:docPartUnique/>
      </w:docPartObj>
    </w:sdtPr>
    <w:sdtEndPr>
      <w:rPr>
        <w:noProof/>
      </w:rPr>
    </w:sdtEndPr>
    <w:sdtContent>
      <w:p w14:paraId="2E4CF829" w14:textId="6FCBDB77" w:rsidR="007B1C54" w:rsidRPr="003A7B62" w:rsidRDefault="001D1410" w:rsidP="003A7B62">
        <w:pPr>
          <w:pStyle w:val="Footer"/>
          <w:jc w:val="center"/>
          <w:rPr>
            <w:sz w:val="20"/>
          </w:rPr>
        </w:pPr>
        <w:r w:rsidRPr="003A7B62">
          <w:rPr>
            <w:sz w:val="20"/>
          </w:rPr>
          <w:fldChar w:fldCharType="begin"/>
        </w:r>
        <w:r w:rsidRPr="003A7B62">
          <w:rPr>
            <w:sz w:val="20"/>
          </w:rPr>
          <w:instrText xml:space="preserve"> PAGE   \* MERGEFORMAT </w:instrText>
        </w:r>
        <w:r w:rsidRPr="003A7B62">
          <w:rPr>
            <w:sz w:val="20"/>
          </w:rPr>
          <w:fldChar w:fldCharType="separate"/>
        </w:r>
        <w:r w:rsidRPr="003A7B62">
          <w:rPr>
            <w:noProof/>
            <w:sz w:val="20"/>
          </w:rPr>
          <w:t>2</w:t>
        </w:r>
        <w:r w:rsidRPr="003A7B62">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88CE" w14:textId="7194C68D" w:rsidR="003A7B62" w:rsidRPr="003A7B62" w:rsidRDefault="003A7B62" w:rsidP="003A7B62">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CE79" w14:textId="77777777" w:rsidR="002E5FBB" w:rsidRDefault="002E5FBB" w:rsidP="00586306">
      <w:pPr>
        <w:spacing w:line="240" w:lineRule="auto"/>
      </w:pPr>
      <w:r>
        <w:separator/>
      </w:r>
    </w:p>
  </w:footnote>
  <w:footnote w:type="continuationSeparator" w:id="0">
    <w:p w14:paraId="1FAA18CD" w14:textId="77777777" w:rsidR="002E5FBB" w:rsidRDefault="002E5FBB" w:rsidP="00586306">
      <w:pPr>
        <w:spacing w:line="240" w:lineRule="auto"/>
      </w:pPr>
      <w:r>
        <w:continuationSeparator/>
      </w:r>
    </w:p>
  </w:footnote>
  <w:footnote w:id="1">
    <w:p w14:paraId="03EC763D" w14:textId="574ABBFF" w:rsidR="003B0756" w:rsidRDefault="003B0756" w:rsidP="003A7B62">
      <w:pPr>
        <w:pStyle w:val="FootnoteText"/>
        <w:spacing w:line="240" w:lineRule="auto"/>
        <w:ind w:firstLine="720"/>
      </w:pPr>
      <w:r>
        <w:rPr>
          <w:rStyle w:val="FootnoteReference"/>
        </w:rPr>
        <w:footnoteRef/>
      </w:r>
      <w:r>
        <w:t xml:space="preserve"> </w:t>
      </w:r>
      <w:r>
        <w:tab/>
        <w:t>“Unless otherwise ordered by the Commission, replies to answer seeking affirmative relief or to new matter shall be filed with the Commission and served within 20 days after date of service of the answer, but not later than 5 days prior to the date set for the commencement of the hearing.”  52 Pa.Code § 5.63(a).</w:t>
      </w:r>
    </w:p>
  </w:footnote>
  <w:footnote w:id="2">
    <w:p w14:paraId="580E41CF" w14:textId="72F1ED39" w:rsidR="00DE4273" w:rsidRDefault="00DE4273" w:rsidP="003A7B62">
      <w:pPr>
        <w:pStyle w:val="FootnoteText"/>
        <w:spacing w:line="240" w:lineRule="auto"/>
        <w:ind w:firstLine="720"/>
      </w:pPr>
      <w:r>
        <w:rPr>
          <w:rStyle w:val="FootnoteReference"/>
        </w:rPr>
        <w:footnoteRef/>
      </w:r>
      <w:r>
        <w:t xml:space="preserve"> </w:t>
      </w:r>
      <w:r>
        <w:tab/>
      </w:r>
      <w:r w:rsidRPr="00DE4273">
        <w:t>Under the Commission’s procedural rules, a party’s failure to file a timely reply to new matter may be deemed in default, and relevant facts stated in the new matter may be deemed to be admitted.  52 Pa.Code §</w:t>
      </w:r>
      <w:r w:rsidR="00697078">
        <w:t> </w:t>
      </w:r>
      <w:r w:rsidRPr="00DE4273">
        <w:t xml:space="preserve">5.63(b).   </w:t>
      </w:r>
    </w:p>
  </w:footnote>
  <w:footnote w:id="3">
    <w:p w14:paraId="564A49B1" w14:textId="77777777" w:rsidR="005A082A" w:rsidRDefault="005A082A" w:rsidP="003A7B62">
      <w:pPr>
        <w:pStyle w:val="FootnoteText"/>
        <w:ind w:firstLine="720"/>
      </w:pPr>
    </w:p>
    <w:p w14:paraId="7E9C0ADA" w14:textId="32009669" w:rsidR="005A082A" w:rsidRDefault="005A082A" w:rsidP="003A7B62">
      <w:pPr>
        <w:pStyle w:val="FootnoteText"/>
        <w:spacing w:line="240" w:lineRule="auto"/>
        <w:ind w:firstLine="720"/>
      </w:pPr>
      <w:r>
        <w:rPr>
          <w:rStyle w:val="FootnoteReference"/>
        </w:rPr>
        <w:footnoteRef/>
      </w:r>
      <w:r>
        <w:t xml:space="preserve"> </w:t>
      </w:r>
      <w:r w:rsidR="000B78B0">
        <w:t xml:space="preserve"> </w:t>
      </w:r>
      <w:r w:rsidR="000B78B0">
        <w:tab/>
        <w:t xml:space="preserve">On December 30, 2021, Complainant filed a Motion to Continue the hearing </w:t>
      </w:r>
      <w:r w:rsidR="003C7B15">
        <w:t xml:space="preserve">to finalize her exhibits. </w:t>
      </w:r>
      <w:r w:rsidR="00F81552">
        <w:t>On January 3, 2022, the parties were notified that Complainant’s Motion to Continue was granted.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2F41"/>
    <w:multiLevelType w:val="multilevel"/>
    <w:tmpl w:val="17E89F2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D26599"/>
    <w:multiLevelType w:val="hybridMultilevel"/>
    <w:tmpl w:val="217C1000"/>
    <w:lvl w:ilvl="0" w:tplc="40E026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73"/>
    <w:rsid w:val="00004539"/>
    <w:rsid w:val="00006E66"/>
    <w:rsid w:val="00007CB2"/>
    <w:rsid w:val="00011036"/>
    <w:rsid w:val="00022B72"/>
    <w:rsid w:val="00025829"/>
    <w:rsid w:val="0002615A"/>
    <w:rsid w:val="0002763F"/>
    <w:rsid w:val="0003217B"/>
    <w:rsid w:val="000337AD"/>
    <w:rsid w:val="00034042"/>
    <w:rsid w:val="000411C2"/>
    <w:rsid w:val="0004152C"/>
    <w:rsid w:val="000603D8"/>
    <w:rsid w:val="000607B2"/>
    <w:rsid w:val="00062749"/>
    <w:rsid w:val="00071C15"/>
    <w:rsid w:val="0007272D"/>
    <w:rsid w:val="0007279E"/>
    <w:rsid w:val="000735D4"/>
    <w:rsid w:val="00081AF4"/>
    <w:rsid w:val="00084826"/>
    <w:rsid w:val="00086E92"/>
    <w:rsid w:val="00092C1D"/>
    <w:rsid w:val="00097C6D"/>
    <w:rsid w:val="00097DFE"/>
    <w:rsid w:val="000B78B0"/>
    <w:rsid w:val="000C4FB2"/>
    <w:rsid w:val="000C5CAF"/>
    <w:rsid w:val="000D2404"/>
    <w:rsid w:val="000D4852"/>
    <w:rsid w:val="000D636B"/>
    <w:rsid w:val="000D7CAD"/>
    <w:rsid w:val="000E4748"/>
    <w:rsid w:val="000E4834"/>
    <w:rsid w:val="000F08FE"/>
    <w:rsid w:val="000F13ED"/>
    <w:rsid w:val="000F79EC"/>
    <w:rsid w:val="00100281"/>
    <w:rsid w:val="0010140B"/>
    <w:rsid w:val="00110FE3"/>
    <w:rsid w:val="00112F46"/>
    <w:rsid w:val="00115E03"/>
    <w:rsid w:val="001205C3"/>
    <w:rsid w:val="00120FC7"/>
    <w:rsid w:val="00121007"/>
    <w:rsid w:val="00122DC8"/>
    <w:rsid w:val="001254EA"/>
    <w:rsid w:val="0012759A"/>
    <w:rsid w:val="0013215B"/>
    <w:rsid w:val="001324F2"/>
    <w:rsid w:val="00133783"/>
    <w:rsid w:val="001358EE"/>
    <w:rsid w:val="00140E39"/>
    <w:rsid w:val="00147751"/>
    <w:rsid w:val="0015272F"/>
    <w:rsid w:val="00153C5F"/>
    <w:rsid w:val="00161855"/>
    <w:rsid w:val="001632E7"/>
    <w:rsid w:val="001700CF"/>
    <w:rsid w:val="001755D7"/>
    <w:rsid w:val="00176C3E"/>
    <w:rsid w:val="001775FA"/>
    <w:rsid w:val="001779AA"/>
    <w:rsid w:val="00180006"/>
    <w:rsid w:val="00190D98"/>
    <w:rsid w:val="00193D37"/>
    <w:rsid w:val="00194C60"/>
    <w:rsid w:val="00195789"/>
    <w:rsid w:val="00197BCE"/>
    <w:rsid w:val="001A30A4"/>
    <w:rsid w:val="001A43C2"/>
    <w:rsid w:val="001A78D9"/>
    <w:rsid w:val="001B143B"/>
    <w:rsid w:val="001B4CA5"/>
    <w:rsid w:val="001B5963"/>
    <w:rsid w:val="001B62F5"/>
    <w:rsid w:val="001C0654"/>
    <w:rsid w:val="001C0AFA"/>
    <w:rsid w:val="001C23E4"/>
    <w:rsid w:val="001C28C6"/>
    <w:rsid w:val="001C72B5"/>
    <w:rsid w:val="001D1410"/>
    <w:rsid w:val="001D1460"/>
    <w:rsid w:val="001D1EAE"/>
    <w:rsid w:val="001D4C68"/>
    <w:rsid w:val="001E2129"/>
    <w:rsid w:val="001E59F7"/>
    <w:rsid w:val="001E63F2"/>
    <w:rsid w:val="001E7483"/>
    <w:rsid w:val="001E74E6"/>
    <w:rsid w:val="001F07A1"/>
    <w:rsid w:val="001F39E9"/>
    <w:rsid w:val="001F4A03"/>
    <w:rsid w:val="00205D35"/>
    <w:rsid w:val="002072D4"/>
    <w:rsid w:val="00212C81"/>
    <w:rsid w:val="00216815"/>
    <w:rsid w:val="002208B9"/>
    <w:rsid w:val="002219FF"/>
    <w:rsid w:val="00222731"/>
    <w:rsid w:val="00232E4C"/>
    <w:rsid w:val="00237739"/>
    <w:rsid w:val="00240C64"/>
    <w:rsid w:val="00245BA0"/>
    <w:rsid w:val="00245E70"/>
    <w:rsid w:val="00250855"/>
    <w:rsid w:val="00252AF2"/>
    <w:rsid w:val="002532F5"/>
    <w:rsid w:val="00253433"/>
    <w:rsid w:val="00260C90"/>
    <w:rsid w:val="00264374"/>
    <w:rsid w:val="002720B3"/>
    <w:rsid w:val="00280C34"/>
    <w:rsid w:val="00282183"/>
    <w:rsid w:val="00285D7E"/>
    <w:rsid w:val="00294E67"/>
    <w:rsid w:val="00297BA2"/>
    <w:rsid w:val="002A023D"/>
    <w:rsid w:val="002A4325"/>
    <w:rsid w:val="002B4F0B"/>
    <w:rsid w:val="002B7D30"/>
    <w:rsid w:val="002C08C5"/>
    <w:rsid w:val="002C20F3"/>
    <w:rsid w:val="002C2BCC"/>
    <w:rsid w:val="002C41DB"/>
    <w:rsid w:val="002C4499"/>
    <w:rsid w:val="002D1E83"/>
    <w:rsid w:val="002E0132"/>
    <w:rsid w:val="002E384E"/>
    <w:rsid w:val="002E5FBB"/>
    <w:rsid w:val="002F0DFC"/>
    <w:rsid w:val="002F1940"/>
    <w:rsid w:val="002F3FE3"/>
    <w:rsid w:val="00300F22"/>
    <w:rsid w:val="003016FB"/>
    <w:rsid w:val="00301780"/>
    <w:rsid w:val="003020C3"/>
    <w:rsid w:val="00303143"/>
    <w:rsid w:val="00306EEB"/>
    <w:rsid w:val="003116F7"/>
    <w:rsid w:val="003127DE"/>
    <w:rsid w:val="0031382E"/>
    <w:rsid w:val="003141D6"/>
    <w:rsid w:val="0032033F"/>
    <w:rsid w:val="00320DE8"/>
    <w:rsid w:val="003211FA"/>
    <w:rsid w:val="00322170"/>
    <w:rsid w:val="00324378"/>
    <w:rsid w:val="00324EA9"/>
    <w:rsid w:val="0033101C"/>
    <w:rsid w:val="00331422"/>
    <w:rsid w:val="00331F80"/>
    <w:rsid w:val="00334842"/>
    <w:rsid w:val="00334BE3"/>
    <w:rsid w:val="003429C6"/>
    <w:rsid w:val="0034359B"/>
    <w:rsid w:val="00344AA8"/>
    <w:rsid w:val="00346967"/>
    <w:rsid w:val="003571C3"/>
    <w:rsid w:val="00360001"/>
    <w:rsid w:val="00362009"/>
    <w:rsid w:val="00365C2A"/>
    <w:rsid w:val="00370873"/>
    <w:rsid w:val="0037158F"/>
    <w:rsid w:val="00374F96"/>
    <w:rsid w:val="003752C3"/>
    <w:rsid w:val="003779A9"/>
    <w:rsid w:val="00380318"/>
    <w:rsid w:val="0038102D"/>
    <w:rsid w:val="00383796"/>
    <w:rsid w:val="00390A92"/>
    <w:rsid w:val="00390BB3"/>
    <w:rsid w:val="003921E6"/>
    <w:rsid w:val="00392A75"/>
    <w:rsid w:val="00395C51"/>
    <w:rsid w:val="00396A40"/>
    <w:rsid w:val="00397DE8"/>
    <w:rsid w:val="003A1CA0"/>
    <w:rsid w:val="003A2B6E"/>
    <w:rsid w:val="003A7503"/>
    <w:rsid w:val="003A7B62"/>
    <w:rsid w:val="003B0406"/>
    <w:rsid w:val="003B0756"/>
    <w:rsid w:val="003B2DBC"/>
    <w:rsid w:val="003B3092"/>
    <w:rsid w:val="003B43DF"/>
    <w:rsid w:val="003C03D7"/>
    <w:rsid w:val="003C0718"/>
    <w:rsid w:val="003C18FA"/>
    <w:rsid w:val="003C43CE"/>
    <w:rsid w:val="003C450A"/>
    <w:rsid w:val="003C7B15"/>
    <w:rsid w:val="003D0D12"/>
    <w:rsid w:val="003D2E39"/>
    <w:rsid w:val="003D3170"/>
    <w:rsid w:val="003D4E28"/>
    <w:rsid w:val="003D5773"/>
    <w:rsid w:val="003D673F"/>
    <w:rsid w:val="003E097F"/>
    <w:rsid w:val="003E6B15"/>
    <w:rsid w:val="003F06E9"/>
    <w:rsid w:val="003F0CB1"/>
    <w:rsid w:val="003F3A46"/>
    <w:rsid w:val="003F63F8"/>
    <w:rsid w:val="003F6E42"/>
    <w:rsid w:val="00401ED1"/>
    <w:rsid w:val="004021F2"/>
    <w:rsid w:val="00402873"/>
    <w:rsid w:val="00402C1B"/>
    <w:rsid w:val="00411BEB"/>
    <w:rsid w:val="00424F16"/>
    <w:rsid w:val="00426578"/>
    <w:rsid w:val="00431AE2"/>
    <w:rsid w:val="00432B89"/>
    <w:rsid w:val="00435B77"/>
    <w:rsid w:val="00437D8B"/>
    <w:rsid w:val="00441341"/>
    <w:rsid w:val="00441680"/>
    <w:rsid w:val="004453C5"/>
    <w:rsid w:val="00446719"/>
    <w:rsid w:val="0044798D"/>
    <w:rsid w:val="00450B67"/>
    <w:rsid w:val="004522A6"/>
    <w:rsid w:val="004523B0"/>
    <w:rsid w:val="00456BA7"/>
    <w:rsid w:val="00457EDD"/>
    <w:rsid w:val="00461BF4"/>
    <w:rsid w:val="00464CA3"/>
    <w:rsid w:val="00466570"/>
    <w:rsid w:val="00466A1F"/>
    <w:rsid w:val="00467A04"/>
    <w:rsid w:val="004709A7"/>
    <w:rsid w:val="0047466E"/>
    <w:rsid w:val="00481E35"/>
    <w:rsid w:val="004847BE"/>
    <w:rsid w:val="00484883"/>
    <w:rsid w:val="00486556"/>
    <w:rsid w:val="004917B4"/>
    <w:rsid w:val="00494D57"/>
    <w:rsid w:val="00497C0F"/>
    <w:rsid w:val="004A0741"/>
    <w:rsid w:val="004A1878"/>
    <w:rsid w:val="004B33D1"/>
    <w:rsid w:val="004B373F"/>
    <w:rsid w:val="004C114A"/>
    <w:rsid w:val="004C2B68"/>
    <w:rsid w:val="004C2F43"/>
    <w:rsid w:val="004C534C"/>
    <w:rsid w:val="004D0A7B"/>
    <w:rsid w:val="004D2A92"/>
    <w:rsid w:val="004D5D4C"/>
    <w:rsid w:val="004E058D"/>
    <w:rsid w:val="004E2E46"/>
    <w:rsid w:val="004F1871"/>
    <w:rsid w:val="004F4FC6"/>
    <w:rsid w:val="004F5FF2"/>
    <w:rsid w:val="004F70FF"/>
    <w:rsid w:val="00505BA2"/>
    <w:rsid w:val="00512133"/>
    <w:rsid w:val="00512C26"/>
    <w:rsid w:val="005178F8"/>
    <w:rsid w:val="00522819"/>
    <w:rsid w:val="0052397B"/>
    <w:rsid w:val="00524384"/>
    <w:rsid w:val="00533014"/>
    <w:rsid w:val="00534582"/>
    <w:rsid w:val="00540F55"/>
    <w:rsid w:val="005439AE"/>
    <w:rsid w:val="00545793"/>
    <w:rsid w:val="00545AD7"/>
    <w:rsid w:val="00546C00"/>
    <w:rsid w:val="00550D4B"/>
    <w:rsid w:val="00552189"/>
    <w:rsid w:val="0055424A"/>
    <w:rsid w:val="00556262"/>
    <w:rsid w:val="00561532"/>
    <w:rsid w:val="00561589"/>
    <w:rsid w:val="005623A4"/>
    <w:rsid w:val="00565DB7"/>
    <w:rsid w:val="005672E9"/>
    <w:rsid w:val="005712E5"/>
    <w:rsid w:val="00572BC9"/>
    <w:rsid w:val="005741D1"/>
    <w:rsid w:val="00574E90"/>
    <w:rsid w:val="005771D1"/>
    <w:rsid w:val="0057772C"/>
    <w:rsid w:val="00582581"/>
    <w:rsid w:val="00586306"/>
    <w:rsid w:val="005916CE"/>
    <w:rsid w:val="00596CB2"/>
    <w:rsid w:val="00597A58"/>
    <w:rsid w:val="005A0791"/>
    <w:rsid w:val="005A082A"/>
    <w:rsid w:val="005A1A31"/>
    <w:rsid w:val="005A2530"/>
    <w:rsid w:val="005A52DD"/>
    <w:rsid w:val="005B1B83"/>
    <w:rsid w:val="005C069A"/>
    <w:rsid w:val="005C47E9"/>
    <w:rsid w:val="005D2B2D"/>
    <w:rsid w:val="005D4F59"/>
    <w:rsid w:val="005D534F"/>
    <w:rsid w:val="005E1F99"/>
    <w:rsid w:val="005E2AAF"/>
    <w:rsid w:val="005E37E7"/>
    <w:rsid w:val="005E47C7"/>
    <w:rsid w:val="005E4CBE"/>
    <w:rsid w:val="005E5434"/>
    <w:rsid w:val="005E7549"/>
    <w:rsid w:val="005F46F6"/>
    <w:rsid w:val="005F5652"/>
    <w:rsid w:val="005F5A33"/>
    <w:rsid w:val="005F70D8"/>
    <w:rsid w:val="005F70DD"/>
    <w:rsid w:val="005F75F4"/>
    <w:rsid w:val="00601955"/>
    <w:rsid w:val="00602FE8"/>
    <w:rsid w:val="00604F5D"/>
    <w:rsid w:val="006102CB"/>
    <w:rsid w:val="00620B06"/>
    <w:rsid w:val="00622B3C"/>
    <w:rsid w:val="00623DCA"/>
    <w:rsid w:val="006252BB"/>
    <w:rsid w:val="00626E9E"/>
    <w:rsid w:val="006300F8"/>
    <w:rsid w:val="00630B86"/>
    <w:rsid w:val="00634324"/>
    <w:rsid w:val="006357C9"/>
    <w:rsid w:val="00635CFC"/>
    <w:rsid w:val="00640D61"/>
    <w:rsid w:val="00654FB3"/>
    <w:rsid w:val="00664741"/>
    <w:rsid w:val="006652EB"/>
    <w:rsid w:val="00667238"/>
    <w:rsid w:val="00673FDA"/>
    <w:rsid w:val="00676B0F"/>
    <w:rsid w:val="00682CCF"/>
    <w:rsid w:val="0068338F"/>
    <w:rsid w:val="00683E59"/>
    <w:rsid w:val="00690DF1"/>
    <w:rsid w:val="00693148"/>
    <w:rsid w:val="00695B3C"/>
    <w:rsid w:val="00697078"/>
    <w:rsid w:val="006973E2"/>
    <w:rsid w:val="006A567C"/>
    <w:rsid w:val="006A5B8B"/>
    <w:rsid w:val="006A6248"/>
    <w:rsid w:val="006B01D8"/>
    <w:rsid w:val="006B3612"/>
    <w:rsid w:val="006B77B9"/>
    <w:rsid w:val="006C35E7"/>
    <w:rsid w:val="006D02AB"/>
    <w:rsid w:val="006D098E"/>
    <w:rsid w:val="006D7E03"/>
    <w:rsid w:val="006E247D"/>
    <w:rsid w:val="006E2C1C"/>
    <w:rsid w:val="006F0778"/>
    <w:rsid w:val="0070121D"/>
    <w:rsid w:val="00705730"/>
    <w:rsid w:val="007304F0"/>
    <w:rsid w:val="0073068D"/>
    <w:rsid w:val="00731280"/>
    <w:rsid w:val="00743130"/>
    <w:rsid w:val="007536D3"/>
    <w:rsid w:val="007540AC"/>
    <w:rsid w:val="007565E9"/>
    <w:rsid w:val="0076059F"/>
    <w:rsid w:val="00763842"/>
    <w:rsid w:val="00772E9D"/>
    <w:rsid w:val="007826B8"/>
    <w:rsid w:val="00783B39"/>
    <w:rsid w:val="0078424E"/>
    <w:rsid w:val="00790FDD"/>
    <w:rsid w:val="00791ABD"/>
    <w:rsid w:val="007A21DF"/>
    <w:rsid w:val="007A785C"/>
    <w:rsid w:val="007B0232"/>
    <w:rsid w:val="007B1C54"/>
    <w:rsid w:val="007B638A"/>
    <w:rsid w:val="007C1673"/>
    <w:rsid w:val="007C5CAA"/>
    <w:rsid w:val="007C71E9"/>
    <w:rsid w:val="007D4F4B"/>
    <w:rsid w:val="007D6BE0"/>
    <w:rsid w:val="007E6192"/>
    <w:rsid w:val="007E7C64"/>
    <w:rsid w:val="007F63C1"/>
    <w:rsid w:val="00800EBE"/>
    <w:rsid w:val="008044BA"/>
    <w:rsid w:val="0081019D"/>
    <w:rsid w:val="008135E3"/>
    <w:rsid w:val="00823497"/>
    <w:rsid w:val="008248E5"/>
    <w:rsid w:val="00824F2F"/>
    <w:rsid w:val="00826E56"/>
    <w:rsid w:val="0082741F"/>
    <w:rsid w:val="0083207E"/>
    <w:rsid w:val="00836776"/>
    <w:rsid w:val="00837308"/>
    <w:rsid w:val="00841CAF"/>
    <w:rsid w:val="00842016"/>
    <w:rsid w:val="0085022E"/>
    <w:rsid w:val="00852E4D"/>
    <w:rsid w:val="00854817"/>
    <w:rsid w:val="00862679"/>
    <w:rsid w:val="00863AFF"/>
    <w:rsid w:val="00866355"/>
    <w:rsid w:val="00871DC6"/>
    <w:rsid w:val="008728ED"/>
    <w:rsid w:val="008733F7"/>
    <w:rsid w:val="00877547"/>
    <w:rsid w:val="00883DB1"/>
    <w:rsid w:val="008868C5"/>
    <w:rsid w:val="00886DF4"/>
    <w:rsid w:val="00887C0A"/>
    <w:rsid w:val="008935AE"/>
    <w:rsid w:val="00895F9E"/>
    <w:rsid w:val="00896A73"/>
    <w:rsid w:val="0089793F"/>
    <w:rsid w:val="008A60C8"/>
    <w:rsid w:val="008A73B6"/>
    <w:rsid w:val="008B1409"/>
    <w:rsid w:val="008B4CB9"/>
    <w:rsid w:val="008C0DBE"/>
    <w:rsid w:val="008C5180"/>
    <w:rsid w:val="008D0BC9"/>
    <w:rsid w:val="008E0C0D"/>
    <w:rsid w:val="008E618E"/>
    <w:rsid w:val="008F049E"/>
    <w:rsid w:val="008F50E3"/>
    <w:rsid w:val="008F71DA"/>
    <w:rsid w:val="008F78DB"/>
    <w:rsid w:val="00901C3B"/>
    <w:rsid w:val="0090220C"/>
    <w:rsid w:val="009026A1"/>
    <w:rsid w:val="009030E9"/>
    <w:rsid w:val="00903806"/>
    <w:rsid w:val="009064FC"/>
    <w:rsid w:val="009116F6"/>
    <w:rsid w:val="009129B4"/>
    <w:rsid w:val="00912E70"/>
    <w:rsid w:val="009151A5"/>
    <w:rsid w:val="00917780"/>
    <w:rsid w:val="00922394"/>
    <w:rsid w:val="0092287D"/>
    <w:rsid w:val="00922D9E"/>
    <w:rsid w:val="00924EC3"/>
    <w:rsid w:val="00926A64"/>
    <w:rsid w:val="00926A98"/>
    <w:rsid w:val="00930C65"/>
    <w:rsid w:val="009319E9"/>
    <w:rsid w:val="00935BD6"/>
    <w:rsid w:val="00937944"/>
    <w:rsid w:val="00940163"/>
    <w:rsid w:val="009418FF"/>
    <w:rsid w:val="00950F71"/>
    <w:rsid w:val="009510EA"/>
    <w:rsid w:val="00951110"/>
    <w:rsid w:val="00956F5F"/>
    <w:rsid w:val="00981136"/>
    <w:rsid w:val="009861D1"/>
    <w:rsid w:val="00987156"/>
    <w:rsid w:val="009906A9"/>
    <w:rsid w:val="009912E0"/>
    <w:rsid w:val="00991E3C"/>
    <w:rsid w:val="0099235E"/>
    <w:rsid w:val="00992D76"/>
    <w:rsid w:val="00993632"/>
    <w:rsid w:val="009940CD"/>
    <w:rsid w:val="009941C6"/>
    <w:rsid w:val="009954A6"/>
    <w:rsid w:val="00997060"/>
    <w:rsid w:val="009A1F75"/>
    <w:rsid w:val="009A3869"/>
    <w:rsid w:val="009A4DB4"/>
    <w:rsid w:val="009A5F1D"/>
    <w:rsid w:val="009A67C0"/>
    <w:rsid w:val="009A77DD"/>
    <w:rsid w:val="009B52FF"/>
    <w:rsid w:val="009C0682"/>
    <w:rsid w:val="009C1544"/>
    <w:rsid w:val="009C205B"/>
    <w:rsid w:val="009C2783"/>
    <w:rsid w:val="009C76B2"/>
    <w:rsid w:val="009D0A9B"/>
    <w:rsid w:val="009D30AC"/>
    <w:rsid w:val="009D4270"/>
    <w:rsid w:val="009D4F59"/>
    <w:rsid w:val="009D61AF"/>
    <w:rsid w:val="009D68F3"/>
    <w:rsid w:val="009D71E6"/>
    <w:rsid w:val="009E2591"/>
    <w:rsid w:val="009E6375"/>
    <w:rsid w:val="009E7437"/>
    <w:rsid w:val="00A006F1"/>
    <w:rsid w:val="00A01D94"/>
    <w:rsid w:val="00A048C8"/>
    <w:rsid w:val="00A16A85"/>
    <w:rsid w:val="00A176F4"/>
    <w:rsid w:val="00A247E7"/>
    <w:rsid w:val="00A27343"/>
    <w:rsid w:val="00A33B78"/>
    <w:rsid w:val="00A34321"/>
    <w:rsid w:val="00A34E8E"/>
    <w:rsid w:val="00A36E2B"/>
    <w:rsid w:val="00A40616"/>
    <w:rsid w:val="00A41F1A"/>
    <w:rsid w:val="00A43533"/>
    <w:rsid w:val="00A476B8"/>
    <w:rsid w:val="00A54AD1"/>
    <w:rsid w:val="00A57F8B"/>
    <w:rsid w:val="00A620A2"/>
    <w:rsid w:val="00A625AC"/>
    <w:rsid w:val="00A64458"/>
    <w:rsid w:val="00A65102"/>
    <w:rsid w:val="00A65FFD"/>
    <w:rsid w:val="00A73438"/>
    <w:rsid w:val="00A73DF6"/>
    <w:rsid w:val="00A74752"/>
    <w:rsid w:val="00A806F7"/>
    <w:rsid w:val="00A8164A"/>
    <w:rsid w:val="00A849A3"/>
    <w:rsid w:val="00A84DFC"/>
    <w:rsid w:val="00A9109B"/>
    <w:rsid w:val="00AA00EF"/>
    <w:rsid w:val="00AA4B2C"/>
    <w:rsid w:val="00AB3F35"/>
    <w:rsid w:val="00AB5967"/>
    <w:rsid w:val="00AB6C96"/>
    <w:rsid w:val="00AC3759"/>
    <w:rsid w:val="00AC5980"/>
    <w:rsid w:val="00AD0BA9"/>
    <w:rsid w:val="00AD0D0C"/>
    <w:rsid w:val="00AD1BCC"/>
    <w:rsid w:val="00AD3385"/>
    <w:rsid w:val="00AD4C42"/>
    <w:rsid w:val="00AD4EA6"/>
    <w:rsid w:val="00AD6EB2"/>
    <w:rsid w:val="00AE428B"/>
    <w:rsid w:val="00AE6A35"/>
    <w:rsid w:val="00AF19B4"/>
    <w:rsid w:val="00AF2094"/>
    <w:rsid w:val="00AF3CE1"/>
    <w:rsid w:val="00AF3E58"/>
    <w:rsid w:val="00B1288B"/>
    <w:rsid w:val="00B14427"/>
    <w:rsid w:val="00B15C7A"/>
    <w:rsid w:val="00B20CD8"/>
    <w:rsid w:val="00B20F48"/>
    <w:rsid w:val="00B30B08"/>
    <w:rsid w:val="00B3734D"/>
    <w:rsid w:val="00B4056D"/>
    <w:rsid w:val="00B407B8"/>
    <w:rsid w:val="00B4608D"/>
    <w:rsid w:val="00B46D70"/>
    <w:rsid w:val="00B50FED"/>
    <w:rsid w:val="00B564C3"/>
    <w:rsid w:val="00B5795A"/>
    <w:rsid w:val="00B6040C"/>
    <w:rsid w:val="00B617D0"/>
    <w:rsid w:val="00B6434C"/>
    <w:rsid w:val="00B64D95"/>
    <w:rsid w:val="00B6516B"/>
    <w:rsid w:val="00B70251"/>
    <w:rsid w:val="00B73DDB"/>
    <w:rsid w:val="00B808E6"/>
    <w:rsid w:val="00B82403"/>
    <w:rsid w:val="00B83C62"/>
    <w:rsid w:val="00B92AF5"/>
    <w:rsid w:val="00B963A8"/>
    <w:rsid w:val="00B9700F"/>
    <w:rsid w:val="00BA33E1"/>
    <w:rsid w:val="00BA57D9"/>
    <w:rsid w:val="00BA6037"/>
    <w:rsid w:val="00BA70EC"/>
    <w:rsid w:val="00BB03F6"/>
    <w:rsid w:val="00BB2455"/>
    <w:rsid w:val="00BB3CBB"/>
    <w:rsid w:val="00BB6732"/>
    <w:rsid w:val="00BC5EDC"/>
    <w:rsid w:val="00BC6E5A"/>
    <w:rsid w:val="00BC7857"/>
    <w:rsid w:val="00BD510A"/>
    <w:rsid w:val="00BD6FB1"/>
    <w:rsid w:val="00BD72EA"/>
    <w:rsid w:val="00BE4760"/>
    <w:rsid w:val="00BF223F"/>
    <w:rsid w:val="00BF7A13"/>
    <w:rsid w:val="00BF7FC3"/>
    <w:rsid w:val="00C0015D"/>
    <w:rsid w:val="00C0125D"/>
    <w:rsid w:val="00C058BE"/>
    <w:rsid w:val="00C1028F"/>
    <w:rsid w:val="00C148D4"/>
    <w:rsid w:val="00C16530"/>
    <w:rsid w:val="00C16660"/>
    <w:rsid w:val="00C17CF1"/>
    <w:rsid w:val="00C20986"/>
    <w:rsid w:val="00C215C1"/>
    <w:rsid w:val="00C227D7"/>
    <w:rsid w:val="00C22AFB"/>
    <w:rsid w:val="00C3236E"/>
    <w:rsid w:val="00C3254B"/>
    <w:rsid w:val="00C36FCA"/>
    <w:rsid w:val="00C42D65"/>
    <w:rsid w:val="00C43364"/>
    <w:rsid w:val="00C45959"/>
    <w:rsid w:val="00C57120"/>
    <w:rsid w:val="00C57B47"/>
    <w:rsid w:val="00C61E5F"/>
    <w:rsid w:val="00C62950"/>
    <w:rsid w:val="00C62A4A"/>
    <w:rsid w:val="00C652C3"/>
    <w:rsid w:val="00C7719D"/>
    <w:rsid w:val="00C8046B"/>
    <w:rsid w:val="00C92E7B"/>
    <w:rsid w:val="00C95071"/>
    <w:rsid w:val="00C966C9"/>
    <w:rsid w:val="00C96C2D"/>
    <w:rsid w:val="00CA022F"/>
    <w:rsid w:val="00CA1345"/>
    <w:rsid w:val="00CA6D28"/>
    <w:rsid w:val="00CC02E8"/>
    <w:rsid w:val="00CC097E"/>
    <w:rsid w:val="00CC274D"/>
    <w:rsid w:val="00CC5D92"/>
    <w:rsid w:val="00CD020D"/>
    <w:rsid w:val="00CD5191"/>
    <w:rsid w:val="00CE040D"/>
    <w:rsid w:val="00CE2BBF"/>
    <w:rsid w:val="00CE35F4"/>
    <w:rsid w:val="00CE632E"/>
    <w:rsid w:val="00CF1774"/>
    <w:rsid w:val="00CF35E9"/>
    <w:rsid w:val="00CF4763"/>
    <w:rsid w:val="00D0257B"/>
    <w:rsid w:val="00D02B6F"/>
    <w:rsid w:val="00D04703"/>
    <w:rsid w:val="00D0620A"/>
    <w:rsid w:val="00D06DBD"/>
    <w:rsid w:val="00D100ED"/>
    <w:rsid w:val="00D110B3"/>
    <w:rsid w:val="00D12E15"/>
    <w:rsid w:val="00D14CCC"/>
    <w:rsid w:val="00D26A37"/>
    <w:rsid w:val="00D30C7B"/>
    <w:rsid w:val="00D3361E"/>
    <w:rsid w:val="00D34FB6"/>
    <w:rsid w:val="00D40BA7"/>
    <w:rsid w:val="00D51182"/>
    <w:rsid w:val="00D55AE2"/>
    <w:rsid w:val="00D56353"/>
    <w:rsid w:val="00D57C52"/>
    <w:rsid w:val="00D60480"/>
    <w:rsid w:val="00D60485"/>
    <w:rsid w:val="00D624DF"/>
    <w:rsid w:val="00D67F9C"/>
    <w:rsid w:val="00D7078D"/>
    <w:rsid w:val="00D70E9B"/>
    <w:rsid w:val="00D71950"/>
    <w:rsid w:val="00D71CBE"/>
    <w:rsid w:val="00D730D7"/>
    <w:rsid w:val="00D75746"/>
    <w:rsid w:val="00D82869"/>
    <w:rsid w:val="00D87731"/>
    <w:rsid w:val="00D87AD3"/>
    <w:rsid w:val="00D90A7C"/>
    <w:rsid w:val="00D95056"/>
    <w:rsid w:val="00DA1FFC"/>
    <w:rsid w:val="00DA2060"/>
    <w:rsid w:val="00DA7BE4"/>
    <w:rsid w:val="00DB215E"/>
    <w:rsid w:val="00DB35D3"/>
    <w:rsid w:val="00DB4584"/>
    <w:rsid w:val="00DC3084"/>
    <w:rsid w:val="00DC56FA"/>
    <w:rsid w:val="00DC6781"/>
    <w:rsid w:val="00DD7350"/>
    <w:rsid w:val="00DD77AF"/>
    <w:rsid w:val="00DE4273"/>
    <w:rsid w:val="00DE56E8"/>
    <w:rsid w:val="00DE6C15"/>
    <w:rsid w:val="00DE6E8C"/>
    <w:rsid w:val="00DF09FD"/>
    <w:rsid w:val="00DF265E"/>
    <w:rsid w:val="00DF74D3"/>
    <w:rsid w:val="00E024DC"/>
    <w:rsid w:val="00E036AE"/>
    <w:rsid w:val="00E0489C"/>
    <w:rsid w:val="00E11A9C"/>
    <w:rsid w:val="00E16161"/>
    <w:rsid w:val="00E16A7E"/>
    <w:rsid w:val="00E2199F"/>
    <w:rsid w:val="00E26FF8"/>
    <w:rsid w:val="00E31FFB"/>
    <w:rsid w:val="00E32983"/>
    <w:rsid w:val="00E34EF8"/>
    <w:rsid w:val="00E351C0"/>
    <w:rsid w:val="00E42716"/>
    <w:rsid w:val="00E45BB1"/>
    <w:rsid w:val="00E465DE"/>
    <w:rsid w:val="00E4692F"/>
    <w:rsid w:val="00E47178"/>
    <w:rsid w:val="00E47945"/>
    <w:rsid w:val="00E602C3"/>
    <w:rsid w:val="00E61610"/>
    <w:rsid w:val="00E62D23"/>
    <w:rsid w:val="00E65234"/>
    <w:rsid w:val="00E6601C"/>
    <w:rsid w:val="00E67BE5"/>
    <w:rsid w:val="00E7299C"/>
    <w:rsid w:val="00E72EC9"/>
    <w:rsid w:val="00E73EE2"/>
    <w:rsid w:val="00E7437B"/>
    <w:rsid w:val="00E77AB3"/>
    <w:rsid w:val="00E92492"/>
    <w:rsid w:val="00E950C0"/>
    <w:rsid w:val="00EA0127"/>
    <w:rsid w:val="00EA130F"/>
    <w:rsid w:val="00EA1AE4"/>
    <w:rsid w:val="00EA1F18"/>
    <w:rsid w:val="00EA1FEC"/>
    <w:rsid w:val="00EB1B9C"/>
    <w:rsid w:val="00EB3B8C"/>
    <w:rsid w:val="00EB7ABC"/>
    <w:rsid w:val="00EB7EE9"/>
    <w:rsid w:val="00EC5F1B"/>
    <w:rsid w:val="00EC65DE"/>
    <w:rsid w:val="00ED0037"/>
    <w:rsid w:val="00ED0D2B"/>
    <w:rsid w:val="00ED2DDF"/>
    <w:rsid w:val="00ED76D5"/>
    <w:rsid w:val="00EE0BE3"/>
    <w:rsid w:val="00EE2ED3"/>
    <w:rsid w:val="00EF0AEF"/>
    <w:rsid w:val="00EF4D2E"/>
    <w:rsid w:val="00EF652C"/>
    <w:rsid w:val="00EF73D7"/>
    <w:rsid w:val="00F00259"/>
    <w:rsid w:val="00F00634"/>
    <w:rsid w:val="00F01ED4"/>
    <w:rsid w:val="00F022C1"/>
    <w:rsid w:val="00F070C7"/>
    <w:rsid w:val="00F079F9"/>
    <w:rsid w:val="00F12857"/>
    <w:rsid w:val="00F15A7F"/>
    <w:rsid w:val="00F15ADD"/>
    <w:rsid w:val="00F1763E"/>
    <w:rsid w:val="00F176D4"/>
    <w:rsid w:val="00F21165"/>
    <w:rsid w:val="00F24C8F"/>
    <w:rsid w:val="00F33120"/>
    <w:rsid w:val="00F34DFC"/>
    <w:rsid w:val="00F3540B"/>
    <w:rsid w:val="00F36889"/>
    <w:rsid w:val="00F4409A"/>
    <w:rsid w:val="00F45148"/>
    <w:rsid w:val="00F53315"/>
    <w:rsid w:val="00F6006D"/>
    <w:rsid w:val="00F60B3F"/>
    <w:rsid w:val="00F60C94"/>
    <w:rsid w:val="00F62538"/>
    <w:rsid w:val="00F7257A"/>
    <w:rsid w:val="00F743D4"/>
    <w:rsid w:val="00F752D5"/>
    <w:rsid w:val="00F80F2E"/>
    <w:rsid w:val="00F81552"/>
    <w:rsid w:val="00F828B3"/>
    <w:rsid w:val="00F82DE1"/>
    <w:rsid w:val="00F87794"/>
    <w:rsid w:val="00F90207"/>
    <w:rsid w:val="00F92C2D"/>
    <w:rsid w:val="00F935A9"/>
    <w:rsid w:val="00F94345"/>
    <w:rsid w:val="00FA6BDE"/>
    <w:rsid w:val="00FA6DDD"/>
    <w:rsid w:val="00FB07F4"/>
    <w:rsid w:val="00FB5D79"/>
    <w:rsid w:val="00FB5DC9"/>
    <w:rsid w:val="00FC3C33"/>
    <w:rsid w:val="00FD0E50"/>
    <w:rsid w:val="00FD5BFB"/>
    <w:rsid w:val="00FE2327"/>
    <w:rsid w:val="00F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2F55D"/>
  <w15:chartTrackingRefBased/>
  <w15:docId w15:val="{405F311C-333F-436E-8062-1832A913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73"/>
    <w:pPr>
      <w:spacing w:line="360" w:lineRule="auto"/>
    </w:pPr>
    <w:rPr>
      <w:rFonts w:eastAsia="Times New Roman"/>
      <w:sz w:val="26"/>
    </w:rPr>
  </w:style>
  <w:style w:type="paragraph" w:styleId="Heading1">
    <w:name w:val="heading 1"/>
    <w:basedOn w:val="Normal"/>
    <w:next w:val="Normal"/>
    <w:link w:val="Heading1Char"/>
    <w:qFormat/>
    <w:rsid w:val="007C1673"/>
    <w:pPr>
      <w:keepNext/>
      <w:spacing w:line="240" w:lineRule="auto"/>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673"/>
    <w:rPr>
      <w:rFonts w:eastAsia="Times New Roman" w:cs="Times New Roman"/>
      <w:sz w:val="26"/>
      <w:szCs w:val="20"/>
      <w:u w:val="single"/>
    </w:rPr>
  </w:style>
  <w:style w:type="paragraph" w:styleId="Title">
    <w:name w:val="Title"/>
    <w:basedOn w:val="Normal"/>
    <w:link w:val="TitleChar"/>
    <w:qFormat/>
    <w:rsid w:val="00D730D7"/>
    <w:pPr>
      <w:tabs>
        <w:tab w:val="left" w:pos="360"/>
      </w:tabs>
      <w:spacing w:line="233" w:lineRule="auto"/>
      <w:jc w:val="center"/>
    </w:pPr>
    <w:rPr>
      <w:b/>
      <w:sz w:val="24"/>
    </w:rPr>
  </w:style>
  <w:style w:type="character" w:customStyle="1" w:styleId="TitleChar">
    <w:name w:val="Title Char"/>
    <w:basedOn w:val="DefaultParagraphFont"/>
    <w:link w:val="Title"/>
    <w:rsid w:val="00D730D7"/>
    <w:rPr>
      <w:rFonts w:eastAsia="Times New Roman" w:cs="Times New Roman"/>
      <w:b/>
      <w:szCs w:val="20"/>
    </w:rPr>
  </w:style>
  <w:style w:type="paragraph" w:styleId="FootnoteText">
    <w:name w:val="footnote text"/>
    <w:basedOn w:val="Normal"/>
    <w:link w:val="FootnoteTextChar"/>
    <w:uiPriority w:val="99"/>
    <w:unhideWhenUsed/>
    <w:rsid w:val="00586306"/>
    <w:rPr>
      <w:sz w:val="20"/>
    </w:rPr>
  </w:style>
  <w:style w:type="character" w:customStyle="1" w:styleId="FootnoteTextChar">
    <w:name w:val="Footnote Text Char"/>
    <w:basedOn w:val="DefaultParagraphFont"/>
    <w:link w:val="FootnoteText"/>
    <w:uiPriority w:val="99"/>
    <w:rsid w:val="00586306"/>
    <w:rPr>
      <w:rFonts w:eastAsia="Times New Roman"/>
    </w:rPr>
  </w:style>
  <w:style w:type="character" w:styleId="FootnoteReference">
    <w:name w:val="footnote reference"/>
    <w:basedOn w:val="DefaultParagraphFont"/>
    <w:semiHidden/>
    <w:unhideWhenUsed/>
    <w:rsid w:val="00586306"/>
    <w:rPr>
      <w:vertAlign w:val="superscript"/>
    </w:rPr>
  </w:style>
  <w:style w:type="paragraph" w:styleId="Header">
    <w:name w:val="header"/>
    <w:basedOn w:val="Normal"/>
    <w:link w:val="HeaderChar"/>
    <w:uiPriority w:val="99"/>
    <w:unhideWhenUsed/>
    <w:rsid w:val="007B1C54"/>
    <w:pPr>
      <w:tabs>
        <w:tab w:val="center" w:pos="4680"/>
        <w:tab w:val="right" w:pos="9360"/>
      </w:tabs>
    </w:pPr>
  </w:style>
  <w:style w:type="character" w:customStyle="1" w:styleId="HeaderChar">
    <w:name w:val="Header Char"/>
    <w:basedOn w:val="DefaultParagraphFont"/>
    <w:link w:val="Header"/>
    <w:uiPriority w:val="99"/>
    <w:rsid w:val="007B1C54"/>
    <w:rPr>
      <w:rFonts w:eastAsia="Times New Roman"/>
      <w:sz w:val="26"/>
    </w:rPr>
  </w:style>
  <w:style w:type="paragraph" w:styleId="Footer">
    <w:name w:val="footer"/>
    <w:basedOn w:val="Normal"/>
    <w:link w:val="FooterChar"/>
    <w:uiPriority w:val="99"/>
    <w:unhideWhenUsed/>
    <w:rsid w:val="007B1C54"/>
    <w:pPr>
      <w:tabs>
        <w:tab w:val="center" w:pos="4680"/>
        <w:tab w:val="right" w:pos="9360"/>
      </w:tabs>
    </w:pPr>
  </w:style>
  <w:style w:type="character" w:customStyle="1" w:styleId="FooterChar">
    <w:name w:val="Footer Char"/>
    <w:basedOn w:val="DefaultParagraphFont"/>
    <w:link w:val="Footer"/>
    <w:uiPriority w:val="99"/>
    <w:rsid w:val="007B1C54"/>
    <w:rPr>
      <w:rFonts w:eastAsia="Times New Roman"/>
      <w:sz w:val="26"/>
    </w:rPr>
  </w:style>
  <w:style w:type="paragraph" w:styleId="BalloonText">
    <w:name w:val="Balloon Text"/>
    <w:basedOn w:val="Normal"/>
    <w:link w:val="BalloonTextChar"/>
    <w:uiPriority w:val="99"/>
    <w:semiHidden/>
    <w:unhideWhenUsed/>
    <w:rsid w:val="004F18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71"/>
    <w:rPr>
      <w:rFonts w:ascii="Tahoma" w:eastAsia="Times New Roman" w:hAnsi="Tahoma" w:cs="Tahoma"/>
      <w:sz w:val="16"/>
      <w:szCs w:val="16"/>
    </w:rPr>
  </w:style>
  <w:style w:type="paragraph" w:styleId="BodyText">
    <w:name w:val="Body Text"/>
    <w:basedOn w:val="Normal"/>
    <w:link w:val="BodyTextChar"/>
    <w:rsid w:val="00E77AB3"/>
    <w:pPr>
      <w:spacing w:after="120" w:line="240" w:lineRule="auto"/>
    </w:pPr>
    <w:rPr>
      <w:sz w:val="20"/>
      <w:szCs w:val="26"/>
    </w:rPr>
  </w:style>
  <w:style w:type="character" w:customStyle="1" w:styleId="BodyTextChar">
    <w:name w:val="Body Text Char"/>
    <w:basedOn w:val="DefaultParagraphFont"/>
    <w:link w:val="BodyText"/>
    <w:rsid w:val="00E77AB3"/>
    <w:rPr>
      <w:rFonts w:eastAsia="Times New Roman"/>
      <w:szCs w:val="26"/>
    </w:rPr>
  </w:style>
  <w:style w:type="paragraph" w:styleId="Revision">
    <w:name w:val="Revision"/>
    <w:hidden/>
    <w:uiPriority w:val="99"/>
    <w:semiHidden/>
    <w:rsid w:val="0044798D"/>
    <w:rPr>
      <w:rFonts w:eastAsia="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D24A-E436-461C-8963-F391DE67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3874</Words>
  <Characters>22084</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dc:description/>
  <cp:lastModifiedBy>Alban, Daniela</cp:lastModifiedBy>
  <cp:revision>2</cp:revision>
  <cp:lastPrinted>2010-10-19T16:27:00Z</cp:lastPrinted>
  <dcterms:created xsi:type="dcterms:W3CDTF">2022-01-11T19:26:00Z</dcterms:created>
  <dcterms:modified xsi:type="dcterms:W3CDTF">2022-01-11T19:26:00Z</dcterms:modified>
</cp:coreProperties>
</file>